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3E909">
      <w:pPr>
        <w:ind w:firstLine="3654" w:firstLineChars="1300"/>
        <w:rPr>
          <w:rFonts w:ascii="宋体" w:hAnsi="宋体"/>
          <w:color w:val="FF0000"/>
          <w:szCs w:val="21"/>
        </w:rPr>
      </w:pPr>
      <w:r>
        <w:rPr>
          <w:rFonts w:hint="eastAsia" w:ascii="宋体" w:hAnsi="宋体" w:eastAsia="黑体"/>
          <w:b/>
          <w:bCs/>
          <w:color w:val="FF0000"/>
          <w:kern w:val="44"/>
          <w:sz w:val="28"/>
          <w:szCs w:val="44"/>
          <w:lang w:val="en-US" w:eastAsia="zh-CN"/>
        </w:rPr>
        <w:t>特别</w:t>
      </w:r>
      <w:r>
        <w:rPr>
          <w:rFonts w:hint="eastAsia" w:ascii="宋体" w:hAnsi="宋体" w:eastAsia="黑体"/>
          <w:b/>
          <w:bCs/>
          <w:color w:val="FF0000"/>
          <w:kern w:val="44"/>
          <w:sz w:val="28"/>
          <w:szCs w:val="44"/>
        </w:rPr>
        <w:t>警示条款</w:t>
      </w:r>
    </w:p>
    <w:p w14:paraId="0A6EFBA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2" w:firstLineChars="200"/>
        <w:jc w:val="both"/>
        <w:textAlignment w:val="auto"/>
        <w:rPr>
          <w:rFonts w:hint="eastAsia" w:ascii="宋体" w:hAnsi="宋体" w:eastAsia="宋体" w:cs="宋体"/>
          <w:b/>
          <w:bCs/>
          <w:color w:val="FF0000"/>
          <w:sz w:val="24"/>
          <w:szCs w:val="24"/>
          <w:highlight w:val="yellow"/>
          <w:lang w:val="en-US" w:eastAsia="zh-CN"/>
        </w:rPr>
      </w:pPr>
      <w:r>
        <w:rPr>
          <w:rFonts w:hint="eastAsia" w:ascii="宋体" w:hAnsi="宋体" w:eastAsia="宋体" w:cs="宋体"/>
          <w:b/>
          <w:bCs/>
          <w:color w:val="FF0000"/>
          <w:sz w:val="24"/>
          <w:szCs w:val="24"/>
          <w:highlight w:val="yellow"/>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7711"/>
      </w:tblGrid>
      <w:tr w14:paraId="4B42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11" w:type="dxa"/>
            <w:tcBorders>
              <w:tl2br w:val="nil"/>
              <w:tr2bl w:val="nil"/>
            </w:tcBorders>
            <w:noWrap w:val="0"/>
            <w:vAlign w:val="center"/>
          </w:tcPr>
          <w:p w14:paraId="6C90174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序号</w:t>
            </w:r>
          </w:p>
        </w:tc>
        <w:tc>
          <w:tcPr>
            <w:tcW w:w="7711" w:type="dxa"/>
            <w:tcBorders>
              <w:tl2br w:val="nil"/>
              <w:tr2bl w:val="nil"/>
            </w:tcBorders>
            <w:noWrap w:val="0"/>
            <w:vAlign w:val="center"/>
          </w:tcPr>
          <w:p w14:paraId="7ADA357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b/>
                <w:bCs/>
                <w:color w:val="FF0000"/>
                <w:sz w:val="24"/>
                <w:szCs w:val="24"/>
                <w:highlight w:val="none"/>
                <w:lang w:val="en-US" w:eastAsia="zh-CN"/>
              </w:rPr>
              <w:t>供应商参与投标禁止情形</w:t>
            </w:r>
          </w:p>
        </w:tc>
      </w:tr>
      <w:tr w14:paraId="7E329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tl2br w:val="nil"/>
              <w:tr2bl w:val="nil"/>
            </w:tcBorders>
            <w:noWrap w:val="0"/>
            <w:vAlign w:val="center"/>
          </w:tcPr>
          <w:p w14:paraId="739FE13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1</w:t>
            </w:r>
          </w:p>
        </w:tc>
        <w:tc>
          <w:tcPr>
            <w:tcW w:w="7711" w:type="dxa"/>
            <w:tcBorders>
              <w:tl2br w:val="nil"/>
              <w:tr2bl w:val="nil"/>
            </w:tcBorders>
            <w:noWrap w:val="0"/>
            <w:vAlign w:val="center"/>
          </w:tcPr>
          <w:p w14:paraId="4F22AA0D">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FF0000"/>
                <w:sz w:val="24"/>
                <w:szCs w:val="24"/>
                <w:highlight w:val="none"/>
                <w:lang w:val="en-US" w:eastAsia="zh-CN"/>
              </w:rPr>
              <w:t>同一人、属同一单位或者在同一单位缴纳社会保险</w:t>
            </w:r>
            <w:r>
              <w:rPr>
                <w:rFonts w:hint="eastAsia" w:ascii="宋体" w:hAnsi="宋体" w:eastAsia="宋体" w:cs="宋体"/>
                <w:color w:val="FF0000"/>
                <w:sz w:val="24"/>
                <w:szCs w:val="24"/>
                <w:highlight w:val="none"/>
                <w:lang w:val="en-US" w:eastAsia="zh-CN"/>
              </w:rPr>
              <w:t>。</w:t>
            </w:r>
          </w:p>
        </w:tc>
      </w:tr>
      <w:tr w14:paraId="7ADC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1" w:type="dxa"/>
            <w:tcBorders>
              <w:tl2br w:val="nil"/>
              <w:tr2bl w:val="nil"/>
            </w:tcBorders>
            <w:noWrap w:val="0"/>
            <w:vAlign w:val="center"/>
          </w:tcPr>
          <w:p w14:paraId="776F5DE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2</w:t>
            </w:r>
          </w:p>
        </w:tc>
        <w:tc>
          <w:tcPr>
            <w:tcW w:w="7711" w:type="dxa"/>
            <w:tcBorders>
              <w:tl2br w:val="nil"/>
              <w:tr2bl w:val="nil"/>
            </w:tcBorders>
            <w:noWrap w:val="0"/>
            <w:vAlign w:val="center"/>
          </w:tcPr>
          <w:p w14:paraId="54999E0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参与本项目政府采购活动时，与其他投标供应商存在单位负责人为</w:t>
            </w:r>
            <w:r>
              <w:rPr>
                <w:rFonts w:hint="eastAsia" w:ascii="宋体" w:hAnsi="宋体" w:eastAsia="宋体" w:cs="宋体"/>
                <w:b/>
                <w:bCs/>
                <w:color w:val="FF0000"/>
                <w:sz w:val="24"/>
                <w:szCs w:val="24"/>
                <w:highlight w:val="none"/>
                <w:lang w:val="en-US" w:eastAsia="zh-CN"/>
              </w:rPr>
              <w:t>同一人或直接控股、管理关系</w:t>
            </w:r>
            <w:r>
              <w:rPr>
                <w:rFonts w:hint="eastAsia" w:ascii="宋体" w:hAnsi="宋体" w:eastAsia="宋体" w:cs="宋体"/>
                <w:color w:val="FF0000"/>
                <w:sz w:val="24"/>
                <w:szCs w:val="24"/>
                <w:highlight w:val="none"/>
                <w:lang w:val="en-US" w:eastAsia="zh-CN"/>
              </w:rPr>
              <w:t>。</w:t>
            </w:r>
          </w:p>
        </w:tc>
      </w:tr>
      <w:tr w14:paraId="0B7F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1" w:type="dxa"/>
            <w:tcBorders>
              <w:tl2br w:val="nil"/>
              <w:tr2bl w:val="nil"/>
            </w:tcBorders>
            <w:noWrap w:val="0"/>
            <w:vAlign w:val="center"/>
          </w:tcPr>
          <w:p w14:paraId="38CA080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3</w:t>
            </w:r>
          </w:p>
        </w:tc>
        <w:tc>
          <w:tcPr>
            <w:tcW w:w="7711" w:type="dxa"/>
            <w:tcBorders>
              <w:tl2br w:val="nil"/>
              <w:tr2bl w:val="nil"/>
            </w:tcBorders>
            <w:noWrap w:val="0"/>
            <w:vAlign w:val="center"/>
          </w:tcPr>
          <w:p w14:paraId="319C418E">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与其他投标供应商的投标文件或部分投标文件</w:t>
            </w:r>
            <w:r>
              <w:rPr>
                <w:rFonts w:hint="eastAsia" w:ascii="宋体" w:hAnsi="宋体" w:eastAsia="宋体" w:cs="宋体"/>
                <w:b/>
                <w:bCs/>
                <w:color w:val="FF0000"/>
                <w:sz w:val="24"/>
                <w:szCs w:val="24"/>
                <w:highlight w:val="none"/>
                <w:lang w:val="en-US" w:eastAsia="zh-CN"/>
              </w:rPr>
              <w:t>相互混装或存在非正常一致</w:t>
            </w:r>
            <w:r>
              <w:rPr>
                <w:rFonts w:hint="eastAsia" w:ascii="宋体" w:hAnsi="宋体" w:eastAsia="宋体" w:cs="宋体"/>
                <w:color w:val="FF0000"/>
                <w:sz w:val="24"/>
                <w:szCs w:val="24"/>
                <w:highlight w:val="none"/>
                <w:lang w:val="en-US" w:eastAsia="zh-CN"/>
              </w:rPr>
              <w:t>。</w:t>
            </w:r>
          </w:p>
        </w:tc>
      </w:tr>
      <w:tr w14:paraId="5541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811" w:type="dxa"/>
            <w:tcBorders>
              <w:tl2br w:val="nil"/>
              <w:tr2bl w:val="nil"/>
            </w:tcBorders>
            <w:noWrap w:val="0"/>
            <w:vAlign w:val="center"/>
          </w:tcPr>
          <w:p w14:paraId="0613239C">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4</w:t>
            </w:r>
          </w:p>
        </w:tc>
        <w:tc>
          <w:tcPr>
            <w:tcW w:w="7711" w:type="dxa"/>
            <w:tcBorders>
              <w:tl2br w:val="nil"/>
              <w:tr2bl w:val="nil"/>
            </w:tcBorders>
            <w:noWrap w:val="0"/>
            <w:vAlign w:val="center"/>
          </w:tcPr>
          <w:p w14:paraId="6B99B7A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FF0000"/>
                <w:kern w:val="2"/>
                <w:sz w:val="24"/>
                <w:szCs w:val="24"/>
                <w:highlight w:val="none"/>
                <w:lang w:val="en-US" w:eastAsia="zh-CN" w:bidi="ar-SA"/>
              </w:rPr>
            </w:pPr>
            <w:r>
              <w:rPr>
                <w:rFonts w:hint="eastAsia" w:ascii="宋体" w:hAnsi="宋体" w:eastAsia="宋体" w:cs="宋体"/>
                <w:color w:val="FF0000"/>
                <w:sz w:val="24"/>
                <w:szCs w:val="24"/>
                <w:highlight w:val="none"/>
                <w:lang w:val="en-US" w:eastAsia="zh-CN"/>
              </w:rPr>
              <w:t>与其他投标供应商的投标文件由</w:t>
            </w:r>
            <w:r>
              <w:rPr>
                <w:rFonts w:hint="eastAsia" w:ascii="宋体" w:hAnsi="宋体" w:eastAsia="宋体" w:cs="宋体"/>
                <w:b/>
                <w:bCs/>
                <w:color w:val="FF0000"/>
                <w:sz w:val="24"/>
                <w:szCs w:val="24"/>
                <w:highlight w:val="none"/>
                <w:lang w:val="en-US" w:eastAsia="zh-CN"/>
              </w:rPr>
              <w:t>同一单位或者同一人编制</w:t>
            </w:r>
            <w:r>
              <w:rPr>
                <w:rFonts w:hint="eastAsia" w:ascii="宋体" w:hAnsi="宋体" w:eastAsia="宋体" w:cs="宋体"/>
                <w:color w:val="FF0000"/>
                <w:sz w:val="24"/>
                <w:szCs w:val="24"/>
                <w:highlight w:val="none"/>
                <w:lang w:val="en-US" w:eastAsia="zh-CN"/>
              </w:rPr>
              <w:t>，或者使用</w:t>
            </w:r>
            <w:r>
              <w:rPr>
                <w:rFonts w:hint="eastAsia" w:ascii="宋体" w:hAnsi="宋体" w:eastAsia="宋体" w:cs="宋体"/>
                <w:b/>
                <w:bCs/>
                <w:color w:val="FF0000"/>
                <w:sz w:val="24"/>
                <w:szCs w:val="24"/>
                <w:highlight w:val="none"/>
                <w:lang w:val="en-US" w:eastAsia="zh-CN"/>
              </w:rPr>
              <w:t>同一设备编制</w:t>
            </w:r>
            <w:r>
              <w:rPr>
                <w:rFonts w:hint="eastAsia" w:ascii="宋体" w:hAnsi="宋体" w:eastAsia="宋体" w:cs="宋体"/>
                <w:color w:val="FF0000"/>
                <w:sz w:val="24"/>
                <w:szCs w:val="24"/>
                <w:highlight w:val="none"/>
                <w:lang w:val="en-US" w:eastAsia="zh-CN"/>
              </w:rPr>
              <w:t>（“文件制作机器码”“文件创建标识码”一致）。</w:t>
            </w:r>
          </w:p>
        </w:tc>
      </w:tr>
      <w:tr w14:paraId="09896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trPr>
        <w:tc>
          <w:tcPr>
            <w:tcW w:w="811" w:type="dxa"/>
            <w:tcBorders>
              <w:tl2br w:val="nil"/>
              <w:tr2bl w:val="nil"/>
            </w:tcBorders>
            <w:noWrap w:val="0"/>
            <w:vAlign w:val="center"/>
          </w:tcPr>
          <w:p w14:paraId="750B4A66">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5</w:t>
            </w:r>
          </w:p>
        </w:tc>
        <w:tc>
          <w:tcPr>
            <w:tcW w:w="7711" w:type="dxa"/>
            <w:tcBorders>
              <w:tl2br w:val="nil"/>
              <w:tr2bl w:val="nil"/>
            </w:tcBorders>
            <w:noWrap w:val="0"/>
            <w:vAlign w:val="center"/>
          </w:tcPr>
          <w:p w14:paraId="551C2FFA">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提供</w:t>
            </w:r>
            <w:r>
              <w:rPr>
                <w:rFonts w:hint="eastAsia" w:ascii="宋体" w:hAnsi="宋体" w:eastAsia="宋体" w:cs="宋体"/>
                <w:b/>
                <w:bCs/>
                <w:color w:val="FF0000"/>
                <w:sz w:val="24"/>
                <w:szCs w:val="24"/>
                <w:highlight w:val="none"/>
                <w:lang w:val="en-US" w:eastAsia="zh-CN"/>
              </w:rPr>
              <w:t>未经出具机构核实</w:t>
            </w:r>
            <w:r>
              <w:rPr>
                <w:rFonts w:hint="eastAsia" w:ascii="宋体" w:hAnsi="宋体" w:eastAsia="宋体" w:cs="宋体"/>
                <w:color w:val="FF0000"/>
                <w:sz w:val="24"/>
                <w:szCs w:val="24"/>
                <w:highlight w:val="none"/>
                <w:lang w:val="en-US" w:eastAsia="zh-CN"/>
              </w:rPr>
              <w:t>的虚假的检验检测报告、业绩材料、社保缴纳证明、学历学位证书、职称认证证书等材料。</w:t>
            </w:r>
          </w:p>
        </w:tc>
      </w:tr>
      <w:tr w14:paraId="4C5D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811" w:type="dxa"/>
            <w:tcBorders>
              <w:tl2br w:val="nil"/>
              <w:tr2bl w:val="nil"/>
            </w:tcBorders>
            <w:noWrap w:val="0"/>
            <w:vAlign w:val="center"/>
          </w:tcPr>
          <w:p w14:paraId="130234F9">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color w:val="FF0000"/>
                <w:sz w:val="24"/>
                <w:szCs w:val="24"/>
                <w:highlight w:val="none"/>
                <w:lang w:val="en-US" w:eastAsia="zh-CN"/>
              </w:rPr>
            </w:pPr>
            <w:r>
              <w:rPr>
                <w:rFonts w:hint="eastAsia" w:ascii="宋体" w:hAnsi="宋体" w:eastAsia="宋体" w:cs="宋体"/>
                <w:color w:val="FF0000"/>
                <w:sz w:val="24"/>
                <w:szCs w:val="24"/>
                <w:highlight w:val="none"/>
                <w:lang w:val="en-US" w:eastAsia="zh-CN"/>
              </w:rPr>
              <w:t>6</w:t>
            </w:r>
          </w:p>
        </w:tc>
        <w:tc>
          <w:tcPr>
            <w:tcW w:w="7711" w:type="dxa"/>
            <w:tcBorders>
              <w:tl2br w:val="nil"/>
              <w:tr2bl w:val="nil"/>
            </w:tcBorders>
            <w:noWrap w:val="0"/>
            <w:vAlign w:val="center"/>
          </w:tcPr>
          <w:p w14:paraId="60885C3B">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jc w:val="left"/>
              <w:textAlignment w:val="auto"/>
              <w:rPr>
                <w:rFonts w:hint="eastAsia" w:ascii="宋体" w:hAnsi="宋体" w:eastAsia="宋体" w:cs="宋体"/>
                <w:color w:val="FF0000"/>
                <w:kern w:val="2"/>
                <w:sz w:val="24"/>
                <w:szCs w:val="24"/>
                <w:highlight w:val="none"/>
                <w:lang w:val="en-US" w:eastAsia="zh-CN" w:bidi="ar-SA"/>
              </w:rPr>
            </w:pPr>
            <w:r>
              <w:rPr>
                <w:rFonts w:hint="eastAsia" w:ascii="宋体" w:hAnsi="宋体" w:eastAsia="宋体" w:cs="宋体"/>
                <w:color w:val="FF0000"/>
                <w:sz w:val="24"/>
                <w:szCs w:val="24"/>
                <w:highlight w:val="none"/>
                <w:lang w:val="en-US" w:eastAsia="zh-CN"/>
              </w:rPr>
              <w:t>擅自将投标密钥</w:t>
            </w:r>
            <w:r>
              <w:rPr>
                <w:rFonts w:hint="eastAsia" w:ascii="宋体" w:hAnsi="宋体" w:eastAsia="宋体" w:cs="宋体"/>
                <w:color w:val="FF0000"/>
                <w:sz w:val="24"/>
                <w:szCs w:val="24"/>
                <w:highlight w:val="none"/>
                <w:lang w:eastAsia="zh-CN"/>
              </w:rPr>
              <w:t>或</w:t>
            </w:r>
            <w:r>
              <w:rPr>
                <w:rFonts w:hint="eastAsia" w:ascii="宋体" w:hAnsi="宋体" w:eastAsia="宋体" w:cs="宋体"/>
                <w:color w:val="FF0000"/>
                <w:sz w:val="24"/>
                <w:szCs w:val="24"/>
                <w:highlight w:val="none"/>
                <w:lang w:val="en-US" w:eastAsia="zh-CN"/>
              </w:rPr>
              <w:t>电子营业执照出借他人使用或未妥善保管。</w:t>
            </w:r>
          </w:p>
        </w:tc>
      </w:tr>
    </w:tbl>
    <w:p w14:paraId="3C4A7FBA">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p>
    <w:p w14:paraId="49BC886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一、</w:t>
      </w:r>
      <w:r>
        <w:rPr>
          <w:rFonts w:hint="eastAsia" w:ascii="宋体" w:hAnsi="宋体" w:eastAsia="宋体" w:cs="宋体"/>
          <w:b/>
          <w:bCs/>
          <w:color w:val="FF0000"/>
          <w:sz w:val="24"/>
          <w:szCs w:val="24"/>
        </w:rPr>
        <w:t>《深圳经济特区政府采购条例》第五十七条</w:t>
      </w:r>
      <w:r>
        <w:rPr>
          <w:rFonts w:hint="eastAsia" w:ascii="宋体" w:hAnsi="宋体" w:eastAsia="宋体" w:cs="宋体"/>
          <w:color w:val="FF0000"/>
          <w:sz w:val="24"/>
          <w:szCs w:val="24"/>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45000907">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（一）在采购活动中应当回避而未回避的；</w:t>
      </w:r>
    </w:p>
    <w:p w14:paraId="51B742EA">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（二）未按本条例规定签订、履行采购合同，造成严重后果的；</w:t>
      </w:r>
    </w:p>
    <w:p w14:paraId="03F9789E">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（三）隐瞒真实情况，提供虚假资料的；</w:t>
      </w:r>
    </w:p>
    <w:p w14:paraId="4CC5FA2A">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（四）以非法手段排斥其他供应商参与竞争的；</w:t>
      </w:r>
    </w:p>
    <w:p w14:paraId="62BEFAC8">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（五）与其他采购参加人串通投标的；</w:t>
      </w:r>
    </w:p>
    <w:p w14:paraId="60AB05F7">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（六）恶意投诉的；</w:t>
      </w:r>
    </w:p>
    <w:p w14:paraId="5D6E13E3">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（七）向采购项目相关人行贿或者提供其他不当利益的；</w:t>
      </w:r>
    </w:p>
    <w:p w14:paraId="5E6EFA6E">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（八）阻碍、抗拒主管部门监督检查的；</w:t>
      </w:r>
    </w:p>
    <w:p w14:paraId="29495328">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（九）其他违反本条例规定的行为。</w:t>
      </w:r>
    </w:p>
    <w:p w14:paraId="16715208">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rPr>
      </w:pPr>
      <w:r>
        <w:rPr>
          <w:rFonts w:hint="eastAsia" w:ascii="宋体" w:hAnsi="宋体" w:eastAsia="宋体" w:cs="宋体"/>
          <w:b/>
          <w:bCs/>
          <w:color w:val="FF0000"/>
          <w:sz w:val="24"/>
          <w:szCs w:val="24"/>
        </w:rPr>
        <w:t>二、《深圳经济特区政府采购条例实施细则》第七十五条</w:t>
      </w:r>
      <w:r>
        <w:rPr>
          <w:rFonts w:hint="eastAsia" w:ascii="宋体" w:hAnsi="宋体" w:eastAsia="宋体" w:cs="宋体"/>
          <w:b/>
          <w:bCs/>
          <w:color w:val="FF0000"/>
          <w:sz w:val="24"/>
          <w:szCs w:val="24"/>
          <w:lang w:val="en-US" w:eastAsia="zh-CN"/>
        </w:rPr>
        <w:t xml:space="preserve"> </w:t>
      </w:r>
      <w:r>
        <w:rPr>
          <w:rFonts w:hint="eastAsia" w:ascii="宋体" w:hAnsi="宋体" w:eastAsia="宋体" w:cs="宋体"/>
          <w:color w:val="FF0000"/>
          <w:sz w:val="24"/>
          <w:szCs w:val="24"/>
        </w:rPr>
        <w:t>供应商有下列情形</w:t>
      </w:r>
      <w:r>
        <w:rPr>
          <w:rFonts w:hint="eastAsia" w:ascii="宋体" w:hAnsi="宋体" w:eastAsia="宋体" w:cs="宋体"/>
          <w:color w:val="FF0000"/>
          <w:sz w:val="24"/>
          <w:szCs w:val="24"/>
          <w:lang w:val="en-US" w:eastAsia="zh-CN"/>
        </w:rPr>
        <w:t>之一</w:t>
      </w:r>
      <w:r>
        <w:rPr>
          <w:rFonts w:hint="eastAsia" w:ascii="宋体" w:hAnsi="宋体" w:eastAsia="宋体" w:cs="宋体"/>
          <w:color w:val="FF0000"/>
          <w:sz w:val="24"/>
          <w:szCs w:val="24"/>
        </w:rPr>
        <w:t>的，属于采购条例所称的串通投标行为，按照采购条例第五十七条有关规定处理：（一）投标供应商之间相互约定给予未中标的供应商利益补偿</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（二）不同投标供应商的法定代表人、主要经营负责人、项目投标授权代表人、项目负责人、主要技术人员为同一人、属同一单位或者在同一单位缴纳社会保险</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（三）不同投标供应商的投标文件由同一单位或者同一人编制，或者由同一人分阶段参与编制的</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（四）不同投标供应商的投标文件或部分投标文件相互混装</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（五）不同投标供应商的投标文件内容存在非正常一致</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（六）由同一单位工作人员为两家以上（含两家）供应商进行同一项投标活动的</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（七）主管部门依照法律、法规认定的其他情形。</w:t>
      </w:r>
    </w:p>
    <w:p w14:paraId="29D1C3F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color w:val="FF0000"/>
          <w:sz w:val="24"/>
          <w:szCs w:val="24"/>
        </w:rPr>
      </w:pPr>
      <w:r>
        <w:rPr>
          <w:rFonts w:hint="eastAsia" w:ascii="宋体" w:hAnsi="宋体" w:eastAsia="宋体" w:cs="宋体"/>
          <w:b/>
          <w:bCs/>
          <w:color w:val="FF0000"/>
          <w:sz w:val="24"/>
          <w:szCs w:val="24"/>
        </w:rPr>
        <w:t>三、《深圳经济特区政府采购条例实施细则》第七十七条</w:t>
      </w:r>
      <w:r>
        <w:rPr>
          <w:rFonts w:hint="eastAsia" w:ascii="宋体" w:hAnsi="宋体" w:eastAsia="宋体" w:cs="宋体"/>
          <w:b/>
          <w:bCs/>
          <w:color w:val="FF0000"/>
          <w:sz w:val="24"/>
          <w:szCs w:val="24"/>
          <w:lang w:val="en-US" w:eastAsia="zh-CN"/>
        </w:rPr>
        <w:t xml:space="preserve"> </w:t>
      </w:r>
      <w:r>
        <w:rPr>
          <w:rFonts w:hint="eastAsia" w:ascii="宋体" w:hAnsi="宋体" w:eastAsia="宋体" w:cs="宋体"/>
          <w:color w:val="FF0000"/>
          <w:sz w:val="24"/>
          <w:szCs w:val="24"/>
        </w:rPr>
        <w:t>供应商有下列情形之一的，属于隐瞒真实情况，提供虚假资料，按照采购条例第五十七</w:t>
      </w:r>
      <w:r>
        <w:rPr>
          <w:rFonts w:hint="eastAsia" w:ascii="宋体" w:hAnsi="宋体" w:eastAsia="宋体" w:cs="宋体"/>
          <w:color w:val="FF0000"/>
          <w:sz w:val="24"/>
          <w:szCs w:val="24"/>
          <w:lang w:val="en-US" w:eastAsia="zh-CN"/>
        </w:rPr>
        <w:t>条</w:t>
      </w:r>
      <w:r>
        <w:rPr>
          <w:rFonts w:hint="eastAsia" w:ascii="宋体" w:hAnsi="宋体" w:eastAsia="宋体" w:cs="宋体"/>
          <w:color w:val="FF0000"/>
          <w:sz w:val="24"/>
          <w:szCs w:val="24"/>
        </w:rPr>
        <w:t>的有关规定处理：（一）通过转让或者租借等方式从其他单位获取资格或者资质证书投标的</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（二）由其他单位或者其他单位负责人在投标供应商编制的投标文件上加盖印章或者签字的</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（三）项目负责人或者主要技术人员不是本单位人员的</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（四）投标保证金不是从投标供应商基本账户转出的</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（五）其他隐瞒真实情况、提供虚假资料的行为。</w:t>
      </w:r>
    </w:p>
    <w:p w14:paraId="2C5A93D8">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color w:val="FF0000"/>
          <w:sz w:val="24"/>
          <w:szCs w:val="24"/>
        </w:rPr>
      </w:pPr>
      <w:r>
        <w:rPr>
          <w:rFonts w:hint="eastAsia" w:ascii="宋体" w:hAnsi="宋体" w:eastAsia="宋体" w:cs="宋体"/>
          <w:color w:val="FF0000"/>
          <w:sz w:val="24"/>
          <w:szCs w:val="24"/>
        </w:rPr>
        <w:t>投标供应商不能提供项目负责人或者主要技术人员的劳动合同、社会保险等劳动关系证明材料的，视为存在前款第（三）项规定的情形。</w:t>
      </w:r>
    </w:p>
    <w:p w14:paraId="2329E76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b w:val="0"/>
          <w:bCs/>
          <w:color w:val="FF0000"/>
          <w:sz w:val="24"/>
          <w:szCs w:val="24"/>
          <w:lang w:val="en-US" w:eastAsia="zh-CN"/>
        </w:rPr>
      </w:pPr>
      <w:r>
        <w:rPr>
          <w:rFonts w:hint="eastAsia" w:ascii="宋体" w:hAnsi="宋体" w:eastAsia="宋体" w:cs="宋体"/>
          <w:b w:val="0"/>
          <w:bCs/>
          <w:color w:val="FF0000"/>
          <w:sz w:val="24"/>
          <w:szCs w:val="24"/>
          <w:lang w:val="en-US" w:eastAsia="zh-CN"/>
        </w:rPr>
        <w:t>四、供应商在使用深圳政府采购智慧平台的投标文件制作工具创建投标文件时，该工具将自动在投标文件中记录文件创建标识码，同时提取投标文件制作电脑的网卡MAC地址、硬盘序列号、CPU序列号、主板序列号和工具标识号，经加密生成文件制作机器码并在投标文件中记录。文件制作机器码一致表明不同供应商使用了同一设备编制投标文件，文件创建标识码一致表明不同供应商的投标文件为同一份文件，IP地址一致表明上传投标文件时使用了相同的网络。</w:t>
      </w:r>
    </w:p>
    <w:p w14:paraId="6644E67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b w:val="0"/>
          <w:bCs/>
          <w:color w:val="FF0000"/>
          <w:sz w:val="24"/>
          <w:szCs w:val="24"/>
          <w:lang w:val="en-US" w:eastAsia="zh-CN"/>
        </w:rPr>
      </w:pPr>
      <w:r>
        <w:rPr>
          <w:rFonts w:hint="eastAsia" w:ascii="宋体" w:hAnsi="宋体" w:eastAsia="宋体" w:cs="宋体"/>
          <w:b w:val="0"/>
          <w:bCs/>
          <w:color w:val="FF0000"/>
          <w:sz w:val="24"/>
          <w:szCs w:val="24"/>
          <w:lang w:val="en-US" w:eastAsia="zh-CN"/>
        </w:rPr>
        <w:t>为避免出现不同供应商投标文件的文件制作机器码、文件创建标识码、IP地址一致的异常情况，建议各供应商编制、上传投标文件时不要使用公共电脑设备或公共网络。</w:t>
      </w:r>
    </w:p>
    <w:p w14:paraId="049C54B9">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0" w:firstLineChars="200"/>
        <w:textAlignment w:val="auto"/>
        <w:rPr>
          <w:rFonts w:hint="eastAsia" w:ascii="宋体" w:hAnsi="宋体" w:eastAsia="宋体" w:cs="宋体"/>
          <w:b w:val="0"/>
          <w:bCs/>
          <w:color w:val="FF0000"/>
          <w:sz w:val="24"/>
          <w:szCs w:val="24"/>
          <w:lang w:val="en-US" w:eastAsia="zh-CN"/>
        </w:rPr>
      </w:pPr>
      <w:r>
        <w:rPr>
          <w:rFonts w:hint="eastAsia" w:ascii="宋体" w:hAnsi="宋体" w:eastAsia="宋体" w:cs="宋体"/>
          <w:b w:val="0"/>
          <w:bCs/>
          <w:color w:val="FF0000"/>
          <w:sz w:val="24"/>
          <w:szCs w:val="24"/>
          <w:lang w:val="en-US" w:eastAsia="zh-CN"/>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eastAsia="宋体" w:cs="宋体"/>
          <w:color w:val="FF0000"/>
          <w:sz w:val="24"/>
          <w:szCs w:val="24"/>
        </w:rPr>
        <w:t>取消参与本市政府采购资格</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rPr>
        <w:t>依法吊销其营业</w:t>
      </w:r>
      <w:r>
        <w:rPr>
          <w:rFonts w:hint="eastAsia" w:ascii="宋体" w:hAnsi="宋体" w:eastAsia="宋体" w:cs="宋体"/>
          <w:color w:val="FF0000"/>
          <w:sz w:val="24"/>
          <w:szCs w:val="24"/>
          <w:lang w:val="en-US" w:eastAsia="zh-CN"/>
        </w:rPr>
        <w:t>执照等行政处罚，</w:t>
      </w:r>
      <w:r>
        <w:rPr>
          <w:rFonts w:hint="eastAsia" w:ascii="宋体" w:hAnsi="宋体" w:eastAsia="宋体" w:cs="宋体"/>
          <w:color w:val="FF0000"/>
          <w:sz w:val="24"/>
          <w:szCs w:val="24"/>
        </w:rPr>
        <w:t>构成犯罪的，依法追究刑事责任</w:t>
      </w:r>
      <w:r>
        <w:rPr>
          <w:rFonts w:hint="eastAsia" w:ascii="宋体" w:hAnsi="宋体" w:eastAsia="宋体" w:cs="宋体"/>
          <w:b w:val="0"/>
          <w:bCs/>
          <w:color w:val="FF0000"/>
          <w:sz w:val="24"/>
          <w:szCs w:val="24"/>
          <w:lang w:val="en-US" w:eastAsia="zh-CN"/>
        </w:rPr>
        <w:t>，请各供应商独立编制、上传投标文件，妥善保管和使用电子秘钥。</w:t>
      </w:r>
    </w:p>
    <w:p w14:paraId="759455BE">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ind w:firstLine="482" w:firstLineChars="200"/>
        <w:textAlignment w:val="auto"/>
        <w:rPr>
          <w:rFonts w:hint="eastAsia" w:ascii="宋体" w:hAnsi="宋体" w:eastAsia="宋体" w:cs="宋体"/>
          <w:sz w:val="24"/>
          <w:szCs w:val="24"/>
          <w:lang w:val="en-US" w:eastAsia="zh-CN"/>
        </w:rPr>
      </w:pPr>
      <w:r>
        <w:rPr>
          <w:rFonts w:hint="eastAsia" w:ascii="宋体" w:hAnsi="宋体" w:eastAsia="宋体" w:cs="宋体"/>
          <w:b/>
          <w:color w:val="FF0000"/>
          <w:sz w:val="24"/>
          <w:szCs w:val="24"/>
          <w:lang w:val="en-US" w:eastAsia="zh-CN"/>
        </w:rPr>
        <w:t>五</w:t>
      </w:r>
      <w:r>
        <w:rPr>
          <w:rFonts w:hint="eastAsia" w:ascii="宋体" w:hAnsi="宋体" w:eastAsia="宋体" w:cs="宋体"/>
          <w:b/>
          <w:color w:val="FF0000"/>
          <w:sz w:val="24"/>
          <w:szCs w:val="24"/>
        </w:rPr>
        <w:t>、请投标供应商阅读《政府采购违法行为风险知悉确认书》（内容详见“投标文件附件（信息不公开部分）”中节点“投标人认为需要加以说明的其他内容（格式自定）”），并经各投标供应商负责人签字并加盖单位公章后，扫描上传至投标文件一并提交。</w:t>
      </w:r>
    </w:p>
    <w:p w14:paraId="10D7794E">
      <w:pPr>
        <w:pStyle w:val="204"/>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line="240" w:lineRule="auto"/>
        <w:textAlignment w:val="auto"/>
        <w:rPr>
          <w:rFonts w:hint="eastAsia" w:ascii="宋体" w:hAnsi="宋体" w:eastAsia="宋体" w:cs="宋体"/>
          <w:b w:val="0"/>
          <w:bCs/>
          <w:color w:val="FF0000"/>
          <w:sz w:val="24"/>
          <w:szCs w:val="24"/>
          <w:lang w:val="en-US" w:eastAsia="zh-CN"/>
        </w:rPr>
      </w:pPr>
    </w:p>
    <w:p w14:paraId="37BD3B58">
      <w:pPr>
        <w:widowControl/>
        <w:spacing w:beforeAutospacing="1" w:afterAutospacing="1"/>
        <w:jc w:val="left"/>
        <w:outlineLvl w:val="1"/>
        <w:rPr>
          <w:rFonts w:hint="eastAsia" w:ascii="黑体" w:hAnsi="宋体" w:eastAsia="黑体" w:cs="黑体"/>
          <w:kern w:val="0"/>
          <w:sz w:val="40"/>
          <w:szCs w:val="40"/>
        </w:rPr>
      </w:pPr>
      <w:r>
        <w:rPr>
          <w:rFonts w:hint="eastAsia" w:ascii="宋体" w:hAnsi="宋体" w:eastAsia="宋体" w:cs="宋体"/>
          <w:b/>
          <w:color w:val="FF0000"/>
          <w:kern w:val="2"/>
          <w:sz w:val="24"/>
          <w:szCs w:val="24"/>
          <w:lang w:val="en-US" w:eastAsia="zh-CN" w:bidi="ar-SA"/>
        </w:rPr>
        <w:t>注：“特别警示条款”和《政府采购违法行为风险知悉确认书》用于对供应商违法行为的提醒，不作为供应商资格性审查及符合性审查条件。</w:t>
      </w:r>
    </w:p>
    <w:p w14:paraId="72FC8357">
      <w:pPr>
        <w:widowControl/>
        <w:spacing w:beforeAutospacing="1" w:afterAutospacing="1"/>
        <w:jc w:val="center"/>
        <w:outlineLvl w:val="1"/>
        <w:rPr>
          <w:rFonts w:hint="eastAsia" w:ascii="黑体" w:hAnsi="宋体" w:eastAsia="黑体" w:cs="黑体"/>
          <w:kern w:val="0"/>
          <w:sz w:val="40"/>
          <w:szCs w:val="40"/>
        </w:rPr>
      </w:pPr>
    </w:p>
    <w:p w14:paraId="162FC4C0">
      <w:pPr>
        <w:widowControl/>
        <w:spacing w:beforeAutospacing="1" w:afterAutospacing="1"/>
        <w:jc w:val="center"/>
        <w:outlineLvl w:val="1"/>
        <w:rPr>
          <w:rFonts w:hint="eastAsia" w:ascii="黑体" w:hAnsi="宋体" w:eastAsia="黑体" w:cs="黑体"/>
          <w:kern w:val="0"/>
          <w:sz w:val="40"/>
          <w:szCs w:val="40"/>
        </w:rPr>
      </w:pPr>
    </w:p>
    <w:p w14:paraId="5B12F7F7">
      <w:pPr>
        <w:pStyle w:val="2"/>
        <w:rPr>
          <w:rFonts w:hint="eastAsia" w:ascii="黑体" w:hAnsi="宋体" w:eastAsia="黑体" w:cs="黑体"/>
          <w:kern w:val="0"/>
          <w:sz w:val="40"/>
          <w:szCs w:val="40"/>
        </w:rPr>
      </w:pPr>
    </w:p>
    <w:p w14:paraId="773565C9">
      <w:pPr>
        <w:pStyle w:val="3"/>
        <w:rPr>
          <w:rFonts w:hint="eastAsia" w:ascii="黑体" w:hAnsi="宋体" w:eastAsia="黑体" w:cs="黑体"/>
          <w:kern w:val="0"/>
          <w:sz w:val="40"/>
          <w:szCs w:val="40"/>
        </w:rPr>
      </w:pPr>
    </w:p>
    <w:p w14:paraId="6E81FCBA">
      <w:pPr>
        <w:pStyle w:val="3"/>
        <w:rPr>
          <w:rFonts w:hint="eastAsia" w:ascii="黑体" w:hAnsi="宋体" w:eastAsia="黑体" w:cs="黑体"/>
          <w:kern w:val="0"/>
          <w:sz w:val="40"/>
          <w:szCs w:val="40"/>
        </w:rPr>
      </w:pPr>
    </w:p>
    <w:p w14:paraId="21C839B6">
      <w:pPr>
        <w:widowControl/>
        <w:spacing w:beforeAutospacing="1" w:afterAutospacing="1"/>
        <w:jc w:val="center"/>
        <w:outlineLvl w:val="1"/>
        <w:rPr>
          <w:rFonts w:ascii="黑体" w:hAnsi="宋体" w:eastAsia="黑体" w:cs="黑体"/>
          <w:kern w:val="0"/>
          <w:sz w:val="40"/>
          <w:szCs w:val="40"/>
        </w:rPr>
      </w:pPr>
      <w:r>
        <w:rPr>
          <w:rFonts w:hint="eastAsia" w:ascii="黑体" w:hAnsi="宋体" w:eastAsia="黑体" w:cs="黑体"/>
          <w:kern w:val="0"/>
          <w:sz w:val="40"/>
          <w:szCs w:val="40"/>
        </w:rPr>
        <w:t>招标文件信息</w:t>
      </w:r>
    </w:p>
    <w:tbl>
      <w:tblPr>
        <w:tblStyle w:val="43"/>
        <w:tblW w:w="7943" w:type="dxa"/>
        <w:jc w:val="center"/>
        <w:tblCellSpacing w:w="0" w:type="dxa"/>
        <w:tblLayout w:type="fixed"/>
        <w:tblCellMar>
          <w:top w:w="45" w:type="dxa"/>
          <w:left w:w="45" w:type="dxa"/>
          <w:bottom w:w="45" w:type="dxa"/>
          <w:right w:w="45" w:type="dxa"/>
        </w:tblCellMar>
      </w:tblPr>
      <w:tblGrid>
        <w:gridCol w:w="2723"/>
        <w:gridCol w:w="5220"/>
      </w:tblGrid>
      <w:tr w14:paraId="335ED17E">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7B2FC2A5">
            <w:pPr>
              <w:widowControl/>
              <w:jc w:val="right"/>
              <w:rPr>
                <w:sz w:val="30"/>
                <w:szCs w:val="30"/>
              </w:rPr>
            </w:pPr>
            <w:r>
              <w:rPr>
                <w:rFonts w:ascii="宋体" w:hAnsi="宋体" w:cs="宋体"/>
                <w:kern w:val="0"/>
                <w:sz w:val="30"/>
                <w:szCs w:val="30"/>
                <w:lang w:bidi="ar"/>
              </w:rPr>
              <w:t>项目编号：</w:t>
            </w:r>
          </w:p>
        </w:tc>
        <w:tc>
          <w:tcPr>
            <w:tcW w:w="5220" w:type="dxa"/>
            <w:shd w:val="clear" w:color="auto" w:fill="auto"/>
            <w:vAlign w:val="center"/>
          </w:tcPr>
          <w:p w14:paraId="584323DA">
            <w:pPr>
              <w:widowControl/>
              <w:jc w:val="left"/>
              <w:rPr>
                <w:sz w:val="30"/>
                <w:szCs w:val="30"/>
              </w:rPr>
            </w:pPr>
            <w:r>
              <w:rPr>
                <w:rFonts w:hint="eastAsia"/>
                <w:sz w:val="30"/>
                <w:szCs w:val="30"/>
              </w:rPr>
              <w:t>LGZXCG-2025-00092</w:t>
            </w:r>
          </w:p>
        </w:tc>
      </w:tr>
      <w:tr w14:paraId="050D13F5">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206B3A83">
            <w:pPr>
              <w:widowControl/>
              <w:jc w:val="right"/>
              <w:rPr>
                <w:sz w:val="30"/>
                <w:szCs w:val="30"/>
              </w:rPr>
            </w:pPr>
            <w:r>
              <w:rPr>
                <w:rFonts w:ascii="宋体" w:hAnsi="宋体" w:cs="宋体"/>
                <w:kern w:val="0"/>
                <w:sz w:val="30"/>
                <w:szCs w:val="30"/>
                <w:lang w:bidi="ar"/>
              </w:rPr>
              <w:t>项目名称：</w:t>
            </w:r>
          </w:p>
        </w:tc>
        <w:tc>
          <w:tcPr>
            <w:tcW w:w="5220" w:type="dxa"/>
            <w:shd w:val="clear" w:color="auto" w:fill="auto"/>
            <w:vAlign w:val="center"/>
          </w:tcPr>
          <w:p w14:paraId="19854C20">
            <w:pPr>
              <w:widowControl/>
              <w:jc w:val="left"/>
              <w:rPr>
                <w:rFonts w:hint="eastAsia" w:eastAsia="宋体"/>
                <w:sz w:val="30"/>
                <w:szCs w:val="30"/>
                <w:lang w:val="en-US" w:eastAsia="zh-CN"/>
              </w:rPr>
            </w:pPr>
            <w:r>
              <w:rPr>
                <w:rFonts w:hint="eastAsia" w:ascii="宋体" w:hAnsi="宋体" w:cs="宋体"/>
                <w:kern w:val="0"/>
                <w:sz w:val="30"/>
                <w:szCs w:val="30"/>
                <w:lang w:eastAsia="zh-CN" w:bidi="ar"/>
              </w:rPr>
              <w:t>龙城街道</w:t>
            </w:r>
            <w:r>
              <w:rPr>
                <w:rFonts w:hint="eastAsia" w:ascii="宋体" w:hAnsi="宋体" w:cs="宋体"/>
                <w:kern w:val="0"/>
                <w:sz w:val="30"/>
                <w:szCs w:val="30"/>
                <w:lang w:val="en-US" w:eastAsia="zh-CN" w:bidi="ar"/>
              </w:rPr>
              <w:t>2026年度</w:t>
            </w:r>
            <w:r>
              <w:rPr>
                <w:rFonts w:hint="eastAsia" w:ascii="宋体" w:hAnsi="宋体" w:cs="宋体"/>
                <w:kern w:val="0"/>
                <w:sz w:val="30"/>
                <w:szCs w:val="30"/>
                <w:lang w:bidi="ar"/>
              </w:rPr>
              <w:t>严重精神障碍患者监护责任补偿保险项目</w:t>
            </w:r>
          </w:p>
        </w:tc>
      </w:tr>
      <w:tr w14:paraId="7200D292">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02B1C60C">
            <w:pPr>
              <w:widowControl/>
              <w:jc w:val="right"/>
              <w:rPr>
                <w:sz w:val="30"/>
                <w:szCs w:val="30"/>
              </w:rPr>
            </w:pPr>
            <w:r>
              <w:rPr>
                <w:rFonts w:ascii="宋体" w:hAnsi="宋体" w:cs="宋体"/>
                <w:kern w:val="0"/>
                <w:sz w:val="30"/>
                <w:szCs w:val="30"/>
                <w:lang w:bidi="ar"/>
              </w:rPr>
              <w:t>包 号：</w:t>
            </w:r>
          </w:p>
        </w:tc>
        <w:tc>
          <w:tcPr>
            <w:tcW w:w="5220" w:type="dxa"/>
            <w:shd w:val="clear" w:color="auto" w:fill="auto"/>
            <w:vAlign w:val="center"/>
          </w:tcPr>
          <w:p w14:paraId="7A3E30EA">
            <w:pPr>
              <w:widowControl/>
              <w:jc w:val="left"/>
              <w:rPr>
                <w:sz w:val="30"/>
                <w:szCs w:val="30"/>
              </w:rPr>
            </w:pPr>
            <w:r>
              <w:rPr>
                <w:rFonts w:ascii="宋体" w:hAnsi="宋体" w:cs="宋体"/>
                <w:kern w:val="0"/>
                <w:sz w:val="30"/>
                <w:szCs w:val="30"/>
                <w:lang w:bidi="ar"/>
              </w:rPr>
              <w:t>A</w:t>
            </w:r>
          </w:p>
        </w:tc>
      </w:tr>
      <w:tr w14:paraId="3D524294">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55DE5392">
            <w:pPr>
              <w:widowControl/>
              <w:jc w:val="right"/>
              <w:rPr>
                <w:sz w:val="30"/>
                <w:szCs w:val="30"/>
              </w:rPr>
            </w:pPr>
            <w:r>
              <w:rPr>
                <w:rFonts w:ascii="宋体" w:hAnsi="宋体" w:cs="宋体"/>
                <w:kern w:val="0"/>
                <w:sz w:val="30"/>
                <w:szCs w:val="30"/>
                <w:lang w:bidi="ar"/>
              </w:rPr>
              <w:t>项目类型：</w:t>
            </w:r>
          </w:p>
        </w:tc>
        <w:tc>
          <w:tcPr>
            <w:tcW w:w="5220" w:type="dxa"/>
            <w:shd w:val="clear" w:color="auto" w:fill="auto"/>
            <w:vAlign w:val="center"/>
          </w:tcPr>
          <w:p w14:paraId="0ADAE518">
            <w:pPr>
              <w:widowControl/>
              <w:jc w:val="left"/>
              <w:rPr>
                <w:sz w:val="30"/>
                <w:szCs w:val="30"/>
              </w:rPr>
            </w:pPr>
            <w:r>
              <w:rPr>
                <w:rFonts w:hint="eastAsia" w:ascii="宋体" w:hAnsi="宋体" w:cs="宋体"/>
                <w:kern w:val="0"/>
                <w:sz w:val="30"/>
                <w:szCs w:val="30"/>
                <w:lang w:bidi="ar"/>
              </w:rPr>
              <w:t>服务</w:t>
            </w:r>
            <w:r>
              <w:rPr>
                <w:rFonts w:ascii="宋体" w:hAnsi="宋体" w:cs="宋体"/>
                <w:kern w:val="0"/>
                <w:sz w:val="30"/>
                <w:szCs w:val="30"/>
                <w:lang w:bidi="ar"/>
              </w:rPr>
              <w:t>类</w:t>
            </w:r>
          </w:p>
        </w:tc>
      </w:tr>
      <w:tr w14:paraId="1B2D311F">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3A42D247">
            <w:pPr>
              <w:widowControl/>
              <w:jc w:val="right"/>
              <w:rPr>
                <w:sz w:val="30"/>
                <w:szCs w:val="30"/>
              </w:rPr>
            </w:pPr>
            <w:r>
              <w:rPr>
                <w:rFonts w:ascii="宋体" w:hAnsi="宋体" w:cs="宋体"/>
                <w:kern w:val="0"/>
                <w:sz w:val="30"/>
                <w:szCs w:val="30"/>
                <w:lang w:bidi="ar"/>
              </w:rPr>
              <w:t>采购方式：</w:t>
            </w:r>
          </w:p>
        </w:tc>
        <w:tc>
          <w:tcPr>
            <w:tcW w:w="5220" w:type="dxa"/>
            <w:shd w:val="clear" w:color="auto" w:fill="auto"/>
            <w:vAlign w:val="center"/>
          </w:tcPr>
          <w:p w14:paraId="43849FC3">
            <w:pPr>
              <w:widowControl/>
              <w:jc w:val="left"/>
              <w:rPr>
                <w:sz w:val="30"/>
                <w:szCs w:val="30"/>
              </w:rPr>
            </w:pPr>
            <w:r>
              <w:rPr>
                <w:rFonts w:ascii="宋体" w:hAnsi="宋体" w:cs="宋体"/>
                <w:kern w:val="0"/>
                <w:sz w:val="30"/>
                <w:szCs w:val="30"/>
                <w:lang w:bidi="ar"/>
              </w:rPr>
              <w:t>公开招标</w:t>
            </w:r>
          </w:p>
        </w:tc>
      </w:tr>
      <w:tr w14:paraId="6052F2B8">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40671F9C">
            <w:pPr>
              <w:widowControl/>
              <w:jc w:val="right"/>
              <w:rPr>
                <w:sz w:val="30"/>
                <w:szCs w:val="30"/>
              </w:rPr>
            </w:pPr>
            <w:r>
              <w:rPr>
                <w:rFonts w:ascii="宋体" w:hAnsi="宋体" w:cs="宋体"/>
                <w:kern w:val="0"/>
                <w:sz w:val="30"/>
                <w:szCs w:val="30"/>
                <w:lang w:bidi="ar"/>
              </w:rPr>
              <w:t>货币类型：</w:t>
            </w:r>
          </w:p>
        </w:tc>
        <w:tc>
          <w:tcPr>
            <w:tcW w:w="5220" w:type="dxa"/>
            <w:shd w:val="clear" w:color="auto" w:fill="auto"/>
            <w:vAlign w:val="center"/>
          </w:tcPr>
          <w:p w14:paraId="31457E11">
            <w:pPr>
              <w:widowControl/>
              <w:jc w:val="left"/>
              <w:rPr>
                <w:sz w:val="30"/>
                <w:szCs w:val="30"/>
              </w:rPr>
            </w:pPr>
            <w:r>
              <w:rPr>
                <w:rFonts w:ascii="宋体" w:hAnsi="宋体" w:cs="宋体"/>
                <w:kern w:val="0"/>
                <w:sz w:val="30"/>
                <w:szCs w:val="30"/>
                <w:lang w:bidi="ar"/>
              </w:rPr>
              <w:t>人民币</w:t>
            </w:r>
          </w:p>
        </w:tc>
      </w:tr>
      <w:tr w14:paraId="6FFA2B27">
        <w:tblPrEx>
          <w:tblCellMar>
            <w:top w:w="45" w:type="dxa"/>
            <w:left w:w="45" w:type="dxa"/>
            <w:bottom w:w="45" w:type="dxa"/>
            <w:right w:w="45" w:type="dxa"/>
          </w:tblCellMar>
        </w:tblPrEx>
        <w:trPr>
          <w:trHeight w:val="738" w:hRule="atLeast"/>
          <w:tblCellSpacing w:w="0" w:type="dxa"/>
          <w:jc w:val="center"/>
        </w:trPr>
        <w:tc>
          <w:tcPr>
            <w:tcW w:w="2723" w:type="dxa"/>
            <w:shd w:val="clear" w:color="auto" w:fill="auto"/>
            <w:vAlign w:val="center"/>
          </w:tcPr>
          <w:p w14:paraId="25ACFCEE">
            <w:pPr>
              <w:widowControl/>
              <w:jc w:val="right"/>
              <w:rPr>
                <w:sz w:val="30"/>
                <w:szCs w:val="30"/>
              </w:rPr>
            </w:pPr>
            <w:r>
              <w:rPr>
                <w:rFonts w:ascii="宋体" w:hAnsi="宋体" w:cs="宋体"/>
                <w:kern w:val="0"/>
                <w:sz w:val="30"/>
                <w:szCs w:val="30"/>
                <w:lang w:bidi="ar"/>
              </w:rPr>
              <w:t>评标方法：</w:t>
            </w:r>
          </w:p>
        </w:tc>
        <w:tc>
          <w:tcPr>
            <w:tcW w:w="5220" w:type="dxa"/>
            <w:shd w:val="clear" w:color="auto" w:fill="auto"/>
            <w:vAlign w:val="center"/>
          </w:tcPr>
          <w:p w14:paraId="0C892884">
            <w:pPr>
              <w:widowControl/>
              <w:jc w:val="left"/>
              <w:rPr>
                <w:sz w:val="30"/>
                <w:szCs w:val="30"/>
              </w:rPr>
            </w:pPr>
            <w:r>
              <w:rPr>
                <w:rFonts w:ascii="宋体" w:hAnsi="宋体" w:cs="宋体"/>
                <w:kern w:val="0"/>
                <w:sz w:val="30"/>
                <w:szCs w:val="30"/>
                <w:lang w:bidi="ar"/>
              </w:rPr>
              <w:t>综合评分法</w:t>
            </w:r>
          </w:p>
        </w:tc>
      </w:tr>
    </w:tbl>
    <w:p w14:paraId="3F509632">
      <w:pPr>
        <w:pStyle w:val="38"/>
        <w:jc w:val="center"/>
        <w:outlineLvl w:val="1"/>
        <w:rPr>
          <w:rFonts w:hint="eastAsia" w:ascii="黑体" w:hAnsi="黑体" w:eastAsia="黑体"/>
          <w:sz w:val="40"/>
          <w:szCs w:val="40"/>
        </w:rPr>
        <w:sectPr>
          <w:headerReference r:id="rId3" w:type="first"/>
          <w:footerReference r:id="rId4" w:type="default"/>
          <w:footerReference r:id="rId5" w:type="even"/>
          <w:pgSz w:w="11907" w:h="16840"/>
          <w:pgMar w:top="1440" w:right="1417" w:bottom="1440" w:left="1417" w:header="851" w:footer="992" w:gutter="0"/>
          <w:cols w:space="425" w:num="1"/>
          <w:titlePg/>
          <w:docGrid w:linePitch="462" w:charSpace="0"/>
        </w:sectPr>
      </w:pPr>
    </w:p>
    <w:p w14:paraId="1AE3FC9E">
      <w:pPr>
        <w:pStyle w:val="38"/>
        <w:jc w:val="center"/>
        <w:outlineLvl w:val="1"/>
        <w:rPr>
          <w:rFonts w:ascii="黑体" w:hAnsi="黑体" w:eastAsia="黑体"/>
          <w:sz w:val="40"/>
          <w:szCs w:val="40"/>
        </w:rPr>
      </w:pPr>
      <w:r>
        <w:rPr>
          <w:rFonts w:hint="eastAsia" w:ascii="黑体" w:hAnsi="黑体" w:eastAsia="黑体"/>
          <w:sz w:val="40"/>
          <w:szCs w:val="40"/>
        </w:rPr>
        <w:t>资格性审查表</w:t>
      </w:r>
    </w:p>
    <w:tbl>
      <w:tblPr>
        <w:tblStyle w:val="43"/>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49FC7D8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DD36A07">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09C4F5A5">
            <w:pPr>
              <w:jc w:val="center"/>
              <w:rPr>
                <w:rFonts w:ascii="宋体" w:hAnsi="宋体" w:cs="宋体"/>
                <w:sz w:val="28"/>
                <w:szCs w:val="28"/>
              </w:rPr>
            </w:pPr>
            <w:r>
              <w:rPr>
                <w:sz w:val="28"/>
                <w:szCs w:val="28"/>
              </w:rPr>
              <w:t>内容</w:t>
            </w:r>
          </w:p>
        </w:tc>
      </w:tr>
      <w:tr w14:paraId="1B48F4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9299611">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14:paraId="5993A8AA">
            <w:pPr>
              <w:rPr>
                <w:rFonts w:ascii="宋体" w:hAnsi="宋体" w:cs="宋体"/>
                <w:szCs w:val="21"/>
              </w:rPr>
            </w:pPr>
            <w:r>
              <w:rPr>
                <w:rFonts w:ascii="宋体" w:hAnsi="宋体" w:cs="宋体"/>
                <w:kern w:val="0"/>
                <w:szCs w:val="21"/>
                <w:lang w:bidi="ar"/>
              </w:rPr>
              <w:t>投标人不</w:t>
            </w:r>
            <w:r>
              <w:rPr>
                <w:rFonts w:hint="eastAsia" w:ascii="宋体" w:hAnsi="宋体" w:cs="宋体"/>
                <w:kern w:val="0"/>
                <w:szCs w:val="21"/>
                <w:lang w:bidi="ar"/>
              </w:rPr>
              <w:t>符合</w:t>
            </w:r>
            <w:r>
              <w:rPr>
                <w:rFonts w:ascii="宋体" w:hAnsi="宋体" w:cs="宋体"/>
                <w:kern w:val="0"/>
                <w:szCs w:val="21"/>
                <w:lang w:bidi="ar"/>
              </w:rPr>
              <w:t>资格要求，或未提交相应的资格证明资料（详见招标公告</w:t>
            </w:r>
            <w:r>
              <w:rPr>
                <w:rFonts w:hint="eastAsia" w:ascii="宋体" w:hAnsi="宋体"/>
                <w:szCs w:val="21"/>
              </w:rPr>
              <w:t>投标人资格要求，即申请人的资格要求</w:t>
            </w:r>
            <w:r>
              <w:rPr>
                <w:rFonts w:ascii="宋体" w:hAnsi="宋体" w:cs="宋体"/>
                <w:kern w:val="0"/>
                <w:szCs w:val="21"/>
                <w:lang w:bidi="ar"/>
              </w:rPr>
              <w:t>）</w:t>
            </w:r>
          </w:p>
        </w:tc>
      </w:tr>
    </w:tbl>
    <w:p w14:paraId="132F8D8F">
      <w:pPr>
        <w:pStyle w:val="38"/>
        <w:spacing w:before="280"/>
        <w:jc w:val="center"/>
        <w:outlineLvl w:val="1"/>
        <w:rPr>
          <w:rFonts w:ascii="黑体" w:hAnsi="黑体" w:eastAsia="黑体"/>
          <w:sz w:val="40"/>
          <w:szCs w:val="40"/>
        </w:rPr>
      </w:pPr>
      <w:r>
        <w:rPr>
          <w:rFonts w:hint="eastAsia" w:ascii="黑体" w:hAnsi="黑体" w:eastAsia="黑体"/>
          <w:sz w:val="40"/>
          <w:szCs w:val="40"/>
        </w:rPr>
        <w:t>符合性审查表</w:t>
      </w:r>
    </w:p>
    <w:tbl>
      <w:tblPr>
        <w:tblStyle w:val="43"/>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794"/>
        <w:gridCol w:w="8278"/>
      </w:tblGrid>
      <w:tr w14:paraId="6824C17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4F3E1449">
            <w:pPr>
              <w:jc w:val="center"/>
              <w:rPr>
                <w:rFonts w:ascii="宋体" w:hAnsi="宋体" w:cs="宋体"/>
                <w:sz w:val="28"/>
                <w:szCs w:val="28"/>
              </w:rPr>
            </w:pPr>
            <w:r>
              <w:rPr>
                <w:sz w:val="28"/>
                <w:szCs w:val="28"/>
              </w:rPr>
              <w:t>序号</w:t>
            </w:r>
          </w:p>
        </w:tc>
        <w:tc>
          <w:tcPr>
            <w:tcW w:w="8278"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3423DA00">
            <w:pPr>
              <w:jc w:val="center"/>
              <w:rPr>
                <w:rFonts w:ascii="宋体" w:hAnsi="宋体" w:cs="宋体"/>
                <w:sz w:val="28"/>
                <w:szCs w:val="28"/>
              </w:rPr>
            </w:pPr>
            <w:r>
              <w:rPr>
                <w:sz w:val="28"/>
                <w:szCs w:val="28"/>
              </w:rPr>
              <w:t>内容</w:t>
            </w:r>
          </w:p>
        </w:tc>
      </w:tr>
      <w:tr w14:paraId="7CA7F6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EBE23CE">
            <w:pPr>
              <w:jc w:val="center"/>
              <w:rPr>
                <w:rFonts w:ascii="宋体" w:hAnsi="宋体" w:cs="宋体"/>
                <w:szCs w:val="21"/>
              </w:rPr>
            </w:pPr>
            <w:r>
              <w:rPr>
                <w:szCs w:val="21"/>
              </w:rPr>
              <w:t>1</w:t>
            </w:r>
          </w:p>
        </w:tc>
        <w:tc>
          <w:tcPr>
            <w:tcW w:w="8278" w:type="dxa"/>
            <w:tcBorders>
              <w:top w:val="single" w:color="000000" w:sz="8" w:space="0"/>
              <w:left w:val="single" w:color="000000" w:sz="8" w:space="0"/>
              <w:bottom w:val="single" w:color="000000" w:sz="8" w:space="0"/>
              <w:right w:val="single" w:color="000000" w:sz="8" w:space="0"/>
            </w:tcBorders>
          </w:tcPr>
          <w:p w14:paraId="547E3A13">
            <w:pPr>
              <w:rPr>
                <w:rFonts w:ascii="宋体" w:hAnsi="宋体" w:cs="宋体"/>
                <w:szCs w:val="21"/>
              </w:rPr>
            </w:pPr>
            <w:r>
              <w:rPr>
                <w:rFonts w:hint="eastAsia"/>
                <w:lang w:val="en-US" w:eastAsia="zh-CN"/>
              </w:rPr>
              <w:t>不得</w:t>
            </w:r>
            <w:r>
              <w:rPr>
                <w:rFonts w:hint="eastAsia"/>
              </w:rPr>
              <w:t>将一个包的内容拆开投标；</w:t>
            </w:r>
          </w:p>
        </w:tc>
      </w:tr>
      <w:tr w14:paraId="691B460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3D3ACD02">
            <w:pPr>
              <w:jc w:val="center"/>
              <w:rPr>
                <w:rFonts w:ascii="宋体" w:hAnsi="宋体" w:cs="宋体"/>
                <w:szCs w:val="21"/>
              </w:rPr>
            </w:pPr>
            <w:r>
              <w:rPr>
                <w:szCs w:val="21"/>
              </w:rPr>
              <w:t>2</w:t>
            </w:r>
          </w:p>
        </w:tc>
        <w:tc>
          <w:tcPr>
            <w:tcW w:w="8278" w:type="dxa"/>
            <w:tcBorders>
              <w:top w:val="single" w:color="000000" w:sz="8" w:space="0"/>
              <w:left w:val="single" w:color="000000" w:sz="8" w:space="0"/>
              <w:bottom w:val="single" w:color="000000" w:sz="8" w:space="0"/>
              <w:right w:val="single" w:color="000000" w:sz="8" w:space="0"/>
            </w:tcBorders>
          </w:tcPr>
          <w:p w14:paraId="6F03722A">
            <w:pPr>
              <w:rPr>
                <w:rFonts w:ascii="宋体" w:hAnsi="宋体" w:cs="宋体"/>
                <w:szCs w:val="21"/>
              </w:rPr>
            </w:pPr>
            <w:r>
              <w:rPr>
                <w:rFonts w:hint="eastAsia"/>
              </w:rPr>
              <w:t>对同一项目投标时，</w:t>
            </w:r>
            <w:r>
              <w:rPr>
                <w:rFonts w:hint="eastAsia"/>
                <w:lang w:val="en-US" w:eastAsia="zh-CN"/>
              </w:rPr>
              <w:t>不得</w:t>
            </w:r>
            <w:r>
              <w:rPr>
                <w:rFonts w:hint="eastAsia"/>
              </w:rPr>
              <w:t>提供两套以上的投标方案（招标文件另有规定的除外）；</w:t>
            </w:r>
          </w:p>
        </w:tc>
      </w:tr>
      <w:tr w14:paraId="51A5624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F85BF89">
            <w:pPr>
              <w:jc w:val="center"/>
              <w:rPr>
                <w:rFonts w:ascii="宋体" w:hAnsi="宋体" w:cs="宋体"/>
                <w:szCs w:val="21"/>
              </w:rPr>
            </w:pPr>
            <w:r>
              <w:rPr>
                <w:szCs w:val="21"/>
              </w:rPr>
              <w:t>3</w:t>
            </w:r>
          </w:p>
        </w:tc>
        <w:tc>
          <w:tcPr>
            <w:tcW w:w="8278" w:type="dxa"/>
            <w:tcBorders>
              <w:top w:val="single" w:color="000000" w:sz="8" w:space="0"/>
              <w:left w:val="single" w:color="000000" w:sz="8" w:space="0"/>
              <w:bottom w:val="single" w:color="000000" w:sz="8" w:space="0"/>
              <w:right w:val="single" w:color="000000" w:sz="8" w:space="0"/>
            </w:tcBorders>
          </w:tcPr>
          <w:p w14:paraId="49617743">
            <w:pPr>
              <w:rPr>
                <w:rFonts w:ascii="宋体" w:hAnsi="宋体" w:cs="宋体"/>
                <w:szCs w:val="21"/>
              </w:rPr>
            </w:pPr>
            <w:r>
              <w:rPr>
                <w:rFonts w:hint="eastAsia"/>
              </w:rPr>
              <w:t>分项报价或投标总价</w:t>
            </w:r>
            <w:r>
              <w:rPr>
                <w:rFonts w:hint="eastAsia"/>
                <w:lang w:val="en-US" w:eastAsia="zh-CN"/>
              </w:rPr>
              <w:t>不得</w:t>
            </w:r>
            <w:r>
              <w:rPr>
                <w:rFonts w:hint="eastAsia"/>
              </w:rPr>
              <w:t>高于相应预算金额（或设定的预算金额下的最高限价）；</w:t>
            </w:r>
          </w:p>
        </w:tc>
      </w:tr>
      <w:tr w14:paraId="66E327E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87EAF98">
            <w:pPr>
              <w:jc w:val="center"/>
              <w:rPr>
                <w:rFonts w:ascii="宋体" w:hAnsi="宋体" w:cs="宋体"/>
                <w:szCs w:val="21"/>
              </w:rPr>
            </w:pPr>
            <w:r>
              <w:rPr>
                <w:szCs w:val="21"/>
              </w:rPr>
              <w:t>4</w:t>
            </w:r>
          </w:p>
        </w:tc>
        <w:tc>
          <w:tcPr>
            <w:tcW w:w="8278" w:type="dxa"/>
            <w:tcBorders>
              <w:top w:val="single" w:color="000000" w:sz="8" w:space="0"/>
              <w:left w:val="single" w:color="000000" w:sz="8" w:space="0"/>
              <w:bottom w:val="single" w:color="000000" w:sz="8" w:space="0"/>
              <w:right w:val="single" w:color="000000" w:sz="8" w:space="0"/>
            </w:tcBorders>
          </w:tcPr>
          <w:p w14:paraId="544C61AC">
            <w:pPr>
              <w:rPr>
                <w:rFonts w:ascii="宋体" w:hAnsi="宋体" w:cs="宋体"/>
                <w:szCs w:val="21"/>
              </w:rPr>
            </w:pPr>
            <w:r>
              <w:rPr>
                <w:rFonts w:hint="eastAsia"/>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14:paraId="3775BD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5F751C6B">
            <w:pPr>
              <w:jc w:val="center"/>
              <w:rPr>
                <w:rFonts w:ascii="宋体" w:hAnsi="宋体" w:cs="宋体"/>
                <w:szCs w:val="21"/>
              </w:rPr>
            </w:pPr>
            <w:r>
              <w:rPr>
                <w:szCs w:val="21"/>
              </w:rPr>
              <w:t>5</w:t>
            </w:r>
          </w:p>
        </w:tc>
        <w:tc>
          <w:tcPr>
            <w:tcW w:w="8278" w:type="dxa"/>
            <w:tcBorders>
              <w:top w:val="single" w:color="000000" w:sz="8" w:space="0"/>
              <w:left w:val="single" w:color="000000" w:sz="8" w:space="0"/>
              <w:bottom w:val="single" w:color="000000" w:sz="8" w:space="0"/>
              <w:right w:val="single" w:color="000000" w:sz="8" w:space="0"/>
            </w:tcBorders>
          </w:tcPr>
          <w:p w14:paraId="07142562">
            <w:pPr>
              <w:rPr>
                <w:rFonts w:ascii="宋体" w:hAnsi="宋体" w:cs="宋体"/>
                <w:szCs w:val="21"/>
              </w:rPr>
            </w:pPr>
            <w:r>
              <w:rPr>
                <w:rFonts w:hint="eastAsia"/>
              </w:rPr>
              <w:t>所投货物、服务在技术、商务等方面没有实质性满足招标文件要求的（是否实质性满足招标文件要求，由评审委员会根据实质性条款响应情况做出评判；若招标文件未设置实质性条款，不得据此做投标无效处理）；</w:t>
            </w:r>
          </w:p>
        </w:tc>
      </w:tr>
      <w:tr w14:paraId="027394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28E28DA3">
            <w:pPr>
              <w:jc w:val="center"/>
              <w:rPr>
                <w:rFonts w:ascii="宋体" w:hAnsi="宋体" w:cs="宋体"/>
                <w:szCs w:val="21"/>
              </w:rPr>
            </w:pPr>
            <w:r>
              <w:rPr>
                <w:szCs w:val="21"/>
              </w:rPr>
              <w:t>6</w:t>
            </w:r>
          </w:p>
        </w:tc>
        <w:tc>
          <w:tcPr>
            <w:tcW w:w="8278" w:type="dxa"/>
            <w:tcBorders>
              <w:top w:val="single" w:color="000000" w:sz="8" w:space="0"/>
              <w:left w:val="single" w:color="000000" w:sz="8" w:space="0"/>
              <w:bottom w:val="single" w:color="000000" w:sz="8" w:space="0"/>
              <w:right w:val="single" w:color="000000" w:sz="8" w:space="0"/>
            </w:tcBorders>
          </w:tcPr>
          <w:p w14:paraId="21DF6764">
            <w:pPr>
              <w:rPr>
                <w:rFonts w:ascii="宋体" w:hAnsi="宋体" w:cs="宋体"/>
                <w:szCs w:val="21"/>
              </w:rPr>
            </w:pPr>
            <w:r>
              <w:rPr>
                <w:rFonts w:hint="eastAsia"/>
              </w:rPr>
              <w:t>未按招标文件所提供的样式填写《投标函》；未按招标文件所提供的《政府采购投标及履约承诺函》进行承诺；未按招标文件对投标文件组成的要求提供投标文件；</w:t>
            </w:r>
          </w:p>
        </w:tc>
      </w:tr>
      <w:tr w14:paraId="7C06024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6FB39262">
            <w:pPr>
              <w:jc w:val="center"/>
              <w:rPr>
                <w:rFonts w:ascii="宋体" w:hAnsi="宋体" w:cs="宋体"/>
                <w:szCs w:val="21"/>
              </w:rPr>
            </w:pPr>
            <w:r>
              <w:rPr>
                <w:szCs w:val="21"/>
              </w:rPr>
              <w:t>7</w:t>
            </w:r>
          </w:p>
        </w:tc>
        <w:tc>
          <w:tcPr>
            <w:tcW w:w="8278" w:type="dxa"/>
            <w:tcBorders>
              <w:top w:val="single" w:color="000000" w:sz="8" w:space="0"/>
              <w:left w:val="single" w:color="000000" w:sz="8" w:space="0"/>
              <w:bottom w:val="single" w:color="000000" w:sz="8" w:space="0"/>
              <w:right w:val="single" w:color="000000" w:sz="8" w:space="0"/>
            </w:tcBorders>
          </w:tcPr>
          <w:p w14:paraId="53B200F7">
            <w:pPr>
              <w:rPr>
                <w:rFonts w:ascii="宋体" w:hAnsi="宋体" w:cs="宋体"/>
                <w:szCs w:val="21"/>
              </w:rPr>
            </w:pPr>
            <w:r>
              <w:rPr>
                <w:rFonts w:hint="eastAsia"/>
                <w:color w:val="auto"/>
                <w:lang w:val="en-US" w:eastAsia="zh-CN"/>
              </w:rPr>
              <w:t>采购标的/服务</w:t>
            </w:r>
            <w:r>
              <w:rPr>
                <w:rFonts w:hint="eastAsia" w:ascii="Times New Roman" w:eastAsia="宋体"/>
                <w:color w:val="auto"/>
                <w:lang w:val="en-US" w:eastAsia="zh-CN"/>
              </w:rPr>
              <w:t>清单</w:t>
            </w:r>
            <w:r>
              <w:rPr>
                <w:rFonts w:hint="eastAsia"/>
                <w:color w:val="auto"/>
                <w:lang w:val="en-US" w:eastAsia="zh-CN"/>
              </w:rPr>
              <w:t>/报价等任意一类</w:t>
            </w:r>
            <w:r>
              <w:rPr>
                <w:rFonts w:hint="eastAsia" w:ascii="Times New Roman" w:eastAsia="宋体"/>
                <w:color w:val="auto"/>
                <w:lang w:val="en-US" w:eastAsia="zh-CN"/>
              </w:rPr>
              <w:t>有缺漏项或响应不全</w:t>
            </w:r>
            <w:r>
              <w:rPr>
                <w:rFonts w:hint="eastAsia"/>
                <w:color w:val="auto"/>
                <w:lang w:val="en-US" w:eastAsia="zh-CN"/>
              </w:rPr>
              <w:t>，</w:t>
            </w:r>
            <w:r>
              <w:rPr>
                <w:rFonts w:hint="eastAsia"/>
                <w:color w:val="auto"/>
              </w:rPr>
              <w:t>或者对招标文件规定的项目需求内容或者需求数量进行修改</w:t>
            </w:r>
            <w:r>
              <w:rPr>
                <w:rFonts w:hint="eastAsia"/>
                <w:color w:val="auto"/>
                <w:szCs w:val="21"/>
              </w:rPr>
              <w:t>，评审委员会判定投标响应不满足采购需求</w:t>
            </w:r>
            <w:r>
              <w:rPr>
                <w:rFonts w:hint="eastAsia"/>
                <w:color w:val="auto"/>
              </w:rPr>
              <w:t>；</w:t>
            </w:r>
          </w:p>
        </w:tc>
      </w:tr>
      <w:tr w14:paraId="0EC857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4DF81961">
            <w:pPr>
              <w:jc w:val="center"/>
              <w:rPr>
                <w:rFonts w:hint="eastAsia" w:ascii="宋体" w:hAnsi="宋体" w:eastAsia="宋体" w:cs="宋体"/>
                <w:szCs w:val="21"/>
                <w:lang w:eastAsia="zh-CN"/>
              </w:rPr>
            </w:pPr>
            <w:r>
              <w:rPr>
                <w:rFonts w:hint="eastAsia"/>
                <w:szCs w:val="21"/>
                <w:lang w:val="en-US" w:eastAsia="zh-CN"/>
              </w:rPr>
              <w:t>8</w:t>
            </w:r>
          </w:p>
        </w:tc>
        <w:tc>
          <w:tcPr>
            <w:tcW w:w="8278" w:type="dxa"/>
            <w:tcBorders>
              <w:top w:val="single" w:color="000000" w:sz="8" w:space="0"/>
              <w:left w:val="single" w:color="000000" w:sz="8" w:space="0"/>
              <w:bottom w:val="single" w:color="000000" w:sz="8" w:space="0"/>
              <w:right w:val="single" w:color="000000" w:sz="8" w:space="0"/>
            </w:tcBorders>
          </w:tcPr>
          <w:p w14:paraId="5BFA23A5">
            <w:pPr>
              <w:rPr>
                <w:rFonts w:ascii="宋体" w:hAnsi="宋体" w:cs="宋体"/>
                <w:szCs w:val="21"/>
              </w:rPr>
            </w:pPr>
            <w:r>
              <w:rPr>
                <w:rFonts w:hint="eastAsia"/>
              </w:rPr>
              <w:t>投标文件电子文档</w:t>
            </w:r>
            <w:r>
              <w:rPr>
                <w:rFonts w:hint="eastAsia"/>
                <w:lang w:val="en-US" w:eastAsia="zh-CN"/>
              </w:rPr>
              <w:t>不得</w:t>
            </w:r>
            <w:r>
              <w:rPr>
                <w:rFonts w:hint="eastAsia"/>
              </w:rPr>
              <w:t>带病毒；</w:t>
            </w:r>
          </w:p>
        </w:tc>
      </w:tr>
      <w:tr w14:paraId="2A200C9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2950C760">
            <w:pPr>
              <w:jc w:val="center"/>
              <w:rPr>
                <w:rFonts w:hint="eastAsia" w:ascii="宋体" w:hAnsi="宋体" w:eastAsia="宋体" w:cs="宋体"/>
                <w:szCs w:val="21"/>
                <w:lang w:eastAsia="zh-CN"/>
              </w:rPr>
            </w:pPr>
            <w:r>
              <w:rPr>
                <w:rFonts w:hint="eastAsia"/>
                <w:szCs w:val="21"/>
                <w:lang w:val="en-US" w:eastAsia="zh-CN"/>
              </w:rPr>
              <w:t>9</w:t>
            </w:r>
          </w:p>
        </w:tc>
        <w:tc>
          <w:tcPr>
            <w:tcW w:w="8278" w:type="dxa"/>
            <w:tcBorders>
              <w:top w:val="single" w:color="000000" w:sz="8" w:space="0"/>
              <w:left w:val="single" w:color="000000" w:sz="8" w:space="0"/>
              <w:bottom w:val="single" w:color="000000" w:sz="8" w:space="0"/>
              <w:right w:val="single" w:color="000000" w:sz="8" w:space="0"/>
            </w:tcBorders>
          </w:tcPr>
          <w:p w14:paraId="3EACA8A7">
            <w:pPr>
              <w:rPr>
                <w:rFonts w:ascii="宋体" w:hAnsi="宋体" w:cs="宋体"/>
                <w:szCs w:val="21"/>
              </w:rPr>
            </w:pPr>
            <w:r>
              <w:rPr>
                <w:rFonts w:hint="eastAsia"/>
              </w:rPr>
              <w:t>投标文件用不属于本公司的电子密钥或电子营业执照进行加密的；</w:t>
            </w:r>
          </w:p>
        </w:tc>
      </w:tr>
      <w:tr w14:paraId="7C393C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794" w:type="dxa"/>
            <w:tcBorders>
              <w:top w:val="single" w:color="000000" w:sz="8" w:space="0"/>
              <w:left w:val="single" w:color="000000" w:sz="8" w:space="0"/>
              <w:bottom w:val="single" w:color="000000" w:sz="8" w:space="0"/>
              <w:right w:val="single" w:color="000000" w:sz="8" w:space="0"/>
            </w:tcBorders>
          </w:tcPr>
          <w:p w14:paraId="04564ECF">
            <w:pPr>
              <w:jc w:val="center"/>
              <w:rPr>
                <w:rFonts w:hint="eastAsia" w:ascii="宋体" w:hAnsi="宋体" w:eastAsia="宋体" w:cs="宋体"/>
                <w:szCs w:val="21"/>
                <w:lang w:eastAsia="zh-CN"/>
              </w:rPr>
            </w:pPr>
            <w:r>
              <w:rPr>
                <w:szCs w:val="21"/>
              </w:rPr>
              <w:t>1</w:t>
            </w:r>
            <w:r>
              <w:rPr>
                <w:rFonts w:hint="eastAsia"/>
                <w:szCs w:val="21"/>
                <w:lang w:val="en-US" w:eastAsia="zh-CN"/>
              </w:rPr>
              <w:t>0</w:t>
            </w:r>
          </w:p>
        </w:tc>
        <w:tc>
          <w:tcPr>
            <w:tcW w:w="8278" w:type="dxa"/>
            <w:tcBorders>
              <w:top w:val="single" w:color="000000" w:sz="8" w:space="0"/>
              <w:left w:val="single" w:color="000000" w:sz="8" w:space="0"/>
              <w:bottom w:val="single" w:color="000000" w:sz="8" w:space="0"/>
              <w:right w:val="single" w:color="000000" w:sz="8" w:space="0"/>
            </w:tcBorders>
          </w:tcPr>
          <w:p w14:paraId="5545EB4A">
            <w:pPr>
              <w:rPr>
                <w:rFonts w:ascii="宋体" w:hAnsi="宋体" w:cs="宋体"/>
                <w:szCs w:val="21"/>
              </w:rPr>
            </w:pPr>
            <w:r>
              <w:rPr>
                <w:rFonts w:hint="eastAsia"/>
              </w:rPr>
              <w:t>法律、法规、规章、规范性文件规定的其他情形。</w:t>
            </w:r>
          </w:p>
        </w:tc>
      </w:tr>
    </w:tbl>
    <w:p w14:paraId="51F9F7ED">
      <w:pPr>
        <w:pStyle w:val="38"/>
        <w:jc w:val="center"/>
        <w:outlineLvl w:val="1"/>
        <w:rPr>
          <w:rFonts w:hint="eastAsia" w:ascii="黑体" w:hAnsi="黑体" w:eastAsia="黑体"/>
          <w:sz w:val="40"/>
          <w:szCs w:val="40"/>
        </w:rPr>
        <w:sectPr>
          <w:pgSz w:w="11907" w:h="16840"/>
          <w:pgMar w:top="1440" w:right="1417" w:bottom="1440" w:left="1417" w:header="851" w:footer="992" w:gutter="0"/>
          <w:cols w:space="425" w:num="1"/>
          <w:titlePg/>
          <w:docGrid w:linePitch="462" w:charSpace="0"/>
        </w:sectPr>
      </w:pPr>
    </w:p>
    <w:p w14:paraId="51D6595F">
      <w:pPr>
        <w:pStyle w:val="38"/>
        <w:jc w:val="center"/>
        <w:outlineLvl w:val="1"/>
        <w:rPr>
          <w:rFonts w:ascii="黑体" w:hAnsi="黑体" w:eastAsia="黑体"/>
          <w:sz w:val="40"/>
          <w:szCs w:val="40"/>
        </w:rPr>
      </w:pPr>
      <w:r>
        <w:rPr>
          <w:rFonts w:hint="eastAsia" w:ascii="黑体" w:hAnsi="黑体" w:eastAsia="黑体"/>
          <w:sz w:val="40"/>
          <w:szCs w:val="40"/>
        </w:rPr>
        <w:t>评标信息</w:t>
      </w:r>
    </w:p>
    <w:tbl>
      <w:tblPr>
        <w:tblStyle w:val="43"/>
        <w:tblW w:w="9113" w:type="dxa"/>
        <w:jc w:val="center"/>
        <w:tblCellSpacing w:w="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45" w:type="dxa"/>
          <w:left w:w="45" w:type="dxa"/>
          <w:bottom w:w="45" w:type="dxa"/>
          <w:right w:w="45" w:type="dxa"/>
        </w:tblCellMar>
      </w:tblPr>
      <w:tblGrid>
        <w:gridCol w:w="8873"/>
        <w:gridCol w:w="240"/>
      </w:tblGrid>
      <w:tr w14:paraId="5A552B7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Ex>
        <w:trPr>
          <w:tblCellSpacing w:w="0" w:type="dxa"/>
          <w:jc w:val="center"/>
        </w:trPr>
        <w:tc>
          <w:tcPr>
            <w:tcW w:w="8873" w:type="dxa"/>
            <w:shd w:val="clear" w:color="auto" w:fill="auto"/>
            <w:vAlign w:val="center"/>
          </w:tcPr>
          <w:p w14:paraId="1DB7378C">
            <w:pPr>
              <w:widowControl/>
              <w:jc w:val="left"/>
              <w:rPr>
                <w:b/>
                <w:bCs/>
                <w:sz w:val="24"/>
              </w:rPr>
            </w:pPr>
            <w:r>
              <w:rPr>
                <w:b/>
                <w:bCs/>
              </w:rPr>
              <w:t>评标方法：</w:t>
            </w:r>
            <w:r>
              <w:rPr>
                <w:b/>
                <w:bCs/>
                <w:strike w:val="0"/>
                <w:dstrike w:val="0"/>
              </w:rPr>
              <w:t>综合评分法</w:t>
            </w:r>
          </w:p>
        </w:tc>
        <w:tc>
          <w:tcPr>
            <w:tcW w:w="240" w:type="dxa"/>
            <w:shd w:val="clear" w:color="auto" w:fill="auto"/>
            <w:vAlign w:val="center"/>
          </w:tcPr>
          <w:p w14:paraId="261C65E3">
            <w:pPr>
              <w:jc w:val="right"/>
              <w:rPr>
                <w:rFonts w:ascii="宋体"/>
                <w:b/>
                <w:bCs/>
                <w:sz w:val="24"/>
              </w:rPr>
            </w:pPr>
          </w:p>
        </w:tc>
      </w:tr>
      <w:tr w14:paraId="6CBF726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45" w:type="dxa"/>
            <w:left w:w="45" w:type="dxa"/>
            <w:bottom w:w="45" w:type="dxa"/>
            <w:right w:w="45" w:type="dxa"/>
          </w:tblCellMar>
        </w:tblPrEx>
        <w:trPr>
          <w:tblCellSpacing w:w="0" w:type="dxa"/>
          <w:jc w:val="center"/>
        </w:trPr>
        <w:tc>
          <w:tcPr>
            <w:tcW w:w="9113" w:type="dxa"/>
            <w:gridSpan w:val="2"/>
            <w:shd w:val="clear" w:color="auto" w:fill="auto"/>
            <w:vAlign w:val="center"/>
          </w:tcPr>
          <w:p w14:paraId="3D8A7CFB">
            <w:pPr>
              <w:keepNext w:val="0"/>
              <w:keepLines w:val="0"/>
              <w:pageBreakBefore w:val="0"/>
              <w:kinsoku/>
              <w:wordWrap/>
              <w:overflowPunct/>
              <w:topLinePunct w:val="0"/>
              <w:autoSpaceDE/>
              <w:autoSpaceDN/>
              <w:bidi w:val="0"/>
              <w:adjustRightInd/>
              <w:snapToGrid/>
              <w:spacing w:beforeAutospacing="0" w:afterAutospacing="0" w:line="240" w:lineRule="auto"/>
              <w:ind w:firstLine="420" w:firstLineChars="200"/>
              <w:textAlignment w:val="auto"/>
              <w:rPr>
                <w:rFonts w:hint="eastAsia" w:eastAsia="宋体"/>
                <w:sz w:val="21"/>
                <w:szCs w:val="21"/>
                <w:lang w:eastAsia="zh-CN"/>
              </w:rPr>
            </w:pPr>
            <w:r>
              <w:rPr>
                <w:sz w:val="21"/>
                <w:szCs w:val="21"/>
              </w:rPr>
              <w:t>综合评分法，是指</w:t>
            </w:r>
            <w:r>
              <w:rPr>
                <w:rFonts w:hint="eastAsia" w:ascii="Times New Roman" w:hAnsi="Times New Roman" w:eastAsia="宋体" w:cs="Times New Roman"/>
                <w:kern w:val="0"/>
                <w:sz w:val="21"/>
                <w:szCs w:val="21"/>
                <w:lang w:val="en-US" w:eastAsia="zh-CN" w:bidi="ar-SA"/>
              </w:rPr>
              <w:t>投标文件满足招标文件全部实质性要求</w:t>
            </w:r>
            <w:r>
              <w:rPr>
                <w:sz w:val="21"/>
                <w:szCs w:val="21"/>
              </w:rPr>
              <w:t>，且按照</w:t>
            </w:r>
            <w:r>
              <w:rPr>
                <w:rFonts w:hint="eastAsia" w:ascii="Times New Roman" w:eastAsia="宋体"/>
                <w:sz w:val="21"/>
                <w:szCs w:val="21"/>
                <w:lang w:val="en-US" w:eastAsia="zh-CN"/>
              </w:rPr>
              <w:t>招标文件规定的各项因素进行综合评审，评标总得分排名前列</w:t>
            </w:r>
            <w:r>
              <w:rPr>
                <w:sz w:val="21"/>
                <w:szCs w:val="21"/>
              </w:rPr>
              <w:t>的投标人为中标候选人的评标方法。</w:t>
            </w:r>
          </w:p>
          <w:p w14:paraId="0849012E">
            <w:pPr>
              <w:keepNext w:val="0"/>
              <w:keepLines w:val="0"/>
              <w:pageBreakBefore w:val="0"/>
              <w:kinsoku/>
              <w:wordWrap/>
              <w:overflowPunct/>
              <w:topLinePunct w:val="0"/>
              <w:autoSpaceDE/>
              <w:autoSpaceDN/>
              <w:bidi w:val="0"/>
              <w:adjustRightInd/>
              <w:snapToGrid/>
              <w:spacing w:beforeAutospacing="0" w:afterAutospacing="0" w:line="240" w:lineRule="auto"/>
              <w:ind w:firstLine="420"/>
              <w:textAlignment w:val="auto"/>
              <w:rPr>
                <w:sz w:val="21"/>
                <w:szCs w:val="21"/>
              </w:rPr>
            </w:pPr>
          </w:p>
          <w:p w14:paraId="6197A01D">
            <w:pPr>
              <w:keepNext w:val="0"/>
              <w:keepLines w:val="0"/>
              <w:pageBreakBefore w:val="0"/>
              <w:kinsoku/>
              <w:wordWrap/>
              <w:overflowPunct/>
              <w:topLinePunct w:val="0"/>
              <w:autoSpaceDE/>
              <w:autoSpaceDN/>
              <w:bidi w:val="0"/>
              <w:adjustRightInd/>
              <w:snapToGrid/>
              <w:spacing w:beforeAutospacing="0" w:afterAutospacing="0" w:line="240" w:lineRule="auto"/>
              <w:ind w:firstLine="420"/>
              <w:textAlignment w:val="auto"/>
              <w:rPr>
                <w:sz w:val="21"/>
                <w:szCs w:val="21"/>
              </w:rPr>
            </w:pPr>
            <w:r>
              <w:rPr>
                <w:sz w:val="21"/>
                <w:szCs w:val="21"/>
              </w:rPr>
              <w:t>价格分计算方法：</w:t>
            </w:r>
          </w:p>
          <w:p w14:paraId="141D5493">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 xml:space="preserve">采用低价优先法计算，即满足招标文件要求且投标价格最低的投标报价为评标基准价，其价格分为满分。其他投标人的价格分统一按照下列公式计算： </w:t>
            </w:r>
          </w:p>
          <w:p w14:paraId="45136870">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 xml:space="preserve">投标报价得分=(评标基准价／投标报价)×100 </w:t>
            </w:r>
          </w:p>
          <w:p w14:paraId="110BFFC9">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 xml:space="preserve">评标总得分＝F1×A1＋F2×A2＋……＋Fn×An </w:t>
            </w:r>
          </w:p>
          <w:p w14:paraId="2C754FD2">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 xml:space="preserve">F1、F2……Fn分别为各项评审因素的得分； </w:t>
            </w:r>
          </w:p>
          <w:p w14:paraId="665CF25F">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 xml:space="preserve">A1、A2、……An 分别为各项评审因素所占的权重(A1＋A2＋……＋An＝1)。 </w:t>
            </w:r>
          </w:p>
          <w:p w14:paraId="43D527A0">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ascii="Times New Roman" w:hAnsi="Times New Roman" w:eastAsia="宋体" w:cs="Times New Roman"/>
                <w:kern w:val="2"/>
                <w:sz w:val="21"/>
                <w:szCs w:val="21"/>
                <w:lang w:val="en-US" w:eastAsia="zh-CN" w:bidi="ar-SA"/>
              </w:rPr>
              <w:t>评标过程中，不得去掉报价中的最高报价和最低报价。</w:t>
            </w:r>
          </w:p>
          <w:p w14:paraId="15E876A8">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因落实政府采购政策进行价格调整的，以调整后的价格计算评标基准价和投标报价。</w:t>
            </w:r>
          </w:p>
          <w:p w14:paraId="7BB119F5">
            <w:pPr>
              <w:keepNext w:val="0"/>
              <w:keepLines w:val="0"/>
              <w:pageBreakBefore w:val="0"/>
              <w:widowControl/>
              <w:kinsoku/>
              <w:wordWrap/>
              <w:overflowPunct/>
              <w:topLinePunct w:val="0"/>
              <w:autoSpaceDE/>
              <w:autoSpaceDN/>
              <w:bidi w:val="0"/>
              <w:adjustRightInd/>
              <w:snapToGrid/>
              <w:spacing w:beforeAutospacing="0" w:afterAutospacing="0" w:line="240" w:lineRule="auto"/>
              <w:ind w:left="420"/>
              <w:jc w:val="left"/>
              <w:textAlignment w:val="auto"/>
              <w:rPr>
                <w:rFonts w:ascii="Times New Roman" w:hAnsi="Times New Roman" w:eastAsia="宋体" w:cs="Times New Roman"/>
                <w:kern w:val="0"/>
                <w:sz w:val="24"/>
                <w:szCs w:val="24"/>
                <w:lang w:val="en-US" w:eastAsia="zh-CN" w:bidi="ar-SA"/>
              </w:rPr>
            </w:pPr>
          </w:p>
        </w:tc>
      </w:tr>
    </w:tbl>
    <w:p w14:paraId="6DEAC3F9">
      <w:pPr>
        <w:rPr>
          <w:vanish/>
        </w:rPr>
      </w:pPr>
    </w:p>
    <w:tbl>
      <w:tblPr>
        <w:tblStyle w:val="43"/>
        <w:tblW w:w="9072"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20" w:type="dxa"/>
          <w:left w:w="108" w:type="dxa"/>
          <w:bottom w:w="20" w:type="dxa"/>
          <w:right w:w="108" w:type="dxa"/>
        </w:tblCellMar>
      </w:tblPr>
      <w:tblGrid>
        <w:gridCol w:w="530"/>
        <w:gridCol w:w="555"/>
        <w:gridCol w:w="1110"/>
        <w:gridCol w:w="893"/>
        <w:gridCol w:w="5984"/>
      </w:tblGrid>
      <w:tr w14:paraId="4F924ED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56007DCD">
            <w:pPr>
              <w:wordWrap w:val="0"/>
              <w:jc w:val="center"/>
              <w:rPr>
                <w:rFonts w:ascii="宋体" w:hAnsi="宋体" w:cs="宋体"/>
                <w:b/>
                <w:bCs/>
                <w:sz w:val="24"/>
              </w:rPr>
            </w:pPr>
            <w:r>
              <w:rPr>
                <w:b/>
                <w:bCs/>
              </w:rPr>
              <w:t>序号</w:t>
            </w:r>
          </w:p>
        </w:tc>
        <w:tc>
          <w:tcPr>
            <w:tcW w:w="2558" w:type="dxa"/>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4B28F6C7">
            <w:pPr>
              <w:wordWrap w:val="0"/>
              <w:jc w:val="center"/>
              <w:rPr>
                <w:rFonts w:ascii="宋体" w:hAnsi="宋体" w:cs="宋体"/>
                <w:b/>
                <w:bCs/>
                <w:sz w:val="24"/>
              </w:rPr>
            </w:pPr>
            <w:r>
              <w:rPr>
                <w:b/>
                <w:bCs/>
              </w:rPr>
              <w:t>评分项</w:t>
            </w:r>
          </w:p>
        </w:tc>
        <w:tc>
          <w:tcPr>
            <w:tcW w:w="5984" w:type="dxa"/>
            <w:tcBorders>
              <w:top w:val="single" w:color="000000" w:sz="8" w:space="0"/>
              <w:left w:val="single" w:color="000000" w:sz="8" w:space="0"/>
              <w:bottom w:val="single" w:color="000000" w:sz="8" w:space="0"/>
              <w:right w:val="single" w:color="000000" w:sz="8" w:space="0"/>
            </w:tcBorders>
            <w:shd w:val="clear" w:color="auto" w:fill="E6EFFA"/>
            <w:vAlign w:val="center"/>
          </w:tcPr>
          <w:p w14:paraId="668D6DE7">
            <w:pPr>
              <w:wordWrap w:val="0"/>
              <w:jc w:val="center"/>
              <w:rPr>
                <w:rFonts w:ascii="宋体" w:hAnsi="宋体" w:cs="宋体"/>
                <w:b/>
                <w:bCs/>
                <w:sz w:val="24"/>
              </w:rPr>
            </w:pPr>
            <w:r>
              <w:rPr>
                <w:b/>
                <w:bCs/>
              </w:rPr>
              <w:t>权重(%)</w:t>
            </w:r>
          </w:p>
        </w:tc>
      </w:tr>
      <w:tr w14:paraId="35D0A1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tcBorders>
              <w:top w:val="single" w:color="000000" w:sz="8" w:space="0"/>
              <w:left w:val="single" w:color="000000" w:sz="8" w:space="0"/>
              <w:bottom w:val="single" w:color="000000" w:sz="8" w:space="0"/>
              <w:right w:val="single" w:color="000000" w:sz="8" w:space="0"/>
            </w:tcBorders>
          </w:tcPr>
          <w:p w14:paraId="74C7FEBB">
            <w:pPr>
              <w:wordWrap w:val="0"/>
              <w:jc w:val="center"/>
              <w:rPr>
                <w:rFonts w:ascii="宋体" w:hAnsi="宋体" w:cs="宋体"/>
                <w:b/>
                <w:bCs/>
                <w:color w:val="0000FF"/>
                <w:sz w:val="24"/>
              </w:rPr>
            </w:pPr>
            <w:r>
              <w:rPr>
                <w:b/>
                <w:bCs/>
                <w:color w:val="0000FF"/>
              </w:rPr>
              <w:t>1</w:t>
            </w:r>
          </w:p>
        </w:tc>
        <w:tc>
          <w:tcPr>
            <w:tcW w:w="2558" w:type="dxa"/>
            <w:gridSpan w:val="3"/>
            <w:tcBorders>
              <w:top w:val="single" w:color="000000" w:sz="8" w:space="0"/>
              <w:left w:val="single" w:color="000000" w:sz="8" w:space="0"/>
              <w:bottom w:val="single" w:color="000000" w:sz="8" w:space="0"/>
              <w:right w:val="single" w:color="000000" w:sz="8" w:space="0"/>
            </w:tcBorders>
          </w:tcPr>
          <w:p w14:paraId="4E71D1D4">
            <w:pPr>
              <w:wordWrap w:val="0"/>
              <w:jc w:val="center"/>
              <w:rPr>
                <w:rFonts w:hint="eastAsia" w:ascii="宋体" w:hAnsi="宋体" w:eastAsia="宋体" w:cs="宋体"/>
                <w:b/>
                <w:bCs/>
                <w:color w:val="0000FF"/>
                <w:sz w:val="24"/>
                <w:lang w:val="en-US" w:eastAsia="zh-CN"/>
              </w:rPr>
            </w:pPr>
            <w:r>
              <w:rPr>
                <w:rFonts w:hint="eastAsia" w:ascii="宋体" w:hAnsi="宋体" w:eastAsia="宋体" w:cs="宋体"/>
                <w:b/>
                <w:bCs/>
                <w:color w:val="0000FF"/>
                <w:sz w:val="24"/>
                <w:lang w:val="en-US" w:eastAsia="zh-CN"/>
              </w:rPr>
              <w:t>价格</w:t>
            </w:r>
          </w:p>
        </w:tc>
        <w:tc>
          <w:tcPr>
            <w:tcW w:w="5984" w:type="dxa"/>
            <w:tcBorders>
              <w:top w:val="single" w:color="000000" w:sz="8" w:space="0"/>
              <w:left w:val="single" w:color="000000" w:sz="8" w:space="0"/>
              <w:bottom w:val="single" w:color="000000" w:sz="8" w:space="0"/>
              <w:right w:val="single" w:color="000000" w:sz="8" w:space="0"/>
            </w:tcBorders>
          </w:tcPr>
          <w:p w14:paraId="0AAF95A6">
            <w:pPr>
              <w:wordWrap w:val="0"/>
              <w:jc w:val="center"/>
              <w:rPr>
                <w:rFonts w:hint="default" w:ascii="宋体" w:hAnsi="宋体" w:eastAsia="宋体" w:cs="宋体"/>
                <w:b/>
                <w:bCs/>
                <w:color w:val="0000FF"/>
                <w:sz w:val="24"/>
                <w:lang w:val="en-US" w:eastAsia="zh-CN"/>
              </w:rPr>
            </w:pPr>
            <w:r>
              <w:rPr>
                <w:rFonts w:hint="eastAsia" w:ascii="宋体" w:hAnsi="宋体" w:eastAsia="宋体" w:cs="宋体"/>
                <w:b/>
                <w:bCs/>
                <w:color w:val="0000FF"/>
                <w:sz w:val="24"/>
                <w:lang w:val="en-US" w:eastAsia="zh-CN"/>
              </w:rPr>
              <w:t>10</w:t>
            </w:r>
          </w:p>
        </w:tc>
      </w:tr>
      <w:tr w14:paraId="6F9BE53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restart"/>
            <w:tcBorders>
              <w:top w:val="single" w:color="000000" w:sz="8" w:space="0"/>
              <w:left w:val="single" w:color="000000" w:sz="8" w:space="0"/>
              <w:bottom w:val="single" w:color="000000" w:sz="8" w:space="0"/>
              <w:right w:val="single" w:color="000000" w:sz="8" w:space="0"/>
            </w:tcBorders>
          </w:tcPr>
          <w:p w14:paraId="2CC85168">
            <w:pPr>
              <w:wordWrap w:val="0"/>
              <w:jc w:val="center"/>
              <w:rPr>
                <w:rFonts w:ascii="宋体" w:hAnsi="宋体" w:cs="宋体"/>
                <w:b/>
                <w:bCs/>
                <w:color w:val="0000FF"/>
                <w:sz w:val="24"/>
              </w:rPr>
            </w:pPr>
            <w:r>
              <w:rPr>
                <w:b/>
                <w:bCs/>
                <w:color w:val="0000FF"/>
              </w:rPr>
              <w:t>2</w:t>
            </w:r>
          </w:p>
        </w:tc>
        <w:tc>
          <w:tcPr>
            <w:tcW w:w="2558" w:type="dxa"/>
            <w:gridSpan w:val="3"/>
            <w:tcBorders>
              <w:top w:val="single" w:color="000000" w:sz="8" w:space="0"/>
              <w:left w:val="single" w:color="000000" w:sz="8" w:space="0"/>
              <w:bottom w:val="single" w:color="000000" w:sz="8" w:space="0"/>
              <w:right w:val="single" w:color="000000" w:sz="8" w:space="0"/>
            </w:tcBorders>
          </w:tcPr>
          <w:p w14:paraId="6FBEC1DB">
            <w:pPr>
              <w:wordWrap w:val="0"/>
              <w:jc w:val="center"/>
              <w:rPr>
                <w:rFonts w:ascii="宋体" w:hAnsi="宋体" w:cs="宋体"/>
                <w:b/>
                <w:bCs/>
                <w:color w:val="0000FF"/>
                <w:sz w:val="24"/>
              </w:rPr>
            </w:pPr>
            <w:r>
              <w:rPr>
                <w:b/>
                <w:bCs/>
                <w:color w:val="0000FF"/>
              </w:rPr>
              <w:t>技术</w:t>
            </w:r>
            <w:r>
              <w:rPr>
                <w:rFonts w:hint="eastAsia"/>
                <w:b/>
                <w:bCs/>
                <w:color w:val="0000FF"/>
              </w:rPr>
              <w:t>部分</w:t>
            </w:r>
          </w:p>
        </w:tc>
        <w:tc>
          <w:tcPr>
            <w:tcW w:w="5984" w:type="dxa"/>
            <w:tcBorders>
              <w:top w:val="single" w:color="000000" w:sz="8" w:space="0"/>
              <w:left w:val="single" w:color="000000" w:sz="8" w:space="0"/>
              <w:bottom w:val="single" w:color="000000" w:sz="8" w:space="0"/>
              <w:right w:val="single" w:color="000000" w:sz="8" w:space="0"/>
            </w:tcBorders>
          </w:tcPr>
          <w:p w14:paraId="6C062424">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40</w:t>
            </w:r>
          </w:p>
        </w:tc>
      </w:tr>
      <w:tr w14:paraId="6B3B4D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jc w:val="center"/>
        </w:trPr>
        <w:tc>
          <w:tcPr>
            <w:tcW w:w="530"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14:paraId="785924C3">
            <w:pPr>
              <w:rPr>
                <w:rFonts w:ascii="宋体" w:hAnsi="宋体" w:cs="宋体"/>
                <w:b/>
                <w:bCs/>
                <w:color w:val="0000FF"/>
                <w:sz w:val="24"/>
              </w:rPr>
            </w:pPr>
          </w:p>
        </w:tc>
        <w:tc>
          <w:tcPr>
            <w:tcW w:w="555"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11422F0A">
            <w:pPr>
              <w:wordWrap w:val="0"/>
              <w:jc w:val="center"/>
              <w:rPr>
                <w:rFonts w:ascii="宋体" w:hAnsi="宋体" w:cs="宋体"/>
                <w:szCs w:val="21"/>
              </w:rPr>
            </w:pPr>
            <w:r>
              <w:rPr>
                <w:szCs w:val="21"/>
              </w:rPr>
              <w:t>序号</w:t>
            </w:r>
          </w:p>
        </w:tc>
        <w:tc>
          <w:tcPr>
            <w:tcW w:w="1110"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68474CCD">
            <w:pPr>
              <w:wordWrap w:val="0"/>
              <w:jc w:val="center"/>
              <w:rPr>
                <w:rFonts w:ascii="宋体" w:hAnsi="宋体" w:cs="宋体"/>
                <w:szCs w:val="21"/>
              </w:rPr>
            </w:pPr>
            <w:r>
              <w:rPr>
                <w:szCs w:val="21"/>
              </w:rPr>
              <w:t>评分因素</w:t>
            </w:r>
          </w:p>
        </w:tc>
        <w:tc>
          <w:tcPr>
            <w:tcW w:w="89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88D902A">
            <w:pPr>
              <w:wordWrap w:val="0"/>
              <w:jc w:val="center"/>
              <w:rPr>
                <w:rFonts w:ascii="宋体" w:hAnsi="宋体" w:cs="宋体"/>
                <w:szCs w:val="21"/>
              </w:rPr>
            </w:pPr>
            <w:r>
              <w:rPr>
                <w:szCs w:val="21"/>
              </w:rPr>
              <w:t>权重(%)</w:t>
            </w:r>
          </w:p>
        </w:tc>
        <w:tc>
          <w:tcPr>
            <w:tcW w:w="598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16E0F5EE">
            <w:pPr>
              <w:wordWrap w:val="0"/>
              <w:jc w:val="center"/>
              <w:rPr>
                <w:rFonts w:ascii="宋体" w:hAnsi="宋体" w:cs="宋体"/>
                <w:szCs w:val="21"/>
              </w:rPr>
            </w:pPr>
            <w:r>
              <w:rPr>
                <w:szCs w:val="21"/>
              </w:rPr>
              <w:t>评分准则</w:t>
            </w:r>
          </w:p>
        </w:tc>
      </w:tr>
      <w:tr w14:paraId="25FAC6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90" w:hRule="atLeast"/>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1E9557C9">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4582BCB6">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110" w:type="dxa"/>
            <w:tcBorders>
              <w:top w:val="single" w:color="000000" w:sz="8" w:space="0"/>
              <w:left w:val="single" w:color="000000" w:sz="8" w:space="0"/>
              <w:bottom w:val="single" w:color="000000" w:sz="8" w:space="0"/>
              <w:right w:val="single" w:color="000000" w:sz="8" w:space="0"/>
            </w:tcBorders>
            <w:vAlign w:val="center"/>
          </w:tcPr>
          <w:p w14:paraId="1D077F4A">
            <w:pPr>
              <w:wordWrap w:val="0"/>
              <w:jc w:val="center"/>
              <w:rPr>
                <w:rFonts w:hint="default" w:ascii="宋体" w:hAnsi="宋体" w:eastAsia="宋体" w:cs="宋体"/>
                <w:szCs w:val="21"/>
                <w:lang w:val="en-US" w:eastAsia="zh-CN"/>
              </w:rPr>
            </w:pPr>
            <w:r>
              <w:rPr>
                <w:rFonts w:hint="eastAsia" w:ascii="宋体" w:hAnsi="宋体" w:cs="宋体"/>
                <w:kern w:val="0"/>
                <w:szCs w:val="21"/>
                <w:highlight w:val="none"/>
                <w:lang w:val="en-US" w:eastAsia="zh-CN"/>
              </w:rPr>
              <w:t>项目资金保障方案</w:t>
            </w:r>
          </w:p>
        </w:tc>
        <w:tc>
          <w:tcPr>
            <w:tcW w:w="893" w:type="dxa"/>
            <w:tcBorders>
              <w:top w:val="single" w:color="000000" w:sz="8" w:space="0"/>
              <w:left w:val="single" w:color="000000" w:sz="8" w:space="0"/>
              <w:bottom w:val="single" w:color="000000" w:sz="8" w:space="0"/>
              <w:right w:val="single" w:color="000000" w:sz="8" w:space="0"/>
            </w:tcBorders>
            <w:vAlign w:val="center"/>
          </w:tcPr>
          <w:p w14:paraId="1EA9E0DB">
            <w:pPr>
              <w:wordWrap w:val="0"/>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5984" w:type="dxa"/>
            <w:tcBorders>
              <w:top w:val="single" w:color="000000" w:sz="8" w:space="0"/>
              <w:left w:val="single" w:color="000000" w:sz="8" w:space="0"/>
              <w:bottom w:val="single" w:color="000000" w:sz="8" w:space="0"/>
              <w:right w:val="single" w:color="000000" w:sz="8" w:space="0"/>
            </w:tcBorders>
          </w:tcPr>
          <w:p w14:paraId="7949DD0C">
            <w:pPr>
              <w:jc w:val="left"/>
              <w:rPr>
                <w:rFonts w:asciiTheme="minorEastAsia" w:hAnsiTheme="minorEastAsia"/>
                <w:b/>
              </w:rPr>
            </w:pPr>
            <w:r>
              <w:rPr>
                <w:rFonts w:hint="eastAsia" w:asciiTheme="minorEastAsia" w:hAnsiTheme="minorEastAsia"/>
                <w:b/>
              </w:rPr>
              <w:t>（一）评分内容：</w:t>
            </w:r>
          </w:p>
          <w:p w14:paraId="41723978">
            <w:pPr>
              <w:jc w:val="left"/>
              <w:rPr>
                <w:rFonts w:asciiTheme="minorEastAsia" w:hAnsiTheme="minorEastAsia"/>
                <w:szCs w:val="21"/>
              </w:rPr>
            </w:pPr>
            <w:r>
              <w:rPr>
                <w:rFonts w:hint="eastAsia" w:asciiTheme="minorEastAsia" w:hAnsiTheme="minorEastAsia"/>
                <w:szCs w:val="21"/>
              </w:rPr>
              <w:t>投标人提供的总体方案包含以下内容：</w:t>
            </w:r>
          </w:p>
          <w:p w14:paraId="407F8DBA">
            <w:pPr>
              <w:jc w:val="left"/>
              <w:rPr>
                <w:rFonts w:asciiTheme="minorEastAsia" w:hAnsiTheme="minorEastAsia"/>
                <w:szCs w:val="21"/>
              </w:rPr>
            </w:pPr>
            <w:r>
              <w:rPr>
                <w:rFonts w:hint="eastAsia" w:asciiTheme="minorEastAsia" w:hAnsiTheme="minorEastAsia"/>
                <w:szCs w:val="21"/>
              </w:rPr>
              <w:t>（1）年度服务目标；</w:t>
            </w:r>
          </w:p>
          <w:p w14:paraId="78B024C9">
            <w:pPr>
              <w:jc w:val="left"/>
              <w:rPr>
                <w:rFonts w:asciiTheme="minorEastAsia" w:hAnsiTheme="minorEastAsia"/>
                <w:szCs w:val="21"/>
              </w:rPr>
            </w:pPr>
            <w:r>
              <w:rPr>
                <w:rFonts w:hint="eastAsia" w:asciiTheme="minorEastAsia" w:hAnsiTheme="minorEastAsia"/>
                <w:szCs w:val="21"/>
              </w:rPr>
              <w:t>（2）服务指标量及成果预估；</w:t>
            </w:r>
          </w:p>
          <w:p w14:paraId="773B7D03">
            <w:pPr>
              <w:jc w:val="left"/>
              <w:rPr>
                <w:rFonts w:asciiTheme="minorEastAsia" w:hAnsiTheme="minorEastAsia"/>
                <w:szCs w:val="21"/>
              </w:rPr>
            </w:pPr>
            <w:r>
              <w:rPr>
                <w:rFonts w:hint="eastAsia" w:asciiTheme="minorEastAsia" w:hAnsiTheme="minorEastAsia"/>
                <w:szCs w:val="21"/>
              </w:rPr>
              <w:t>（3）具体服务内容；</w:t>
            </w:r>
          </w:p>
          <w:p w14:paraId="1E5B04DB">
            <w:pPr>
              <w:jc w:val="left"/>
              <w:rPr>
                <w:rFonts w:asciiTheme="minorEastAsia" w:hAnsiTheme="minorEastAsia"/>
                <w:szCs w:val="21"/>
              </w:rPr>
            </w:pPr>
            <w:r>
              <w:rPr>
                <w:rFonts w:hint="eastAsia" w:asciiTheme="minorEastAsia" w:hAnsiTheme="minorEastAsia"/>
                <w:szCs w:val="21"/>
              </w:rPr>
              <w:t>（4）费用测算清单（需体现</w:t>
            </w:r>
            <w:r>
              <w:rPr>
                <w:rFonts w:hint="eastAsia" w:asciiTheme="minorEastAsia" w:hAnsiTheme="minorEastAsia"/>
                <w:szCs w:val="21"/>
                <w:lang w:val="en-US" w:eastAsia="zh-CN"/>
              </w:rPr>
              <w:t>基本险种服务及</w:t>
            </w:r>
            <w:r>
              <w:rPr>
                <w:rFonts w:hint="eastAsia" w:ascii="宋体" w:hAnsi="宋体" w:cs="宋体"/>
                <w:kern w:val="0"/>
                <w:szCs w:val="21"/>
                <w:u w:val="none"/>
                <w:lang w:eastAsia="zh-CN"/>
              </w:rPr>
              <w:t>拓展保障理赔标准</w:t>
            </w:r>
            <w:r>
              <w:rPr>
                <w:rFonts w:hint="eastAsia" w:ascii="宋体" w:hAnsi="宋体" w:cs="宋体"/>
                <w:kern w:val="0"/>
                <w:szCs w:val="21"/>
                <w:u w:val="none"/>
                <w:lang w:val="en-US" w:eastAsia="zh-CN"/>
              </w:rPr>
              <w:t>的各项费用</w:t>
            </w:r>
            <w:r>
              <w:rPr>
                <w:rFonts w:hint="eastAsia" w:asciiTheme="minorEastAsia" w:hAnsiTheme="minorEastAsia"/>
                <w:szCs w:val="21"/>
              </w:rPr>
              <w:t>，格式详见分项报价表）。</w:t>
            </w:r>
          </w:p>
          <w:p w14:paraId="44B83750">
            <w:pPr>
              <w:jc w:val="left"/>
              <w:rPr>
                <w:rFonts w:asciiTheme="minorEastAsia" w:hAnsiTheme="minorEastAsia"/>
                <w:b/>
                <w:bCs/>
              </w:rPr>
            </w:pPr>
            <w:r>
              <w:rPr>
                <w:rFonts w:hint="eastAsia" w:asciiTheme="minorEastAsia" w:hAnsiTheme="minorEastAsia"/>
                <w:b/>
              </w:rPr>
              <w:t>（二）评</w:t>
            </w:r>
            <w:r>
              <w:rPr>
                <w:rFonts w:hint="eastAsia" w:asciiTheme="minorEastAsia" w:hAnsiTheme="minorEastAsia"/>
                <w:b/>
                <w:lang w:val="en-US" w:eastAsia="zh-CN"/>
              </w:rPr>
              <w:t>分</w:t>
            </w:r>
            <w:r>
              <w:rPr>
                <w:rFonts w:hint="eastAsia" w:asciiTheme="minorEastAsia" w:hAnsiTheme="minorEastAsia"/>
                <w:b/>
              </w:rPr>
              <w:t>依据</w:t>
            </w:r>
            <w:r>
              <w:rPr>
                <w:rFonts w:hint="eastAsia" w:asciiTheme="minorEastAsia" w:hAnsiTheme="minorEastAsia"/>
                <w:b/>
                <w:bCs/>
              </w:rPr>
              <w:t>：</w:t>
            </w:r>
          </w:p>
          <w:p w14:paraId="7D11790E">
            <w:pPr>
              <w:ind w:firstLine="420" w:firstLineChars="200"/>
              <w:jc w:val="left"/>
              <w:rPr>
                <w:rFonts w:asciiTheme="minorEastAsia" w:hAnsiTheme="minorEastAsia"/>
                <w:szCs w:val="21"/>
              </w:rPr>
            </w:pPr>
            <w:r>
              <w:rPr>
                <w:rFonts w:hint="eastAsia" w:asciiTheme="minorEastAsia" w:hAnsiTheme="minorEastAsia"/>
                <w:szCs w:val="21"/>
              </w:rPr>
              <w:t>1.考察以上总体方案，如果全部满足得80分，满足任意三点得60分，满足任意二点得30分，满足任意一点的得10分,未满足不得分。</w:t>
            </w:r>
          </w:p>
          <w:p w14:paraId="16CF9B6C">
            <w:pPr>
              <w:ind w:firstLine="420" w:firstLineChars="200"/>
              <w:jc w:val="left"/>
              <w:rPr>
                <w:rFonts w:asciiTheme="minorEastAsia" w:hAnsiTheme="minorEastAsia"/>
                <w:szCs w:val="21"/>
              </w:rPr>
            </w:pPr>
            <w:r>
              <w:rPr>
                <w:rFonts w:hint="eastAsia" w:asciiTheme="minorEastAsia" w:hAnsiTheme="minorEastAsia"/>
                <w:szCs w:val="21"/>
              </w:rPr>
              <w:t>2.在此基础上，专家根据各供应商的具体响应内容按照量化的评审因素指标进一步评审。</w:t>
            </w:r>
          </w:p>
          <w:p w14:paraId="1D5D9F4B">
            <w:pPr>
              <w:jc w:val="left"/>
              <w:rPr>
                <w:rFonts w:asciiTheme="minorEastAsia" w:hAnsiTheme="minorEastAsia"/>
                <w:szCs w:val="21"/>
              </w:rPr>
            </w:pPr>
            <w:r>
              <w:rPr>
                <w:rFonts w:hint="eastAsia" w:asciiTheme="minorEastAsia" w:hAnsiTheme="minorEastAsia"/>
                <w:szCs w:val="21"/>
              </w:rPr>
              <w:t>（1）评审为优：总体方案有针对性、相关的合理化建议完善的加20分；</w:t>
            </w:r>
          </w:p>
          <w:p w14:paraId="222DC4B6">
            <w:pPr>
              <w:jc w:val="left"/>
              <w:rPr>
                <w:rFonts w:asciiTheme="minorEastAsia" w:hAnsiTheme="minorEastAsia"/>
                <w:szCs w:val="21"/>
              </w:rPr>
            </w:pPr>
            <w:r>
              <w:rPr>
                <w:rFonts w:hint="eastAsia" w:asciiTheme="minorEastAsia" w:hAnsiTheme="minorEastAsia"/>
                <w:szCs w:val="21"/>
              </w:rPr>
              <w:t>（2）评审为良：总体方案较有针对性、相关的合理化建议较完善的加15分；</w:t>
            </w:r>
          </w:p>
          <w:p w14:paraId="675D64E7">
            <w:pPr>
              <w:jc w:val="left"/>
              <w:rPr>
                <w:rFonts w:asciiTheme="minorEastAsia" w:hAnsiTheme="minorEastAsia"/>
                <w:szCs w:val="21"/>
              </w:rPr>
            </w:pPr>
            <w:r>
              <w:rPr>
                <w:rFonts w:hint="eastAsia" w:asciiTheme="minorEastAsia" w:hAnsiTheme="minorEastAsia"/>
                <w:szCs w:val="21"/>
              </w:rPr>
              <w:t>（3）评审为中：总体方案针对性一般、相关的合理化建议不够完善的加10分；</w:t>
            </w:r>
          </w:p>
          <w:p w14:paraId="045DA60C">
            <w:pPr>
              <w:jc w:val="left"/>
              <w:rPr>
                <w:rFonts w:hint="eastAsia" w:ascii="宋体" w:hAnsi="宋体" w:eastAsia="宋体" w:cs="宋体"/>
                <w:szCs w:val="21"/>
                <w:lang w:eastAsia="zh-CN"/>
              </w:rPr>
            </w:pPr>
            <w:r>
              <w:rPr>
                <w:rFonts w:hint="eastAsia" w:asciiTheme="minorEastAsia" w:hAnsiTheme="minorEastAsia"/>
                <w:szCs w:val="21"/>
              </w:rPr>
              <w:t>（4）评审为差：总体方案不具有针对性、相关的合理化建议不完善，不加分</w:t>
            </w:r>
            <w:r>
              <w:rPr>
                <w:rFonts w:hint="eastAsia" w:asciiTheme="minorEastAsia" w:hAnsiTheme="minorEastAsia"/>
                <w:szCs w:val="21"/>
                <w:lang w:eastAsia="zh-CN"/>
              </w:rPr>
              <w:t>。</w:t>
            </w:r>
          </w:p>
        </w:tc>
      </w:tr>
      <w:tr w14:paraId="55A3455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779772FC">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7847986D">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2</w:t>
            </w:r>
          </w:p>
        </w:tc>
        <w:tc>
          <w:tcPr>
            <w:tcW w:w="1110" w:type="dxa"/>
            <w:tcBorders>
              <w:top w:val="single" w:color="000000" w:sz="8" w:space="0"/>
              <w:left w:val="single" w:color="000000" w:sz="8" w:space="0"/>
              <w:bottom w:val="single" w:color="000000" w:sz="8" w:space="0"/>
              <w:right w:val="single" w:color="000000" w:sz="8" w:space="0"/>
            </w:tcBorders>
            <w:vAlign w:val="center"/>
          </w:tcPr>
          <w:p w14:paraId="6F194261">
            <w:pPr>
              <w:wordWrap w:val="0"/>
              <w:jc w:val="center"/>
              <w:rPr>
                <w:rFonts w:ascii="宋体" w:hAnsi="宋体" w:cs="宋体"/>
                <w:color w:val="auto"/>
                <w:szCs w:val="21"/>
              </w:rPr>
            </w:pPr>
            <w:r>
              <w:rPr>
                <w:rFonts w:hint="eastAsia"/>
                <w:color w:val="auto"/>
                <w:lang w:val="en-US" w:eastAsia="zh-CN"/>
              </w:rPr>
              <w:t>项目经理及项目团队人员</w:t>
            </w:r>
          </w:p>
        </w:tc>
        <w:tc>
          <w:tcPr>
            <w:tcW w:w="893" w:type="dxa"/>
            <w:tcBorders>
              <w:top w:val="single" w:color="000000" w:sz="8" w:space="0"/>
              <w:left w:val="single" w:color="000000" w:sz="8" w:space="0"/>
              <w:bottom w:val="single" w:color="000000" w:sz="8" w:space="0"/>
              <w:right w:val="single" w:color="000000" w:sz="8" w:space="0"/>
            </w:tcBorders>
            <w:vAlign w:val="center"/>
          </w:tcPr>
          <w:p w14:paraId="2723AD22">
            <w:pPr>
              <w:wordWrap w:val="0"/>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5</w:t>
            </w:r>
          </w:p>
        </w:tc>
        <w:tc>
          <w:tcPr>
            <w:tcW w:w="5984" w:type="dxa"/>
            <w:tcBorders>
              <w:top w:val="single" w:color="000000" w:sz="8" w:space="0"/>
              <w:left w:val="single" w:color="000000" w:sz="8" w:space="0"/>
              <w:bottom w:val="single" w:color="000000" w:sz="8" w:space="0"/>
              <w:right w:val="single" w:color="000000" w:sz="8" w:space="0"/>
            </w:tcBorders>
          </w:tcPr>
          <w:p w14:paraId="0032B8EA">
            <w:pPr>
              <w:numPr>
                <w:ilvl w:val="0"/>
                <w:numId w:val="0"/>
              </w:numPr>
              <w:spacing w:line="240" w:lineRule="auto"/>
              <w:jc w:val="both"/>
              <w:rPr>
                <w:rFonts w:hint="eastAsia" w:ascii="宋体" w:hAnsi="宋体" w:eastAsia="宋体" w:cs="宋体"/>
                <w:b/>
                <w:bCs/>
                <w:color w:val="auto"/>
                <w:kern w:val="0"/>
                <w:szCs w:val="21"/>
                <w:lang w:val="en-US" w:eastAsia="zh-CN"/>
              </w:rPr>
            </w:pPr>
            <w:r>
              <w:rPr>
                <w:rFonts w:hint="eastAsia" w:ascii="宋体" w:hAnsi="宋体" w:eastAsia="宋体" w:cs="宋体"/>
                <w:b/>
                <w:bCs/>
                <w:color w:val="auto"/>
                <w:kern w:val="0"/>
                <w:szCs w:val="21"/>
                <w:lang w:val="en-US" w:eastAsia="zh-CN"/>
              </w:rPr>
              <w:t>（一）评分内容：</w:t>
            </w:r>
          </w:p>
          <w:p w14:paraId="526E34C3">
            <w:pPr>
              <w:numPr>
                <w:ilvl w:val="0"/>
                <w:numId w:val="0"/>
              </w:numPr>
              <w:spacing w:line="240" w:lineRule="auto"/>
              <w:jc w:val="both"/>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考察拟安排的项目服务团队（含项目</w:t>
            </w:r>
            <w:r>
              <w:rPr>
                <w:rFonts w:hint="eastAsia" w:ascii="宋体" w:hAnsi="宋体" w:cs="宋体"/>
                <w:color w:val="auto"/>
                <w:kern w:val="0"/>
                <w:szCs w:val="21"/>
                <w:lang w:val="en-US" w:eastAsia="zh-CN"/>
              </w:rPr>
              <w:t>经理</w:t>
            </w:r>
            <w:r>
              <w:rPr>
                <w:rFonts w:hint="eastAsia" w:ascii="宋体" w:hAnsi="宋体" w:eastAsia="宋体" w:cs="宋体"/>
                <w:color w:val="auto"/>
                <w:kern w:val="0"/>
                <w:szCs w:val="21"/>
                <w:lang w:val="en-US" w:eastAsia="zh-CN"/>
              </w:rPr>
              <w:t>）情况，拟安排的团队服务人员为本单位自有员工，在此基础上：</w:t>
            </w:r>
          </w:p>
          <w:p w14:paraId="086C387E">
            <w:pPr>
              <w:numPr>
                <w:ilvl w:val="0"/>
                <w:numId w:val="0"/>
              </w:numPr>
              <w:spacing w:line="240" w:lineRule="auto"/>
              <w:jc w:val="both"/>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1.服务团队成员</w:t>
            </w:r>
            <w:r>
              <w:rPr>
                <w:rFonts w:hint="eastAsia" w:ascii="宋体" w:hAnsi="宋体" w:cs="宋体"/>
                <w:color w:val="auto"/>
                <w:kern w:val="0"/>
                <w:szCs w:val="21"/>
                <w:lang w:val="en-US" w:eastAsia="zh-CN"/>
              </w:rPr>
              <w:t>（不含项目经理）</w:t>
            </w:r>
            <w:r>
              <w:rPr>
                <w:rFonts w:hint="eastAsia" w:ascii="宋体" w:hAnsi="宋体" w:eastAsia="宋体" w:cs="宋体"/>
                <w:color w:val="auto"/>
                <w:kern w:val="0"/>
                <w:szCs w:val="21"/>
                <w:lang w:val="en-US" w:eastAsia="zh-CN"/>
              </w:rPr>
              <w:t>具有保险</w:t>
            </w:r>
            <w:r>
              <w:rPr>
                <w:rFonts w:hint="eastAsia" w:ascii="宋体" w:hAnsi="宋体" w:cs="宋体"/>
                <w:color w:val="auto"/>
                <w:kern w:val="0"/>
                <w:szCs w:val="21"/>
                <w:lang w:val="en-US" w:eastAsia="zh-CN"/>
              </w:rPr>
              <w:t>或</w:t>
            </w:r>
            <w:r>
              <w:rPr>
                <w:rFonts w:hint="eastAsia" w:ascii="宋体" w:hAnsi="宋体" w:eastAsia="宋体" w:cs="宋体"/>
                <w:color w:val="auto"/>
                <w:kern w:val="0"/>
                <w:szCs w:val="21"/>
                <w:lang w:val="en-US" w:eastAsia="zh-CN"/>
              </w:rPr>
              <w:t>相关专业</w:t>
            </w:r>
            <w:r>
              <w:rPr>
                <w:rFonts w:hint="eastAsia" w:ascii="宋体" w:hAnsi="宋体" w:cs="宋体"/>
                <w:color w:val="auto"/>
                <w:kern w:val="0"/>
                <w:szCs w:val="21"/>
                <w:lang w:val="en-US" w:eastAsia="zh-CN"/>
              </w:rPr>
              <w:t>本科（或以上）</w:t>
            </w:r>
            <w:r>
              <w:rPr>
                <w:rFonts w:hint="eastAsia" w:ascii="宋体" w:hAnsi="宋体" w:eastAsia="宋体" w:cs="宋体"/>
                <w:color w:val="auto"/>
                <w:kern w:val="0"/>
                <w:szCs w:val="21"/>
                <w:lang w:val="en-US" w:eastAsia="zh-CN"/>
              </w:rPr>
              <w:t>学历的，每提供1人得</w:t>
            </w:r>
            <w:r>
              <w:rPr>
                <w:rFonts w:hint="eastAsia" w:ascii="宋体" w:hAnsi="宋体" w:cs="宋体"/>
                <w:color w:val="auto"/>
                <w:kern w:val="0"/>
                <w:szCs w:val="21"/>
                <w:lang w:val="en-US" w:eastAsia="zh-CN"/>
              </w:rPr>
              <w:t>10</w:t>
            </w:r>
            <w:r>
              <w:rPr>
                <w:rFonts w:hint="eastAsia" w:ascii="宋体" w:hAnsi="宋体" w:eastAsia="宋体" w:cs="宋体"/>
                <w:color w:val="auto"/>
                <w:kern w:val="0"/>
                <w:szCs w:val="21"/>
                <w:lang w:val="en-US" w:eastAsia="zh-CN"/>
              </w:rPr>
              <w:t>分，</w:t>
            </w:r>
            <w:r>
              <w:rPr>
                <w:rFonts w:hint="eastAsia" w:ascii="宋体" w:hAnsi="宋体" w:cs="宋体"/>
                <w:color w:val="auto"/>
                <w:kern w:val="0"/>
                <w:szCs w:val="21"/>
                <w:lang w:val="en-US" w:eastAsia="zh-CN"/>
              </w:rPr>
              <w:t>本项</w:t>
            </w:r>
            <w:r>
              <w:rPr>
                <w:rFonts w:hint="eastAsia" w:ascii="宋体" w:hAnsi="宋体" w:eastAsia="宋体" w:cs="宋体"/>
                <w:color w:val="auto"/>
                <w:kern w:val="0"/>
                <w:szCs w:val="21"/>
                <w:lang w:val="en-US" w:eastAsia="zh-CN"/>
              </w:rPr>
              <w:t>最高得50分。</w:t>
            </w:r>
          </w:p>
          <w:p w14:paraId="39EDBA8E">
            <w:pPr>
              <w:numPr>
                <w:ilvl w:val="0"/>
                <w:numId w:val="0"/>
              </w:numPr>
              <w:spacing w:line="240" w:lineRule="auto"/>
              <w:jc w:val="both"/>
              <w:rPr>
                <w:rFonts w:hint="eastAsia" w:ascii="宋体" w:hAnsi="宋体" w:cs="宋体"/>
                <w:color w:val="auto"/>
                <w:kern w:val="0"/>
                <w:szCs w:val="21"/>
                <w:lang w:val="en-US" w:eastAsia="zh-CN"/>
              </w:rPr>
            </w:pPr>
            <w:r>
              <w:rPr>
                <w:rFonts w:hint="eastAsia" w:ascii="宋体" w:hAnsi="宋体" w:eastAsia="宋体" w:cs="宋体"/>
                <w:color w:val="auto"/>
                <w:kern w:val="0"/>
                <w:szCs w:val="21"/>
                <w:lang w:val="en-US" w:eastAsia="zh-CN"/>
              </w:rPr>
              <w:t>2.投标人拟安排</w:t>
            </w:r>
            <w:r>
              <w:rPr>
                <w:rFonts w:hint="eastAsia" w:ascii="宋体" w:hAnsi="宋体" w:cs="宋体"/>
                <w:color w:val="auto"/>
                <w:kern w:val="0"/>
                <w:szCs w:val="21"/>
                <w:lang w:val="en-US" w:eastAsia="zh-CN"/>
              </w:rPr>
              <w:t>的项目经理（1人）具有保险行业从业经验，10年以上得50分；5年以上得30分；3年以上得15分，其他情况不得分。本项最高得分50分。</w:t>
            </w:r>
          </w:p>
          <w:p w14:paraId="7F642695">
            <w:pPr>
              <w:numPr>
                <w:ilvl w:val="0"/>
                <w:numId w:val="0"/>
              </w:numPr>
              <w:spacing w:line="240" w:lineRule="auto"/>
              <w:jc w:val="both"/>
              <w:rPr>
                <w:rFonts w:hint="eastAsia" w:ascii="宋体" w:hAnsi="宋体" w:eastAsia="宋体" w:cs="宋体"/>
                <w:color w:val="auto"/>
                <w:kern w:val="0"/>
                <w:szCs w:val="21"/>
                <w:lang w:val="en-US" w:eastAsia="zh-CN"/>
              </w:rPr>
            </w:pPr>
            <w:r>
              <w:rPr>
                <w:rFonts w:hint="eastAsia" w:ascii="宋体" w:hAnsi="宋体" w:cs="宋体"/>
                <w:color w:val="auto"/>
                <w:kern w:val="0"/>
                <w:szCs w:val="21"/>
                <w:lang w:val="en-US" w:eastAsia="zh-CN"/>
              </w:rPr>
              <w:t>以上两条累</w:t>
            </w:r>
            <w:r>
              <w:rPr>
                <w:rFonts w:hint="eastAsia" w:ascii="宋体" w:hAnsi="宋体" w:eastAsia="宋体" w:cs="宋体"/>
                <w:color w:val="auto"/>
                <w:kern w:val="0"/>
                <w:szCs w:val="21"/>
                <w:lang w:val="en-US" w:eastAsia="zh-CN"/>
              </w:rPr>
              <w:t>计得分，最高得100分。</w:t>
            </w:r>
          </w:p>
          <w:p w14:paraId="28364936">
            <w:pPr>
              <w:numPr>
                <w:ilvl w:val="0"/>
                <w:numId w:val="0"/>
              </w:numPr>
              <w:spacing w:line="240" w:lineRule="auto"/>
              <w:jc w:val="both"/>
              <w:rPr>
                <w:rFonts w:hint="eastAsia" w:ascii="宋体" w:hAnsi="宋体" w:eastAsia="宋体" w:cs="宋体"/>
                <w:b/>
                <w:bCs/>
                <w:color w:val="auto"/>
                <w:kern w:val="0"/>
                <w:szCs w:val="21"/>
                <w:lang w:val="en-US" w:eastAsia="zh-CN"/>
              </w:rPr>
            </w:pPr>
            <w:r>
              <w:rPr>
                <w:rFonts w:hint="eastAsia" w:ascii="宋体" w:hAnsi="宋体" w:eastAsia="宋体" w:cs="宋体"/>
                <w:b/>
                <w:bCs/>
                <w:color w:val="auto"/>
                <w:kern w:val="0"/>
                <w:szCs w:val="21"/>
                <w:lang w:val="en-US" w:eastAsia="zh-CN"/>
              </w:rPr>
              <w:t>（二）评分依据：</w:t>
            </w:r>
          </w:p>
          <w:p w14:paraId="61EFC0D9">
            <w:pPr>
              <w:numPr>
                <w:ilvl w:val="0"/>
                <w:numId w:val="0"/>
              </w:numPr>
              <w:spacing w:line="240" w:lineRule="auto"/>
              <w:jc w:val="both"/>
              <w:rPr>
                <w:rFonts w:hint="eastAsia" w:ascii="宋体" w:hAnsi="宋体" w:eastAsia="宋体" w:cs="宋体"/>
                <w:color w:val="auto"/>
                <w:kern w:val="0"/>
                <w:szCs w:val="21"/>
                <w:lang w:val="en-US" w:eastAsia="zh-CN"/>
              </w:rPr>
            </w:pPr>
            <w:r>
              <w:rPr>
                <w:rFonts w:hint="eastAsia" w:ascii="宋体" w:hAnsi="宋体" w:eastAsia="宋体" w:cs="宋体"/>
                <w:b/>
                <w:bCs/>
                <w:color w:val="auto"/>
                <w:kern w:val="0"/>
                <w:szCs w:val="21"/>
                <w:lang w:val="en-US" w:eastAsia="zh-CN"/>
              </w:rPr>
              <w:t>1.</w:t>
            </w:r>
            <w:r>
              <w:rPr>
                <w:rFonts w:hint="eastAsia" w:ascii="宋体" w:hAnsi="宋体" w:cs="宋体"/>
                <w:b/>
                <w:bCs/>
                <w:color w:val="auto"/>
                <w:kern w:val="0"/>
                <w:szCs w:val="21"/>
                <w:lang w:val="en-US" w:eastAsia="zh-CN"/>
              </w:rPr>
              <w:t>自有员工证明：</w:t>
            </w:r>
            <w:r>
              <w:rPr>
                <w:rFonts w:hint="eastAsia" w:ascii="宋体" w:hAnsi="宋体" w:eastAsia="宋体" w:cs="宋体"/>
                <w:color w:val="auto"/>
                <w:kern w:val="0"/>
                <w:szCs w:val="21"/>
                <w:lang w:val="en-US" w:eastAsia="zh-CN"/>
              </w:rPr>
              <w:t>需提供通过投标人缴纳的投标截止日近1个月的社保证明。近 1个月的社保证明无法提供的，则可以往前顺延一个月；如供应商为新成立企业且成立时间不足1个月，提供情况说明或者证明材料亦视为符合，亦可得分。若为退休返聘人员，需提供说明函（格式自拟），无需提供相关人员社保，亦可得分。</w:t>
            </w:r>
          </w:p>
          <w:p w14:paraId="5F972798">
            <w:pPr>
              <w:numPr>
                <w:ilvl w:val="0"/>
                <w:numId w:val="0"/>
              </w:numPr>
              <w:spacing w:line="240" w:lineRule="auto"/>
              <w:jc w:val="both"/>
              <w:rPr>
                <w:rFonts w:hint="eastAsia" w:ascii="宋体" w:hAnsi="宋体" w:eastAsia="宋体" w:cs="宋体"/>
                <w:color w:val="auto"/>
                <w:kern w:val="0"/>
                <w:szCs w:val="21"/>
                <w:lang w:val="en-US" w:eastAsia="zh-CN"/>
              </w:rPr>
            </w:pPr>
            <w:r>
              <w:rPr>
                <w:rFonts w:hint="eastAsia" w:ascii="宋体" w:hAnsi="宋体" w:eastAsia="宋体" w:cs="宋体"/>
                <w:b/>
                <w:bCs/>
                <w:color w:val="auto"/>
                <w:kern w:val="0"/>
                <w:szCs w:val="21"/>
                <w:lang w:val="en-US" w:eastAsia="zh-CN"/>
              </w:rPr>
              <w:t>2.涉及人员学历的</w:t>
            </w:r>
            <w:r>
              <w:rPr>
                <w:rFonts w:hint="eastAsia" w:ascii="宋体" w:hAnsi="宋体" w:eastAsia="宋体" w:cs="宋体"/>
                <w:color w:val="auto"/>
                <w:kern w:val="0"/>
                <w:szCs w:val="21"/>
                <w:lang w:val="en-US" w:eastAsia="zh-CN"/>
              </w:rPr>
              <w:t>，提供学历证书以及提供学信网查询记录，对于较早颁发的学历学位证书，学信网无法查询的，除提供证书外，可提供其他佐证材料（如毕业院校、人社部门等颁发机构或监管机构等单位出具的证明）作为得分依据；留学归国人员如无法提供学信网查询记录截图，提供国（境）外学历证书扫描件（以及中文翻译件）和教育部留学服务中心出具的国外学历学位认证书扫描件【或教育部留学服务中心网站（http://zwfw.cscse.edu.cn/）在线查询截图】也予以认可；证明材料均提供扫描件，原件备查；</w:t>
            </w:r>
          </w:p>
          <w:p w14:paraId="406414E1">
            <w:pPr>
              <w:numPr>
                <w:ilvl w:val="0"/>
                <w:numId w:val="0"/>
              </w:numPr>
              <w:spacing w:line="240" w:lineRule="auto"/>
              <w:jc w:val="both"/>
              <w:rPr>
                <w:rFonts w:hint="eastAsia" w:ascii="宋体" w:hAnsi="宋体" w:eastAsia="宋体" w:cs="宋体"/>
                <w:color w:val="auto"/>
                <w:kern w:val="0"/>
                <w:szCs w:val="21"/>
                <w:lang w:val="en-US" w:eastAsia="zh-CN"/>
              </w:rPr>
            </w:pPr>
            <w:r>
              <w:rPr>
                <w:rFonts w:hint="eastAsia" w:ascii="宋体" w:hAnsi="宋体" w:eastAsia="宋体" w:cs="宋体"/>
                <w:b/>
                <w:bCs/>
                <w:color w:val="auto"/>
                <w:kern w:val="0"/>
                <w:szCs w:val="21"/>
                <w:lang w:val="en-US" w:eastAsia="zh-CN"/>
              </w:rPr>
              <w:t>3</w:t>
            </w:r>
            <w:r>
              <w:rPr>
                <w:rFonts w:hint="eastAsia" w:ascii="宋体" w:hAnsi="宋体" w:cs="宋体"/>
                <w:b/>
                <w:bCs/>
                <w:color w:val="auto"/>
                <w:kern w:val="0"/>
                <w:szCs w:val="21"/>
                <w:lang w:val="en-US" w:eastAsia="zh-CN"/>
              </w:rPr>
              <w:t>.</w:t>
            </w:r>
            <w:r>
              <w:rPr>
                <w:rFonts w:hint="eastAsia" w:ascii="宋体" w:hAnsi="宋体" w:eastAsia="宋体" w:cs="宋体"/>
                <w:b/>
                <w:bCs/>
                <w:color w:val="auto"/>
                <w:kern w:val="0"/>
                <w:szCs w:val="21"/>
                <w:lang w:val="en-US" w:eastAsia="zh-CN"/>
              </w:rPr>
              <w:t>涉及人员服务经验的</w:t>
            </w:r>
            <w:r>
              <w:rPr>
                <w:rFonts w:hint="eastAsia" w:ascii="宋体" w:hAnsi="宋体" w:eastAsia="宋体" w:cs="宋体"/>
                <w:color w:val="auto"/>
                <w:kern w:val="0"/>
                <w:szCs w:val="21"/>
                <w:lang w:val="en-US" w:eastAsia="zh-CN"/>
              </w:rPr>
              <w:t>，要求提供</w:t>
            </w:r>
            <w:r>
              <w:rPr>
                <w:rFonts w:hint="eastAsia" w:ascii="宋体" w:hAnsi="宋体" w:cs="宋体"/>
                <w:color w:val="auto"/>
                <w:kern w:val="0"/>
                <w:szCs w:val="21"/>
                <w:lang w:val="en-US" w:eastAsia="zh-CN"/>
              </w:rPr>
              <w:t>项目经理</w:t>
            </w:r>
            <w:r>
              <w:rPr>
                <w:rFonts w:hint="eastAsia" w:ascii="宋体" w:hAnsi="宋体" w:eastAsia="宋体" w:cs="宋体"/>
                <w:color w:val="auto"/>
                <w:kern w:val="0"/>
                <w:szCs w:val="21"/>
                <w:lang w:val="en-US" w:eastAsia="zh-CN"/>
              </w:rPr>
              <w:t>具备单位投保的保险服务经验的相关证明文件，如项目服务合同关键信息页或保单等；若通过项目服务合同关键信息页或保单无法判断是否得分的，还</w:t>
            </w:r>
            <w:r>
              <w:rPr>
                <w:rFonts w:hint="eastAsia" w:ascii="宋体" w:hAnsi="宋体" w:cs="宋体"/>
                <w:color w:val="auto"/>
                <w:kern w:val="0"/>
                <w:szCs w:val="21"/>
                <w:lang w:val="en-US" w:eastAsia="zh-CN"/>
              </w:rPr>
              <w:t>需</w:t>
            </w:r>
            <w:r>
              <w:rPr>
                <w:rFonts w:hint="eastAsia" w:ascii="宋体" w:hAnsi="宋体" w:eastAsia="宋体" w:cs="宋体"/>
                <w:color w:val="auto"/>
                <w:kern w:val="0"/>
                <w:szCs w:val="21"/>
                <w:lang w:val="en-US" w:eastAsia="zh-CN"/>
              </w:rPr>
              <w:t>同时提供能证明得分的其它证明资料，如项目报告或合同甲方出具的加盖公章或业务章证明文件或投标人提供承诺函（格式自拟）等。</w:t>
            </w:r>
          </w:p>
          <w:p w14:paraId="77D24D3C">
            <w:pPr>
              <w:pStyle w:val="2"/>
              <w:keepNext w:val="0"/>
              <w:keepLines w:val="0"/>
              <w:pageBreakBefore w:val="0"/>
              <w:widowControl w:val="0"/>
              <w:kinsoku/>
              <w:wordWrap/>
              <w:overflowPunct/>
              <w:topLinePunct w:val="0"/>
              <w:autoSpaceDE/>
              <w:autoSpaceDN/>
              <w:bidi w:val="0"/>
              <w:adjustRightInd/>
              <w:snapToGrid/>
              <w:spacing w:line="240" w:lineRule="auto"/>
              <w:textAlignment w:val="auto"/>
              <w:rPr>
                <w:color w:val="auto"/>
              </w:rPr>
            </w:pPr>
            <w:r>
              <w:rPr>
                <w:rFonts w:hint="eastAsia" w:ascii="宋体" w:hAnsi="宋体" w:eastAsia="宋体" w:cs="宋体"/>
                <w:b w:val="0"/>
                <w:bCs w:val="0"/>
                <w:color w:val="auto"/>
                <w:kern w:val="0"/>
                <w:sz w:val="21"/>
                <w:szCs w:val="21"/>
                <w:lang w:val="en-US" w:eastAsia="zh-CN" w:bidi="ar-SA"/>
              </w:rPr>
              <w:t>4.以上证明材料原件备查，未提供证明材料或者提供的证明材料不符合要求或评审专家无法凭所提供资料判断是否得分的，一律做不得分处理。</w:t>
            </w:r>
          </w:p>
        </w:tc>
      </w:tr>
      <w:tr w14:paraId="281E770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45F4E0D5">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6CC87FC1">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10" w:type="dxa"/>
            <w:tcBorders>
              <w:top w:val="single" w:color="000000" w:sz="8" w:space="0"/>
              <w:left w:val="single" w:color="000000" w:sz="8" w:space="0"/>
              <w:bottom w:val="single" w:color="000000" w:sz="8" w:space="0"/>
              <w:right w:val="single" w:color="000000" w:sz="8" w:space="0"/>
            </w:tcBorders>
            <w:vAlign w:val="center"/>
          </w:tcPr>
          <w:p w14:paraId="76BC96AA">
            <w:pPr>
              <w:wordWrap w:val="0"/>
              <w:jc w:val="center"/>
              <w:rPr>
                <w:rFonts w:ascii="宋体" w:hAnsi="宋体" w:cs="宋体"/>
                <w:szCs w:val="21"/>
              </w:rPr>
            </w:pPr>
            <w:r>
              <w:rPr>
                <w:rFonts w:hint="eastAsia" w:ascii="宋体" w:hAnsi="宋体" w:eastAsia="宋体" w:cs="宋体"/>
                <w:kern w:val="0"/>
                <w:sz w:val="21"/>
                <w:szCs w:val="21"/>
                <w:highlight w:val="none"/>
                <w:lang w:eastAsia="zh-CN"/>
              </w:rPr>
              <w:t>项目实施方案</w:t>
            </w:r>
          </w:p>
        </w:tc>
        <w:tc>
          <w:tcPr>
            <w:tcW w:w="893" w:type="dxa"/>
            <w:tcBorders>
              <w:top w:val="single" w:color="000000" w:sz="8" w:space="0"/>
              <w:left w:val="single" w:color="000000" w:sz="8" w:space="0"/>
              <w:bottom w:val="single" w:color="000000" w:sz="8" w:space="0"/>
              <w:right w:val="single" w:color="000000" w:sz="8" w:space="0"/>
            </w:tcBorders>
            <w:vAlign w:val="center"/>
          </w:tcPr>
          <w:p w14:paraId="6E99AE3B">
            <w:pPr>
              <w:wordWrap w:val="0"/>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5984" w:type="dxa"/>
            <w:tcBorders>
              <w:top w:val="single" w:color="000000" w:sz="8" w:space="0"/>
              <w:left w:val="single" w:color="000000" w:sz="8" w:space="0"/>
              <w:bottom w:val="single" w:color="000000" w:sz="8" w:space="0"/>
              <w:right w:val="single" w:color="000000" w:sz="8" w:space="0"/>
            </w:tcBorders>
          </w:tcPr>
          <w:p w14:paraId="06497C28">
            <w:pPr>
              <w:numPr>
                <w:ilvl w:val="-1"/>
                <w:numId w:val="0"/>
              </w:numPr>
              <w:spacing w:line="240" w:lineRule="auto"/>
              <w:ind w:firstLine="0"/>
              <w:jc w:val="left"/>
              <w:rPr>
                <w:rFonts w:hint="eastAsia" w:ascii="宋体" w:hAnsi="宋体" w:eastAsia="宋体" w:cs="宋体"/>
                <w:b/>
                <w:bCs/>
                <w:kern w:val="0"/>
                <w:sz w:val="21"/>
                <w:szCs w:val="21"/>
                <w:highlight w:val="none"/>
                <w:lang w:eastAsia="zh-CN"/>
              </w:rPr>
            </w:pPr>
            <w:r>
              <w:rPr>
                <w:rFonts w:hint="eastAsia" w:ascii="宋体" w:hAnsi="宋体" w:eastAsia="宋体" w:cs="宋体"/>
                <w:b/>
                <w:bCs/>
                <w:kern w:val="0"/>
                <w:sz w:val="21"/>
                <w:szCs w:val="21"/>
                <w:highlight w:val="none"/>
                <w:lang w:eastAsia="zh-CN"/>
              </w:rPr>
              <w:t>（一）评</w:t>
            </w:r>
            <w:r>
              <w:rPr>
                <w:rFonts w:hint="eastAsia" w:ascii="宋体" w:hAnsi="宋体" w:cs="宋体"/>
                <w:b/>
                <w:bCs/>
                <w:kern w:val="0"/>
                <w:sz w:val="21"/>
                <w:szCs w:val="21"/>
                <w:highlight w:val="none"/>
                <w:lang w:val="en-US" w:eastAsia="zh-CN"/>
              </w:rPr>
              <w:t>分</w:t>
            </w:r>
            <w:r>
              <w:rPr>
                <w:rFonts w:hint="eastAsia" w:ascii="宋体" w:hAnsi="宋体" w:eastAsia="宋体" w:cs="宋体"/>
                <w:b/>
                <w:bCs/>
                <w:kern w:val="0"/>
                <w:sz w:val="21"/>
                <w:szCs w:val="21"/>
                <w:highlight w:val="none"/>
                <w:lang w:eastAsia="zh-CN"/>
              </w:rPr>
              <w:t>内容：</w:t>
            </w:r>
          </w:p>
          <w:p w14:paraId="4E14F736">
            <w:pPr>
              <w:numPr>
                <w:ilvl w:val="0"/>
                <w:numId w:val="0"/>
              </w:numPr>
              <w:spacing w:line="240" w:lineRule="auto"/>
              <w:jc w:val="left"/>
              <w:rPr>
                <w:rFonts w:hint="eastAsia" w:ascii="宋体" w:hAnsi="宋体" w:eastAsia="宋体" w:cs="宋体"/>
                <w:kern w:val="0"/>
                <w:sz w:val="21"/>
                <w:szCs w:val="21"/>
                <w:highlight w:val="none"/>
                <w:lang w:val="en-US" w:eastAsia="zh-CN"/>
              </w:rPr>
            </w:pPr>
            <w:r>
              <w:rPr>
                <w:rFonts w:hint="eastAsia" w:ascii="宋体" w:hAnsi="宋体" w:eastAsia="宋体" w:cs="宋体"/>
                <w:kern w:val="0"/>
                <w:sz w:val="21"/>
                <w:szCs w:val="21"/>
                <w:highlight w:val="none"/>
              </w:rPr>
              <w:t>投标人</w:t>
            </w:r>
            <w:r>
              <w:rPr>
                <w:rFonts w:hint="eastAsia" w:ascii="宋体" w:hAnsi="宋体" w:eastAsia="宋体" w:cs="宋体"/>
                <w:kern w:val="0"/>
                <w:sz w:val="21"/>
                <w:szCs w:val="21"/>
                <w:highlight w:val="none"/>
                <w:lang w:eastAsia="zh-CN"/>
              </w:rPr>
              <w:t>按采购文件第三章用户需求书</w:t>
            </w:r>
            <w:r>
              <w:rPr>
                <w:rFonts w:hint="eastAsia" w:ascii="宋体" w:hAnsi="宋体" w:eastAsia="宋体" w:cs="宋体"/>
                <w:kern w:val="0"/>
                <w:sz w:val="21"/>
                <w:szCs w:val="21"/>
                <w:highlight w:val="none"/>
                <w:lang w:val="en-US" w:eastAsia="zh-CN"/>
              </w:rPr>
              <w:t xml:space="preserve"> 第五条服务要求</w:t>
            </w:r>
            <w:r>
              <w:rPr>
                <w:rFonts w:hint="eastAsia" w:ascii="宋体" w:hAnsi="宋体" w:eastAsia="宋体" w:cs="宋体"/>
                <w:kern w:val="0"/>
                <w:sz w:val="21"/>
                <w:szCs w:val="21"/>
                <w:highlight w:val="none"/>
                <w:lang w:eastAsia="zh-CN"/>
              </w:rPr>
              <w:t>提出</w:t>
            </w:r>
            <w:r>
              <w:rPr>
                <w:rFonts w:hint="eastAsia" w:ascii="宋体" w:hAnsi="宋体" w:eastAsia="宋体" w:cs="宋体"/>
                <w:kern w:val="0"/>
                <w:sz w:val="21"/>
                <w:szCs w:val="21"/>
                <w:highlight w:val="none"/>
              </w:rPr>
              <w:t>对项目的</w:t>
            </w:r>
            <w:r>
              <w:rPr>
                <w:rFonts w:hint="eastAsia" w:ascii="宋体" w:hAnsi="宋体" w:eastAsia="宋体" w:cs="宋体"/>
                <w:kern w:val="0"/>
                <w:sz w:val="21"/>
                <w:szCs w:val="21"/>
                <w:highlight w:val="none"/>
                <w:lang w:eastAsia="zh-CN"/>
              </w:rPr>
              <w:t>实施方案</w:t>
            </w:r>
            <w:r>
              <w:rPr>
                <w:rFonts w:hint="eastAsia" w:ascii="宋体" w:hAnsi="宋体" w:eastAsia="宋体" w:cs="宋体"/>
                <w:kern w:val="0"/>
                <w:sz w:val="21"/>
                <w:szCs w:val="21"/>
                <w:highlight w:val="none"/>
              </w:rPr>
              <w:t>，包括</w:t>
            </w:r>
            <w:r>
              <w:rPr>
                <w:rFonts w:hint="eastAsia" w:ascii="宋体" w:hAnsi="宋体" w:eastAsia="宋体" w:cs="宋体"/>
                <w:kern w:val="0"/>
                <w:sz w:val="21"/>
                <w:szCs w:val="21"/>
                <w:highlight w:val="none"/>
                <w:lang w:val="en-US" w:eastAsia="zh-CN"/>
              </w:rPr>
              <w:t>但不限于：</w:t>
            </w:r>
          </w:p>
          <w:p w14:paraId="415FDB71">
            <w:pPr>
              <w:numPr>
                <w:ilvl w:val="0"/>
                <w:numId w:val="0"/>
              </w:numPr>
              <w:spacing w:line="240" w:lineRule="auto"/>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（1）保险理赔报案</w:t>
            </w:r>
            <w:r>
              <w:rPr>
                <w:rFonts w:hint="eastAsia" w:ascii="宋体" w:hAnsi="宋体" w:eastAsia="宋体" w:cs="宋体"/>
                <w:kern w:val="0"/>
                <w:szCs w:val="21"/>
                <w:highlight w:val="none"/>
                <w:lang w:eastAsia="zh-CN"/>
              </w:rPr>
              <w:t>流程；</w:t>
            </w:r>
          </w:p>
          <w:p w14:paraId="06980AC0">
            <w:pPr>
              <w:numPr>
                <w:ilvl w:val="0"/>
                <w:numId w:val="0"/>
              </w:numPr>
              <w:spacing w:line="240" w:lineRule="auto"/>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（2）理赔</w:t>
            </w:r>
            <w:r>
              <w:rPr>
                <w:rFonts w:hint="eastAsia" w:ascii="宋体" w:hAnsi="宋体" w:eastAsia="宋体" w:cs="宋体"/>
                <w:kern w:val="0"/>
                <w:szCs w:val="21"/>
                <w:highlight w:val="none"/>
                <w:lang w:eastAsia="zh-CN"/>
              </w:rPr>
              <w:t>手续</w:t>
            </w:r>
            <w:r>
              <w:rPr>
                <w:rFonts w:hint="eastAsia" w:ascii="宋体" w:hAnsi="宋体" w:eastAsia="宋体" w:cs="宋体"/>
                <w:kern w:val="0"/>
                <w:szCs w:val="21"/>
                <w:highlight w:val="none"/>
              </w:rPr>
              <w:t>流程；</w:t>
            </w:r>
          </w:p>
          <w:p w14:paraId="24D033C2">
            <w:pPr>
              <w:numPr>
                <w:ilvl w:val="0"/>
                <w:numId w:val="0"/>
              </w:numPr>
              <w:spacing w:line="240" w:lineRule="auto"/>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（3）保险理赔的时效性；</w:t>
            </w:r>
          </w:p>
          <w:p w14:paraId="0FC490E0">
            <w:pPr>
              <w:numPr>
                <w:ilvl w:val="0"/>
                <w:numId w:val="0"/>
              </w:numPr>
              <w:spacing w:line="240" w:lineRule="auto"/>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（4）</w:t>
            </w:r>
            <w:r>
              <w:rPr>
                <w:rFonts w:hint="eastAsia" w:ascii="宋体" w:hAnsi="宋体" w:eastAsia="宋体" w:cs="宋体"/>
                <w:kern w:val="0"/>
                <w:szCs w:val="21"/>
                <w:highlight w:val="none"/>
                <w:lang w:eastAsia="zh-CN"/>
              </w:rPr>
              <w:t>宣传</w:t>
            </w:r>
            <w:r>
              <w:rPr>
                <w:rFonts w:hint="eastAsia" w:ascii="宋体" w:hAnsi="宋体" w:eastAsia="宋体" w:cs="宋体"/>
                <w:kern w:val="0"/>
                <w:szCs w:val="21"/>
                <w:highlight w:val="none"/>
              </w:rPr>
              <w:t>方案，包含</w:t>
            </w:r>
            <w:r>
              <w:rPr>
                <w:rFonts w:hint="eastAsia" w:ascii="宋体" w:hAnsi="宋体" w:eastAsia="宋体" w:cs="宋体"/>
                <w:kern w:val="0"/>
                <w:szCs w:val="21"/>
                <w:highlight w:val="none"/>
                <w:lang w:eastAsia="zh-CN"/>
              </w:rPr>
              <w:t>宣传</w:t>
            </w:r>
            <w:r>
              <w:rPr>
                <w:rFonts w:hint="eastAsia" w:ascii="宋体" w:hAnsi="宋体" w:eastAsia="宋体" w:cs="宋体"/>
                <w:kern w:val="0"/>
                <w:szCs w:val="21"/>
                <w:highlight w:val="none"/>
              </w:rPr>
              <w:t>内容及场次；</w:t>
            </w:r>
          </w:p>
          <w:p w14:paraId="64A658A6">
            <w:pPr>
              <w:spacing w:line="240" w:lineRule="auto"/>
              <w:ind w:firstLine="0"/>
              <w:jc w:val="left"/>
              <w:rPr>
                <w:rFonts w:hint="eastAsia" w:ascii="宋体" w:hAnsi="宋体" w:eastAsia="宋体" w:cs="宋体"/>
                <w:b/>
                <w:bCs/>
                <w:kern w:val="0"/>
                <w:sz w:val="21"/>
                <w:szCs w:val="21"/>
                <w:highlight w:val="none"/>
                <w:lang w:eastAsia="zh-CN"/>
              </w:rPr>
            </w:pPr>
            <w:r>
              <w:rPr>
                <w:rFonts w:hint="eastAsia" w:ascii="宋体" w:hAnsi="宋体" w:eastAsia="宋体" w:cs="宋体"/>
                <w:kern w:val="0"/>
                <w:szCs w:val="21"/>
                <w:highlight w:val="none"/>
              </w:rPr>
              <w:t>（5）提供免费法律援助等多样化增值服务。</w:t>
            </w:r>
          </w:p>
          <w:p w14:paraId="189100E3">
            <w:pPr>
              <w:spacing w:line="240" w:lineRule="auto"/>
              <w:ind w:firstLine="0"/>
              <w:jc w:val="left"/>
              <w:rPr>
                <w:rFonts w:hint="eastAsia" w:ascii="宋体" w:hAnsi="宋体" w:eastAsia="宋体" w:cs="宋体"/>
                <w:kern w:val="0"/>
                <w:sz w:val="21"/>
                <w:szCs w:val="21"/>
                <w:highlight w:val="none"/>
                <w:lang w:eastAsia="zh-CN"/>
              </w:rPr>
            </w:pPr>
            <w:r>
              <w:rPr>
                <w:rFonts w:hint="eastAsia" w:ascii="宋体" w:hAnsi="宋体" w:eastAsia="宋体" w:cs="宋体"/>
                <w:b/>
                <w:bCs/>
                <w:kern w:val="0"/>
                <w:sz w:val="21"/>
                <w:szCs w:val="21"/>
                <w:highlight w:val="none"/>
                <w:lang w:eastAsia="zh-CN"/>
              </w:rPr>
              <w:t>（二）评</w:t>
            </w:r>
            <w:r>
              <w:rPr>
                <w:rFonts w:hint="eastAsia" w:ascii="宋体" w:hAnsi="宋体" w:cs="宋体"/>
                <w:b/>
                <w:bCs/>
                <w:kern w:val="0"/>
                <w:sz w:val="21"/>
                <w:szCs w:val="21"/>
                <w:highlight w:val="none"/>
                <w:lang w:val="en-US" w:eastAsia="zh-CN"/>
              </w:rPr>
              <w:t>分依据</w:t>
            </w:r>
            <w:r>
              <w:rPr>
                <w:rFonts w:hint="eastAsia" w:ascii="宋体" w:hAnsi="宋体" w:eastAsia="宋体" w:cs="宋体"/>
                <w:kern w:val="0"/>
                <w:sz w:val="21"/>
                <w:szCs w:val="21"/>
                <w:highlight w:val="none"/>
                <w:lang w:eastAsia="zh-CN"/>
              </w:rPr>
              <w:t>：</w:t>
            </w:r>
          </w:p>
          <w:p w14:paraId="285C9A85">
            <w:pPr>
              <w:spacing w:line="240" w:lineRule="auto"/>
              <w:ind w:firstLine="0"/>
              <w:jc w:val="left"/>
              <w:rPr>
                <w:rFonts w:hint="eastAsia" w:ascii="宋体" w:hAnsi="宋体" w:eastAsia="宋体" w:cs="宋体"/>
                <w:kern w:val="0"/>
                <w:sz w:val="21"/>
                <w:szCs w:val="21"/>
                <w:highlight w:val="none"/>
              </w:rPr>
            </w:pPr>
            <w:r>
              <w:rPr>
                <w:rFonts w:hint="eastAsia" w:ascii="宋体" w:hAnsi="宋体" w:cs="宋体"/>
                <w:kern w:val="0"/>
                <w:sz w:val="21"/>
                <w:szCs w:val="21"/>
                <w:highlight w:val="none"/>
                <w:lang w:eastAsia="zh-CN"/>
              </w:rPr>
              <w:t>每提供以上任意</w:t>
            </w:r>
            <w:r>
              <w:rPr>
                <w:rFonts w:hint="eastAsia" w:ascii="宋体" w:hAnsi="宋体" w:cs="宋体"/>
                <w:kern w:val="0"/>
                <w:sz w:val="21"/>
                <w:szCs w:val="21"/>
                <w:highlight w:val="none"/>
                <w:lang w:val="en-US" w:eastAsia="zh-CN"/>
              </w:rPr>
              <w:t>1项内容的得12分，最高得60分</w:t>
            </w:r>
            <w:r>
              <w:rPr>
                <w:rFonts w:hint="eastAsia" w:ascii="宋体" w:hAnsi="宋体" w:eastAsia="宋体" w:cs="宋体"/>
                <w:kern w:val="0"/>
                <w:sz w:val="21"/>
                <w:szCs w:val="21"/>
                <w:highlight w:val="none"/>
              </w:rPr>
              <w:t>。</w:t>
            </w:r>
          </w:p>
          <w:p w14:paraId="70B83268">
            <w:pPr>
              <w:numPr>
                <w:ilvl w:val="-1"/>
                <w:numId w:val="0"/>
              </w:numPr>
              <w:spacing w:line="240" w:lineRule="auto"/>
              <w:ind w:firstLine="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在此基础上，根据</w:t>
            </w:r>
            <w:r>
              <w:rPr>
                <w:rFonts w:hint="eastAsia" w:ascii="宋体" w:hAnsi="宋体" w:eastAsia="宋体" w:cs="宋体"/>
                <w:kern w:val="0"/>
                <w:sz w:val="21"/>
                <w:szCs w:val="21"/>
                <w:highlight w:val="none"/>
                <w:lang w:eastAsia="zh-CN"/>
              </w:rPr>
              <w:t>投标人</w:t>
            </w:r>
            <w:r>
              <w:rPr>
                <w:rFonts w:hint="eastAsia" w:ascii="宋体" w:hAnsi="宋体" w:eastAsia="宋体" w:cs="宋体"/>
                <w:kern w:val="0"/>
                <w:sz w:val="21"/>
                <w:szCs w:val="21"/>
                <w:highlight w:val="none"/>
              </w:rPr>
              <w:t>的具体响应内容按照量化的评审因素指标进一步评审：</w:t>
            </w:r>
          </w:p>
          <w:p w14:paraId="2E3BA9B1">
            <w:pPr>
              <w:numPr>
                <w:ilvl w:val="0"/>
                <w:numId w:val="7"/>
              </w:numPr>
              <w:spacing w:line="240" w:lineRule="auto"/>
              <w:ind w:firstLine="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评价为优</w:t>
            </w:r>
            <w:r>
              <w:rPr>
                <w:rFonts w:hint="eastAsia" w:ascii="宋体" w:hAnsi="宋体" w:cs="宋体"/>
                <w:color w:val="000000"/>
                <w:kern w:val="0"/>
                <w:sz w:val="21"/>
                <w:szCs w:val="21"/>
                <w:highlight w:val="none"/>
                <w:lang w:eastAsia="zh-CN"/>
              </w:rPr>
              <w:t>：</w:t>
            </w:r>
            <w:r>
              <w:rPr>
                <w:rFonts w:hint="eastAsia" w:ascii="宋体" w:hAnsi="宋体" w:eastAsia="宋体" w:cs="宋体"/>
                <w:kern w:val="0"/>
                <w:szCs w:val="21"/>
                <w:lang w:val="en-US" w:eastAsia="zh-CN"/>
              </w:rPr>
              <w:t>方案内容全面具体、可操作性强、</w:t>
            </w:r>
            <w:r>
              <w:rPr>
                <w:rFonts w:hint="eastAsia" w:ascii="宋体" w:hAnsi="宋体" w:eastAsia="宋体" w:cs="宋体"/>
                <w:color w:val="000000"/>
                <w:kern w:val="0"/>
                <w:sz w:val="21"/>
                <w:szCs w:val="21"/>
                <w:highlight w:val="none"/>
              </w:rPr>
              <w:t>切合本项目服务需求的，</w:t>
            </w:r>
            <w:r>
              <w:rPr>
                <w:rFonts w:hint="eastAsia" w:ascii="宋体" w:hAnsi="宋体" w:cs="宋体"/>
                <w:color w:val="000000"/>
                <w:kern w:val="0"/>
                <w:sz w:val="21"/>
                <w:szCs w:val="21"/>
                <w:highlight w:val="none"/>
                <w:lang w:val="en-US" w:eastAsia="zh-CN"/>
              </w:rPr>
              <w:t>加40</w:t>
            </w:r>
            <w:r>
              <w:rPr>
                <w:rFonts w:hint="eastAsia" w:ascii="宋体" w:hAnsi="宋体" w:eastAsia="宋体" w:cs="宋体"/>
                <w:color w:val="000000"/>
                <w:kern w:val="0"/>
                <w:sz w:val="21"/>
                <w:szCs w:val="21"/>
                <w:highlight w:val="none"/>
              </w:rPr>
              <w:t>分；</w:t>
            </w:r>
          </w:p>
          <w:p w14:paraId="4D816C42">
            <w:pPr>
              <w:numPr>
                <w:ilvl w:val="0"/>
                <w:numId w:val="7"/>
              </w:numPr>
              <w:spacing w:line="240" w:lineRule="auto"/>
              <w:ind w:firstLine="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评价为良</w:t>
            </w:r>
            <w:r>
              <w:rPr>
                <w:rFonts w:hint="eastAsia" w:ascii="宋体" w:hAnsi="宋体" w:cs="宋体"/>
                <w:color w:val="000000"/>
                <w:kern w:val="0"/>
                <w:sz w:val="21"/>
                <w:szCs w:val="21"/>
                <w:highlight w:val="none"/>
                <w:lang w:eastAsia="zh-CN"/>
              </w:rPr>
              <w:t>：</w:t>
            </w:r>
            <w:r>
              <w:rPr>
                <w:rFonts w:hint="eastAsia" w:ascii="宋体" w:hAnsi="宋体" w:eastAsia="宋体" w:cs="宋体"/>
                <w:kern w:val="0"/>
                <w:szCs w:val="21"/>
                <w:lang w:val="en-US" w:eastAsia="zh-CN"/>
              </w:rPr>
              <w:t>方案内容较全面具体、可操作性较强</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较好满足本项目服务需求的，</w:t>
            </w:r>
            <w:r>
              <w:rPr>
                <w:rFonts w:hint="eastAsia" w:ascii="宋体" w:hAnsi="宋体" w:cs="宋体"/>
                <w:color w:val="000000"/>
                <w:kern w:val="0"/>
                <w:sz w:val="21"/>
                <w:szCs w:val="21"/>
                <w:highlight w:val="none"/>
                <w:lang w:val="en-US" w:eastAsia="zh-CN"/>
              </w:rPr>
              <w:t>加20</w:t>
            </w:r>
            <w:r>
              <w:rPr>
                <w:rFonts w:hint="eastAsia" w:ascii="宋体" w:hAnsi="宋体" w:eastAsia="宋体" w:cs="宋体"/>
                <w:color w:val="000000"/>
                <w:kern w:val="0"/>
                <w:sz w:val="21"/>
                <w:szCs w:val="21"/>
                <w:highlight w:val="none"/>
              </w:rPr>
              <w:t>分；</w:t>
            </w:r>
          </w:p>
          <w:p w14:paraId="31D37BF9">
            <w:pPr>
              <w:numPr>
                <w:ilvl w:val="0"/>
                <w:numId w:val="7"/>
              </w:numPr>
              <w:spacing w:line="240" w:lineRule="auto"/>
              <w:ind w:firstLine="0"/>
              <w:jc w:val="left"/>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评价为中</w:t>
            </w:r>
            <w:r>
              <w:rPr>
                <w:rFonts w:hint="eastAsia" w:ascii="宋体" w:hAnsi="宋体" w:cs="宋体"/>
                <w:color w:val="000000"/>
                <w:kern w:val="0"/>
                <w:sz w:val="21"/>
                <w:szCs w:val="21"/>
                <w:highlight w:val="none"/>
                <w:lang w:eastAsia="zh-CN"/>
              </w:rPr>
              <w:t>：</w:t>
            </w:r>
            <w:r>
              <w:rPr>
                <w:rFonts w:hint="eastAsia" w:ascii="宋体" w:hAnsi="宋体" w:eastAsia="宋体" w:cs="宋体"/>
                <w:kern w:val="0"/>
                <w:szCs w:val="21"/>
                <w:lang w:val="en-US" w:eastAsia="zh-CN"/>
              </w:rPr>
              <w:t>方案内容一般、可操作性一般</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基本满足本项目服务需求的，</w:t>
            </w:r>
            <w:r>
              <w:rPr>
                <w:rFonts w:hint="eastAsia" w:ascii="宋体" w:hAnsi="宋体" w:cs="宋体"/>
                <w:color w:val="000000"/>
                <w:kern w:val="0"/>
                <w:sz w:val="21"/>
                <w:szCs w:val="21"/>
                <w:highlight w:val="none"/>
                <w:lang w:val="en-US" w:eastAsia="zh-CN"/>
              </w:rPr>
              <w:t>加</w:t>
            </w:r>
            <w:r>
              <w:rPr>
                <w:rFonts w:hint="eastAsia" w:ascii="宋体" w:hAnsi="宋体" w:eastAsia="宋体" w:cs="宋体"/>
                <w:color w:val="000000"/>
                <w:kern w:val="0"/>
                <w:sz w:val="21"/>
                <w:szCs w:val="21"/>
                <w:highlight w:val="none"/>
                <w:lang w:val="en-US" w:eastAsia="zh-CN"/>
              </w:rPr>
              <w:t>1</w:t>
            </w:r>
            <w:r>
              <w:rPr>
                <w:rFonts w:hint="eastAsia" w:ascii="宋体" w:hAnsi="宋体" w:cs="宋体"/>
                <w:color w:val="000000"/>
                <w:kern w:val="0"/>
                <w:sz w:val="21"/>
                <w:szCs w:val="21"/>
                <w:highlight w:val="none"/>
                <w:lang w:val="en-US" w:eastAsia="zh-CN"/>
              </w:rPr>
              <w:t>0</w:t>
            </w:r>
            <w:r>
              <w:rPr>
                <w:rFonts w:hint="eastAsia" w:ascii="宋体" w:hAnsi="宋体" w:eastAsia="宋体" w:cs="宋体"/>
                <w:color w:val="000000"/>
                <w:kern w:val="0"/>
                <w:sz w:val="21"/>
                <w:szCs w:val="21"/>
                <w:highlight w:val="none"/>
              </w:rPr>
              <w:t>分；</w:t>
            </w:r>
          </w:p>
          <w:p w14:paraId="43E341C7">
            <w:pPr>
              <w:wordWrap w:val="0"/>
              <w:rPr>
                <w:rFonts w:ascii="宋体" w:hAnsi="宋体" w:cs="宋体"/>
                <w:szCs w:val="21"/>
              </w:rPr>
            </w:pPr>
            <w:r>
              <w:rPr>
                <w:rFonts w:hint="eastAsia" w:ascii="宋体" w:hAnsi="宋体" w:cs="宋体"/>
                <w:kern w:val="0"/>
                <w:szCs w:val="21"/>
                <w:lang w:val="en-US" w:eastAsia="zh-CN"/>
              </w:rPr>
              <w:t>（4）</w:t>
            </w:r>
            <w:r>
              <w:rPr>
                <w:rFonts w:hint="eastAsia" w:ascii="宋体" w:hAnsi="宋体" w:eastAsia="宋体" w:cs="宋体"/>
                <w:color w:val="000000"/>
                <w:kern w:val="0"/>
                <w:sz w:val="21"/>
                <w:szCs w:val="21"/>
                <w:highlight w:val="none"/>
              </w:rPr>
              <w:t>评价为差</w:t>
            </w:r>
            <w:r>
              <w:rPr>
                <w:rFonts w:hint="eastAsia" w:ascii="宋体" w:hAnsi="宋体" w:cs="宋体"/>
                <w:color w:val="000000"/>
                <w:kern w:val="0"/>
                <w:sz w:val="21"/>
                <w:szCs w:val="21"/>
                <w:highlight w:val="none"/>
                <w:lang w:eastAsia="zh-CN"/>
              </w:rPr>
              <w:t>：</w:t>
            </w:r>
            <w:r>
              <w:rPr>
                <w:rFonts w:hint="eastAsia" w:ascii="宋体" w:hAnsi="宋体" w:eastAsia="宋体" w:cs="宋体"/>
                <w:kern w:val="0"/>
                <w:szCs w:val="21"/>
                <w:lang w:val="en-US" w:eastAsia="zh-CN"/>
              </w:rPr>
              <w:t>方案内容差、无可操作性、</w:t>
            </w:r>
            <w:r>
              <w:rPr>
                <w:rFonts w:hint="eastAsia" w:ascii="宋体" w:hAnsi="宋体" w:eastAsia="宋体" w:cs="宋体"/>
                <w:color w:val="000000"/>
                <w:kern w:val="0"/>
                <w:sz w:val="21"/>
                <w:szCs w:val="21"/>
                <w:highlight w:val="none"/>
              </w:rPr>
              <w:t>不符合项目需求的，</w:t>
            </w:r>
            <w:r>
              <w:rPr>
                <w:rFonts w:hint="eastAsia" w:ascii="宋体" w:hAnsi="宋体" w:cs="宋体"/>
                <w:color w:val="000000"/>
                <w:kern w:val="0"/>
                <w:sz w:val="21"/>
                <w:szCs w:val="21"/>
                <w:highlight w:val="none"/>
                <w:lang w:val="en-US" w:eastAsia="zh-CN"/>
              </w:rPr>
              <w:t>不加分</w:t>
            </w:r>
            <w:r>
              <w:rPr>
                <w:rFonts w:hint="eastAsia" w:ascii="宋体" w:hAnsi="宋体" w:eastAsia="宋体" w:cs="宋体"/>
                <w:color w:val="000000"/>
                <w:kern w:val="0"/>
                <w:sz w:val="21"/>
                <w:szCs w:val="21"/>
                <w:highlight w:val="none"/>
              </w:rPr>
              <w:t>。</w:t>
            </w:r>
          </w:p>
        </w:tc>
      </w:tr>
      <w:tr w14:paraId="3BE88B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16927DAB">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5C496AC5">
            <w:pPr>
              <w:wordWrap w:val="0"/>
              <w:jc w:val="center"/>
              <w:rPr>
                <w:rFonts w:hint="eastAsia" w:ascii="宋体" w:hAnsi="宋体" w:cs="宋体"/>
                <w:szCs w:val="21"/>
                <w:lang w:val="en-US" w:eastAsia="zh-CN"/>
              </w:rPr>
            </w:pPr>
          </w:p>
          <w:p w14:paraId="39A792B8">
            <w:pPr>
              <w:wordWrap w:val="0"/>
              <w:jc w:val="center"/>
              <w:rPr>
                <w:rFonts w:hint="eastAsia" w:ascii="宋体" w:hAnsi="宋体" w:cs="宋体"/>
                <w:szCs w:val="21"/>
                <w:lang w:val="en-US" w:eastAsia="zh-CN"/>
              </w:rPr>
            </w:pPr>
          </w:p>
          <w:p w14:paraId="3940FC38">
            <w:pPr>
              <w:wordWrap w:val="0"/>
              <w:jc w:val="center"/>
              <w:rPr>
                <w:rFonts w:hint="eastAsia" w:ascii="宋体" w:hAnsi="宋体" w:cs="宋体"/>
                <w:szCs w:val="21"/>
                <w:lang w:val="en-US" w:eastAsia="zh-CN"/>
              </w:rPr>
            </w:pPr>
          </w:p>
          <w:p w14:paraId="1B35C37A">
            <w:pPr>
              <w:wordWrap w:val="0"/>
              <w:jc w:val="center"/>
              <w:rPr>
                <w:rFonts w:hint="eastAsia" w:ascii="宋体" w:hAnsi="宋体" w:cs="宋体"/>
                <w:szCs w:val="21"/>
                <w:lang w:val="en-US" w:eastAsia="zh-CN"/>
              </w:rPr>
            </w:pPr>
          </w:p>
          <w:p w14:paraId="580700B4">
            <w:pPr>
              <w:wordWrap w:val="0"/>
              <w:jc w:val="center"/>
              <w:rPr>
                <w:rFonts w:hint="eastAsia" w:ascii="宋体" w:hAnsi="宋体" w:cs="宋体"/>
                <w:szCs w:val="21"/>
                <w:lang w:val="en-US" w:eastAsia="zh-CN"/>
              </w:rPr>
            </w:pPr>
          </w:p>
          <w:p w14:paraId="757C7BF0">
            <w:pPr>
              <w:wordWrap w:val="0"/>
              <w:jc w:val="center"/>
              <w:rPr>
                <w:rFonts w:hint="eastAsia" w:ascii="宋体" w:hAnsi="宋体" w:cs="宋体"/>
                <w:szCs w:val="21"/>
                <w:lang w:val="en-US" w:eastAsia="zh-CN"/>
              </w:rPr>
            </w:pPr>
          </w:p>
          <w:p w14:paraId="0EAFD3BE">
            <w:pPr>
              <w:wordWrap w:val="0"/>
              <w:jc w:val="center"/>
              <w:rPr>
                <w:rFonts w:hint="eastAsia" w:ascii="宋体" w:hAnsi="宋体" w:cs="宋体"/>
                <w:szCs w:val="21"/>
                <w:lang w:val="en-US" w:eastAsia="zh-CN"/>
              </w:rPr>
            </w:pPr>
          </w:p>
          <w:p w14:paraId="5F02059A">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110" w:type="dxa"/>
            <w:tcBorders>
              <w:top w:val="single" w:color="000000" w:sz="8" w:space="0"/>
              <w:left w:val="single" w:color="000000" w:sz="8" w:space="0"/>
              <w:bottom w:val="single" w:color="000000" w:sz="8" w:space="0"/>
              <w:right w:val="single" w:color="000000" w:sz="8" w:space="0"/>
            </w:tcBorders>
            <w:vAlign w:val="center"/>
          </w:tcPr>
          <w:p w14:paraId="028915A6">
            <w:pPr>
              <w:spacing w:line="240" w:lineRule="auto"/>
              <w:ind w:firstLine="0" w:firstLineChars="0"/>
              <w:jc w:val="center"/>
              <w:rPr>
                <w:rFonts w:hint="eastAsia" w:ascii="宋体" w:hAnsi="宋体" w:eastAsia="宋体" w:cs="宋体"/>
                <w:szCs w:val="21"/>
                <w:highlight w:val="none"/>
                <w:lang w:val="en-US" w:eastAsia="zh-CN"/>
              </w:rPr>
            </w:pPr>
          </w:p>
          <w:p w14:paraId="63175989">
            <w:pPr>
              <w:spacing w:line="240" w:lineRule="auto"/>
              <w:ind w:firstLine="0" w:firstLineChars="0"/>
              <w:jc w:val="center"/>
              <w:rPr>
                <w:rFonts w:hint="eastAsia" w:ascii="宋体" w:hAnsi="宋体" w:eastAsia="宋体" w:cs="宋体"/>
                <w:szCs w:val="21"/>
                <w:highlight w:val="none"/>
                <w:lang w:val="en-US" w:eastAsia="zh-CN"/>
              </w:rPr>
            </w:pPr>
          </w:p>
          <w:p w14:paraId="743C7E09">
            <w:pPr>
              <w:spacing w:line="240" w:lineRule="auto"/>
              <w:ind w:firstLine="0" w:firstLineChars="0"/>
              <w:jc w:val="center"/>
              <w:rPr>
                <w:rFonts w:hint="eastAsia" w:ascii="宋体" w:hAnsi="宋体" w:eastAsia="宋体" w:cs="宋体"/>
                <w:szCs w:val="21"/>
                <w:highlight w:val="none"/>
                <w:lang w:val="en-US" w:eastAsia="zh-CN"/>
              </w:rPr>
            </w:pPr>
          </w:p>
          <w:p w14:paraId="30FF0376">
            <w:pPr>
              <w:spacing w:line="240" w:lineRule="auto"/>
              <w:ind w:firstLine="0" w:firstLineChars="0"/>
              <w:jc w:val="center"/>
              <w:rPr>
                <w:rFonts w:hint="eastAsia" w:ascii="宋体" w:hAnsi="宋体" w:eastAsia="宋体" w:cs="宋体"/>
                <w:szCs w:val="21"/>
                <w:highlight w:val="none"/>
                <w:lang w:val="en-US" w:eastAsia="zh-CN"/>
              </w:rPr>
            </w:pPr>
          </w:p>
          <w:p w14:paraId="4EC26076">
            <w:pPr>
              <w:spacing w:line="240" w:lineRule="auto"/>
              <w:ind w:firstLine="0" w:firstLineChars="0"/>
              <w:jc w:val="center"/>
              <w:rPr>
                <w:rFonts w:hint="eastAsia" w:ascii="宋体" w:hAnsi="宋体" w:eastAsia="宋体" w:cs="宋体"/>
                <w:szCs w:val="21"/>
                <w:highlight w:val="none"/>
                <w:lang w:val="en-US" w:eastAsia="zh-CN"/>
              </w:rPr>
            </w:pPr>
          </w:p>
          <w:p w14:paraId="4A060C0B">
            <w:pPr>
              <w:spacing w:line="240" w:lineRule="auto"/>
              <w:ind w:firstLine="0" w:firstLineChars="0"/>
              <w:jc w:val="center"/>
              <w:rPr>
                <w:rFonts w:hint="eastAsia" w:ascii="宋体" w:hAnsi="宋体" w:eastAsia="宋体" w:cs="宋体"/>
                <w:szCs w:val="21"/>
                <w:highlight w:val="none"/>
                <w:lang w:val="en-US" w:eastAsia="zh-CN"/>
              </w:rPr>
            </w:pPr>
          </w:p>
          <w:p w14:paraId="3F1346FD">
            <w:pPr>
              <w:spacing w:line="240" w:lineRule="auto"/>
              <w:ind w:firstLine="0" w:firstLineChars="0"/>
              <w:jc w:val="center"/>
              <w:rPr>
                <w:rFonts w:hint="eastAsia" w:ascii="宋体" w:hAnsi="宋体" w:eastAsia="宋体" w:cs="宋体"/>
                <w:szCs w:val="21"/>
                <w:highlight w:val="none"/>
                <w:lang w:val="en-US" w:eastAsia="zh-CN"/>
              </w:rPr>
            </w:pPr>
          </w:p>
          <w:p w14:paraId="4713258A">
            <w:pPr>
              <w:spacing w:line="240" w:lineRule="auto"/>
              <w:ind w:firstLine="0" w:firstLineChars="0"/>
              <w:jc w:val="center"/>
              <w:rPr>
                <w:rFonts w:hint="eastAsia" w:ascii="宋体" w:hAnsi="宋体" w:eastAsia="宋体" w:cs="宋体"/>
                <w:kern w:val="0"/>
                <w:sz w:val="21"/>
                <w:szCs w:val="21"/>
                <w:highlight w:val="none"/>
                <w:lang w:val="en-US" w:eastAsia="zh-CN" w:bidi="ar-SA"/>
              </w:rPr>
            </w:pPr>
            <w:r>
              <w:rPr>
                <w:rFonts w:hint="eastAsia" w:ascii="宋体" w:hAnsi="宋体" w:eastAsia="宋体" w:cs="宋体"/>
                <w:szCs w:val="21"/>
                <w:highlight w:val="none"/>
                <w:lang w:val="en-US" w:eastAsia="zh-CN"/>
              </w:rPr>
              <w:t>理赔服务承诺</w:t>
            </w:r>
          </w:p>
        </w:tc>
        <w:tc>
          <w:tcPr>
            <w:tcW w:w="893" w:type="dxa"/>
            <w:tcBorders>
              <w:top w:val="single" w:color="000000" w:sz="8" w:space="0"/>
              <w:left w:val="single" w:color="000000" w:sz="8" w:space="0"/>
              <w:bottom w:val="single" w:color="000000" w:sz="8" w:space="0"/>
              <w:right w:val="single" w:color="000000" w:sz="8" w:space="0"/>
            </w:tcBorders>
            <w:vAlign w:val="center"/>
          </w:tcPr>
          <w:p w14:paraId="55914827">
            <w:pPr>
              <w:widowControl/>
              <w:spacing w:line="360" w:lineRule="auto"/>
              <w:ind w:firstLine="0" w:firstLineChars="0"/>
              <w:jc w:val="center"/>
              <w:rPr>
                <w:rFonts w:hint="eastAsia" w:ascii="宋体" w:hAnsi="宋体" w:cs="宋体"/>
                <w:sz w:val="21"/>
                <w:szCs w:val="21"/>
                <w:highlight w:val="none"/>
                <w:lang w:val="en-US" w:eastAsia="zh-CN"/>
              </w:rPr>
            </w:pPr>
          </w:p>
          <w:p w14:paraId="640A7063">
            <w:pPr>
              <w:widowControl/>
              <w:spacing w:line="360" w:lineRule="auto"/>
              <w:ind w:firstLine="0" w:firstLineChars="0"/>
              <w:jc w:val="center"/>
              <w:rPr>
                <w:rFonts w:hint="eastAsia" w:ascii="宋体" w:hAnsi="宋体" w:cs="宋体"/>
                <w:sz w:val="21"/>
                <w:szCs w:val="21"/>
                <w:highlight w:val="none"/>
                <w:lang w:val="en-US" w:eastAsia="zh-CN"/>
              </w:rPr>
            </w:pPr>
          </w:p>
          <w:p w14:paraId="735AE34D">
            <w:pPr>
              <w:widowControl/>
              <w:spacing w:line="360" w:lineRule="auto"/>
              <w:ind w:firstLine="0" w:firstLineChars="0"/>
              <w:jc w:val="center"/>
              <w:rPr>
                <w:rFonts w:hint="eastAsia" w:ascii="宋体" w:hAnsi="宋体" w:cs="宋体"/>
                <w:sz w:val="21"/>
                <w:szCs w:val="21"/>
                <w:highlight w:val="none"/>
                <w:lang w:val="en-US" w:eastAsia="zh-CN"/>
              </w:rPr>
            </w:pPr>
          </w:p>
          <w:p w14:paraId="76B64374">
            <w:pPr>
              <w:widowControl/>
              <w:spacing w:line="360" w:lineRule="auto"/>
              <w:ind w:firstLine="0" w:firstLineChars="0"/>
              <w:jc w:val="center"/>
              <w:rPr>
                <w:rFonts w:hint="eastAsia" w:ascii="宋体" w:hAnsi="宋体" w:cs="宋体"/>
                <w:sz w:val="21"/>
                <w:szCs w:val="21"/>
                <w:highlight w:val="none"/>
                <w:lang w:val="en-US" w:eastAsia="zh-CN"/>
              </w:rPr>
            </w:pPr>
          </w:p>
          <w:p w14:paraId="699EC81D">
            <w:pPr>
              <w:widowControl/>
              <w:spacing w:line="360" w:lineRule="auto"/>
              <w:ind w:firstLine="0" w:firstLineChars="0"/>
              <w:jc w:val="center"/>
              <w:rPr>
                <w:rFonts w:hint="eastAsia" w:ascii="宋体" w:hAnsi="宋体" w:cs="宋体"/>
                <w:sz w:val="21"/>
                <w:szCs w:val="21"/>
                <w:highlight w:val="none"/>
                <w:lang w:val="en-US" w:eastAsia="zh-CN"/>
              </w:rPr>
            </w:pPr>
          </w:p>
          <w:p w14:paraId="22C92A0E">
            <w:pPr>
              <w:widowControl/>
              <w:spacing w:line="360" w:lineRule="auto"/>
              <w:ind w:firstLine="0" w:firstLineChars="0"/>
              <w:jc w:val="center"/>
              <w:rPr>
                <w:rFonts w:hint="default"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5</w:t>
            </w:r>
          </w:p>
        </w:tc>
        <w:tc>
          <w:tcPr>
            <w:tcW w:w="5984" w:type="dxa"/>
            <w:tcBorders>
              <w:top w:val="single" w:color="000000" w:sz="8" w:space="0"/>
              <w:left w:val="single" w:color="000000" w:sz="8" w:space="0"/>
              <w:bottom w:val="single" w:color="000000" w:sz="8" w:space="0"/>
              <w:right w:val="single" w:color="000000" w:sz="8" w:space="0"/>
            </w:tcBorders>
            <w:vAlign w:val="center"/>
          </w:tcPr>
          <w:p w14:paraId="5A4FF524">
            <w:pPr>
              <w:numPr>
                <w:ilvl w:val="0"/>
                <w:numId w:val="0"/>
              </w:numPr>
              <w:spacing w:line="240" w:lineRule="auto"/>
              <w:jc w:val="left"/>
              <w:rPr>
                <w:rFonts w:hint="eastAsia" w:ascii="宋体" w:hAnsi="宋体" w:eastAsia="宋体" w:cs="宋体"/>
                <w:kern w:val="0"/>
                <w:sz w:val="21"/>
                <w:szCs w:val="21"/>
                <w:highlight w:val="none"/>
              </w:rPr>
            </w:pPr>
            <w:r>
              <w:rPr>
                <w:rFonts w:hint="eastAsia" w:ascii="宋体" w:hAnsi="宋体" w:eastAsia="宋体" w:cs="宋体"/>
                <w:b/>
                <w:bCs/>
                <w:kern w:val="0"/>
                <w:sz w:val="21"/>
                <w:szCs w:val="21"/>
                <w:highlight w:val="none"/>
                <w:lang w:eastAsia="zh-CN"/>
              </w:rPr>
              <w:t>（一）评</w:t>
            </w:r>
            <w:r>
              <w:rPr>
                <w:rFonts w:hint="eastAsia" w:ascii="宋体" w:hAnsi="宋体" w:cs="宋体"/>
                <w:b/>
                <w:bCs/>
                <w:kern w:val="0"/>
                <w:sz w:val="21"/>
                <w:szCs w:val="21"/>
                <w:highlight w:val="none"/>
                <w:lang w:val="en-US" w:eastAsia="zh-CN"/>
              </w:rPr>
              <w:t>分</w:t>
            </w:r>
            <w:r>
              <w:rPr>
                <w:rFonts w:hint="eastAsia" w:ascii="宋体" w:hAnsi="宋体" w:eastAsia="宋体" w:cs="宋体"/>
                <w:b/>
                <w:bCs/>
                <w:kern w:val="0"/>
                <w:sz w:val="21"/>
                <w:szCs w:val="21"/>
                <w:highlight w:val="none"/>
                <w:lang w:eastAsia="zh-CN"/>
              </w:rPr>
              <w:t>内容：</w:t>
            </w:r>
          </w:p>
          <w:p w14:paraId="2153472A">
            <w:pPr>
              <w:spacing w:line="240" w:lineRule="auto"/>
              <w:ind w:firstLine="0"/>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投标人须针对本项目需求提供</w:t>
            </w:r>
            <w:r>
              <w:rPr>
                <w:rFonts w:hint="eastAsia" w:ascii="宋体" w:hAnsi="宋体" w:cs="宋体"/>
                <w:kern w:val="0"/>
                <w:szCs w:val="21"/>
                <w:highlight w:val="none"/>
                <w:lang w:eastAsia="zh-CN"/>
              </w:rPr>
              <w:t>理赔服务</w:t>
            </w:r>
            <w:r>
              <w:rPr>
                <w:rFonts w:hint="eastAsia" w:ascii="宋体" w:hAnsi="宋体" w:eastAsia="宋体" w:cs="宋体"/>
                <w:kern w:val="0"/>
                <w:szCs w:val="21"/>
                <w:highlight w:val="none"/>
              </w:rPr>
              <w:t>承诺（格式自定），包括下述内容：</w:t>
            </w:r>
          </w:p>
          <w:p w14:paraId="669CCE5C">
            <w:pPr>
              <w:spacing w:line="240" w:lineRule="auto"/>
              <w:ind w:firstLine="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lang w:val="en-US" w:eastAsia="zh-CN"/>
              </w:rPr>
              <w:t>1</w:t>
            </w:r>
            <w:r>
              <w:rPr>
                <w:rFonts w:hint="eastAsia" w:ascii="宋体" w:hAnsi="宋体" w:eastAsia="宋体" w:cs="宋体"/>
                <w:kern w:val="0"/>
                <w:szCs w:val="21"/>
                <w:highlight w:val="none"/>
                <w:lang w:eastAsia="zh-CN"/>
              </w:rPr>
              <w:t>）</w:t>
            </w:r>
            <w:r>
              <w:rPr>
                <w:rFonts w:hint="eastAsia" w:ascii="宋体" w:hAnsi="宋体" w:cs="宋体"/>
                <w:kern w:val="0"/>
                <w:szCs w:val="21"/>
                <w:highlight w:val="none"/>
              </w:rPr>
              <w:t>理赔</w:t>
            </w:r>
            <w:r>
              <w:rPr>
                <w:rFonts w:hint="eastAsia" w:ascii="宋体" w:hAnsi="宋体" w:cs="宋体"/>
                <w:kern w:val="0"/>
                <w:szCs w:val="21"/>
                <w:highlight w:val="none"/>
                <w:lang w:eastAsia="zh-CN"/>
              </w:rPr>
              <w:t>服务</w:t>
            </w:r>
            <w:r>
              <w:rPr>
                <w:rFonts w:hint="eastAsia" w:ascii="宋体" w:hAnsi="宋体" w:cs="宋体"/>
                <w:kern w:val="0"/>
                <w:szCs w:val="21"/>
                <w:highlight w:val="none"/>
              </w:rPr>
              <w:t>时限承诺</w:t>
            </w:r>
            <w:r>
              <w:rPr>
                <w:rFonts w:hint="eastAsia" w:ascii="宋体" w:hAnsi="宋体" w:eastAsia="宋体" w:cs="宋体"/>
                <w:kern w:val="0"/>
                <w:szCs w:val="21"/>
                <w:highlight w:val="none"/>
              </w:rPr>
              <w:t>；</w:t>
            </w:r>
          </w:p>
          <w:p w14:paraId="470249FD">
            <w:pPr>
              <w:spacing w:line="240" w:lineRule="auto"/>
              <w:ind w:firstLine="0"/>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lang w:val="en-US" w:eastAsia="zh-CN"/>
              </w:rPr>
              <w:t>2</w:t>
            </w:r>
            <w:r>
              <w:rPr>
                <w:rFonts w:hint="eastAsia" w:ascii="宋体" w:hAnsi="宋体" w:eastAsia="宋体" w:cs="宋体"/>
                <w:kern w:val="0"/>
                <w:szCs w:val="21"/>
                <w:highlight w:val="none"/>
                <w:lang w:eastAsia="zh-CN"/>
              </w:rPr>
              <w:t>）</w:t>
            </w:r>
            <w:r>
              <w:rPr>
                <w:rFonts w:hint="eastAsia" w:ascii="宋体" w:hAnsi="宋体" w:cs="宋体"/>
                <w:kern w:val="0"/>
                <w:szCs w:val="21"/>
                <w:highlight w:val="none"/>
              </w:rPr>
              <w:t>赔款支付</w:t>
            </w:r>
            <w:r>
              <w:rPr>
                <w:rFonts w:hint="eastAsia" w:ascii="宋体" w:hAnsi="宋体" w:cs="宋体"/>
                <w:kern w:val="0"/>
                <w:szCs w:val="21"/>
                <w:highlight w:val="none"/>
                <w:lang w:eastAsia="zh-CN"/>
              </w:rPr>
              <w:t>承诺；</w:t>
            </w:r>
          </w:p>
          <w:p w14:paraId="1A08910E">
            <w:pPr>
              <w:spacing w:line="240" w:lineRule="auto"/>
              <w:ind w:firstLine="0"/>
              <w:jc w:val="left"/>
              <w:rPr>
                <w:rFonts w:hint="eastAsia" w:ascii="宋体" w:hAnsi="宋体" w:eastAsia="宋体" w:cs="宋体"/>
                <w:color w:val="auto"/>
                <w:kern w:val="0"/>
                <w:szCs w:val="21"/>
                <w:highlight w:val="none"/>
                <w:lang w:eastAsia="zh-CN"/>
              </w:rPr>
            </w:pPr>
            <w:r>
              <w:rPr>
                <w:rFonts w:hint="eastAsia" w:ascii="宋体" w:hAnsi="宋体" w:cs="宋体"/>
                <w:kern w:val="0"/>
                <w:szCs w:val="21"/>
                <w:highlight w:val="none"/>
                <w:lang w:eastAsia="zh-CN"/>
              </w:rPr>
              <w:t>（</w:t>
            </w:r>
            <w:r>
              <w:rPr>
                <w:rFonts w:hint="eastAsia" w:ascii="宋体" w:hAnsi="宋体" w:cs="宋体"/>
                <w:kern w:val="0"/>
                <w:szCs w:val="21"/>
                <w:highlight w:val="none"/>
                <w:lang w:val="en-US" w:eastAsia="zh-CN"/>
              </w:rPr>
              <w:t>3</w:t>
            </w:r>
            <w:r>
              <w:rPr>
                <w:rFonts w:hint="eastAsia" w:ascii="宋体" w:hAnsi="宋体" w:cs="宋体"/>
                <w:color w:val="auto"/>
                <w:kern w:val="0"/>
                <w:szCs w:val="21"/>
                <w:highlight w:val="none"/>
                <w:lang w:eastAsia="zh-CN"/>
              </w:rPr>
              <w:t>）违约承诺。</w:t>
            </w:r>
          </w:p>
          <w:p w14:paraId="1904F224">
            <w:pPr>
              <w:spacing w:line="240" w:lineRule="auto"/>
              <w:ind w:firstLine="0"/>
              <w:jc w:val="left"/>
              <w:rPr>
                <w:rFonts w:hint="eastAsia" w:ascii="宋体" w:hAnsi="宋体" w:eastAsia="宋体" w:cs="宋体"/>
                <w:color w:val="auto"/>
                <w:kern w:val="0"/>
                <w:sz w:val="21"/>
                <w:szCs w:val="21"/>
                <w:highlight w:val="none"/>
                <w:lang w:eastAsia="zh-CN"/>
              </w:rPr>
            </w:pPr>
            <w:r>
              <w:rPr>
                <w:rFonts w:hint="eastAsia" w:ascii="宋体" w:hAnsi="宋体" w:eastAsia="宋体" w:cs="宋体"/>
                <w:b/>
                <w:bCs/>
                <w:color w:val="auto"/>
                <w:kern w:val="0"/>
                <w:sz w:val="21"/>
                <w:szCs w:val="21"/>
                <w:highlight w:val="none"/>
                <w:lang w:eastAsia="zh-CN"/>
              </w:rPr>
              <w:t>（二）评</w:t>
            </w:r>
            <w:r>
              <w:rPr>
                <w:rFonts w:hint="eastAsia" w:ascii="宋体" w:hAnsi="宋体" w:cs="宋体"/>
                <w:b/>
                <w:bCs/>
                <w:color w:val="auto"/>
                <w:kern w:val="0"/>
                <w:sz w:val="21"/>
                <w:szCs w:val="21"/>
                <w:highlight w:val="none"/>
                <w:lang w:val="en-US" w:eastAsia="zh-CN"/>
              </w:rPr>
              <w:t>分依据</w:t>
            </w:r>
            <w:r>
              <w:rPr>
                <w:rFonts w:hint="eastAsia" w:ascii="宋体" w:hAnsi="宋体" w:eastAsia="宋体" w:cs="宋体"/>
                <w:color w:val="auto"/>
                <w:kern w:val="0"/>
                <w:sz w:val="21"/>
                <w:szCs w:val="21"/>
                <w:highlight w:val="none"/>
                <w:lang w:eastAsia="zh-CN"/>
              </w:rPr>
              <w:t>：</w:t>
            </w:r>
          </w:p>
          <w:p w14:paraId="72F532D1">
            <w:pPr>
              <w:spacing w:line="240" w:lineRule="auto"/>
              <w:ind w:firstLine="0"/>
              <w:jc w:val="left"/>
              <w:rPr>
                <w:rFonts w:hint="eastAsia" w:ascii="宋体" w:hAnsi="宋体" w:eastAsia="宋体" w:cs="宋体"/>
                <w:color w:val="auto"/>
                <w:kern w:val="0"/>
                <w:sz w:val="21"/>
                <w:szCs w:val="21"/>
                <w:highlight w:val="none"/>
              </w:rPr>
            </w:pPr>
            <w:r>
              <w:rPr>
                <w:rFonts w:hint="eastAsia" w:ascii="宋体" w:hAnsi="宋体" w:cs="宋体"/>
                <w:color w:val="auto"/>
                <w:sz w:val="21"/>
                <w:szCs w:val="21"/>
                <w:highlight w:val="none"/>
                <w:lang w:val="en-US" w:eastAsia="zh-CN"/>
              </w:rPr>
              <w:t>每满足以上任意1项的得20分，最高得60分</w:t>
            </w:r>
            <w:r>
              <w:rPr>
                <w:rFonts w:hint="eastAsia" w:ascii="宋体" w:hAnsi="宋体" w:eastAsia="宋体" w:cs="宋体"/>
                <w:color w:val="auto"/>
                <w:kern w:val="0"/>
                <w:sz w:val="21"/>
                <w:szCs w:val="21"/>
                <w:highlight w:val="none"/>
                <w:lang w:eastAsia="zh-CN"/>
              </w:rPr>
              <w:t>。未提供</w:t>
            </w:r>
            <w:r>
              <w:rPr>
                <w:rFonts w:hint="eastAsia" w:ascii="宋体" w:hAnsi="宋体" w:eastAsia="宋体" w:cs="宋体"/>
                <w:color w:val="auto"/>
                <w:kern w:val="0"/>
                <w:sz w:val="21"/>
                <w:szCs w:val="21"/>
                <w:highlight w:val="none"/>
              </w:rPr>
              <w:t>不得分。</w:t>
            </w:r>
          </w:p>
          <w:p w14:paraId="13577B5E">
            <w:pPr>
              <w:numPr>
                <w:ilvl w:val="-1"/>
                <w:numId w:val="0"/>
              </w:numPr>
              <w:spacing w:line="240" w:lineRule="auto"/>
              <w:ind w:firstLine="0"/>
              <w:jc w:val="left"/>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在此基础上，根据</w:t>
            </w:r>
            <w:r>
              <w:rPr>
                <w:rFonts w:hint="eastAsia" w:ascii="宋体" w:hAnsi="宋体" w:eastAsia="宋体" w:cs="宋体"/>
                <w:kern w:val="0"/>
                <w:sz w:val="21"/>
                <w:szCs w:val="21"/>
                <w:highlight w:val="none"/>
                <w:lang w:eastAsia="zh-CN"/>
              </w:rPr>
              <w:t>投标人</w:t>
            </w:r>
            <w:r>
              <w:rPr>
                <w:rFonts w:hint="eastAsia" w:ascii="宋体" w:hAnsi="宋体" w:eastAsia="宋体" w:cs="宋体"/>
                <w:kern w:val="0"/>
                <w:sz w:val="21"/>
                <w:szCs w:val="21"/>
                <w:highlight w:val="none"/>
              </w:rPr>
              <w:t>的具体响应内容按照量化的评审因素指标进一步评审：</w:t>
            </w:r>
          </w:p>
          <w:p w14:paraId="2579EF08">
            <w:pPr>
              <w:numPr>
                <w:ilvl w:val="-1"/>
                <w:numId w:val="0"/>
              </w:numPr>
              <w:spacing w:line="240" w:lineRule="auto"/>
              <w:ind w:firstLine="0"/>
              <w:jc w:val="left"/>
              <w:rPr>
                <w:rFonts w:hint="eastAsia" w:ascii="宋体" w:hAnsi="宋体" w:eastAsia="宋体" w:cs="宋体"/>
                <w:color w:val="000000"/>
                <w:kern w:val="0"/>
                <w:sz w:val="21"/>
                <w:szCs w:val="21"/>
                <w:highlight w:val="none"/>
              </w:rPr>
            </w:pPr>
            <w:r>
              <w:rPr>
                <w:rFonts w:hint="eastAsia" w:ascii="宋体" w:hAnsi="宋体" w:cs="宋体"/>
                <w:kern w:val="0"/>
                <w:szCs w:val="21"/>
                <w:lang w:val="en-US" w:eastAsia="zh-CN"/>
              </w:rPr>
              <w:t>（1）</w:t>
            </w:r>
            <w:r>
              <w:rPr>
                <w:rFonts w:hint="eastAsia" w:ascii="宋体" w:hAnsi="宋体" w:eastAsia="宋体" w:cs="宋体"/>
                <w:color w:val="000000"/>
                <w:kern w:val="0"/>
                <w:sz w:val="21"/>
                <w:szCs w:val="21"/>
                <w:highlight w:val="none"/>
              </w:rPr>
              <w:t>评价为优</w:t>
            </w:r>
            <w:r>
              <w:rPr>
                <w:rFonts w:hint="eastAsia" w:ascii="宋体" w:hAnsi="宋体" w:cs="宋体"/>
                <w:color w:val="000000"/>
                <w:kern w:val="0"/>
                <w:sz w:val="21"/>
                <w:szCs w:val="21"/>
                <w:highlight w:val="none"/>
                <w:lang w:eastAsia="zh-CN"/>
              </w:rPr>
              <w:t>：</w:t>
            </w:r>
            <w:r>
              <w:rPr>
                <w:rFonts w:hint="eastAsia" w:ascii="宋体" w:hAnsi="宋体" w:eastAsia="宋体" w:cs="宋体"/>
                <w:kern w:val="0"/>
                <w:szCs w:val="21"/>
                <w:highlight w:val="none"/>
              </w:rPr>
              <w:t>承诺</w:t>
            </w:r>
            <w:r>
              <w:rPr>
                <w:rFonts w:hint="eastAsia" w:ascii="宋体" w:hAnsi="宋体" w:eastAsia="宋体" w:cs="宋体"/>
                <w:kern w:val="0"/>
                <w:szCs w:val="21"/>
                <w:lang w:val="en-US" w:eastAsia="zh-CN"/>
              </w:rPr>
              <w:t>内容全面具体、可操作性强、</w:t>
            </w:r>
            <w:r>
              <w:rPr>
                <w:rFonts w:hint="eastAsia" w:ascii="宋体" w:hAnsi="宋体" w:eastAsia="宋体" w:cs="宋体"/>
                <w:color w:val="000000"/>
                <w:kern w:val="0"/>
                <w:sz w:val="21"/>
                <w:szCs w:val="21"/>
                <w:highlight w:val="none"/>
              </w:rPr>
              <w:t>切合本项目服务需求的，</w:t>
            </w:r>
            <w:r>
              <w:rPr>
                <w:rFonts w:hint="eastAsia" w:ascii="宋体" w:hAnsi="宋体" w:cs="宋体"/>
                <w:color w:val="000000"/>
                <w:kern w:val="0"/>
                <w:sz w:val="21"/>
                <w:szCs w:val="21"/>
                <w:highlight w:val="none"/>
                <w:lang w:val="en-US" w:eastAsia="zh-CN"/>
              </w:rPr>
              <w:t>加40</w:t>
            </w:r>
            <w:r>
              <w:rPr>
                <w:rFonts w:hint="eastAsia" w:ascii="宋体" w:hAnsi="宋体" w:eastAsia="宋体" w:cs="宋体"/>
                <w:color w:val="000000"/>
                <w:kern w:val="0"/>
                <w:sz w:val="21"/>
                <w:szCs w:val="21"/>
                <w:highlight w:val="none"/>
              </w:rPr>
              <w:t>分；</w:t>
            </w:r>
          </w:p>
          <w:p w14:paraId="5D8AA101">
            <w:pPr>
              <w:numPr>
                <w:ilvl w:val="-1"/>
                <w:numId w:val="0"/>
              </w:numPr>
              <w:spacing w:line="240" w:lineRule="auto"/>
              <w:ind w:firstLine="0"/>
              <w:jc w:val="left"/>
              <w:rPr>
                <w:rFonts w:hint="eastAsia" w:ascii="宋体" w:hAnsi="宋体" w:eastAsia="宋体" w:cs="宋体"/>
                <w:color w:val="000000"/>
                <w:kern w:val="0"/>
                <w:sz w:val="21"/>
                <w:szCs w:val="21"/>
                <w:highlight w:val="none"/>
              </w:rPr>
            </w:pPr>
            <w:r>
              <w:rPr>
                <w:rFonts w:hint="eastAsia" w:ascii="宋体" w:hAnsi="宋体" w:cs="宋体"/>
                <w:kern w:val="0"/>
                <w:szCs w:val="21"/>
                <w:lang w:val="en-US" w:eastAsia="zh-CN"/>
              </w:rPr>
              <w:t>（2）</w:t>
            </w:r>
            <w:r>
              <w:rPr>
                <w:rFonts w:hint="eastAsia" w:ascii="宋体" w:hAnsi="宋体" w:eastAsia="宋体" w:cs="宋体"/>
                <w:color w:val="000000"/>
                <w:kern w:val="0"/>
                <w:sz w:val="21"/>
                <w:szCs w:val="21"/>
                <w:highlight w:val="none"/>
              </w:rPr>
              <w:t>评价为良</w:t>
            </w:r>
            <w:r>
              <w:rPr>
                <w:rFonts w:hint="eastAsia" w:ascii="宋体" w:hAnsi="宋体" w:eastAsia="宋体" w:cs="宋体"/>
                <w:color w:val="000000"/>
                <w:kern w:val="0"/>
                <w:sz w:val="21"/>
                <w:szCs w:val="21"/>
                <w:highlight w:val="none"/>
                <w:lang w:eastAsia="zh-CN"/>
              </w:rPr>
              <w:t>：</w:t>
            </w:r>
            <w:r>
              <w:rPr>
                <w:rFonts w:hint="eastAsia" w:ascii="宋体" w:hAnsi="宋体" w:eastAsia="宋体" w:cs="宋体"/>
                <w:kern w:val="0"/>
                <w:szCs w:val="21"/>
                <w:highlight w:val="none"/>
              </w:rPr>
              <w:t>承诺</w:t>
            </w:r>
            <w:r>
              <w:rPr>
                <w:rFonts w:hint="eastAsia" w:ascii="宋体" w:hAnsi="宋体" w:eastAsia="宋体" w:cs="宋体"/>
                <w:kern w:val="0"/>
                <w:szCs w:val="21"/>
                <w:lang w:val="en-US" w:eastAsia="zh-CN"/>
              </w:rPr>
              <w:t>内容较全面具体、可操作性较强</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较好满足本项目服务需求的，评价为良，得</w:t>
            </w:r>
            <w:r>
              <w:rPr>
                <w:rFonts w:hint="eastAsia" w:ascii="宋体" w:hAnsi="宋体" w:cs="宋体"/>
                <w:color w:val="000000"/>
                <w:kern w:val="0"/>
                <w:sz w:val="21"/>
                <w:szCs w:val="21"/>
                <w:highlight w:val="none"/>
                <w:lang w:val="en-US" w:eastAsia="zh-CN"/>
              </w:rPr>
              <w:t>20</w:t>
            </w:r>
            <w:r>
              <w:rPr>
                <w:rFonts w:hint="eastAsia" w:ascii="宋体" w:hAnsi="宋体" w:eastAsia="宋体" w:cs="宋体"/>
                <w:color w:val="000000"/>
                <w:kern w:val="0"/>
                <w:sz w:val="21"/>
                <w:szCs w:val="21"/>
                <w:highlight w:val="none"/>
              </w:rPr>
              <w:t>分；</w:t>
            </w:r>
          </w:p>
          <w:p w14:paraId="79EF90A8">
            <w:pPr>
              <w:numPr>
                <w:ilvl w:val="-1"/>
                <w:numId w:val="0"/>
              </w:numPr>
              <w:spacing w:line="240" w:lineRule="auto"/>
              <w:ind w:firstLine="0"/>
              <w:jc w:val="left"/>
              <w:rPr>
                <w:rFonts w:hint="eastAsia" w:ascii="宋体" w:hAnsi="宋体" w:eastAsia="宋体" w:cs="宋体"/>
                <w:color w:val="000000"/>
                <w:kern w:val="0"/>
                <w:sz w:val="21"/>
                <w:szCs w:val="21"/>
                <w:highlight w:val="none"/>
              </w:rPr>
            </w:pPr>
            <w:r>
              <w:rPr>
                <w:rFonts w:hint="eastAsia" w:ascii="宋体" w:hAnsi="宋体" w:cs="宋体"/>
                <w:kern w:val="0"/>
                <w:szCs w:val="21"/>
                <w:lang w:val="en-US" w:eastAsia="zh-CN"/>
              </w:rPr>
              <w:t>（3）</w:t>
            </w:r>
            <w:r>
              <w:rPr>
                <w:rFonts w:hint="eastAsia" w:ascii="宋体" w:hAnsi="宋体" w:eastAsia="宋体" w:cs="宋体"/>
                <w:color w:val="000000"/>
                <w:kern w:val="0"/>
                <w:sz w:val="21"/>
                <w:szCs w:val="21"/>
                <w:highlight w:val="none"/>
              </w:rPr>
              <w:t>评价为中</w:t>
            </w:r>
            <w:r>
              <w:rPr>
                <w:rFonts w:hint="eastAsia" w:ascii="宋体" w:hAnsi="宋体" w:eastAsia="宋体" w:cs="宋体"/>
                <w:color w:val="000000"/>
                <w:kern w:val="0"/>
                <w:sz w:val="21"/>
                <w:szCs w:val="21"/>
                <w:highlight w:val="none"/>
                <w:lang w:eastAsia="zh-CN"/>
              </w:rPr>
              <w:t>：</w:t>
            </w:r>
            <w:r>
              <w:rPr>
                <w:rFonts w:hint="eastAsia" w:ascii="宋体" w:hAnsi="宋体" w:eastAsia="宋体" w:cs="宋体"/>
                <w:kern w:val="0"/>
                <w:szCs w:val="21"/>
                <w:highlight w:val="none"/>
              </w:rPr>
              <w:t>承诺</w:t>
            </w:r>
            <w:r>
              <w:rPr>
                <w:rFonts w:hint="eastAsia" w:ascii="宋体" w:hAnsi="宋体" w:eastAsia="宋体" w:cs="宋体"/>
                <w:kern w:val="0"/>
                <w:szCs w:val="21"/>
                <w:lang w:val="en-US" w:eastAsia="zh-CN"/>
              </w:rPr>
              <w:t>内容一般、可操作性一般</w:t>
            </w:r>
            <w:r>
              <w:rPr>
                <w:rFonts w:hint="eastAsia" w:ascii="宋体" w:hAnsi="宋体" w:eastAsia="宋体" w:cs="宋体"/>
                <w:color w:val="000000"/>
                <w:kern w:val="0"/>
                <w:sz w:val="21"/>
                <w:szCs w:val="21"/>
                <w:highlight w:val="none"/>
                <w:lang w:eastAsia="zh-CN"/>
              </w:rPr>
              <w:t>、</w:t>
            </w:r>
            <w:r>
              <w:rPr>
                <w:rFonts w:hint="eastAsia" w:ascii="宋体" w:hAnsi="宋体" w:eastAsia="宋体" w:cs="宋体"/>
                <w:color w:val="000000"/>
                <w:kern w:val="0"/>
                <w:sz w:val="21"/>
                <w:szCs w:val="21"/>
                <w:highlight w:val="none"/>
              </w:rPr>
              <w:t>基本满足本项目服务需求的，</w:t>
            </w:r>
            <w:r>
              <w:rPr>
                <w:rFonts w:hint="eastAsia" w:ascii="宋体" w:hAnsi="宋体" w:cs="宋体"/>
                <w:color w:val="000000"/>
                <w:kern w:val="0"/>
                <w:sz w:val="21"/>
                <w:szCs w:val="21"/>
                <w:highlight w:val="none"/>
                <w:lang w:val="en-US" w:eastAsia="zh-CN"/>
              </w:rPr>
              <w:t>加</w:t>
            </w:r>
            <w:r>
              <w:rPr>
                <w:rFonts w:hint="eastAsia" w:ascii="宋体" w:hAnsi="宋体" w:eastAsia="宋体" w:cs="宋体"/>
                <w:color w:val="000000"/>
                <w:kern w:val="0"/>
                <w:sz w:val="21"/>
                <w:szCs w:val="21"/>
                <w:highlight w:val="none"/>
                <w:lang w:val="en-US" w:eastAsia="zh-CN"/>
              </w:rPr>
              <w:t>1</w:t>
            </w:r>
            <w:r>
              <w:rPr>
                <w:rFonts w:hint="eastAsia" w:ascii="宋体" w:hAnsi="宋体" w:cs="宋体"/>
                <w:color w:val="000000"/>
                <w:kern w:val="0"/>
                <w:sz w:val="21"/>
                <w:szCs w:val="21"/>
                <w:highlight w:val="none"/>
                <w:lang w:val="en-US" w:eastAsia="zh-CN"/>
              </w:rPr>
              <w:t>0</w:t>
            </w:r>
            <w:r>
              <w:rPr>
                <w:rFonts w:hint="eastAsia" w:ascii="宋体" w:hAnsi="宋体" w:eastAsia="宋体" w:cs="宋体"/>
                <w:color w:val="000000"/>
                <w:kern w:val="0"/>
                <w:sz w:val="21"/>
                <w:szCs w:val="21"/>
                <w:highlight w:val="none"/>
              </w:rPr>
              <w:t>分；</w:t>
            </w:r>
          </w:p>
          <w:p w14:paraId="1A714E80">
            <w:pPr>
              <w:numPr>
                <w:ilvl w:val="-1"/>
                <w:numId w:val="0"/>
              </w:numPr>
              <w:spacing w:line="240" w:lineRule="auto"/>
              <w:ind w:left="0" w:leftChars="0" w:firstLine="0" w:firstLineChars="0"/>
              <w:jc w:val="left"/>
              <w:rPr>
                <w:rFonts w:hint="eastAsia" w:ascii="宋体" w:hAnsi="宋体" w:eastAsia="宋体" w:cs="宋体"/>
                <w:kern w:val="0"/>
                <w:sz w:val="21"/>
                <w:szCs w:val="21"/>
                <w:highlight w:val="none"/>
                <w:lang w:val="en-US" w:eastAsia="zh-CN" w:bidi="ar-SA"/>
              </w:rPr>
            </w:pPr>
            <w:r>
              <w:rPr>
                <w:rFonts w:hint="eastAsia" w:ascii="宋体" w:hAnsi="宋体" w:cs="宋体"/>
                <w:kern w:val="0"/>
                <w:szCs w:val="21"/>
                <w:lang w:val="en-US" w:eastAsia="zh-CN"/>
              </w:rPr>
              <w:t>（4）</w:t>
            </w:r>
            <w:r>
              <w:rPr>
                <w:rFonts w:hint="eastAsia" w:ascii="宋体" w:hAnsi="宋体" w:eastAsia="宋体" w:cs="宋体"/>
                <w:color w:val="000000"/>
                <w:kern w:val="0"/>
                <w:sz w:val="21"/>
                <w:szCs w:val="21"/>
                <w:highlight w:val="none"/>
              </w:rPr>
              <w:t>评价为差</w:t>
            </w:r>
            <w:r>
              <w:rPr>
                <w:rFonts w:hint="eastAsia" w:ascii="宋体" w:hAnsi="宋体" w:cs="宋体"/>
                <w:color w:val="000000"/>
                <w:kern w:val="0"/>
                <w:sz w:val="21"/>
                <w:szCs w:val="21"/>
                <w:highlight w:val="none"/>
                <w:lang w:eastAsia="zh-CN"/>
              </w:rPr>
              <w:t>：</w:t>
            </w:r>
            <w:r>
              <w:rPr>
                <w:rFonts w:hint="eastAsia" w:ascii="宋体" w:hAnsi="宋体" w:eastAsia="宋体" w:cs="宋体"/>
                <w:kern w:val="0"/>
                <w:szCs w:val="21"/>
                <w:highlight w:val="none"/>
              </w:rPr>
              <w:t>承诺</w:t>
            </w:r>
            <w:r>
              <w:rPr>
                <w:rFonts w:hint="eastAsia" w:ascii="宋体" w:hAnsi="宋体" w:eastAsia="宋体" w:cs="宋体"/>
                <w:kern w:val="0"/>
                <w:szCs w:val="21"/>
                <w:lang w:val="en-US" w:eastAsia="zh-CN"/>
              </w:rPr>
              <w:t>内容差、无可操作性、</w:t>
            </w:r>
            <w:r>
              <w:rPr>
                <w:rFonts w:hint="eastAsia" w:ascii="宋体" w:hAnsi="宋体" w:eastAsia="宋体" w:cs="宋体"/>
                <w:color w:val="000000"/>
                <w:kern w:val="0"/>
                <w:sz w:val="21"/>
                <w:szCs w:val="21"/>
                <w:highlight w:val="none"/>
              </w:rPr>
              <w:t>不符合项目需求的，</w:t>
            </w:r>
            <w:r>
              <w:rPr>
                <w:rFonts w:hint="eastAsia" w:ascii="宋体" w:hAnsi="宋体" w:cs="宋体"/>
                <w:color w:val="000000"/>
                <w:kern w:val="0"/>
                <w:sz w:val="21"/>
                <w:szCs w:val="21"/>
                <w:highlight w:val="none"/>
                <w:lang w:val="en-US" w:eastAsia="zh-CN"/>
              </w:rPr>
              <w:t>不加分</w:t>
            </w:r>
            <w:r>
              <w:rPr>
                <w:rFonts w:hint="eastAsia" w:ascii="宋体" w:hAnsi="宋体" w:eastAsia="宋体" w:cs="宋体"/>
                <w:color w:val="000000"/>
                <w:kern w:val="0"/>
                <w:sz w:val="21"/>
                <w:szCs w:val="21"/>
                <w:highlight w:val="none"/>
              </w:rPr>
              <w:t>。</w:t>
            </w:r>
          </w:p>
        </w:tc>
      </w:tr>
      <w:tr w14:paraId="7FD7A1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355F2196">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0932A458">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5</w:t>
            </w:r>
          </w:p>
        </w:tc>
        <w:tc>
          <w:tcPr>
            <w:tcW w:w="1110" w:type="dxa"/>
            <w:tcBorders>
              <w:top w:val="single" w:color="000000" w:sz="8" w:space="0"/>
              <w:left w:val="single" w:color="000000" w:sz="8" w:space="0"/>
              <w:bottom w:val="single" w:color="000000" w:sz="8" w:space="0"/>
              <w:right w:val="single" w:color="000000" w:sz="8" w:space="0"/>
            </w:tcBorders>
            <w:vAlign w:val="center"/>
          </w:tcPr>
          <w:p w14:paraId="06BDCA62">
            <w:pPr>
              <w:spacing w:line="240" w:lineRule="auto"/>
              <w:ind w:firstLine="0" w:firstLineChars="0"/>
              <w:jc w:val="center"/>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 w:val="21"/>
                <w:szCs w:val="21"/>
                <w:highlight w:val="none"/>
                <w:lang w:eastAsia="zh-CN"/>
              </w:rPr>
              <w:t>违约承诺</w:t>
            </w:r>
          </w:p>
        </w:tc>
        <w:tc>
          <w:tcPr>
            <w:tcW w:w="893" w:type="dxa"/>
            <w:tcBorders>
              <w:top w:val="single" w:color="000000" w:sz="8" w:space="0"/>
              <w:left w:val="single" w:color="000000" w:sz="8" w:space="0"/>
              <w:bottom w:val="single" w:color="000000" w:sz="8" w:space="0"/>
              <w:right w:val="single" w:color="000000" w:sz="8" w:space="0"/>
            </w:tcBorders>
            <w:vAlign w:val="center"/>
          </w:tcPr>
          <w:p w14:paraId="0567B419">
            <w:pPr>
              <w:widowControl/>
              <w:spacing w:line="360" w:lineRule="auto"/>
              <w:ind w:firstLine="0" w:firstLineChars="0"/>
              <w:jc w:val="center"/>
              <w:rPr>
                <w:rFonts w:hint="eastAsia" w:ascii="宋体" w:hAnsi="宋体" w:eastAsia="宋体" w:cs="宋体"/>
                <w:kern w:val="2"/>
                <w:sz w:val="21"/>
                <w:szCs w:val="21"/>
                <w:highlight w:val="none"/>
                <w:lang w:val="en-US" w:eastAsia="zh-CN" w:bidi="ar-SA"/>
              </w:rPr>
            </w:pPr>
            <w:r>
              <w:rPr>
                <w:rFonts w:hint="eastAsia" w:ascii="宋体" w:hAnsi="宋体" w:cs="宋体"/>
                <w:sz w:val="21"/>
                <w:szCs w:val="21"/>
                <w:highlight w:val="none"/>
                <w:lang w:val="en-US" w:eastAsia="zh-CN"/>
              </w:rPr>
              <w:t>5</w:t>
            </w:r>
          </w:p>
        </w:tc>
        <w:tc>
          <w:tcPr>
            <w:tcW w:w="5984" w:type="dxa"/>
            <w:tcBorders>
              <w:top w:val="single" w:color="000000" w:sz="8" w:space="0"/>
              <w:left w:val="single" w:color="000000" w:sz="8" w:space="0"/>
              <w:bottom w:val="single" w:color="000000" w:sz="8" w:space="0"/>
              <w:right w:val="single" w:color="000000" w:sz="8" w:space="0"/>
            </w:tcBorders>
            <w:vAlign w:val="center"/>
          </w:tcPr>
          <w:p w14:paraId="2FB120A4">
            <w:pPr>
              <w:numPr>
                <w:ilvl w:val="0"/>
                <w:numId w:val="0"/>
              </w:numPr>
              <w:spacing w:line="240" w:lineRule="auto"/>
              <w:jc w:val="left"/>
              <w:rPr>
                <w:rFonts w:hint="eastAsia" w:ascii="宋体" w:hAnsi="宋体" w:eastAsia="宋体" w:cs="宋体"/>
                <w:kern w:val="0"/>
                <w:sz w:val="21"/>
                <w:szCs w:val="21"/>
                <w:highlight w:val="none"/>
              </w:rPr>
            </w:pPr>
            <w:r>
              <w:rPr>
                <w:rFonts w:hint="eastAsia" w:ascii="宋体" w:hAnsi="宋体" w:eastAsia="宋体" w:cs="宋体"/>
                <w:b/>
                <w:bCs/>
                <w:kern w:val="0"/>
                <w:sz w:val="21"/>
                <w:szCs w:val="21"/>
                <w:highlight w:val="none"/>
                <w:lang w:eastAsia="zh-CN"/>
              </w:rPr>
              <w:t>（一）评</w:t>
            </w:r>
            <w:r>
              <w:rPr>
                <w:rFonts w:hint="eastAsia" w:ascii="宋体" w:hAnsi="宋体" w:cs="宋体"/>
                <w:b/>
                <w:bCs/>
                <w:kern w:val="0"/>
                <w:sz w:val="21"/>
                <w:szCs w:val="21"/>
                <w:highlight w:val="none"/>
                <w:lang w:val="en-US" w:eastAsia="zh-CN"/>
              </w:rPr>
              <w:t>分</w:t>
            </w:r>
            <w:r>
              <w:rPr>
                <w:rFonts w:hint="eastAsia" w:ascii="宋体" w:hAnsi="宋体" w:eastAsia="宋体" w:cs="宋体"/>
                <w:b/>
                <w:bCs/>
                <w:kern w:val="0"/>
                <w:sz w:val="21"/>
                <w:szCs w:val="21"/>
                <w:highlight w:val="none"/>
                <w:lang w:eastAsia="zh-CN"/>
              </w:rPr>
              <w:t>内容：</w:t>
            </w:r>
          </w:p>
          <w:p w14:paraId="5BD69FCB">
            <w:pPr>
              <w:spacing w:line="240" w:lineRule="auto"/>
              <w:ind w:firstLine="0"/>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rPr>
              <w:t>投标人须针对本项目需求提供违约承诺，包括下述内容：</w:t>
            </w:r>
          </w:p>
          <w:p w14:paraId="429B525D">
            <w:pPr>
              <w:spacing w:line="240" w:lineRule="auto"/>
              <w:ind w:firstLine="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lang w:val="en-US" w:eastAsia="zh-CN"/>
              </w:rPr>
              <w:t>1</w:t>
            </w:r>
            <w:r>
              <w:rPr>
                <w:rFonts w:hint="eastAsia" w:ascii="宋体" w:hAnsi="宋体" w:eastAsia="宋体" w:cs="宋体"/>
                <w:kern w:val="0"/>
                <w:szCs w:val="21"/>
                <w:highlight w:val="none"/>
                <w:lang w:eastAsia="zh-CN"/>
              </w:rPr>
              <w:t>）服务</w:t>
            </w:r>
            <w:r>
              <w:rPr>
                <w:rFonts w:hint="eastAsia" w:ascii="宋体" w:hAnsi="宋体" w:eastAsia="宋体" w:cs="宋体"/>
                <w:kern w:val="0"/>
                <w:szCs w:val="21"/>
                <w:highlight w:val="none"/>
              </w:rPr>
              <w:t>人员严格按照</w:t>
            </w:r>
            <w:r>
              <w:rPr>
                <w:rFonts w:hint="eastAsia" w:ascii="宋体" w:hAnsi="宋体" w:eastAsia="宋体" w:cs="宋体"/>
                <w:kern w:val="0"/>
                <w:szCs w:val="21"/>
                <w:highlight w:val="none"/>
                <w:lang w:eastAsia="zh-CN"/>
              </w:rPr>
              <w:t>采购</w:t>
            </w:r>
            <w:r>
              <w:rPr>
                <w:rFonts w:hint="eastAsia" w:ascii="宋体" w:hAnsi="宋体" w:eastAsia="宋体" w:cs="宋体"/>
                <w:kern w:val="0"/>
                <w:szCs w:val="21"/>
                <w:highlight w:val="none"/>
              </w:rPr>
              <w:t>文件</w:t>
            </w:r>
            <w:r>
              <w:rPr>
                <w:rFonts w:hint="eastAsia" w:ascii="宋体" w:hAnsi="宋体" w:eastAsia="宋体" w:cs="宋体"/>
                <w:kern w:val="0"/>
                <w:szCs w:val="21"/>
                <w:highlight w:val="none"/>
                <w:lang w:eastAsia="zh-CN"/>
              </w:rPr>
              <w:t>要求</w:t>
            </w:r>
            <w:r>
              <w:rPr>
                <w:rFonts w:hint="eastAsia" w:ascii="宋体" w:hAnsi="宋体" w:eastAsia="宋体" w:cs="宋体"/>
                <w:kern w:val="0"/>
                <w:szCs w:val="21"/>
                <w:highlight w:val="none"/>
              </w:rPr>
              <w:t>配置；</w:t>
            </w:r>
          </w:p>
          <w:p w14:paraId="049DF53F">
            <w:pPr>
              <w:spacing w:line="240" w:lineRule="auto"/>
              <w:ind w:firstLine="0"/>
              <w:jc w:val="left"/>
              <w:rPr>
                <w:rFonts w:hint="eastAsia" w:ascii="宋体" w:hAnsi="宋体" w:eastAsia="宋体" w:cs="宋体"/>
                <w:kern w:val="0"/>
                <w:szCs w:val="21"/>
                <w:highlight w:val="none"/>
                <w:lang w:eastAsia="zh-CN"/>
              </w:rPr>
            </w:pP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lang w:val="en-US" w:eastAsia="zh-CN"/>
              </w:rPr>
              <w:t>2</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各项服务质量达到</w:t>
            </w:r>
            <w:r>
              <w:rPr>
                <w:rFonts w:hint="eastAsia" w:ascii="宋体" w:hAnsi="宋体" w:eastAsia="宋体" w:cs="宋体"/>
                <w:kern w:val="0"/>
                <w:szCs w:val="21"/>
                <w:highlight w:val="none"/>
                <w:lang w:eastAsia="zh-CN"/>
              </w:rPr>
              <w:t>采购</w:t>
            </w:r>
            <w:r>
              <w:rPr>
                <w:rFonts w:hint="eastAsia" w:ascii="宋体" w:hAnsi="宋体" w:eastAsia="宋体" w:cs="宋体"/>
                <w:kern w:val="0"/>
                <w:szCs w:val="21"/>
                <w:highlight w:val="none"/>
              </w:rPr>
              <w:t>文件要求</w:t>
            </w:r>
            <w:r>
              <w:rPr>
                <w:rFonts w:hint="eastAsia" w:ascii="宋体" w:hAnsi="宋体" w:eastAsia="宋体" w:cs="宋体"/>
                <w:kern w:val="0"/>
                <w:szCs w:val="21"/>
                <w:highlight w:val="none"/>
                <w:lang w:eastAsia="zh-CN"/>
              </w:rPr>
              <w:t>。</w:t>
            </w:r>
          </w:p>
          <w:p w14:paraId="091BFD8E">
            <w:pPr>
              <w:spacing w:line="240" w:lineRule="auto"/>
              <w:ind w:firstLine="0"/>
              <w:jc w:val="left"/>
              <w:rPr>
                <w:rFonts w:hint="eastAsia" w:ascii="宋体" w:hAnsi="宋体" w:eastAsia="宋体" w:cs="宋体"/>
                <w:b/>
                <w:bCs/>
                <w:kern w:val="0"/>
                <w:szCs w:val="21"/>
                <w:highlight w:val="none"/>
              </w:rPr>
            </w:pPr>
            <w:r>
              <w:rPr>
                <w:rFonts w:hint="eastAsia" w:ascii="宋体" w:hAnsi="宋体" w:eastAsia="宋体" w:cs="宋体"/>
                <w:b/>
                <w:bCs/>
                <w:kern w:val="0"/>
                <w:szCs w:val="21"/>
                <w:highlight w:val="none"/>
              </w:rPr>
              <w:t>（二）评分依据：</w:t>
            </w:r>
          </w:p>
          <w:p w14:paraId="18E5E65C">
            <w:pPr>
              <w:numPr>
                <w:ilvl w:val="-1"/>
                <w:numId w:val="0"/>
              </w:numPr>
              <w:spacing w:line="240" w:lineRule="auto"/>
              <w:ind w:left="0" w:leftChars="0" w:firstLine="0" w:firstLineChars="0"/>
              <w:jc w:val="left"/>
              <w:rPr>
                <w:rFonts w:hint="eastAsia" w:ascii="宋体" w:hAnsi="宋体" w:eastAsia="宋体" w:cs="宋体"/>
                <w:kern w:val="2"/>
                <w:sz w:val="21"/>
                <w:szCs w:val="21"/>
                <w:highlight w:val="none"/>
                <w:lang w:val="en-US" w:eastAsia="zh-CN" w:bidi="ar-SA"/>
              </w:rPr>
            </w:pPr>
            <w:r>
              <w:rPr>
                <w:rFonts w:hint="eastAsia" w:ascii="宋体" w:hAnsi="宋体" w:eastAsia="宋体" w:cs="宋体"/>
                <w:kern w:val="0"/>
                <w:szCs w:val="21"/>
                <w:highlight w:val="none"/>
              </w:rPr>
              <w:t>要求提供承诺函（格式自定），</w:t>
            </w:r>
            <w:r>
              <w:rPr>
                <w:rFonts w:hint="eastAsia" w:ascii="宋体" w:hAnsi="宋体" w:cs="宋体"/>
                <w:kern w:val="0"/>
                <w:szCs w:val="21"/>
                <w:highlight w:val="none"/>
                <w:lang w:val="en-US" w:eastAsia="zh-CN"/>
              </w:rPr>
              <w:t>承诺函内容全部满足的</w:t>
            </w:r>
            <w:r>
              <w:rPr>
                <w:rFonts w:hint="eastAsia" w:ascii="宋体" w:hAnsi="宋体" w:eastAsia="宋体" w:cs="宋体"/>
                <w:kern w:val="0"/>
                <w:szCs w:val="21"/>
                <w:highlight w:val="none"/>
                <w:lang w:eastAsia="zh-CN"/>
              </w:rPr>
              <w:t>得</w:t>
            </w:r>
            <w:r>
              <w:rPr>
                <w:rFonts w:hint="eastAsia" w:ascii="宋体" w:hAnsi="宋体" w:cs="宋体"/>
                <w:kern w:val="0"/>
                <w:szCs w:val="21"/>
                <w:highlight w:val="none"/>
                <w:lang w:val="en-US" w:eastAsia="zh-CN"/>
              </w:rPr>
              <w:t>100</w:t>
            </w:r>
            <w:r>
              <w:rPr>
                <w:rFonts w:hint="eastAsia" w:ascii="宋体" w:hAnsi="宋体" w:eastAsia="宋体" w:cs="宋体"/>
                <w:kern w:val="0"/>
                <w:szCs w:val="21"/>
                <w:highlight w:val="none"/>
                <w:lang w:val="en-US" w:eastAsia="zh-CN"/>
              </w:rPr>
              <w:t>分，</w:t>
            </w:r>
            <w:r>
              <w:rPr>
                <w:rFonts w:hint="eastAsia" w:ascii="宋体" w:hAnsi="宋体" w:eastAsia="宋体" w:cs="宋体"/>
                <w:kern w:val="0"/>
                <w:szCs w:val="21"/>
                <w:highlight w:val="none"/>
              </w:rPr>
              <w:t>未提供承诺函或承诺内容不满足要求不得分。</w:t>
            </w:r>
            <w:r>
              <w:rPr>
                <w:rFonts w:hint="eastAsia" w:ascii="宋体" w:hAnsi="宋体" w:eastAsia="宋体" w:cs="宋体"/>
                <w:kern w:val="0"/>
                <w:szCs w:val="21"/>
                <w:highlight w:val="none"/>
                <w:lang w:val="en-US" w:eastAsia="zh-CN"/>
              </w:rPr>
              <w:t>原件备查，</w:t>
            </w:r>
            <w:r>
              <w:rPr>
                <w:rFonts w:hint="eastAsia" w:ascii="宋体" w:hAnsi="宋体" w:eastAsia="宋体" w:cs="宋体"/>
                <w:b w:val="0"/>
                <w:bCs w:val="0"/>
                <w:kern w:val="0"/>
                <w:sz w:val="21"/>
                <w:szCs w:val="21"/>
                <w:lang w:val="en-US" w:eastAsia="zh-CN" w:bidi="ar-SA"/>
              </w:rPr>
              <w:t>未提供证明材料或者提供的证明材料不符合要求或评审专家无法凭所提供资料判断是否得分的，一律做不得分处理。</w:t>
            </w:r>
          </w:p>
        </w:tc>
      </w:tr>
      <w:tr w14:paraId="353D6E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restart"/>
            <w:tcBorders>
              <w:top w:val="single" w:color="000000" w:sz="8" w:space="0"/>
              <w:left w:val="single" w:color="000000" w:sz="8" w:space="0"/>
              <w:bottom w:val="single" w:color="000000" w:sz="8" w:space="0"/>
              <w:right w:val="single" w:color="000000" w:sz="8" w:space="0"/>
            </w:tcBorders>
          </w:tcPr>
          <w:p w14:paraId="325AEF51">
            <w:pPr>
              <w:wordWrap w:val="0"/>
              <w:jc w:val="center"/>
              <w:rPr>
                <w:rFonts w:ascii="宋体" w:hAnsi="宋体" w:cs="宋体"/>
                <w:b/>
                <w:bCs/>
                <w:color w:val="0000FF"/>
                <w:sz w:val="24"/>
              </w:rPr>
            </w:pPr>
            <w:r>
              <w:rPr>
                <w:b/>
                <w:bCs/>
                <w:color w:val="0000FF"/>
              </w:rPr>
              <w:t>3</w:t>
            </w:r>
          </w:p>
        </w:tc>
        <w:tc>
          <w:tcPr>
            <w:tcW w:w="2558" w:type="dxa"/>
            <w:gridSpan w:val="3"/>
            <w:tcBorders>
              <w:top w:val="single" w:color="000000" w:sz="8" w:space="0"/>
              <w:left w:val="single" w:color="000000" w:sz="8" w:space="0"/>
              <w:bottom w:val="single" w:color="000000" w:sz="8" w:space="0"/>
              <w:right w:val="single" w:color="000000" w:sz="8" w:space="0"/>
            </w:tcBorders>
          </w:tcPr>
          <w:p w14:paraId="493FD540">
            <w:pPr>
              <w:wordWrap w:val="0"/>
              <w:jc w:val="center"/>
              <w:rPr>
                <w:rFonts w:ascii="宋体" w:hAnsi="宋体" w:cs="宋体"/>
                <w:b/>
                <w:bCs/>
                <w:color w:val="0000FF"/>
                <w:sz w:val="24"/>
              </w:rPr>
            </w:pPr>
            <w:r>
              <w:rPr>
                <w:b/>
                <w:bCs/>
                <w:color w:val="0000FF"/>
              </w:rPr>
              <w:t>综合实力</w:t>
            </w:r>
          </w:p>
        </w:tc>
        <w:tc>
          <w:tcPr>
            <w:tcW w:w="5984" w:type="dxa"/>
            <w:tcBorders>
              <w:top w:val="single" w:color="000000" w:sz="8" w:space="0"/>
              <w:left w:val="single" w:color="000000" w:sz="8" w:space="0"/>
              <w:bottom w:val="single" w:color="000000" w:sz="8" w:space="0"/>
              <w:right w:val="single" w:color="000000" w:sz="8" w:space="0"/>
            </w:tcBorders>
          </w:tcPr>
          <w:p w14:paraId="7D7B9F61">
            <w:pPr>
              <w:wordWrap w:val="0"/>
              <w:jc w:val="center"/>
              <w:rPr>
                <w:rFonts w:hint="default" w:ascii="宋体" w:hAnsi="宋体" w:eastAsia="宋体" w:cs="宋体"/>
                <w:b/>
                <w:bCs/>
                <w:color w:val="0000FF"/>
                <w:sz w:val="24"/>
                <w:lang w:val="en-US" w:eastAsia="zh-CN"/>
              </w:rPr>
            </w:pPr>
            <w:r>
              <w:rPr>
                <w:rFonts w:hint="eastAsia" w:ascii="宋体" w:hAnsi="宋体" w:cs="宋体"/>
                <w:b/>
                <w:bCs/>
                <w:color w:val="0000FF"/>
                <w:sz w:val="24"/>
                <w:lang w:val="en-US" w:eastAsia="zh-CN"/>
              </w:rPr>
              <w:t>45</w:t>
            </w:r>
          </w:p>
        </w:tc>
      </w:tr>
      <w:tr w14:paraId="0708403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14:paraId="35060913">
            <w:pPr>
              <w:rPr>
                <w:rFonts w:ascii="宋体" w:hAnsi="宋体" w:cs="宋体"/>
                <w:b/>
                <w:bCs/>
                <w:color w:val="0000FF"/>
                <w:sz w:val="24"/>
              </w:rPr>
            </w:pPr>
          </w:p>
        </w:tc>
        <w:tc>
          <w:tcPr>
            <w:tcW w:w="555"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75CB0388">
            <w:pPr>
              <w:wordWrap w:val="0"/>
              <w:jc w:val="center"/>
              <w:rPr>
                <w:rFonts w:ascii="宋体" w:hAnsi="宋体" w:cs="宋体"/>
                <w:szCs w:val="21"/>
              </w:rPr>
            </w:pPr>
            <w:r>
              <w:rPr>
                <w:szCs w:val="21"/>
              </w:rPr>
              <w:t>序号</w:t>
            </w:r>
          </w:p>
        </w:tc>
        <w:tc>
          <w:tcPr>
            <w:tcW w:w="1110"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50F7AE5">
            <w:pPr>
              <w:wordWrap w:val="0"/>
              <w:jc w:val="center"/>
              <w:rPr>
                <w:rFonts w:ascii="宋体" w:hAnsi="宋体" w:cs="宋体"/>
                <w:szCs w:val="21"/>
              </w:rPr>
            </w:pPr>
            <w:r>
              <w:rPr>
                <w:szCs w:val="21"/>
              </w:rPr>
              <w:t>评分因素</w:t>
            </w:r>
          </w:p>
        </w:tc>
        <w:tc>
          <w:tcPr>
            <w:tcW w:w="89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5E4627B8">
            <w:pPr>
              <w:wordWrap w:val="0"/>
              <w:jc w:val="center"/>
              <w:rPr>
                <w:rFonts w:ascii="宋体" w:hAnsi="宋体" w:cs="宋体"/>
                <w:szCs w:val="21"/>
              </w:rPr>
            </w:pPr>
            <w:r>
              <w:rPr>
                <w:szCs w:val="21"/>
              </w:rPr>
              <w:t>权重(%)</w:t>
            </w:r>
          </w:p>
        </w:tc>
        <w:tc>
          <w:tcPr>
            <w:tcW w:w="598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030DA8AC">
            <w:pPr>
              <w:wordWrap w:val="0"/>
              <w:jc w:val="center"/>
              <w:rPr>
                <w:rFonts w:ascii="宋体" w:hAnsi="宋体" w:cs="宋体"/>
                <w:szCs w:val="21"/>
              </w:rPr>
            </w:pPr>
            <w:r>
              <w:rPr>
                <w:szCs w:val="21"/>
              </w:rPr>
              <w:t>评分准则</w:t>
            </w:r>
          </w:p>
        </w:tc>
      </w:tr>
      <w:tr w14:paraId="473B122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57BE451A">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524DBC77">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1</w:t>
            </w:r>
          </w:p>
        </w:tc>
        <w:tc>
          <w:tcPr>
            <w:tcW w:w="1110" w:type="dxa"/>
            <w:tcBorders>
              <w:top w:val="single" w:color="000000" w:sz="8" w:space="0"/>
              <w:left w:val="single" w:color="000000" w:sz="8" w:space="0"/>
              <w:bottom w:val="single" w:color="000000" w:sz="8" w:space="0"/>
              <w:right w:val="single" w:color="000000" w:sz="8" w:space="0"/>
            </w:tcBorders>
            <w:vAlign w:val="center"/>
          </w:tcPr>
          <w:p w14:paraId="3C141B60">
            <w:pPr>
              <w:wordWrap w:val="0"/>
              <w:jc w:val="center"/>
              <w:rPr>
                <w:rFonts w:ascii="宋体" w:hAnsi="宋体" w:cs="宋体"/>
                <w:szCs w:val="21"/>
              </w:rPr>
            </w:pPr>
            <w:r>
              <w:rPr>
                <w:rFonts w:hint="eastAsia" w:ascii="宋体" w:hAnsi="宋体" w:cs="宋体"/>
                <w:szCs w:val="21"/>
              </w:rPr>
              <w:t>综合偿付能力充足率情况</w:t>
            </w:r>
          </w:p>
        </w:tc>
        <w:tc>
          <w:tcPr>
            <w:tcW w:w="893" w:type="dxa"/>
            <w:tcBorders>
              <w:top w:val="single" w:color="000000" w:sz="8" w:space="0"/>
              <w:left w:val="single" w:color="000000" w:sz="8" w:space="0"/>
              <w:bottom w:val="single" w:color="000000" w:sz="8" w:space="0"/>
              <w:right w:val="single" w:color="000000" w:sz="8" w:space="0"/>
            </w:tcBorders>
            <w:vAlign w:val="center"/>
          </w:tcPr>
          <w:p w14:paraId="27EF3730">
            <w:pPr>
              <w:wordWrap w:val="0"/>
              <w:jc w:val="center"/>
              <w:rPr>
                <w:rFonts w:hint="default" w:ascii="宋体" w:hAnsi="宋体" w:cs="宋体"/>
                <w:color w:val="auto"/>
                <w:szCs w:val="21"/>
                <w:lang w:val="en-US"/>
              </w:rPr>
            </w:pPr>
            <w:r>
              <w:rPr>
                <w:rFonts w:hint="eastAsia" w:ascii="宋体" w:hAnsi="宋体" w:cs="宋体"/>
                <w:color w:val="auto"/>
                <w:kern w:val="0"/>
                <w:sz w:val="21"/>
                <w:szCs w:val="21"/>
                <w:highlight w:val="none"/>
                <w:lang w:val="en-US" w:eastAsia="zh-CN"/>
              </w:rPr>
              <w:t>25</w:t>
            </w:r>
          </w:p>
        </w:tc>
        <w:tc>
          <w:tcPr>
            <w:tcW w:w="5984" w:type="dxa"/>
            <w:tcBorders>
              <w:top w:val="single" w:color="000000" w:sz="8" w:space="0"/>
              <w:left w:val="single" w:color="000000" w:sz="8" w:space="0"/>
              <w:bottom w:val="single" w:color="000000" w:sz="8" w:space="0"/>
              <w:right w:val="single" w:color="000000" w:sz="8" w:space="0"/>
            </w:tcBorders>
          </w:tcPr>
          <w:p w14:paraId="0BEB37B9">
            <w:pPr>
              <w:keepNext w:val="0"/>
              <w:keepLines w:val="0"/>
              <w:pageBreakBefore w:val="0"/>
              <w:widowControl w:val="0"/>
              <w:numPr>
                <w:ilvl w:val="0"/>
                <w:numId w:val="0"/>
              </w:numPr>
              <w:kinsoku/>
              <w:overflowPunct/>
              <w:topLinePunct w:val="0"/>
              <w:autoSpaceDE/>
              <w:autoSpaceDN/>
              <w:bidi w:val="0"/>
              <w:adjustRightInd/>
              <w:snapToGrid/>
              <w:spacing w:line="240" w:lineRule="auto"/>
              <w:jc w:val="left"/>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（一）评分内容：</w:t>
            </w:r>
          </w:p>
          <w:p w14:paraId="11F947FD">
            <w:pPr>
              <w:keepNext w:val="0"/>
              <w:keepLines w:val="0"/>
              <w:pageBreakBefore w:val="0"/>
              <w:widowControl w:val="0"/>
              <w:numPr>
                <w:ilvl w:val="0"/>
                <w:numId w:val="0"/>
              </w:numPr>
              <w:kinsoku/>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考察投标人总公司202</w:t>
            </w:r>
            <w:r>
              <w:rPr>
                <w:rFonts w:hint="eastAsia" w:ascii="宋体" w:hAnsi="宋体" w:cs="宋体"/>
                <w:b w:val="0"/>
                <w:bCs w:val="0"/>
                <w:color w:val="auto"/>
                <w:kern w:val="0"/>
                <w:szCs w:val="21"/>
                <w:highlight w:val="none"/>
                <w:lang w:val="en-US" w:eastAsia="zh-CN"/>
              </w:rPr>
              <w:t>5</w:t>
            </w:r>
            <w:r>
              <w:rPr>
                <w:rFonts w:hint="eastAsia" w:ascii="宋体" w:hAnsi="宋体" w:eastAsia="宋体" w:cs="宋体"/>
                <w:b w:val="0"/>
                <w:bCs w:val="0"/>
                <w:color w:val="auto"/>
                <w:kern w:val="0"/>
                <w:szCs w:val="21"/>
                <w:highlight w:val="none"/>
                <w:lang w:val="en-US" w:eastAsia="zh-CN"/>
              </w:rPr>
              <w:t>年</w:t>
            </w:r>
            <w:r>
              <w:rPr>
                <w:rFonts w:hint="eastAsia" w:ascii="宋体" w:hAnsi="宋体" w:cs="宋体"/>
                <w:b w:val="0"/>
                <w:bCs w:val="0"/>
                <w:color w:val="auto"/>
                <w:kern w:val="0"/>
                <w:szCs w:val="21"/>
                <w:highlight w:val="none"/>
                <w:lang w:val="en-US" w:eastAsia="zh-CN"/>
              </w:rPr>
              <w:t>以来连续</w:t>
            </w:r>
            <w:r>
              <w:rPr>
                <w:rFonts w:hint="eastAsia" w:ascii="宋体" w:hAnsi="宋体" w:eastAsia="宋体" w:cs="宋体"/>
                <w:b w:val="0"/>
                <w:bCs w:val="0"/>
                <w:color w:val="auto"/>
                <w:kern w:val="0"/>
                <w:szCs w:val="21"/>
                <w:highlight w:val="none"/>
                <w:lang w:val="en-US" w:eastAsia="zh-CN"/>
              </w:rPr>
              <w:t>三季度</w:t>
            </w:r>
            <w:r>
              <w:rPr>
                <w:rFonts w:hint="eastAsia" w:ascii="宋体" w:hAnsi="宋体" w:eastAsia="宋体" w:cs="宋体"/>
                <w:b w:val="0"/>
                <w:bCs w:val="0"/>
                <w:color w:val="auto"/>
                <w:kern w:val="0"/>
                <w:szCs w:val="21"/>
                <w:highlight w:val="none"/>
              </w:rPr>
              <w:t>综合偿付能力充足率情况：</w:t>
            </w:r>
          </w:p>
          <w:p w14:paraId="68502E03">
            <w:pPr>
              <w:keepNext w:val="0"/>
              <w:keepLines w:val="0"/>
              <w:pageBreakBefore w:val="0"/>
              <w:widowControl w:val="0"/>
              <w:numPr>
                <w:ilvl w:val="0"/>
                <w:numId w:val="0"/>
              </w:numPr>
              <w:kinsoku/>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（1）</w:t>
            </w:r>
            <w:r>
              <w:rPr>
                <w:rFonts w:hint="eastAsia" w:ascii="宋体" w:hAnsi="宋体" w:cs="宋体"/>
                <w:b w:val="0"/>
                <w:bCs w:val="0"/>
                <w:color w:val="auto"/>
                <w:kern w:val="0"/>
                <w:szCs w:val="21"/>
                <w:highlight w:val="none"/>
                <w:lang w:eastAsia="zh-CN"/>
              </w:rPr>
              <w:t>连续三季度</w:t>
            </w:r>
            <w:r>
              <w:rPr>
                <w:rFonts w:hint="eastAsia" w:ascii="宋体" w:hAnsi="宋体" w:eastAsia="宋体" w:cs="宋体"/>
                <w:b w:val="0"/>
                <w:bCs w:val="0"/>
                <w:color w:val="auto"/>
                <w:kern w:val="0"/>
                <w:szCs w:val="21"/>
                <w:highlight w:val="none"/>
              </w:rPr>
              <w:t>综合偿付能力充足率≥</w:t>
            </w:r>
            <w:r>
              <w:rPr>
                <w:rFonts w:hint="eastAsia" w:ascii="宋体" w:hAnsi="宋体" w:cs="宋体"/>
                <w:b w:val="0"/>
                <w:bCs w:val="0"/>
                <w:color w:val="auto"/>
                <w:kern w:val="0"/>
                <w:szCs w:val="21"/>
                <w:highlight w:val="none"/>
                <w:lang w:val="en-US" w:eastAsia="zh-CN"/>
              </w:rPr>
              <w:t>20</w:t>
            </w:r>
            <w:r>
              <w:rPr>
                <w:rFonts w:hint="eastAsia" w:ascii="宋体" w:hAnsi="宋体" w:eastAsia="宋体" w:cs="宋体"/>
                <w:b w:val="0"/>
                <w:bCs w:val="0"/>
                <w:color w:val="auto"/>
                <w:kern w:val="0"/>
                <w:szCs w:val="21"/>
                <w:highlight w:val="none"/>
              </w:rPr>
              <w:t>0%的，得</w:t>
            </w:r>
            <w:r>
              <w:rPr>
                <w:rFonts w:hint="eastAsia" w:ascii="宋体" w:hAnsi="宋体" w:cs="宋体"/>
                <w:b w:val="0"/>
                <w:bCs w:val="0"/>
                <w:color w:val="auto"/>
                <w:kern w:val="0"/>
                <w:szCs w:val="21"/>
                <w:highlight w:val="none"/>
                <w:lang w:val="en-US" w:eastAsia="zh-CN"/>
              </w:rPr>
              <w:t>80</w:t>
            </w:r>
            <w:r>
              <w:rPr>
                <w:rFonts w:hint="eastAsia" w:ascii="宋体" w:hAnsi="宋体" w:eastAsia="宋体" w:cs="宋体"/>
                <w:b w:val="0"/>
                <w:bCs w:val="0"/>
                <w:color w:val="auto"/>
                <w:kern w:val="0"/>
                <w:szCs w:val="21"/>
                <w:highlight w:val="none"/>
              </w:rPr>
              <w:t>分；</w:t>
            </w:r>
            <w:r>
              <w:rPr>
                <w:rFonts w:hint="eastAsia" w:ascii="宋体" w:hAnsi="宋体" w:cs="宋体"/>
                <w:b w:val="0"/>
                <w:bCs w:val="0"/>
                <w:color w:val="auto"/>
                <w:kern w:val="0"/>
                <w:szCs w:val="21"/>
                <w:highlight w:val="none"/>
                <w:lang w:eastAsia="zh-CN"/>
              </w:rPr>
              <w:t>有一次</w:t>
            </w:r>
            <w:r>
              <w:rPr>
                <w:rFonts w:hint="eastAsia" w:ascii="宋体" w:hAnsi="宋体" w:eastAsia="宋体" w:cs="宋体"/>
                <w:b w:val="0"/>
                <w:bCs w:val="0"/>
                <w:color w:val="auto"/>
                <w:kern w:val="0"/>
                <w:szCs w:val="21"/>
                <w:highlight w:val="none"/>
              </w:rPr>
              <w:t>综合偿付能力充足率</w:t>
            </w:r>
            <w:r>
              <w:rPr>
                <w:rFonts w:hint="eastAsia" w:ascii="宋体" w:hAnsi="宋体" w:cs="宋体"/>
                <w:b w:val="0"/>
                <w:bCs w:val="0"/>
                <w:color w:val="auto"/>
                <w:kern w:val="0"/>
                <w:szCs w:val="21"/>
                <w:highlight w:val="none"/>
                <w:lang w:eastAsia="zh-CN"/>
              </w:rPr>
              <w:t>＜</w:t>
            </w:r>
            <w:r>
              <w:rPr>
                <w:rFonts w:hint="eastAsia" w:ascii="宋体" w:hAnsi="宋体" w:cs="宋体"/>
                <w:b w:val="0"/>
                <w:bCs w:val="0"/>
                <w:color w:val="auto"/>
                <w:kern w:val="0"/>
                <w:szCs w:val="21"/>
                <w:highlight w:val="none"/>
                <w:lang w:val="en-US" w:eastAsia="zh-CN"/>
              </w:rPr>
              <w:t>20</w:t>
            </w:r>
            <w:r>
              <w:rPr>
                <w:rFonts w:hint="eastAsia" w:ascii="宋体" w:hAnsi="宋体" w:eastAsia="宋体" w:cs="宋体"/>
                <w:b w:val="0"/>
                <w:bCs w:val="0"/>
                <w:color w:val="auto"/>
                <w:kern w:val="0"/>
                <w:szCs w:val="21"/>
                <w:highlight w:val="none"/>
              </w:rPr>
              <w:t>0%的，</w:t>
            </w:r>
            <w:r>
              <w:rPr>
                <w:rFonts w:hint="eastAsia" w:ascii="宋体" w:hAnsi="宋体" w:cs="宋体"/>
                <w:b w:val="0"/>
                <w:bCs w:val="0"/>
                <w:color w:val="auto"/>
                <w:kern w:val="0"/>
                <w:szCs w:val="21"/>
                <w:highlight w:val="none"/>
                <w:lang w:eastAsia="zh-CN"/>
              </w:rPr>
              <w:t>得</w:t>
            </w:r>
            <w:r>
              <w:rPr>
                <w:rFonts w:hint="eastAsia" w:ascii="宋体" w:hAnsi="宋体" w:cs="宋体"/>
                <w:b w:val="0"/>
                <w:bCs w:val="0"/>
                <w:color w:val="auto"/>
                <w:kern w:val="0"/>
                <w:szCs w:val="21"/>
                <w:highlight w:val="none"/>
                <w:lang w:val="en-US" w:eastAsia="zh-CN"/>
              </w:rPr>
              <w:t>35分；其他情况</w:t>
            </w:r>
            <w:r>
              <w:rPr>
                <w:rFonts w:hint="eastAsia" w:ascii="宋体" w:hAnsi="宋体" w:eastAsia="宋体" w:cs="宋体"/>
                <w:b w:val="0"/>
                <w:bCs w:val="0"/>
                <w:color w:val="auto"/>
                <w:kern w:val="0"/>
                <w:szCs w:val="21"/>
                <w:highlight w:val="none"/>
                <w:lang w:eastAsia="zh-CN"/>
              </w:rPr>
              <w:t>不</w:t>
            </w:r>
            <w:r>
              <w:rPr>
                <w:rFonts w:hint="eastAsia" w:ascii="宋体" w:hAnsi="宋体" w:eastAsia="宋体" w:cs="宋体"/>
                <w:b w:val="0"/>
                <w:bCs w:val="0"/>
                <w:color w:val="auto"/>
                <w:kern w:val="0"/>
                <w:szCs w:val="21"/>
                <w:highlight w:val="none"/>
              </w:rPr>
              <w:t>得分</w:t>
            </w:r>
            <w:r>
              <w:rPr>
                <w:rFonts w:hint="eastAsia" w:ascii="宋体" w:hAnsi="宋体" w:cs="宋体"/>
                <w:b w:val="0"/>
                <w:bCs w:val="0"/>
                <w:color w:val="auto"/>
                <w:kern w:val="0"/>
                <w:szCs w:val="21"/>
                <w:highlight w:val="none"/>
                <w:lang w:eastAsia="zh-CN"/>
              </w:rPr>
              <w:t>。本项</w:t>
            </w:r>
            <w:r>
              <w:rPr>
                <w:rFonts w:hint="eastAsia" w:ascii="宋体" w:hAnsi="宋体" w:cs="宋体"/>
                <w:b w:val="0"/>
                <w:bCs w:val="0"/>
                <w:color w:val="auto"/>
                <w:kern w:val="0"/>
                <w:szCs w:val="21"/>
                <w:highlight w:val="none"/>
                <w:lang w:val="en-US" w:eastAsia="zh-CN"/>
              </w:rPr>
              <w:t>最高得80分</w:t>
            </w:r>
            <w:r>
              <w:rPr>
                <w:rFonts w:hint="eastAsia" w:ascii="宋体" w:hAnsi="宋体" w:eastAsia="宋体" w:cs="宋体"/>
                <w:b w:val="0"/>
                <w:bCs w:val="0"/>
                <w:color w:val="auto"/>
                <w:kern w:val="0"/>
                <w:szCs w:val="21"/>
                <w:highlight w:val="none"/>
              </w:rPr>
              <w:t>；</w:t>
            </w:r>
          </w:p>
          <w:p w14:paraId="22510170">
            <w:pPr>
              <w:keepNext w:val="0"/>
              <w:keepLines w:val="0"/>
              <w:pageBreakBefore w:val="0"/>
              <w:widowControl w:val="0"/>
              <w:numPr>
                <w:ilvl w:val="0"/>
                <w:numId w:val="0"/>
              </w:numPr>
              <w:kinsoku/>
              <w:overflowPunct/>
              <w:topLinePunct w:val="0"/>
              <w:autoSpaceDE/>
              <w:autoSpaceDN/>
              <w:bidi w:val="0"/>
              <w:adjustRightInd/>
              <w:snapToGrid/>
              <w:spacing w:line="240" w:lineRule="auto"/>
              <w:jc w:val="left"/>
              <w:textAlignment w:val="auto"/>
              <w:rPr>
                <w:rFonts w:hint="eastAsia" w:ascii="宋体" w:hAnsi="宋体" w:cs="宋体"/>
                <w:b w:val="0"/>
                <w:bCs w:val="0"/>
                <w:color w:val="auto"/>
                <w:kern w:val="0"/>
                <w:szCs w:val="21"/>
                <w:highlight w:val="none"/>
                <w:lang w:val="en-US" w:eastAsia="zh-CN"/>
              </w:rPr>
            </w:pPr>
            <w:r>
              <w:rPr>
                <w:rFonts w:hint="eastAsia" w:ascii="宋体" w:hAnsi="宋体" w:eastAsia="宋体" w:cs="宋体"/>
                <w:b w:val="0"/>
                <w:bCs w:val="0"/>
                <w:color w:val="auto"/>
                <w:kern w:val="0"/>
                <w:szCs w:val="21"/>
                <w:highlight w:val="none"/>
                <w:lang w:eastAsia="zh-CN"/>
              </w:rPr>
              <w:t>（</w:t>
            </w:r>
            <w:r>
              <w:rPr>
                <w:rFonts w:hint="eastAsia" w:ascii="宋体" w:hAnsi="宋体" w:cs="宋体"/>
                <w:b w:val="0"/>
                <w:bCs w:val="0"/>
                <w:color w:val="auto"/>
                <w:kern w:val="0"/>
                <w:szCs w:val="21"/>
                <w:highlight w:val="none"/>
                <w:lang w:val="en-US" w:eastAsia="zh-CN"/>
              </w:rPr>
              <w:t>2</w:t>
            </w:r>
            <w:r>
              <w:rPr>
                <w:rFonts w:hint="eastAsia" w:ascii="宋体" w:hAnsi="宋体" w:eastAsia="宋体" w:cs="宋体"/>
                <w:b w:val="0"/>
                <w:bCs w:val="0"/>
                <w:color w:val="auto"/>
                <w:kern w:val="0"/>
                <w:szCs w:val="21"/>
                <w:highlight w:val="none"/>
                <w:lang w:eastAsia="zh-CN"/>
              </w:rPr>
              <w:t>）</w:t>
            </w:r>
            <w:r>
              <w:rPr>
                <w:rFonts w:hint="eastAsia" w:ascii="宋体" w:hAnsi="宋体" w:cs="宋体"/>
                <w:b w:val="0"/>
                <w:bCs w:val="0"/>
                <w:color w:val="auto"/>
                <w:kern w:val="0"/>
                <w:szCs w:val="21"/>
                <w:highlight w:val="none"/>
                <w:lang w:eastAsia="zh-CN"/>
              </w:rPr>
              <w:t>最近三个季度风险综合评级</w:t>
            </w:r>
            <w:r>
              <w:rPr>
                <w:rFonts w:hint="eastAsia" w:ascii="宋体" w:hAnsi="宋体" w:cs="宋体"/>
                <w:b w:val="0"/>
                <w:bCs w:val="0"/>
                <w:color w:val="auto"/>
                <w:kern w:val="0"/>
                <w:szCs w:val="21"/>
                <w:highlight w:val="none"/>
                <w:lang w:val="en-US" w:eastAsia="zh-CN"/>
              </w:rPr>
              <w:t>AA级或</w:t>
            </w:r>
            <w:r>
              <w:rPr>
                <w:rFonts w:hint="eastAsia" w:ascii="宋体" w:hAnsi="宋体" w:cs="宋体"/>
                <w:b w:val="0"/>
                <w:bCs w:val="0"/>
                <w:color w:val="auto"/>
                <w:kern w:val="0"/>
                <w:szCs w:val="21"/>
                <w:highlight w:val="none"/>
                <w:lang w:val="en-US" w:eastAsia="zh-CN"/>
              </w:rPr>
              <w:t>以上得20分，有一次风险综合评级低于AA级得10分，其他情况不得分，本项最高得20分。</w:t>
            </w:r>
          </w:p>
          <w:p w14:paraId="6FBB0F4C">
            <w:pPr>
              <w:pStyle w:val="2"/>
              <w:keepNext w:val="0"/>
              <w:keepLines w:val="0"/>
              <w:pageBreakBefore w:val="0"/>
              <w:widowControl w:val="0"/>
              <w:kinsoku/>
              <w:overflowPunct/>
              <w:topLinePunct w:val="0"/>
              <w:autoSpaceDE/>
              <w:autoSpaceDN/>
              <w:bidi w:val="0"/>
              <w:adjustRightInd/>
              <w:snapToGrid/>
              <w:spacing w:line="240" w:lineRule="auto"/>
              <w:textAlignment w:val="auto"/>
              <w:rPr>
                <w:rFonts w:hint="default"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以上累计最高得100分。</w:t>
            </w:r>
          </w:p>
          <w:p w14:paraId="216ED9F2">
            <w:pPr>
              <w:keepNext w:val="0"/>
              <w:keepLines w:val="0"/>
              <w:pageBreakBefore w:val="0"/>
              <w:widowControl w:val="0"/>
              <w:numPr>
                <w:ilvl w:val="0"/>
                <w:numId w:val="0"/>
              </w:numPr>
              <w:kinsoku/>
              <w:overflowPunct/>
              <w:topLinePunct w:val="0"/>
              <w:autoSpaceDE/>
              <w:autoSpaceDN/>
              <w:bidi w:val="0"/>
              <w:adjustRightInd/>
              <w:snapToGrid/>
              <w:spacing w:line="240" w:lineRule="auto"/>
              <w:jc w:val="left"/>
              <w:textAlignment w:val="auto"/>
              <w:rPr>
                <w:rFonts w:hint="eastAsia" w:ascii="宋体" w:hAnsi="宋体" w:eastAsia="宋体" w:cs="宋体"/>
                <w:b/>
                <w:bCs/>
                <w:color w:val="auto"/>
                <w:kern w:val="0"/>
                <w:szCs w:val="21"/>
                <w:highlight w:val="none"/>
              </w:rPr>
            </w:pPr>
            <w:r>
              <w:rPr>
                <w:rFonts w:hint="eastAsia" w:ascii="宋体" w:hAnsi="宋体" w:eastAsia="宋体" w:cs="宋体"/>
                <w:b/>
                <w:bCs/>
                <w:color w:val="auto"/>
                <w:kern w:val="0"/>
                <w:szCs w:val="21"/>
                <w:highlight w:val="none"/>
              </w:rPr>
              <w:t>（二）评分依据：</w:t>
            </w:r>
          </w:p>
          <w:p w14:paraId="5404D6C8">
            <w:pPr>
              <w:keepNext w:val="0"/>
              <w:keepLines w:val="0"/>
              <w:pageBreakBefore w:val="0"/>
              <w:widowControl w:val="0"/>
              <w:numPr>
                <w:ilvl w:val="0"/>
                <w:numId w:val="0"/>
              </w:numPr>
              <w:kinsoku/>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lang w:val="en-US" w:eastAsia="zh-CN"/>
              </w:rPr>
              <w:t>1</w:t>
            </w: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rPr>
              <w:t>提供“中国保险行业协会”（https://www.iachina.cn</w:t>
            </w:r>
          </w:p>
          <w:p w14:paraId="5F92855E">
            <w:pPr>
              <w:keepNext w:val="0"/>
              <w:keepLines w:val="0"/>
              <w:pageBreakBefore w:val="0"/>
              <w:widowControl w:val="0"/>
              <w:numPr>
                <w:ilvl w:val="0"/>
                <w:numId w:val="0"/>
              </w:numPr>
              <w:kinsoku/>
              <w:overflowPunct/>
              <w:topLinePunct w:val="0"/>
              <w:autoSpaceDE/>
              <w:autoSpaceDN/>
              <w:bidi w:val="0"/>
              <w:adjustRightInd/>
              <w:snapToGrid/>
              <w:spacing w:line="240" w:lineRule="auto"/>
              <w:jc w:val="left"/>
              <w:textAlignment w:val="auto"/>
              <w:rPr>
                <w:rFonts w:hint="eastAsia" w:ascii="宋体" w:hAnsi="宋体" w:eastAsia="宋体" w:cs="宋体"/>
                <w:b w:val="0"/>
                <w:bCs w:val="0"/>
                <w:color w:val="auto"/>
                <w:kern w:val="0"/>
                <w:szCs w:val="21"/>
                <w:highlight w:val="none"/>
              </w:rPr>
            </w:pPr>
            <w:r>
              <w:rPr>
                <w:rFonts w:hint="eastAsia" w:ascii="宋体" w:hAnsi="宋体" w:eastAsia="宋体" w:cs="宋体"/>
                <w:b w:val="0"/>
                <w:bCs w:val="0"/>
                <w:color w:val="auto"/>
                <w:kern w:val="0"/>
                <w:szCs w:val="21"/>
                <w:highlight w:val="none"/>
              </w:rPr>
              <w:t>）—“信息披露”栏目—“偿付能力信息披露”页面下载对应保险公司偿付能力报告扫描件，仅需提供首页、综合偿付能力充足率页等关键部分相关截图。</w:t>
            </w:r>
          </w:p>
          <w:p w14:paraId="7FC82330">
            <w:pPr>
              <w:keepNext w:val="0"/>
              <w:keepLines w:val="0"/>
              <w:pageBreakBefore w:val="0"/>
              <w:widowControl w:val="0"/>
              <w:kinsoku/>
              <w:wordWrap w:val="0"/>
              <w:overflowPunct/>
              <w:topLinePunct w:val="0"/>
              <w:autoSpaceDE/>
              <w:autoSpaceDN/>
              <w:bidi w:val="0"/>
              <w:adjustRightInd/>
              <w:snapToGrid/>
              <w:spacing w:line="240" w:lineRule="auto"/>
              <w:textAlignment w:val="auto"/>
              <w:rPr>
                <w:rFonts w:ascii="宋体" w:hAnsi="宋体" w:cs="宋体"/>
                <w:color w:val="auto"/>
                <w:szCs w:val="21"/>
              </w:rPr>
            </w:pP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lang w:val="en-US" w:eastAsia="zh-CN"/>
              </w:rPr>
              <w:t>2</w:t>
            </w:r>
            <w:r>
              <w:rPr>
                <w:rFonts w:hint="eastAsia" w:ascii="宋体" w:hAnsi="宋体" w:eastAsia="宋体" w:cs="宋体"/>
                <w:b w:val="0"/>
                <w:bCs w:val="0"/>
                <w:color w:val="auto"/>
                <w:kern w:val="0"/>
                <w:szCs w:val="21"/>
                <w:highlight w:val="none"/>
                <w:lang w:eastAsia="zh-CN"/>
              </w:rPr>
              <w:t>）</w:t>
            </w:r>
            <w:r>
              <w:rPr>
                <w:rFonts w:hint="eastAsia" w:ascii="宋体" w:hAnsi="宋体" w:eastAsia="宋体" w:cs="宋体"/>
                <w:b w:val="0"/>
                <w:bCs w:val="0"/>
                <w:color w:val="auto"/>
                <w:kern w:val="0"/>
                <w:szCs w:val="21"/>
                <w:highlight w:val="none"/>
              </w:rPr>
              <w:t>以上资料均要求提供扫描件（或官方网站截图），</w:t>
            </w:r>
            <w:r>
              <w:rPr>
                <w:rFonts w:hint="eastAsia" w:ascii="宋体" w:hAnsi="宋体" w:eastAsia="宋体" w:cs="宋体"/>
                <w:kern w:val="0"/>
                <w:szCs w:val="21"/>
                <w:highlight w:val="none"/>
                <w:lang w:val="en-US" w:eastAsia="zh-CN"/>
              </w:rPr>
              <w:t>原件备查，</w:t>
            </w:r>
            <w:r>
              <w:rPr>
                <w:rFonts w:hint="eastAsia" w:ascii="宋体" w:hAnsi="宋体" w:eastAsia="宋体" w:cs="宋体"/>
                <w:b w:val="0"/>
                <w:bCs w:val="0"/>
                <w:kern w:val="0"/>
                <w:sz w:val="21"/>
                <w:szCs w:val="21"/>
                <w:lang w:val="en-US" w:eastAsia="zh-CN" w:bidi="ar-SA"/>
              </w:rPr>
              <w:t>未提供证明材料或者提供的证明材料不符合要求或评审专家无法凭所提供资料判断是否得分的，一律做不得分处理。</w:t>
            </w:r>
          </w:p>
        </w:tc>
      </w:tr>
      <w:tr w14:paraId="68F8E2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00D5F9AA">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572DD765">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10" w:type="dxa"/>
            <w:tcBorders>
              <w:top w:val="single" w:color="000000" w:sz="8" w:space="0"/>
              <w:left w:val="single" w:color="000000" w:sz="8" w:space="0"/>
              <w:bottom w:val="single" w:color="000000" w:sz="8" w:space="0"/>
              <w:right w:val="single" w:color="000000" w:sz="8" w:space="0"/>
            </w:tcBorders>
            <w:vAlign w:val="center"/>
          </w:tcPr>
          <w:p w14:paraId="49B45736">
            <w:pPr>
              <w:wordWrap w:val="0"/>
              <w:jc w:val="center"/>
              <w:rPr>
                <w:rFonts w:ascii="宋体" w:hAnsi="宋体" w:cs="宋体"/>
                <w:szCs w:val="21"/>
              </w:rPr>
            </w:pPr>
            <w:r>
              <w:rPr>
                <w:rFonts w:hint="eastAsia" w:ascii="宋体" w:hAnsi="宋体" w:eastAsia="宋体" w:cs="宋体"/>
                <w:b w:val="0"/>
                <w:bCs/>
                <w:sz w:val="21"/>
                <w:szCs w:val="21"/>
                <w:highlight w:val="none"/>
              </w:rPr>
              <w:t>投标人同类项目业绩情况</w:t>
            </w:r>
          </w:p>
        </w:tc>
        <w:tc>
          <w:tcPr>
            <w:tcW w:w="893" w:type="dxa"/>
            <w:tcBorders>
              <w:top w:val="single" w:color="000000" w:sz="8" w:space="0"/>
              <w:left w:val="single" w:color="000000" w:sz="8" w:space="0"/>
              <w:bottom w:val="single" w:color="000000" w:sz="8" w:space="0"/>
              <w:right w:val="single" w:color="000000" w:sz="8" w:space="0"/>
            </w:tcBorders>
            <w:vAlign w:val="center"/>
          </w:tcPr>
          <w:p w14:paraId="73DCC32D">
            <w:pPr>
              <w:wordWrap w:val="0"/>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15</w:t>
            </w:r>
          </w:p>
        </w:tc>
        <w:tc>
          <w:tcPr>
            <w:tcW w:w="5984" w:type="dxa"/>
            <w:tcBorders>
              <w:top w:val="single" w:color="000000" w:sz="8" w:space="0"/>
              <w:left w:val="single" w:color="000000" w:sz="8" w:space="0"/>
              <w:bottom w:val="single" w:color="000000" w:sz="8" w:space="0"/>
              <w:right w:val="single" w:color="000000" w:sz="8" w:space="0"/>
            </w:tcBorders>
          </w:tcPr>
          <w:p w14:paraId="7740CCCE">
            <w:pPr>
              <w:numPr>
                <w:ilvl w:val="0"/>
                <w:numId w:val="0"/>
              </w:numPr>
              <w:spacing w:line="24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lang w:eastAsia="zh-CN"/>
              </w:rPr>
              <w:t>（一）</w:t>
            </w:r>
            <w:r>
              <w:rPr>
                <w:rFonts w:hint="eastAsia" w:ascii="宋体" w:hAnsi="宋体" w:eastAsia="宋体" w:cs="宋体"/>
                <w:b/>
                <w:bCs/>
                <w:color w:val="auto"/>
                <w:sz w:val="21"/>
                <w:szCs w:val="21"/>
                <w:highlight w:val="none"/>
              </w:rPr>
              <w:t>评</w:t>
            </w:r>
            <w:r>
              <w:rPr>
                <w:rFonts w:hint="eastAsia" w:ascii="宋体" w:hAnsi="宋体" w:cs="宋体"/>
                <w:b/>
                <w:bCs/>
                <w:color w:val="auto"/>
                <w:sz w:val="21"/>
                <w:szCs w:val="21"/>
                <w:highlight w:val="none"/>
                <w:lang w:val="en-US" w:eastAsia="zh-CN"/>
              </w:rPr>
              <w:t>分</w:t>
            </w:r>
            <w:r>
              <w:rPr>
                <w:rFonts w:hint="eastAsia" w:ascii="宋体" w:hAnsi="宋体" w:eastAsia="宋体" w:cs="宋体"/>
                <w:b/>
                <w:bCs/>
                <w:color w:val="auto"/>
                <w:kern w:val="0"/>
                <w:sz w:val="21"/>
                <w:szCs w:val="21"/>
                <w:highlight w:val="none"/>
              </w:rPr>
              <w:t>内容：</w:t>
            </w:r>
          </w:p>
          <w:p w14:paraId="7243EF2F">
            <w:pPr>
              <w:rPr>
                <w:rFonts w:hint="eastAsia" w:ascii="宋体" w:hAnsi="宋体" w:eastAsia="宋体" w:cs="宋体"/>
                <w:color w:val="auto"/>
                <w:szCs w:val="21"/>
                <w:lang w:eastAsia="zh-CN"/>
              </w:rPr>
            </w:pPr>
            <w:r>
              <w:rPr>
                <w:rFonts w:hint="eastAsia" w:ascii="宋体" w:hAnsi="宋体" w:eastAsia="宋体" w:cs="宋体"/>
                <w:color w:val="auto"/>
                <w:szCs w:val="21"/>
                <w:highlight w:val="none"/>
              </w:rPr>
              <w:t>202</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rPr>
              <w:t>年1月1日至本项目投标截止日（以合同签订日期为准），投标人具有同类项目业绩</w:t>
            </w:r>
            <w:r>
              <w:rPr>
                <w:rFonts w:hint="eastAsia" w:ascii="宋体" w:hAnsi="宋体" w:cs="宋体"/>
                <w:color w:val="auto"/>
                <w:szCs w:val="21"/>
                <w:highlight w:val="none"/>
                <w:lang w:eastAsia="zh-CN"/>
              </w:rPr>
              <w:t>情况</w:t>
            </w:r>
            <w:r>
              <w:rPr>
                <w:rFonts w:hint="eastAsia" w:ascii="宋体" w:hAnsi="宋体" w:eastAsia="宋体" w:cs="宋体"/>
                <w:color w:val="auto"/>
                <w:szCs w:val="21"/>
                <w:highlight w:val="none"/>
              </w:rPr>
              <w:t>（</w:t>
            </w:r>
            <w:r>
              <w:rPr>
                <w:rFonts w:hint="eastAsia" w:ascii="宋体" w:hAnsi="宋体" w:cs="宋体"/>
                <w:b/>
                <w:bCs/>
                <w:color w:val="auto"/>
                <w:szCs w:val="21"/>
                <w:highlight w:val="none"/>
              </w:rPr>
              <w:t>严重精神障碍患者监护责任补偿保险</w:t>
            </w:r>
            <w:r>
              <w:rPr>
                <w:rFonts w:hint="eastAsia" w:ascii="宋体" w:hAnsi="宋体" w:eastAsia="宋体" w:cs="宋体"/>
                <w:b/>
                <w:bCs/>
                <w:color w:val="auto"/>
                <w:szCs w:val="21"/>
                <w:highlight w:val="none"/>
              </w:rPr>
              <w:t>项目</w:t>
            </w:r>
            <w:r>
              <w:rPr>
                <w:rFonts w:hint="eastAsia" w:ascii="宋体" w:hAnsi="宋体" w:eastAsia="宋体" w:cs="宋体"/>
                <w:color w:val="auto"/>
                <w:szCs w:val="21"/>
                <w:highlight w:val="none"/>
              </w:rPr>
              <w:t>）</w:t>
            </w:r>
            <w:r>
              <w:rPr>
                <w:rFonts w:hint="eastAsia" w:ascii="宋体" w:hAnsi="宋体" w:cs="宋体"/>
                <w:color w:val="auto"/>
                <w:szCs w:val="21"/>
                <w:highlight w:val="none"/>
                <w:lang w:eastAsia="zh-CN"/>
              </w:rPr>
              <w:t>的，每提供一个项目合同得</w:t>
            </w:r>
            <w:r>
              <w:rPr>
                <w:rFonts w:hint="eastAsia" w:ascii="宋体" w:hAnsi="宋体" w:cs="宋体"/>
                <w:color w:val="auto"/>
                <w:szCs w:val="21"/>
                <w:highlight w:val="none"/>
                <w:lang w:val="en-US" w:eastAsia="zh-CN"/>
              </w:rPr>
              <w:t>50分</w:t>
            </w:r>
            <w:r>
              <w:rPr>
                <w:rFonts w:hint="eastAsia" w:ascii="宋体" w:hAnsi="宋体" w:eastAsia="宋体" w:cs="宋体"/>
                <w:color w:val="auto"/>
                <w:szCs w:val="21"/>
                <w:highlight w:val="none"/>
              </w:rPr>
              <w:t>，最高得</w:t>
            </w:r>
            <w:r>
              <w:rPr>
                <w:rFonts w:hint="eastAsia" w:ascii="宋体" w:hAnsi="宋体" w:cs="宋体"/>
                <w:color w:val="auto"/>
                <w:szCs w:val="21"/>
                <w:highlight w:val="none"/>
                <w:lang w:val="en-US" w:eastAsia="zh-CN"/>
              </w:rPr>
              <w:t>100</w:t>
            </w:r>
            <w:r>
              <w:rPr>
                <w:rFonts w:hint="eastAsia" w:ascii="宋体" w:hAnsi="宋体" w:eastAsia="宋体" w:cs="宋体"/>
                <w:color w:val="auto"/>
                <w:szCs w:val="21"/>
                <w:highlight w:val="none"/>
              </w:rPr>
              <w:t>分。同一项目续签合同的不可重复得分。</w:t>
            </w:r>
          </w:p>
          <w:p w14:paraId="0EA81E82">
            <w:pPr>
              <w:numPr>
                <w:ilvl w:val="0"/>
                <w:numId w:val="0"/>
              </w:numPr>
              <w:spacing w:line="240" w:lineRule="auto"/>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（二）</w:t>
            </w:r>
            <w:r>
              <w:rPr>
                <w:rFonts w:hint="eastAsia" w:ascii="宋体" w:hAnsi="宋体" w:eastAsia="宋体" w:cs="宋体"/>
                <w:b/>
                <w:bCs/>
                <w:color w:val="auto"/>
                <w:sz w:val="21"/>
                <w:szCs w:val="21"/>
                <w:highlight w:val="none"/>
              </w:rPr>
              <w:t>评</w:t>
            </w:r>
            <w:r>
              <w:rPr>
                <w:rFonts w:hint="eastAsia" w:ascii="宋体" w:hAnsi="宋体" w:cs="宋体"/>
                <w:b/>
                <w:bCs/>
                <w:color w:val="auto"/>
                <w:sz w:val="21"/>
                <w:szCs w:val="21"/>
                <w:highlight w:val="none"/>
                <w:lang w:val="en-US" w:eastAsia="zh-CN"/>
              </w:rPr>
              <w:t>分</w:t>
            </w:r>
            <w:r>
              <w:rPr>
                <w:rFonts w:hint="eastAsia" w:ascii="宋体" w:hAnsi="宋体" w:eastAsia="宋体" w:cs="宋体"/>
                <w:b/>
                <w:bCs/>
                <w:color w:val="auto"/>
                <w:kern w:val="0"/>
                <w:sz w:val="21"/>
                <w:szCs w:val="21"/>
                <w:highlight w:val="none"/>
              </w:rPr>
              <w:t>依据：</w:t>
            </w:r>
          </w:p>
          <w:p w14:paraId="6451EAD3">
            <w:pPr>
              <w:spacing w:line="240" w:lineRule="auto"/>
              <w:ind w:firstLine="0" w:firstLineChars="0"/>
              <w:jc w:val="left"/>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1</w:t>
            </w:r>
            <w:r>
              <w:rPr>
                <w:rFonts w:hint="eastAsia" w:ascii="宋体" w:hAnsi="宋体" w:eastAsia="宋体" w:cs="宋体"/>
                <w:color w:val="auto"/>
                <w:szCs w:val="21"/>
                <w:lang w:eastAsia="zh-CN"/>
              </w:rPr>
              <w:t>）</w:t>
            </w:r>
            <w:r>
              <w:rPr>
                <w:rFonts w:hint="eastAsia" w:ascii="宋体" w:hAnsi="宋体" w:eastAsia="宋体" w:cs="宋体"/>
                <w:color w:val="auto"/>
                <w:szCs w:val="21"/>
              </w:rPr>
              <w:t>提供合同关键信息扫描件（关键信息包括但不限于合同主体、服务内容、服务期限、签订</w:t>
            </w:r>
            <w:r>
              <w:rPr>
                <w:rFonts w:hint="eastAsia" w:ascii="宋体" w:hAnsi="宋体" w:cs="宋体"/>
                <w:color w:val="auto"/>
                <w:szCs w:val="21"/>
                <w:lang w:val="en-US" w:eastAsia="zh-CN"/>
              </w:rPr>
              <w:t>盖章</w:t>
            </w:r>
            <w:r>
              <w:rPr>
                <w:rFonts w:hint="eastAsia" w:ascii="宋体" w:hAnsi="宋体" w:eastAsia="宋体" w:cs="宋体"/>
                <w:color w:val="auto"/>
                <w:szCs w:val="21"/>
              </w:rPr>
              <w:t>页等）</w:t>
            </w:r>
            <w:r>
              <w:rPr>
                <w:rFonts w:hint="eastAsia" w:ascii="宋体" w:hAnsi="宋体" w:cs="宋体"/>
                <w:color w:val="auto"/>
                <w:szCs w:val="21"/>
                <w:lang w:eastAsia="zh-CN"/>
              </w:rPr>
              <w:t>。</w:t>
            </w:r>
          </w:p>
          <w:p w14:paraId="105D24FB">
            <w:pPr>
              <w:spacing w:line="240" w:lineRule="auto"/>
              <w:ind w:firstLine="0" w:firstLineChars="0"/>
              <w:jc w:val="left"/>
              <w:rPr>
                <w:rFonts w:hint="eastAsia" w:ascii="宋体" w:hAnsi="宋体" w:eastAsia="宋体" w:cs="宋体"/>
                <w:color w:val="auto"/>
                <w:szCs w:val="21"/>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2</w:t>
            </w:r>
            <w:r>
              <w:rPr>
                <w:rFonts w:hint="eastAsia" w:ascii="宋体" w:hAnsi="宋体" w:eastAsia="宋体" w:cs="宋体"/>
                <w:color w:val="auto"/>
                <w:szCs w:val="21"/>
                <w:lang w:eastAsia="zh-CN"/>
              </w:rPr>
              <w:t>）</w:t>
            </w:r>
            <w:r>
              <w:rPr>
                <w:rFonts w:hint="eastAsia" w:ascii="宋体" w:hAnsi="宋体" w:eastAsia="宋体" w:cs="宋体"/>
                <w:color w:val="auto"/>
                <w:szCs w:val="21"/>
              </w:rPr>
              <w:t>投标人为独立法人的，该总公司及其下属各分公司提供的同类项目业绩均符合要求；投标人为分公司的，提供总公司及其他分公司同类项目业绩不予认可。</w:t>
            </w:r>
          </w:p>
          <w:p w14:paraId="16D8F4E0">
            <w:pPr>
              <w:spacing w:line="240" w:lineRule="auto"/>
              <w:ind w:firstLine="0" w:firstLineChars="0"/>
              <w:jc w:val="left"/>
              <w:rPr>
                <w:rFonts w:hint="eastAsia" w:ascii="宋体" w:hAnsi="宋体" w:eastAsia="宋体" w:cs="宋体"/>
                <w:color w:val="auto"/>
                <w:szCs w:val="21"/>
                <w:lang w:eastAsia="zh-CN"/>
              </w:rPr>
            </w:pPr>
            <w:r>
              <w:rPr>
                <w:rFonts w:hint="eastAsia" w:ascii="宋体" w:hAnsi="宋体" w:eastAsia="宋体" w:cs="宋体"/>
                <w:color w:val="auto"/>
                <w:szCs w:val="21"/>
                <w:lang w:eastAsia="zh-CN"/>
              </w:rPr>
              <w:t>（</w:t>
            </w:r>
            <w:r>
              <w:rPr>
                <w:rFonts w:hint="eastAsia" w:ascii="宋体" w:hAnsi="宋体" w:eastAsia="宋体" w:cs="宋体"/>
                <w:color w:val="auto"/>
                <w:szCs w:val="21"/>
                <w:lang w:val="en-US" w:eastAsia="zh-CN"/>
              </w:rPr>
              <w:t>3</w:t>
            </w:r>
            <w:r>
              <w:rPr>
                <w:rFonts w:hint="eastAsia" w:ascii="宋体" w:hAnsi="宋体" w:eastAsia="宋体" w:cs="宋体"/>
                <w:color w:val="auto"/>
                <w:szCs w:val="21"/>
                <w:lang w:eastAsia="zh-CN"/>
              </w:rPr>
              <w:t>）</w:t>
            </w:r>
            <w:r>
              <w:rPr>
                <w:rFonts w:hint="eastAsia" w:ascii="宋体" w:hAnsi="宋体" w:eastAsia="宋体" w:cs="宋体"/>
                <w:color w:val="auto"/>
                <w:szCs w:val="21"/>
              </w:rPr>
              <w:t>提供合同甲方（或其直属机构或其内设机构或其派出机构）出具的</w:t>
            </w:r>
            <w:r>
              <w:rPr>
                <w:rFonts w:hint="eastAsia" w:ascii="宋体" w:hAnsi="宋体" w:eastAsia="宋体" w:cs="宋体"/>
                <w:color w:val="auto"/>
                <w:szCs w:val="21"/>
                <w:lang w:val="en-US" w:eastAsia="zh-CN"/>
              </w:rPr>
              <w:t>加盖公章（或者业务章）的</w:t>
            </w:r>
            <w:r>
              <w:rPr>
                <w:rFonts w:hint="eastAsia" w:ascii="宋体" w:hAnsi="宋体" w:eastAsia="宋体" w:cs="宋体"/>
                <w:color w:val="auto"/>
                <w:szCs w:val="21"/>
              </w:rPr>
              <w:t>履约或服务评价</w:t>
            </w:r>
            <w:r>
              <w:rPr>
                <w:rFonts w:hint="eastAsia" w:ascii="宋体" w:hAnsi="宋体" w:cs="宋体"/>
                <w:color w:val="auto"/>
                <w:szCs w:val="21"/>
                <w:lang w:val="en-US" w:eastAsia="zh-CN"/>
              </w:rPr>
              <w:t>为合格（同等级别）或以上</w:t>
            </w:r>
            <w:r>
              <w:rPr>
                <w:rFonts w:hint="eastAsia" w:ascii="宋体" w:hAnsi="宋体" w:eastAsia="宋体" w:cs="宋体"/>
                <w:color w:val="auto"/>
                <w:szCs w:val="21"/>
              </w:rPr>
              <w:t>相关的证明文件，否则不予认可</w:t>
            </w:r>
            <w:r>
              <w:rPr>
                <w:rFonts w:hint="eastAsia" w:ascii="宋体" w:hAnsi="宋体" w:eastAsia="宋体" w:cs="宋体"/>
                <w:color w:val="auto"/>
                <w:szCs w:val="21"/>
                <w:lang w:eastAsia="zh-CN"/>
              </w:rPr>
              <w:t>。</w:t>
            </w:r>
          </w:p>
          <w:p w14:paraId="5E779644">
            <w:pPr>
              <w:spacing w:line="240" w:lineRule="auto"/>
              <w:ind w:firstLine="0" w:firstLineChars="0"/>
              <w:jc w:val="left"/>
              <w:rPr>
                <w:rFonts w:hint="eastAsia" w:ascii="宋体" w:hAnsi="宋体" w:eastAsia="宋体" w:cs="宋体"/>
                <w:color w:val="auto"/>
                <w:szCs w:val="21"/>
                <w:lang w:eastAsia="zh-CN"/>
              </w:rPr>
            </w:pPr>
            <w:r>
              <w:rPr>
                <w:rFonts w:hint="eastAsia" w:ascii="宋体" w:hAnsi="宋体" w:cs="宋体"/>
                <w:b w:val="0"/>
                <w:bCs w:val="0"/>
                <w:kern w:val="0"/>
                <w:sz w:val="21"/>
                <w:szCs w:val="21"/>
                <w:lang w:val="en-US" w:eastAsia="zh-CN" w:bidi="ar-SA"/>
              </w:rPr>
              <w:t>（4）</w:t>
            </w:r>
            <w:r>
              <w:rPr>
                <w:rFonts w:hint="eastAsia" w:ascii="宋体" w:hAnsi="宋体" w:eastAsia="宋体" w:cs="宋体"/>
                <w:b w:val="0"/>
                <w:bCs w:val="0"/>
                <w:kern w:val="0"/>
                <w:sz w:val="21"/>
                <w:szCs w:val="21"/>
                <w:lang w:val="en-US" w:eastAsia="zh-CN" w:bidi="ar-SA"/>
              </w:rPr>
              <w:t>以上证明材料原件备查，未提供证明材料或者提供的证明材料不符合要求或评审专家无法凭所提供资料判断是否得分的，一律做不得分处理。</w:t>
            </w:r>
          </w:p>
        </w:tc>
      </w:tr>
      <w:tr w14:paraId="5916BC3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tcBorders>
              <w:top w:val="single" w:color="000000" w:sz="8" w:space="0"/>
              <w:left w:val="single" w:color="000000" w:sz="8" w:space="0"/>
              <w:bottom w:val="single" w:color="000000" w:sz="8" w:space="0"/>
              <w:right w:val="single" w:color="000000" w:sz="8" w:space="0"/>
            </w:tcBorders>
            <w:vAlign w:val="center"/>
          </w:tcPr>
          <w:p w14:paraId="7BCB1195">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52777CD1">
            <w:pPr>
              <w:wordWrap w:val="0"/>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110" w:type="dxa"/>
            <w:tcBorders>
              <w:top w:val="single" w:color="000000" w:sz="8" w:space="0"/>
              <w:left w:val="single" w:color="000000" w:sz="8" w:space="0"/>
              <w:bottom w:val="single" w:color="000000" w:sz="8" w:space="0"/>
              <w:right w:val="single" w:color="000000" w:sz="8" w:space="0"/>
            </w:tcBorders>
            <w:vAlign w:val="center"/>
          </w:tcPr>
          <w:p w14:paraId="1D4CD65B">
            <w:pPr>
              <w:wordWrap w:val="0"/>
              <w:jc w:val="center"/>
              <w:rPr>
                <w:rFonts w:hint="eastAsia" w:ascii="宋体" w:hAnsi="宋体" w:eastAsia="宋体" w:cs="宋体"/>
                <w:b w:val="0"/>
                <w:bCs/>
                <w:sz w:val="21"/>
                <w:szCs w:val="21"/>
                <w:highlight w:val="none"/>
              </w:rPr>
            </w:pPr>
            <w:r>
              <w:rPr>
                <w:rFonts w:hint="eastAsia" w:ascii="宋体" w:hAnsi="宋体" w:eastAsia="宋体" w:cs="宋体"/>
                <w:sz w:val="21"/>
                <w:szCs w:val="21"/>
              </w:rPr>
              <w:t>服务网点</w:t>
            </w:r>
          </w:p>
        </w:tc>
        <w:tc>
          <w:tcPr>
            <w:tcW w:w="893" w:type="dxa"/>
            <w:tcBorders>
              <w:top w:val="single" w:color="000000" w:sz="8" w:space="0"/>
              <w:left w:val="single" w:color="000000" w:sz="8" w:space="0"/>
              <w:bottom w:val="single" w:color="000000" w:sz="8" w:space="0"/>
              <w:right w:val="single" w:color="000000" w:sz="8" w:space="0"/>
            </w:tcBorders>
            <w:vAlign w:val="center"/>
          </w:tcPr>
          <w:p w14:paraId="1DDB7529">
            <w:pPr>
              <w:wordWrap w:val="0"/>
              <w:jc w:val="center"/>
              <w:rPr>
                <w:rFonts w:hint="default" w:ascii="宋体" w:hAnsi="宋体" w:cs="宋体"/>
                <w:szCs w:val="21"/>
                <w:lang w:val="en-US" w:eastAsia="zh-CN"/>
              </w:rPr>
            </w:pPr>
            <w:r>
              <w:rPr>
                <w:rFonts w:hint="eastAsia" w:ascii="宋体" w:hAnsi="宋体" w:cs="宋体"/>
                <w:szCs w:val="21"/>
                <w:lang w:val="en-US" w:eastAsia="zh-CN"/>
              </w:rPr>
              <w:t>5</w:t>
            </w:r>
          </w:p>
        </w:tc>
        <w:tc>
          <w:tcPr>
            <w:tcW w:w="5984" w:type="dxa"/>
            <w:tcBorders>
              <w:top w:val="single" w:color="000000" w:sz="8" w:space="0"/>
              <w:left w:val="single" w:color="000000" w:sz="8" w:space="0"/>
              <w:bottom w:val="single" w:color="000000" w:sz="8" w:space="0"/>
              <w:right w:val="single" w:color="000000" w:sz="8" w:space="0"/>
            </w:tcBorders>
          </w:tcPr>
          <w:p w14:paraId="607D8135">
            <w:pPr>
              <w:keepNext w:val="0"/>
              <w:keepLines w:val="0"/>
              <w:pageBreakBefore w:val="0"/>
              <w:widowControl w:val="0"/>
              <w:kinsoku/>
              <w:wordWrap/>
              <w:overflowPunct/>
              <w:topLinePunct w:val="0"/>
              <w:bidi w:val="0"/>
              <w:adjustRightInd/>
              <w:snapToGrid/>
              <w:spacing w:line="240" w:lineRule="atLeast"/>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（一）评分内容：</w:t>
            </w:r>
          </w:p>
          <w:p w14:paraId="0CD23663">
            <w:pPr>
              <w:keepNext w:val="0"/>
              <w:keepLines w:val="0"/>
              <w:pageBreakBefore w:val="0"/>
              <w:widowControl w:val="0"/>
              <w:kinsoku/>
              <w:wordWrap/>
              <w:overflowPunct/>
              <w:topLinePunct w:val="0"/>
              <w:bidi w:val="0"/>
              <w:adjustRightInd/>
              <w:snapToGrid/>
              <w:spacing w:line="240" w:lineRule="atLeast"/>
              <w:jc w:val="both"/>
              <w:textAlignment w:val="auto"/>
              <w:rPr>
                <w:rFonts w:hint="eastAsia" w:ascii="宋体" w:hAnsi="宋体" w:eastAsia="宋体" w:cs="宋体"/>
                <w:sz w:val="21"/>
                <w:szCs w:val="21"/>
              </w:rPr>
            </w:pPr>
            <w:r>
              <w:rPr>
                <w:rFonts w:hint="eastAsia" w:ascii="宋体" w:hAnsi="宋体" w:cs="宋体"/>
                <w:sz w:val="21"/>
                <w:szCs w:val="21"/>
                <w:lang w:val="en-US" w:eastAsia="zh-CN"/>
              </w:rPr>
              <w:t>投标人</w:t>
            </w:r>
            <w:r>
              <w:rPr>
                <w:rFonts w:hint="eastAsia" w:ascii="宋体" w:hAnsi="宋体" w:eastAsia="宋体" w:cs="宋体"/>
                <w:sz w:val="21"/>
                <w:szCs w:val="21"/>
              </w:rPr>
              <w:t>承诺中标后</w:t>
            </w:r>
            <w:r>
              <w:rPr>
                <w:rFonts w:hint="eastAsia" w:ascii="宋体" w:hAnsi="宋体" w:cs="宋体"/>
                <w:sz w:val="21"/>
                <w:szCs w:val="21"/>
                <w:lang w:val="en-US" w:eastAsia="zh-CN"/>
              </w:rPr>
              <w:t>在</w:t>
            </w:r>
            <w:r>
              <w:rPr>
                <w:rFonts w:hint="eastAsia" w:ascii="宋体" w:hAnsi="宋体" w:eastAsia="宋体" w:cs="宋体"/>
                <w:sz w:val="21"/>
                <w:szCs w:val="21"/>
              </w:rPr>
              <w:t>本地</w:t>
            </w:r>
            <w:r>
              <w:rPr>
                <w:rFonts w:hint="eastAsia" w:ascii="宋体" w:hAnsi="宋体" w:cs="宋体"/>
                <w:sz w:val="21"/>
                <w:szCs w:val="21"/>
                <w:lang w:val="en-US" w:eastAsia="zh-CN"/>
              </w:rPr>
              <w:t>范围内（龙岗区）提供</w:t>
            </w:r>
            <w:r>
              <w:rPr>
                <w:rFonts w:hint="eastAsia" w:ascii="宋体" w:hAnsi="宋体" w:eastAsia="宋体" w:cs="宋体"/>
                <w:sz w:val="21"/>
                <w:szCs w:val="21"/>
              </w:rPr>
              <w:t>售后服务</w:t>
            </w:r>
            <w:r>
              <w:rPr>
                <w:rFonts w:hint="eastAsia" w:ascii="宋体" w:hAnsi="宋体" w:cs="宋体"/>
                <w:sz w:val="21"/>
                <w:szCs w:val="21"/>
                <w:lang w:val="en-US" w:eastAsia="zh-CN"/>
              </w:rPr>
              <w:t>的</w:t>
            </w:r>
            <w:r>
              <w:rPr>
                <w:rFonts w:hint="eastAsia" w:ascii="宋体" w:hAnsi="宋体" w:eastAsia="宋体" w:cs="宋体"/>
                <w:sz w:val="21"/>
                <w:szCs w:val="21"/>
              </w:rPr>
              <w:t>得</w:t>
            </w:r>
            <w:r>
              <w:rPr>
                <w:rFonts w:hint="eastAsia" w:ascii="宋体" w:hAnsi="宋体" w:cs="宋体"/>
                <w:sz w:val="21"/>
                <w:szCs w:val="21"/>
                <w:lang w:val="en-US" w:eastAsia="zh-CN"/>
              </w:rPr>
              <w:t>100</w:t>
            </w:r>
            <w:r>
              <w:rPr>
                <w:rFonts w:hint="eastAsia" w:ascii="宋体" w:hAnsi="宋体" w:eastAsia="宋体" w:cs="宋体"/>
                <w:sz w:val="21"/>
                <w:szCs w:val="21"/>
              </w:rPr>
              <w:t>分。</w:t>
            </w:r>
          </w:p>
          <w:p w14:paraId="2E53269B">
            <w:pPr>
              <w:keepNext w:val="0"/>
              <w:keepLines w:val="0"/>
              <w:pageBreakBefore w:val="0"/>
              <w:widowControl w:val="0"/>
              <w:kinsoku/>
              <w:wordWrap/>
              <w:overflowPunct/>
              <w:topLinePunct w:val="0"/>
              <w:bidi w:val="0"/>
              <w:adjustRightInd/>
              <w:snapToGrid/>
              <w:spacing w:line="240" w:lineRule="atLeast"/>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（二）评分依据：</w:t>
            </w:r>
          </w:p>
          <w:p w14:paraId="0C82D629">
            <w:pPr>
              <w:wordWrap w:val="0"/>
              <w:rPr>
                <w:rFonts w:hint="eastAsia" w:ascii="宋体" w:hAnsi="宋体" w:eastAsia="宋体" w:cs="宋体"/>
                <w:szCs w:val="21"/>
                <w:lang w:eastAsia="zh-CN"/>
              </w:rPr>
            </w:pPr>
            <w:r>
              <w:rPr>
                <w:rFonts w:hint="eastAsia" w:ascii="宋体" w:hAnsi="宋体" w:eastAsia="宋体" w:cs="宋体"/>
                <w:sz w:val="21"/>
                <w:szCs w:val="21"/>
              </w:rPr>
              <w:t>提供承诺函（格式自拟）。原件备查，</w:t>
            </w:r>
            <w:r>
              <w:rPr>
                <w:rFonts w:hint="eastAsia" w:ascii="宋体" w:hAnsi="宋体" w:eastAsia="宋体" w:cs="宋体"/>
                <w:b w:val="0"/>
                <w:bCs w:val="0"/>
                <w:kern w:val="0"/>
                <w:sz w:val="21"/>
                <w:szCs w:val="21"/>
                <w:lang w:val="en-US" w:eastAsia="zh-CN" w:bidi="ar-SA"/>
              </w:rPr>
              <w:t>未提供证明材料或者提供的证明材料不符合要求或评审专家无法凭所提供资料判断是否得分的，一律做不得分处理。</w:t>
            </w:r>
          </w:p>
        </w:tc>
      </w:tr>
      <w:tr w14:paraId="1078CF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restart"/>
            <w:tcBorders>
              <w:top w:val="single" w:color="000000" w:sz="8" w:space="0"/>
              <w:left w:val="single" w:color="000000" w:sz="8" w:space="0"/>
              <w:bottom w:val="single" w:color="000000" w:sz="8" w:space="0"/>
              <w:right w:val="single" w:color="000000" w:sz="8" w:space="0"/>
            </w:tcBorders>
          </w:tcPr>
          <w:p w14:paraId="4B526B2A">
            <w:pPr>
              <w:wordWrap w:val="0"/>
              <w:jc w:val="center"/>
              <w:rPr>
                <w:rFonts w:ascii="宋体" w:hAnsi="宋体" w:cs="宋体"/>
                <w:b/>
                <w:bCs/>
                <w:color w:val="0000FF"/>
                <w:sz w:val="24"/>
              </w:rPr>
            </w:pPr>
            <w:r>
              <w:rPr>
                <w:b/>
                <w:bCs/>
                <w:color w:val="0000FF"/>
              </w:rPr>
              <w:t>4</w:t>
            </w:r>
          </w:p>
        </w:tc>
        <w:tc>
          <w:tcPr>
            <w:tcW w:w="2558" w:type="dxa"/>
            <w:gridSpan w:val="3"/>
            <w:tcBorders>
              <w:top w:val="single" w:color="000000" w:sz="8" w:space="0"/>
              <w:left w:val="single" w:color="000000" w:sz="8" w:space="0"/>
              <w:bottom w:val="single" w:color="000000" w:sz="8" w:space="0"/>
              <w:right w:val="single" w:color="000000" w:sz="8" w:space="0"/>
            </w:tcBorders>
          </w:tcPr>
          <w:p w14:paraId="7B1BB419">
            <w:pPr>
              <w:wordWrap w:val="0"/>
              <w:jc w:val="center"/>
              <w:rPr>
                <w:rFonts w:ascii="宋体" w:hAnsi="宋体" w:cs="宋体"/>
                <w:b/>
                <w:bCs/>
                <w:color w:val="0000FF"/>
                <w:sz w:val="24"/>
              </w:rPr>
            </w:pPr>
            <w:r>
              <w:rPr>
                <w:b/>
                <w:bCs/>
                <w:color w:val="0000FF"/>
              </w:rPr>
              <w:t>诚信情况</w:t>
            </w:r>
          </w:p>
        </w:tc>
        <w:tc>
          <w:tcPr>
            <w:tcW w:w="5984" w:type="dxa"/>
            <w:tcBorders>
              <w:top w:val="single" w:color="000000" w:sz="8" w:space="0"/>
              <w:left w:val="single" w:color="000000" w:sz="8" w:space="0"/>
              <w:bottom w:val="single" w:color="000000" w:sz="8" w:space="0"/>
              <w:right w:val="single" w:color="000000" w:sz="8" w:space="0"/>
            </w:tcBorders>
          </w:tcPr>
          <w:p w14:paraId="68FDE1BB">
            <w:pPr>
              <w:wordWrap w:val="0"/>
              <w:jc w:val="center"/>
              <w:rPr>
                <w:rFonts w:hint="default" w:ascii="宋体" w:hAnsi="宋体" w:eastAsia="宋体" w:cs="宋体"/>
                <w:b/>
                <w:bCs/>
                <w:color w:val="0000FF"/>
                <w:sz w:val="24"/>
                <w:lang w:val="en-US" w:eastAsia="zh-CN"/>
              </w:rPr>
            </w:pPr>
            <w:r>
              <w:rPr>
                <w:rFonts w:hint="eastAsia"/>
                <w:b/>
                <w:bCs/>
                <w:color w:val="0000FF"/>
                <w:lang w:val="en-US" w:eastAsia="zh-CN"/>
              </w:rPr>
              <w:t>5</w:t>
            </w:r>
          </w:p>
        </w:tc>
      </w:tr>
      <w:tr w14:paraId="247DBB2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shd w:val="clear" w:color="auto" w:fill="E6EFFA"/>
            <w:vAlign w:val="center"/>
          </w:tcPr>
          <w:p w14:paraId="0AED123D">
            <w:pPr>
              <w:rPr>
                <w:rFonts w:ascii="宋体" w:hAnsi="宋体" w:cs="宋体"/>
                <w:b/>
                <w:bCs/>
                <w:color w:val="0000FF"/>
                <w:sz w:val="24"/>
              </w:rPr>
            </w:pPr>
          </w:p>
        </w:tc>
        <w:tc>
          <w:tcPr>
            <w:tcW w:w="555"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1CFDB457">
            <w:pPr>
              <w:wordWrap w:val="0"/>
              <w:jc w:val="center"/>
              <w:rPr>
                <w:rFonts w:ascii="宋体" w:hAnsi="宋体" w:cs="宋体"/>
                <w:szCs w:val="21"/>
              </w:rPr>
            </w:pPr>
            <w:r>
              <w:rPr>
                <w:szCs w:val="21"/>
              </w:rPr>
              <w:t>序号</w:t>
            </w:r>
          </w:p>
        </w:tc>
        <w:tc>
          <w:tcPr>
            <w:tcW w:w="1110"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9C43875">
            <w:pPr>
              <w:wordWrap w:val="0"/>
              <w:jc w:val="center"/>
              <w:rPr>
                <w:rFonts w:ascii="宋体" w:hAnsi="宋体" w:cs="宋体"/>
                <w:szCs w:val="21"/>
              </w:rPr>
            </w:pPr>
            <w:r>
              <w:rPr>
                <w:szCs w:val="21"/>
              </w:rPr>
              <w:t>评分因素</w:t>
            </w:r>
          </w:p>
        </w:tc>
        <w:tc>
          <w:tcPr>
            <w:tcW w:w="893"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C01CFB0">
            <w:pPr>
              <w:wordWrap w:val="0"/>
              <w:jc w:val="center"/>
              <w:rPr>
                <w:rFonts w:ascii="宋体" w:hAnsi="宋体" w:cs="宋体"/>
                <w:szCs w:val="21"/>
              </w:rPr>
            </w:pPr>
            <w:r>
              <w:rPr>
                <w:szCs w:val="21"/>
              </w:rPr>
              <w:t>权重(%)</w:t>
            </w:r>
          </w:p>
        </w:tc>
        <w:tc>
          <w:tcPr>
            <w:tcW w:w="5984" w:type="dxa"/>
            <w:tcBorders>
              <w:top w:val="outset" w:color="000000" w:sz="6" w:space="0"/>
              <w:left w:val="outset" w:color="000000" w:sz="6" w:space="0"/>
              <w:bottom w:val="outset" w:color="000000" w:sz="6" w:space="0"/>
              <w:right w:val="outset" w:color="000000" w:sz="6" w:space="0"/>
            </w:tcBorders>
            <w:shd w:val="clear" w:color="auto" w:fill="E6EFFA"/>
            <w:vAlign w:val="center"/>
          </w:tcPr>
          <w:p w14:paraId="4739EA08">
            <w:pPr>
              <w:wordWrap w:val="0"/>
              <w:jc w:val="center"/>
              <w:rPr>
                <w:rFonts w:ascii="宋体" w:hAnsi="宋体" w:cs="宋体"/>
                <w:szCs w:val="21"/>
              </w:rPr>
            </w:pPr>
            <w:r>
              <w:rPr>
                <w:szCs w:val="21"/>
              </w:rPr>
              <w:t>评分准则</w:t>
            </w:r>
          </w:p>
        </w:tc>
      </w:tr>
      <w:tr w14:paraId="29FC43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530" w:type="dxa"/>
            <w:vMerge w:val="continue"/>
            <w:tcBorders>
              <w:top w:val="single" w:color="000000" w:sz="8" w:space="0"/>
              <w:left w:val="single" w:color="000000" w:sz="8" w:space="0"/>
              <w:bottom w:val="single" w:color="000000" w:sz="8" w:space="0"/>
              <w:right w:val="single" w:color="000000" w:sz="8" w:space="0"/>
            </w:tcBorders>
            <w:vAlign w:val="center"/>
          </w:tcPr>
          <w:p w14:paraId="66A3F5EA">
            <w:pPr>
              <w:rPr>
                <w:rFonts w:ascii="宋体" w:hAnsi="宋体" w:cs="宋体"/>
                <w:b/>
                <w:bCs/>
                <w:color w:val="0000FF"/>
                <w:sz w:val="24"/>
              </w:rPr>
            </w:pPr>
          </w:p>
        </w:tc>
        <w:tc>
          <w:tcPr>
            <w:tcW w:w="555" w:type="dxa"/>
            <w:tcBorders>
              <w:top w:val="single" w:color="000000" w:sz="8" w:space="0"/>
              <w:left w:val="single" w:color="000000" w:sz="8" w:space="0"/>
              <w:bottom w:val="single" w:color="000000" w:sz="8" w:space="0"/>
              <w:right w:val="single" w:color="000000" w:sz="8" w:space="0"/>
            </w:tcBorders>
            <w:vAlign w:val="center"/>
          </w:tcPr>
          <w:p w14:paraId="6056F1E7">
            <w:pPr>
              <w:wordWrap w:val="0"/>
              <w:jc w:val="center"/>
              <w:rPr>
                <w:rFonts w:ascii="宋体" w:hAnsi="宋体" w:cs="宋体"/>
                <w:szCs w:val="21"/>
              </w:rPr>
            </w:pPr>
            <w:r>
              <w:rPr>
                <w:szCs w:val="21"/>
              </w:rPr>
              <w:t>1</w:t>
            </w:r>
          </w:p>
        </w:tc>
        <w:tc>
          <w:tcPr>
            <w:tcW w:w="1110" w:type="dxa"/>
            <w:tcBorders>
              <w:top w:val="single" w:color="000000" w:sz="8" w:space="0"/>
              <w:left w:val="single" w:color="000000" w:sz="8" w:space="0"/>
              <w:bottom w:val="single" w:color="000000" w:sz="8" w:space="0"/>
              <w:right w:val="single" w:color="000000" w:sz="8" w:space="0"/>
            </w:tcBorders>
            <w:vAlign w:val="center"/>
          </w:tcPr>
          <w:p w14:paraId="3D75A7F6">
            <w:pPr>
              <w:wordWrap w:val="0"/>
              <w:jc w:val="center"/>
              <w:rPr>
                <w:rFonts w:ascii="宋体" w:hAnsi="宋体" w:cs="宋体"/>
                <w:szCs w:val="21"/>
              </w:rPr>
            </w:pPr>
            <w:r>
              <w:rPr>
                <w:szCs w:val="21"/>
              </w:rPr>
              <w:t>诚信情况</w:t>
            </w:r>
          </w:p>
        </w:tc>
        <w:tc>
          <w:tcPr>
            <w:tcW w:w="893" w:type="dxa"/>
            <w:tcBorders>
              <w:top w:val="single" w:color="000000" w:sz="8" w:space="0"/>
              <w:left w:val="single" w:color="000000" w:sz="8" w:space="0"/>
              <w:bottom w:val="single" w:color="000000" w:sz="8" w:space="0"/>
              <w:right w:val="single" w:color="000000" w:sz="8" w:space="0"/>
            </w:tcBorders>
            <w:vAlign w:val="center"/>
          </w:tcPr>
          <w:p w14:paraId="0304EA04">
            <w:pPr>
              <w:widowControl/>
              <w:wordWrap w:val="0"/>
              <w:jc w:val="center"/>
              <w:textAlignment w:val="top"/>
              <w:rPr>
                <w:rFonts w:hint="default" w:ascii="宋体" w:hAnsi="宋体" w:eastAsia="宋体" w:cs="宋体"/>
                <w:szCs w:val="21"/>
                <w:lang w:val="en-US" w:eastAsia="zh-CN"/>
              </w:rPr>
            </w:pPr>
            <w:r>
              <w:rPr>
                <w:rFonts w:hint="eastAsia"/>
                <w:lang w:val="en-US" w:eastAsia="zh-CN"/>
              </w:rPr>
              <w:t>5</w:t>
            </w:r>
          </w:p>
        </w:tc>
        <w:tc>
          <w:tcPr>
            <w:tcW w:w="5984" w:type="dxa"/>
            <w:tcBorders>
              <w:top w:val="single" w:color="000000" w:sz="8" w:space="0"/>
              <w:left w:val="single" w:color="000000" w:sz="8" w:space="0"/>
              <w:bottom w:val="single" w:color="000000" w:sz="8" w:space="0"/>
              <w:right w:val="single" w:color="000000" w:sz="8" w:space="0"/>
            </w:tcBorders>
            <w:vAlign w:val="top"/>
          </w:tcPr>
          <w:p w14:paraId="0C1ECB60">
            <w:pPr>
              <w:pStyle w:val="2"/>
              <w:wordWrap w:val="0"/>
              <w:spacing w:line="240" w:lineRule="auto"/>
              <w:ind w:firstLine="420" w:firstLineChars="200"/>
              <w:rPr>
                <w:rFonts w:hint="eastAsia" w:ascii="宋体" w:hAnsi="宋体" w:cs="宋体"/>
                <w:b w:val="0"/>
                <w:bCs w:val="0"/>
                <w:sz w:val="21"/>
                <w:szCs w:val="21"/>
              </w:rPr>
            </w:pPr>
            <w:r>
              <w:rPr>
                <w:rFonts w:hint="eastAsia" w:ascii="宋体" w:hAnsi="宋体" w:cs="宋体"/>
                <w:b w:val="0"/>
                <w:bCs w:val="0"/>
                <w:sz w:val="21"/>
                <w:szCs w:val="21"/>
              </w:rPr>
              <w:t>投标人存在《深圳市财政局政府采购供应商信用信息管理办法》（深财规〔2023〕3号）列明的一般行政处罚信息、一般违法失信记录信息的，本项不得分，不存在上述情形的本项得100分。投标人无需提供任何证明材料，评标过程中由工作人员向评审委员会提供有关供应商诚信查询结果。</w:t>
            </w:r>
          </w:p>
          <w:p w14:paraId="7990631F">
            <w:pPr>
              <w:widowControl/>
              <w:wordWrap w:val="0"/>
              <w:jc w:val="left"/>
              <w:textAlignment w:val="top"/>
              <w:rPr>
                <w:rFonts w:ascii="宋体" w:hAnsi="宋体" w:cs="宋体"/>
                <w:szCs w:val="21"/>
              </w:rPr>
            </w:pPr>
            <w:r>
              <w:rPr>
                <w:rFonts w:hint="eastAsia" w:ascii="宋体" w:hAnsi="宋体" w:cs="宋体"/>
                <w:szCs w:val="21"/>
              </w:rPr>
              <w:t>查询渠道具体包括“信用中国”（www.creditchina.gov.cn）、“中国政府采购网”（www.ccgp.gov.cn）”、“深圳市政府采购监管网”（http://zfcg.sz.gov.cn）为供应商信用信息的查询渠道，相关信息以开标当日的查询结果为准。</w:t>
            </w:r>
          </w:p>
        </w:tc>
      </w:tr>
    </w:tbl>
    <w:p w14:paraId="67E4895D">
      <w:pPr>
        <w:rPr>
          <w:rFonts w:hint="eastAsia" w:ascii="宋体" w:hAnsi="宋体" w:eastAsia="宋体" w:cs="宋体"/>
          <w:sz w:val="21"/>
          <w:szCs w:val="21"/>
        </w:rPr>
        <w:sectPr>
          <w:pgSz w:w="11907" w:h="16840"/>
          <w:pgMar w:top="1440" w:right="1417" w:bottom="1440" w:left="1417" w:header="851" w:footer="992" w:gutter="0"/>
          <w:cols w:space="425" w:num="1"/>
          <w:titlePg/>
          <w:docGrid w:linePitch="462" w:charSpace="0"/>
        </w:sectPr>
      </w:pPr>
    </w:p>
    <w:p w14:paraId="204CCE8D">
      <w:pPr>
        <w:jc w:val="both"/>
        <w:rPr>
          <w:rFonts w:hint="eastAsia"/>
          <w:b/>
          <w:sz w:val="120"/>
          <w:szCs w:val="120"/>
        </w:rPr>
      </w:pPr>
    </w:p>
    <w:p w14:paraId="5128656E">
      <w:pPr>
        <w:jc w:val="center"/>
        <w:rPr>
          <w:b/>
          <w:sz w:val="120"/>
          <w:szCs w:val="120"/>
        </w:rPr>
      </w:pPr>
      <w:r>
        <w:rPr>
          <w:rFonts w:hint="eastAsia"/>
          <w:b/>
          <w:sz w:val="120"/>
          <w:szCs w:val="120"/>
        </w:rPr>
        <w:t>政府采购</w:t>
      </w:r>
    </w:p>
    <w:p w14:paraId="32F143D2">
      <w:pPr>
        <w:jc w:val="center"/>
        <w:rPr>
          <w:b/>
          <w:sz w:val="120"/>
          <w:szCs w:val="120"/>
        </w:rPr>
      </w:pPr>
      <w:r>
        <w:rPr>
          <w:rFonts w:hint="eastAsia"/>
          <w:b/>
          <w:sz w:val="120"/>
          <w:szCs w:val="120"/>
        </w:rPr>
        <w:t>招标文件</w:t>
      </w:r>
    </w:p>
    <w:p w14:paraId="637C0C11">
      <w:pPr>
        <w:jc w:val="center"/>
        <w:rPr>
          <w:b/>
          <w:sz w:val="52"/>
          <w:szCs w:val="52"/>
        </w:rPr>
      </w:pPr>
      <w:r>
        <w:rPr>
          <w:rFonts w:hint="eastAsia"/>
          <w:b/>
          <w:sz w:val="52"/>
          <w:szCs w:val="52"/>
        </w:rPr>
        <w:t>（服务类）</w:t>
      </w:r>
    </w:p>
    <w:p w14:paraId="2A9EB876">
      <w:pPr>
        <w:jc w:val="center"/>
        <w:rPr>
          <w:b/>
          <w:sz w:val="44"/>
          <w:szCs w:val="44"/>
        </w:rPr>
      </w:pPr>
    </w:p>
    <w:p w14:paraId="2BC9F0C8">
      <w:pPr>
        <w:jc w:val="center"/>
        <w:rPr>
          <w:b/>
          <w:sz w:val="44"/>
          <w:szCs w:val="44"/>
        </w:rPr>
      </w:pPr>
    </w:p>
    <w:p w14:paraId="09335878">
      <w:pPr>
        <w:jc w:val="center"/>
        <w:rPr>
          <w:b/>
          <w:sz w:val="44"/>
          <w:szCs w:val="44"/>
        </w:rPr>
      </w:pPr>
    </w:p>
    <w:p w14:paraId="584DCDC1">
      <w:pPr>
        <w:jc w:val="center"/>
        <w:rPr>
          <w:b/>
          <w:sz w:val="44"/>
          <w:szCs w:val="44"/>
        </w:rPr>
      </w:pPr>
    </w:p>
    <w:p w14:paraId="64D71FEE">
      <w:pPr>
        <w:jc w:val="center"/>
        <w:rPr>
          <w:b/>
          <w:sz w:val="44"/>
          <w:szCs w:val="44"/>
        </w:rPr>
      </w:pPr>
    </w:p>
    <w:p w14:paraId="369D7965">
      <w:pPr>
        <w:jc w:val="center"/>
        <w:rPr>
          <w:b/>
          <w:sz w:val="44"/>
          <w:szCs w:val="44"/>
        </w:rPr>
      </w:pPr>
    </w:p>
    <w:p w14:paraId="1A06AF31">
      <w:pPr>
        <w:jc w:val="center"/>
        <w:rPr>
          <w:b/>
          <w:sz w:val="44"/>
          <w:szCs w:val="44"/>
        </w:rPr>
      </w:pPr>
    </w:p>
    <w:p w14:paraId="271BB594">
      <w:pPr>
        <w:jc w:val="center"/>
        <w:rPr>
          <w:b/>
          <w:sz w:val="44"/>
          <w:szCs w:val="44"/>
        </w:rPr>
      </w:pPr>
    </w:p>
    <w:p w14:paraId="49B2C689">
      <w:pPr>
        <w:jc w:val="center"/>
        <w:rPr>
          <w:b/>
          <w:sz w:val="44"/>
          <w:szCs w:val="44"/>
        </w:rPr>
      </w:pPr>
      <w:bookmarkStart w:id="0" w:name="_Hlk71465316"/>
      <w:r>
        <w:rPr>
          <w:rFonts w:hint="eastAsia"/>
          <w:b/>
          <w:sz w:val="44"/>
          <w:szCs w:val="44"/>
        </w:rPr>
        <w:t>深圳公共资源交易中心</w:t>
      </w:r>
    </w:p>
    <w:bookmarkEnd w:id="0"/>
    <w:p w14:paraId="04F462C1">
      <w:pPr>
        <w:jc w:val="center"/>
        <w:rPr>
          <w:rFonts w:hint="eastAsia" w:eastAsia="宋体"/>
          <w:b/>
          <w:sz w:val="44"/>
          <w:szCs w:val="44"/>
        </w:rPr>
      </w:pPr>
      <w:r>
        <w:rPr>
          <w:rFonts w:hint="eastAsia" w:eastAsia="宋体"/>
          <w:b/>
          <w:sz w:val="44"/>
          <w:szCs w:val="44"/>
        </w:rPr>
        <w:t>（202</w:t>
      </w:r>
      <w:r>
        <w:rPr>
          <w:rFonts w:hint="eastAsia"/>
          <w:b/>
          <w:sz w:val="44"/>
          <w:szCs w:val="44"/>
          <w:lang w:val="en-US" w:eastAsia="zh-CN"/>
        </w:rPr>
        <w:t>5</w:t>
      </w:r>
      <w:r>
        <w:rPr>
          <w:rFonts w:hint="eastAsia" w:eastAsia="宋体"/>
          <w:b/>
          <w:sz w:val="44"/>
          <w:szCs w:val="44"/>
        </w:rPr>
        <w:t>）</w:t>
      </w:r>
    </w:p>
    <w:p w14:paraId="002CAD72">
      <w:pPr>
        <w:ind w:firstLine="420" w:firstLineChars="200"/>
        <w:rPr>
          <w:rFonts w:hint="eastAsia"/>
        </w:rPr>
      </w:pPr>
      <w:r>
        <w:rPr>
          <w:rFonts w:hint="eastAsia"/>
        </w:rPr>
        <w:br w:type="page"/>
      </w:r>
    </w:p>
    <w:p w14:paraId="46427771">
      <w:pPr>
        <w:pStyle w:val="4"/>
      </w:pPr>
      <w:r>
        <w:rPr>
          <w:rFonts w:hint="eastAsia"/>
        </w:rPr>
        <w:t>目   录</w:t>
      </w:r>
    </w:p>
    <w:p w14:paraId="1098AA62">
      <w:pPr>
        <w:outlineLvl w:val="0"/>
        <w:rPr>
          <w:b/>
          <w:sz w:val="24"/>
        </w:rPr>
      </w:pPr>
      <w:r>
        <w:rPr>
          <w:rFonts w:hint="eastAsia"/>
          <w:b/>
          <w:sz w:val="24"/>
        </w:rPr>
        <w:t>第一册  专用条款</w:t>
      </w:r>
    </w:p>
    <w:p w14:paraId="795F59EE">
      <w:pPr>
        <w:ind w:firstLine="960" w:firstLineChars="400"/>
        <w:rPr>
          <w:rFonts w:hint="eastAsia"/>
          <w:sz w:val="24"/>
        </w:rPr>
      </w:pPr>
      <w:r>
        <w:rPr>
          <w:rFonts w:hint="eastAsia"/>
          <w:sz w:val="24"/>
        </w:rPr>
        <w:t>关键信息</w:t>
      </w:r>
    </w:p>
    <w:p w14:paraId="6D9A01CD">
      <w:pPr>
        <w:ind w:firstLine="960" w:firstLineChars="400"/>
        <w:rPr>
          <w:sz w:val="24"/>
        </w:rPr>
      </w:pPr>
      <w:r>
        <w:rPr>
          <w:rFonts w:hint="eastAsia" w:ascii="Times New Roman" w:hAnsi="Times New Roman" w:eastAsia="宋体" w:cs="Times New Roman"/>
          <w:sz w:val="24"/>
        </w:rPr>
        <w:t>评标信息</w:t>
      </w:r>
    </w:p>
    <w:p w14:paraId="38ED19BE">
      <w:pPr>
        <w:ind w:left="630" w:leftChars="300" w:firstLine="630" w:firstLineChars="300"/>
        <w:rPr>
          <w:rFonts w:ascii="宋体" w:hAnsi="宋体"/>
          <w:szCs w:val="21"/>
        </w:rPr>
      </w:pPr>
      <w:r>
        <w:rPr>
          <w:rFonts w:hint="eastAsia" w:ascii="宋体" w:hAnsi="宋体"/>
          <w:szCs w:val="21"/>
        </w:rPr>
        <w:t>第一章  招标公告</w:t>
      </w:r>
    </w:p>
    <w:p w14:paraId="25D5A813">
      <w:pPr>
        <w:ind w:left="630" w:leftChars="300" w:firstLine="630" w:firstLineChars="300"/>
        <w:rPr>
          <w:rFonts w:ascii="宋体" w:hAnsi="宋体"/>
          <w:szCs w:val="21"/>
        </w:rPr>
      </w:pPr>
      <w:r>
        <w:rPr>
          <w:rFonts w:hint="eastAsia" w:ascii="宋体" w:hAnsi="宋体"/>
          <w:szCs w:val="21"/>
        </w:rPr>
        <w:t xml:space="preserve">第二章  </w:t>
      </w:r>
      <w:bookmarkStart w:id="1" w:name="_Hlk71994379"/>
      <w:r>
        <w:rPr>
          <w:rFonts w:hint="eastAsia" w:ascii="宋体" w:hAnsi="宋体"/>
          <w:szCs w:val="21"/>
        </w:rPr>
        <w:t>对通用条款的补充内容及其他关键信息</w:t>
      </w:r>
      <w:bookmarkEnd w:id="1"/>
    </w:p>
    <w:p w14:paraId="7B7C99FA">
      <w:pPr>
        <w:ind w:left="630" w:leftChars="300" w:firstLine="630" w:firstLineChars="300"/>
        <w:rPr>
          <w:rFonts w:ascii="宋体" w:hAnsi="宋体"/>
          <w:szCs w:val="21"/>
        </w:rPr>
      </w:pPr>
      <w:r>
        <w:rPr>
          <w:rFonts w:hint="eastAsia" w:ascii="宋体" w:hAnsi="宋体"/>
          <w:szCs w:val="21"/>
        </w:rPr>
        <w:t xml:space="preserve">第三章 </w:t>
      </w:r>
      <w:r>
        <w:rPr>
          <w:rFonts w:ascii="宋体" w:hAnsi="宋体"/>
          <w:szCs w:val="21"/>
        </w:rPr>
        <w:t xml:space="preserve"> </w:t>
      </w:r>
      <w:r>
        <w:rPr>
          <w:rFonts w:hint="eastAsia" w:ascii="宋体" w:hAnsi="宋体"/>
          <w:szCs w:val="21"/>
        </w:rPr>
        <w:t>用户需求书</w:t>
      </w:r>
    </w:p>
    <w:p w14:paraId="39B995DA">
      <w:pPr>
        <w:ind w:left="630" w:leftChars="300" w:firstLine="630" w:firstLineChars="300"/>
        <w:rPr>
          <w:rFonts w:ascii="宋体" w:hAnsi="宋体"/>
          <w:szCs w:val="21"/>
        </w:rPr>
      </w:pPr>
      <w:r>
        <w:rPr>
          <w:rFonts w:hint="eastAsia" w:ascii="宋体" w:hAnsi="宋体"/>
          <w:szCs w:val="21"/>
        </w:rPr>
        <w:t xml:space="preserve">第四章 </w:t>
      </w:r>
      <w:r>
        <w:rPr>
          <w:rFonts w:ascii="宋体" w:hAnsi="宋体"/>
          <w:szCs w:val="21"/>
        </w:rPr>
        <w:t xml:space="preserve"> </w:t>
      </w:r>
      <w:r>
        <w:rPr>
          <w:rFonts w:hint="eastAsia" w:ascii="宋体" w:hAnsi="宋体"/>
          <w:szCs w:val="21"/>
        </w:rPr>
        <w:t>投标文件组成要求及格式</w:t>
      </w:r>
    </w:p>
    <w:p w14:paraId="584322CA">
      <w:pPr>
        <w:ind w:left="630" w:leftChars="300" w:firstLine="630" w:firstLineChars="300"/>
        <w:rPr>
          <w:rFonts w:ascii="宋体" w:hAnsi="宋体"/>
          <w:szCs w:val="21"/>
        </w:rPr>
      </w:pPr>
      <w:r>
        <w:rPr>
          <w:rFonts w:hint="eastAsia" w:ascii="宋体" w:hAnsi="宋体"/>
          <w:szCs w:val="21"/>
        </w:rPr>
        <w:t>第五章  合同条款及格式</w:t>
      </w:r>
    </w:p>
    <w:p w14:paraId="17A75BA1">
      <w:pPr>
        <w:rPr>
          <w:b/>
          <w:sz w:val="24"/>
        </w:rPr>
      </w:pPr>
    </w:p>
    <w:p w14:paraId="7C985AC7">
      <w:pPr>
        <w:outlineLvl w:val="0"/>
        <w:rPr>
          <w:b/>
          <w:sz w:val="24"/>
        </w:rPr>
      </w:pPr>
      <w:r>
        <w:rPr>
          <w:rFonts w:hint="eastAsia"/>
          <w:b/>
          <w:sz w:val="24"/>
        </w:rPr>
        <w:t>第二册  通用条款</w:t>
      </w:r>
    </w:p>
    <w:p w14:paraId="2F0882FF">
      <w:pPr>
        <w:ind w:left="630" w:leftChars="300" w:firstLine="411" w:firstLineChars="196"/>
        <w:rPr>
          <w:rFonts w:ascii="宋体" w:hAnsi="宋体"/>
          <w:szCs w:val="21"/>
        </w:rPr>
      </w:pPr>
      <w:r>
        <w:rPr>
          <w:rFonts w:hint="eastAsia" w:ascii="宋体" w:hAnsi="宋体"/>
          <w:szCs w:val="21"/>
        </w:rPr>
        <w:t>第一章  总则</w:t>
      </w:r>
    </w:p>
    <w:p w14:paraId="39259436">
      <w:pPr>
        <w:ind w:left="630" w:leftChars="300" w:firstLine="411" w:firstLineChars="196"/>
        <w:rPr>
          <w:rFonts w:ascii="宋体" w:hAnsi="宋体"/>
          <w:szCs w:val="21"/>
        </w:rPr>
      </w:pPr>
      <w:r>
        <w:rPr>
          <w:rFonts w:hint="eastAsia" w:ascii="宋体" w:hAnsi="宋体"/>
          <w:szCs w:val="21"/>
        </w:rPr>
        <w:t>第二章  招标文件</w:t>
      </w:r>
    </w:p>
    <w:p w14:paraId="5ED208A7">
      <w:pPr>
        <w:ind w:left="630" w:leftChars="300" w:firstLine="411" w:firstLineChars="196"/>
        <w:rPr>
          <w:rFonts w:ascii="宋体" w:hAnsi="宋体"/>
          <w:szCs w:val="21"/>
        </w:rPr>
      </w:pPr>
      <w:r>
        <w:rPr>
          <w:rFonts w:hint="eastAsia" w:ascii="宋体" w:hAnsi="宋体"/>
          <w:szCs w:val="21"/>
        </w:rPr>
        <w:t>第三章  投标文件的编制</w:t>
      </w:r>
    </w:p>
    <w:p w14:paraId="7A434010">
      <w:pPr>
        <w:ind w:left="630" w:leftChars="300" w:firstLine="411" w:firstLineChars="196"/>
        <w:rPr>
          <w:rFonts w:ascii="宋体" w:hAnsi="宋体"/>
          <w:szCs w:val="21"/>
        </w:rPr>
      </w:pPr>
      <w:r>
        <w:rPr>
          <w:rFonts w:hint="eastAsia" w:ascii="宋体" w:hAnsi="宋体"/>
          <w:szCs w:val="21"/>
        </w:rPr>
        <w:t>第四章  投标文件的递交</w:t>
      </w:r>
    </w:p>
    <w:p w14:paraId="5DE5148E">
      <w:pPr>
        <w:ind w:left="630" w:leftChars="300" w:firstLine="411" w:firstLineChars="196"/>
        <w:rPr>
          <w:rFonts w:ascii="宋体" w:hAnsi="宋体"/>
          <w:szCs w:val="21"/>
        </w:rPr>
      </w:pPr>
      <w:r>
        <w:rPr>
          <w:rFonts w:hint="eastAsia" w:ascii="宋体" w:hAnsi="宋体"/>
          <w:szCs w:val="21"/>
        </w:rPr>
        <w:t>第五章  开标</w:t>
      </w:r>
    </w:p>
    <w:p w14:paraId="568B527F">
      <w:pPr>
        <w:ind w:left="630" w:leftChars="300" w:firstLine="411" w:firstLineChars="196"/>
        <w:rPr>
          <w:rFonts w:ascii="宋体" w:hAnsi="宋体"/>
          <w:szCs w:val="21"/>
        </w:rPr>
      </w:pPr>
      <w:r>
        <w:rPr>
          <w:rFonts w:hint="eastAsia" w:ascii="宋体" w:hAnsi="宋体"/>
          <w:szCs w:val="21"/>
        </w:rPr>
        <w:t>第六章  评审要求</w:t>
      </w:r>
    </w:p>
    <w:p w14:paraId="178113F0">
      <w:pPr>
        <w:ind w:left="630" w:leftChars="300" w:firstLine="411" w:firstLineChars="196"/>
        <w:rPr>
          <w:rFonts w:ascii="宋体" w:hAnsi="宋体"/>
          <w:szCs w:val="21"/>
        </w:rPr>
      </w:pPr>
      <w:r>
        <w:rPr>
          <w:rFonts w:hint="eastAsia" w:ascii="宋体" w:hAnsi="宋体"/>
          <w:szCs w:val="21"/>
        </w:rPr>
        <w:t>第七章  评审程序及评审方法</w:t>
      </w:r>
    </w:p>
    <w:p w14:paraId="638AB454">
      <w:pPr>
        <w:ind w:left="630" w:leftChars="300" w:firstLine="411" w:firstLineChars="196"/>
        <w:rPr>
          <w:rFonts w:ascii="宋体" w:hAnsi="宋体"/>
          <w:szCs w:val="21"/>
        </w:rPr>
      </w:pPr>
      <w:r>
        <w:rPr>
          <w:rFonts w:hint="eastAsia" w:ascii="宋体" w:hAnsi="宋体"/>
          <w:szCs w:val="21"/>
        </w:rPr>
        <w:t>第八章  定标及公示</w:t>
      </w:r>
    </w:p>
    <w:p w14:paraId="1D80CD8A">
      <w:pPr>
        <w:ind w:left="630" w:leftChars="300" w:firstLine="411" w:firstLineChars="196"/>
        <w:rPr>
          <w:rFonts w:ascii="宋体" w:hAnsi="宋体"/>
          <w:szCs w:val="21"/>
        </w:rPr>
      </w:pPr>
      <w:r>
        <w:rPr>
          <w:rFonts w:hint="eastAsia" w:ascii="宋体" w:hAnsi="宋体"/>
          <w:szCs w:val="21"/>
        </w:rPr>
        <w:t>第九章  公开招标失败的后续处理</w:t>
      </w:r>
    </w:p>
    <w:p w14:paraId="22821523">
      <w:pPr>
        <w:ind w:left="630" w:leftChars="300" w:firstLine="411" w:firstLineChars="196"/>
        <w:rPr>
          <w:rFonts w:ascii="宋体" w:hAnsi="宋体"/>
          <w:szCs w:val="21"/>
        </w:rPr>
      </w:pPr>
      <w:r>
        <w:rPr>
          <w:rFonts w:hint="eastAsia" w:ascii="宋体" w:hAnsi="宋体"/>
          <w:szCs w:val="21"/>
        </w:rPr>
        <w:t>第十章  合同的授予与备案</w:t>
      </w:r>
    </w:p>
    <w:p w14:paraId="4EE7302E">
      <w:pPr>
        <w:ind w:firstLine="1050" w:firstLineChars="500"/>
        <w:outlineLvl w:val="0"/>
        <w:rPr>
          <w:b/>
          <w:sz w:val="24"/>
        </w:rPr>
      </w:pPr>
      <w:r>
        <w:rPr>
          <w:rFonts w:hint="eastAsia" w:ascii="宋体" w:hAnsi="宋体"/>
          <w:szCs w:val="21"/>
        </w:rPr>
        <w:t>第十一章  质疑处理</w:t>
      </w:r>
    </w:p>
    <w:p w14:paraId="3FE3DA33">
      <w:pPr>
        <w:spacing w:line="360" w:lineRule="auto"/>
        <w:ind w:firstLine="420" w:firstLineChars="200"/>
        <w:jc w:val="left"/>
        <w:rPr>
          <w:rFonts w:ascii="宋体" w:hAnsi="宋体"/>
          <w:szCs w:val="21"/>
        </w:rPr>
      </w:pPr>
    </w:p>
    <w:p w14:paraId="59457F96">
      <w:pPr>
        <w:pStyle w:val="4"/>
        <w:rPr>
          <w:sz w:val="24"/>
        </w:rPr>
      </w:pPr>
      <w:r>
        <w:br w:type="page"/>
      </w:r>
      <w:bookmarkStart w:id="2" w:name="bt其他资料2"/>
      <w:bookmarkEnd w:id="2"/>
      <w:bookmarkStart w:id="3" w:name="bt其他资料由投标人自定"/>
      <w:bookmarkEnd w:id="3"/>
      <w:bookmarkStart w:id="4" w:name="bt说明"/>
      <w:bookmarkEnd w:id="4"/>
      <w:bookmarkStart w:id="5" w:name="bt合同格式"/>
      <w:bookmarkEnd w:id="5"/>
      <w:bookmarkStart w:id="6" w:name="bt投标报价汇总表"/>
      <w:bookmarkEnd w:id="6"/>
      <w:bookmarkStart w:id="7" w:name="bt合同条款及格式"/>
      <w:bookmarkEnd w:id="7"/>
      <w:bookmarkStart w:id="8" w:name="bt商务标投标文件格式"/>
      <w:bookmarkEnd w:id="8"/>
      <w:bookmarkStart w:id="9" w:name="bt投标人情况介绍"/>
      <w:bookmarkEnd w:id="9"/>
      <w:bookmarkStart w:id="10" w:name="bt投标函"/>
      <w:bookmarkEnd w:id="10"/>
      <w:bookmarkStart w:id="11" w:name="合同格式"/>
      <w:bookmarkEnd w:id="11"/>
      <w:bookmarkStart w:id="12" w:name="bt本工程承诺书"/>
      <w:bookmarkEnd w:id="12"/>
      <w:bookmarkStart w:id="13" w:name="bt开标一览表"/>
      <w:bookmarkEnd w:id="13"/>
      <w:bookmarkStart w:id="14" w:name="bt投标文件签署授权委托书"/>
      <w:bookmarkEnd w:id="14"/>
      <w:bookmarkStart w:id="15" w:name="bt项目管理班子配备情况"/>
      <w:bookmarkEnd w:id="15"/>
      <w:bookmarkStart w:id="16" w:name="bt合同条款"/>
      <w:bookmarkEnd w:id="16"/>
      <w:bookmarkStart w:id="17" w:name="bt投标人须知"/>
      <w:bookmarkEnd w:id="17"/>
      <w:bookmarkStart w:id="18" w:name="bt技术标投标文件格式"/>
      <w:bookmarkEnd w:id="18"/>
      <w:r>
        <w:rPr>
          <w:rFonts w:hint="eastAsia"/>
        </w:rPr>
        <w:t>第一册</w:t>
      </w:r>
      <w:r>
        <w:rPr>
          <w:rFonts w:hint="eastAsia"/>
          <w:lang w:val="en-US" w:eastAsia="zh-CN"/>
        </w:rPr>
        <w:t xml:space="preserve">  </w:t>
      </w:r>
      <w:r>
        <w:rPr>
          <w:rFonts w:hint="eastAsia"/>
        </w:rPr>
        <w:t>专用条款</w:t>
      </w:r>
    </w:p>
    <w:p w14:paraId="7FCFFD16">
      <w:pPr>
        <w:pStyle w:val="7"/>
        <w:rPr>
          <w:rFonts w:hint="eastAsia"/>
          <w:sz w:val="28"/>
          <w:szCs w:val="28"/>
        </w:rPr>
      </w:pPr>
      <w:r>
        <w:rPr>
          <w:rFonts w:hint="eastAsia"/>
          <w:sz w:val="28"/>
          <w:szCs w:val="28"/>
        </w:rPr>
        <w:t>第一章  招标公告</w:t>
      </w:r>
    </w:p>
    <w:tbl>
      <w:tblPr>
        <w:tblStyle w:val="43"/>
        <w:tblW w:w="8093" w:type="dxa"/>
        <w:jc w:val="center"/>
        <w:tblCellSpacing w:w="0" w:type="dxa"/>
        <w:tblLayout w:type="fixed"/>
        <w:tblCellMar>
          <w:top w:w="0" w:type="dxa"/>
          <w:left w:w="0" w:type="dxa"/>
          <w:bottom w:w="0" w:type="dxa"/>
          <w:right w:w="0" w:type="dxa"/>
        </w:tblCellMar>
      </w:tblPr>
      <w:tblGrid>
        <w:gridCol w:w="8093"/>
      </w:tblGrid>
      <w:tr w14:paraId="2364B58E">
        <w:tblPrEx>
          <w:tblCellMar>
            <w:top w:w="0" w:type="dxa"/>
            <w:left w:w="0" w:type="dxa"/>
            <w:bottom w:w="0" w:type="dxa"/>
            <w:right w:w="0" w:type="dxa"/>
          </w:tblCellMar>
        </w:tblPrEx>
        <w:trPr>
          <w:tblCellSpacing w:w="0" w:type="dxa"/>
          <w:jc w:val="center"/>
        </w:trPr>
        <w:tc>
          <w:tcPr>
            <w:tcW w:w="8093" w:type="dxa"/>
            <w:vAlign w:val="center"/>
          </w:tcPr>
          <w:tbl>
            <w:tblPr>
              <w:tblStyle w:val="43"/>
              <w:tblW w:w="8147" w:type="dxa"/>
              <w:jc w:val="center"/>
              <w:tblCellSpacing w:w="0" w:type="dxa"/>
              <w:tblLayout w:type="fixed"/>
              <w:tblCellMar>
                <w:top w:w="30" w:type="dxa"/>
                <w:left w:w="30" w:type="dxa"/>
                <w:bottom w:w="30" w:type="dxa"/>
                <w:right w:w="30" w:type="dxa"/>
              </w:tblCellMar>
            </w:tblPr>
            <w:tblGrid>
              <w:gridCol w:w="8147"/>
            </w:tblGrid>
            <w:tr w14:paraId="18262E0E">
              <w:tblPrEx>
                <w:tblCellMar>
                  <w:top w:w="30" w:type="dxa"/>
                  <w:left w:w="30" w:type="dxa"/>
                  <w:bottom w:w="30" w:type="dxa"/>
                  <w:right w:w="30" w:type="dxa"/>
                </w:tblCellMar>
              </w:tblPrEx>
              <w:trPr>
                <w:tblCellSpacing w:w="0" w:type="dxa"/>
                <w:jc w:val="center"/>
              </w:trPr>
              <w:tc>
                <w:tcPr>
                  <w:tcW w:w="8147" w:type="dxa"/>
                </w:tcPr>
                <w:p w14:paraId="386F148E">
                  <w:pPr>
                    <w:spacing w:line="360" w:lineRule="auto"/>
                    <w:rPr>
                      <w:rFonts w:ascii="宋体" w:hAnsi="宋体" w:cs="宋体"/>
                      <w:b/>
                      <w:bCs/>
                      <w:kern w:val="0"/>
                      <w:szCs w:val="21"/>
                    </w:rPr>
                  </w:pPr>
                  <w:r>
                    <w:rPr>
                      <w:rFonts w:hint="eastAsia" w:ascii="宋体" w:hAnsi="宋体" w:cs="宋体"/>
                      <w:b/>
                      <w:bCs/>
                      <w:kern w:val="0"/>
                      <w:szCs w:val="21"/>
                    </w:rPr>
                    <w:t>申请人的资格要求：</w:t>
                  </w:r>
                </w:p>
                <w:p w14:paraId="50F7267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kern w:val="0"/>
                      <w:szCs w:val="21"/>
                      <w:lang w:eastAsia="zh-CN"/>
                    </w:rPr>
                  </w:pPr>
                  <w:r>
                    <w:rPr>
                      <w:rFonts w:hint="eastAsia" w:ascii="宋体" w:hAnsi="宋体" w:cs="宋体"/>
                      <w:kern w:val="0"/>
                      <w:szCs w:val="21"/>
                    </w:rPr>
                    <w:t>1</w:t>
                  </w:r>
                  <w:r>
                    <w:rPr>
                      <w:rFonts w:ascii="宋体" w:hAnsi="宋体" w:cs="宋体"/>
                      <w:kern w:val="0"/>
                      <w:szCs w:val="21"/>
                    </w:rPr>
                    <w:t>.</w:t>
                  </w:r>
                  <w:r>
                    <w:rPr>
                      <w:rFonts w:hint="eastAsia" w:ascii="宋体" w:hAnsi="宋体" w:cs="宋体"/>
                      <w:kern w:val="0"/>
                      <w:szCs w:val="21"/>
                    </w:rPr>
                    <w:t>投标人必须具有独立法人资格或是具有独立承担民事责任能力的其它组织,或者是经总公司(分支机构所属的独立法人)出具愿为其参与投标以及约等行为承担民事责任承诺书(或授权书)的分支机构(同一家总公司只能授权一家分支机构参与投标，且总公司不能与下属的分支机构同时参与投标)【提供营业执照或事业单位法人证书等证明资料扫描件;若投标人为分支机构的，提供总、分公司营业执照以及总公司出具的承诺书(或授权书)扫描件】</w:t>
                  </w:r>
                  <w:r>
                    <w:rPr>
                      <w:rFonts w:hint="eastAsia" w:ascii="宋体" w:hAnsi="宋体" w:cs="宋体"/>
                      <w:kern w:val="0"/>
                      <w:szCs w:val="21"/>
                      <w:lang w:eastAsia="zh-CN"/>
                    </w:rPr>
                    <w:t>；</w:t>
                  </w:r>
                </w:p>
                <w:p w14:paraId="4F129C1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cs="宋体"/>
                      <w:kern w:val="0"/>
                      <w:szCs w:val="21"/>
                    </w:rPr>
                  </w:pPr>
                  <w:r>
                    <w:rPr>
                      <w:rFonts w:hint="eastAsia" w:ascii="宋体" w:hAnsi="宋体" w:cs="宋体"/>
                      <w:color w:val="FF0000"/>
                      <w:kern w:val="0"/>
                      <w:szCs w:val="21"/>
                    </w:rPr>
                    <w:t>2.</w:t>
                  </w:r>
                  <w:r>
                    <w:rPr>
                      <w:rFonts w:hint="eastAsia" w:ascii="宋体" w:hAnsi="宋体" w:cs="宋体"/>
                      <w:color w:val="FF0000"/>
                      <w:szCs w:val="21"/>
                    </w:rPr>
                    <w:t>本项目不接受联合体投标，不接受投标人选用进口产品参与投标</w:t>
                  </w:r>
                  <w:r>
                    <w:rPr>
                      <w:rFonts w:hint="eastAsia" w:ascii="宋体" w:hAnsi="宋体" w:cs="宋体"/>
                      <w:color w:val="FF0000"/>
                      <w:szCs w:val="21"/>
                      <w:lang w:eastAsia="zh-CN"/>
                    </w:rPr>
                    <w:t>，</w:t>
                  </w:r>
                  <w:r>
                    <w:rPr>
                      <w:rFonts w:hint="eastAsia" w:ascii="宋体" w:hAnsi="宋体" w:cs="宋体"/>
                      <w:color w:val="FF0000"/>
                      <w:szCs w:val="21"/>
                      <w:lang w:val="en-US" w:eastAsia="zh-CN"/>
                    </w:rPr>
                    <w:t>不允许分包</w:t>
                  </w:r>
                  <w:r>
                    <w:rPr>
                      <w:rFonts w:hint="eastAsia" w:ascii="宋体" w:hAnsi="宋体" w:cs="宋体"/>
                      <w:color w:val="FF0000"/>
                      <w:kern w:val="0"/>
                      <w:szCs w:val="21"/>
                      <w:lang w:eastAsia="zh-CN"/>
                    </w:rPr>
                    <w:t>；</w:t>
                  </w:r>
                </w:p>
                <w:p w14:paraId="05DC642B">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cs="宋体"/>
                      <w:kern w:val="0"/>
                      <w:szCs w:val="21"/>
                    </w:rPr>
                  </w:pPr>
                  <w:r>
                    <w:rPr>
                      <w:rFonts w:hint="eastAsia" w:ascii="宋体" w:hAnsi="宋体" w:cs="宋体"/>
                      <w:kern w:val="0"/>
                      <w:szCs w:val="21"/>
                    </w:rPr>
                    <w:t>3</w:t>
                  </w:r>
                  <w:r>
                    <w:rPr>
                      <w:rFonts w:ascii="宋体" w:hAnsi="宋体" w:cs="宋体"/>
                      <w:kern w:val="0"/>
                      <w:szCs w:val="21"/>
                    </w:rPr>
                    <w:t>.</w:t>
                  </w:r>
                  <w:r>
                    <w:rPr>
                      <w:rFonts w:hint="eastAsia" w:ascii="宋体" w:hAnsi="宋体" w:cs="宋体"/>
                      <w:kern w:val="0"/>
                      <w:szCs w:val="21"/>
                    </w:rPr>
                    <w:t>参与本项目政府采购活动时不存在被有关部门禁止参与政府采购活动且在有效期内的情况（由供应商在《政府采购投标及履约承诺函》中作出声明）；</w:t>
                  </w:r>
                </w:p>
                <w:p w14:paraId="6D67F79D">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宋体" w:hAnsi="宋体" w:cs="宋体"/>
                      <w:kern w:val="0"/>
                      <w:szCs w:val="21"/>
                    </w:rPr>
                  </w:pPr>
                  <w:r>
                    <w:rPr>
                      <w:rFonts w:hint="eastAsia" w:ascii="宋体" w:hAnsi="宋体" w:cs="宋体"/>
                      <w:kern w:val="0"/>
                      <w:szCs w:val="21"/>
                      <w:lang w:val="en-US" w:eastAsia="zh-CN"/>
                    </w:rPr>
                    <w:t>4</w:t>
                  </w:r>
                  <w:r>
                    <w:rPr>
                      <w:rFonts w:ascii="宋体" w:hAnsi="宋体" w:cs="宋体"/>
                      <w:kern w:val="0"/>
                      <w:szCs w:val="21"/>
                    </w:rPr>
                    <w:t>.</w:t>
                  </w:r>
                  <w:r>
                    <w:rPr>
                      <w:rFonts w:hint="eastAsia" w:ascii="宋体" w:hAnsi="宋体" w:cs="宋体"/>
                      <w:kern w:val="0"/>
                      <w:szCs w:val="21"/>
                    </w:rPr>
                    <w:t>具备《中华人民共和国政府采购法》第二十二条第一款的条件（由供应商在《政府采购投标及履约承诺函》中作出声明）；</w:t>
                  </w:r>
                </w:p>
                <w:p w14:paraId="1738A41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kern w:val="0"/>
                      <w:szCs w:val="21"/>
                      <w:lang w:val="en-US" w:eastAsia="zh-CN"/>
                    </w:rPr>
                  </w:pPr>
                  <w:r>
                    <w:rPr>
                      <w:rFonts w:hint="eastAsia" w:ascii="宋体" w:hAnsi="宋体" w:cs="宋体"/>
                      <w:kern w:val="0"/>
                      <w:szCs w:val="21"/>
                      <w:lang w:val="en-US" w:eastAsia="zh-CN"/>
                    </w:rPr>
                    <w:t>5</w:t>
                  </w:r>
                  <w:r>
                    <w:rPr>
                      <w:rFonts w:ascii="宋体" w:hAnsi="宋体" w:cs="宋体"/>
                      <w:kern w:val="0"/>
                      <w:szCs w:val="21"/>
                    </w:rPr>
                    <w:t>.</w:t>
                  </w:r>
                  <w:r>
                    <w:rPr>
                      <w:rFonts w:hint="eastAsia" w:ascii="宋体" w:hAnsi="宋体" w:cs="宋体"/>
                      <w:kern w:val="0"/>
                      <w:szCs w:val="21"/>
                    </w:rPr>
                    <w:t>未被列入失信被执行人、重大税收违法案件当事人名单、政府采购严重违法失信行为记录名单（由供应商在《政府采购投标及履约承诺函》中作出声明）</w:t>
                  </w:r>
                  <w:r>
                    <w:rPr>
                      <w:rFonts w:hint="eastAsia" w:ascii="宋体" w:hAnsi="宋体" w:cs="宋体"/>
                      <w:kern w:val="0"/>
                      <w:szCs w:val="21"/>
                      <w:lang w:val="en-US" w:eastAsia="zh-CN"/>
                    </w:rPr>
                    <w:t>；</w:t>
                  </w:r>
                </w:p>
                <w:p w14:paraId="1827B55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color w:val="FF0000"/>
                      <w:kern w:val="0"/>
                      <w:szCs w:val="21"/>
                      <w:lang w:val="en-US" w:eastAsia="zh-CN"/>
                    </w:rPr>
                  </w:pPr>
                  <w:r>
                    <w:rPr>
                      <w:rFonts w:hint="eastAsia" w:ascii="宋体" w:hAnsi="宋体" w:cs="宋体"/>
                      <w:color w:val="FF0000"/>
                      <w:kern w:val="0"/>
                      <w:szCs w:val="21"/>
                      <w:lang w:val="en-US" w:eastAsia="zh-CN"/>
                    </w:rPr>
                    <w:t>6.不存在《深圳市财政局政府采购供应商信用信息管理办法》（深财规〔2023〕3号）列明的严重违法失信行为</w:t>
                  </w:r>
                  <w:r>
                    <w:rPr>
                      <w:rFonts w:hint="eastAsia" w:ascii="宋体" w:hAnsi="宋体" w:cs="宋体"/>
                      <w:color w:val="FF0000"/>
                      <w:kern w:val="0"/>
                      <w:szCs w:val="21"/>
                    </w:rPr>
                    <w:t>（由供应商在《政府采购投标及履约承诺函》中作出声明）</w:t>
                  </w:r>
                  <w:r>
                    <w:rPr>
                      <w:rFonts w:hint="eastAsia" w:ascii="宋体" w:hAnsi="宋体" w:cs="宋体"/>
                      <w:color w:val="FF0000"/>
                      <w:kern w:val="0"/>
                      <w:szCs w:val="21"/>
                      <w:lang w:eastAsia="zh-CN"/>
                    </w:rPr>
                    <w:t>；</w:t>
                  </w:r>
                </w:p>
                <w:p w14:paraId="232BD78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kern w:val="0"/>
                      <w:szCs w:val="21"/>
                      <w:lang w:eastAsia="zh-CN"/>
                    </w:rPr>
                  </w:pPr>
                  <w:r>
                    <w:rPr>
                      <w:rFonts w:hint="eastAsia" w:ascii="宋体" w:hAnsi="宋体" w:cs="宋体"/>
                      <w:kern w:val="0"/>
                      <w:szCs w:val="21"/>
                      <w:lang w:val="en-US" w:eastAsia="zh-CN"/>
                    </w:rPr>
                    <w:t>7</w:t>
                  </w:r>
                  <w:r>
                    <w:rPr>
                      <w:rFonts w:hint="eastAsia" w:ascii="宋体" w:hAnsi="宋体" w:cs="宋体"/>
                      <w:kern w:val="0"/>
                      <w:szCs w:val="21"/>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由供应商在《政府采购投标及履约承诺函》中作出声明）</w:t>
                  </w:r>
                  <w:r>
                    <w:rPr>
                      <w:rFonts w:hint="eastAsia" w:ascii="宋体" w:hAnsi="宋体" w:cs="宋体"/>
                      <w:kern w:val="0"/>
                      <w:szCs w:val="21"/>
                      <w:lang w:val="en-US" w:eastAsia="zh-CN"/>
                    </w:rPr>
                    <w:t>；</w:t>
                  </w:r>
                </w:p>
                <w:p w14:paraId="7E1C514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eastAsia="宋体"/>
                      <w:lang w:eastAsia="zh-CN"/>
                    </w:rPr>
                  </w:pPr>
                  <w:r>
                    <w:rPr>
                      <w:rFonts w:hint="eastAsia" w:ascii="宋体" w:hAnsi="宋体" w:cs="宋体"/>
                      <w:kern w:val="0"/>
                      <w:szCs w:val="21"/>
                      <w:lang w:val="en-US" w:eastAsia="zh-CN"/>
                    </w:rPr>
                    <w:t>8</w:t>
                  </w:r>
                  <w:r>
                    <w:rPr>
                      <w:rFonts w:hint="eastAsia" w:ascii="宋体" w:hAnsi="宋体" w:cs="宋体"/>
                      <w:kern w:val="0"/>
                      <w:szCs w:val="21"/>
                    </w:rPr>
                    <w:t>.本项目是（否）专门面向中小企业采购：否</w:t>
                  </w:r>
                  <w:r>
                    <w:rPr>
                      <w:rFonts w:hint="eastAsia" w:ascii="宋体" w:hAnsi="宋体" w:cs="宋体"/>
                      <w:kern w:val="0"/>
                      <w:szCs w:val="21"/>
                      <w:lang w:eastAsia="zh-CN"/>
                    </w:rPr>
                    <w:t>；</w:t>
                  </w:r>
                </w:p>
                <w:p w14:paraId="7B2123B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kern w:val="0"/>
                      <w:szCs w:val="21"/>
                      <w:lang w:val="en-US" w:eastAsia="zh-CN"/>
                    </w:rPr>
                  </w:pPr>
                  <w:r>
                    <w:rPr>
                      <w:rFonts w:hint="eastAsia" w:ascii="宋体" w:hAnsi="宋体" w:eastAsia="宋体" w:cs="宋体"/>
                      <w:color w:val="FF0000"/>
                      <w:kern w:val="0"/>
                      <w:szCs w:val="21"/>
                      <w:lang w:val="en-US" w:eastAsia="zh-CN"/>
                    </w:rPr>
                    <w:t>9.</w:t>
                  </w:r>
                  <w:r>
                    <w:rPr>
                      <w:rFonts w:hint="eastAsia" w:ascii="宋体" w:hAnsi="宋体" w:eastAsia="宋体" w:cs="宋体"/>
                      <w:color w:val="FF0000"/>
                      <w:kern w:val="0"/>
                      <w:szCs w:val="21"/>
                    </w:rPr>
                    <w:t>总公司投标的须提供总公司的《保险公司法人许可证》或《保险许可证》；分公司投标的须提供总公司的《保险公司法人许可证》或《保险许可证》以及分公司的《经营保险业务许可证》或《保险许可证》，业务范围包含财产保险相关内容（须提供有效许可证扫描件，原件备查；如国家另有规定的，则适用其规定，投标人须提供相关证明材料）</w:t>
                  </w:r>
                  <w:r>
                    <w:rPr>
                      <w:rFonts w:hint="eastAsia" w:ascii="宋体" w:hAnsi="宋体" w:eastAsia="宋体" w:cs="宋体"/>
                      <w:color w:val="FF0000"/>
                      <w:kern w:val="0"/>
                      <w:szCs w:val="21"/>
                      <w:lang w:eastAsia="zh-CN"/>
                    </w:rPr>
                    <w:t>。</w:t>
                  </w:r>
                </w:p>
                <w:p w14:paraId="4FA8E39B">
                  <w:pPr>
                    <w:keepNext w:val="0"/>
                    <w:keepLines w:val="0"/>
                    <w:pageBreakBefore w:val="0"/>
                    <w:widowControl w:val="0"/>
                    <w:kinsoku/>
                    <w:wordWrap w:val="0"/>
                    <w:overflowPunct/>
                    <w:topLinePunct w:val="0"/>
                    <w:autoSpaceDE/>
                    <w:autoSpaceDN/>
                    <w:bidi w:val="0"/>
                    <w:adjustRightInd/>
                    <w:snapToGrid/>
                    <w:ind w:firstLine="420" w:firstLineChars="200"/>
                    <w:textAlignment w:val="auto"/>
                    <w:rPr>
                      <w:rFonts w:ascii="宋体" w:hAnsi="宋体" w:cs="宋体"/>
                      <w:kern w:val="0"/>
                      <w:szCs w:val="21"/>
                    </w:rPr>
                  </w:pPr>
                  <w:r>
                    <w:rPr>
                      <w:rFonts w:hint="eastAsia" w:ascii="宋体" w:hAnsi="宋体" w:cs="宋体"/>
                      <w:kern w:val="0"/>
                      <w:szCs w:val="21"/>
                    </w:rPr>
                    <w:t>注：（1）“信用中国”（www.creditchina.gov.cn</w:t>
                  </w:r>
                  <w:r>
                    <w:rPr>
                      <w:rFonts w:hint="eastAsia" w:ascii="宋体" w:hAnsi="宋体" w:cs="宋体"/>
                      <w:kern w:val="0"/>
                      <w:szCs w:val="21"/>
                      <w:lang w:eastAsia="zh-CN"/>
                    </w:rPr>
                    <w:t>，</w:t>
                  </w:r>
                  <w:r>
                    <w:rPr>
                      <w:rFonts w:hint="eastAsia" w:ascii="宋体" w:hAnsi="宋体" w:cs="宋体"/>
                      <w:kern w:val="0"/>
                      <w:szCs w:val="21"/>
                      <w:lang w:val="en-US" w:eastAsia="zh-CN"/>
                    </w:rPr>
                    <w:t>查询</w:t>
                  </w:r>
                  <w:r>
                    <w:rPr>
                      <w:rFonts w:hint="eastAsia" w:ascii="宋体" w:hAnsi="宋体" w:cs="宋体"/>
                      <w:kern w:val="0"/>
                      <w:szCs w:val="21"/>
                    </w:rPr>
                    <w:t>“信用服务”栏的“重大税收违法失信主体”“失信被执行人”</w:t>
                  </w:r>
                  <w:r>
                    <w:rPr>
                      <w:rFonts w:hint="eastAsia" w:ascii="宋体" w:hAnsi="宋体" w:cs="宋体"/>
                      <w:kern w:val="0"/>
                      <w:szCs w:val="21"/>
                      <w:lang w:val="en-US" w:eastAsia="zh-CN"/>
                    </w:rPr>
                    <w:t>或者下载信用信息报告）</w:t>
                  </w:r>
                  <w:r>
                    <w:rPr>
                      <w:rFonts w:hint="eastAsia" w:ascii="宋体" w:hAnsi="宋体" w:cs="宋体"/>
                      <w:kern w:val="0"/>
                      <w:szCs w:val="21"/>
                    </w:rPr>
                    <w:t>，“中国政府采购网”（www.ccgp.gov.cn）中的“政府采购严重违法失信行为记录名单”，以及“深圳市政府采购监管网”（http://zfcg.sz.gov.cn）为供应商信用信息的查询渠道，相关信息以开标当日的查询结果为准；</w:t>
                  </w:r>
                </w:p>
                <w:p w14:paraId="7200AD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kern w:val="0"/>
                      <w:sz w:val="21"/>
                      <w:szCs w:val="21"/>
                    </w:rPr>
                  </w:pPr>
                  <w:r>
                    <w:rPr>
                      <w:rFonts w:hint="eastAsia" w:ascii="宋体" w:hAnsi="宋体"/>
                    </w:rPr>
                    <w:t>（2）供应商投标（上传投标文件）必须先行办理注册手续，具体请按照本公告“六、其他补充事宜</w:t>
                  </w:r>
                  <w:r>
                    <w:rPr>
                      <w:rFonts w:ascii="宋体" w:hAnsi="宋体"/>
                    </w:rPr>
                    <w:t>”</w:t>
                  </w:r>
                  <w:r>
                    <w:rPr>
                      <w:rFonts w:hint="eastAsia" w:ascii="宋体" w:hAnsi="宋体"/>
                    </w:rPr>
                    <w:t>相关内容指引办理。</w:t>
                  </w:r>
                </w:p>
                <w:p w14:paraId="31D72397">
                  <w:pPr>
                    <w:spacing w:beforeAutospacing="1" w:afterAutospacing="1"/>
                    <w:ind w:firstLine="482" w:firstLineChars="200"/>
                    <w:rPr>
                      <w:rFonts w:ascii="宋体" w:hAnsi="宋体" w:cs="宋体"/>
                      <w:sz w:val="24"/>
                    </w:rPr>
                  </w:pPr>
                  <w:r>
                    <w:rPr>
                      <w:rFonts w:hint="eastAsia" w:ascii="宋体" w:hAnsi="宋体" w:cs="宋体"/>
                      <w:b/>
                      <w:sz w:val="24"/>
                    </w:rPr>
                    <w:t>完整公告内容详见：深圳公共资源交易网（https://www.szggzy.com）</w:t>
                  </w:r>
                </w:p>
              </w:tc>
            </w:tr>
          </w:tbl>
          <w:p w14:paraId="1E4BC1BE">
            <w:pPr>
              <w:rPr>
                <w:rFonts w:ascii="宋体" w:hAnsi="宋体" w:cs="宋体"/>
                <w:sz w:val="24"/>
              </w:rPr>
            </w:pPr>
          </w:p>
        </w:tc>
      </w:tr>
    </w:tbl>
    <w:p w14:paraId="3A0A8B04">
      <w:r>
        <w:rPr>
          <w:rFonts w:hint="eastAsia"/>
        </w:rPr>
        <w:br w:type="page"/>
      </w:r>
    </w:p>
    <w:p w14:paraId="5AE9F72F">
      <w:pPr>
        <w:pStyle w:val="7"/>
        <w:rPr>
          <w:sz w:val="28"/>
          <w:szCs w:val="28"/>
        </w:rPr>
      </w:pPr>
      <w:r>
        <w:rPr>
          <w:rFonts w:hint="eastAsia"/>
          <w:sz w:val="28"/>
          <w:szCs w:val="28"/>
        </w:rPr>
        <w:t>第二章 对通用条款的补充内容及其他关键信息</w:t>
      </w:r>
    </w:p>
    <w:p w14:paraId="739EA69E">
      <w:pPr>
        <w:pStyle w:val="7"/>
        <w:spacing w:before="120" w:beforeLines="50" w:after="120" w:afterLines="50"/>
        <w:rPr>
          <w:sz w:val="28"/>
          <w:szCs w:val="28"/>
        </w:rPr>
      </w:pPr>
      <w:bookmarkStart w:id="19" w:name="_Toc73517639"/>
      <w:bookmarkStart w:id="20" w:name="_Toc100052364"/>
      <w:bookmarkStart w:id="21" w:name="_Toc73518117"/>
      <w:bookmarkStart w:id="22" w:name="_Toc73521547"/>
      <w:bookmarkStart w:id="23" w:name="_Toc60631620"/>
      <w:bookmarkStart w:id="24" w:name="_Toc60560625"/>
      <w:bookmarkStart w:id="25" w:name="_Toc73521635"/>
      <w:bookmarkStart w:id="26" w:name="_Toc101074876"/>
      <w:r>
        <w:rPr>
          <w:rFonts w:hint="eastAsia"/>
          <w:szCs w:val="24"/>
        </w:rPr>
        <w:t>一、对通用条款的补充内容</w:t>
      </w:r>
    </w:p>
    <w:bookmarkEnd w:id="19"/>
    <w:bookmarkEnd w:id="20"/>
    <w:bookmarkEnd w:id="21"/>
    <w:bookmarkEnd w:id="22"/>
    <w:bookmarkEnd w:id="23"/>
    <w:bookmarkEnd w:id="24"/>
    <w:bookmarkEnd w:id="25"/>
    <w:bookmarkEnd w:id="26"/>
    <w:tbl>
      <w:tblPr>
        <w:tblStyle w:val="43"/>
        <w:tblW w:w="836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8"/>
        <w:gridCol w:w="2409"/>
        <w:gridCol w:w="4980"/>
      </w:tblGrid>
      <w:tr w14:paraId="0E9DBD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7271EBCB">
            <w:pPr>
              <w:jc w:val="center"/>
              <w:rPr>
                <w:rFonts w:ascii="宋体" w:hAnsi="宋体"/>
                <w:b/>
                <w:bCs/>
              </w:rPr>
            </w:pPr>
            <w:r>
              <w:rPr>
                <w:rFonts w:hint="eastAsia" w:ascii="宋体" w:hAnsi="宋体"/>
                <w:b/>
                <w:bCs/>
              </w:rPr>
              <w:t>通用条款序号</w:t>
            </w:r>
          </w:p>
        </w:tc>
        <w:tc>
          <w:tcPr>
            <w:tcW w:w="2409" w:type="dxa"/>
            <w:vAlign w:val="center"/>
          </w:tcPr>
          <w:p w14:paraId="65FABA57">
            <w:pPr>
              <w:jc w:val="center"/>
              <w:rPr>
                <w:rFonts w:ascii="宋体" w:hAnsi="宋体"/>
                <w:b/>
                <w:bCs/>
              </w:rPr>
            </w:pPr>
            <w:r>
              <w:rPr>
                <w:rFonts w:hint="eastAsia" w:ascii="宋体" w:hAnsi="宋体"/>
                <w:b/>
                <w:bCs/>
              </w:rPr>
              <w:t>涉及事项</w:t>
            </w:r>
          </w:p>
        </w:tc>
        <w:tc>
          <w:tcPr>
            <w:tcW w:w="4980" w:type="dxa"/>
            <w:vAlign w:val="center"/>
          </w:tcPr>
          <w:p w14:paraId="2DCD23CD">
            <w:pPr>
              <w:jc w:val="center"/>
              <w:rPr>
                <w:rFonts w:ascii="宋体" w:hAnsi="宋体"/>
                <w:b/>
                <w:bCs/>
              </w:rPr>
            </w:pPr>
            <w:r>
              <w:rPr>
                <w:rFonts w:hint="eastAsia" w:ascii="宋体" w:hAnsi="宋体"/>
                <w:b/>
                <w:bCs/>
              </w:rPr>
              <w:t xml:space="preserve">具 </w:t>
            </w:r>
            <w:r>
              <w:rPr>
                <w:rFonts w:ascii="宋体" w:hAnsi="宋体"/>
                <w:b/>
                <w:bCs/>
              </w:rPr>
              <w:t xml:space="preserve"> </w:t>
            </w:r>
            <w:r>
              <w:rPr>
                <w:rFonts w:hint="eastAsia" w:ascii="宋体" w:hAnsi="宋体"/>
                <w:b/>
                <w:bCs/>
              </w:rPr>
              <w:t xml:space="preserve">体 </w:t>
            </w:r>
            <w:r>
              <w:rPr>
                <w:rFonts w:ascii="宋体" w:hAnsi="宋体"/>
                <w:b/>
                <w:bCs/>
              </w:rPr>
              <w:t xml:space="preserve"> </w:t>
            </w:r>
            <w:r>
              <w:rPr>
                <w:rFonts w:hint="eastAsia" w:ascii="宋体" w:hAnsi="宋体"/>
                <w:b/>
                <w:bCs/>
              </w:rPr>
              <w:t xml:space="preserve">补 </w:t>
            </w:r>
            <w:r>
              <w:rPr>
                <w:rFonts w:ascii="宋体" w:hAnsi="宋体"/>
                <w:b/>
                <w:bCs/>
              </w:rPr>
              <w:t xml:space="preserve"> </w:t>
            </w:r>
            <w:r>
              <w:rPr>
                <w:rFonts w:hint="eastAsia" w:ascii="宋体" w:hAnsi="宋体"/>
                <w:b/>
                <w:bCs/>
              </w:rPr>
              <w:t xml:space="preserve">充 </w:t>
            </w:r>
            <w:r>
              <w:rPr>
                <w:rFonts w:ascii="宋体" w:hAnsi="宋体"/>
                <w:b/>
                <w:bCs/>
              </w:rPr>
              <w:t xml:space="preserve"> </w:t>
            </w:r>
            <w:r>
              <w:rPr>
                <w:rFonts w:hint="eastAsia" w:ascii="宋体" w:hAnsi="宋体"/>
                <w:b/>
                <w:bCs/>
              </w:rPr>
              <w:t xml:space="preserve">内 </w:t>
            </w:r>
            <w:r>
              <w:rPr>
                <w:rFonts w:ascii="宋体" w:hAnsi="宋体"/>
                <w:b/>
                <w:bCs/>
              </w:rPr>
              <w:t xml:space="preserve"> </w:t>
            </w:r>
            <w:r>
              <w:rPr>
                <w:rFonts w:hint="eastAsia" w:ascii="宋体" w:hAnsi="宋体"/>
                <w:b/>
                <w:bCs/>
              </w:rPr>
              <w:t>容</w:t>
            </w:r>
          </w:p>
        </w:tc>
      </w:tr>
      <w:tr w14:paraId="5EAB73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3EF236AF">
            <w:pPr>
              <w:jc w:val="center"/>
              <w:rPr>
                <w:rFonts w:ascii="宋体" w:hAnsi="宋体"/>
              </w:rPr>
            </w:pPr>
            <w:r>
              <w:rPr>
                <w:rFonts w:hint="eastAsia" w:ascii="宋体" w:hAnsi="宋体"/>
              </w:rPr>
              <w:t>3</w:t>
            </w:r>
            <w:r>
              <w:rPr>
                <w:rFonts w:ascii="宋体" w:hAnsi="宋体"/>
              </w:rPr>
              <w:t>.1</w:t>
            </w:r>
          </w:p>
        </w:tc>
        <w:tc>
          <w:tcPr>
            <w:tcW w:w="2409" w:type="dxa"/>
            <w:vAlign w:val="center"/>
          </w:tcPr>
          <w:p w14:paraId="3C895B60">
            <w:pPr>
              <w:jc w:val="center"/>
            </w:pPr>
            <w:r>
              <w:rPr>
                <w:rFonts w:hint="eastAsia"/>
              </w:rPr>
              <w:t>采购人</w:t>
            </w:r>
          </w:p>
        </w:tc>
        <w:tc>
          <w:tcPr>
            <w:tcW w:w="4980" w:type="dxa"/>
            <w:vAlign w:val="center"/>
          </w:tcPr>
          <w:p w14:paraId="5F7ECDA7">
            <w:pPr>
              <w:jc w:val="center"/>
              <w:rPr>
                <w:rFonts w:ascii="宋体" w:hAnsi="宋体"/>
              </w:rPr>
            </w:pPr>
            <w:r>
              <w:rPr>
                <w:rFonts w:hint="eastAsia" w:ascii="宋体" w:hAnsi="宋体"/>
                <w:lang w:eastAsia="zh-CN"/>
              </w:rPr>
              <w:t>深圳市龙岗区龙城街道办事处</w:t>
            </w:r>
          </w:p>
        </w:tc>
      </w:tr>
      <w:tr w14:paraId="5E49B0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655A1632">
            <w:pPr>
              <w:jc w:val="center"/>
              <w:rPr>
                <w:rFonts w:ascii="宋体" w:hAnsi="宋体"/>
              </w:rPr>
            </w:pPr>
            <w:r>
              <w:rPr>
                <w:rFonts w:hint="eastAsia" w:ascii="宋体" w:hAnsi="宋体"/>
              </w:rPr>
              <w:t>3</w:t>
            </w:r>
            <w:r>
              <w:rPr>
                <w:rFonts w:ascii="宋体" w:hAnsi="宋体"/>
              </w:rPr>
              <w:t>.2</w:t>
            </w:r>
          </w:p>
        </w:tc>
        <w:tc>
          <w:tcPr>
            <w:tcW w:w="2409" w:type="dxa"/>
            <w:vAlign w:val="center"/>
          </w:tcPr>
          <w:p w14:paraId="0CEC092A">
            <w:pPr>
              <w:jc w:val="center"/>
              <w:rPr>
                <w:rFonts w:ascii="宋体" w:hAnsi="宋体"/>
              </w:rPr>
            </w:pPr>
            <w:r>
              <w:rPr>
                <w:rFonts w:hint="eastAsia" w:ascii="宋体" w:hAnsi="宋体"/>
              </w:rPr>
              <w:t>政府集中采购机构</w:t>
            </w:r>
          </w:p>
        </w:tc>
        <w:tc>
          <w:tcPr>
            <w:tcW w:w="4980" w:type="dxa"/>
            <w:vAlign w:val="center"/>
          </w:tcPr>
          <w:p w14:paraId="6662F941">
            <w:pPr>
              <w:jc w:val="center"/>
              <w:rPr>
                <w:rFonts w:hint="eastAsia" w:ascii="宋体" w:hAnsi="宋体"/>
              </w:rPr>
            </w:pPr>
            <w:r>
              <w:rPr>
                <w:rFonts w:hint="eastAsia" w:ascii="宋体" w:hAnsi="宋体"/>
              </w:rPr>
              <w:t>深圳公共资源交易中心</w:t>
            </w:r>
          </w:p>
          <w:p w14:paraId="098DCF64">
            <w:pPr>
              <w:jc w:val="center"/>
              <w:rPr>
                <w:rFonts w:ascii="宋体" w:hAnsi="宋体"/>
              </w:rPr>
            </w:pPr>
            <w:r>
              <w:rPr>
                <w:rFonts w:hint="eastAsia" w:ascii="宋体" w:hAnsi="宋体"/>
              </w:rPr>
              <w:t>（深圳交易集团有限公司</w:t>
            </w:r>
            <w:r>
              <w:rPr>
                <w:rFonts w:hint="eastAsia" w:ascii="宋体" w:hAnsi="宋体" w:cs="宋体"/>
                <w:kern w:val="0"/>
                <w:lang w:val="en-US" w:eastAsia="zh-CN"/>
              </w:rPr>
              <w:t>龙岗</w:t>
            </w:r>
            <w:r>
              <w:rPr>
                <w:rFonts w:hint="eastAsia" w:ascii="宋体" w:hAnsi="宋体"/>
              </w:rPr>
              <w:t>分公司）</w:t>
            </w:r>
          </w:p>
        </w:tc>
      </w:tr>
      <w:tr w14:paraId="6A6A2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55C650F0">
            <w:pPr>
              <w:jc w:val="center"/>
              <w:rPr>
                <w:rFonts w:ascii="宋体" w:hAnsi="宋体"/>
              </w:rPr>
            </w:pPr>
            <w:r>
              <w:rPr>
                <w:rFonts w:hint="eastAsia" w:ascii="宋体" w:hAnsi="宋体"/>
              </w:rPr>
              <w:t>9</w:t>
            </w:r>
          </w:p>
        </w:tc>
        <w:tc>
          <w:tcPr>
            <w:tcW w:w="2409" w:type="dxa"/>
            <w:vAlign w:val="center"/>
          </w:tcPr>
          <w:p w14:paraId="5F1BC3B4">
            <w:pPr>
              <w:jc w:val="center"/>
              <w:rPr>
                <w:rFonts w:ascii="宋体" w:hAnsi="宋体"/>
              </w:rPr>
            </w:pPr>
            <w:r>
              <w:rPr>
                <w:rFonts w:hint="eastAsia" w:ascii="宋体" w:hAnsi="宋体"/>
              </w:rPr>
              <w:t>踏勘现场</w:t>
            </w:r>
          </w:p>
        </w:tc>
        <w:tc>
          <w:tcPr>
            <w:tcW w:w="4980" w:type="dxa"/>
            <w:vAlign w:val="center"/>
          </w:tcPr>
          <w:p w14:paraId="2A86D960">
            <w:pPr>
              <w:jc w:val="center"/>
              <w:rPr>
                <w:rFonts w:ascii="宋体" w:hAnsi="宋体"/>
              </w:rPr>
            </w:pPr>
            <w:r>
              <w:rPr>
                <w:rFonts w:hint="eastAsia" w:ascii="宋体" w:hAnsi="宋体"/>
              </w:rPr>
              <w:t>不组织</w:t>
            </w:r>
          </w:p>
        </w:tc>
      </w:tr>
      <w:tr w14:paraId="0D42C4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76B8CE27">
            <w:pPr>
              <w:jc w:val="center"/>
              <w:rPr>
                <w:rFonts w:ascii="宋体" w:hAnsi="宋体"/>
              </w:rPr>
            </w:pPr>
            <w:r>
              <w:rPr>
                <w:rFonts w:hint="eastAsia" w:ascii="宋体" w:hAnsi="宋体"/>
              </w:rPr>
              <w:t>1</w:t>
            </w:r>
            <w:r>
              <w:rPr>
                <w:rFonts w:ascii="宋体" w:hAnsi="宋体"/>
              </w:rPr>
              <w:t>0</w:t>
            </w:r>
          </w:p>
        </w:tc>
        <w:tc>
          <w:tcPr>
            <w:tcW w:w="2409" w:type="dxa"/>
            <w:vAlign w:val="center"/>
          </w:tcPr>
          <w:p w14:paraId="6DE1EA11">
            <w:pPr>
              <w:jc w:val="center"/>
              <w:rPr>
                <w:rFonts w:ascii="宋体" w:hAnsi="宋体"/>
              </w:rPr>
            </w:pPr>
            <w:r>
              <w:rPr>
                <w:rFonts w:hint="eastAsia" w:ascii="宋体" w:hAnsi="宋体"/>
              </w:rPr>
              <w:t>标前会议</w:t>
            </w:r>
          </w:p>
        </w:tc>
        <w:tc>
          <w:tcPr>
            <w:tcW w:w="4980" w:type="dxa"/>
            <w:vAlign w:val="center"/>
          </w:tcPr>
          <w:p w14:paraId="51A3DCF3">
            <w:pPr>
              <w:jc w:val="center"/>
              <w:rPr>
                <w:rFonts w:ascii="宋体" w:hAnsi="宋体"/>
              </w:rPr>
            </w:pPr>
            <w:r>
              <w:rPr>
                <w:rFonts w:hint="eastAsia" w:ascii="宋体" w:hAnsi="宋体"/>
              </w:rPr>
              <w:t>不组织</w:t>
            </w:r>
          </w:p>
        </w:tc>
      </w:tr>
      <w:tr w14:paraId="68F024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52" w:hRule="atLeast"/>
          <w:jc w:val="center"/>
        </w:trPr>
        <w:tc>
          <w:tcPr>
            <w:tcW w:w="978" w:type="dxa"/>
            <w:vAlign w:val="center"/>
          </w:tcPr>
          <w:p w14:paraId="2CFACF23">
            <w:pPr>
              <w:jc w:val="center"/>
              <w:rPr>
                <w:rFonts w:ascii="宋体" w:hAnsi="宋体"/>
              </w:rPr>
            </w:pPr>
            <w:r>
              <w:rPr>
                <w:rFonts w:hint="eastAsia" w:ascii="宋体" w:hAnsi="宋体"/>
              </w:rPr>
              <w:t>1</w:t>
            </w:r>
            <w:r>
              <w:rPr>
                <w:rFonts w:ascii="宋体" w:hAnsi="宋体"/>
              </w:rPr>
              <w:t>2</w:t>
            </w:r>
            <w:r>
              <w:rPr>
                <w:rFonts w:hint="eastAsia" w:ascii="宋体" w:hAnsi="宋体"/>
              </w:rPr>
              <w:t>/1</w:t>
            </w:r>
            <w:r>
              <w:rPr>
                <w:rFonts w:ascii="宋体" w:hAnsi="宋体"/>
              </w:rPr>
              <w:t>3</w:t>
            </w:r>
          </w:p>
        </w:tc>
        <w:tc>
          <w:tcPr>
            <w:tcW w:w="2409" w:type="dxa"/>
            <w:vAlign w:val="center"/>
          </w:tcPr>
          <w:p w14:paraId="6D3CD0C5">
            <w:pPr>
              <w:jc w:val="center"/>
              <w:rPr>
                <w:rFonts w:ascii="宋体" w:hAnsi="宋体"/>
              </w:rPr>
            </w:pPr>
            <w:r>
              <w:rPr>
                <w:rFonts w:hint="eastAsia" w:ascii="宋体" w:hAnsi="宋体"/>
              </w:rPr>
              <w:t>招标文件的澄清和修改</w:t>
            </w:r>
          </w:p>
        </w:tc>
        <w:tc>
          <w:tcPr>
            <w:tcW w:w="4980" w:type="dxa"/>
            <w:vAlign w:val="center"/>
          </w:tcPr>
          <w:p w14:paraId="2E604D0E">
            <w:pPr>
              <w:jc w:val="center"/>
              <w:rPr>
                <w:rFonts w:ascii="宋体" w:hAnsi="宋体"/>
              </w:rPr>
            </w:pPr>
            <w:r>
              <w:rPr>
                <w:rFonts w:hint="eastAsia" w:ascii="宋体" w:hAnsi="宋体"/>
              </w:rPr>
              <w:t>不晚于投标截止日三日前，投标人有义务在招标期间在政府集中采购机构网站浏览与本项目有关的澄清和修改信息</w:t>
            </w:r>
          </w:p>
        </w:tc>
      </w:tr>
      <w:tr w14:paraId="6C9DF8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39EDE678">
            <w:pPr>
              <w:jc w:val="center"/>
              <w:rPr>
                <w:rFonts w:ascii="宋体" w:hAnsi="宋体"/>
              </w:rPr>
            </w:pPr>
            <w:r>
              <w:rPr>
                <w:rFonts w:hint="eastAsia" w:ascii="宋体" w:hAnsi="宋体"/>
              </w:rPr>
              <w:t>2</w:t>
            </w:r>
            <w:r>
              <w:rPr>
                <w:rFonts w:ascii="宋体" w:hAnsi="宋体"/>
              </w:rPr>
              <w:t>0</w:t>
            </w:r>
          </w:p>
        </w:tc>
        <w:tc>
          <w:tcPr>
            <w:tcW w:w="2409" w:type="dxa"/>
            <w:vAlign w:val="center"/>
          </w:tcPr>
          <w:p w14:paraId="01BC0236">
            <w:pPr>
              <w:jc w:val="center"/>
              <w:rPr>
                <w:rFonts w:ascii="宋体" w:hAnsi="宋体"/>
              </w:rPr>
            </w:pPr>
            <w:r>
              <w:rPr>
                <w:rFonts w:hint="eastAsia" w:ascii="宋体" w:hAnsi="宋体"/>
              </w:rPr>
              <w:t>投标有效期</w:t>
            </w:r>
          </w:p>
        </w:tc>
        <w:tc>
          <w:tcPr>
            <w:tcW w:w="4980" w:type="dxa"/>
            <w:vAlign w:val="center"/>
          </w:tcPr>
          <w:p w14:paraId="27AD3CB3">
            <w:pPr>
              <w:jc w:val="center"/>
              <w:rPr>
                <w:rFonts w:ascii="宋体" w:hAnsi="宋体"/>
              </w:rPr>
            </w:pPr>
            <w:r>
              <w:rPr>
                <w:rFonts w:hint="eastAsia" w:ascii="宋体" w:hAnsi="宋体"/>
                <w:highlight w:val="none"/>
              </w:rPr>
              <w:t>120个日历日</w:t>
            </w:r>
          </w:p>
        </w:tc>
      </w:tr>
      <w:tr w14:paraId="2840BB4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3C547609">
            <w:pPr>
              <w:jc w:val="center"/>
              <w:rPr>
                <w:rFonts w:ascii="宋体" w:hAnsi="宋体"/>
              </w:rPr>
            </w:pPr>
            <w:r>
              <w:rPr>
                <w:rFonts w:hint="eastAsia" w:ascii="宋体" w:hAnsi="宋体"/>
              </w:rPr>
              <w:t>2</w:t>
            </w:r>
            <w:r>
              <w:rPr>
                <w:rFonts w:ascii="宋体" w:hAnsi="宋体"/>
              </w:rPr>
              <w:t>2</w:t>
            </w:r>
          </w:p>
        </w:tc>
        <w:tc>
          <w:tcPr>
            <w:tcW w:w="2409" w:type="dxa"/>
            <w:vAlign w:val="center"/>
          </w:tcPr>
          <w:p w14:paraId="0C79943F">
            <w:pPr>
              <w:jc w:val="center"/>
              <w:rPr>
                <w:rFonts w:ascii="宋体" w:hAnsi="宋体"/>
              </w:rPr>
            </w:pPr>
            <w:r>
              <w:rPr>
                <w:rFonts w:hint="eastAsia" w:ascii="宋体" w:hAnsi="宋体"/>
              </w:rPr>
              <w:t>投标人的替代方案</w:t>
            </w:r>
          </w:p>
        </w:tc>
        <w:tc>
          <w:tcPr>
            <w:tcW w:w="4980" w:type="dxa"/>
            <w:vAlign w:val="center"/>
          </w:tcPr>
          <w:p w14:paraId="0093BBCC">
            <w:pPr>
              <w:jc w:val="center"/>
              <w:rPr>
                <w:rFonts w:ascii="宋体" w:hAnsi="宋体"/>
              </w:rPr>
            </w:pPr>
            <w:r>
              <w:rPr>
                <w:rFonts w:hint="eastAsia" w:ascii="宋体" w:hAnsi="宋体"/>
              </w:rPr>
              <w:t>不接受</w:t>
            </w:r>
          </w:p>
        </w:tc>
      </w:tr>
      <w:tr w14:paraId="39CF91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1EED57BD">
            <w:pPr>
              <w:jc w:val="center"/>
              <w:rPr>
                <w:rFonts w:ascii="宋体" w:hAnsi="宋体"/>
              </w:rPr>
            </w:pPr>
            <w:r>
              <w:rPr>
                <w:rFonts w:hint="eastAsia" w:ascii="宋体" w:hAnsi="宋体"/>
              </w:rPr>
              <w:t>2</w:t>
            </w:r>
            <w:r>
              <w:rPr>
                <w:rFonts w:ascii="宋体" w:hAnsi="宋体"/>
              </w:rPr>
              <w:t>5</w:t>
            </w:r>
          </w:p>
        </w:tc>
        <w:tc>
          <w:tcPr>
            <w:tcW w:w="2409" w:type="dxa"/>
            <w:vAlign w:val="center"/>
          </w:tcPr>
          <w:p w14:paraId="14D06D59">
            <w:pPr>
              <w:jc w:val="center"/>
              <w:rPr>
                <w:rFonts w:ascii="宋体" w:hAnsi="宋体"/>
              </w:rPr>
            </w:pPr>
            <w:r>
              <w:rPr>
                <w:rFonts w:hint="eastAsia" w:ascii="宋体" w:hAnsi="宋体"/>
              </w:rPr>
              <w:t>投标文件的大小</w:t>
            </w:r>
          </w:p>
        </w:tc>
        <w:tc>
          <w:tcPr>
            <w:tcW w:w="4980" w:type="dxa"/>
            <w:vAlign w:val="center"/>
          </w:tcPr>
          <w:p w14:paraId="6E01DE49">
            <w:pPr>
              <w:jc w:val="center"/>
              <w:rPr>
                <w:rFonts w:ascii="宋体" w:hAnsi="宋体"/>
              </w:rPr>
            </w:pPr>
            <w:r>
              <w:rPr>
                <w:rFonts w:hint="eastAsia" w:ascii="宋体" w:hAnsi="宋体"/>
              </w:rPr>
              <w:t>投标文件大小不得超过100MB</w:t>
            </w:r>
          </w:p>
        </w:tc>
      </w:tr>
      <w:tr w14:paraId="4B0607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0E83FD21">
            <w:pPr>
              <w:jc w:val="center"/>
              <w:rPr>
                <w:rFonts w:ascii="宋体" w:hAnsi="宋体"/>
              </w:rPr>
            </w:pPr>
            <w:r>
              <w:rPr>
                <w:rFonts w:hint="eastAsia" w:ascii="宋体" w:hAnsi="宋体"/>
              </w:rPr>
              <w:t>2</w:t>
            </w:r>
            <w:r>
              <w:rPr>
                <w:rFonts w:ascii="宋体" w:hAnsi="宋体"/>
              </w:rPr>
              <w:t>6</w:t>
            </w:r>
          </w:p>
        </w:tc>
        <w:tc>
          <w:tcPr>
            <w:tcW w:w="2409" w:type="dxa"/>
            <w:vAlign w:val="center"/>
          </w:tcPr>
          <w:p w14:paraId="5426ACF7">
            <w:pPr>
              <w:jc w:val="center"/>
              <w:rPr>
                <w:rFonts w:ascii="宋体" w:hAnsi="宋体"/>
              </w:rPr>
            </w:pPr>
            <w:bookmarkStart w:id="27" w:name="_Hlk71664860"/>
            <w:r>
              <w:rPr>
                <w:rFonts w:hint="eastAsia" w:ascii="宋体" w:hAnsi="宋体"/>
              </w:rPr>
              <w:t>样品、现场演示、方案讲解</w:t>
            </w:r>
            <w:bookmarkEnd w:id="27"/>
          </w:p>
        </w:tc>
        <w:tc>
          <w:tcPr>
            <w:tcW w:w="4980" w:type="dxa"/>
            <w:vAlign w:val="center"/>
          </w:tcPr>
          <w:p w14:paraId="4A7D2AC9">
            <w:pPr>
              <w:jc w:val="center"/>
              <w:rPr>
                <w:rFonts w:hint="eastAsia" w:ascii="宋体" w:hAnsi="宋体" w:eastAsia="宋体"/>
                <w:lang w:eastAsia="zh-CN"/>
              </w:rPr>
            </w:pPr>
            <w:r>
              <w:rPr>
                <w:rFonts w:hint="eastAsia" w:ascii="宋体" w:hAnsi="宋体"/>
                <w:lang w:val="en-US" w:eastAsia="zh-CN"/>
              </w:rPr>
              <w:t>无</w:t>
            </w:r>
          </w:p>
        </w:tc>
      </w:tr>
      <w:tr w14:paraId="0F522D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5D651351">
            <w:pPr>
              <w:jc w:val="center"/>
              <w:rPr>
                <w:rFonts w:ascii="宋体" w:hAnsi="宋体"/>
              </w:rPr>
            </w:pPr>
            <w:r>
              <w:rPr>
                <w:rFonts w:hint="eastAsia" w:ascii="宋体" w:hAnsi="宋体"/>
              </w:rPr>
              <w:t>3</w:t>
            </w:r>
            <w:r>
              <w:rPr>
                <w:rFonts w:ascii="宋体" w:hAnsi="宋体"/>
              </w:rPr>
              <w:t>7</w:t>
            </w:r>
          </w:p>
        </w:tc>
        <w:tc>
          <w:tcPr>
            <w:tcW w:w="2409" w:type="dxa"/>
            <w:vAlign w:val="center"/>
          </w:tcPr>
          <w:p w14:paraId="17C9E600">
            <w:pPr>
              <w:jc w:val="center"/>
              <w:rPr>
                <w:rFonts w:ascii="宋体" w:hAnsi="宋体"/>
              </w:rPr>
            </w:pPr>
            <w:r>
              <w:rPr>
                <w:rFonts w:hint="eastAsia" w:ascii="宋体" w:hAnsi="宋体"/>
              </w:rPr>
              <w:t>评审方法</w:t>
            </w:r>
          </w:p>
        </w:tc>
        <w:tc>
          <w:tcPr>
            <w:tcW w:w="4980" w:type="dxa"/>
            <w:vAlign w:val="center"/>
          </w:tcPr>
          <w:p w14:paraId="3E533234">
            <w:pPr>
              <w:jc w:val="center"/>
              <w:rPr>
                <w:rFonts w:ascii="宋体" w:hAnsi="宋体"/>
              </w:rPr>
            </w:pPr>
            <w:r>
              <w:rPr>
                <w:rFonts w:hint="eastAsia" w:ascii="宋体" w:hAnsi="宋体"/>
              </w:rPr>
              <w:t>综合评分法</w:t>
            </w:r>
          </w:p>
        </w:tc>
      </w:tr>
      <w:tr w14:paraId="131B41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56A39740">
            <w:pPr>
              <w:jc w:val="center"/>
              <w:rPr>
                <w:rFonts w:ascii="宋体" w:hAnsi="宋体"/>
              </w:rPr>
            </w:pPr>
            <w:r>
              <w:rPr>
                <w:rFonts w:hint="eastAsia" w:ascii="宋体" w:hAnsi="宋体"/>
              </w:rPr>
              <w:t>3</w:t>
            </w:r>
            <w:r>
              <w:rPr>
                <w:rFonts w:ascii="宋体" w:hAnsi="宋体"/>
              </w:rPr>
              <w:t>8</w:t>
            </w:r>
          </w:p>
        </w:tc>
        <w:tc>
          <w:tcPr>
            <w:tcW w:w="2409" w:type="dxa"/>
            <w:vAlign w:val="center"/>
          </w:tcPr>
          <w:p w14:paraId="6CC743BE">
            <w:pPr>
              <w:jc w:val="center"/>
              <w:rPr>
                <w:rFonts w:ascii="宋体" w:hAnsi="宋体"/>
              </w:rPr>
            </w:pPr>
            <w:r>
              <w:rPr>
                <w:rFonts w:hint="eastAsia" w:ascii="宋体" w:hAnsi="宋体"/>
              </w:rPr>
              <w:t>定标方法</w:t>
            </w:r>
          </w:p>
        </w:tc>
        <w:tc>
          <w:tcPr>
            <w:tcW w:w="4980" w:type="dxa"/>
            <w:vAlign w:val="center"/>
          </w:tcPr>
          <w:p w14:paraId="1CC2F3D9">
            <w:pPr>
              <w:jc w:val="center"/>
              <w:rPr>
                <w:rFonts w:ascii="宋体" w:hAnsi="宋体"/>
              </w:rPr>
            </w:pPr>
            <w:r>
              <w:rPr>
                <w:rFonts w:hint="eastAsia" w:ascii="宋体" w:hAnsi="宋体"/>
              </w:rPr>
              <w:t>非评定分离</w:t>
            </w:r>
          </w:p>
        </w:tc>
      </w:tr>
      <w:tr w14:paraId="17EC29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0" w:hRule="atLeast"/>
          <w:jc w:val="center"/>
        </w:trPr>
        <w:tc>
          <w:tcPr>
            <w:tcW w:w="978" w:type="dxa"/>
            <w:vAlign w:val="center"/>
          </w:tcPr>
          <w:p w14:paraId="2AB532D1">
            <w:pPr>
              <w:jc w:val="center"/>
              <w:rPr>
                <w:rFonts w:ascii="宋体" w:hAnsi="宋体"/>
              </w:rPr>
            </w:pPr>
            <w:r>
              <w:rPr>
                <w:rFonts w:hint="eastAsia" w:ascii="宋体" w:hAnsi="宋体"/>
              </w:rPr>
              <w:t>4</w:t>
            </w:r>
            <w:r>
              <w:rPr>
                <w:rFonts w:ascii="宋体" w:hAnsi="宋体"/>
              </w:rPr>
              <w:t>6</w:t>
            </w:r>
          </w:p>
        </w:tc>
        <w:tc>
          <w:tcPr>
            <w:tcW w:w="2409" w:type="dxa"/>
            <w:vAlign w:val="center"/>
          </w:tcPr>
          <w:p w14:paraId="41D2AE55">
            <w:pPr>
              <w:jc w:val="center"/>
              <w:rPr>
                <w:rFonts w:ascii="宋体" w:hAnsi="宋体"/>
              </w:rPr>
            </w:pPr>
            <w:r>
              <w:rPr>
                <w:rFonts w:hint="eastAsia" w:ascii="宋体" w:hAnsi="宋体"/>
              </w:rPr>
              <w:t>履约担保</w:t>
            </w:r>
          </w:p>
        </w:tc>
        <w:tc>
          <w:tcPr>
            <w:tcW w:w="4980" w:type="dxa"/>
            <w:vAlign w:val="center"/>
          </w:tcPr>
          <w:p w14:paraId="6B7B1966">
            <w:pPr>
              <w:jc w:val="center"/>
              <w:rPr>
                <w:rFonts w:ascii="宋体" w:hAnsi="宋体"/>
              </w:rPr>
            </w:pPr>
            <w:r>
              <w:rPr>
                <w:rFonts w:hint="eastAsia" w:ascii="宋体" w:hAnsi="宋体"/>
              </w:rPr>
              <w:t>不需要</w:t>
            </w:r>
          </w:p>
        </w:tc>
      </w:tr>
    </w:tbl>
    <w:p w14:paraId="07EA9DAD">
      <w:pPr>
        <w:rPr>
          <w:b/>
        </w:rPr>
      </w:pPr>
      <w:r>
        <w:rPr>
          <w:rFonts w:hint="eastAsia"/>
          <w:szCs w:val="21"/>
        </w:rPr>
        <w:t>备注：本表是通用条款相关条款的补充和明确，如与通用条款内容相冲突的，以本表为准。</w:t>
      </w:r>
    </w:p>
    <w:p w14:paraId="33DDB217">
      <w:pPr>
        <w:rPr>
          <w:b/>
        </w:rPr>
      </w:pPr>
    </w:p>
    <w:p w14:paraId="3745C07F">
      <w:pPr>
        <w:rPr>
          <w:rFonts w:hint="eastAsia"/>
          <w:szCs w:val="24"/>
        </w:rPr>
      </w:pPr>
      <w:r>
        <w:rPr>
          <w:rFonts w:hint="eastAsia"/>
          <w:szCs w:val="24"/>
        </w:rPr>
        <w:br w:type="page"/>
      </w:r>
    </w:p>
    <w:p w14:paraId="3745B477">
      <w:pPr>
        <w:pStyle w:val="7"/>
        <w:spacing w:before="120" w:beforeLines="50" w:after="120" w:afterLines="50"/>
        <w:rPr>
          <w:szCs w:val="24"/>
        </w:rPr>
      </w:pPr>
      <w:r>
        <w:rPr>
          <w:rFonts w:hint="eastAsia"/>
          <w:szCs w:val="24"/>
        </w:rPr>
        <w:t>二、其他关键信息</w:t>
      </w:r>
    </w:p>
    <w:p w14:paraId="5580108C">
      <w:pPr>
        <w:ind w:firstLine="422" w:firstLineChars="200"/>
        <w:rPr>
          <w:b/>
          <w:bCs/>
        </w:rPr>
      </w:pPr>
      <w:r>
        <w:rPr>
          <w:rFonts w:hint="eastAsia"/>
          <w:b/>
          <w:bCs/>
        </w:rPr>
        <w:t>（一）与“对通用条款的补充内容”章节相关的事项</w:t>
      </w:r>
    </w:p>
    <w:p w14:paraId="1F9C1E96">
      <w:pPr>
        <w:spacing w:line="276" w:lineRule="auto"/>
        <w:ind w:firstLine="422" w:firstLineChars="200"/>
        <w:jc w:val="left"/>
        <w:rPr>
          <w:rFonts w:asciiTheme="minorEastAsia" w:hAnsiTheme="minorEastAsia" w:eastAsiaTheme="minorEastAsia"/>
          <w:b/>
          <w:kern w:val="0"/>
          <w:szCs w:val="20"/>
        </w:rPr>
      </w:pPr>
      <w:bookmarkStart w:id="28" w:name="_Hlk72579465"/>
      <w:r>
        <w:rPr>
          <w:rFonts w:hint="eastAsia" w:asciiTheme="minorEastAsia" w:hAnsiTheme="minorEastAsia" w:eastAsiaTheme="minorEastAsia"/>
          <w:b/>
          <w:kern w:val="0"/>
          <w:szCs w:val="20"/>
        </w:rPr>
        <w:t>1、评标定标信息</w:t>
      </w:r>
    </w:p>
    <w:bookmarkEnd w:id="28"/>
    <w:p w14:paraId="218FCB54">
      <w:pPr>
        <w:jc w:val="center"/>
      </w:pPr>
      <w:r>
        <w:rPr>
          <w:rFonts w:hint="eastAsia"/>
          <w:b/>
        </w:rPr>
        <w:t>非评定分离项目</w:t>
      </w:r>
    </w:p>
    <w:tbl>
      <w:tblPr>
        <w:tblStyle w:val="44"/>
        <w:tblW w:w="85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3"/>
        <w:gridCol w:w="4238"/>
      </w:tblGrid>
      <w:tr w14:paraId="21897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3" w:type="dxa"/>
            <w:vAlign w:val="top"/>
          </w:tcPr>
          <w:p w14:paraId="6A20C6B1">
            <w:pPr>
              <w:jc w:val="center"/>
            </w:pPr>
            <w:r>
              <w:rPr>
                <w:rFonts w:hint="eastAsia"/>
              </w:rPr>
              <w:t>评标方法</w:t>
            </w:r>
          </w:p>
        </w:tc>
        <w:tc>
          <w:tcPr>
            <w:tcW w:w="4238" w:type="dxa"/>
            <w:vAlign w:val="top"/>
          </w:tcPr>
          <w:p w14:paraId="735B5E33">
            <w:pPr>
              <w:jc w:val="center"/>
              <w:rPr>
                <w:rFonts w:hint="default" w:eastAsia="宋体"/>
                <w:lang w:val="en-US" w:eastAsia="zh-CN"/>
              </w:rPr>
            </w:pPr>
            <w:r>
              <w:rPr>
                <w:rFonts w:hint="eastAsia"/>
              </w:rPr>
              <w:t>综合评分法</w:t>
            </w:r>
          </w:p>
        </w:tc>
      </w:tr>
      <w:tr w14:paraId="66B7D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3" w:type="dxa"/>
            <w:vAlign w:val="top"/>
          </w:tcPr>
          <w:p w14:paraId="27BA35CD">
            <w:pPr>
              <w:jc w:val="center"/>
            </w:pPr>
            <w:r>
              <w:rPr>
                <w:rFonts w:hint="eastAsia"/>
              </w:rPr>
              <w:t>候选中标供应商家数</w:t>
            </w:r>
          </w:p>
        </w:tc>
        <w:tc>
          <w:tcPr>
            <w:tcW w:w="4238" w:type="dxa"/>
            <w:vAlign w:val="top"/>
          </w:tcPr>
          <w:p w14:paraId="21F9B87B">
            <w:pPr>
              <w:jc w:val="center"/>
              <w:rPr>
                <w:rFonts w:hint="default" w:eastAsia="宋体"/>
                <w:lang w:val="en-US" w:eastAsia="zh-CN"/>
              </w:rPr>
            </w:pPr>
            <w:r>
              <w:rPr>
                <w:rFonts w:hint="eastAsia"/>
                <w:lang w:val="en-US" w:eastAsia="zh-CN"/>
              </w:rPr>
              <w:t>3</w:t>
            </w:r>
          </w:p>
        </w:tc>
      </w:tr>
      <w:tr w14:paraId="7DD0B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3" w:type="dxa"/>
            <w:vAlign w:val="top"/>
          </w:tcPr>
          <w:p w14:paraId="7417ACE5">
            <w:pPr>
              <w:jc w:val="center"/>
            </w:pPr>
            <w:r>
              <w:rPr>
                <w:rFonts w:hint="eastAsia"/>
              </w:rPr>
              <w:t>中标供应商家数</w:t>
            </w:r>
          </w:p>
        </w:tc>
        <w:tc>
          <w:tcPr>
            <w:tcW w:w="4238" w:type="dxa"/>
            <w:vAlign w:val="top"/>
          </w:tcPr>
          <w:p w14:paraId="2DB09132">
            <w:pPr>
              <w:jc w:val="center"/>
            </w:pPr>
            <w:r>
              <w:rPr>
                <w:rFonts w:hint="eastAsia"/>
              </w:rPr>
              <w:t>1</w:t>
            </w:r>
          </w:p>
        </w:tc>
      </w:tr>
    </w:tbl>
    <w:p w14:paraId="1EACFA8E">
      <w:pPr>
        <w:rPr>
          <w:rFonts w:hint="eastAsia"/>
          <w:b/>
        </w:rPr>
      </w:pPr>
    </w:p>
    <w:p w14:paraId="3637E20A">
      <w:pPr>
        <w:ind w:firstLine="422" w:firstLineChars="200"/>
        <w:rPr>
          <w:rFonts w:hint="eastAsia"/>
          <w:b/>
        </w:rPr>
      </w:pPr>
      <w:r>
        <w:rPr>
          <w:rFonts w:hint="eastAsia"/>
          <w:b/>
        </w:rPr>
        <w:t>（二）其他事项</w:t>
      </w:r>
    </w:p>
    <w:p w14:paraId="3A807033">
      <w:pPr>
        <w:ind w:firstLine="422" w:firstLineChars="200"/>
        <w:rPr>
          <w:color w:val="auto"/>
        </w:rPr>
      </w:pPr>
      <w:r>
        <w:rPr>
          <w:b/>
          <w:bCs/>
        </w:rPr>
        <w:t>1</w:t>
      </w:r>
      <w:r>
        <w:rPr>
          <w:rFonts w:hint="eastAsia"/>
          <w:b/>
          <w:bCs/>
        </w:rPr>
        <w:t>、</w:t>
      </w:r>
      <w:r>
        <w:rPr>
          <w:rFonts w:hint="eastAsia"/>
          <w:b/>
          <w:bCs/>
          <w:color w:val="auto"/>
        </w:rPr>
        <w:t>关于享受优惠政策的主体及价格扣除比例</w:t>
      </w:r>
    </w:p>
    <w:p w14:paraId="7ADEEA23">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（1）非专门面向中小企业采购的项目，应执行价格扣除比例：供应商提供的服务全部由优惠主体承接，则对其投标总价给予</w:t>
      </w:r>
      <w:r>
        <w:rPr>
          <w:rFonts w:hint="eastAsia" w:ascii="宋体" w:hAnsi="宋体" w:eastAsia="宋体" w:cs="宋体"/>
          <w:sz w:val="21"/>
          <w:szCs w:val="21"/>
          <w:u w:val="single"/>
        </w:rPr>
        <w:t xml:space="preserve"> </w:t>
      </w:r>
      <w:r>
        <w:rPr>
          <w:rFonts w:hint="eastAsia" w:ascii="宋体" w:hAnsi="宋体" w:eastAsia="宋体" w:cs="宋体"/>
          <w:color w:val="FF0000"/>
          <w:sz w:val="21"/>
          <w:szCs w:val="21"/>
          <w:u w:val="single"/>
        </w:rPr>
        <w:t xml:space="preserve"> 10  </w:t>
      </w:r>
      <w:r>
        <w:rPr>
          <w:rFonts w:hint="eastAsia" w:ascii="宋体" w:hAnsi="宋体" w:eastAsia="宋体" w:cs="宋体"/>
          <w:sz w:val="21"/>
          <w:szCs w:val="21"/>
        </w:rPr>
        <w:t>%的扣除，用扣除后的价格参与评审。满足多项优惠政策的企业，不重复享受多项价格扣除政策。</w:t>
      </w:r>
    </w:p>
    <w:p w14:paraId="42C0F414">
      <w:pPr>
        <w:ind w:firstLine="420" w:firstLineChars="200"/>
        <w:rPr>
          <w:rFonts w:hint="eastAsia" w:ascii="宋体" w:hAnsi="宋体" w:eastAsia="宋体" w:cs="宋体"/>
          <w:sz w:val="21"/>
          <w:szCs w:val="21"/>
        </w:rPr>
      </w:pPr>
      <w:r>
        <w:rPr>
          <w:rFonts w:hint="eastAsia" w:ascii="宋体" w:hAnsi="宋体" w:eastAsia="宋体" w:cs="宋体"/>
          <w:sz w:val="21"/>
          <w:szCs w:val="21"/>
        </w:rPr>
        <w:t>备注：（a）享受价格扣除优惠主体包括小型企业、微型企业、监狱企业、残疾人福利性单位；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b)优惠主体承接是指提供服务的人员为中小企业依照《中华人民共和国劳动合同法》订立劳动合同的从业人员。</w:t>
      </w:r>
    </w:p>
    <w:p w14:paraId="0FF73846">
      <w:pPr>
        <w:ind w:firstLine="420" w:firstLineChars="200"/>
        <w:rPr>
          <w:rFonts w:hint="eastAsia" w:ascii="宋体" w:hAnsi="宋体" w:eastAsia="宋体" w:cs="宋体"/>
          <w:sz w:val="21"/>
          <w:szCs w:val="21"/>
        </w:rPr>
      </w:pPr>
      <w:r>
        <w:rPr>
          <w:rFonts w:hint="eastAsia" w:ascii="宋体" w:hAnsi="宋体" w:cs="宋体"/>
          <w:sz w:val="21"/>
          <w:szCs w:val="21"/>
        </w:rPr>
        <w:t>（2）中小企业参加政府采购活动，应当按照国务院批准的《中小企业划型标准规定》（工信部联企 业〔2011〕300号）、《金融业企业划型标准规定》（银发〔2015〕309号）和《财政部 工业和信息化部关于印发〈政府采购促进中小企业发展管理办法〉的通知》（财库〔2020〕46 号）的规定，出具《中小企业声明函》，</w:t>
      </w:r>
      <w:r>
        <w:rPr>
          <w:rFonts w:hint="eastAsia" w:ascii="宋体" w:hAnsi="宋体" w:eastAsia="宋体" w:cs="宋体"/>
          <w:b/>
          <w:bCs/>
          <w:color w:val="FF0000"/>
          <w:sz w:val="21"/>
          <w:szCs w:val="21"/>
        </w:rPr>
        <w:t>《中小企业声明函》中相关企业</w:t>
      </w:r>
      <w:r>
        <w:rPr>
          <w:rFonts w:hint="eastAsia" w:ascii="宋体" w:hAnsi="宋体" w:eastAsia="宋体" w:cs="宋体"/>
          <w:b/>
          <w:bCs/>
          <w:color w:val="FF0000"/>
          <w:sz w:val="21"/>
          <w:szCs w:val="21"/>
          <w:lang w:eastAsia="zh-CN"/>
        </w:rPr>
        <w:t>（服务承接商）</w:t>
      </w:r>
      <w:r>
        <w:rPr>
          <w:rFonts w:hint="eastAsia" w:ascii="宋体" w:hAnsi="宋体" w:eastAsia="宋体" w:cs="宋体"/>
          <w:b/>
          <w:bCs/>
          <w:color w:val="FF0000"/>
          <w:sz w:val="21"/>
          <w:szCs w:val="21"/>
        </w:rPr>
        <w:t>所属行业应当与采购标的所属行业相一致</w:t>
      </w:r>
      <w:r>
        <w:rPr>
          <w:rFonts w:hint="eastAsia" w:ascii="宋体" w:hAnsi="宋体" w:eastAsia="宋体" w:cs="宋体"/>
          <w:b/>
          <w:bCs/>
          <w:color w:val="FF0000"/>
          <w:sz w:val="21"/>
          <w:szCs w:val="21"/>
          <w:lang w:eastAsia="zh-CN"/>
        </w:rPr>
        <w:t>，</w:t>
      </w:r>
      <w:r>
        <w:rPr>
          <w:rFonts w:hint="eastAsia" w:ascii="宋体" w:hAnsi="宋体" w:eastAsia="宋体" w:cs="宋体"/>
          <w:b/>
          <w:bCs/>
          <w:color w:val="FF0000"/>
          <w:sz w:val="21"/>
          <w:szCs w:val="21"/>
        </w:rPr>
        <w:t>标的所属行业</w:t>
      </w:r>
      <w:r>
        <w:rPr>
          <w:rFonts w:hint="eastAsia" w:ascii="宋体" w:hAnsi="宋体" w:eastAsia="宋体" w:cs="宋体"/>
          <w:b/>
          <w:bCs/>
          <w:color w:val="FF0000"/>
          <w:sz w:val="21"/>
          <w:szCs w:val="21"/>
          <w:lang w:val="en-US" w:eastAsia="zh-CN"/>
        </w:rPr>
        <w:t>以招标文件第一册第三章用户需求书“服务需求明细”的“标的所属行业”一栏为准</w:t>
      </w:r>
      <w:r>
        <w:rPr>
          <w:rFonts w:hint="eastAsia" w:ascii="宋体" w:hAnsi="宋体" w:eastAsia="宋体" w:cs="宋体"/>
          <w:b/>
          <w:bCs/>
          <w:color w:val="FF0000"/>
          <w:sz w:val="21"/>
          <w:szCs w:val="21"/>
        </w:rPr>
        <w:t>。</w:t>
      </w:r>
    </w:p>
    <w:p w14:paraId="3BE5DB7A">
      <w:pPr>
        <w:ind w:firstLine="420" w:firstLineChars="200"/>
        <w:rPr>
          <w:rFonts w:ascii="宋体" w:hAnsi="宋体" w:cs="宋体"/>
          <w:sz w:val="21"/>
          <w:szCs w:val="21"/>
        </w:rPr>
      </w:pPr>
      <w:r>
        <w:rPr>
          <w:rFonts w:hint="eastAsia" w:ascii="宋体" w:hAnsi="宋体" w:cs="宋体"/>
          <w:sz w:val="21"/>
          <w:szCs w:val="21"/>
        </w:rPr>
        <w:t>（3）小型企业、微型企业、残疾人福利性单位作为优惠主体的认定资料为《中小企业声明函》、《残疾人福利性单位声明函》；监狱企业作为优惠主体的认定资料为省级以上监狱管理局、戒毒管理局出具的监狱企业证明文件。声明函样式见本招标文件第一册专用条款第四章 “投标文件组成要求及格式”中“投标人情况及资格证明文件”章节提供的格式）。</w:t>
      </w:r>
    </w:p>
    <w:p w14:paraId="676ABE0C">
      <w:pPr>
        <w:ind w:firstLine="420" w:firstLineChars="200"/>
        <w:rPr>
          <w:rFonts w:ascii="宋体" w:hAnsi="宋体" w:cs="宋体"/>
          <w:sz w:val="21"/>
          <w:szCs w:val="21"/>
        </w:rPr>
      </w:pPr>
      <w:r>
        <w:rPr>
          <w:rFonts w:hint="eastAsia" w:ascii="宋体" w:hAnsi="宋体" w:cs="宋体"/>
          <w:sz w:val="21"/>
          <w:szCs w:val="21"/>
        </w:rPr>
        <w:t>（4）享受价格扣除获得政府采购合同的，小微企业不得将合同分包给大中型企业。</w:t>
      </w:r>
    </w:p>
    <w:p w14:paraId="54AE8E3F">
      <w:pPr>
        <w:ind w:firstLine="422" w:firstLineChars="200"/>
        <w:rPr>
          <w:rFonts w:hint="eastAsia"/>
          <w:b/>
          <w:bCs/>
          <w:color w:val="auto"/>
          <w:lang w:val="en-US" w:eastAsia="zh-CN"/>
        </w:rPr>
      </w:pPr>
      <w:r>
        <w:rPr>
          <w:rFonts w:hint="eastAsia" w:ascii="Times New Roman" w:eastAsia="宋体"/>
          <w:b/>
          <w:bCs/>
          <w:color w:val="auto"/>
          <w:lang w:val="en-US" w:eastAsia="zh-CN"/>
        </w:rPr>
        <w:t>2、本项目为代理服务项目，将向中标（成交）供应商收取代理服务费。</w:t>
      </w:r>
    </w:p>
    <w:p w14:paraId="2980D683">
      <w:pPr>
        <w:ind w:firstLine="420" w:firstLineChars="200"/>
        <w:rPr>
          <w:color w:val="auto"/>
        </w:rPr>
      </w:pPr>
      <w:r>
        <w:rPr>
          <w:rFonts w:hint="eastAsia"/>
          <w:color w:val="auto"/>
        </w:rPr>
        <w:t>中标</w:t>
      </w:r>
      <w:r>
        <w:rPr>
          <w:rFonts w:hint="eastAsia" w:eastAsia="宋体"/>
          <w:color w:val="auto"/>
          <w:lang w:eastAsia="zh-CN"/>
        </w:rPr>
        <w:t>（</w:t>
      </w:r>
      <w:r>
        <w:rPr>
          <w:rFonts w:hint="eastAsia" w:ascii="Times New Roman" w:eastAsia="宋体"/>
          <w:color w:val="auto"/>
          <w:lang w:val="en-US" w:eastAsia="zh-CN"/>
        </w:rPr>
        <w:t>成交</w:t>
      </w:r>
      <w:r>
        <w:rPr>
          <w:rFonts w:hint="eastAsia" w:eastAsia="宋体"/>
          <w:color w:val="auto"/>
          <w:lang w:eastAsia="zh-CN"/>
        </w:rPr>
        <w:t>）</w:t>
      </w:r>
      <w:r>
        <w:rPr>
          <w:rFonts w:hint="eastAsia"/>
          <w:color w:val="auto"/>
        </w:rPr>
        <w:t>供应商在领取《中标</w:t>
      </w:r>
      <w:r>
        <w:rPr>
          <w:rFonts w:hint="eastAsia" w:eastAsia="宋体"/>
          <w:color w:val="auto"/>
          <w:lang w:eastAsia="zh-CN"/>
        </w:rPr>
        <w:t>（</w:t>
      </w:r>
      <w:r>
        <w:rPr>
          <w:rFonts w:hint="eastAsia" w:ascii="Times New Roman" w:eastAsia="宋体"/>
          <w:color w:val="auto"/>
          <w:lang w:val="en-US" w:eastAsia="zh-CN"/>
        </w:rPr>
        <w:t>成交</w:t>
      </w:r>
      <w:r>
        <w:rPr>
          <w:rFonts w:hint="eastAsia" w:eastAsia="宋体"/>
          <w:color w:val="auto"/>
          <w:lang w:eastAsia="zh-CN"/>
        </w:rPr>
        <w:t>）</w:t>
      </w:r>
      <w:r>
        <w:rPr>
          <w:rFonts w:hint="eastAsia"/>
          <w:color w:val="auto"/>
        </w:rPr>
        <w:t>通知书》之前须向深圳公共资源交易中心（深圳交易集团有限公司</w:t>
      </w:r>
      <w:r>
        <w:rPr>
          <w:rFonts w:hint="eastAsia"/>
          <w:color w:val="auto"/>
          <w:lang w:val="en-US" w:eastAsia="zh-CN"/>
        </w:rPr>
        <w:t>龙岗</w:t>
      </w:r>
      <w:r>
        <w:rPr>
          <w:rFonts w:hint="eastAsia"/>
          <w:color w:val="auto"/>
        </w:rPr>
        <w:t>分公司）交纳代理服务费。若因中标</w:t>
      </w:r>
      <w:r>
        <w:rPr>
          <w:rFonts w:hint="eastAsia" w:eastAsia="宋体"/>
          <w:color w:val="auto"/>
          <w:lang w:eastAsia="zh-CN"/>
        </w:rPr>
        <w:t>（</w:t>
      </w:r>
      <w:r>
        <w:rPr>
          <w:rFonts w:hint="eastAsia" w:ascii="Times New Roman" w:eastAsia="宋体"/>
          <w:color w:val="auto"/>
          <w:lang w:val="en-US" w:eastAsia="zh-CN"/>
        </w:rPr>
        <w:t>成交</w:t>
      </w:r>
      <w:r>
        <w:rPr>
          <w:rFonts w:hint="eastAsia" w:eastAsia="宋体"/>
          <w:color w:val="auto"/>
          <w:lang w:eastAsia="zh-CN"/>
        </w:rPr>
        <w:t>）</w:t>
      </w:r>
      <w:r>
        <w:rPr>
          <w:rFonts w:hint="eastAsia"/>
          <w:color w:val="auto"/>
        </w:rPr>
        <w:t>供应商交纳代理服务费所产生的时间影响到合同签订的，由中标</w:t>
      </w:r>
      <w:r>
        <w:rPr>
          <w:rFonts w:hint="eastAsia" w:eastAsia="宋体"/>
          <w:color w:val="auto"/>
          <w:lang w:eastAsia="zh-CN"/>
        </w:rPr>
        <w:t>（</w:t>
      </w:r>
      <w:r>
        <w:rPr>
          <w:rFonts w:hint="eastAsia" w:ascii="Times New Roman" w:eastAsia="宋体"/>
          <w:color w:val="auto"/>
          <w:lang w:val="en-US" w:eastAsia="zh-CN"/>
        </w:rPr>
        <w:t>成交</w:t>
      </w:r>
      <w:r>
        <w:rPr>
          <w:rFonts w:hint="eastAsia" w:eastAsia="宋体"/>
          <w:color w:val="auto"/>
          <w:lang w:eastAsia="zh-CN"/>
        </w:rPr>
        <w:t>）</w:t>
      </w:r>
      <w:r>
        <w:rPr>
          <w:rFonts w:hint="eastAsia"/>
          <w:color w:val="auto"/>
        </w:rPr>
        <w:t>供应商自行承担责任。代理服务费标准参照</w:t>
      </w:r>
      <w:r>
        <w:rPr>
          <w:rFonts w:hint="eastAsia" w:ascii="Times New Roman" w:eastAsia="宋体"/>
          <w:color w:val="auto"/>
          <w:lang w:val="en-US" w:eastAsia="zh-CN"/>
        </w:rPr>
        <w:t>下列</w:t>
      </w:r>
      <w:r>
        <w:rPr>
          <w:rFonts w:hint="eastAsia"/>
          <w:color w:val="auto"/>
        </w:rPr>
        <w:t>标准收取。</w:t>
      </w:r>
      <w:r>
        <w:rPr>
          <w:rFonts w:hint="eastAsia"/>
          <w:b/>
          <w:color w:val="auto"/>
        </w:rPr>
        <w:t>本项目类型为</w:t>
      </w:r>
      <w:r>
        <w:rPr>
          <w:rFonts w:hint="eastAsia"/>
          <w:b/>
          <w:color w:val="auto"/>
          <w:lang w:val="en-US" w:eastAsia="zh-CN"/>
        </w:rPr>
        <w:t>服务</w:t>
      </w:r>
      <w:r>
        <w:rPr>
          <w:rFonts w:hint="eastAsia"/>
          <w:b/>
          <w:color w:val="auto"/>
        </w:rPr>
        <w:t>采购：</w:t>
      </w:r>
    </w:p>
    <w:p w14:paraId="33995C03">
      <w:pPr>
        <w:ind w:firstLine="420" w:firstLineChars="200"/>
        <w:rPr>
          <w:color w:val="auto"/>
        </w:rPr>
      </w:pPr>
      <w:r>
        <w:rPr>
          <w:rFonts w:hint="eastAsia"/>
          <w:color w:val="auto"/>
        </w:rPr>
        <w:t>（</w:t>
      </w:r>
      <w:r>
        <w:rPr>
          <w:rFonts w:hint="eastAsia" w:ascii="Times New Roman" w:eastAsia="宋体"/>
          <w:color w:val="auto"/>
          <w:lang w:val="en-US" w:eastAsia="zh-CN"/>
        </w:rPr>
        <w:t>1</w:t>
      </w:r>
      <w:r>
        <w:rPr>
          <w:rFonts w:hint="eastAsia"/>
          <w:color w:val="auto"/>
        </w:rPr>
        <w:t>）代理服务费以《中标</w:t>
      </w:r>
      <w:r>
        <w:rPr>
          <w:rFonts w:hint="eastAsia" w:eastAsia="宋体"/>
          <w:color w:val="auto"/>
          <w:lang w:eastAsia="zh-CN"/>
        </w:rPr>
        <w:t>（</w:t>
      </w:r>
      <w:r>
        <w:rPr>
          <w:rFonts w:hint="eastAsia" w:ascii="Times New Roman" w:eastAsia="宋体"/>
          <w:color w:val="auto"/>
          <w:lang w:val="en-US" w:eastAsia="zh-CN"/>
        </w:rPr>
        <w:t>成交</w:t>
      </w:r>
      <w:r>
        <w:rPr>
          <w:rFonts w:hint="eastAsia" w:eastAsia="宋体"/>
          <w:color w:val="auto"/>
          <w:lang w:eastAsia="zh-CN"/>
        </w:rPr>
        <w:t>）</w:t>
      </w:r>
      <w:r>
        <w:rPr>
          <w:rFonts w:hint="eastAsia"/>
          <w:color w:val="auto"/>
        </w:rPr>
        <w:t>通知书》确定的</w:t>
      </w:r>
      <w:r>
        <w:rPr>
          <w:rFonts w:hint="eastAsia" w:ascii="Times New Roman" w:eastAsia="宋体"/>
          <w:color w:val="auto"/>
          <w:lang w:val="en-US" w:eastAsia="zh-CN"/>
        </w:rPr>
        <w:t>中标（</w:t>
      </w:r>
      <w:r>
        <w:rPr>
          <w:rFonts w:hint="eastAsia"/>
          <w:color w:val="auto"/>
        </w:rPr>
        <w:t>成交</w:t>
      </w:r>
      <w:r>
        <w:rPr>
          <w:rFonts w:hint="eastAsia" w:eastAsia="宋体"/>
          <w:color w:val="auto"/>
          <w:lang w:eastAsia="zh-CN"/>
        </w:rPr>
        <w:t>）</w:t>
      </w:r>
      <w:r>
        <w:rPr>
          <w:rFonts w:hint="eastAsia"/>
          <w:color w:val="auto"/>
        </w:rPr>
        <w:t>金额作为计算基数，按差额定率累进法计算。</w:t>
      </w:r>
    </w:p>
    <w:p w14:paraId="408856F2">
      <w:pPr>
        <w:ind w:firstLine="420" w:firstLineChars="200"/>
        <w:rPr>
          <w:color w:val="auto"/>
        </w:rPr>
      </w:pPr>
      <w:r>
        <w:rPr>
          <w:rFonts w:hint="eastAsia"/>
          <w:color w:val="auto"/>
        </w:rPr>
        <w:t>（</w:t>
      </w:r>
      <w:r>
        <w:rPr>
          <w:rFonts w:hint="eastAsia" w:ascii="Times New Roman" w:eastAsia="宋体"/>
          <w:color w:val="auto"/>
          <w:lang w:val="en-US" w:eastAsia="zh-CN"/>
        </w:rPr>
        <w:t>2</w:t>
      </w:r>
      <w:r>
        <w:rPr>
          <w:rFonts w:hint="eastAsia"/>
          <w:color w:val="auto"/>
        </w:rPr>
        <w:t>）中标</w:t>
      </w:r>
      <w:r>
        <w:rPr>
          <w:rFonts w:hint="eastAsia" w:eastAsia="宋体"/>
          <w:color w:val="auto"/>
          <w:lang w:eastAsia="zh-CN"/>
        </w:rPr>
        <w:t>（</w:t>
      </w:r>
      <w:r>
        <w:rPr>
          <w:rFonts w:hint="eastAsia" w:ascii="Times New Roman" w:eastAsia="宋体"/>
          <w:color w:val="auto"/>
          <w:lang w:val="en-US" w:eastAsia="zh-CN"/>
        </w:rPr>
        <w:t>成交</w:t>
      </w:r>
      <w:r>
        <w:rPr>
          <w:rFonts w:hint="eastAsia" w:eastAsia="宋体"/>
          <w:color w:val="auto"/>
          <w:lang w:eastAsia="zh-CN"/>
        </w:rPr>
        <w:t>）</w:t>
      </w:r>
      <w:r>
        <w:rPr>
          <w:rFonts w:hint="eastAsia"/>
          <w:color w:val="auto"/>
        </w:rPr>
        <w:t>金额的各部分费率如下表：</w:t>
      </w:r>
    </w:p>
    <w:tbl>
      <w:tblPr>
        <w:tblStyle w:val="43"/>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5"/>
        <w:gridCol w:w="1799"/>
        <w:gridCol w:w="1799"/>
        <w:gridCol w:w="1799"/>
      </w:tblGrid>
      <w:tr w14:paraId="33239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3125" w:type="dxa"/>
            <w:vAlign w:val="center"/>
          </w:tcPr>
          <w:p w14:paraId="61924253">
            <w:pPr>
              <w:widowControl/>
              <w:spacing w:line="360" w:lineRule="auto"/>
              <w:jc w:val="center"/>
            </w:pPr>
            <w:r>
              <w:rPr>
                <w:rFonts w:hint="eastAsia" w:ascii="Times New Roman" w:eastAsia="宋体"/>
                <w:lang w:val="en-US" w:eastAsia="zh-CN"/>
              </w:rPr>
              <w:t>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金额</w:t>
            </w:r>
          </w:p>
        </w:tc>
        <w:tc>
          <w:tcPr>
            <w:tcW w:w="1799" w:type="dxa"/>
            <w:vAlign w:val="center"/>
          </w:tcPr>
          <w:p w14:paraId="49B5628A">
            <w:pPr>
              <w:widowControl/>
              <w:spacing w:line="360" w:lineRule="auto"/>
              <w:jc w:val="center"/>
            </w:pPr>
            <w:r>
              <w:rPr>
                <w:rFonts w:hint="eastAsia"/>
              </w:rPr>
              <w:t>货物采购</w:t>
            </w:r>
          </w:p>
        </w:tc>
        <w:tc>
          <w:tcPr>
            <w:tcW w:w="1799" w:type="dxa"/>
            <w:vAlign w:val="center"/>
          </w:tcPr>
          <w:p w14:paraId="7B35A11D">
            <w:pPr>
              <w:widowControl/>
              <w:spacing w:line="360" w:lineRule="auto"/>
              <w:jc w:val="center"/>
            </w:pPr>
            <w:r>
              <w:rPr>
                <w:rFonts w:hint="eastAsia"/>
              </w:rPr>
              <w:t>服务采购</w:t>
            </w:r>
          </w:p>
        </w:tc>
        <w:tc>
          <w:tcPr>
            <w:tcW w:w="1799" w:type="dxa"/>
            <w:vAlign w:val="center"/>
          </w:tcPr>
          <w:p w14:paraId="740A67BE">
            <w:pPr>
              <w:widowControl/>
              <w:spacing w:line="360" w:lineRule="auto"/>
              <w:jc w:val="center"/>
            </w:pPr>
            <w:r>
              <w:rPr>
                <w:rFonts w:hint="eastAsia"/>
              </w:rPr>
              <w:t>工程采购</w:t>
            </w:r>
          </w:p>
        </w:tc>
      </w:tr>
      <w:tr w14:paraId="494F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66784344">
            <w:pPr>
              <w:widowControl/>
              <w:spacing w:line="360" w:lineRule="auto"/>
              <w:jc w:val="center"/>
            </w:pPr>
            <w:r>
              <w:rPr>
                <w:rFonts w:hint="eastAsia"/>
              </w:rPr>
              <w:t>100万元以下</w:t>
            </w:r>
          </w:p>
        </w:tc>
        <w:tc>
          <w:tcPr>
            <w:tcW w:w="1799" w:type="dxa"/>
            <w:vAlign w:val="center"/>
          </w:tcPr>
          <w:p w14:paraId="1640E33C">
            <w:pPr>
              <w:widowControl/>
              <w:spacing w:line="360" w:lineRule="auto"/>
              <w:jc w:val="center"/>
            </w:pPr>
            <w:r>
              <w:rPr>
                <w:rFonts w:hint="eastAsia"/>
              </w:rPr>
              <w:t>1.5%</w:t>
            </w:r>
          </w:p>
        </w:tc>
        <w:tc>
          <w:tcPr>
            <w:tcW w:w="1799" w:type="dxa"/>
            <w:vAlign w:val="center"/>
          </w:tcPr>
          <w:p w14:paraId="200BF161">
            <w:pPr>
              <w:widowControl/>
              <w:spacing w:line="360" w:lineRule="auto"/>
              <w:jc w:val="center"/>
            </w:pPr>
            <w:r>
              <w:rPr>
                <w:rFonts w:hint="eastAsia"/>
              </w:rPr>
              <w:t>1.5%</w:t>
            </w:r>
          </w:p>
        </w:tc>
        <w:tc>
          <w:tcPr>
            <w:tcW w:w="1799" w:type="dxa"/>
            <w:vAlign w:val="center"/>
          </w:tcPr>
          <w:p w14:paraId="118417AD">
            <w:pPr>
              <w:widowControl/>
              <w:spacing w:line="360" w:lineRule="auto"/>
              <w:jc w:val="center"/>
            </w:pPr>
            <w:r>
              <w:rPr>
                <w:rFonts w:hint="eastAsia"/>
              </w:rPr>
              <w:t>1.0%</w:t>
            </w:r>
          </w:p>
        </w:tc>
      </w:tr>
      <w:tr w14:paraId="1EF8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F17E929">
            <w:pPr>
              <w:widowControl/>
              <w:spacing w:line="360" w:lineRule="auto"/>
              <w:jc w:val="center"/>
            </w:pPr>
            <w:r>
              <w:rPr>
                <w:rFonts w:hint="eastAsia"/>
              </w:rPr>
              <w:t>100万元（含）-500万元</w:t>
            </w:r>
          </w:p>
        </w:tc>
        <w:tc>
          <w:tcPr>
            <w:tcW w:w="1799" w:type="dxa"/>
            <w:vAlign w:val="center"/>
          </w:tcPr>
          <w:p w14:paraId="4F54972B">
            <w:pPr>
              <w:widowControl/>
              <w:spacing w:line="360" w:lineRule="auto"/>
              <w:jc w:val="center"/>
            </w:pPr>
            <w:r>
              <w:rPr>
                <w:rFonts w:hint="eastAsia"/>
              </w:rPr>
              <w:t>1.1%</w:t>
            </w:r>
          </w:p>
        </w:tc>
        <w:tc>
          <w:tcPr>
            <w:tcW w:w="1799" w:type="dxa"/>
            <w:vAlign w:val="center"/>
          </w:tcPr>
          <w:p w14:paraId="6AC3F2B4">
            <w:pPr>
              <w:widowControl/>
              <w:spacing w:line="360" w:lineRule="auto"/>
              <w:jc w:val="center"/>
            </w:pPr>
            <w:r>
              <w:rPr>
                <w:rFonts w:hint="eastAsia"/>
              </w:rPr>
              <w:t>0.8%</w:t>
            </w:r>
          </w:p>
        </w:tc>
        <w:tc>
          <w:tcPr>
            <w:tcW w:w="1799" w:type="dxa"/>
            <w:vAlign w:val="center"/>
          </w:tcPr>
          <w:p w14:paraId="08E480AC">
            <w:pPr>
              <w:widowControl/>
              <w:spacing w:line="360" w:lineRule="auto"/>
              <w:jc w:val="center"/>
            </w:pPr>
            <w:r>
              <w:rPr>
                <w:rFonts w:hint="eastAsia"/>
              </w:rPr>
              <w:t>0.7%</w:t>
            </w:r>
          </w:p>
        </w:tc>
      </w:tr>
      <w:tr w14:paraId="5210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39EB4396">
            <w:pPr>
              <w:widowControl/>
              <w:spacing w:line="360" w:lineRule="auto"/>
              <w:jc w:val="center"/>
            </w:pPr>
            <w:r>
              <w:rPr>
                <w:rFonts w:hint="eastAsia"/>
              </w:rPr>
              <w:t>500万元（含）-1000万元</w:t>
            </w:r>
          </w:p>
        </w:tc>
        <w:tc>
          <w:tcPr>
            <w:tcW w:w="1799" w:type="dxa"/>
            <w:vAlign w:val="center"/>
          </w:tcPr>
          <w:p w14:paraId="734C19C2">
            <w:pPr>
              <w:widowControl/>
              <w:spacing w:line="360" w:lineRule="auto"/>
              <w:jc w:val="center"/>
            </w:pPr>
            <w:r>
              <w:rPr>
                <w:rFonts w:hint="eastAsia"/>
              </w:rPr>
              <w:t>0.8%</w:t>
            </w:r>
          </w:p>
        </w:tc>
        <w:tc>
          <w:tcPr>
            <w:tcW w:w="1799" w:type="dxa"/>
            <w:vAlign w:val="center"/>
          </w:tcPr>
          <w:p w14:paraId="478C90E7">
            <w:pPr>
              <w:widowControl/>
              <w:spacing w:line="360" w:lineRule="auto"/>
              <w:jc w:val="center"/>
            </w:pPr>
            <w:r>
              <w:rPr>
                <w:rFonts w:hint="eastAsia"/>
              </w:rPr>
              <w:t>0.45%</w:t>
            </w:r>
          </w:p>
        </w:tc>
        <w:tc>
          <w:tcPr>
            <w:tcW w:w="1799" w:type="dxa"/>
            <w:vAlign w:val="center"/>
          </w:tcPr>
          <w:p w14:paraId="48256BA5">
            <w:pPr>
              <w:widowControl/>
              <w:spacing w:line="360" w:lineRule="auto"/>
              <w:jc w:val="center"/>
            </w:pPr>
            <w:r>
              <w:rPr>
                <w:rFonts w:hint="eastAsia"/>
              </w:rPr>
              <w:t>0.55%</w:t>
            </w:r>
          </w:p>
        </w:tc>
      </w:tr>
      <w:tr w14:paraId="663A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75ED98D0">
            <w:pPr>
              <w:widowControl/>
              <w:spacing w:line="360" w:lineRule="auto"/>
              <w:jc w:val="center"/>
            </w:pPr>
            <w:r>
              <w:rPr>
                <w:rFonts w:hint="eastAsia"/>
              </w:rPr>
              <w:t>1000万元（含）-5000万元</w:t>
            </w:r>
          </w:p>
        </w:tc>
        <w:tc>
          <w:tcPr>
            <w:tcW w:w="1799" w:type="dxa"/>
            <w:vAlign w:val="center"/>
          </w:tcPr>
          <w:p w14:paraId="39DE9146">
            <w:pPr>
              <w:widowControl/>
              <w:spacing w:line="360" w:lineRule="auto"/>
              <w:jc w:val="center"/>
            </w:pPr>
            <w:r>
              <w:rPr>
                <w:rFonts w:hint="eastAsia"/>
              </w:rPr>
              <w:t>0.5%</w:t>
            </w:r>
          </w:p>
        </w:tc>
        <w:tc>
          <w:tcPr>
            <w:tcW w:w="1799" w:type="dxa"/>
            <w:vAlign w:val="center"/>
          </w:tcPr>
          <w:p w14:paraId="598E8373">
            <w:pPr>
              <w:widowControl/>
              <w:spacing w:line="360" w:lineRule="auto"/>
              <w:jc w:val="center"/>
            </w:pPr>
            <w:r>
              <w:rPr>
                <w:rFonts w:hint="eastAsia"/>
              </w:rPr>
              <w:t>0.25%</w:t>
            </w:r>
          </w:p>
        </w:tc>
        <w:tc>
          <w:tcPr>
            <w:tcW w:w="1799" w:type="dxa"/>
            <w:vAlign w:val="center"/>
          </w:tcPr>
          <w:p w14:paraId="08E061E0">
            <w:pPr>
              <w:widowControl/>
              <w:spacing w:line="360" w:lineRule="auto"/>
              <w:jc w:val="center"/>
            </w:pPr>
            <w:r>
              <w:rPr>
                <w:rFonts w:hint="eastAsia"/>
              </w:rPr>
              <w:t>0.35%</w:t>
            </w:r>
          </w:p>
        </w:tc>
      </w:tr>
      <w:tr w14:paraId="14AC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F025B06">
            <w:pPr>
              <w:widowControl/>
              <w:spacing w:line="360" w:lineRule="auto"/>
              <w:jc w:val="center"/>
            </w:pPr>
            <w:r>
              <w:rPr>
                <w:rFonts w:hint="eastAsia"/>
              </w:rPr>
              <w:t>5000万元（含）-1亿元</w:t>
            </w:r>
          </w:p>
        </w:tc>
        <w:tc>
          <w:tcPr>
            <w:tcW w:w="1799" w:type="dxa"/>
            <w:vAlign w:val="center"/>
          </w:tcPr>
          <w:p w14:paraId="4D2D11B4">
            <w:pPr>
              <w:widowControl/>
              <w:spacing w:line="360" w:lineRule="auto"/>
              <w:jc w:val="center"/>
            </w:pPr>
            <w:r>
              <w:rPr>
                <w:rFonts w:hint="eastAsia"/>
              </w:rPr>
              <w:t>0.25%</w:t>
            </w:r>
          </w:p>
        </w:tc>
        <w:tc>
          <w:tcPr>
            <w:tcW w:w="1799" w:type="dxa"/>
            <w:vAlign w:val="center"/>
          </w:tcPr>
          <w:p w14:paraId="52EDF5D0">
            <w:pPr>
              <w:widowControl/>
              <w:spacing w:line="360" w:lineRule="auto"/>
              <w:jc w:val="center"/>
            </w:pPr>
            <w:r>
              <w:rPr>
                <w:rFonts w:hint="eastAsia"/>
              </w:rPr>
              <w:t>0.1%</w:t>
            </w:r>
          </w:p>
        </w:tc>
        <w:tc>
          <w:tcPr>
            <w:tcW w:w="1799" w:type="dxa"/>
            <w:vAlign w:val="center"/>
          </w:tcPr>
          <w:p w14:paraId="54D9E4F2">
            <w:pPr>
              <w:widowControl/>
              <w:spacing w:line="360" w:lineRule="auto"/>
              <w:jc w:val="center"/>
            </w:pPr>
            <w:r>
              <w:rPr>
                <w:rFonts w:hint="eastAsia"/>
              </w:rPr>
              <w:t>0.2%</w:t>
            </w:r>
          </w:p>
        </w:tc>
      </w:tr>
      <w:tr w14:paraId="784A4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24B17FD1">
            <w:pPr>
              <w:widowControl/>
              <w:spacing w:line="360" w:lineRule="auto"/>
              <w:jc w:val="center"/>
            </w:pPr>
            <w:r>
              <w:rPr>
                <w:rFonts w:hint="eastAsia"/>
              </w:rPr>
              <w:t>1亿元（含）-5亿元</w:t>
            </w:r>
          </w:p>
        </w:tc>
        <w:tc>
          <w:tcPr>
            <w:tcW w:w="1799" w:type="dxa"/>
            <w:vAlign w:val="center"/>
          </w:tcPr>
          <w:p w14:paraId="498E774F">
            <w:pPr>
              <w:widowControl/>
              <w:spacing w:line="360" w:lineRule="auto"/>
              <w:jc w:val="center"/>
            </w:pPr>
            <w:r>
              <w:rPr>
                <w:rFonts w:hint="eastAsia"/>
              </w:rPr>
              <w:t>0.05%</w:t>
            </w:r>
          </w:p>
        </w:tc>
        <w:tc>
          <w:tcPr>
            <w:tcW w:w="1799" w:type="dxa"/>
            <w:vAlign w:val="center"/>
          </w:tcPr>
          <w:p w14:paraId="658E4141">
            <w:pPr>
              <w:widowControl/>
              <w:spacing w:line="360" w:lineRule="auto"/>
              <w:jc w:val="center"/>
            </w:pPr>
            <w:r>
              <w:rPr>
                <w:rFonts w:hint="eastAsia"/>
              </w:rPr>
              <w:t>0.05%</w:t>
            </w:r>
          </w:p>
        </w:tc>
        <w:tc>
          <w:tcPr>
            <w:tcW w:w="1799" w:type="dxa"/>
            <w:vAlign w:val="center"/>
          </w:tcPr>
          <w:p w14:paraId="4183E58F">
            <w:pPr>
              <w:widowControl/>
              <w:spacing w:line="360" w:lineRule="auto"/>
              <w:jc w:val="center"/>
            </w:pPr>
            <w:r>
              <w:rPr>
                <w:rFonts w:hint="eastAsia"/>
              </w:rPr>
              <w:t>0.05%</w:t>
            </w:r>
          </w:p>
        </w:tc>
      </w:tr>
      <w:tr w14:paraId="1134B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570E6015">
            <w:pPr>
              <w:widowControl/>
              <w:spacing w:line="360" w:lineRule="auto"/>
              <w:jc w:val="center"/>
            </w:pPr>
            <w:r>
              <w:rPr>
                <w:rFonts w:hint="eastAsia"/>
              </w:rPr>
              <w:t>5亿元（含）-10亿元</w:t>
            </w:r>
          </w:p>
        </w:tc>
        <w:tc>
          <w:tcPr>
            <w:tcW w:w="1799" w:type="dxa"/>
            <w:vAlign w:val="center"/>
          </w:tcPr>
          <w:p w14:paraId="1FB3FD56">
            <w:pPr>
              <w:widowControl/>
              <w:spacing w:line="360" w:lineRule="auto"/>
              <w:jc w:val="center"/>
            </w:pPr>
            <w:r>
              <w:rPr>
                <w:rFonts w:hint="eastAsia"/>
              </w:rPr>
              <w:t>0.035%</w:t>
            </w:r>
          </w:p>
        </w:tc>
        <w:tc>
          <w:tcPr>
            <w:tcW w:w="1799" w:type="dxa"/>
            <w:vAlign w:val="center"/>
          </w:tcPr>
          <w:p w14:paraId="67C9A6E5">
            <w:pPr>
              <w:widowControl/>
              <w:spacing w:line="360" w:lineRule="auto"/>
              <w:jc w:val="center"/>
            </w:pPr>
            <w:r>
              <w:rPr>
                <w:rFonts w:hint="eastAsia"/>
              </w:rPr>
              <w:t>0.035%</w:t>
            </w:r>
          </w:p>
        </w:tc>
        <w:tc>
          <w:tcPr>
            <w:tcW w:w="1799" w:type="dxa"/>
            <w:vAlign w:val="center"/>
          </w:tcPr>
          <w:p w14:paraId="4C2D5E8D">
            <w:pPr>
              <w:widowControl/>
              <w:spacing w:line="360" w:lineRule="auto"/>
              <w:jc w:val="center"/>
            </w:pPr>
            <w:r>
              <w:rPr>
                <w:rFonts w:hint="eastAsia"/>
              </w:rPr>
              <w:t>0.035%</w:t>
            </w:r>
          </w:p>
        </w:tc>
      </w:tr>
      <w:tr w14:paraId="6B40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5" w:type="dxa"/>
            <w:vAlign w:val="center"/>
          </w:tcPr>
          <w:p w14:paraId="070EAA17">
            <w:pPr>
              <w:widowControl/>
              <w:spacing w:line="360" w:lineRule="auto"/>
              <w:jc w:val="center"/>
            </w:pPr>
            <w:r>
              <w:rPr>
                <w:rFonts w:hint="eastAsia"/>
              </w:rPr>
              <w:t>10亿元（含）-50亿元</w:t>
            </w:r>
          </w:p>
        </w:tc>
        <w:tc>
          <w:tcPr>
            <w:tcW w:w="1799" w:type="dxa"/>
            <w:vAlign w:val="center"/>
          </w:tcPr>
          <w:p w14:paraId="36E0EABC">
            <w:pPr>
              <w:widowControl/>
              <w:spacing w:line="360" w:lineRule="auto"/>
              <w:jc w:val="center"/>
            </w:pPr>
            <w:r>
              <w:rPr>
                <w:rFonts w:hint="eastAsia"/>
              </w:rPr>
              <w:t>0.008%</w:t>
            </w:r>
          </w:p>
        </w:tc>
        <w:tc>
          <w:tcPr>
            <w:tcW w:w="1799" w:type="dxa"/>
            <w:vAlign w:val="center"/>
          </w:tcPr>
          <w:p w14:paraId="4623813B">
            <w:pPr>
              <w:widowControl/>
              <w:spacing w:line="360" w:lineRule="auto"/>
              <w:jc w:val="center"/>
            </w:pPr>
            <w:r>
              <w:rPr>
                <w:rFonts w:hint="eastAsia"/>
              </w:rPr>
              <w:t>0.008%</w:t>
            </w:r>
          </w:p>
        </w:tc>
        <w:tc>
          <w:tcPr>
            <w:tcW w:w="1799" w:type="dxa"/>
            <w:vAlign w:val="center"/>
          </w:tcPr>
          <w:p w14:paraId="194D50D1">
            <w:pPr>
              <w:widowControl/>
              <w:spacing w:line="360" w:lineRule="auto"/>
              <w:jc w:val="center"/>
            </w:pPr>
            <w:r>
              <w:rPr>
                <w:rFonts w:hint="eastAsia"/>
              </w:rPr>
              <w:t>0.008%</w:t>
            </w:r>
          </w:p>
        </w:tc>
      </w:tr>
      <w:tr w14:paraId="2F22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3A147913">
            <w:pPr>
              <w:widowControl/>
              <w:spacing w:line="360" w:lineRule="auto"/>
              <w:jc w:val="center"/>
            </w:pPr>
            <w:r>
              <w:rPr>
                <w:rFonts w:hint="eastAsia"/>
              </w:rPr>
              <w:t>50亿元（含）-100亿元</w:t>
            </w:r>
          </w:p>
        </w:tc>
        <w:tc>
          <w:tcPr>
            <w:tcW w:w="1799" w:type="dxa"/>
            <w:vAlign w:val="center"/>
          </w:tcPr>
          <w:p w14:paraId="2F158528">
            <w:pPr>
              <w:widowControl/>
              <w:spacing w:line="360" w:lineRule="auto"/>
              <w:jc w:val="center"/>
            </w:pPr>
            <w:r>
              <w:rPr>
                <w:rFonts w:hint="eastAsia"/>
              </w:rPr>
              <w:t>0.006%</w:t>
            </w:r>
          </w:p>
        </w:tc>
        <w:tc>
          <w:tcPr>
            <w:tcW w:w="1799" w:type="dxa"/>
            <w:vAlign w:val="center"/>
          </w:tcPr>
          <w:p w14:paraId="3D72BCD5">
            <w:pPr>
              <w:widowControl/>
              <w:spacing w:line="360" w:lineRule="auto"/>
              <w:jc w:val="center"/>
            </w:pPr>
            <w:r>
              <w:rPr>
                <w:rFonts w:hint="eastAsia"/>
              </w:rPr>
              <w:t>0.006%</w:t>
            </w:r>
          </w:p>
        </w:tc>
        <w:tc>
          <w:tcPr>
            <w:tcW w:w="1799" w:type="dxa"/>
            <w:vAlign w:val="center"/>
          </w:tcPr>
          <w:p w14:paraId="602A8928">
            <w:pPr>
              <w:widowControl/>
              <w:spacing w:line="360" w:lineRule="auto"/>
              <w:jc w:val="center"/>
            </w:pPr>
            <w:r>
              <w:rPr>
                <w:rFonts w:hint="eastAsia"/>
              </w:rPr>
              <w:t>0.006%</w:t>
            </w:r>
          </w:p>
        </w:tc>
      </w:tr>
      <w:tr w14:paraId="40E23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25" w:type="dxa"/>
            <w:vAlign w:val="center"/>
          </w:tcPr>
          <w:p w14:paraId="0999EF8E">
            <w:pPr>
              <w:widowControl/>
              <w:spacing w:line="360" w:lineRule="auto"/>
              <w:jc w:val="center"/>
            </w:pPr>
            <w:r>
              <w:rPr>
                <w:rFonts w:hint="eastAsia"/>
              </w:rPr>
              <w:t>100亿元（含）以上</w:t>
            </w:r>
          </w:p>
        </w:tc>
        <w:tc>
          <w:tcPr>
            <w:tcW w:w="1799" w:type="dxa"/>
            <w:vAlign w:val="center"/>
          </w:tcPr>
          <w:p w14:paraId="07924C11">
            <w:pPr>
              <w:widowControl/>
              <w:spacing w:line="360" w:lineRule="auto"/>
              <w:jc w:val="center"/>
            </w:pPr>
            <w:r>
              <w:rPr>
                <w:rFonts w:hint="eastAsia"/>
              </w:rPr>
              <w:t>0.004%</w:t>
            </w:r>
          </w:p>
        </w:tc>
        <w:tc>
          <w:tcPr>
            <w:tcW w:w="1799" w:type="dxa"/>
            <w:vAlign w:val="center"/>
          </w:tcPr>
          <w:p w14:paraId="17F3438F">
            <w:pPr>
              <w:widowControl/>
              <w:spacing w:line="360" w:lineRule="auto"/>
              <w:jc w:val="center"/>
            </w:pPr>
            <w:r>
              <w:rPr>
                <w:rFonts w:hint="eastAsia"/>
              </w:rPr>
              <w:t>0.004%</w:t>
            </w:r>
          </w:p>
        </w:tc>
        <w:tc>
          <w:tcPr>
            <w:tcW w:w="1799" w:type="dxa"/>
            <w:vAlign w:val="center"/>
          </w:tcPr>
          <w:p w14:paraId="577B65BB">
            <w:pPr>
              <w:widowControl/>
              <w:spacing w:line="360" w:lineRule="auto"/>
              <w:jc w:val="center"/>
            </w:pPr>
            <w:r>
              <w:rPr>
                <w:rFonts w:hint="eastAsia"/>
              </w:rPr>
              <w:t>0.004%</w:t>
            </w:r>
          </w:p>
        </w:tc>
      </w:tr>
    </w:tbl>
    <w:p w14:paraId="7DD87783">
      <w:pPr>
        <w:ind w:firstLine="420" w:firstLineChars="200"/>
      </w:pPr>
      <w:r>
        <w:rPr>
          <w:rFonts w:hint="eastAsia"/>
        </w:rPr>
        <w:t xml:space="preserve">备注：1.每宗交易代理服务费不低于 </w:t>
      </w:r>
      <w:r>
        <w:rPr>
          <w:rFonts w:hint="eastAsia" w:ascii="Times New Roman" w:eastAsia="宋体"/>
          <w:lang w:val="en-US" w:eastAsia="zh-CN"/>
        </w:rPr>
        <w:t>5</w:t>
      </w:r>
      <w:r>
        <w:rPr>
          <w:rFonts w:hint="eastAsia"/>
        </w:rPr>
        <w:t>000 元；</w:t>
      </w:r>
    </w:p>
    <w:p w14:paraId="05B591C8">
      <w:pPr>
        <w:ind w:firstLine="420" w:firstLineChars="200"/>
        <w:rPr>
          <w:rFonts w:hint="eastAsia" w:eastAsia="宋体"/>
          <w:lang w:eastAsia="zh-CN"/>
        </w:rPr>
      </w:pPr>
      <w:r>
        <w:rPr>
          <w:rFonts w:hint="eastAsia"/>
        </w:rPr>
        <w:t>2.对于报总价的采购类项目，中标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价为中标（成交）金额；对于报单价、折扣或费率的采购类项目，中标</w:t>
      </w:r>
      <w:r>
        <w:rPr>
          <w:rFonts w:hint="eastAsia" w:eastAsia="宋体"/>
          <w:lang w:eastAsia="zh-CN"/>
        </w:rPr>
        <w:t>（</w:t>
      </w:r>
      <w:r>
        <w:rPr>
          <w:rFonts w:hint="eastAsia" w:ascii="Times New Roman" w:eastAsia="宋体"/>
          <w:lang w:val="en-US" w:eastAsia="zh-CN"/>
        </w:rPr>
        <w:t>成交</w:t>
      </w:r>
      <w:r>
        <w:rPr>
          <w:rFonts w:hint="eastAsia" w:eastAsia="宋体"/>
          <w:lang w:eastAsia="zh-CN"/>
        </w:rPr>
        <w:t>）</w:t>
      </w:r>
      <w:r>
        <w:rPr>
          <w:rFonts w:hint="eastAsia"/>
        </w:rPr>
        <w:t>价为预算上限金额或经委托方与代理方确定的支付上限金额；</w:t>
      </w:r>
    </w:p>
    <w:p w14:paraId="0434623D">
      <w:pPr>
        <w:ind w:firstLine="420" w:firstLineChars="200"/>
      </w:pPr>
    </w:p>
    <w:p w14:paraId="4DDDE1C6">
      <w:pPr>
        <w:ind w:firstLine="420" w:firstLineChars="200"/>
      </w:pPr>
      <w:r>
        <w:rPr>
          <w:rFonts w:hint="eastAsia"/>
        </w:rPr>
        <w:t>如某货物采购项目，中标（成交）金额为600万元，总共交纳的代理服务费的具体计算过程如下：</w:t>
      </w:r>
    </w:p>
    <w:p w14:paraId="4373ABCB">
      <w:pPr>
        <w:ind w:firstLine="420" w:firstLineChars="200"/>
      </w:pPr>
      <w:r>
        <w:rPr>
          <w:rFonts w:hint="eastAsia"/>
        </w:rPr>
        <w:t>标准代理服务费＝（100万以下部分的代理服务费）+（100万～500万部分的代理服务费）+（500万～600万部分的代理服务费）＝100万元×1.5%+（500-100）万元×1.1%+（600-500）万元×0.8%=1.5万元+4.4万元+0.8万元＝6.7万元</w:t>
      </w:r>
    </w:p>
    <w:p w14:paraId="45BFBEF4">
      <w:pPr>
        <w:ind w:firstLine="420" w:firstLineChars="200"/>
      </w:pPr>
      <w:r>
        <w:rPr>
          <w:rFonts w:hint="eastAsia"/>
        </w:rPr>
        <w:t>（</w:t>
      </w:r>
      <w:r>
        <w:rPr>
          <w:rFonts w:hint="eastAsia" w:ascii="Times New Roman" w:eastAsia="宋体"/>
          <w:lang w:val="en-US" w:eastAsia="zh-CN"/>
        </w:rPr>
        <w:t>3</w:t>
      </w:r>
      <w:r>
        <w:rPr>
          <w:rFonts w:hint="eastAsia"/>
        </w:rPr>
        <w:t>）中标（成交）供应商中标（成交）后，必须按规定采用银行对公转账方式向深圳交易集团有限公司直接交纳代理服务费，交纳信息及要求按照缴款</w:t>
      </w:r>
      <w:r>
        <w:rPr>
          <w:rFonts w:hint="eastAsia" w:eastAsia="宋体"/>
          <w:lang w:eastAsia="zh-CN"/>
        </w:rPr>
        <w:t>（</w:t>
      </w:r>
      <w:r>
        <w:rPr>
          <w:rFonts w:hint="eastAsia" w:ascii="Times New Roman" w:eastAsia="宋体"/>
          <w:lang w:val="en-US" w:eastAsia="zh-CN"/>
        </w:rPr>
        <w:t>付款</w:t>
      </w:r>
      <w:r>
        <w:rPr>
          <w:rFonts w:hint="eastAsia" w:eastAsia="宋体"/>
          <w:lang w:eastAsia="zh-CN"/>
        </w:rPr>
        <w:t>）</w:t>
      </w:r>
      <w:r>
        <w:rPr>
          <w:rFonts w:hint="eastAsia"/>
        </w:rPr>
        <w:t>通知书执行。</w:t>
      </w:r>
    </w:p>
    <w:p w14:paraId="56A87B10">
      <w:pPr>
        <w:pStyle w:val="2"/>
        <w:rPr>
          <w:b/>
        </w:rPr>
      </w:pPr>
    </w:p>
    <w:p w14:paraId="728A4FDB">
      <w:pPr>
        <w:pStyle w:val="3"/>
        <w:rPr>
          <w:b/>
        </w:rPr>
      </w:pPr>
    </w:p>
    <w:p w14:paraId="70D48830">
      <w:pPr>
        <w:rPr>
          <w:b/>
        </w:rPr>
        <w:sectPr>
          <w:pgSz w:w="11907" w:h="16840"/>
          <w:pgMar w:top="1440" w:right="1797" w:bottom="1440" w:left="1797" w:header="851" w:footer="992" w:gutter="0"/>
          <w:cols w:space="425" w:num="1"/>
          <w:titlePg/>
          <w:docGrid w:linePitch="462" w:charSpace="0"/>
        </w:sectPr>
      </w:pPr>
    </w:p>
    <w:p w14:paraId="1F96FB6F">
      <w:pPr>
        <w:pStyle w:val="7"/>
        <w:rPr>
          <w:sz w:val="28"/>
          <w:szCs w:val="28"/>
        </w:rPr>
      </w:pPr>
      <w:bookmarkStart w:id="29" w:name="_Toc128884461"/>
      <w:r>
        <w:rPr>
          <w:rFonts w:hint="eastAsia"/>
          <w:sz w:val="28"/>
          <w:szCs w:val="28"/>
        </w:rPr>
        <w:t>第三章 用户需求书</w:t>
      </w:r>
    </w:p>
    <w:p w14:paraId="36B25299">
      <w:pPr>
        <w:pStyle w:val="7"/>
        <w:spacing w:before="120" w:beforeLines="50" w:after="120" w:afterLines="50"/>
        <w:rPr>
          <w:szCs w:val="24"/>
        </w:rPr>
      </w:pPr>
      <w:r>
        <w:rPr>
          <w:rFonts w:hint="eastAsia"/>
          <w:szCs w:val="24"/>
        </w:rPr>
        <w:t>一、项目基本信息</w:t>
      </w:r>
    </w:p>
    <w:p w14:paraId="51896DA6">
      <w:pPr>
        <w:rPr>
          <w:rFonts w:ascii="宋体" w:hAnsi="宋体"/>
          <w:b/>
          <w:color w:val="FF0000"/>
          <w:szCs w:val="21"/>
        </w:rPr>
      </w:pPr>
    </w:p>
    <w:tbl>
      <w:tblPr>
        <w:tblStyle w:val="43"/>
        <w:tblpPr w:leftFromText="180" w:rightFromText="180" w:vertAnchor="text" w:horzAnchor="margin" w:tblpY="17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2603"/>
        <w:gridCol w:w="3158"/>
        <w:gridCol w:w="2355"/>
      </w:tblGrid>
      <w:tr w14:paraId="4467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413" w:type="dxa"/>
            <w:vAlign w:val="center"/>
          </w:tcPr>
          <w:p w14:paraId="1BD39339">
            <w:pPr>
              <w:jc w:val="center"/>
              <w:rPr>
                <w:bCs/>
                <w:szCs w:val="21"/>
              </w:rPr>
            </w:pPr>
            <w:r>
              <w:rPr>
                <w:rFonts w:hint="eastAsia"/>
                <w:bCs/>
                <w:szCs w:val="21"/>
              </w:rPr>
              <w:t>序号</w:t>
            </w:r>
          </w:p>
        </w:tc>
        <w:tc>
          <w:tcPr>
            <w:tcW w:w="2603" w:type="dxa"/>
            <w:vAlign w:val="center"/>
          </w:tcPr>
          <w:p w14:paraId="72A25293">
            <w:pPr>
              <w:jc w:val="center"/>
              <w:rPr>
                <w:bCs/>
                <w:color w:val="auto"/>
                <w:szCs w:val="21"/>
              </w:rPr>
            </w:pPr>
            <w:r>
              <w:rPr>
                <w:rFonts w:hint="eastAsia"/>
                <w:color w:val="auto"/>
                <w:szCs w:val="21"/>
              </w:rPr>
              <w:t>采购计划编号</w:t>
            </w:r>
          </w:p>
        </w:tc>
        <w:tc>
          <w:tcPr>
            <w:tcW w:w="3158" w:type="dxa"/>
            <w:vAlign w:val="center"/>
          </w:tcPr>
          <w:p w14:paraId="1A50189F">
            <w:pPr>
              <w:jc w:val="center"/>
              <w:rPr>
                <w:bCs/>
                <w:color w:val="auto"/>
                <w:szCs w:val="21"/>
              </w:rPr>
            </w:pPr>
            <w:r>
              <w:rPr>
                <w:rFonts w:hint="eastAsia"/>
                <w:bCs/>
                <w:color w:val="auto"/>
                <w:szCs w:val="21"/>
              </w:rPr>
              <w:t>采购项目名称</w:t>
            </w:r>
          </w:p>
        </w:tc>
        <w:tc>
          <w:tcPr>
            <w:tcW w:w="2355" w:type="dxa"/>
            <w:vAlign w:val="center"/>
          </w:tcPr>
          <w:p w14:paraId="31338338">
            <w:pPr>
              <w:jc w:val="center"/>
              <w:rPr>
                <w:b/>
                <w:bCs/>
                <w:color w:val="auto"/>
                <w:szCs w:val="21"/>
              </w:rPr>
            </w:pPr>
            <w:r>
              <w:rPr>
                <w:rFonts w:hint="eastAsia"/>
                <w:b w:val="0"/>
                <w:bCs w:val="0"/>
                <w:color w:val="auto"/>
                <w:szCs w:val="21"/>
              </w:rPr>
              <w:t>预算</w:t>
            </w:r>
            <w:r>
              <w:rPr>
                <w:rFonts w:hint="eastAsia"/>
                <w:b w:val="0"/>
                <w:bCs w:val="0"/>
                <w:color w:val="auto"/>
                <w:szCs w:val="21"/>
                <w:lang w:val="en-US" w:eastAsia="zh-CN"/>
              </w:rPr>
              <w:t>金额</w:t>
            </w:r>
            <w:r>
              <w:rPr>
                <w:rFonts w:hint="eastAsia"/>
                <w:b w:val="0"/>
                <w:bCs w:val="0"/>
                <w:color w:val="auto"/>
                <w:szCs w:val="21"/>
              </w:rPr>
              <w:t>（元）</w:t>
            </w:r>
          </w:p>
        </w:tc>
      </w:tr>
      <w:tr w14:paraId="29C2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7" w:hRule="atLeast"/>
        </w:trPr>
        <w:tc>
          <w:tcPr>
            <w:tcW w:w="413" w:type="dxa"/>
            <w:vAlign w:val="center"/>
          </w:tcPr>
          <w:p w14:paraId="0FFAB539">
            <w:pPr>
              <w:jc w:val="center"/>
              <w:rPr>
                <w:bCs/>
                <w:color w:val="FF0000"/>
                <w:szCs w:val="21"/>
              </w:rPr>
            </w:pPr>
            <w:r>
              <w:rPr>
                <w:rFonts w:hint="eastAsia"/>
                <w:bCs/>
                <w:color w:val="auto"/>
                <w:szCs w:val="21"/>
              </w:rPr>
              <w:t>1</w:t>
            </w:r>
          </w:p>
        </w:tc>
        <w:tc>
          <w:tcPr>
            <w:tcW w:w="2603" w:type="dxa"/>
            <w:vAlign w:val="center"/>
          </w:tcPr>
          <w:p w14:paraId="1B68A455">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bCs/>
                <w:color w:val="auto"/>
                <w:szCs w:val="21"/>
              </w:rPr>
            </w:pPr>
            <w:r>
              <w:rPr>
                <w:rFonts w:hint="eastAsia"/>
                <w:bCs/>
                <w:color w:val="auto"/>
                <w:szCs w:val="21"/>
              </w:rPr>
              <w:t>JYCG-DECL-2025-47362</w:t>
            </w:r>
          </w:p>
        </w:tc>
        <w:tc>
          <w:tcPr>
            <w:tcW w:w="3158" w:type="dxa"/>
            <w:vAlign w:val="center"/>
          </w:tcPr>
          <w:p w14:paraId="4906EEFC">
            <w:pPr>
              <w:jc w:val="center"/>
              <w:rPr>
                <w:rFonts w:hint="eastAsia" w:ascii="Times New Roman" w:hAnsi="Times New Roman" w:cs="Times New Roman"/>
                <w:bCs/>
                <w:color w:val="auto"/>
                <w:szCs w:val="21"/>
              </w:rPr>
            </w:pPr>
            <w:bookmarkStart w:id="30" w:name="OLE_LINK4"/>
            <w:r>
              <w:rPr>
                <w:rFonts w:hint="eastAsia"/>
                <w:b w:val="0"/>
                <w:bCs w:val="0"/>
                <w:color w:val="auto"/>
                <w:szCs w:val="21"/>
              </w:rPr>
              <w:t>龙城街道</w:t>
            </w:r>
            <w:r>
              <w:rPr>
                <w:rFonts w:hint="eastAsia"/>
                <w:b w:val="0"/>
                <w:bCs w:val="0"/>
                <w:color w:val="auto"/>
                <w:szCs w:val="21"/>
                <w:lang w:val="en-US" w:eastAsia="zh-CN"/>
              </w:rPr>
              <w:t>2026年度</w:t>
            </w:r>
            <w:r>
              <w:rPr>
                <w:rFonts w:hint="eastAsia"/>
                <w:b w:val="0"/>
                <w:bCs w:val="0"/>
                <w:color w:val="auto"/>
                <w:szCs w:val="21"/>
              </w:rPr>
              <w:t>严重精神障碍患者监护责任补偿保险项目</w:t>
            </w:r>
            <w:bookmarkEnd w:id="30"/>
          </w:p>
        </w:tc>
        <w:tc>
          <w:tcPr>
            <w:tcW w:w="2355" w:type="dxa"/>
            <w:vAlign w:val="center"/>
          </w:tcPr>
          <w:p w14:paraId="55E80E97">
            <w:pPr>
              <w:jc w:val="center"/>
              <w:rPr>
                <w:rFonts w:hint="default" w:ascii="Times New Roman" w:hAnsi="Times New Roman" w:cs="Times New Roman"/>
                <w:bCs/>
                <w:color w:val="auto"/>
                <w:szCs w:val="21"/>
                <w:lang w:val="en-US" w:eastAsia="zh-CN"/>
              </w:rPr>
            </w:pPr>
            <w:r>
              <w:rPr>
                <w:rFonts w:hint="eastAsia"/>
                <w:bCs/>
                <w:color w:val="auto"/>
                <w:szCs w:val="21"/>
                <w:lang w:val="en-US" w:eastAsia="zh-CN"/>
              </w:rPr>
              <w:t>427200</w:t>
            </w:r>
            <w:r>
              <w:rPr>
                <w:rFonts w:hint="eastAsia" w:cs="Times New Roman"/>
                <w:bCs/>
                <w:color w:val="auto"/>
                <w:szCs w:val="21"/>
                <w:lang w:val="en-US" w:eastAsia="zh-CN"/>
              </w:rPr>
              <w:t>.00</w:t>
            </w:r>
          </w:p>
        </w:tc>
      </w:tr>
    </w:tbl>
    <w:p w14:paraId="5BA7F758">
      <w:pPr>
        <w:rPr>
          <w:rFonts w:ascii="宋体" w:hAnsi="宋体"/>
          <w:b/>
          <w:color w:val="FF0000"/>
          <w:szCs w:val="21"/>
        </w:rPr>
      </w:pPr>
    </w:p>
    <w:p w14:paraId="0EEFFAAA">
      <w:pPr>
        <w:pStyle w:val="7"/>
        <w:spacing w:before="120" w:beforeLines="50" w:after="120" w:afterLines="50"/>
        <w:rPr>
          <w:rFonts w:hint="eastAsia"/>
          <w:szCs w:val="24"/>
        </w:rPr>
      </w:pPr>
    </w:p>
    <w:p w14:paraId="4561225B">
      <w:pPr>
        <w:pStyle w:val="7"/>
        <w:spacing w:before="120" w:beforeLines="50" w:after="120" w:afterLines="50"/>
        <w:rPr>
          <w:szCs w:val="24"/>
        </w:rPr>
      </w:pPr>
      <w:r>
        <w:rPr>
          <w:rFonts w:hint="eastAsia"/>
          <w:szCs w:val="24"/>
        </w:rPr>
        <w:t>二、项目概况</w:t>
      </w:r>
    </w:p>
    <w:p w14:paraId="45D265A6">
      <w:pPr>
        <w:ind w:firstLine="420" w:firstLineChars="20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项目名称：龙诚街道2026年度严重精神障碍患者监护责任补偿保险项目</w:t>
      </w:r>
    </w:p>
    <w:p w14:paraId="10FD7E0E">
      <w:pPr>
        <w:ind w:left="420" w:leftChars="200" w:firstLine="0" w:firstLineChars="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采购单位：深圳市龙岗区龙城街道办事处</w:t>
      </w:r>
    </w:p>
    <w:p w14:paraId="063D8FEF">
      <w:pPr>
        <w:ind w:left="420" w:leftChars="200" w:firstLine="0" w:firstLineChars="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项目类型：服务类</w:t>
      </w:r>
    </w:p>
    <w:p w14:paraId="001E2618">
      <w:pPr>
        <w:ind w:firstLine="420" w:firstLineChars="20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采购方式：公开招投标方式</w:t>
      </w:r>
    </w:p>
    <w:p w14:paraId="594C49E9">
      <w:pPr>
        <w:ind w:firstLine="420" w:firstLineChars="20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采购金额：42.72万元</w:t>
      </w:r>
    </w:p>
    <w:p w14:paraId="2638B844">
      <w:pPr>
        <w:ind w:left="420" w:leftChars="200" w:firstLine="0" w:firstLineChars="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服务对象：龙城街道（翰邻城社康、中央悦城社康、嶂背社康、愉园社康、学府道社康、</w:t>
      </w:r>
    </w:p>
    <w:p w14:paraId="19EF09E1">
      <w:pPr>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爱联社康、颐安都会社康、盛平社康、远洋新天地社康、黄阁翠苑社康、中心城社康、尚景社康、御府名筑社康、公园大地社康、紫薇社康、龙翔社康、京基御景社康、吉祥里社康和保利上城社康）在册严重精神障碍患者，承保区域为中华人民共和国境内（不包括香港、澳门特别行政区和台湾地区）。</w:t>
      </w:r>
    </w:p>
    <w:p w14:paraId="7E2677AD">
      <w:pPr>
        <w:pStyle w:val="7"/>
        <w:pageBreakBefore w:val="0"/>
        <w:kinsoku/>
        <w:wordWrap/>
        <w:overflowPunct/>
        <w:topLinePunct w:val="0"/>
        <w:bidi w:val="0"/>
        <w:spacing w:before="0" w:after="0" w:line="240" w:lineRule="auto"/>
        <w:rPr>
          <w:rFonts w:hint="eastAsia"/>
          <w:szCs w:val="24"/>
        </w:rPr>
      </w:pPr>
    </w:p>
    <w:p w14:paraId="3E1014C5">
      <w:pPr>
        <w:pStyle w:val="7"/>
        <w:pageBreakBefore w:val="0"/>
        <w:kinsoku/>
        <w:wordWrap/>
        <w:overflowPunct/>
        <w:topLinePunct w:val="0"/>
        <w:bidi w:val="0"/>
        <w:spacing w:before="0" w:after="0" w:line="240" w:lineRule="auto"/>
        <w:rPr>
          <w:rFonts w:ascii="宋体" w:hAnsi="宋体"/>
          <w:b/>
          <w:color w:val="FF0000"/>
          <w:szCs w:val="21"/>
        </w:rPr>
      </w:pPr>
      <w:r>
        <w:rPr>
          <w:rFonts w:hint="eastAsia"/>
          <w:szCs w:val="24"/>
        </w:rPr>
        <w:t>三、</w:t>
      </w:r>
      <w:r>
        <w:rPr>
          <w:rFonts w:hint="eastAsia"/>
          <w:szCs w:val="24"/>
          <w:lang w:eastAsia="zh-CN"/>
        </w:rPr>
        <w:t>采购费用说明</w:t>
      </w:r>
    </w:p>
    <w:p w14:paraId="3FEC3244">
      <w:pPr>
        <w:pageBreakBefore w:val="0"/>
        <w:kinsoku/>
        <w:wordWrap/>
        <w:overflowPunct/>
        <w:topLinePunct w:val="0"/>
        <w:bidi w:val="0"/>
        <w:spacing w:line="240" w:lineRule="auto"/>
        <w:ind w:firstLine="420" w:firstLineChars="20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1.投标价上限为42.72万元，按患者实际投保数量结算，保险投保档次为400元/人/年。截至2025年10月20日，龙城街道在册患者，包括翰邻城社康、中央悦城社康、嶂背社康、愉园社康、学府道社康、爱联社康、颐安都会社康、盛平社康、远洋新天地社康、黄阁翠苑社康、中心城社康、尚景社康、御府名筑社康、公园大地社康、紫薇社康、龙翔社康、京基御景社康、吉祥里社康和保利上城社康的在册严重精神障碍患者共1068人，单个人员经费标准400元，经费上限42.72万元，实际参保人数以投保时采购人确定的为准。</w:t>
      </w:r>
    </w:p>
    <w:p w14:paraId="6D5479E3">
      <w:pPr>
        <w:pageBreakBefore w:val="0"/>
        <w:kinsoku/>
        <w:wordWrap/>
        <w:overflowPunct/>
        <w:topLinePunct w:val="0"/>
        <w:bidi w:val="0"/>
        <w:spacing w:line="240" w:lineRule="auto"/>
        <w:ind w:firstLine="420" w:firstLineChars="20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2.其他投标费用说明</w:t>
      </w:r>
      <w:r>
        <w:rPr>
          <w:rFonts w:hint="eastAsia" w:cs="Times New Roman" w:asciiTheme="minorEastAsia" w:hAnsiTheme="minorEastAsia" w:eastAsiaTheme="minorEastAsia"/>
          <w:lang w:val="en-US" w:eastAsia="zh-CN"/>
        </w:rPr>
        <w:tab/>
      </w:r>
    </w:p>
    <w:p w14:paraId="23527834">
      <w:pPr>
        <w:pageBreakBefore w:val="0"/>
        <w:kinsoku/>
        <w:wordWrap/>
        <w:overflowPunct/>
        <w:topLinePunct w:val="0"/>
        <w:bidi w:val="0"/>
        <w:spacing w:line="240" w:lineRule="auto"/>
        <w:ind w:firstLine="420" w:firstLineChars="200"/>
        <w:rPr>
          <w:rFonts w:hint="eastAsia" w:cs="Times New Roman" w:asciiTheme="minorEastAsia" w:hAnsiTheme="minorEastAsia" w:eastAsiaTheme="minorEastAsia"/>
          <w:lang w:val="en-US" w:eastAsia="zh-CN"/>
        </w:rPr>
      </w:pPr>
      <w:r>
        <w:rPr>
          <w:rFonts w:hint="eastAsia" w:cs="Times New Roman" w:asciiTheme="minorEastAsia" w:hAnsiTheme="minorEastAsia" w:eastAsiaTheme="minorEastAsia"/>
          <w:lang w:val="en-US" w:eastAsia="zh-CN"/>
        </w:rPr>
        <w:t>投标人应自行承担因其投标而编制投标文件、递交投标文件所涉及的一切费用，无论是否中标，不管投标结果如何，采购人均不承担上述费用。投标人应根据本招标文件规定的服务内容及要求，结合本项目的具体情况及以往的工作经验进行报价。</w:t>
      </w:r>
    </w:p>
    <w:p w14:paraId="654B838D">
      <w:pPr>
        <w:pStyle w:val="7"/>
        <w:spacing w:before="120" w:beforeLines="50" w:after="120" w:afterLines="50"/>
        <w:rPr>
          <w:rFonts w:hint="eastAsia"/>
          <w:szCs w:val="24"/>
        </w:rPr>
      </w:pPr>
    </w:p>
    <w:p w14:paraId="5BE5C3D8">
      <w:pPr>
        <w:pStyle w:val="7"/>
        <w:spacing w:before="120" w:beforeLines="50" w:after="120" w:afterLines="50"/>
        <w:rPr>
          <w:szCs w:val="24"/>
        </w:rPr>
      </w:pPr>
      <w:r>
        <w:rPr>
          <w:rFonts w:hint="eastAsia"/>
          <w:szCs w:val="24"/>
          <w:lang w:val="en-US" w:eastAsia="zh-CN"/>
        </w:rPr>
        <w:t>四</w:t>
      </w:r>
      <w:r>
        <w:rPr>
          <w:rFonts w:hint="eastAsia"/>
          <w:szCs w:val="24"/>
        </w:rPr>
        <w:t>、</w:t>
      </w:r>
      <w:bookmarkStart w:id="31" w:name="_Hlk72073432"/>
      <w:r>
        <w:rPr>
          <w:rFonts w:hint="eastAsia"/>
          <w:szCs w:val="24"/>
        </w:rPr>
        <w:t>服务需求明细</w:t>
      </w:r>
      <w:bookmarkEnd w:id="31"/>
    </w:p>
    <w:tbl>
      <w:tblPr>
        <w:tblStyle w:val="43"/>
        <w:tblpPr w:leftFromText="180" w:rightFromText="180" w:vertAnchor="text" w:horzAnchor="margin" w:tblpY="173"/>
        <w:tblW w:w="88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1919"/>
        <w:gridCol w:w="2400"/>
        <w:gridCol w:w="800"/>
        <w:gridCol w:w="663"/>
        <w:gridCol w:w="1187"/>
        <w:gridCol w:w="1138"/>
      </w:tblGrid>
      <w:tr w14:paraId="72CD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771" w:type="dxa"/>
            <w:vAlign w:val="center"/>
          </w:tcPr>
          <w:p w14:paraId="5F4256CC">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rFonts w:hint="eastAsia" w:ascii="宋体" w:hAnsi="宋体" w:eastAsia="宋体" w:cs="宋体"/>
                <w:bCs/>
                <w:sz w:val="21"/>
                <w:szCs w:val="21"/>
              </w:rPr>
            </w:pPr>
            <w:r>
              <w:rPr>
                <w:rFonts w:hint="eastAsia" w:ascii="宋体" w:hAnsi="宋体" w:eastAsia="宋体" w:cs="宋体"/>
                <w:bCs/>
                <w:sz w:val="21"/>
                <w:szCs w:val="21"/>
              </w:rPr>
              <w:t>序号</w:t>
            </w:r>
          </w:p>
        </w:tc>
        <w:tc>
          <w:tcPr>
            <w:tcW w:w="1919" w:type="dxa"/>
            <w:vAlign w:val="center"/>
          </w:tcPr>
          <w:p w14:paraId="47B3F716">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rFonts w:hint="eastAsia" w:ascii="宋体" w:hAnsi="宋体" w:eastAsia="宋体" w:cs="宋体"/>
                <w:bCs/>
                <w:sz w:val="21"/>
                <w:szCs w:val="21"/>
              </w:rPr>
            </w:pPr>
            <w:r>
              <w:rPr>
                <w:rFonts w:hint="eastAsia" w:ascii="宋体" w:hAnsi="宋体" w:eastAsia="宋体" w:cs="宋体"/>
                <w:sz w:val="21"/>
                <w:szCs w:val="21"/>
              </w:rPr>
              <w:t>采购计划编号</w:t>
            </w:r>
          </w:p>
        </w:tc>
        <w:tc>
          <w:tcPr>
            <w:tcW w:w="2400" w:type="dxa"/>
            <w:vAlign w:val="center"/>
          </w:tcPr>
          <w:p w14:paraId="27D773AB">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rFonts w:hint="eastAsia" w:ascii="宋体" w:hAnsi="宋体" w:eastAsia="宋体" w:cs="宋体"/>
                <w:bCs/>
                <w:sz w:val="21"/>
                <w:szCs w:val="21"/>
              </w:rPr>
            </w:pPr>
            <w:r>
              <w:rPr>
                <w:rFonts w:hint="eastAsia" w:ascii="宋体" w:hAnsi="宋体" w:eastAsia="宋体" w:cs="宋体"/>
                <w:bCs/>
                <w:sz w:val="21"/>
                <w:szCs w:val="21"/>
              </w:rPr>
              <w:t>服务需求名称（标的名称）</w:t>
            </w:r>
          </w:p>
        </w:tc>
        <w:tc>
          <w:tcPr>
            <w:tcW w:w="800" w:type="dxa"/>
            <w:vAlign w:val="center"/>
          </w:tcPr>
          <w:p w14:paraId="1D1D9564">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rFonts w:hint="eastAsia" w:ascii="宋体" w:hAnsi="宋体" w:eastAsia="宋体" w:cs="宋体"/>
                <w:bCs/>
                <w:sz w:val="21"/>
                <w:szCs w:val="21"/>
              </w:rPr>
            </w:pPr>
            <w:r>
              <w:rPr>
                <w:rFonts w:hint="eastAsia" w:ascii="宋体" w:hAnsi="宋体" w:eastAsia="宋体" w:cs="宋体"/>
                <w:bCs/>
                <w:sz w:val="21"/>
                <w:szCs w:val="21"/>
              </w:rPr>
              <w:t>数量</w:t>
            </w:r>
          </w:p>
        </w:tc>
        <w:tc>
          <w:tcPr>
            <w:tcW w:w="663" w:type="dxa"/>
            <w:vAlign w:val="center"/>
          </w:tcPr>
          <w:p w14:paraId="754D56F7">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rFonts w:hint="eastAsia" w:ascii="宋体" w:hAnsi="宋体" w:eastAsia="宋体" w:cs="宋体"/>
                <w:bCs/>
                <w:sz w:val="21"/>
                <w:szCs w:val="21"/>
              </w:rPr>
            </w:pPr>
            <w:r>
              <w:rPr>
                <w:rFonts w:hint="eastAsia" w:ascii="宋体" w:hAnsi="宋体" w:eastAsia="宋体" w:cs="宋体"/>
                <w:bCs/>
                <w:sz w:val="21"/>
                <w:szCs w:val="21"/>
              </w:rPr>
              <w:t>单位</w:t>
            </w:r>
          </w:p>
        </w:tc>
        <w:tc>
          <w:tcPr>
            <w:tcW w:w="1187" w:type="dxa"/>
            <w:vAlign w:val="center"/>
          </w:tcPr>
          <w:p w14:paraId="1442B81A">
            <w:pPr>
              <w:jc w:val="center"/>
              <w:rPr>
                <w:rFonts w:hint="eastAsia" w:ascii="宋体" w:hAnsi="宋体" w:eastAsia="宋体" w:cs="宋体"/>
                <w:bCs/>
                <w:sz w:val="21"/>
                <w:szCs w:val="21"/>
              </w:rPr>
            </w:pPr>
            <w:r>
              <w:rPr>
                <w:rFonts w:hint="eastAsia" w:ascii="宋体" w:hAnsi="宋体" w:eastAsia="宋体" w:cs="宋体"/>
                <w:b/>
                <w:bCs/>
                <w:color w:val="FF0000"/>
                <w:sz w:val="21"/>
                <w:szCs w:val="21"/>
                <w:lang w:val="en-US" w:eastAsia="zh-CN"/>
              </w:rPr>
              <w:t>是否专门面向中小企业</w:t>
            </w:r>
          </w:p>
        </w:tc>
        <w:tc>
          <w:tcPr>
            <w:tcW w:w="1138" w:type="dxa"/>
            <w:vAlign w:val="center"/>
          </w:tcPr>
          <w:p w14:paraId="0D2772DD">
            <w:pPr>
              <w:jc w:val="center"/>
              <w:rPr>
                <w:rFonts w:hint="eastAsia" w:ascii="宋体" w:hAnsi="宋体" w:eastAsia="宋体" w:cs="宋体"/>
                <w:bCs/>
                <w:sz w:val="21"/>
                <w:szCs w:val="21"/>
              </w:rPr>
            </w:pPr>
            <w:r>
              <w:rPr>
                <w:rFonts w:hint="eastAsia" w:ascii="宋体" w:hAnsi="宋体" w:eastAsia="宋体" w:cs="宋体"/>
                <w:b/>
                <w:bCs/>
                <w:color w:val="FF0000"/>
                <w:sz w:val="21"/>
                <w:szCs w:val="21"/>
                <w:lang w:val="en-US" w:eastAsia="zh-CN"/>
              </w:rPr>
              <w:t>标的所属行业</w:t>
            </w:r>
          </w:p>
        </w:tc>
      </w:tr>
      <w:tr w14:paraId="568A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771" w:type="dxa"/>
            <w:vAlign w:val="center"/>
          </w:tcPr>
          <w:p w14:paraId="461B14C1">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rFonts w:hint="eastAsia" w:ascii="宋体" w:hAnsi="宋体" w:eastAsia="宋体" w:cs="宋体"/>
                <w:bCs/>
                <w:sz w:val="21"/>
                <w:szCs w:val="21"/>
              </w:rPr>
            </w:pPr>
            <w:r>
              <w:rPr>
                <w:rFonts w:hint="eastAsia" w:ascii="宋体" w:hAnsi="宋体" w:eastAsia="宋体" w:cs="宋体"/>
                <w:bCs/>
                <w:sz w:val="21"/>
                <w:szCs w:val="21"/>
              </w:rPr>
              <w:t>1</w:t>
            </w:r>
          </w:p>
        </w:tc>
        <w:tc>
          <w:tcPr>
            <w:tcW w:w="1919" w:type="dxa"/>
            <w:vAlign w:val="center"/>
          </w:tcPr>
          <w:p w14:paraId="4930A897">
            <w:pPr>
              <w:keepNext w:val="0"/>
              <w:keepLines w:val="0"/>
              <w:pageBreakBefore w:val="0"/>
              <w:suppressLineNumbers w:val="0"/>
              <w:kinsoku/>
              <w:wordWrap/>
              <w:overflowPunct/>
              <w:topLinePunct w:val="0"/>
              <w:autoSpaceDE/>
              <w:autoSpaceDN/>
              <w:bidi w:val="0"/>
              <w:spacing w:beforeAutospacing="0" w:afterAutospacing="0" w:line="240" w:lineRule="auto"/>
              <w:ind w:left="0" w:right="0"/>
              <w:jc w:val="center"/>
              <w:rPr>
                <w:rFonts w:hint="eastAsia" w:ascii="宋体" w:hAnsi="宋体" w:eastAsia="宋体" w:cs="宋体"/>
                <w:bCs/>
                <w:sz w:val="21"/>
                <w:szCs w:val="21"/>
                <w:lang w:val="en-US"/>
              </w:rPr>
            </w:pPr>
            <w:r>
              <w:rPr>
                <w:rFonts w:hint="eastAsia" w:ascii="宋体" w:hAnsi="宋体" w:eastAsia="宋体" w:cs="宋体"/>
                <w:bCs/>
                <w:sz w:val="21"/>
                <w:szCs w:val="21"/>
                <w:lang w:val="en-US"/>
              </w:rPr>
              <w:t>JYCG-DECL-2025-47362</w:t>
            </w:r>
          </w:p>
        </w:tc>
        <w:tc>
          <w:tcPr>
            <w:tcW w:w="2400" w:type="dxa"/>
            <w:vAlign w:val="center"/>
          </w:tcPr>
          <w:p w14:paraId="7873D304">
            <w:pPr>
              <w:jc w:val="center"/>
              <w:rPr>
                <w:rFonts w:hint="eastAsia" w:ascii="宋体" w:hAnsi="宋体" w:eastAsia="宋体" w:cs="宋体"/>
                <w:bCs/>
                <w:sz w:val="21"/>
                <w:szCs w:val="21"/>
              </w:rPr>
            </w:pPr>
            <w:r>
              <w:rPr>
                <w:rFonts w:hint="eastAsia"/>
                <w:b w:val="0"/>
                <w:bCs w:val="0"/>
                <w:color w:val="auto"/>
                <w:szCs w:val="21"/>
              </w:rPr>
              <w:t>龙城街道</w:t>
            </w:r>
            <w:r>
              <w:rPr>
                <w:rFonts w:hint="eastAsia"/>
                <w:b w:val="0"/>
                <w:bCs w:val="0"/>
                <w:color w:val="auto"/>
                <w:szCs w:val="21"/>
                <w:lang w:val="en-US" w:eastAsia="zh-CN"/>
              </w:rPr>
              <w:t>2026年度</w:t>
            </w:r>
            <w:r>
              <w:rPr>
                <w:rFonts w:hint="eastAsia"/>
                <w:b w:val="0"/>
                <w:bCs w:val="0"/>
                <w:color w:val="auto"/>
                <w:szCs w:val="21"/>
              </w:rPr>
              <w:t>严重精神障碍患者监护责任补偿保险项目</w:t>
            </w:r>
          </w:p>
        </w:tc>
        <w:tc>
          <w:tcPr>
            <w:tcW w:w="800" w:type="dxa"/>
            <w:vAlign w:val="center"/>
          </w:tcPr>
          <w:p w14:paraId="1F07644C">
            <w:pPr>
              <w:jc w:val="center"/>
              <w:rPr>
                <w:rFonts w:hint="eastAsia" w:ascii="宋体" w:hAnsi="宋体" w:eastAsia="宋体" w:cs="宋体"/>
                <w:bCs/>
                <w:sz w:val="21"/>
                <w:szCs w:val="21"/>
              </w:rPr>
            </w:pPr>
            <w:r>
              <w:rPr>
                <w:rFonts w:hint="eastAsia" w:ascii="宋体" w:hAnsi="宋体" w:cs="宋体"/>
                <w:sz w:val="21"/>
                <w:szCs w:val="21"/>
                <w:lang w:val="en-US" w:eastAsia="zh-CN"/>
              </w:rPr>
              <w:t>1</w:t>
            </w:r>
          </w:p>
        </w:tc>
        <w:tc>
          <w:tcPr>
            <w:tcW w:w="663" w:type="dxa"/>
            <w:vAlign w:val="center"/>
          </w:tcPr>
          <w:p w14:paraId="514FBAFF">
            <w:pPr>
              <w:jc w:val="center"/>
              <w:rPr>
                <w:rFonts w:hint="eastAsia" w:ascii="宋体" w:hAnsi="宋体" w:eastAsia="宋体" w:cs="宋体"/>
                <w:bCs/>
                <w:sz w:val="21"/>
                <w:szCs w:val="21"/>
                <w:lang w:eastAsia="zh-CN"/>
              </w:rPr>
            </w:pPr>
            <w:r>
              <w:rPr>
                <w:rFonts w:hint="eastAsia" w:ascii="宋体" w:hAnsi="宋体" w:cs="宋体"/>
                <w:bCs/>
                <w:sz w:val="21"/>
                <w:szCs w:val="21"/>
                <w:lang w:val="en-US" w:eastAsia="zh-CN"/>
              </w:rPr>
              <w:t>项</w:t>
            </w:r>
          </w:p>
        </w:tc>
        <w:tc>
          <w:tcPr>
            <w:tcW w:w="1187" w:type="dxa"/>
            <w:vAlign w:val="center"/>
          </w:tcPr>
          <w:p w14:paraId="5D17AC99">
            <w:pPr>
              <w:keepNext w:val="0"/>
              <w:keepLines w:val="0"/>
              <w:suppressLineNumbers w:val="0"/>
              <w:spacing w:before="0" w:beforeAutospacing="0" w:after="0" w:afterAutospacing="0"/>
              <w:ind w:left="0" w:leftChars="0" w:right="0" w:rightChars="0"/>
              <w:jc w:val="center"/>
              <w:rPr>
                <w:rFonts w:hint="eastAsia" w:ascii="宋体" w:hAnsi="宋体" w:eastAsia="宋体" w:cs="宋体"/>
                <w:bCs/>
                <w:sz w:val="21"/>
                <w:szCs w:val="21"/>
              </w:rPr>
            </w:pPr>
            <w:r>
              <w:rPr>
                <w:rFonts w:hint="eastAsia" w:ascii="宋体" w:hAnsi="宋体" w:cs="宋体"/>
                <w:bCs/>
                <w:sz w:val="21"/>
                <w:szCs w:val="21"/>
                <w:lang w:val="en-US" w:eastAsia="zh-CN"/>
              </w:rPr>
              <w:t>否</w:t>
            </w:r>
          </w:p>
        </w:tc>
        <w:tc>
          <w:tcPr>
            <w:tcW w:w="1138" w:type="dxa"/>
            <w:vAlign w:val="center"/>
          </w:tcPr>
          <w:p w14:paraId="413C1DDE">
            <w:pPr>
              <w:keepNext w:val="0"/>
              <w:keepLines w:val="0"/>
              <w:suppressLineNumbers w:val="0"/>
              <w:spacing w:before="0" w:beforeAutospacing="0" w:after="0" w:afterAutospacing="0"/>
              <w:ind w:left="0" w:leftChars="0" w:right="0" w:rightChars="0"/>
              <w:jc w:val="center"/>
              <w:rPr>
                <w:rFonts w:hint="eastAsia" w:ascii="宋体" w:hAnsi="宋体" w:eastAsia="宋体" w:cs="宋体"/>
                <w:bCs/>
                <w:sz w:val="21"/>
                <w:szCs w:val="21"/>
                <w:lang w:val="en-US" w:eastAsia="zh-CN"/>
              </w:rPr>
            </w:pPr>
            <w:r>
              <w:rPr>
                <w:rFonts w:hint="eastAsia" w:ascii="宋体" w:hAnsi="宋体" w:cs="宋体"/>
                <w:bCs/>
                <w:color w:val="FF0000"/>
                <w:sz w:val="21"/>
                <w:szCs w:val="21"/>
                <w:lang w:val="en-US" w:eastAsia="zh-CN"/>
              </w:rPr>
              <w:t>保险业</w:t>
            </w:r>
          </w:p>
        </w:tc>
      </w:tr>
    </w:tbl>
    <w:p w14:paraId="710300BC">
      <w:pPr>
        <w:pStyle w:val="6"/>
        <w:rPr>
          <w:rFonts w:hint="eastAsia"/>
          <w:szCs w:val="24"/>
        </w:rPr>
      </w:pPr>
    </w:p>
    <w:p w14:paraId="7C1F1E53">
      <w:pPr>
        <w:rPr>
          <w:rFonts w:hint="eastAsia"/>
        </w:rPr>
      </w:pPr>
    </w:p>
    <w:p w14:paraId="3A5E35D5">
      <w:pPr>
        <w:pStyle w:val="7"/>
        <w:pageBreakBefore w:val="0"/>
        <w:widowControl w:val="0"/>
        <w:numPr>
          <w:ilvl w:val="0"/>
          <w:numId w:val="8"/>
        </w:numPr>
        <w:kinsoku/>
        <w:wordWrap/>
        <w:overflowPunct/>
        <w:topLinePunct w:val="0"/>
        <w:autoSpaceDE/>
        <w:autoSpaceDN/>
        <w:bidi w:val="0"/>
        <w:adjustRightInd w:val="0"/>
        <w:spacing w:before="464" w:beforeLines="100" w:after="464" w:afterLines="100" w:line="240" w:lineRule="auto"/>
      </w:pPr>
      <w:r>
        <w:rPr>
          <w:rFonts w:hint="eastAsia"/>
          <w:szCs w:val="24"/>
        </w:rPr>
        <w:t>实质性条款</w:t>
      </w:r>
    </w:p>
    <w:tbl>
      <w:tblPr>
        <w:tblStyle w:val="43"/>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7795"/>
      </w:tblGrid>
      <w:tr w14:paraId="180B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1" w:hRule="atLeast"/>
        </w:trPr>
        <w:tc>
          <w:tcPr>
            <w:tcW w:w="734" w:type="dxa"/>
          </w:tcPr>
          <w:p w14:paraId="375E052D">
            <w:pPr>
              <w:pageBreakBefore w:val="0"/>
              <w:widowControl w:val="0"/>
              <w:kinsoku/>
              <w:wordWrap/>
              <w:overflowPunct/>
              <w:topLinePunct w:val="0"/>
              <w:autoSpaceDE/>
              <w:autoSpaceDN/>
              <w:bidi w:val="0"/>
              <w:adjustRightInd w:val="0"/>
              <w:snapToGrid w:val="0"/>
              <w:spacing w:before="464" w:beforeLines="100" w:after="464" w:afterLines="100" w:line="240" w:lineRule="auto"/>
              <w:jc w:val="center"/>
              <w:rPr>
                <w:rFonts w:hint="eastAsia" w:ascii="宋体" w:hAnsi="宋体"/>
                <w:kern w:val="0"/>
                <w:szCs w:val="21"/>
              </w:rPr>
            </w:pPr>
            <w:r>
              <w:rPr>
                <w:rFonts w:hint="eastAsia" w:ascii="宋体" w:hAnsi="宋体"/>
                <w:kern w:val="0"/>
                <w:szCs w:val="21"/>
              </w:rPr>
              <w:t>序号</w:t>
            </w:r>
          </w:p>
        </w:tc>
        <w:tc>
          <w:tcPr>
            <w:tcW w:w="7795" w:type="dxa"/>
          </w:tcPr>
          <w:p w14:paraId="6A5F4A3A">
            <w:pPr>
              <w:pageBreakBefore w:val="0"/>
              <w:widowControl w:val="0"/>
              <w:kinsoku/>
              <w:wordWrap/>
              <w:overflowPunct/>
              <w:topLinePunct w:val="0"/>
              <w:autoSpaceDE/>
              <w:autoSpaceDN/>
              <w:bidi w:val="0"/>
              <w:adjustRightInd w:val="0"/>
              <w:snapToGrid w:val="0"/>
              <w:spacing w:before="464" w:beforeLines="100" w:after="464" w:afterLines="100" w:line="240" w:lineRule="auto"/>
              <w:jc w:val="center"/>
              <w:rPr>
                <w:rFonts w:hint="eastAsia" w:ascii="宋体" w:hAnsi="宋体"/>
                <w:kern w:val="0"/>
                <w:szCs w:val="21"/>
              </w:rPr>
            </w:pPr>
            <w:r>
              <w:rPr>
                <w:rFonts w:hint="eastAsia" w:ascii="宋体" w:hAnsi="宋体"/>
                <w:kern w:val="0"/>
                <w:szCs w:val="21"/>
              </w:rPr>
              <w:t>实质性条款具体内容</w:t>
            </w:r>
          </w:p>
        </w:tc>
      </w:tr>
      <w:tr w14:paraId="6607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34" w:type="dxa"/>
            <w:vAlign w:val="center"/>
          </w:tcPr>
          <w:p w14:paraId="2CE1F1B0">
            <w:pPr>
              <w:adjustRightInd w:val="0"/>
              <w:snapToGrid w:val="0"/>
              <w:spacing w:line="240" w:lineRule="auto"/>
              <w:jc w:val="center"/>
              <w:rPr>
                <w:rFonts w:hint="eastAsia" w:ascii="宋体" w:hAnsi="宋体"/>
                <w:kern w:val="0"/>
                <w:szCs w:val="21"/>
              </w:rPr>
            </w:pPr>
            <w:r>
              <w:rPr>
                <w:rFonts w:hint="eastAsia" w:ascii="宋体" w:hAnsi="宋体"/>
                <w:kern w:val="0"/>
                <w:szCs w:val="21"/>
                <w:lang w:val="en-US" w:eastAsia="zh-CN"/>
              </w:rPr>
              <w:t>1</w:t>
            </w:r>
          </w:p>
        </w:tc>
        <w:tc>
          <w:tcPr>
            <w:tcW w:w="7795" w:type="dxa"/>
            <w:vAlign w:val="top"/>
          </w:tcPr>
          <w:p w14:paraId="284C9288">
            <w:pPr>
              <w:pStyle w:val="7"/>
              <w:pageBreakBefore w:val="0"/>
              <w:widowControl w:val="0"/>
              <w:kinsoku/>
              <w:wordWrap/>
              <w:overflowPunct/>
              <w:topLinePunct w:val="0"/>
              <w:autoSpaceDE/>
              <w:autoSpaceDN/>
              <w:bidi w:val="0"/>
              <w:snapToGrid/>
              <w:spacing w:before="0" w:after="0" w:line="240" w:lineRule="auto"/>
              <w:jc w:val="left"/>
              <w:rPr>
                <w:rFonts w:hint="eastAsia" w:asciiTheme="minorEastAsia" w:hAnsiTheme="minorEastAsia" w:eastAsiaTheme="minorEastAsia" w:cstheme="minorEastAsia"/>
                <w:b/>
                <w:bCs/>
                <w:color w:val="000000"/>
                <w:sz w:val="21"/>
                <w:szCs w:val="21"/>
                <w:highlight w:val="none"/>
                <w:lang w:eastAsia="zh-CN"/>
              </w:rPr>
            </w:pPr>
            <w:r>
              <w:rPr>
                <w:rFonts w:hint="eastAsia" w:asciiTheme="minorEastAsia" w:hAnsiTheme="minorEastAsia" w:eastAsiaTheme="minorEastAsia" w:cstheme="minorEastAsia"/>
                <w:b/>
                <w:bCs/>
                <w:color w:val="000000"/>
                <w:sz w:val="21"/>
                <w:szCs w:val="21"/>
                <w:highlight w:val="none"/>
              </w:rPr>
              <w:t>服务期限</w:t>
            </w:r>
            <w:r>
              <w:rPr>
                <w:rFonts w:hint="eastAsia" w:asciiTheme="minorEastAsia" w:hAnsiTheme="minorEastAsia" w:eastAsiaTheme="minorEastAsia" w:cstheme="minorEastAsia"/>
                <w:b/>
                <w:bCs/>
                <w:color w:val="000000"/>
                <w:sz w:val="21"/>
                <w:szCs w:val="21"/>
                <w:highlight w:val="none"/>
                <w:lang w:eastAsia="zh-CN"/>
              </w:rPr>
              <w:t>：</w:t>
            </w:r>
          </w:p>
          <w:p w14:paraId="1005C237">
            <w:pPr>
              <w:pStyle w:val="7"/>
              <w:pageBreakBefore w:val="0"/>
              <w:widowControl w:val="0"/>
              <w:kinsoku/>
              <w:wordWrap/>
              <w:overflowPunct/>
              <w:topLinePunct w:val="0"/>
              <w:autoSpaceDE/>
              <w:autoSpaceDN/>
              <w:bidi w:val="0"/>
              <w:snapToGrid/>
              <w:spacing w:before="0" w:after="0" w:line="240" w:lineRule="auto"/>
              <w:jc w:val="left"/>
              <w:rPr>
                <w:rFonts w:hint="eastAsia" w:asciiTheme="minorEastAsia" w:hAnsiTheme="minorEastAsia" w:eastAsiaTheme="minorEastAsia" w:cstheme="minorEastAsia"/>
                <w:b w:val="0"/>
                <w:bCs w:val="0"/>
                <w:color w:val="000000"/>
                <w:sz w:val="21"/>
                <w:szCs w:val="21"/>
                <w:highlight w:val="none"/>
              </w:rPr>
            </w:pPr>
            <w:r>
              <w:rPr>
                <w:rFonts w:hint="eastAsia" w:asciiTheme="minorEastAsia" w:hAnsiTheme="minorEastAsia" w:eastAsiaTheme="minorEastAsia" w:cstheme="minorEastAsia"/>
                <w:b w:val="0"/>
                <w:bCs w:val="0"/>
                <w:color w:val="000000"/>
                <w:sz w:val="21"/>
                <w:szCs w:val="21"/>
                <w:highlight w:val="none"/>
              </w:rPr>
              <w:t>1.</w:t>
            </w:r>
            <w:r>
              <w:rPr>
                <w:rFonts w:hint="eastAsia" w:hAnsi="宋体" w:eastAsiaTheme="minorEastAsia"/>
                <w:kern w:val="0"/>
                <w:szCs w:val="21"/>
                <w:highlight w:val="none"/>
              </w:rPr>
              <w:t>★</w:t>
            </w:r>
            <w:r>
              <w:rPr>
                <w:rFonts w:hint="eastAsia" w:asciiTheme="minorEastAsia" w:hAnsiTheme="minorEastAsia" w:eastAsiaTheme="minorEastAsia" w:cstheme="minorEastAsia"/>
                <w:b w:val="0"/>
                <w:bCs w:val="0"/>
                <w:color w:val="000000"/>
                <w:sz w:val="21"/>
                <w:szCs w:val="21"/>
                <w:highlight w:val="none"/>
              </w:rPr>
              <w:t>自合同签订之日起一年。</w:t>
            </w:r>
          </w:p>
          <w:p w14:paraId="7E007A7E">
            <w:pPr>
              <w:pageBreakBefore w:val="0"/>
              <w:widowControl w:val="0"/>
              <w:kinsoku/>
              <w:wordWrap/>
              <w:overflowPunct/>
              <w:topLinePunct w:val="0"/>
              <w:autoSpaceDE/>
              <w:autoSpaceDN/>
              <w:bidi w:val="0"/>
              <w:snapToGrid/>
              <w:spacing w:line="240" w:lineRule="auto"/>
              <w:rPr>
                <w:rFonts w:hint="eastAsia" w:hAnsi="宋体" w:eastAsiaTheme="minorEastAsia"/>
                <w:kern w:val="0"/>
                <w:sz w:val="21"/>
                <w:szCs w:val="21"/>
                <w:highlight w:val="none"/>
              </w:rPr>
            </w:pPr>
            <w:r>
              <w:rPr>
                <w:rFonts w:hint="eastAsia" w:asciiTheme="minorEastAsia" w:hAnsiTheme="minorEastAsia" w:eastAsiaTheme="minorEastAsia" w:cstheme="minorEastAsia"/>
                <w:b w:val="0"/>
                <w:bCs w:val="0"/>
                <w:color w:val="000000"/>
                <w:sz w:val="21"/>
                <w:szCs w:val="21"/>
                <w:highlight w:val="none"/>
              </w:rPr>
              <w:t>2.</w:t>
            </w:r>
            <w:r>
              <w:rPr>
                <w:rFonts w:hint="eastAsia" w:hAnsi="宋体" w:eastAsiaTheme="minorEastAsia"/>
                <w:kern w:val="0"/>
                <w:szCs w:val="21"/>
                <w:highlight w:val="none"/>
              </w:rPr>
              <w:t>★</w:t>
            </w:r>
            <w:r>
              <w:rPr>
                <w:rFonts w:hint="eastAsia" w:asciiTheme="minorEastAsia" w:hAnsiTheme="minorEastAsia" w:eastAsiaTheme="minorEastAsia" w:cstheme="minorEastAsia"/>
                <w:b w:val="0"/>
                <w:bCs w:val="0"/>
                <w:color w:val="000000"/>
                <w:sz w:val="21"/>
                <w:szCs w:val="21"/>
                <w:highlight w:val="none"/>
              </w:rPr>
              <w:t>保险期限结束后，对于保险期限内发生的保险事故，中标单位应继续提供服务，服务内容及要求不变。</w:t>
            </w:r>
          </w:p>
        </w:tc>
      </w:tr>
      <w:tr w14:paraId="37CB0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734" w:type="dxa"/>
            <w:vAlign w:val="center"/>
          </w:tcPr>
          <w:p w14:paraId="6957D32A">
            <w:pPr>
              <w:adjustRightInd w:val="0"/>
              <w:snapToGrid w:val="0"/>
              <w:spacing w:line="240" w:lineRule="auto"/>
              <w:jc w:val="center"/>
              <w:rPr>
                <w:rFonts w:hint="eastAsia" w:ascii="宋体" w:hAnsi="宋体"/>
                <w:kern w:val="0"/>
                <w:szCs w:val="21"/>
              </w:rPr>
            </w:pPr>
            <w:r>
              <w:rPr>
                <w:rFonts w:hint="eastAsia" w:ascii="宋体" w:hAnsi="宋体"/>
                <w:kern w:val="0"/>
                <w:szCs w:val="21"/>
                <w:lang w:val="en-US" w:eastAsia="zh-CN"/>
              </w:rPr>
              <w:t>2</w:t>
            </w:r>
          </w:p>
        </w:tc>
        <w:tc>
          <w:tcPr>
            <w:tcW w:w="7795" w:type="dxa"/>
            <w:vAlign w:val="top"/>
          </w:tcPr>
          <w:p w14:paraId="518C4CBA">
            <w:pPr>
              <w:pageBreakBefore w:val="0"/>
              <w:kinsoku/>
              <w:wordWrap/>
              <w:overflowPunct/>
              <w:topLinePunct w:val="0"/>
              <w:bidi w:val="0"/>
              <w:spacing w:line="240" w:lineRule="auto"/>
              <w:rPr>
                <w:rFonts w:hint="eastAsia" w:asciiTheme="minorEastAsia" w:hAnsiTheme="minorEastAsia" w:eastAsiaTheme="minorEastAsia"/>
                <w:sz w:val="21"/>
                <w:szCs w:val="21"/>
                <w:highlight w:val="none"/>
              </w:rPr>
            </w:pPr>
            <w:r>
              <w:rPr>
                <w:rFonts w:hint="eastAsia" w:hAnsi="宋体" w:cs="宋体"/>
                <w:b/>
                <w:bCs w:val="0"/>
                <w:sz w:val="21"/>
                <w:szCs w:val="21"/>
                <w:lang w:val="en-US" w:eastAsia="zh-CN"/>
              </w:rPr>
              <w:t>项目人员一览表</w:t>
            </w:r>
            <w:r>
              <w:rPr>
                <w:rFonts w:hint="eastAsia" w:asciiTheme="minorEastAsia" w:hAnsiTheme="minorEastAsia" w:eastAsiaTheme="minorEastAsia"/>
                <w:sz w:val="21"/>
                <w:szCs w:val="21"/>
              </w:rPr>
              <w:t>★人员类别★数量★人员必须具备条件</w:t>
            </w:r>
          </w:p>
        </w:tc>
      </w:tr>
    </w:tbl>
    <w:p w14:paraId="4EF4E8BA">
      <w:pPr>
        <w:rPr>
          <w:rFonts w:hint="eastAsia"/>
          <w:highlight w:val="yellow"/>
        </w:rPr>
      </w:pPr>
    </w:p>
    <w:p w14:paraId="3C6B067C">
      <w:r>
        <w:rPr>
          <w:rFonts w:hint="eastAsia"/>
          <w:highlight w:val="yellow"/>
        </w:rPr>
        <w:t>注：上表所列内容为不可负偏离条款，负偏离将视为未实质性满足招标文件要求作投标无效处理。</w:t>
      </w:r>
      <w:bookmarkEnd w:id="29"/>
    </w:p>
    <w:p w14:paraId="0F1F9241">
      <w:pPr>
        <w:rPr>
          <w:b/>
          <w:bCs/>
          <w:sz w:val="24"/>
        </w:rPr>
      </w:pPr>
    </w:p>
    <w:p w14:paraId="752C9906">
      <w:pPr>
        <w:pStyle w:val="7"/>
        <w:spacing w:before="120" w:beforeLines="50" w:after="120" w:afterLines="50"/>
        <w:rPr>
          <w:rFonts w:hint="eastAsia" w:ascii="宋体" w:hAnsi="宋体"/>
          <w:color w:val="auto"/>
          <w:kern w:val="0"/>
          <w:szCs w:val="21"/>
          <w:highlight w:val="none"/>
        </w:rPr>
      </w:pPr>
    </w:p>
    <w:p w14:paraId="7B28EF89">
      <w:pPr>
        <w:pStyle w:val="7"/>
        <w:spacing w:before="120" w:beforeLines="50" w:after="120" w:afterLines="50"/>
        <w:rPr>
          <w:rFonts w:hint="eastAsia" w:ascii="宋体" w:hAnsi="宋体"/>
          <w:color w:val="auto"/>
          <w:kern w:val="0"/>
          <w:szCs w:val="21"/>
          <w:highlight w:val="none"/>
        </w:rPr>
      </w:pPr>
    </w:p>
    <w:p w14:paraId="0B7D01B9">
      <w:pPr>
        <w:pStyle w:val="7"/>
        <w:spacing w:before="120" w:beforeLines="50" w:after="120" w:afterLines="50"/>
        <w:rPr>
          <w:rFonts w:hint="eastAsia"/>
          <w:b/>
          <w:bCs/>
          <w:color w:val="auto"/>
          <w:szCs w:val="24"/>
          <w:highlight w:val="none"/>
        </w:rPr>
      </w:pPr>
      <w:r>
        <w:rPr>
          <w:rFonts w:hint="eastAsia"/>
          <w:b/>
          <w:bCs/>
          <w:color w:val="auto"/>
          <w:szCs w:val="24"/>
          <w:highlight w:val="none"/>
        </w:rPr>
        <w:t>五、技术要求</w:t>
      </w:r>
    </w:p>
    <w:p w14:paraId="102CDE0F">
      <w:pPr>
        <w:pageBreakBefore w:val="0"/>
        <w:numPr>
          <w:ilvl w:val="-1"/>
          <w:numId w:val="0"/>
        </w:numPr>
        <w:kinsoku/>
        <w:wordWrap/>
        <w:overflowPunct/>
        <w:topLinePunct w:val="0"/>
        <w:autoSpaceDE w:val="0"/>
        <w:autoSpaceDN w:val="0"/>
        <w:bidi w:val="0"/>
        <w:adjustRightInd w:val="0"/>
        <w:spacing w:line="240" w:lineRule="auto"/>
        <w:ind w:firstLine="211" w:firstLineChars="100"/>
        <w:outlineLvl w:val="0"/>
        <w:rPr>
          <w:rFonts w:hint="eastAsia" w:ascii="宋体" w:hAnsi="宋体" w:cs="宋体"/>
          <w:b/>
          <w:bCs w:val="0"/>
          <w:color w:val="auto"/>
          <w:szCs w:val="21"/>
          <w:highlight w:val="none"/>
        </w:rPr>
      </w:pPr>
      <w:r>
        <w:rPr>
          <w:rFonts w:hint="eastAsia" w:ascii="宋体" w:hAnsi="宋体" w:cs="宋体"/>
          <w:b/>
          <w:color w:val="auto"/>
          <w:szCs w:val="21"/>
          <w:highlight w:val="none"/>
          <w:lang w:val="en-US" w:eastAsia="zh-CN"/>
        </w:rPr>
        <w:t>1、</w:t>
      </w:r>
      <w:r>
        <w:rPr>
          <w:rFonts w:hint="eastAsia" w:ascii="宋体" w:hAnsi="宋体" w:cs="宋体"/>
          <w:b/>
          <w:color w:val="auto"/>
          <w:szCs w:val="21"/>
          <w:highlight w:val="none"/>
          <w:lang w:eastAsia="zh-CN"/>
        </w:rPr>
        <w:t>基本险种服务：</w:t>
      </w:r>
    </w:p>
    <w:p w14:paraId="5D88C84A">
      <w:pPr>
        <w:pageBreakBefore w:val="0"/>
        <w:numPr>
          <w:ilvl w:val="-1"/>
          <w:numId w:val="0"/>
        </w:numPr>
        <w:kinsoku/>
        <w:wordWrap/>
        <w:overflowPunct/>
        <w:topLinePunct w:val="0"/>
        <w:autoSpaceDE w:val="0"/>
        <w:autoSpaceDN w:val="0"/>
        <w:bidi w:val="0"/>
        <w:adjustRightInd w:val="0"/>
        <w:spacing w:line="240" w:lineRule="auto"/>
        <w:ind w:firstLine="210" w:firstLineChars="100"/>
        <w:outlineLvl w:val="0"/>
        <w:rPr>
          <w:rFonts w:hint="eastAsia" w:ascii="宋体" w:hAnsi="宋体" w:cs="宋体"/>
          <w:b w:val="0"/>
          <w:bCs/>
          <w:color w:val="auto"/>
          <w:szCs w:val="21"/>
          <w:highlight w:val="none"/>
        </w:rPr>
      </w:pPr>
      <w:r>
        <w:rPr>
          <w:rFonts w:hint="eastAsia" w:ascii="宋体" w:hAnsi="宋体" w:cs="宋体"/>
          <w:b w:val="0"/>
          <w:bCs/>
          <w:color w:val="auto"/>
          <w:szCs w:val="21"/>
          <w:highlight w:val="none"/>
          <w:lang w:eastAsia="zh-CN"/>
        </w:rPr>
        <w:t>投标人需按下表要求提供基本险种服务：</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3299"/>
        <w:gridCol w:w="3795"/>
      </w:tblGrid>
      <w:tr w14:paraId="5E906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639" w:type="dxa"/>
            <w:vAlign w:val="center"/>
          </w:tcPr>
          <w:p w14:paraId="0DBE42F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highlight w:val="none"/>
                <w:vertAlign w:val="baseline"/>
                <w:lang w:eastAsia="zh-CN"/>
              </w:rPr>
            </w:pPr>
            <w:r>
              <w:rPr>
                <w:rFonts w:hint="eastAsia" w:ascii="宋体" w:hAnsi="宋体" w:cs="宋体"/>
                <w:b/>
                <w:bCs/>
                <w:highlight w:val="none"/>
                <w:vertAlign w:val="baseline"/>
                <w:lang w:eastAsia="zh-CN"/>
              </w:rPr>
              <w:t>序号</w:t>
            </w:r>
          </w:p>
        </w:tc>
        <w:tc>
          <w:tcPr>
            <w:tcW w:w="3299" w:type="dxa"/>
            <w:vAlign w:val="center"/>
          </w:tcPr>
          <w:p w14:paraId="004FE5EE">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highlight w:val="none"/>
                <w:vertAlign w:val="baseline"/>
                <w:lang w:eastAsia="zh-CN"/>
              </w:rPr>
            </w:pPr>
            <w:r>
              <w:rPr>
                <w:rFonts w:hint="eastAsia" w:ascii="宋体" w:hAnsi="宋体" w:cs="宋体"/>
                <w:b/>
                <w:bCs/>
                <w:highlight w:val="none"/>
              </w:rPr>
              <w:t>保障</w:t>
            </w:r>
            <w:r>
              <w:rPr>
                <w:rFonts w:hint="eastAsia" w:ascii="宋体" w:hAnsi="宋体" w:cs="宋体"/>
                <w:b/>
                <w:bCs/>
                <w:highlight w:val="none"/>
                <w:lang w:eastAsia="zh-CN"/>
              </w:rPr>
              <w:t>险种及保险责任</w:t>
            </w:r>
          </w:p>
        </w:tc>
        <w:tc>
          <w:tcPr>
            <w:tcW w:w="3795" w:type="dxa"/>
            <w:vAlign w:val="center"/>
          </w:tcPr>
          <w:p w14:paraId="7A295B8D">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cs="宋体"/>
                <w:b/>
                <w:bCs/>
                <w:highlight w:val="none"/>
                <w:vertAlign w:val="baseline"/>
                <w:lang w:eastAsia="zh-CN"/>
              </w:rPr>
            </w:pPr>
            <w:r>
              <w:rPr>
                <w:rFonts w:hint="eastAsia" w:ascii="宋体" w:hAnsi="宋体" w:cs="宋体"/>
                <w:b/>
                <w:bCs/>
                <w:highlight w:val="none"/>
                <w:vertAlign w:val="baseline"/>
                <w:lang w:eastAsia="zh-CN"/>
              </w:rPr>
              <w:t>最低保额要求</w:t>
            </w:r>
          </w:p>
        </w:tc>
      </w:tr>
      <w:tr w14:paraId="0F84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37BCFD39">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highlight w:val="none"/>
                <w:vertAlign w:val="baseline"/>
                <w:lang w:val="en-US" w:eastAsia="zh-CN"/>
              </w:rPr>
            </w:pPr>
            <w:r>
              <w:rPr>
                <w:rFonts w:hint="eastAsia" w:ascii="宋体" w:hAnsi="宋体" w:cs="宋体"/>
                <w:highlight w:val="none"/>
                <w:vertAlign w:val="baseline"/>
                <w:lang w:val="en-US" w:eastAsia="zh-CN"/>
              </w:rPr>
              <w:t>1</w:t>
            </w:r>
          </w:p>
        </w:tc>
        <w:tc>
          <w:tcPr>
            <w:tcW w:w="3299" w:type="dxa"/>
            <w:vAlign w:val="center"/>
          </w:tcPr>
          <w:p w14:paraId="77204634">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highlight w:val="none"/>
                <w:vertAlign w:val="baseline"/>
                <w:lang w:eastAsia="zh-CN"/>
              </w:rPr>
            </w:pPr>
            <w:r>
              <w:rPr>
                <w:rFonts w:hint="eastAsia" w:ascii="宋体" w:hAnsi="宋体" w:eastAsia="宋体" w:cs="宋体"/>
                <w:szCs w:val="21"/>
                <w:highlight w:val="none"/>
                <w:lang w:eastAsia="zh-CN"/>
              </w:rPr>
              <w:t>第三者人身伤亡：</w:t>
            </w:r>
            <w:r>
              <w:rPr>
                <w:rFonts w:hint="eastAsia" w:ascii="宋体" w:hAnsi="宋体" w:eastAsia="宋体" w:cs="宋体"/>
                <w:highlight w:val="none"/>
                <w:vertAlign w:val="baseline"/>
                <w:lang w:eastAsia="zh-CN"/>
              </w:rPr>
              <w:t>每次事故每人受伤或死亡得到赔偿</w:t>
            </w:r>
          </w:p>
        </w:tc>
        <w:tc>
          <w:tcPr>
            <w:tcW w:w="3795" w:type="dxa"/>
          </w:tcPr>
          <w:p w14:paraId="0FB94CE5">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none"/>
                <w:vertAlign w:val="baseline"/>
                <w:lang w:eastAsia="zh-CN"/>
              </w:rPr>
            </w:pPr>
            <w:r>
              <w:rPr>
                <w:rFonts w:hint="eastAsia" w:ascii="宋体" w:hAnsi="宋体" w:eastAsia="宋体" w:cs="宋体"/>
                <w:highlight w:val="none"/>
                <w:vertAlign w:val="baseline"/>
                <w:lang w:val="en-US" w:eastAsia="zh-CN"/>
              </w:rPr>
              <w:t>每次事故残疾补偿最高130万元，死亡补偿最高120万元。</w:t>
            </w:r>
          </w:p>
        </w:tc>
      </w:tr>
      <w:tr w14:paraId="124E3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639" w:type="dxa"/>
            <w:vAlign w:val="center"/>
          </w:tcPr>
          <w:p w14:paraId="60F68C14">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highlight w:val="none"/>
                <w:vertAlign w:val="baseline"/>
                <w:lang w:val="en-US" w:eastAsia="zh-CN"/>
              </w:rPr>
            </w:pPr>
            <w:r>
              <w:rPr>
                <w:rFonts w:hint="eastAsia" w:ascii="宋体" w:hAnsi="宋体" w:cs="宋体"/>
                <w:highlight w:val="none"/>
                <w:vertAlign w:val="baseline"/>
                <w:lang w:val="en-US" w:eastAsia="zh-CN"/>
              </w:rPr>
              <w:t>2</w:t>
            </w:r>
          </w:p>
        </w:tc>
        <w:tc>
          <w:tcPr>
            <w:tcW w:w="3299" w:type="dxa"/>
            <w:vAlign w:val="center"/>
          </w:tcPr>
          <w:p w14:paraId="7F0A8029">
            <w:pPr>
              <w:keepNext w:val="0"/>
              <w:keepLines w:val="0"/>
              <w:pageBreakBefore w:val="0"/>
              <w:widowControl/>
              <w:kinsoku/>
              <w:wordWrap/>
              <w:overflowPunct/>
              <w:topLinePunct w:val="0"/>
              <w:autoSpaceDE/>
              <w:autoSpaceDN/>
              <w:bidi w:val="0"/>
              <w:adjustRightInd/>
              <w:snapToGrid/>
              <w:spacing w:line="240" w:lineRule="auto"/>
              <w:textAlignment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第三者财产损失</w:t>
            </w:r>
          </w:p>
        </w:tc>
        <w:tc>
          <w:tcPr>
            <w:tcW w:w="3795" w:type="dxa"/>
          </w:tcPr>
          <w:p w14:paraId="4C08BB70">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none"/>
                <w:vertAlign w:val="baseline"/>
                <w:lang w:eastAsia="zh-CN"/>
              </w:rPr>
            </w:pPr>
            <w:r>
              <w:rPr>
                <w:rFonts w:hint="eastAsia" w:ascii="宋体" w:hAnsi="宋体" w:eastAsia="宋体" w:cs="宋体"/>
                <w:szCs w:val="21"/>
                <w:highlight w:val="none"/>
                <w:lang w:val="en-US" w:eastAsia="zh-CN"/>
              </w:rPr>
              <w:t>每次事故及累计补偿最高10万元。</w:t>
            </w:r>
          </w:p>
        </w:tc>
      </w:tr>
      <w:tr w14:paraId="4D52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0ED1671D">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highlight w:val="none"/>
                <w:vertAlign w:val="baseline"/>
                <w:lang w:val="en-US" w:eastAsia="zh-CN"/>
              </w:rPr>
            </w:pPr>
            <w:r>
              <w:rPr>
                <w:rFonts w:hint="eastAsia" w:ascii="宋体" w:hAnsi="宋体" w:cs="宋体"/>
                <w:highlight w:val="none"/>
                <w:vertAlign w:val="baseline"/>
                <w:lang w:val="en-US" w:eastAsia="zh-CN"/>
              </w:rPr>
              <w:t>3</w:t>
            </w:r>
          </w:p>
        </w:tc>
        <w:tc>
          <w:tcPr>
            <w:tcW w:w="3299" w:type="dxa"/>
            <w:vAlign w:val="center"/>
          </w:tcPr>
          <w:p w14:paraId="20F0C6AC">
            <w:pPr>
              <w:keepNext w:val="0"/>
              <w:keepLines w:val="0"/>
              <w:pageBreakBefore w:val="0"/>
              <w:widowControl/>
              <w:kinsoku/>
              <w:wordWrap/>
              <w:overflowPunct/>
              <w:topLinePunct w:val="0"/>
              <w:autoSpaceDE/>
              <w:autoSpaceDN/>
              <w:bidi w:val="0"/>
              <w:adjustRightInd/>
              <w:snapToGrid/>
              <w:spacing w:line="240" w:lineRule="auto"/>
              <w:textAlignment w:val="center"/>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每次事故每人医疗费限额和精神损害补偿金</w:t>
            </w:r>
          </w:p>
        </w:tc>
        <w:tc>
          <w:tcPr>
            <w:tcW w:w="3795" w:type="dxa"/>
          </w:tcPr>
          <w:p w14:paraId="3EE035A9">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yellow"/>
                <w:vertAlign w:val="baseline"/>
                <w:lang w:eastAsia="zh-CN"/>
              </w:rPr>
            </w:pPr>
            <w:r>
              <w:rPr>
                <w:rFonts w:hint="eastAsia" w:ascii="宋体" w:hAnsi="宋体" w:eastAsia="宋体" w:cs="宋体"/>
                <w:szCs w:val="21"/>
                <w:highlight w:val="none"/>
              </w:rPr>
              <w:t>每人死亡赔偿限额的10%</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每次事故及累计补偿最高6500万元。</w:t>
            </w:r>
          </w:p>
        </w:tc>
      </w:tr>
      <w:tr w14:paraId="225B8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31F12DBA">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highlight w:val="none"/>
                <w:vertAlign w:val="baseline"/>
                <w:lang w:val="en-US" w:eastAsia="zh-CN"/>
              </w:rPr>
            </w:pPr>
            <w:r>
              <w:rPr>
                <w:rFonts w:hint="eastAsia" w:ascii="宋体" w:hAnsi="宋体" w:cs="宋体"/>
                <w:highlight w:val="none"/>
                <w:vertAlign w:val="baseline"/>
                <w:lang w:val="en-US" w:eastAsia="zh-CN"/>
              </w:rPr>
              <w:t>4</w:t>
            </w:r>
          </w:p>
        </w:tc>
        <w:tc>
          <w:tcPr>
            <w:tcW w:w="3299" w:type="dxa"/>
            <w:vAlign w:val="center"/>
          </w:tcPr>
          <w:p w14:paraId="7739F100">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rPr>
            </w:pPr>
            <w:r>
              <w:rPr>
                <w:rFonts w:hint="eastAsia" w:ascii="宋体" w:hAnsi="宋体" w:eastAsia="宋体" w:cs="宋体"/>
                <w:szCs w:val="21"/>
                <w:highlight w:val="none"/>
              </w:rPr>
              <w:t>精神障碍医学诊断费、精神障碍医学鉴定费、伤残鉴定费、尸检费用等调查费用</w:t>
            </w:r>
          </w:p>
        </w:tc>
        <w:tc>
          <w:tcPr>
            <w:tcW w:w="3795" w:type="dxa"/>
          </w:tcPr>
          <w:p w14:paraId="1D16C5A8">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eastAsia="zh-CN"/>
              </w:rPr>
            </w:pPr>
            <w:r>
              <w:rPr>
                <w:rFonts w:hint="eastAsia" w:ascii="宋体" w:hAnsi="宋体" w:eastAsia="宋体" w:cs="宋体"/>
                <w:szCs w:val="21"/>
                <w:highlight w:val="none"/>
              </w:rPr>
              <w:t>按实际发生额据实报销。</w:t>
            </w:r>
          </w:p>
        </w:tc>
      </w:tr>
      <w:tr w14:paraId="7808B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64550E49">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highlight w:val="none"/>
                <w:vertAlign w:val="baseline"/>
                <w:lang w:val="en-US" w:eastAsia="zh-CN"/>
              </w:rPr>
            </w:pPr>
            <w:r>
              <w:rPr>
                <w:rFonts w:hint="eastAsia" w:ascii="宋体" w:hAnsi="宋体" w:cs="宋体"/>
                <w:highlight w:val="none"/>
                <w:vertAlign w:val="baseline"/>
                <w:lang w:val="en-US" w:eastAsia="zh-CN"/>
              </w:rPr>
              <w:t>5</w:t>
            </w:r>
          </w:p>
        </w:tc>
        <w:tc>
          <w:tcPr>
            <w:tcW w:w="3299" w:type="dxa"/>
            <w:vAlign w:val="center"/>
          </w:tcPr>
          <w:p w14:paraId="387FDC76">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仲裁/诉讼的法律费用</w:t>
            </w:r>
          </w:p>
        </w:tc>
        <w:tc>
          <w:tcPr>
            <w:tcW w:w="3795" w:type="dxa"/>
          </w:tcPr>
          <w:p w14:paraId="5BAC4CF6">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每次法律费用补偿最高10万元；</w:t>
            </w:r>
          </w:p>
          <w:p w14:paraId="43C60C42">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每次事故及累计法律费用补偿最高3000万元。</w:t>
            </w:r>
          </w:p>
        </w:tc>
      </w:tr>
      <w:tr w14:paraId="33AEA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5EB21F51">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highlight w:val="none"/>
                <w:vertAlign w:val="baseline"/>
                <w:lang w:val="en-US" w:eastAsia="zh-CN"/>
              </w:rPr>
            </w:pPr>
            <w:r>
              <w:rPr>
                <w:rFonts w:hint="eastAsia" w:ascii="宋体" w:hAnsi="宋体" w:cs="宋体"/>
                <w:highlight w:val="none"/>
                <w:vertAlign w:val="baseline"/>
                <w:lang w:val="en-US" w:eastAsia="zh-CN"/>
              </w:rPr>
              <w:t>6</w:t>
            </w:r>
          </w:p>
        </w:tc>
        <w:tc>
          <w:tcPr>
            <w:tcW w:w="3299" w:type="dxa"/>
            <w:vAlign w:val="center"/>
          </w:tcPr>
          <w:p w14:paraId="15A73599">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医疗费、误工费、看护费</w:t>
            </w:r>
          </w:p>
        </w:tc>
        <w:tc>
          <w:tcPr>
            <w:tcW w:w="3795" w:type="dxa"/>
          </w:tcPr>
          <w:p w14:paraId="1BA83855">
            <w:pPr>
              <w:keepNext w:val="0"/>
              <w:keepLines w:val="0"/>
              <w:pageBreakBefore w:val="0"/>
              <w:kinsoku/>
              <w:wordWrap/>
              <w:overflowPunct/>
              <w:topLinePunct w:val="0"/>
              <w:autoSpaceDE/>
              <w:autoSpaceDN/>
              <w:bidi w:val="0"/>
              <w:adjustRightInd/>
              <w:snapToGrid/>
              <w:spacing w:line="240" w:lineRule="auto"/>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合计补偿最高25万元。</w:t>
            </w:r>
          </w:p>
          <w:p w14:paraId="5672F500">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eastAsia="zh-CN"/>
              </w:rPr>
            </w:pPr>
          </w:p>
        </w:tc>
      </w:tr>
    </w:tbl>
    <w:p w14:paraId="2203C46F">
      <w:pPr>
        <w:pStyle w:val="2"/>
        <w:pageBreakBefore w:val="0"/>
        <w:kinsoku/>
        <w:wordWrap/>
        <w:overflowPunct/>
        <w:topLinePunct w:val="0"/>
        <w:bidi w:val="0"/>
        <w:spacing w:line="240" w:lineRule="auto"/>
        <w:rPr>
          <w:rFonts w:hint="eastAsia"/>
          <w:highlight w:val="yellow"/>
        </w:rPr>
      </w:pPr>
    </w:p>
    <w:p w14:paraId="5058B3E5">
      <w:pPr>
        <w:pageBreakBefore w:val="0"/>
        <w:kinsoku/>
        <w:wordWrap/>
        <w:overflowPunct/>
        <w:topLinePunct w:val="0"/>
        <w:bidi w:val="0"/>
        <w:spacing w:line="240" w:lineRule="auto"/>
        <w:ind w:firstLine="422" w:firstLineChars="200"/>
        <w:rPr>
          <w:rFonts w:hint="eastAsia" w:ascii="宋体" w:hAnsi="宋体" w:eastAsia="宋体" w:cs="宋体"/>
          <w:b/>
          <w:bCs/>
          <w:highlight w:val="none"/>
        </w:rPr>
      </w:pPr>
      <w:r>
        <w:rPr>
          <w:rFonts w:hint="eastAsia" w:ascii="宋体" w:hAnsi="宋体" w:cs="宋体"/>
          <w:b/>
          <w:bCs/>
          <w:highlight w:val="none"/>
          <w:lang w:val="en-US" w:eastAsia="zh-CN"/>
        </w:rPr>
        <w:t>2、拓展保障理赔标准</w:t>
      </w:r>
      <w:r>
        <w:rPr>
          <w:rFonts w:hint="eastAsia" w:ascii="宋体" w:hAnsi="宋体" w:eastAsia="宋体" w:cs="宋体"/>
          <w:b/>
          <w:bCs/>
          <w:highlight w:val="none"/>
        </w:rPr>
        <w:t>：</w:t>
      </w:r>
    </w:p>
    <w:p w14:paraId="22CAE741">
      <w:pPr>
        <w:pageBreakBefore w:val="0"/>
        <w:kinsoku/>
        <w:wordWrap/>
        <w:overflowPunct/>
        <w:topLinePunct w:val="0"/>
        <w:bidi w:val="0"/>
        <w:spacing w:line="24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rPr>
        <w:t>除基本险种范围内，投标人</w:t>
      </w:r>
      <w:r>
        <w:rPr>
          <w:rFonts w:hint="eastAsia" w:ascii="宋体" w:hAnsi="宋体" w:cs="宋体"/>
          <w:highlight w:val="none"/>
          <w:lang w:eastAsia="zh-CN"/>
        </w:rPr>
        <w:t>根据自身实际情况按下表要求填写能提供的</w:t>
      </w:r>
      <w:r>
        <w:rPr>
          <w:rFonts w:hint="eastAsia" w:ascii="宋体" w:hAnsi="宋体" w:eastAsia="宋体" w:cs="宋体"/>
          <w:highlight w:val="none"/>
        </w:rPr>
        <w:t>其他险种服务，</w:t>
      </w:r>
      <w:r>
        <w:rPr>
          <w:rFonts w:hint="eastAsia" w:ascii="宋体" w:hAnsi="宋体" w:cs="宋体"/>
          <w:highlight w:val="none"/>
          <w:lang w:eastAsia="zh-CN"/>
        </w:rPr>
        <w:t>评审专家根据投标人提供的清单内容进行评审</w:t>
      </w:r>
      <w:r>
        <w:rPr>
          <w:rFonts w:hint="eastAsia" w:ascii="宋体" w:hAnsi="宋体" w:eastAsia="宋体" w:cs="宋体"/>
          <w:highlight w:val="none"/>
          <w:lang w:eastAsia="zh-CN"/>
        </w:rPr>
        <w:t>。</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9"/>
        <w:gridCol w:w="1994"/>
        <w:gridCol w:w="2550"/>
        <w:gridCol w:w="2580"/>
      </w:tblGrid>
      <w:tr w14:paraId="61FE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639" w:type="dxa"/>
            <w:vAlign w:val="center"/>
          </w:tcPr>
          <w:p w14:paraId="1B70D581">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b/>
                <w:bCs/>
                <w:highlight w:val="none"/>
                <w:vertAlign w:val="baseline"/>
                <w:lang w:val="en-US" w:eastAsia="zh-CN"/>
              </w:rPr>
            </w:pPr>
            <w:r>
              <w:rPr>
                <w:rFonts w:hint="eastAsia" w:ascii="宋体" w:hAnsi="宋体" w:cs="宋体"/>
                <w:b/>
                <w:bCs/>
                <w:highlight w:val="none"/>
                <w:vertAlign w:val="baseline"/>
                <w:lang w:eastAsia="zh-CN"/>
              </w:rPr>
              <w:t>序号</w:t>
            </w:r>
          </w:p>
        </w:tc>
        <w:tc>
          <w:tcPr>
            <w:tcW w:w="1994" w:type="dxa"/>
            <w:vAlign w:val="center"/>
          </w:tcPr>
          <w:p w14:paraId="0D173A86">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highlight w:val="none"/>
                <w:vertAlign w:val="baseline"/>
                <w:lang w:val="en-US" w:eastAsia="zh-CN"/>
              </w:rPr>
            </w:pPr>
            <w:r>
              <w:rPr>
                <w:rFonts w:hint="eastAsia" w:ascii="宋体" w:hAnsi="宋体" w:cs="宋体"/>
                <w:b/>
                <w:bCs/>
                <w:highlight w:val="none"/>
                <w:lang w:eastAsia="zh-CN"/>
              </w:rPr>
              <w:t>保险对象</w:t>
            </w:r>
          </w:p>
        </w:tc>
        <w:tc>
          <w:tcPr>
            <w:tcW w:w="2550" w:type="dxa"/>
            <w:vAlign w:val="center"/>
          </w:tcPr>
          <w:p w14:paraId="5018ADA3">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b/>
                <w:bCs/>
                <w:highlight w:val="none"/>
                <w:vertAlign w:val="baseline"/>
                <w:lang w:val="en-US" w:eastAsia="zh-CN"/>
              </w:rPr>
            </w:pPr>
            <w:r>
              <w:rPr>
                <w:rFonts w:hint="eastAsia" w:ascii="宋体" w:hAnsi="宋体" w:cs="宋体"/>
                <w:b/>
                <w:bCs/>
                <w:highlight w:val="none"/>
                <w:vertAlign w:val="baseline"/>
                <w:lang w:eastAsia="zh-CN"/>
              </w:rPr>
              <w:t>保险险种及保险责任</w:t>
            </w:r>
          </w:p>
        </w:tc>
        <w:tc>
          <w:tcPr>
            <w:tcW w:w="2580" w:type="dxa"/>
            <w:vAlign w:val="center"/>
          </w:tcPr>
          <w:p w14:paraId="283F6B4C">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b/>
                <w:bCs/>
                <w:highlight w:val="none"/>
                <w:vertAlign w:val="baseline"/>
                <w:lang w:val="en-US" w:eastAsia="zh-CN"/>
              </w:rPr>
            </w:pPr>
            <w:r>
              <w:rPr>
                <w:rFonts w:hint="eastAsia" w:ascii="宋体" w:hAnsi="宋体" w:cs="宋体"/>
                <w:b/>
                <w:bCs/>
                <w:highlight w:val="none"/>
                <w:vertAlign w:val="baseline"/>
                <w:lang w:eastAsia="zh-CN"/>
              </w:rPr>
              <w:t>最低保额要求</w:t>
            </w:r>
          </w:p>
        </w:tc>
      </w:tr>
      <w:tr w14:paraId="56D9D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0C549D30">
            <w:pPr>
              <w:pageBreakBefore w:val="0"/>
              <w:kinsoku/>
              <w:wordWrap/>
              <w:overflowPunct/>
              <w:topLinePunct w:val="0"/>
              <w:bidi w:val="0"/>
              <w:spacing w:line="240" w:lineRule="auto"/>
              <w:jc w:val="center"/>
              <w:rPr>
                <w:rFonts w:hint="default" w:ascii="宋体" w:hAnsi="宋体" w:eastAsia="宋体" w:cs="宋体"/>
                <w:highlight w:val="none"/>
                <w:vertAlign w:val="baseline"/>
                <w:lang w:val="en-US" w:eastAsia="zh-CN"/>
              </w:rPr>
            </w:pPr>
            <w:r>
              <w:rPr>
                <w:rFonts w:hint="eastAsia" w:ascii="宋体" w:hAnsi="宋体" w:cs="宋体"/>
                <w:highlight w:val="none"/>
                <w:vertAlign w:val="baseline"/>
                <w:lang w:val="en-US" w:eastAsia="zh-CN"/>
              </w:rPr>
              <w:t>1</w:t>
            </w:r>
          </w:p>
        </w:tc>
        <w:tc>
          <w:tcPr>
            <w:tcW w:w="1994" w:type="dxa"/>
            <w:vAlign w:val="center"/>
          </w:tcPr>
          <w:p w14:paraId="68139881">
            <w:pPr>
              <w:pageBreakBefore w:val="0"/>
              <w:kinsoku/>
              <w:wordWrap/>
              <w:overflowPunct/>
              <w:topLinePunct w:val="0"/>
              <w:bidi w:val="0"/>
              <w:spacing w:line="240" w:lineRule="auto"/>
              <w:jc w:val="both"/>
              <w:rPr>
                <w:rFonts w:hint="eastAsia" w:ascii="宋体" w:hAnsi="宋体" w:cs="宋体"/>
                <w:highlight w:val="none"/>
                <w:vertAlign w:val="baseline"/>
                <w:lang w:val="en-US" w:eastAsia="zh-CN"/>
              </w:rPr>
            </w:pPr>
            <w:r>
              <w:rPr>
                <w:rFonts w:hint="eastAsia" w:ascii="宋体" w:hAnsi="宋体" w:cs="宋体"/>
                <w:highlight w:val="none"/>
                <w:vertAlign w:val="baseline"/>
                <w:lang w:val="en-US" w:eastAsia="zh-CN"/>
              </w:rPr>
              <w:t>患者监护人、家庭成员</w:t>
            </w:r>
          </w:p>
        </w:tc>
        <w:tc>
          <w:tcPr>
            <w:tcW w:w="2550" w:type="dxa"/>
            <w:vAlign w:val="center"/>
          </w:tcPr>
          <w:p w14:paraId="668E6C6B">
            <w:pPr>
              <w:pageBreakBefore w:val="0"/>
              <w:widowControl/>
              <w:kinsoku/>
              <w:wordWrap/>
              <w:overflowPunct/>
              <w:topLinePunct w:val="0"/>
              <w:bidi w:val="0"/>
              <w:spacing w:line="240" w:lineRule="auto"/>
              <w:jc w:val="center"/>
              <w:textAlignment w:val="center"/>
              <w:rPr>
                <w:rFonts w:hint="eastAsia" w:ascii="宋体" w:hAnsi="宋体" w:eastAsia="宋体" w:cs="宋体"/>
                <w:highlight w:val="none"/>
                <w:vertAlign w:val="baseline"/>
                <w:lang w:eastAsia="zh-CN"/>
              </w:rPr>
            </w:pPr>
            <w:r>
              <w:rPr>
                <w:rFonts w:hint="eastAsia" w:ascii="宋体" w:hAnsi="宋体" w:cs="宋体"/>
                <w:szCs w:val="21"/>
                <w:highlight w:val="none"/>
              </w:rPr>
              <w:t>死亡、残疾、医疗费用补偿</w:t>
            </w:r>
          </w:p>
        </w:tc>
        <w:tc>
          <w:tcPr>
            <w:tcW w:w="2580" w:type="dxa"/>
          </w:tcPr>
          <w:p w14:paraId="067F1367">
            <w:pPr>
              <w:pageBreakBefore w:val="0"/>
              <w:kinsoku/>
              <w:wordWrap/>
              <w:overflowPunct/>
              <w:topLinePunct w:val="0"/>
              <w:bidi w:val="0"/>
              <w:spacing w:line="240" w:lineRule="auto"/>
              <w:rPr>
                <w:rFonts w:hint="eastAsia" w:ascii="宋体" w:hAnsi="宋体" w:eastAsia="宋体" w:cs="宋体"/>
                <w:highlight w:val="none"/>
                <w:vertAlign w:val="baseline"/>
                <w:lang w:eastAsia="zh-CN"/>
              </w:rPr>
            </w:pPr>
            <w:r>
              <w:rPr>
                <w:rFonts w:hint="eastAsia" w:ascii="宋体" w:hAnsi="宋体" w:eastAsia="宋体" w:cs="宋体"/>
                <w:highlight w:val="none"/>
                <w:vertAlign w:val="baseline"/>
                <w:lang w:eastAsia="zh-CN"/>
              </w:rPr>
              <w:t>为所投保档次第三者对应补偿限额。</w:t>
            </w:r>
          </w:p>
        </w:tc>
      </w:tr>
      <w:tr w14:paraId="2071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215F527F">
            <w:pPr>
              <w:pageBreakBefore w:val="0"/>
              <w:kinsoku/>
              <w:wordWrap/>
              <w:overflowPunct/>
              <w:topLinePunct w:val="0"/>
              <w:bidi w:val="0"/>
              <w:spacing w:line="240" w:lineRule="auto"/>
              <w:jc w:val="center"/>
              <w:rPr>
                <w:rFonts w:hint="default" w:ascii="宋体" w:hAnsi="宋体" w:eastAsia="宋体" w:cs="宋体"/>
                <w:highlight w:val="none"/>
                <w:vertAlign w:val="baseline"/>
                <w:lang w:val="en-US" w:eastAsia="zh-CN"/>
              </w:rPr>
            </w:pPr>
            <w:r>
              <w:rPr>
                <w:rFonts w:hint="eastAsia" w:ascii="宋体" w:hAnsi="宋体" w:cs="宋体"/>
                <w:highlight w:val="none"/>
                <w:vertAlign w:val="baseline"/>
                <w:lang w:val="en-US" w:eastAsia="zh-CN"/>
              </w:rPr>
              <w:t>2</w:t>
            </w:r>
          </w:p>
        </w:tc>
        <w:tc>
          <w:tcPr>
            <w:tcW w:w="1994" w:type="dxa"/>
            <w:vAlign w:val="center"/>
          </w:tcPr>
          <w:p w14:paraId="33904047">
            <w:pPr>
              <w:pageBreakBefore w:val="0"/>
              <w:kinsoku/>
              <w:wordWrap/>
              <w:overflowPunct/>
              <w:topLinePunct w:val="0"/>
              <w:bidi w:val="0"/>
              <w:spacing w:line="240" w:lineRule="auto"/>
              <w:jc w:val="both"/>
              <w:rPr>
                <w:rFonts w:hint="eastAsia" w:ascii="宋体" w:hAnsi="宋体" w:cs="宋体"/>
                <w:highlight w:val="none"/>
                <w:vertAlign w:val="baseline"/>
                <w:lang w:val="en-US" w:eastAsia="zh-CN"/>
              </w:rPr>
            </w:pPr>
            <w:r>
              <w:rPr>
                <w:rFonts w:hint="eastAsia" w:ascii="宋体" w:hAnsi="宋体" w:cs="宋体"/>
                <w:highlight w:val="none"/>
                <w:vertAlign w:val="baseline"/>
                <w:lang w:val="en-US" w:eastAsia="zh-CN"/>
              </w:rPr>
              <w:t>街道、社区等参与精防工作有关人员</w:t>
            </w:r>
          </w:p>
        </w:tc>
        <w:tc>
          <w:tcPr>
            <w:tcW w:w="2550" w:type="dxa"/>
            <w:vAlign w:val="center"/>
          </w:tcPr>
          <w:p w14:paraId="5B979406">
            <w:pPr>
              <w:pageBreakBefore w:val="0"/>
              <w:widowControl/>
              <w:kinsoku/>
              <w:wordWrap/>
              <w:overflowPunct/>
              <w:topLinePunct w:val="0"/>
              <w:bidi w:val="0"/>
              <w:spacing w:line="240" w:lineRule="auto"/>
              <w:jc w:val="center"/>
              <w:textAlignment w:val="center"/>
              <w:rPr>
                <w:rFonts w:hint="eastAsia" w:ascii="宋体" w:hAnsi="宋体" w:eastAsia="宋体" w:cs="宋体"/>
                <w:highlight w:val="none"/>
                <w:vertAlign w:val="baseline"/>
                <w:lang w:eastAsia="zh-CN"/>
              </w:rPr>
            </w:pPr>
            <w:r>
              <w:rPr>
                <w:rFonts w:hint="eastAsia" w:ascii="宋体" w:hAnsi="宋体" w:cs="宋体"/>
                <w:szCs w:val="21"/>
                <w:highlight w:val="none"/>
              </w:rPr>
              <w:t>死亡、残疾、医疗费用补偿</w:t>
            </w:r>
          </w:p>
        </w:tc>
        <w:tc>
          <w:tcPr>
            <w:tcW w:w="2580" w:type="dxa"/>
          </w:tcPr>
          <w:p w14:paraId="56EFE526">
            <w:pPr>
              <w:pageBreakBefore w:val="0"/>
              <w:kinsoku/>
              <w:wordWrap/>
              <w:overflowPunct/>
              <w:topLinePunct w:val="0"/>
              <w:bidi w:val="0"/>
              <w:spacing w:line="240" w:lineRule="auto"/>
              <w:rPr>
                <w:rFonts w:hint="eastAsia" w:ascii="宋体" w:hAnsi="宋体" w:eastAsia="宋体" w:cs="宋体"/>
                <w:highlight w:val="none"/>
                <w:vertAlign w:val="baseline"/>
                <w:lang w:eastAsia="zh-CN"/>
              </w:rPr>
            </w:pPr>
            <w:r>
              <w:rPr>
                <w:rFonts w:hint="eastAsia" w:ascii="宋体" w:hAnsi="宋体" w:eastAsia="宋体" w:cs="宋体"/>
                <w:highlight w:val="none"/>
                <w:vertAlign w:val="baseline"/>
                <w:lang w:eastAsia="zh-CN"/>
              </w:rPr>
              <w:t>为所投保档次第三者对应补偿限额的 1.5 倍</w:t>
            </w:r>
          </w:p>
        </w:tc>
      </w:tr>
      <w:tr w14:paraId="7D78B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3F826A80">
            <w:pPr>
              <w:pageBreakBefore w:val="0"/>
              <w:widowControl/>
              <w:kinsoku/>
              <w:wordWrap/>
              <w:overflowPunct/>
              <w:topLinePunct w:val="0"/>
              <w:bidi w:val="0"/>
              <w:spacing w:line="240" w:lineRule="auto"/>
              <w:jc w:val="center"/>
              <w:textAlignment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3</w:t>
            </w:r>
          </w:p>
        </w:tc>
        <w:tc>
          <w:tcPr>
            <w:tcW w:w="4544" w:type="dxa"/>
            <w:gridSpan w:val="2"/>
            <w:vAlign w:val="center"/>
          </w:tcPr>
          <w:p w14:paraId="308D8F95">
            <w:pPr>
              <w:pageBreakBefore w:val="0"/>
              <w:widowControl/>
              <w:kinsoku/>
              <w:wordWrap/>
              <w:overflowPunct/>
              <w:topLinePunct w:val="0"/>
              <w:bidi w:val="0"/>
              <w:spacing w:line="240" w:lineRule="auto"/>
              <w:jc w:val="left"/>
              <w:textAlignment w:val="center"/>
              <w:rPr>
                <w:rFonts w:hint="eastAsia" w:ascii="宋体" w:hAnsi="宋体" w:eastAsia="宋体" w:cs="宋体"/>
                <w:szCs w:val="21"/>
                <w:highlight w:val="none"/>
                <w:lang w:eastAsia="zh-CN"/>
              </w:rPr>
            </w:pPr>
            <w:r>
              <w:rPr>
                <w:rFonts w:hint="eastAsia" w:ascii="宋体" w:hAnsi="宋体" w:eastAsia="宋体" w:cs="宋体"/>
                <w:szCs w:val="21"/>
                <w:highlight w:val="none"/>
                <w:lang w:val="en-US" w:eastAsia="zh-CN"/>
              </w:rPr>
              <w:t>每次事故每人丧葬补助金</w:t>
            </w:r>
          </w:p>
        </w:tc>
        <w:tc>
          <w:tcPr>
            <w:tcW w:w="2580" w:type="dxa"/>
          </w:tcPr>
          <w:p w14:paraId="45574571">
            <w:pPr>
              <w:pageBreakBefore w:val="0"/>
              <w:kinsoku/>
              <w:wordWrap/>
              <w:overflowPunct/>
              <w:topLinePunct w:val="0"/>
              <w:bidi w:val="0"/>
              <w:spacing w:line="240" w:lineRule="auto"/>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0.4万元</w:t>
            </w:r>
          </w:p>
        </w:tc>
      </w:tr>
      <w:tr w14:paraId="12B0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9" w:type="dxa"/>
            <w:vAlign w:val="center"/>
          </w:tcPr>
          <w:p w14:paraId="20BF45DE">
            <w:pPr>
              <w:pageBreakBefore w:val="0"/>
              <w:kinsoku/>
              <w:wordWrap/>
              <w:overflowPunct/>
              <w:topLinePunct w:val="0"/>
              <w:bidi w:val="0"/>
              <w:spacing w:line="240" w:lineRule="auto"/>
              <w:jc w:val="center"/>
              <w:rPr>
                <w:rFonts w:hint="default" w:ascii="宋体" w:hAnsi="宋体" w:eastAsia="宋体" w:cs="宋体"/>
                <w:highlight w:val="none"/>
                <w:vertAlign w:val="baseline"/>
                <w:lang w:val="en-US" w:eastAsia="zh-CN"/>
              </w:rPr>
            </w:pPr>
            <w:r>
              <w:rPr>
                <w:rFonts w:hint="eastAsia" w:ascii="宋体" w:hAnsi="宋体" w:cs="宋体"/>
                <w:highlight w:val="none"/>
                <w:vertAlign w:val="baseline"/>
                <w:lang w:val="en-US" w:eastAsia="zh-CN"/>
              </w:rPr>
              <w:t>4</w:t>
            </w:r>
          </w:p>
        </w:tc>
        <w:tc>
          <w:tcPr>
            <w:tcW w:w="4544" w:type="dxa"/>
            <w:gridSpan w:val="2"/>
            <w:vAlign w:val="center"/>
          </w:tcPr>
          <w:p w14:paraId="37F6BA48">
            <w:pPr>
              <w:pageBreakBefore w:val="0"/>
              <w:widowControl/>
              <w:kinsoku/>
              <w:wordWrap/>
              <w:overflowPunct/>
              <w:topLinePunct w:val="0"/>
              <w:bidi w:val="0"/>
              <w:spacing w:line="240" w:lineRule="auto"/>
              <w:jc w:val="left"/>
              <w:textAlignment w:val="center"/>
              <w:rPr>
                <w:rFonts w:hint="eastAsia" w:ascii="宋体" w:hAnsi="宋体" w:eastAsia="宋体" w:cs="宋体"/>
                <w:highlight w:val="none"/>
                <w:vertAlign w:val="baseline"/>
                <w:lang w:eastAsia="zh-CN"/>
              </w:rPr>
            </w:pPr>
            <w:r>
              <w:rPr>
                <w:rFonts w:hint="eastAsia" w:ascii="宋体" w:hAnsi="宋体" w:cs="仿宋"/>
                <w:szCs w:val="21"/>
                <w:highlight w:val="none"/>
              </w:rPr>
              <w:t>每次事故每人及累计意外伤害门诊及住院医疗费用补偿</w:t>
            </w:r>
          </w:p>
        </w:tc>
        <w:tc>
          <w:tcPr>
            <w:tcW w:w="2580" w:type="dxa"/>
          </w:tcPr>
          <w:p w14:paraId="630B2BE3">
            <w:pPr>
              <w:pageBreakBefore w:val="0"/>
              <w:kinsoku/>
              <w:wordWrap/>
              <w:overflowPunct/>
              <w:topLinePunct w:val="0"/>
              <w:bidi w:val="0"/>
              <w:spacing w:line="240" w:lineRule="auto"/>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0.5万元</w:t>
            </w:r>
          </w:p>
        </w:tc>
      </w:tr>
      <w:tr w14:paraId="1834A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63" w:type="dxa"/>
            <w:gridSpan w:val="4"/>
            <w:vAlign w:val="center"/>
          </w:tcPr>
          <w:p w14:paraId="69A118ED">
            <w:pPr>
              <w:pageBreakBefore w:val="0"/>
              <w:kinsoku/>
              <w:wordWrap/>
              <w:overflowPunct/>
              <w:topLinePunct w:val="0"/>
              <w:bidi w:val="0"/>
              <w:spacing w:line="240" w:lineRule="auto"/>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eastAsia="zh-CN"/>
              </w:rPr>
              <w:t>注：暂未在册的严重精神障碍患者造成第三者人身损害、死亡、残疾和医疗费用补偿与保障方案同步。</w:t>
            </w:r>
          </w:p>
        </w:tc>
      </w:tr>
    </w:tbl>
    <w:p w14:paraId="7DD4C455">
      <w:pPr>
        <w:pStyle w:val="18"/>
        <w:keepNext w:val="0"/>
        <w:keepLines w:val="0"/>
        <w:pageBreakBefore w:val="0"/>
        <w:widowControl w:val="0"/>
        <w:kinsoku/>
        <w:wordWrap/>
        <w:overflowPunct/>
        <w:topLinePunct w:val="0"/>
        <w:autoSpaceDE w:val="0"/>
        <w:autoSpaceDN w:val="0"/>
        <w:bidi w:val="0"/>
        <w:adjustRightInd w:val="0"/>
        <w:snapToGrid/>
        <w:spacing w:line="240" w:lineRule="auto"/>
        <w:ind w:firstLine="422" w:firstLineChars="200"/>
        <w:textAlignment w:val="auto"/>
        <w:rPr>
          <w:rFonts w:hint="eastAsia" w:asciiTheme="minorEastAsia" w:hAnsiTheme="minorEastAsia" w:eastAsiaTheme="minorEastAsia" w:cstheme="minorEastAsia"/>
          <w:b/>
          <w:bCs/>
          <w:color w:val="000000"/>
          <w:kern w:val="2"/>
          <w:sz w:val="21"/>
          <w:szCs w:val="21"/>
          <w:lang w:val="en-US" w:eastAsia="zh-CN" w:bidi="ar-SA"/>
        </w:rPr>
      </w:pPr>
    </w:p>
    <w:p w14:paraId="0A7BBEA5">
      <w:pPr>
        <w:pStyle w:val="18"/>
        <w:keepNext w:val="0"/>
        <w:keepLines w:val="0"/>
        <w:pageBreakBefore w:val="0"/>
        <w:widowControl w:val="0"/>
        <w:kinsoku/>
        <w:wordWrap/>
        <w:overflowPunct/>
        <w:topLinePunct w:val="0"/>
        <w:autoSpaceDE w:val="0"/>
        <w:autoSpaceDN w:val="0"/>
        <w:bidi w:val="0"/>
        <w:adjustRightInd w:val="0"/>
        <w:snapToGrid/>
        <w:spacing w:line="240" w:lineRule="auto"/>
        <w:ind w:firstLine="422" w:firstLineChars="200"/>
        <w:textAlignment w:val="auto"/>
        <w:rPr>
          <w:rFonts w:hint="eastAsia" w:asciiTheme="minorEastAsia" w:hAnsiTheme="minorEastAsia" w:eastAsiaTheme="minorEastAsia" w:cstheme="minorEastAsia"/>
          <w:b/>
          <w:bCs/>
          <w:color w:val="000000"/>
          <w:kern w:val="2"/>
          <w:sz w:val="21"/>
          <w:szCs w:val="21"/>
          <w:lang w:val="en-US" w:eastAsia="zh-CN" w:bidi="ar-SA"/>
        </w:rPr>
      </w:pPr>
      <w:r>
        <w:rPr>
          <w:rFonts w:hint="eastAsia" w:asciiTheme="minorEastAsia" w:hAnsiTheme="minorEastAsia" w:eastAsiaTheme="minorEastAsia" w:cstheme="minorEastAsia"/>
          <w:b/>
          <w:bCs/>
          <w:color w:val="000000"/>
          <w:kern w:val="2"/>
          <w:sz w:val="21"/>
          <w:szCs w:val="21"/>
          <w:lang w:val="en-US" w:eastAsia="zh-CN" w:bidi="ar-SA"/>
        </w:rPr>
        <w:t>3、其他条款：</w:t>
      </w:r>
    </w:p>
    <w:p w14:paraId="59ED104F">
      <w:pPr>
        <w:pageBreakBefore w:val="0"/>
        <w:numPr>
          <w:ilvl w:val="-1"/>
          <w:numId w:val="0"/>
        </w:numPr>
        <w:kinsoku/>
        <w:wordWrap/>
        <w:overflowPunct/>
        <w:topLinePunct w:val="0"/>
        <w:bidi w:val="0"/>
        <w:spacing w:line="240" w:lineRule="auto"/>
        <w:ind w:firstLine="420" w:firstLineChars="20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1）在保险期间内，被保险人监护的严重精神障碍患者在中华人民共和国境内（港、澳、台地区除外，下同）造成第三者人身损害或财产损失，依照中华人民共和国法律（不包括港、澳、台地区法律，下同）应由被保险人和/或附加被保险人承担的经济补偿责任，保险人按照本保险合同约定负责补偿。</w:t>
      </w:r>
    </w:p>
    <w:p w14:paraId="5F410457">
      <w:pPr>
        <w:pageBreakBefore w:val="0"/>
        <w:numPr>
          <w:ilvl w:val="-1"/>
          <w:numId w:val="0"/>
        </w:numPr>
        <w:kinsoku/>
        <w:wordWrap/>
        <w:overflowPunct/>
        <w:topLinePunct w:val="0"/>
        <w:bidi w:val="0"/>
        <w:spacing w:line="240" w:lineRule="auto"/>
        <w:ind w:firstLine="420" w:firstLineChars="20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保险事故发生时，被保险人为控制或减少损失所支付的必要的、合理的费用，保险人按照本保险合同约定也负责赔偿。</w:t>
      </w:r>
    </w:p>
    <w:p w14:paraId="13F023CC">
      <w:pPr>
        <w:pageBreakBefore w:val="0"/>
        <w:numPr>
          <w:ilvl w:val="-1"/>
          <w:numId w:val="0"/>
        </w:numPr>
        <w:kinsoku/>
        <w:wordWrap/>
        <w:overflowPunct/>
        <w:topLinePunct w:val="0"/>
        <w:bidi w:val="0"/>
        <w:spacing w:line="240" w:lineRule="auto"/>
        <w:ind w:firstLine="420" w:firstLineChars="20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2）在保险期间内，被保险人监护的严重精神障碍患者造成第三者人身损害，由第三者向被保险人和/或附加被保险人提出精神损害索赔，依照中华人民共和国法律应由被保险人和/或附加被保险人承担的精神损害补偿责任，保险人按照本保险合同约定负责补偿。</w:t>
      </w:r>
    </w:p>
    <w:p w14:paraId="48A1EEE7">
      <w:pPr>
        <w:pageBreakBefore w:val="0"/>
        <w:numPr>
          <w:ilvl w:val="-1"/>
          <w:numId w:val="0"/>
        </w:numPr>
        <w:kinsoku/>
        <w:wordWrap/>
        <w:overflowPunct/>
        <w:topLinePunct w:val="0"/>
        <w:bidi w:val="0"/>
        <w:spacing w:line="240" w:lineRule="auto"/>
        <w:ind w:firstLine="420" w:firstLineChars="200"/>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3）在保险期间内，被保险人和/或附加被保险人为查明和确定保险事故的性质、原因和损失程度所支付的精神障碍医学诊断费、精神障碍医学鉴定费、尸检费用、伤残鉴定费以及其它必要的、合理的费用（合称调查费用），保险人按照本保险合同的约定负责补偿。但经诊断或者鉴定为非严重精神障碍患者的，所发生的费用保险人不予补偿。</w:t>
      </w:r>
    </w:p>
    <w:p w14:paraId="39DFCD89">
      <w:pPr>
        <w:pageBreakBefore w:val="0"/>
        <w:numPr>
          <w:ilvl w:val="-1"/>
          <w:numId w:val="0"/>
        </w:numPr>
        <w:kinsoku/>
        <w:wordWrap/>
        <w:overflowPunct/>
        <w:topLinePunct w:val="0"/>
        <w:bidi w:val="0"/>
        <w:spacing w:line="240" w:lineRule="auto"/>
        <w:ind w:firstLine="420" w:firstLineChars="200"/>
        <w:rPr>
          <w:rFonts w:hint="eastAsia" w:ascii="宋体" w:hAnsi="宋体" w:eastAsia="宋体" w:cs="宋体"/>
          <w:highlight w:val="none"/>
          <w:lang w:eastAsia="zh-CN"/>
        </w:rPr>
      </w:pPr>
      <w:r>
        <w:rPr>
          <w:rFonts w:hint="eastAsia" w:ascii="Times New Roman" w:hAnsi="Times New Roman" w:eastAsia="宋体" w:cs="Times New Roman"/>
          <w:highlight w:val="none"/>
          <w:lang w:val="en-US" w:eastAsia="zh-CN"/>
        </w:rPr>
        <w:t>发生可能引起本保险合同项下补偿的情形时，被保险人被提起诉讼或仲裁所发生的合理的、必要的法律费用（含诉讼费、鉴定费、取证费、案件受理费、评估费、公证费、律师费、仲裁费及其他相关费用等），保险人按照本保险合同约定负责补偿。</w:t>
      </w:r>
    </w:p>
    <w:p w14:paraId="138EC49E">
      <w:pPr>
        <w:pageBreakBefore w:val="0"/>
        <w:numPr>
          <w:ilvl w:val="-1"/>
          <w:numId w:val="0"/>
        </w:numPr>
        <w:kinsoku/>
        <w:wordWrap/>
        <w:overflowPunct/>
        <w:topLinePunct w:val="0"/>
        <w:bidi w:val="0"/>
        <w:spacing w:line="240" w:lineRule="auto"/>
        <w:ind w:firstLine="422" w:firstLineChars="200"/>
        <w:rPr>
          <w:rFonts w:hint="eastAsia"/>
          <w:b/>
          <w:bCs/>
          <w:highlight w:val="none"/>
        </w:rPr>
      </w:pPr>
      <w:r>
        <w:rPr>
          <w:rFonts w:hint="eastAsia"/>
          <w:b/>
          <w:bCs/>
          <w:highlight w:val="none"/>
          <w:lang w:val="en-US" w:eastAsia="zh-CN"/>
        </w:rPr>
        <w:t>4、</w:t>
      </w:r>
      <w:r>
        <w:rPr>
          <w:rFonts w:hint="eastAsia"/>
          <w:b/>
          <w:bCs/>
          <w:highlight w:val="none"/>
        </w:rPr>
        <w:t>保险追溯期</w:t>
      </w:r>
    </w:p>
    <w:p w14:paraId="2A47BB2C">
      <w:pPr>
        <w:pageBreakBefore w:val="0"/>
        <w:numPr>
          <w:ilvl w:val="-1"/>
          <w:numId w:val="0"/>
        </w:numPr>
        <w:kinsoku/>
        <w:wordWrap/>
        <w:overflowPunct/>
        <w:topLinePunct w:val="0"/>
        <w:bidi w:val="0"/>
        <w:spacing w:line="240" w:lineRule="auto"/>
        <w:ind w:firstLine="420" w:firstLineChars="200"/>
        <w:rPr>
          <w:rFonts w:hint="eastAsia"/>
          <w:highlight w:val="none"/>
        </w:rPr>
      </w:pPr>
      <w:r>
        <w:rPr>
          <w:rFonts w:hint="eastAsia"/>
          <w:highlight w:val="none"/>
        </w:rPr>
        <w:t>首年追溯期为零，以后连续续保追溯期追溯到最早承保日期，但最长不超过</w:t>
      </w:r>
      <w:r>
        <w:rPr>
          <w:rFonts w:hint="eastAsia"/>
          <w:highlight w:val="none"/>
          <w:lang w:eastAsia="zh-CN"/>
        </w:rPr>
        <w:t>两</w:t>
      </w:r>
      <w:r>
        <w:rPr>
          <w:rFonts w:hint="eastAsia"/>
          <w:highlight w:val="none"/>
        </w:rPr>
        <w:t>年。</w:t>
      </w:r>
    </w:p>
    <w:p w14:paraId="0A3CBFE7">
      <w:pPr>
        <w:pageBreakBefore w:val="0"/>
        <w:numPr>
          <w:ilvl w:val="-1"/>
          <w:numId w:val="0"/>
        </w:numPr>
        <w:kinsoku/>
        <w:wordWrap/>
        <w:overflowPunct/>
        <w:topLinePunct w:val="0"/>
        <w:bidi w:val="0"/>
        <w:spacing w:line="240" w:lineRule="auto"/>
        <w:ind w:firstLine="420" w:firstLineChars="200"/>
        <w:rPr>
          <w:rFonts w:hint="eastAsia"/>
          <w:highlight w:val="none"/>
        </w:rPr>
      </w:pPr>
      <w:r>
        <w:rPr>
          <w:rFonts w:hint="eastAsia"/>
          <w:highlight w:val="none"/>
        </w:rPr>
        <w:t>追溯期是指保险合同当事人在保险合同中约定的从保险责任起始日向前追溯的一段时间，保险人对此期间发生且在保险期限内首次提出索赔的纠纷案件承担保险责任。</w:t>
      </w:r>
    </w:p>
    <w:p w14:paraId="4DA67A2B">
      <w:pPr>
        <w:pageBreakBefore w:val="0"/>
        <w:numPr>
          <w:ilvl w:val="-1"/>
          <w:numId w:val="0"/>
        </w:numPr>
        <w:kinsoku/>
        <w:wordWrap/>
        <w:overflowPunct/>
        <w:topLinePunct w:val="0"/>
        <w:bidi w:val="0"/>
        <w:spacing w:line="240" w:lineRule="auto"/>
        <w:ind w:firstLine="0" w:firstLineChars="0"/>
        <w:jc w:val="both"/>
        <w:rPr>
          <w:rFonts w:hint="eastAsia"/>
          <w:b/>
          <w:bCs/>
          <w:sz w:val="24"/>
          <w:szCs w:val="32"/>
          <w:highlight w:val="none"/>
          <w:lang w:val="en-US" w:eastAsia="zh-CN"/>
        </w:rPr>
      </w:pPr>
    </w:p>
    <w:p w14:paraId="65599B00">
      <w:pPr>
        <w:pageBreakBefore w:val="0"/>
        <w:numPr>
          <w:ilvl w:val="-1"/>
          <w:numId w:val="0"/>
        </w:numPr>
        <w:kinsoku/>
        <w:wordWrap/>
        <w:overflowPunct/>
        <w:topLinePunct w:val="0"/>
        <w:bidi w:val="0"/>
        <w:spacing w:line="240" w:lineRule="auto"/>
        <w:ind w:firstLine="0" w:firstLineChars="0"/>
        <w:jc w:val="center"/>
        <w:rPr>
          <w:rFonts w:hint="eastAsia"/>
          <w:b/>
          <w:bCs/>
          <w:sz w:val="24"/>
          <w:szCs w:val="32"/>
          <w:highlight w:val="none"/>
          <w:lang w:eastAsia="zh-CN"/>
        </w:rPr>
      </w:pPr>
      <w:r>
        <w:rPr>
          <w:rFonts w:hint="eastAsia"/>
          <w:b/>
          <w:bCs/>
          <w:sz w:val="24"/>
          <w:szCs w:val="32"/>
          <w:highlight w:val="none"/>
          <w:lang w:val="en-US" w:eastAsia="zh-CN"/>
        </w:rPr>
        <w:t>六</w:t>
      </w:r>
      <w:r>
        <w:rPr>
          <w:rFonts w:hint="eastAsia"/>
          <w:b/>
          <w:bCs/>
          <w:sz w:val="24"/>
          <w:szCs w:val="32"/>
          <w:highlight w:val="none"/>
          <w:lang w:eastAsia="zh-CN"/>
        </w:rPr>
        <w:t>、服务要求</w:t>
      </w:r>
    </w:p>
    <w:p w14:paraId="775FE734">
      <w:pPr>
        <w:pageBreakBefore w:val="0"/>
        <w:numPr>
          <w:ilvl w:val="-1"/>
          <w:numId w:val="0"/>
        </w:numPr>
        <w:kinsoku/>
        <w:wordWrap/>
        <w:overflowPunct/>
        <w:topLinePunct w:val="0"/>
        <w:bidi w:val="0"/>
        <w:spacing w:line="240" w:lineRule="auto"/>
        <w:ind w:firstLine="420" w:firstLineChars="200"/>
        <w:rPr>
          <w:rFonts w:hint="eastAsia" w:ascii="宋体" w:hAnsi="宋体" w:eastAsia="宋体" w:cs="宋体"/>
          <w:highlight w:val="none"/>
        </w:rPr>
      </w:pPr>
    </w:p>
    <w:p w14:paraId="25F899BC">
      <w:pPr>
        <w:pageBreakBefore w:val="0"/>
        <w:numPr>
          <w:ilvl w:val="-1"/>
          <w:numId w:val="0"/>
        </w:numPr>
        <w:kinsoku/>
        <w:wordWrap/>
        <w:overflowPunct/>
        <w:topLinePunct w:val="0"/>
        <w:bidi w:val="0"/>
        <w:spacing w:line="24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rPr>
        <w:t>1、协助保险报案、理赔资料的整理递交、理赔</w:t>
      </w:r>
      <w:r>
        <w:rPr>
          <w:rFonts w:hint="eastAsia" w:ascii="宋体" w:hAnsi="宋体" w:eastAsia="宋体" w:cs="宋体"/>
          <w:highlight w:val="none"/>
          <w:lang w:eastAsia="zh-CN"/>
        </w:rPr>
        <w:t>；</w:t>
      </w:r>
      <w:r>
        <w:rPr>
          <w:rFonts w:hint="eastAsia" w:ascii="宋体" w:hAnsi="宋体" w:eastAsia="宋体" w:cs="宋体"/>
          <w:highlight w:val="none"/>
        </w:rPr>
        <w:t>协助</w:t>
      </w:r>
      <w:r>
        <w:rPr>
          <w:rFonts w:hint="eastAsia" w:ascii="宋体" w:hAnsi="宋体" w:eastAsia="宋体" w:cs="宋体"/>
          <w:highlight w:val="none"/>
          <w:lang w:eastAsia="zh-CN"/>
        </w:rPr>
        <w:t>被保险人</w:t>
      </w:r>
      <w:r>
        <w:rPr>
          <w:rFonts w:hint="eastAsia" w:ascii="宋体" w:hAnsi="宋体" w:cs="宋体"/>
          <w:highlight w:val="none"/>
          <w:lang w:eastAsia="zh-CN"/>
        </w:rPr>
        <w:t>出现</w:t>
      </w:r>
      <w:r>
        <w:rPr>
          <w:rFonts w:hint="eastAsia" w:ascii="宋体" w:hAnsi="宋体" w:eastAsia="宋体" w:cs="宋体"/>
          <w:highlight w:val="none"/>
        </w:rPr>
        <w:t>纠纷</w:t>
      </w:r>
      <w:r>
        <w:rPr>
          <w:rFonts w:hint="eastAsia" w:ascii="宋体" w:hAnsi="宋体" w:cs="宋体"/>
          <w:highlight w:val="none"/>
          <w:lang w:eastAsia="zh-CN"/>
        </w:rPr>
        <w:t>后的</w:t>
      </w:r>
      <w:r>
        <w:rPr>
          <w:rFonts w:hint="eastAsia" w:ascii="宋体" w:hAnsi="宋体" w:eastAsia="宋体" w:cs="宋体"/>
          <w:highlight w:val="none"/>
        </w:rPr>
        <w:t>的调解工作</w:t>
      </w:r>
      <w:r>
        <w:rPr>
          <w:rFonts w:hint="eastAsia" w:ascii="宋体" w:hAnsi="宋体" w:eastAsia="宋体" w:cs="宋体"/>
          <w:highlight w:val="none"/>
          <w:lang w:eastAsia="zh-CN"/>
        </w:rPr>
        <w:t>。</w:t>
      </w:r>
    </w:p>
    <w:p w14:paraId="4E2DD022">
      <w:pPr>
        <w:pageBreakBefore w:val="0"/>
        <w:numPr>
          <w:ilvl w:val="-1"/>
          <w:numId w:val="0"/>
        </w:numPr>
        <w:kinsoku/>
        <w:wordWrap/>
        <w:overflowPunct/>
        <w:topLinePunct w:val="0"/>
        <w:bidi w:val="0"/>
        <w:spacing w:line="240" w:lineRule="auto"/>
        <w:ind w:firstLine="420" w:firstLineChars="200"/>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eastAsia="宋体" w:cs="宋体"/>
          <w:highlight w:val="none"/>
        </w:rPr>
        <w:t>协助</w:t>
      </w:r>
      <w:r>
        <w:rPr>
          <w:rFonts w:hint="eastAsia" w:ascii="宋体" w:hAnsi="宋体" w:eastAsia="宋体" w:cs="宋体"/>
          <w:highlight w:val="none"/>
          <w:lang w:eastAsia="zh-CN"/>
        </w:rPr>
        <w:t>被保险人</w:t>
      </w:r>
      <w:r>
        <w:rPr>
          <w:rFonts w:hint="eastAsia" w:ascii="宋体" w:hAnsi="宋体" w:eastAsia="宋体" w:cs="宋体"/>
          <w:highlight w:val="none"/>
        </w:rPr>
        <w:t>进行法律法规及相关业务培训服务。</w:t>
      </w:r>
    </w:p>
    <w:p w14:paraId="2E18D2D8">
      <w:pPr>
        <w:pageBreakBefore w:val="0"/>
        <w:numPr>
          <w:ilvl w:val="-1"/>
          <w:numId w:val="0"/>
        </w:numPr>
        <w:kinsoku/>
        <w:wordWrap/>
        <w:overflowPunct/>
        <w:topLinePunct w:val="0"/>
        <w:bidi w:val="0"/>
        <w:spacing w:line="240" w:lineRule="auto"/>
        <w:ind w:firstLine="420" w:firstLineChars="200"/>
        <w:rPr>
          <w:rFonts w:hint="eastAsia" w:ascii="宋体" w:hAnsi="宋体" w:eastAsia="宋体" w:cs="宋体"/>
          <w:highlight w:val="none"/>
        </w:rPr>
      </w:pPr>
      <w:r>
        <w:rPr>
          <w:rFonts w:hint="eastAsia" w:ascii="宋体" w:hAnsi="宋体" w:cs="宋体"/>
          <w:highlight w:val="none"/>
          <w:lang w:val="en-US" w:eastAsia="zh-CN"/>
        </w:rPr>
        <w:t>3</w:t>
      </w:r>
      <w:r>
        <w:rPr>
          <w:rFonts w:hint="eastAsia" w:ascii="宋体" w:hAnsi="宋体" w:eastAsia="宋体" w:cs="宋体"/>
          <w:highlight w:val="none"/>
        </w:rPr>
        <w:t>、投标人应提供高效、快捷的应急响应</w:t>
      </w:r>
      <w:r>
        <w:rPr>
          <w:rFonts w:hint="eastAsia" w:ascii="宋体" w:hAnsi="宋体" w:eastAsia="宋体" w:cs="宋体"/>
          <w:highlight w:val="none"/>
          <w:lang w:eastAsia="zh-CN"/>
        </w:rPr>
        <w:t>服务</w:t>
      </w:r>
      <w:r>
        <w:rPr>
          <w:rFonts w:hint="eastAsia" w:ascii="宋体" w:hAnsi="宋体" w:eastAsia="宋体" w:cs="宋体"/>
          <w:highlight w:val="none"/>
        </w:rPr>
        <w:t>，</w:t>
      </w:r>
      <w:r>
        <w:rPr>
          <w:rFonts w:hint="eastAsia" w:ascii="宋体" w:hAnsi="宋体" w:eastAsia="宋体" w:cs="宋体"/>
          <w:highlight w:val="none"/>
          <w:lang w:eastAsia="zh-CN"/>
        </w:rPr>
        <w:t>采购人</w:t>
      </w:r>
      <w:r>
        <w:rPr>
          <w:rFonts w:hint="eastAsia" w:ascii="宋体" w:hAnsi="宋体" w:eastAsia="宋体" w:cs="宋体"/>
          <w:highlight w:val="none"/>
        </w:rPr>
        <w:t>接到纠纷案件后，项目服务小组工作人员必须在1小时内响应，2个小时内通过电话或到现场提供相关服务，出具方案措施。</w:t>
      </w:r>
    </w:p>
    <w:p w14:paraId="45907113">
      <w:pPr>
        <w:pageBreakBefore w:val="0"/>
        <w:numPr>
          <w:ilvl w:val="-1"/>
          <w:numId w:val="0"/>
        </w:numPr>
        <w:kinsoku/>
        <w:wordWrap/>
        <w:overflowPunct/>
        <w:topLinePunct w:val="0"/>
        <w:bidi w:val="0"/>
        <w:spacing w:line="240" w:lineRule="auto"/>
        <w:ind w:firstLine="420" w:firstLineChars="200"/>
        <w:rPr>
          <w:rFonts w:hint="eastAsia" w:ascii="宋体" w:hAnsi="宋体" w:eastAsia="宋体" w:cs="宋体"/>
          <w:highlight w:val="none"/>
        </w:rPr>
      </w:pPr>
      <w:r>
        <w:rPr>
          <w:rFonts w:hint="eastAsia" w:ascii="宋体" w:hAnsi="宋体" w:cs="宋体"/>
          <w:highlight w:val="none"/>
          <w:lang w:val="en-US" w:eastAsia="zh-CN"/>
        </w:rPr>
        <w:t>4</w:t>
      </w:r>
      <w:r>
        <w:rPr>
          <w:rFonts w:hint="eastAsia" w:ascii="宋体" w:hAnsi="宋体" w:eastAsia="宋体" w:cs="宋体"/>
          <w:highlight w:val="none"/>
        </w:rPr>
        <w:t>、</w:t>
      </w:r>
      <w:r>
        <w:rPr>
          <w:rFonts w:hint="eastAsia" w:ascii="宋体" w:hAnsi="宋体" w:eastAsia="宋体" w:cs="宋体"/>
          <w:highlight w:val="none"/>
          <w:lang w:val="en-US" w:eastAsia="zh-CN"/>
        </w:rPr>
        <w:t>中标保险公司需主动对辖区严重精神障碍患者监护人宣讲清楚保险内容和理赔方式，开展形式多样的宣传培训活动，提高项目知晓率，实现宣传全覆盖。</w:t>
      </w:r>
    </w:p>
    <w:p w14:paraId="350A3B2D">
      <w:pPr>
        <w:pageBreakBefore w:val="0"/>
        <w:numPr>
          <w:ilvl w:val="-1"/>
          <w:numId w:val="0"/>
        </w:numPr>
        <w:kinsoku/>
        <w:wordWrap/>
        <w:overflowPunct/>
        <w:topLinePunct w:val="0"/>
        <w:bidi w:val="0"/>
        <w:spacing w:line="240" w:lineRule="auto"/>
        <w:ind w:firstLine="420" w:firstLineChars="200"/>
        <w:rPr>
          <w:rFonts w:hint="eastAsia" w:ascii="宋体" w:hAnsi="宋体" w:eastAsia="宋体" w:cs="宋体"/>
          <w:highlight w:val="none"/>
          <w:lang w:val="en-US" w:eastAsia="zh-CN"/>
        </w:rPr>
      </w:pPr>
      <w:r>
        <w:rPr>
          <w:rFonts w:hint="eastAsia" w:ascii="宋体" w:hAnsi="宋体" w:cs="宋体"/>
          <w:highlight w:val="none"/>
          <w:lang w:val="en-US" w:eastAsia="zh-CN"/>
        </w:rPr>
        <w:t>5</w:t>
      </w:r>
      <w:r>
        <w:rPr>
          <w:rFonts w:hint="eastAsia" w:ascii="宋体" w:hAnsi="宋体" w:eastAsia="宋体" w:cs="宋体"/>
          <w:highlight w:val="none"/>
          <w:lang w:val="en-US" w:eastAsia="zh-CN"/>
        </w:rPr>
        <w:t>、保险理赔时限，对于小额赔偿，中标方应简化理赔程序，制作小额快赔处理单，资料齐全手续完备的，中标人在收集齐完整的被保险人递交的理赔资料后，按以下时限要求向被保险人或受害防指定账户拨付赔款。</w:t>
      </w:r>
    </w:p>
    <w:tbl>
      <w:tblPr>
        <w:tblStyle w:val="43"/>
        <w:tblW w:w="9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0"/>
        <w:gridCol w:w="5231"/>
      </w:tblGrid>
      <w:tr w14:paraId="43FE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4150" w:type="dxa"/>
            <w:shd w:val="clear" w:color="auto" w:fill="DBE5F1"/>
            <w:vAlign w:val="center"/>
          </w:tcPr>
          <w:p w14:paraId="5C82029F">
            <w:pPr>
              <w:pStyle w:val="38"/>
              <w:pageBreakBefore w:val="0"/>
              <w:kinsoku/>
              <w:wordWrap/>
              <w:overflowPunct/>
              <w:topLinePunct w:val="0"/>
              <w:bidi w:val="0"/>
              <w:spacing w:line="240" w:lineRule="auto"/>
              <w:jc w:val="center"/>
              <w:rPr>
                <w:rFonts w:ascii="Arial" w:hAnsi="Arial" w:cs="Arial"/>
                <w:b/>
                <w:bCs/>
                <w:color w:val="000000"/>
                <w:sz w:val="21"/>
                <w:szCs w:val="21"/>
                <w:highlight w:val="none"/>
              </w:rPr>
            </w:pPr>
            <w:r>
              <w:rPr>
                <w:rFonts w:hint="eastAsia" w:ascii="Arial" w:hAnsi="Arial" w:cs="Arial"/>
                <w:b/>
                <w:bCs/>
                <w:color w:val="000000"/>
                <w:sz w:val="21"/>
                <w:szCs w:val="21"/>
                <w:highlight w:val="none"/>
              </w:rPr>
              <w:t>案 件 金 额</w:t>
            </w:r>
          </w:p>
          <w:p w14:paraId="69BDB444">
            <w:pPr>
              <w:pStyle w:val="38"/>
              <w:pageBreakBefore w:val="0"/>
              <w:kinsoku/>
              <w:wordWrap/>
              <w:overflowPunct/>
              <w:topLinePunct w:val="0"/>
              <w:bidi w:val="0"/>
              <w:spacing w:line="240" w:lineRule="auto"/>
              <w:ind w:firstLine="420" w:firstLineChars="200"/>
              <w:rPr>
                <w:rFonts w:ascii="Arial" w:hAnsi="Arial" w:cs="Arial"/>
                <w:color w:val="000000"/>
                <w:sz w:val="21"/>
                <w:szCs w:val="21"/>
                <w:highlight w:val="none"/>
              </w:rPr>
            </w:pPr>
            <w:r>
              <w:rPr>
                <w:rFonts w:ascii="Arial" w:hAnsi="Arial" w:cs="Arial"/>
                <w:color w:val="000000"/>
                <w:sz w:val="21"/>
                <w:szCs w:val="21"/>
                <w:highlight w:val="none"/>
              </w:rPr>
              <w:t>为方便承保后的定损理赔和安排其他保险服务工作，我公司特别安排将承保后的保险服务和理赔工作等由总公司统一集中进行协调和处理，以便减少总、分公司之间的呈报时间和信息转报时间。</w:t>
            </w:r>
          </w:p>
          <w:p w14:paraId="6773DDD1">
            <w:pPr>
              <w:pStyle w:val="38"/>
              <w:pageBreakBefore w:val="0"/>
              <w:kinsoku/>
              <w:wordWrap/>
              <w:overflowPunct/>
              <w:topLinePunct w:val="0"/>
              <w:bidi w:val="0"/>
              <w:spacing w:line="240" w:lineRule="auto"/>
              <w:ind w:firstLine="420" w:firstLineChars="200"/>
              <w:rPr>
                <w:rFonts w:ascii="Arial" w:hAnsi="Arial" w:cs="Arial"/>
                <w:color w:val="000000"/>
                <w:sz w:val="21"/>
                <w:szCs w:val="21"/>
                <w:highlight w:val="none"/>
              </w:rPr>
            </w:pPr>
            <w:r>
              <w:rPr>
                <w:rFonts w:ascii="Arial" w:hAnsi="Arial" w:cs="Arial"/>
                <w:color w:val="000000"/>
                <w:sz w:val="21"/>
                <w:szCs w:val="21"/>
                <w:highlight w:val="none"/>
              </w:rPr>
              <w:t>我公司设立24小时保险服务专线电话：95506。</w:t>
            </w:r>
          </w:p>
          <w:p w14:paraId="1B988A90">
            <w:pPr>
              <w:pStyle w:val="38"/>
              <w:pageBreakBefore w:val="0"/>
              <w:kinsoku/>
              <w:wordWrap/>
              <w:overflowPunct/>
              <w:topLinePunct w:val="0"/>
              <w:bidi w:val="0"/>
              <w:spacing w:line="240" w:lineRule="auto"/>
              <w:ind w:firstLine="420" w:firstLineChars="200"/>
              <w:rPr>
                <w:rFonts w:ascii="Arial" w:hAnsi="Arial" w:cs="Arial"/>
                <w:color w:val="000000"/>
                <w:sz w:val="21"/>
                <w:szCs w:val="21"/>
                <w:highlight w:val="none"/>
              </w:rPr>
            </w:pPr>
            <w:r>
              <w:rPr>
                <w:rFonts w:hint="eastAsia" w:ascii="Arial" w:hAnsi="Arial" w:cs="Arial"/>
                <w:color w:val="000000"/>
                <w:sz w:val="21"/>
                <w:szCs w:val="21"/>
                <w:highlight w:val="none"/>
              </w:rPr>
              <w:t>2．赔款支付</w:t>
            </w:r>
          </w:p>
          <w:p w14:paraId="367AEB37">
            <w:pPr>
              <w:pStyle w:val="38"/>
              <w:pageBreakBefore w:val="0"/>
              <w:kinsoku/>
              <w:wordWrap/>
              <w:overflowPunct/>
              <w:topLinePunct w:val="0"/>
              <w:bidi w:val="0"/>
              <w:spacing w:line="240" w:lineRule="auto"/>
              <w:ind w:firstLine="420" w:firstLineChars="200"/>
              <w:rPr>
                <w:rFonts w:ascii="Arial" w:hAnsi="Arial" w:cs="Arial"/>
                <w:color w:val="000000"/>
                <w:sz w:val="21"/>
                <w:szCs w:val="21"/>
                <w:highlight w:val="none"/>
              </w:rPr>
            </w:pPr>
            <w:r>
              <w:rPr>
                <w:rFonts w:hint="eastAsia" w:ascii="Arial" w:hAnsi="Arial" w:cs="Arial"/>
                <w:color w:val="000000"/>
                <w:sz w:val="21"/>
                <w:szCs w:val="21"/>
                <w:highlight w:val="none"/>
              </w:rPr>
              <w:t>2.1</w:t>
            </w:r>
            <w:r>
              <w:rPr>
                <w:rFonts w:ascii="Arial" w:hAnsi="Arial" w:cs="Arial"/>
                <w:color w:val="000000"/>
                <w:sz w:val="21"/>
                <w:szCs w:val="21"/>
                <w:highlight w:val="none"/>
              </w:rPr>
              <w:t>资料齐全、双方达成一致后，我公司按照以下时限要求支付赔款</w:t>
            </w:r>
            <w:r>
              <w:rPr>
                <w:rFonts w:hint="eastAsia" w:ascii="Arial" w:hAnsi="Arial" w:cs="Arial"/>
                <w:color w:val="000000"/>
                <w:sz w:val="21"/>
                <w:szCs w:val="21"/>
                <w:highlight w:val="none"/>
              </w:rPr>
              <w:t>。</w:t>
            </w:r>
          </w:p>
          <w:p w14:paraId="21C42A44">
            <w:pPr>
              <w:pageBreakBefore w:val="0"/>
              <w:tabs>
                <w:tab w:val="left" w:pos="1260"/>
              </w:tabs>
              <w:kinsoku/>
              <w:wordWrap/>
              <w:overflowPunct/>
              <w:topLinePunct w:val="0"/>
              <w:bidi w:val="0"/>
              <w:spacing w:line="240" w:lineRule="auto"/>
              <w:jc w:val="center"/>
              <w:rPr>
                <w:rFonts w:ascii="宋体" w:hAnsi="宋体" w:cs="宋体"/>
                <w:b/>
                <w:bCs/>
                <w:iCs/>
                <w:spacing w:val="20"/>
                <w:szCs w:val="21"/>
                <w:highlight w:val="none"/>
              </w:rPr>
            </w:pPr>
            <w:r>
              <w:rPr>
                <w:rFonts w:hint="eastAsia" w:ascii="宋体" w:hAnsi="宋体" w:cs="宋体"/>
                <w:b/>
                <w:bCs/>
                <w:iCs/>
                <w:spacing w:val="20"/>
                <w:szCs w:val="21"/>
                <w:highlight w:val="none"/>
              </w:rPr>
              <w:t>案 件 金 额</w:t>
            </w:r>
          </w:p>
        </w:tc>
        <w:tc>
          <w:tcPr>
            <w:tcW w:w="5231" w:type="dxa"/>
            <w:shd w:val="clear" w:color="auto" w:fill="DBE5F1"/>
            <w:vAlign w:val="center"/>
          </w:tcPr>
          <w:p w14:paraId="73B26C7F">
            <w:pPr>
              <w:pageBreakBefore w:val="0"/>
              <w:tabs>
                <w:tab w:val="left" w:pos="1260"/>
              </w:tabs>
              <w:kinsoku/>
              <w:wordWrap/>
              <w:overflowPunct/>
              <w:topLinePunct w:val="0"/>
              <w:bidi w:val="0"/>
              <w:spacing w:line="240" w:lineRule="auto"/>
              <w:jc w:val="center"/>
              <w:rPr>
                <w:rFonts w:ascii="宋体" w:hAnsi="宋体" w:cs="宋体"/>
                <w:b/>
                <w:bCs/>
                <w:iCs/>
                <w:spacing w:val="20"/>
                <w:szCs w:val="21"/>
                <w:highlight w:val="none"/>
              </w:rPr>
            </w:pPr>
            <w:r>
              <w:rPr>
                <w:rFonts w:hint="eastAsia" w:ascii="宋体" w:hAnsi="宋体" w:cs="宋体"/>
                <w:b/>
                <w:bCs/>
                <w:iCs/>
                <w:spacing w:val="20"/>
                <w:szCs w:val="21"/>
                <w:highlight w:val="none"/>
              </w:rPr>
              <w:t>所 需 工 作 日</w:t>
            </w:r>
          </w:p>
        </w:tc>
      </w:tr>
      <w:tr w14:paraId="7A9F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jc w:val="center"/>
        </w:trPr>
        <w:tc>
          <w:tcPr>
            <w:tcW w:w="4150" w:type="dxa"/>
            <w:vAlign w:val="center"/>
          </w:tcPr>
          <w:p w14:paraId="03C16723">
            <w:pPr>
              <w:pageBreakBefore w:val="0"/>
              <w:tabs>
                <w:tab w:val="left" w:pos="1260"/>
              </w:tabs>
              <w:kinsoku/>
              <w:wordWrap/>
              <w:overflowPunct/>
              <w:topLinePunct w:val="0"/>
              <w:bidi w:val="0"/>
              <w:spacing w:line="240" w:lineRule="auto"/>
              <w:jc w:val="center"/>
              <w:rPr>
                <w:rFonts w:ascii="宋体" w:hAnsi="宋体" w:cs="宋体"/>
                <w:b/>
                <w:bCs/>
                <w:i/>
                <w:iCs/>
                <w:spacing w:val="20"/>
                <w:szCs w:val="21"/>
                <w:highlight w:val="none"/>
              </w:rPr>
            </w:pPr>
            <w:r>
              <w:rPr>
                <w:rFonts w:hint="eastAsia" w:ascii="宋体" w:hAnsi="宋体" w:cs="宋体"/>
                <w:b/>
                <w:bCs/>
                <w:i w:val="0"/>
                <w:iCs w:val="0"/>
                <w:spacing w:val="20"/>
                <w:szCs w:val="21"/>
                <w:highlight w:val="none"/>
              </w:rPr>
              <w:t>1万元以下</w:t>
            </w:r>
          </w:p>
        </w:tc>
        <w:tc>
          <w:tcPr>
            <w:tcW w:w="5231" w:type="dxa"/>
            <w:vAlign w:val="center"/>
          </w:tcPr>
          <w:p w14:paraId="759DDB12">
            <w:pPr>
              <w:pageBreakBefore w:val="0"/>
              <w:tabs>
                <w:tab w:val="left" w:pos="1260"/>
              </w:tabs>
              <w:kinsoku/>
              <w:wordWrap/>
              <w:overflowPunct/>
              <w:topLinePunct w:val="0"/>
              <w:bidi w:val="0"/>
              <w:spacing w:line="240" w:lineRule="auto"/>
              <w:jc w:val="center"/>
              <w:rPr>
                <w:rFonts w:ascii="宋体" w:hAnsi="宋体" w:cs="宋体"/>
                <w:spacing w:val="20"/>
                <w:szCs w:val="21"/>
                <w:highlight w:val="none"/>
              </w:rPr>
            </w:pPr>
            <w:r>
              <w:rPr>
                <w:rFonts w:hint="eastAsia" w:ascii="宋体" w:hAnsi="宋体" w:cs="宋体"/>
                <w:color w:val="000000"/>
                <w:spacing w:val="20"/>
                <w:szCs w:val="21"/>
                <w:highlight w:val="none"/>
              </w:rPr>
              <w:t>1</w:t>
            </w:r>
            <w:r>
              <w:rPr>
                <w:rFonts w:hint="eastAsia" w:ascii="宋体" w:hAnsi="宋体" w:cs="宋体"/>
                <w:spacing w:val="20"/>
                <w:szCs w:val="21"/>
                <w:highlight w:val="none"/>
              </w:rPr>
              <w:t>个工作日完成</w:t>
            </w:r>
          </w:p>
        </w:tc>
      </w:tr>
      <w:tr w14:paraId="5D91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exact"/>
          <w:jc w:val="center"/>
        </w:trPr>
        <w:tc>
          <w:tcPr>
            <w:tcW w:w="4150" w:type="dxa"/>
            <w:vAlign w:val="center"/>
          </w:tcPr>
          <w:p w14:paraId="4549CE87">
            <w:pPr>
              <w:pageBreakBefore w:val="0"/>
              <w:tabs>
                <w:tab w:val="left" w:pos="1260"/>
              </w:tabs>
              <w:kinsoku/>
              <w:wordWrap/>
              <w:overflowPunct/>
              <w:topLinePunct w:val="0"/>
              <w:bidi w:val="0"/>
              <w:spacing w:line="240" w:lineRule="auto"/>
              <w:jc w:val="center"/>
              <w:rPr>
                <w:rFonts w:ascii="宋体" w:hAnsi="宋体" w:cs="宋体"/>
                <w:b/>
                <w:bCs/>
                <w:i/>
                <w:iCs/>
                <w:spacing w:val="20"/>
                <w:szCs w:val="21"/>
                <w:highlight w:val="none"/>
              </w:rPr>
            </w:pPr>
            <w:r>
              <w:rPr>
                <w:rFonts w:hint="eastAsia" w:ascii="宋体" w:hAnsi="宋体" w:cs="宋体"/>
                <w:b/>
                <w:bCs/>
                <w:i w:val="0"/>
                <w:iCs w:val="0"/>
                <w:spacing w:val="20"/>
                <w:szCs w:val="21"/>
                <w:highlight w:val="none"/>
              </w:rPr>
              <w:t>1万元—3万元</w:t>
            </w:r>
          </w:p>
        </w:tc>
        <w:tc>
          <w:tcPr>
            <w:tcW w:w="5231" w:type="dxa"/>
            <w:vAlign w:val="center"/>
          </w:tcPr>
          <w:p w14:paraId="35F50FF7">
            <w:pPr>
              <w:pageBreakBefore w:val="0"/>
              <w:tabs>
                <w:tab w:val="left" w:pos="1260"/>
              </w:tabs>
              <w:kinsoku/>
              <w:wordWrap/>
              <w:overflowPunct/>
              <w:topLinePunct w:val="0"/>
              <w:bidi w:val="0"/>
              <w:spacing w:line="240" w:lineRule="auto"/>
              <w:jc w:val="center"/>
              <w:rPr>
                <w:rFonts w:ascii="宋体" w:hAnsi="宋体" w:cs="宋体"/>
                <w:color w:val="000000"/>
                <w:spacing w:val="20"/>
                <w:szCs w:val="21"/>
                <w:highlight w:val="none"/>
              </w:rPr>
            </w:pPr>
            <w:r>
              <w:rPr>
                <w:rFonts w:hint="eastAsia" w:ascii="宋体" w:hAnsi="宋体" w:cs="宋体"/>
                <w:color w:val="000000"/>
                <w:spacing w:val="20"/>
                <w:szCs w:val="21"/>
                <w:highlight w:val="none"/>
              </w:rPr>
              <w:t>2个工作日完成</w:t>
            </w:r>
          </w:p>
        </w:tc>
      </w:tr>
      <w:tr w14:paraId="1293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exact"/>
          <w:jc w:val="center"/>
        </w:trPr>
        <w:tc>
          <w:tcPr>
            <w:tcW w:w="4150" w:type="dxa"/>
            <w:vAlign w:val="center"/>
          </w:tcPr>
          <w:p w14:paraId="68DB0957">
            <w:pPr>
              <w:pageBreakBefore w:val="0"/>
              <w:tabs>
                <w:tab w:val="left" w:pos="1260"/>
              </w:tabs>
              <w:kinsoku/>
              <w:wordWrap/>
              <w:overflowPunct/>
              <w:topLinePunct w:val="0"/>
              <w:bidi w:val="0"/>
              <w:spacing w:line="240" w:lineRule="auto"/>
              <w:jc w:val="center"/>
              <w:rPr>
                <w:rFonts w:ascii="宋体" w:hAnsi="宋体" w:cs="宋体"/>
                <w:b/>
                <w:bCs/>
                <w:i/>
                <w:iCs/>
                <w:spacing w:val="20"/>
                <w:szCs w:val="21"/>
                <w:highlight w:val="none"/>
              </w:rPr>
            </w:pPr>
            <w:r>
              <w:rPr>
                <w:rFonts w:hint="eastAsia" w:ascii="宋体" w:hAnsi="宋体" w:cs="宋体"/>
                <w:b/>
                <w:bCs/>
                <w:i w:val="0"/>
                <w:iCs w:val="0"/>
                <w:spacing w:val="20"/>
                <w:szCs w:val="21"/>
                <w:highlight w:val="none"/>
              </w:rPr>
              <w:t>3万元以上</w:t>
            </w:r>
          </w:p>
        </w:tc>
        <w:tc>
          <w:tcPr>
            <w:tcW w:w="5231" w:type="dxa"/>
            <w:vAlign w:val="center"/>
          </w:tcPr>
          <w:p w14:paraId="331FA7AA">
            <w:pPr>
              <w:pageBreakBefore w:val="0"/>
              <w:tabs>
                <w:tab w:val="left" w:pos="1260"/>
              </w:tabs>
              <w:kinsoku/>
              <w:wordWrap/>
              <w:overflowPunct/>
              <w:topLinePunct w:val="0"/>
              <w:bidi w:val="0"/>
              <w:spacing w:line="240" w:lineRule="auto"/>
              <w:jc w:val="center"/>
              <w:rPr>
                <w:rFonts w:ascii="宋体" w:hAnsi="宋体" w:cs="宋体"/>
                <w:color w:val="000000"/>
                <w:spacing w:val="20"/>
                <w:szCs w:val="21"/>
                <w:highlight w:val="none"/>
              </w:rPr>
            </w:pPr>
            <w:r>
              <w:rPr>
                <w:rFonts w:hint="eastAsia" w:ascii="宋体" w:hAnsi="宋体" w:cs="宋体"/>
                <w:color w:val="000000"/>
                <w:spacing w:val="20"/>
                <w:szCs w:val="21"/>
                <w:highlight w:val="none"/>
              </w:rPr>
              <w:t>3个工作日完成</w:t>
            </w:r>
          </w:p>
        </w:tc>
      </w:tr>
    </w:tbl>
    <w:p w14:paraId="0D53BA8F">
      <w:pPr>
        <w:pageBreakBefore w:val="0"/>
        <w:numPr>
          <w:ilvl w:val="-1"/>
          <w:numId w:val="0"/>
        </w:numPr>
        <w:kinsoku/>
        <w:wordWrap/>
        <w:overflowPunct/>
        <w:topLinePunct w:val="0"/>
        <w:bidi w:val="0"/>
        <w:spacing w:line="240" w:lineRule="auto"/>
        <w:ind w:firstLine="420" w:firstLineChars="200"/>
        <w:rPr>
          <w:rFonts w:hint="eastAsia" w:ascii="宋体" w:hAnsi="宋体" w:cs="宋体"/>
          <w:highlight w:val="none"/>
          <w:lang w:eastAsia="zh-CN"/>
        </w:rPr>
      </w:pPr>
      <w:r>
        <w:rPr>
          <w:rFonts w:hint="eastAsia" w:ascii="宋体" w:hAnsi="宋体" w:cs="宋体"/>
          <w:highlight w:val="none"/>
        </w:rPr>
        <w:t>完整的理赔资料签收之日起7个工作日内未能确定赔偿金额的，</w:t>
      </w:r>
      <w:r>
        <w:rPr>
          <w:rFonts w:hint="eastAsia" w:ascii="宋体" w:hAnsi="宋体" w:cs="宋体"/>
          <w:highlight w:val="none"/>
          <w:lang w:eastAsia="zh-CN"/>
        </w:rPr>
        <w:t>中标人</w:t>
      </w:r>
      <w:r>
        <w:rPr>
          <w:rFonts w:hint="eastAsia" w:ascii="宋体" w:hAnsi="宋体" w:cs="宋体"/>
          <w:highlight w:val="none"/>
        </w:rPr>
        <w:t>将根据已掌握的实际情况和证明等资料、以本事故最低赔付数额，作为先予支付赔款，最终确定赔付处理意见后，</w:t>
      </w:r>
      <w:r>
        <w:rPr>
          <w:rFonts w:hint="eastAsia" w:ascii="宋体" w:hAnsi="宋体" w:cs="宋体"/>
          <w:highlight w:val="none"/>
          <w:lang w:eastAsia="zh-CN"/>
        </w:rPr>
        <w:t>中标人</w:t>
      </w:r>
      <w:r>
        <w:rPr>
          <w:rFonts w:hint="eastAsia" w:ascii="宋体" w:hAnsi="宋体" w:cs="宋体"/>
          <w:highlight w:val="none"/>
        </w:rPr>
        <w:t>根据实际赔偿金额，及时支付相应的差额。</w:t>
      </w:r>
    </w:p>
    <w:p w14:paraId="1A487C15">
      <w:pPr>
        <w:pageBreakBefore w:val="0"/>
        <w:numPr>
          <w:ilvl w:val="-1"/>
          <w:numId w:val="0"/>
        </w:numPr>
        <w:kinsoku/>
        <w:wordWrap/>
        <w:overflowPunct/>
        <w:topLinePunct w:val="0"/>
        <w:bidi w:val="0"/>
        <w:spacing w:line="240" w:lineRule="auto"/>
        <w:ind w:firstLine="420" w:firstLineChars="200"/>
        <w:rPr>
          <w:rFonts w:hint="eastAsia" w:ascii="宋体" w:hAnsi="宋体" w:cs="宋体"/>
          <w:highlight w:val="none"/>
          <w:lang w:eastAsia="zh-CN"/>
        </w:rPr>
      </w:pPr>
      <w:r>
        <w:rPr>
          <w:rFonts w:hint="eastAsia" w:ascii="宋体" w:hAnsi="宋体" w:cs="宋体"/>
          <w:highlight w:val="none"/>
          <w:lang w:eastAsia="zh-CN"/>
        </w:rPr>
        <w:t>（</w:t>
      </w:r>
      <w:r>
        <w:rPr>
          <w:rFonts w:hint="eastAsia" w:ascii="宋体" w:hAnsi="宋体" w:cs="宋体"/>
          <w:highlight w:val="none"/>
          <w:lang w:val="en-US" w:eastAsia="zh-CN"/>
        </w:rPr>
        <w:t>2</w:t>
      </w:r>
      <w:r>
        <w:rPr>
          <w:rFonts w:hint="eastAsia" w:ascii="宋体" w:hAnsi="宋体" w:cs="宋体"/>
          <w:highlight w:val="none"/>
          <w:lang w:eastAsia="zh-CN"/>
        </w:rPr>
        <w:t>）不</w:t>
      </w:r>
      <w:r>
        <w:rPr>
          <w:rFonts w:hint="eastAsia" w:ascii="宋体" w:hAnsi="宋体" w:eastAsia="宋体" w:cs="宋体"/>
          <w:highlight w:val="none"/>
        </w:rPr>
        <w:t>属于保险责任的案件</w:t>
      </w:r>
      <w:r>
        <w:rPr>
          <w:rFonts w:hint="eastAsia" w:ascii="宋体" w:hAnsi="宋体" w:cs="宋体"/>
          <w:highlight w:val="none"/>
          <w:lang w:eastAsia="zh-CN"/>
        </w:rPr>
        <w:t>：</w:t>
      </w:r>
      <w:r>
        <w:rPr>
          <w:rFonts w:hint="eastAsia" w:ascii="宋体" w:hAnsi="宋体" w:eastAsia="宋体" w:cs="宋体"/>
          <w:highlight w:val="none"/>
          <w:lang w:eastAsia="zh-CN"/>
        </w:rPr>
        <w:t>中标人</w:t>
      </w:r>
      <w:r>
        <w:rPr>
          <w:rFonts w:hint="eastAsia" w:ascii="宋体" w:hAnsi="宋体" w:eastAsia="宋体" w:cs="宋体"/>
          <w:highlight w:val="none"/>
        </w:rPr>
        <w:t>在</w:t>
      </w:r>
      <w:r>
        <w:rPr>
          <w:rFonts w:hint="eastAsia" w:ascii="宋体" w:hAnsi="宋体" w:cs="宋体"/>
          <w:highlight w:val="none"/>
          <w:lang w:eastAsia="zh-CN"/>
        </w:rPr>
        <w:t>收集齐完整的</w:t>
      </w:r>
      <w:r>
        <w:rPr>
          <w:rFonts w:hint="eastAsia" w:ascii="宋体" w:hAnsi="宋体" w:eastAsia="宋体" w:cs="宋体"/>
          <w:highlight w:val="none"/>
          <w:lang w:eastAsia="zh-CN"/>
        </w:rPr>
        <w:t>被保险人</w:t>
      </w:r>
      <w:r>
        <w:rPr>
          <w:rFonts w:hint="eastAsia" w:ascii="宋体" w:hAnsi="宋体" w:eastAsia="宋体" w:cs="宋体"/>
          <w:highlight w:val="none"/>
        </w:rPr>
        <w:t>递交的理赔资料后，在7个工作日内向</w:t>
      </w:r>
      <w:r>
        <w:rPr>
          <w:rFonts w:hint="eastAsia" w:ascii="宋体" w:hAnsi="宋体" w:eastAsia="宋体" w:cs="宋体"/>
          <w:highlight w:val="none"/>
          <w:lang w:eastAsia="zh-CN"/>
        </w:rPr>
        <w:t>被保险人</w:t>
      </w:r>
      <w:r>
        <w:rPr>
          <w:rFonts w:hint="eastAsia" w:ascii="宋体" w:hAnsi="宋体" w:eastAsia="宋体" w:cs="宋体"/>
          <w:highlight w:val="none"/>
        </w:rPr>
        <w:t>发出《拒赔通知书》</w:t>
      </w:r>
      <w:r>
        <w:rPr>
          <w:rFonts w:hint="eastAsia" w:ascii="宋体" w:hAnsi="宋体" w:cs="宋体"/>
          <w:highlight w:val="none"/>
          <w:lang w:eastAsia="zh-CN"/>
        </w:rPr>
        <w:t>。</w:t>
      </w:r>
    </w:p>
    <w:p w14:paraId="24441F00">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442" w:firstLineChars="200"/>
        <w:jc w:val="both"/>
        <w:textAlignment w:val="auto"/>
        <w:outlineLvl w:val="0"/>
        <w:rPr>
          <w:rFonts w:hint="eastAsia"/>
          <w:b/>
          <w:bCs/>
          <w:sz w:val="22"/>
          <w:szCs w:val="22"/>
          <w:lang w:val="en-US" w:eastAsia="zh-CN"/>
        </w:rPr>
      </w:pPr>
      <w:r>
        <w:rPr>
          <w:rFonts w:hint="eastAsia"/>
          <w:b/>
          <w:bCs/>
          <w:sz w:val="22"/>
          <w:szCs w:val="22"/>
          <w:lang w:val="en-US" w:eastAsia="zh-CN"/>
        </w:rPr>
        <w:t>6、人员要求</w:t>
      </w:r>
    </w:p>
    <w:p w14:paraId="02983D12">
      <w:pPr>
        <w:pStyle w:val="23"/>
        <w:keepNext w:val="0"/>
        <w:keepLines w:val="0"/>
        <w:pageBreakBefore w:val="0"/>
        <w:widowControl w:val="0"/>
        <w:numPr>
          <w:ilvl w:val="0"/>
          <w:numId w:val="0"/>
        </w:numPr>
        <w:tabs>
          <w:tab w:val="left" w:pos="540"/>
        </w:tabs>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
          <w:bCs w:val="0"/>
          <w:sz w:val="21"/>
          <w:szCs w:val="21"/>
          <w:lang w:val="en-US" w:eastAsia="zh-CN"/>
        </w:rPr>
      </w:pPr>
      <w:r>
        <w:rPr>
          <w:rFonts w:hint="eastAsia" w:asciiTheme="minorEastAsia" w:hAnsiTheme="minorEastAsia" w:eastAsiaTheme="minorEastAsia" w:cstheme="minorEastAsia"/>
          <w:b/>
          <w:bCs w:val="0"/>
          <w:sz w:val="21"/>
          <w:szCs w:val="21"/>
          <w:lang w:val="en-US" w:eastAsia="zh-CN"/>
        </w:rPr>
        <w:t>项目人员一览表</w:t>
      </w:r>
    </w:p>
    <w:tbl>
      <w:tblPr>
        <w:tblStyle w:val="43"/>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1154"/>
        <w:gridCol w:w="900"/>
        <w:gridCol w:w="1530"/>
        <w:gridCol w:w="4013"/>
      </w:tblGrid>
      <w:tr w14:paraId="465E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81" w:type="dxa"/>
            <w:vAlign w:val="center"/>
          </w:tcPr>
          <w:p w14:paraId="261870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序号</w:t>
            </w:r>
          </w:p>
        </w:tc>
        <w:tc>
          <w:tcPr>
            <w:tcW w:w="1154" w:type="dxa"/>
            <w:vAlign w:val="center"/>
          </w:tcPr>
          <w:p w14:paraId="7C028D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highlight w:val="yellow"/>
              </w:rPr>
            </w:pPr>
            <w:r>
              <w:rPr>
                <w:rFonts w:hint="eastAsia" w:asciiTheme="minorEastAsia" w:hAnsiTheme="minorEastAsia" w:eastAsiaTheme="minorEastAsia" w:cstheme="minorEastAsia"/>
                <w:sz w:val="21"/>
                <w:szCs w:val="21"/>
                <w:highlight w:val="yellow"/>
              </w:rPr>
              <w:t>★人员类别</w:t>
            </w:r>
          </w:p>
        </w:tc>
        <w:tc>
          <w:tcPr>
            <w:tcW w:w="900" w:type="dxa"/>
            <w:vAlign w:val="center"/>
          </w:tcPr>
          <w:p w14:paraId="67F30B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highlight w:val="yellow"/>
              </w:rPr>
            </w:pPr>
            <w:r>
              <w:rPr>
                <w:rFonts w:hint="eastAsia" w:asciiTheme="minorEastAsia" w:hAnsiTheme="minorEastAsia" w:eastAsiaTheme="minorEastAsia" w:cstheme="minorEastAsia"/>
                <w:sz w:val="21"/>
                <w:szCs w:val="21"/>
                <w:highlight w:val="yellow"/>
              </w:rPr>
              <w:t>★数量</w:t>
            </w:r>
          </w:p>
        </w:tc>
        <w:tc>
          <w:tcPr>
            <w:tcW w:w="1530" w:type="dxa"/>
            <w:vAlign w:val="center"/>
          </w:tcPr>
          <w:p w14:paraId="4F327D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highlight w:val="yellow"/>
              </w:rPr>
            </w:pPr>
            <w:r>
              <w:rPr>
                <w:rFonts w:hint="eastAsia" w:asciiTheme="minorEastAsia" w:hAnsiTheme="minorEastAsia" w:eastAsiaTheme="minorEastAsia" w:cstheme="minorEastAsia"/>
                <w:sz w:val="21"/>
                <w:szCs w:val="21"/>
                <w:highlight w:val="yellow"/>
              </w:rPr>
              <w:t>★人员必须具备条件</w:t>
            </w:r>
          </w:p>
        </w:tc>
        <w:tc>
          <w:tcPr>
            <w:tcW w:w="4013" w:type="dxa"/>
            <w:vAlign w:val="center"/>
          </w:tcPr>
          <w:p w14:paraId="10A20E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人员可偏离条件</w:t>
            </w:r>
          </w:p>
        </w:tc>
      </w:tr>
      <w:tr w14:paraId="1D460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681" w:type="dxa"/>
            <w:vAlign w:val="center"/>
          </w:tcPr>
          <w:p w14:paraId="33272F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w:t>
            </w:r>
          </w:p>
        </w:tc>
        <w:tc>
          <w:tcPr>
            <w:tcW w:w="1154" w:type="dxa"/>
            <w:vAlign w:val="center"/>
          </w:tcPr>
          <w:p w14:paraId="435770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项目经理</w:t>
            </w:r>
          </w:p>
        </w:tc>
        <w:tc>
          <w:tcPr>
            <w:tcW w:w="900" w:type="dxa"/>
            <w:vAlign w:val="center"/>
          </w:tcPr>
          <w:p w14:paraId="40BE616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val="en-US" w:eastAsia="zh-CN"/>
              </w:rPr>
            </w:pPr>
            <w:r>
              <w:rPr>
                <w:rFonts w:hint="eastAsia" w:ascii="宋体" w:hAnsi="宋体" w:cs="宋体"/>
                <w:sz w:val="21"/>
                <w:szCs w:val="21"/>
                <w:lang w:val="en-US" w:eastAsia="zh-CN"/>
              </w:rPr>
              <w:t>1</w:t>
            </w:r>
            <w:r>
              <w:rPr>
                <w:rFonts w:hint="eastAsia" w:ascii="宋体" w:hAnsi="宋体" w:eastAsia="宋体" w:cs="宋体"/>
                <w:sz w:val="21"/>
                <w:szCs w:val="21"/>
                <w:lang w:val="en-US" w:eastAsia="zh-CN"/>
              </w:rPr>
              <w:t>人</w:t>
            </w:r>
          </w:p>
        </w:tc>
        <w:tc>
          <w:tcPr>
            <w:tcW w:w="1530" w:type="dxa"/>
            <w:vAlign w:val="center"/>
          </w:tcPr>
          <w:p w14:paraId="0453D1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投标人自有员工</w:t>
            </w:r>
          </w:p>
        </w:tc>
        <w:tc>
          <w:tcPr>
            <w:tcW w:w="4013" w:type="dxa"/>
            <w:vAlign w:val="center"/>
          </w:tcPr>
          <w:p w14:paraId="2EEF76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eastAsia="zh-CN"/>
              </w:rPr>
            </w:pPr>
            <w:r>
              <w:rPr>
                <w:rFonts w:hint="eastAsia" w:ascii="宋体" w:hAnsi="宋体" w:eastAsia="宋体" w:cs="宋体"/>
                <w:sz w:val="21"/>
                <w:szCs w:val="21"/>
                <w:lang w:val="en-US" w:eastAsia="zh-CN"/>
              </w:rPr>
              <w:t>具有保险行业从业经验</w:t>
            </w:r>
          </w:p>
        </w:tc>
      </w:tr>
      <w:tr w14:paraId="7390C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jc w:val="center"/>
        </w:trPr>
        <w:tc>
          <w:tcPr>
            <w:tcW w:w="681" w:type="dxa"/>
            <w:vAlign w:val="center"/>
          </w:tcPr>
          <w:p w14:paraId="344B356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2</w:t>
            </w:r>
          </w:p>
        </w:tc>
        <w:tc>
          <w:tcPr>
            <w:tcW w:w="1154" w:type="dxa"/>
            <w:vAlign w:val="center"/>
          </w:tcPr>
          <w:p w14:paraId="07A83C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项目</w:t>
            </w:r>
            <w:r>
              <w:rPr>
                <w:rFonts w:hint="eastAsia" w:asciiTheme="minorEastAsia" w:hAnsiTheme="minorEastAsia" w:eastAsiaTheme="minorEastAsia" w:cstheme="minorEastAsia"/>
                <w:sz w:val="21"/>
                <w:szCs w:val="21"/>
              </w:rPr>
              <w:t>团队成员（项目负责人除外）</w:t>
            </w:r>
          </w:p>
        </w:tc>
        <w:tc>
          <w:tcPr>
            <w:tcW w:w="900" w:type="dxa"/>
            <w:vAlign w:val="center"/>
          </w:tcPr>
          <w:p w14:paraId="40CC873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val="en-US" w:eastAsia="zh-CN"/>
              </w:rPr>
            </w:pPr>
            <w:r>
              <w:rPr>
                <w:rFonts w:hint="eastAsia" w:ascii="宋体" w:hAnsi="宋体" w:cs="宋体"/>
                <w:sz w:val="21"/>
                <w:szCs w:val="21"/>
                <w:lang w:val="en-US" w:eastAsia="zh-CN"/>
              </w:rPr>
              <w:t>4</w:t>
            </w:r>
            <w:r>
              <w:rPr>
                <w:rFonts w:hint="eastAsia" w:ascii="宋体" w:hAnsi="宋体" w:eastAsia="宋体" w:cs="宋体"/>
                <w:sz w:val="21"/>
                <w:szCs w:val="21"/>
                <w:lang w:val="en-US" w:eastAsia="zh-CN"/>
              </w:rPr>
              <w:t>人</w:t>
            </w:r>
          </w:p>
        </w:tc>
        <w:tc>
          <w:tcPr>
            <w:tcW w:w="1530" w:type="dxa"/>
            <w:vAlign w:val="center"/>
          </w:tcPr>
          <w:p w14:paraId="37BB82F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投标人自有员工</w:t>
            </w:r>
          </w:p>
        </w:tc>
        <w:tc>
          <w:tcPr>
            <w:tcW w:w="4013" w:type="dxa"/>
            <w:vAlign w:val="center"/>
          </w:tcPr>
          <w:p w14:paraId="633523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eastAsia="zh-CN"/>
              </w:rPr>
            </w:pPr>
            <w:r>
              <w:rPr>
                <w:rFonts w:hint="eastAsia" w:ascii="宋体" w:hAnsi="宋体" w:eastAsia="宋体" w:cs="宋体"/>
                <w:sz w:val="21"/>
                <w:szCs w:val="21"/>
                <w:lang w:val="en-US" w:eastAsia="zh-CN"/>
              </w:rPr>
              <w:t>具有保险或相关专业本科（或以上）学历</w:t>
            </w:r>
          </w:p>
        </w:tc>
      </w:tr>
      <w:tr w14:paraId="571C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835" w:type="dxa"/>
            <w:gridSpan w:val="2"/>
            <w:vAlign w:val="center"/>
          </w:tcPr>
          <w:p w14:paraId="008C32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合计</w:t>
            </w:r>
          </w:p>
        </w:tc>
        <w:tc>
          <w:tcPr>
            <w:tcW w:w="900" w:type="dxa"/>
            <w:vAlign w:val="center"/>
          </w:tcPr>
          <w:p w14:paraId="133DD8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lang w:val="en-US" w:eastAsia="zh-CN"/>
              </w:rPr>
            </w:pPr>
            <w:r>
              <w:rPr>
                <w:rFonts w:hint="eastAsia" w:ascii="宋体" w:hAnsi="宋体" w:cs="宋体"/>
                <w:sz w:val="21"/>
                <w:szCs w:val="21"/>
                <w:lang w:val="en-US" w:eastAsia="zh-CN"/>
              </w:rPr>
              <w:t>5</w:t>
            </w:r>
            <w:r>
              <w:rPr>
                <w:rFonts w:hint="eastAsia" w:ascii="宋体" w:hAnsi="宋体" w:eastAsia="宋体" w:cs="宋体"/>
                <w:sz w:val="21"/>
                <w:szCs w:val="21"/>
                <w:lang w:val="en-US" w:eastAsia="zh-CN"/>
              </w:rPr>
              <w:t>人</w:t>
            </w:r>
          </w:p>
        </w:tc>
        <w:tc>
          <w:tcPr>
            <w:tcW w:w="1530" w:type="dxa"/>
            <w:vAlign w:val="center"/>
          </w:tcPr>
          <w:p w14:paraId="520356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c>
          <w:tcPr>
            <w:tcW w:w="4013" w:type="dxa"/>
            <w:vAlign w:val="center"/>
          </w:tcPr>
          <w:p w14:paraId="5CFBAC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tc>
      </w:tr>
    </w:tbl>
    <w:p w14:paraId="757A94D0">
      <w:pPr>
        <w:pStyle w:val="2"/>
        <w:rPr>
          <w:rFonts w:hint="default"/>
          <w:lang w:val="en-US" w:eastAsia="zh-CN"/>
        </w:rPr>
      </w:pPr>
    </w:p>
    <w:p w14:paraId="3D5ED3BF">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0" w:firstLineChars="0"/>
        <w:jc w:val="both"/>
        <w:textAlignment w:val="auto"/>
        <w:outlineLvl w:val="0"/>
        <w:rPr>
          <w:rFonts w:hint="eastAsia"/>
          <w:b/>
          <w:bCs/>
          <w:sz w:val="22"/>
          <w:szCs w:val="22"/>
          <w:lang w:val="en-US" w:eastAsia="zh-CN"/>
        </w:rPr>
      </w:pPr>
    </w:p>
    <w:p w14:paraId="0F372105">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0" w:firstLineChars="0"/>
        <w:jc w:val="center"/>
        <w:textAlignment w:val="auto"/>
        <w:outlineLvl w:val="0"/>
        <w:rPr>
          <w:rFonts w:hint="eastAsia"/>
          <w:b/>
          <w:bCs/>
          <w:sz w:val="22"/>
          <w:szCs w:val="22"/>
          <w:lang w:val="en-US" w:eastAsia="zh-CN"/>
        </w:rPr>
      </w:pPr>
    </w:p>
    <w:p w14:paraId="57EC3FF6">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0" w:firstLineChars="0"/>
        <w:jc w:val="center"/>
        <w:textAlignment w:val="auto"/>
        <w:outlineLvl w:val="0"/>
        <w:rPr>
          <w:rFonts w:hint="eastAsia"/>
          <w:b/>
          <w:bCs/>
          <w:sz w:val="22"/>
          <w:szCs w:val="22"/>
          <w:lang w:val="en-US" w:eastAsia="zh-CN"/>
        </w:rPr>
      </w:pPr>
    </w:p>
    <w:p w14:paraId="59345D3F">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0" w:firstLineChars="0"/>
        <w:jc w:val="center"/>
        <w:textAlignment w:val="auto"/>
        <w:outlineLvl w:val="0"/>
        <w:rPr>
          <w:rFonts w:hint="eastAsia" w:ascii="宋体" w:hAnsi="宋体" w:cs="宋体"/>
          <w:b/>
          <w:bCs w:val="0"/>
          <w:color w:val="auto"/>
          <w:kern w:val="0"/>
          <w:sz w:val="24"/>
          <w:szCs w:val="24"/>
          <w:highlight w:val="none"/>
          <w:lang w:val="en-US" w:eastAsia="zh-CN" w:bidi="ar-SA"/>
        </w:rPr>
      </w:pPr>
      <w:r>
        <w:rPr>
          <w:rFonts w:hint="eastAsia"/>
          <w:b/>
          <w:bCs/>
          <w:sz w:val="22"/>
          <w:szCs w:val="22"/>
          <w:lang w:val="en-US" w:eastAsia="zh-CN"/>
        </w:rPr>
        <w:t>七</w:t>
      </w:r>
      <w:r>
        <w:rPr>
          <w:rFonts w:hint="eastAsia" w:ascii="宋体" w:hAnsi="宋体" w:cs="宋体"/>
          <w:b/>
          <w:bCs/>
          <w:color w:val="auto"/>
          <w:kern w:val="0"/>
          <w:sz w:val="24"/>
          <w:szCs w:val="24"/>
          <w:highlight w:val="none"/>
          <w:lang w:val="en-US" w:eastAsia="zh-CN" w:bidi="ar-SA"/>
        </w:rPr>
        <w:t>、</w:t>
      </w:r>
      <w:r>
        <w:rPr>
          <w:rFonts w:hint="eastAsia" w:ascii="宋体" w:hAnsi="宋体" w:cs="宋体"/>
          <w:b/>
          <w:bCs w:val="0"/>
          <w:color w:val="auto"/>
          <w:kern w:val="0"/>
          <w:sz w:val="24"/>
          <w:szCs w:val="24"/>
          <w:highlight w:val="none"/>
          <w:lang w:val="en-US" w:eastAsia="zh-CN" w:bidi="ar-SA"/>
        </w:rPr>
        <w:t>其他要求</w:t>
      </w:r>
    </w:p>
    <w:p w14:paraId="1D6E700A">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422" w:firstLineChars="200"/>
        <w:textAlignment w:val="auto"/>
        <w:outlineLvl w:val="0"/>
        <w:rPr>
          <w:rFonts w:hint="eastAsia" w:ascii="宋体" w:hAnsi="宋体" w:cs="宋体"/>
          <w:b/>
          <w:bCs w:val="0"/>
          <w:color w:val="auto"/>
          <w:kern w:val="0"/>
          <w:sz w:val="21"/>
          <w:szCs w:val="21"/>
          <w:highlight w:val="none"/>
          <w:lang w:val="en-US" w:eastAsia="zh-CN" w:bidi="ar-SA"/>
        </w:rPr>
      </w:pPr>
      <w:r>
        <w:rPr>
          <w:rFonts w:hint="eastAsia" w:ascii="宋体" w:hAnsi="宋体" w:cs="宋体"/>
          <w:b/>
          <w:bCs w:val="0"/>
          <w:color w:val="auto"/>
          <w:kern w:val="0"/>
          <w:sz w:val="21"/>
          <w:szCs w:val="21"/>
          <w:highlight w:val="none"/>
          <w:lang w:val="en-US" w:eastAsia="zh-CN" w:bidi="ar-SA"/>
        </w:rPr>
        <w:t>1、保密要求</w:t>
      </w:r>
    </w:p>
    <w:p w14:paraId="0A9D2818">
      <w:pPr>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firstLine="420" w:firstLineChars="200"/>
        <w:textAlignment w:val="auto"/>
        <w:outlineLvl w:val="0"/>
        <w:rPr>
          <w:rFonts w:hint="eastAsia" w:ascii="宋体" w:hAnsi="宋体" w:cs="宋体"/>
          <w:bCs/>
          <w:color w:val="auto"/>
          <w:kern w:val="0"/>
          <w:szCs w:val="21"/>
          <w:highlight w:val="none"/>
        </w:rPr>
      </w:pPr>
      <w:r>
        <w:rPr>
          <w:rFonts w:hint="eastAsia" w:ascii="宋体" w:hAnsi="宋体" w:cs="宋体"/>
          <w:bCs/>
          <w:color w:val="auto"/>
          <w:kern w:val="0"/>
          <w:szCs w:val="21"/>
          <w:highlight w:val="none"/>
        </w:rPr>
        <w:t>投标人具有保密义务，应对被保险人、保险对象的包括但不限于理赔情况、知识产权等进行保密，违反保密义务或给委托人造成经济损失的需要进行赔偿。</w:t>
      </w:r>
    </w:p>
    <w:p w14:paraId="371A3CDA">
      <w:pPr>
        <w:pageBreakBefore w:val="0"/>
        <w:numPr>
          <w:ilvl w:val="0"/>
          <w:numId w:val="0"/>
        </w:numPr>
        <w:kinsoku/>
        <w:wordWrap/>
        <w:overflowPunct/>
        <w:topLinePunct w:val="0"/>
        <w:bidi w:val="0"/>
        <w:spacing w:line="240" w:lineRule="auto"/>
        <w:ind w:firstLine="422" w:firstLineChars="200"/>
        <w:rPr>
          <w:rFonts w:hint="eastAsia" w:ascii="宋体" w:hAnsi="宋体" w:eastAsia="宋体" w:cs="宋体"/>
          <w:b/>
          <w:bCs/>
          <w:color w:val="auto"/>
          <w:highlight w:val="none"/>
          <w:lang w:val="en-US" w:eastAsia="zh-CN"/>
        </w:rPr>
      </w:pPr>
      <w:r>
        <w:rPr>
          <w:rFonts w:hint="eastAsia" w:ascii="宋体" w:hAnsi="宋体" w:cs="宋体"/>
          <w:b/>
          <w:bCs/>
          <w:color w:val="auto"/>
          <w:highlight w:val="none"/>
          <w:lang w:val="en-US" w:eastAsia="zh-CN"/>
        </w:rPr>
        <w:t>2、</w:t>
      </w:r>
      <w:r>
        <w:rPr>
          <w:rFonts w:hint="eastAsia" w:ascii="宋体" w:hAnsi="宋体" w:eastAsia="宋体" w:cs="宋体"/>
          <w:b/>
          <w:bCs/>
          <w:color w:val="auto"/>
          <w:highlight w:val="none"/>
          <w:lang w:val="en-US" w:eastAsia="zh-CN"/>
        </w:rPr>
        <w:t>工作终止要求</w:t>
      </w:r>
    </w:p>
    <w:p w14:paraId="1318B9C6">
      <w:pPr>
        <w:pageBreakBefore w:val="0"/>
        <w:numPr>
          <w:ilvl w:val="0"/>
          <w:numId w:val="0"/>
        </w:numPr>
        <w:kinsoku/>
        <w:wordWrap/>
        <w:overflowPunct/>
        <w:topLinePunct w:val="0"/>
        <w:bidi w:val="0"/>
        <w:spacing w:line="24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在服务过程中，发生下列几种情况之一的，采购人有权向有关部门申请，终止与中标人所签订的服务合同：</w:t>
      </w:r>
    </w:p>
    <w:p w14:paraId="209E36FC">
      <w:pPr>
        <w:pageBreakBefore w:val="0"/>
        <w:numPr>
          <w:ilvl w:val="0"/>
          <w:numId w:val="0"/>
        </w:numPr>
        <w:kinsoku/>
        <w:wordWrap/>
        <w:overflowPunct/>
        <w:topLinePunct w:val="0"/>
        <w:bidi w:val="0"/>
        <w:spacing w:line="24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①参与本项目的项目负责人和</w:t>
      </w:r>
      <w:r>
        <w:rPr>
          <w:rFonts w:hint="eastAsia" w:ascii="宋体" w:hAnsi="宋体" w:cs="宋体"/>
          <w:b w:val="0"/>
          <w:bCs/>
          <w:color w:val="auto"/>
          <w:kern w:val="0"/>
          <w:sz w:val="21"/>
          <w:szCs w:val="21"/>
          <w:highlight w:val="none"/>
          <w:lang w:val="en-US" w:eastAsia="zh-CN" w:bidi="ar-SA"/>
        </w:rPr>
        <w:t>团队成员</w:t>
      </w:r>
      <w:r>
        <w:rPr>
          <w:rFonts w:hint="eastAsia" w:ascii="宋体" w:hAnsi="宋体" w:eastAsia="宋体" w:cs="宋体"/>
          <w:color w:val="auto"/>
          <w:highlight w:val="none"/>
          <w:lang w:val="en-US" w:eastAsia="zh-CN"/>
        </w:rPr>
        <w:t>频繁更换且未经采购</w:t>
      </w:r>
      <w:r>
        <w:rPr>
          <w:rFonts w:hint="eastAsia" w:ascii="宋体" w:hAnsi="宋体" w:cs="宋体"/>
          <w:color w:val="auto"/>
          <w:highlight w:val="none"/>
          <w:lang w:val="en-US" w:eastAsia="zh-CN"/>
        </w:rPr>
        <w:t>人</w:t>
      </w:r>
      <w:r>
        <w:rPr>
          <w:rFonts w:hint="eastAsia" w:ascii="宋体" w:hAnsi="宋体" w:eastAsia="宋体" w:cs="宋体"/>
          <w:color w:val="auto"/>
          <w:highlight w:val="none"/>
          <w:lang w:val="en-US" w:eastAsia="zh-CN"/>
        </w:rPr>
        <w:t>同意的；</w:t>
      </w:r>
    </w:p>
    <w:p w14:paraId="32C4D23A">
      <w:pPr>
        <w:pageBreakBefore w:val="0"/>
        <w:numPr>
          <w:ilvl w:val="0"/>
          <w:numId w:val="0"/>
        </w:numPr>
        <w:kinsoku/>
        <w:wordWrap/>
        <w:overflowPunct/>
        <w:topLinePunct w:val="0"/>
        <w:bidi w:val="0"/>
        <w:spacing w:line="240" w:lineRule="auto"/>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②投标人所派出的项目负责人和</w:t>
      </w:r>
      <w:r>
        <w:rPr>
          <w:rFonts w:hint="eastAsia" w:ascii="宋体" w:hAnsi="宋体" w:cs="宋体"/>
          <w:b w:val="0"/>
          <w:bCs/>
          <w:color w:val="auto"/>
          <w:kern w:val="0"/>
          <w:sz w:val="21"/>
          <w:szCs w:val="21"/>
          <w:highlight w:val="none"/>
          <w:lang w:val="en-US" w:eastAsia="zh-CN" w:bidi="ar-SA"/>
        </w:rPr>
        <w:t>团队成员</w:t>
      </w:r>
      <w:r>
        <w:rPr>
          <w:rFonts w:hint="eastAsia" w:ascii="宋体" w:hAnsi="宋体" w:eastAsia="宋体" w:cs="宋体"/>
          <w:color w:val="auto"/>
          <w:highlight w:val="none"/>
          <w:lang w:val="en-US" w:eastAsia="zh-CN"/>
        </w:rPr>
        <w:t>的服务质量较差；</w:t>
      </w:r>
    </w:p>
    <w:p w14:paraId="02D613FD">
      <w:pPr>
        <w:pageBreakBefore w:val="0"/>
        <w:numPr>
          <w:ilvl w:val="0"/>
          <w:numId w:val="0"/>
        </w:numPr>
        <w:kinsoku/>
        <w:wordWrap/>
        <w:overflowPunct/>
        <w:topLinePunct w:val="0"/>
        <w:bidi w:val="0"/>
        <w:spacing w:line="24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③投标人将项目转包给其他单位的；</w:t>
      </w:r>
    </w:p>
    <w:p w14:paraId="5054FCBC">
      <w:pPr>
        <w:pageBreakBefore w:val="0"/>
        <w:numPr>
          <w:ilvl w:val="0"/>
          <w:numId w:val="0"/>
        </w:numPr>
        <w:kinsoku/>
        <w:wordWrap/>
        <w:overflowPunct/>
        <w:topLinePunct w:val="0"/>
        <w:bidi w:val="0"/>
        <w:spacing w:line="24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④投标人泄露本项目的工作秘密的；</w:t>
      </w:r>
    </w:p>
    <w:p w14:paraId="70ED16B6">
      <w:pPr>
        <w:pageBreakBefore w:val="0"/>
        <w:numPr>
          <w:ilvl w:val="0"/>
          <w:numId w:val="0"/>
        </w:numPr>
        <w:kinsoku/>
        <w:wordWrap/>
        <w:overflowPunct/>
        <w:topLinePunct w:val="0"/>
        <w:bidi w:val="0"/>
        <w:spacing w:line="24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⑤投标人未能依法履行</w:t>
      </w:r>
      <w:r>
        <w:rPr>
          <w:rFonts w:hint="eastAsia" w:ascii="宋体" w:hAnsi="宋体" w:cs="宋体"/>
          <w:highlight w:val="none"/>
          <w:lang w:val="en-US" w:eastAsia="zh-CN"/>
        </w:rPr>
        <w:t>服务</w:t>
      </w:r>
      <w:r>
        <w:rPr>
          <w:rFonts w:hint="eastAsia" w:ascii="宋体" w:hAnsi="宋体" w:eastAsia="宋体" w:cs="宋体"/>
          <w:highlight w:val="none"/>
          <w:lang w:val="en-US" w:eastAsia="zh-CN"/>
        </w:rPr>
        <w:t>职责的</w:t>
      </w:r>
      <w:r>
        <w:rPr>
          <w:rFonts w:hint="eastAsia" w:ascii="宋体" w:hAnsi="宋体" w:cs="宋体"/>
          <w:highlight w:val="none"/>
          <w:lang w:val="en-US" w:eastAsia="zh-CN"/>
        </w:rPr>
        <w:t>。</w:t>
      </w:r>
    </w:p>
    <w:p w14:paraId="6AACBB14">
      <w:pPr>
        <w:spacing w:line="360" w:lineRule="auto"/>
        <w:ind w:firstLine="482" w:firstLineChars="200"/>
        <w:rPr>
          <w:rFonts w:hint="eastAsia" w:asciiTheme="minorEastAsia" w:hAnsiTheme="minorEastAsia" w:eastAsiaTheme="minorEastAsia"/>
          <w:b/>
          <w:bCs/>
          <w:color w:val="auto"/>
          <w:sz w:val="24"/>
          <w:highlight w:val="none"/>
        </w:rPr>
      </w:pPr>
    </w:p>
    <w:p w14:paraId="22CC5F7D">
      <w:pPr>
        <w:rPr>
          <w:b/>
          <w:color w:val="auto"/>
          <w:sz w:val="24"/>
          <w:highlight w:val="none"/>
        </w:rPr>
      </w:pPr>
    </w:p>
    <w:p w14:paraId="4F18FDE6">
      <w:pPr>
        <w:pStyle w:val="7"/>
        <w:spacing w:before="120" w:beforeLines="50" w:after="120" w:afterLines="50"/>
        <w:rPr>
          <w:rFonts w:hint="eastAsia" w:ascii="宋体" w:hAnsi="宋体"/>
          <w:color w:val="auto"/>
          <w:kern w:val="0"/>
          <w:szCs w:val="21"/>
          <w:highlight w:val="none"/>
        </w:rPr>
      </w:pPr>
    </w:p>
    <w:p w14:paraId="34193B96">
      <w:pPr>
        <w:pStyle w:val="7"/>
        <w:spacing w:before="120" w:beforeLines="50" w:after="120" w:afterLines="50"/>
        <w:rPr>
          <w:rFonts w:hint="eastAsia"/>
          <w:color w:val="auto"/>
          <w:szCs w:val="24"/>
          <w:highlight w:val="none"/>
        </w:rPr>
      </w:pPr>
    </w:p>
    <w:p w14:paraId="0C60AD66">
      <w:pPr>
        <w:pStyle w:val="7"/>
        <w:spacing w:before="120" w:beforeLines="50" w:after="120" w:afterLines="50"/>
        <w:rPr>
          <w:rFonts w:hint="eastAsia"/>
          <w:color w:val="auto"/>
          <w:szCs w:val="24"/>
          <w:highlight w:val="none"/>
        </w:rPr>
      </w:pPr>
    </w:p>
    <w:p w14:paraId="6F79180D">
      <w:pPr>
        <w:pStyle w:val="7"/>
        <w:spacing w:before="120" w:beforeLines="50" w:after="120" w:afterLines="50"/>
        <w:rPr>
          <w:rFonts w:hint="eastAsia"/>
          <w:color w:val="auto"/>
          <w:szCs w:val="24"/>
          <w:highlight w:val="none"/>
        </w:rPr>
      </w:pPr>
      <w:r>
        <w:rPr>
          <w:rFonts w:hint="eastAsia"/>
          <w:color w:val="auto"/>
          <w:szCs w:val="24"/>
          <w:highlight w:val="none"/>
        </w:rPr>
        <w:t>六、商务要求</w:t>
      </w:r>
    </w:p>
    <w:p w14:paraId="7D94ABC3">
      <w:pPr>
        <w:pStyle w:val="7"/>
        <w:pageBreakBefore w:val="0"/>
        <w:kinsoku/>
        <w:wordWrap/>
        <w:overflowPunct/>
        <w:topLinePunct w:val="0"/>
        <w:bidi w:val="0"/>
        <w:spacing w:before="0" w:after="0" w:line="240" w:lineRule="auto"/>
        <w:ind w:firstLine="422" w:firstLineChars="200"/>
        <w:jc w:val="left"/>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（一）服务期限</w:t>
      </w:r>
    </w:p>
    <w:p w14:paraId="1E1F1176">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highlight w:val="yellow"/>
        </w:rPr>
      </w:pPr>
      <w:r>
        <w:rPr>
          <w:rFonts w:hint="eastAsia" w:asciiTheme="minorEastAsia" w:hAnsiTheme="minorEastAsia" w:eastAsiaTheme="minorEastAsia" w:cstheme="minorEastAsia"/>
          <w:b w:val="0"/>
          <w:bCs w:val="0"/>
          <w:color w:val="000000"/>
          <w:sz w:val="21"/>
          <w:szCs w:val="21"/>
        </w:rPr>
        <w:t>1</w:t>
      </w:r>
      <w:r>
        <w:rPr>
          <w:rFonts w:hint="eastAsia" w:asciiTheme="minorEastAsia" w:hAnsiTheme="minorEastAsia" w:eastAsiaTheme="minorEastAsia" w:cstheme="minorEastAsia"/>
          <w:b w:val="0"/>
          <w:bCs w:val="0"/>
          <w:color w:val="000000"/>
          <w:sz w:val="21"/>
          <w:szCs w:val="21"/>
          <w:highlight w:val="yellow"/>
        </w:rPr>
        <w:t>.</w:t>
      </w:r>
      <w:r>
        <w:rPr>
          <w:rFonts w:hint="eastAsia" w:hAnsi="宋体" w:eastAsiaTheme="minorEastAsia"/>
          <w:kern w:val="0"/>
          <w:szCs w:val="21"/>
          <w:highlight w:val="yellow"/>
        </w:rPr>
        <w:t>★</w:t>
      </w:r>
      <w:r>
        <w:rPr>
          <w:rFonts w:hint="eastAsia" w:asciiTheme="minorEastAsia" w:hAnsiTheme="minorEastAsia" w:eastAsiaTheme="minorEastAsia" w:cstheme="minorEastAsia"/>
          <w:b w:val="0"/>
          <w:bCs w:val="0"/>
          <w:color w:val="000000"/>
          <w:sz w:val="21"/>
          <w:szCs w:val="21"/>
          <w:highlight w:val="yellow"/>
        </w:rPr>
        <w:t>自合同签订之日起一年。</w:t>
      </w:r>
    </w:p>
    <w:p w14:paraId="2F183512">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highlight w:val="yellow"/>
        </w:rPr>
      </w:pPr>
      <w:r>
        <w:rPr>
          <w:rFonts w:hint="eastAsia" w:asciiTheme="minorEastAsia" w:hAnsiTheme="minorEastAsia" w:eastAsiaTheme="minorEastAsia" w:cstheme="minorEastAsia"/>
          <w:b w:val="0"/>
          <w:bCs w:val="0"/>
          <w:color w:val="000000"/>
          <w:sz w:val="21"/>
          <w:szCs w:val="21"/>
          <w:highlight w:val="yellow"/>
        </w:rPr>
        <w:t>2.</w:t>
      </w:r>
      <w:r>
        <w:rPr>
          <w:rFonts w:hint="eastAsia" w:hAnsi="宋体" w:eastAsiaTheme="minorEastAsia"/>
          <w:kern w:val="0"/>
          <w:szCs w:val="21"/>
          <w:highlight w:val="yellow"/>
        </w:rPr>
        <w:t>★</w:t>
      </w:r>
      <w:r>
        <w:rPr>
          <w:rFonts w:hint="eastAsia" w:asciiTheme="minorEastAsia" w:hAnsiTheme="minorEastAsia" w:eastAsiaTheme="minorEastAsia" w:cstheme="minorEastAsia"/>
          <w:b w:val="0"/>
          <w:bCs w:val="0"/>
          <w:color w:val="000000"/>
          <w:sz w:val="21"/>
          <w:szCs w:val="21"/>
          <w:highlight w:val="yellow"/>
        </w:rPr>
        <w:t>保险期限结束后，对于保险期限内发生的保险事故，中标单位应继续提供服务，服务内容及要求不变。</w:t>
      </w:r>
    </w:p>
    <w:p w14:paraId="55E345D8">
      <w:pPr>
        <w:pStyle w:val="7"/>
        <w:pageBreakBefore w:val="0"/>
        <w:kinsoku/>
        <w:wordWrap/>
        <w:overflowPunct/>
        <w:topLinePunct w:val="0"/>
        <w:bidi w:val="0"/>
        <w:spacing w:before="0" w:after="0" w:line="240" w:lineRule="auto"/>
        <w:ind w:firstLine="422" w:firstLineChars="200"/>
        <w:jc w:val="left"/>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（二）考核评估</w:t>
      </w:r>
    </w:p>
    <w:p w14:paraId="69EC8673">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1.数据报送</w:t>
      </w:r>
    </w:p>
    <w:p w14:paraId="1796636E">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中标单位需按季度统计理赔数据报送至采购单位，同时在每季度结束后10日内总结报送上季度理赔数据和服务情况。每季度与采购单位共同召开会议，总结事故发生的原因及规律，提出有针对性的防范建议，预防及减少保险事故发生。</w:t>
      </w:r>
    </w:p>
    <w:p w14:paraId="668BEE63">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2.投诉监督</w:t>
      </w:r>
    </w:p>
    <w:p w14:paraId="309F1303">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为确保投保人能够得到优质的服务，中标单位服务人员应自觉接受投诉监督（投诉电话），如服务时效、服务质量、服务态度等问题接到投诉，中标单位应彻查原因，对核实的问题及相关人员进行彻底整改和严肃处理，并于接到投诉之日起三个工作日内向采购单位反馈整改情况和处理结果，不断持续提升投保人满意度。</w:t>
      </w:r>
    </w:p>
    <w:p w14:paraId="41EB0541">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3.督导评估</w:t>
      </w:r>
    </w:p>
    <w:p w14:paraId="32ED2330">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中标单位需按季度规整项目宣传培训及理赔工作开展情况，留存相关数据材料，接受采购单位督导检查，并积极配合采购单位迎接上级单位考核评估。按年度对项目工作开展情况进行评估，总结经验，完善严重精神障碍患者补偿保险工作机制。</w:t>
      </w:r>
    </w:p>
    <w:p w14:paraId="5AC81762">
      <w:pPr>
        <w:pStyle w:val="7"/>
        <w:pageBreakBefore w:val="0"/>
        <w:kinsoku/>
        <w:wordWrap/>
        <w:overflowPunct/>
        <w:topLinePunct w:val="0"/>
        <w:bidi w:val="0"/>
        <w:spacing w:before="0" w:after="0" w:line="240" w:lineRule="auto"/>
        <w:ind w:firstLine="422" w:firstLineChars="200"/>
        <w:jc w:val="left"/>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（三）合同文本及条款</w:t>
      </w:r>
    </w:p>
    <w:p w14:paraId="4B3A64C1">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1.履约时间：自合同签订之日起一年。</w:t>
      </w:r>
    </w:p>
    <w:p w14:paraId="743E9C2E">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2.履约地点：中华人民共和国境内（港、澳、台地区除外）</w:t>
      </w:r>
    </w:p>
    <w:p w14:paraId="5766C93B">
      <w:pPr>
        <w:pStyle w:val="7"/>
        <w:pageBreakBefore w:val="0"/>
        <w:kinsoku/>
        <w:wordWrap/>
        <w:overflowPunct/>
        <w:topLinePunct w:val="0"/>
        <w:bidi w:val="0"/>
        <w:spacing w:before="0" w:after="0" w:line="240" w:lineRule="auto"/>
        <w:ind w:firstLine="420" w:firstLineChars="200"/>
        <w:jc w:val="left"/>
      </w:pPr>
      <w:r>
        <w:rPr>
          <w:rFonts w:hint="eastAsia" w:asciiTheme="minorEastAsia" w:hAnsiTheme="minorEastAsia" w:eastAsiaTheme="minorEastAsia" w:cstheme="minorEastAsia"/>
          <w:b w:val="0"/>
          <w:bCs w:val="0"/>
          <w:color w:val="000000"/>
          <w:sz w:val="21"/>
          <w:szCs w:val="21"/>
        </w:rPr>
        <w:t>3.付款期限及付款方式：202</w:t>
      </w:r>
      <w:r>
        <w:rPr>
          <w:rFonts w:hint="eastAsia" w:asciiTheme="minorEastAsia" w:hAnsiTheme="minorEastAsia" w:eastAsiaTheme="minorEastAsia" w:cstheme="minorEastAsia"/>
          <w:b w:val="0"/>
          <w:bCs w:val="0"/>
          <w:color w:val="000000"/>
          <w:sz w:val="21"/>
          <w:szCs w:val="21"/>
          <w:lang w:val="en-US" w:eastAsia="zh-CN"/>
        </w:rPr>
        <w:t>6</w:t>
      </w:r>
      <w:r>
        <w:rPr>
          <w:rFonts w:hint="eastAsia" w:asciiTheme="minorEastAsia" w:hAnsiTheme="minorEastAsia" w:eastAsiaTheme="minorEastAsia" w:cstheme="minorEastAsia"/>
          <w:b w:val="0"/>
          <w:bCs w:val="0"/>
          <w:color w:val="000000"/>
          <w:sz w:val="21"/>
          <w:szCs w:val="21"/>
        </w:rPr>
        <w:t>年1月30日前</w:t>
      </w:r>
      <w:r>
        <w:rPr>
          <w:rFonts w:hint="eastAsia" w:asciiTheme="minorEastAsia" w:hAnsiTheme="minorEastAsia" w:eastAsiaTheme="minorEastAsia" w:cstheme="minorEastAsia"/>
          <w:b w:val="0"/>
          <w:bCs w:val="0"/>
          <w:color w:val="auto"/>
          <w:sz w:val="21"/>
          <w:szCs w:val="21"/>
        </w:rPr>
        <w:t>（自收到发票后10 个工作日内将资金支付到合同约定的供应商账户），一次性支付全部费用</w:t>
      </w:r>
      <w:r>
        <w:rPr>
          <w:rFonts w:hint="eastAsia" w:asciiTheme="minorEastAsia" w:hAnsiTheme="minorEastAsia" w:eastAsiaTheme="minorEastAsia" w:cstheme="minorEastAsia"/>
          <w:b w:val="0"/>
          <w:bCs w:val="0"/>
          <w:color w:val="000000"/>
          <w:sz w:val="21"/>
          <w:szCs w:val="21"/>
        </w:rPr>
        <w:t>。因甲方政府财务审批流程导致延迟付款的，乙方同意顺延的，不视为甲方违约。</w:t>
      </w:r>
    </w:p>
    <w:p w14:paraId="0251C47A">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4.验收条件：中标方需按国际公认或国家、地方政府颁布的同等或更高标准及采购方招标技术和时间要求，完成并全部提交相应工作成果后，经采购方相关业务部门审核后，方可进行项目验收。</w:t>
      </w:r>
    </w:p>
    <w:p w14:paraId="503C705F">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5.违约责任：若乙方违反有关法律法规和合同约定，或不信守职业道德，或存在不恰当和腐败行为的，并且造成严重后果的，甲方有权解除本合同，乙方应退还已支付的全部服务费用，并承担由此而引起的法律责任，同时赔偿由此造成的经济损失。</w:t>
      </w:r>
    </w:p>
    <w:p w14:paraId="2C416D35">
      <w:pPr>
        <w:pStyle w:val="7"/>
        <w:pageBreakBefore w:val="0"/>
        <w:kinsoku/>
        <w:wordWrap/>
        <w:overflowPunct/>
        <w:topLinePunct w:val="0"/>
        <w:bidi w:val="0"/>
        <w:spacing w:before="0" w:after="0" w:line="240" w:lineRule="auto"/>
        <w:ind w:firstLine="420" w:firstLineChars="200"/>
        <w:jc w:val="left"/>
        <w:rPr>
          <w:rFonts w:hint="eastAsia" w:asciiTheme="minorEastAsia" w:hAnsiTheme="minorEastAsia" w:eastAsiaTheme="minorEastAsia" w:cstheme="minorEastAsia"/>
          <w:b w:val="0"/>
          <w:bCs w:val="0"/>
          <w:color w:val="000000"/>
          <w:sz w:val="21"/>
          <w:szCs w:val="21"/>
        </w:rPr>
      </w:pPr>
      <w:r>
        <w:rPr>
          <w:rFonts w:hint="eastAsia" w:asciiTheme="minorEastAsia" w:hAnsiTheme="minorEastAsia" w:eastAsiaTheme="minorEastAsia" w:cstheme="minorEastAsia"/>
          <w:b w:val="0"/>
          <w:bCs w:val="0"/>
          <w:color w:val="000000"/>
          <w:sz w:val="21"/>
          <w:szCs w:val="21"/>
        </w:rPr>
        <w:t>6.争议解决方法：本协议履行过程中发生纠纷的，由甲乙双协商解决；协商不成的，可依法向本协议履行地人民法院起诉。</w:t>
      </w:r>
    </w:p>
    <w:p w14:paraId="229FD52F">
      <w:pPr>
        <w:ind w:firstLine="420" w:firstLineChars="200"/>
        <w:rPr>
          <w:rFonts w:hint="eastAsia" w:ascii="宋体" w:hAnsi="宋体" w:eastAsia="宋体" w:cs="宋体"/>
          <w:sz w:val="21"/>
          <w:szCs w:val="21"/>
        </w:rPr>
      </w:pPr>
      <w:r>
        <w:rPr>
          <w:rFonts w:hint="eastAsia" w:asciiTheme="minorEastAsia" w:hAnsiTheme="minorEastAsia" w:eastAsiaTheme="minorEastAsia" w:cstheme="minorEastAsia"/>
          <w:b w:val="0"/>
          <w:bCs w:val="0"/>
          <w:color w:val="000000"/>
          <w:sz w:val="21"/>
          <w:szCs w:val="21"/>
        </w:rPr>
        <w:t>7.其他要求按招投标文件相关内容执行。</w:t>
      </w:r>
      <w:r>
        <w:rPr>
          <w:rFonts w:hint="eastAsia" w:ascii="宋体" w:hAnsi="宋体" w:eastAsia="宋体" w:cs="宋体"/>
          <w:color w:val="auto"/>
          <w:sz w:val="21"/>
          <w:szCs w:val="21"/>
          <w:highlight w:val="none"/>
        </w:rPr>
        <w:t xml:space="preserve"> </w:t>
      </w:r>
    </w:p>
    <w:p w14:paraId="0D865602">
      <w:pPr>
        <w:rPr>
          <w:rFonts w:hint="eastAsia"/>
          <w:szCs w:val="24"/>
        </w:rPr>
      </w:pPr>
    </w:p>
    <w:p w14:paraId="6D540952">
      <w:pPr>
        <w:pStyle w:val="2"/>
        <w:rPr>
          <w:rFonts w:hint="eastAsia"/>
          <w:szCs w:val="24"/>
        </w:rPr>
      </w:pPr>
    </w:p>
    <w:p w14:paraId="4FA5C935">
      <w:pPr>
        <w:rPr>
          <w:rFonts w:hint="eastAsia"/>
          <w:szCs w:val="24"/>
        </w:rPr>
      </w:pPr>
    </w:p>
    <w:p w14:paraId="45323003">
      <w:pPr>
        <w:pStyle w:val="2"/>
        <w:rPr>
          <w:rFonts w:hint="eastAsia"/>
          <w:szCs w:val="24"/>
        </w:rPr>
      </w:pPr>
    </w:p>
    <w:p w14:paraId="2659EE0D">
      <w:pPr>
        <w:pStyle w:val="60"/>
        <w:rPr>
          <w:rFonts w:hint="eastAsia"/>
          <w:szCs w:val="24"/>
        </w:rPr>
      </w:pPr>
    </w:p>
    <w:p w14:paraId="775CF406">
      <w:pPr>
        <w:rPr>
          <w:rFonts w:hint="eastAsia"/>
          <w:szCs w:val="24"/>
        </w:rPr>
      </w:pPr>
    </w:p>
    <w:p w14:paraId="0BDC541D">
      <w:pPr>
        <w:pStyle w:val="2"/>
        <w:rPr>
          <w:rFonts w:hint="eastAsia"/>
        </w:rPr>
      </w:pPr>
    </w:p>
    <w:p w14:paraId="49D248B4">
      <w:pPr>
        <w:pStyle w:val="7"/>
        <w:spacing w:before="120" w:beforeLines="50" w:after="120" w:afterLines="50"/>
        <w:jc w:val="both"/>
        <w:rPr>
          <w:rFonts w:hint="eastAsia"/>
          <w:szCs w:val="24"/>
        </w:rPr>
      </w:pPr>
    </w:p>
    <w:p w14:paraId="1BCA9593">
      <w:pPr>
        <w:pStyle w:val="7"/>
        <w:spacing w:before="120" w:beforeLines="50" w:after="120" w:afterLines="50"/>
        <w:rPr>
          <w:szCs w:val="24"/>
        </w:rPr>
      </w:pPr>
      <w:r>
        <w:rPr>
          <w:rFonts w:hint="eastAsia"/>
          <w:szCs w:val="24"/>
        </w:rPr>
        <w:t>七、其他重要条款</w:t>
      </w:r>
    </w:p>
    <w:p w14:paraId="18D6B60A">
      <w:pPr>
        <w:ind w:firstLine="420" w:firstLineChars="200"/>
        <w:rPr>
          <w:bCs/>
          <w:szCs w:val="21"/>
          <w:highlight w:val="none"/>
        </w:rPr>
      </w:pPr>
      <w:r>
        <w:rPr>
          <w:rFonts w:hint="eastAsia"/>
          <w:bCs/>
          <w:szCs w:val="21"/>
        </w:rPr>
        <w:t>1、</w:t>
      </w:r>
      <w:r>
        <w:rPr>
          <w:rFonts w:hint="eastAsia"/>
          <w:bCs/>
          <w:szCs w:val="21"/>
          <w:highlight w:val="none"/>
        </w:rPr>
        <w:t>本项目投标报价</w:t>
      </w:r>
      <w:r>
        <w:rPr>
          <w:rFonts w:hint="eastAsia"/>
          <w:bCs/>
          <w:szCs w:val="21"/>
          <w:highlight w:val="none"/>
          <w:lang w:eastAsia="zh-CN"/>
        </w:rPr>
        <w:t>已</w:t>
      </w:r>
      <w:r>
        <w:rPr>
          <w:rFonts w:hint="eastAsia"/>
          <w:bCs/>
          <w:szCs w:val="21"/>
          <w:highlight w:val="none"/>
        </w:rPr>
        <w:t>包括成本、法定税费和相应的利润，应涵盖本项目招标范围和招标文件所列的各项内容中所述的全部。由投标人根据招标需求自行测算投标报价；一经中标，投标报价即作为中标单位与采购人签订的合同金额</w:t>
      </w:r>
      <w:r>
        <w:rPr>
          <w:rFonts w:hint="eastAsia"/>
          <w:bCs/>
          <w:szCs w:val="21"/>
          <w:highlight w:val="none"/>
          <w:lang w:eastAsia="zh-CN"/>
        </w:rPr>
        <w:t>。若实际工作量低于报价工作量，以实际结算为准；若实际工作量超出报价工作量，实行包干制</w:t>
      </w:r>
      <w:r>
        <w:rPr>
          <w:rFonts w:hint="eastAsia"/>
          <w:bCs/>
          <w:szCs w:val="21"/>
          <w:highlight w:val="none"/>
        </w:rPr>
        <w:t>。</w:t>
      </w:r>
    </w:p>
    <w:p w14:paraId="5DCCDAF0">
      <w:pPr>
        <w:pStyle w:val="9"/>
        <w:spacing w:before="60" w:beforeLines="25" w:after="60" w:afterLines="25"/>
        <w:ind w:firstLine="392" w:firstLineChars="187"/>
        <w:rPr>
          <w:rFonts w:ascii="宋体" w:hAnsi="宋体"/>
          <w:szCs w:val="21"/>
        </w:rPr>
      </w:pPr>
      <w:r>
        <w:rPr>
          <w:bCs/>
          <w:szCs w:val="21"/>
        </w:rPr>
        <w:t>2</w:t>
      </w:r>
      <w:r>
        <w:rPr>
          <w:rFonts w:hint="eastAsia"/>
          <w:bCs/>
          <w:szCs w:val="21"/>
        </w:rPr>
        <w:t>、投标人应充分了解项目的位置、情况、道路及任何其它足以影响投标报价的情况，任何因忽视或误解项目情况而导致的索赔或服务期限延长申请将不获批准。</w:t>
      </w:r>
    </w:p>
    <w:p w14:paraId="76DED05E">
      <w:pPr>
        <w:ind w:firstLine="420" w:firstLineChars="200"/>
        <w:rPr>
          <w:bCs/>
          <w:szCs w:val="21"/>
        </w:rPr>
      </w:pPr>
      <w:r>
        <w:rPr>
          <w:bCs/>
          <w:szCs w:val="21"/>
        </w:rPr>
        <w:t>3</w:t>
      </w:r>
      <w:r>
        <w:rPr>
          <w:rFonts w:hint="eastAsia"/>
          <w:bCs/>
          <w:szCs w:val="21"/>
        </w:rPr>
        <w:t>、投标人不得期望通过索赔等方式获取补偿，否则，除可能遭到拒绝外，还可能将被作为不良行为记录在案，并可能影响其以后参加政府采购的项目投标。各投标人在投标报价时，应充分考虑投标报价的风险。</w:t>
      </w:r>
    </w:p>
    <w:p w14:paraId="742D98BF">
      <w:pPr>
        <w:ind w:firstLine="420" w:firstLineChars="200"/>
        <w:rPr>
          <w:bCs/>
          <w:szCs w:val="21"/>
        </w:rPr>
      </w:pPr>
      <w:r>
        <w:rPr>
          <w:rFonts w:hint="eastAsia" w:ascii="Times New Roman" w:eastAsia="宋体"/>
          <w:bCs/>
          <w:szCs w:val="21"/>
          <w:lang w:val="en-US" w:eastAsia="zh-CN"/>
        </w:rPr>
        <w:t>4</w:t>
      </w:r>
      <w:r>
        <w:rPr>
          <w:rFonts w:hint="eastAsia"/>
          <w:bCs/>
          <w:szCs w:val="21"/>
        </w:rPr>
        <w:t>、除政府采购合同继续履行将损害国家利益和社会公共利益外，双方当事人不得擅自变更、中止或者终止合同。</w:t>
      </w:r>
    </w:p>
    <w:p w14:paraId="2813541F">
      <w:pPr>
        <w:ind w:firstLine="420" w:firstLineChars="200"/>
        <w:rPr>
          <w:rFonts w:hint="eastAsia" w:eastAsia="宋体"/>
          <w:bCs/>
          <w:szCs w:val="21"/>
          <w:lang w:val="en-US" w:eastAsia="zh-CN"/>
        </w:rPr>
      </w:pPr>
      <w:r>
        <w:rPr>
          <w:rFonts w:hint="eastAsia" w:ascii="Times New Roman" w:eastAsia="宋体"/>
          <w:bCs/>
          <w:szCs w:val="21"/>
          <w:lang w:val="en-US" w:eastAsia="zh-CN"/>
        </w:rPr>
        <w:t>5</w:t>
      </w:r>
      <w:r>
        <w:rPr>
          <w:rFonts w:hint="eastAsia"/>
          <w:bCs/>
          <w:szCs w:val="21"/>
        </w:rPr>
        <w:t>、“信用中国”中“信用服务”栏的“重大税收违法失信主体”“失信被执行人”，“中国政府采购网”中的“政府采购严重违法失信行为记录名单”，以及“深圳市政府采购监管网”为供应商信用信息的查询渠道，相关信息以开标当日的查询结果为准</w:t>
      </w:r>
      <w:r>
        <w:rPr>
          <w:rFonts w:hint="eastAsia" w:ascii="Times New Roman" w:eastAsia="宋体"/>
          <w:bCs/>
          <w:szCs w:val="21"/>
          <w:lang w:val="en-US" w:eastAsia="zh-CN"/>
        </w:rPr>
        <w:t>。</w:t>
      </w:r>
    </w:p>
    <w:p w14:paraId="51357232">
      <w:pPr>
        <w:pStyle w:val="9"/>
        <w:spacing w:before="60" w:beforeLines="25" w:after="60" w:afterLines="25"/>
        <w:ind w:firstLine="392" w:firstLineChars="187"/>
        <w:rPr>
          <w:rFonts w:ascii="宋体" w:hAnsi="宋体"/>
          <w:szCs w:val="21"/>
        </w:rPr>
      </w:pPr>
    </w:p>
    <w:p w14:paraId="4487F9DD">
      <w:pPr>
        <w:pStyle w:val="9"/>
        <w:spacing w:before="60" w:beforeLines="25" w:after="60" w:afterLines="25"/>
        <w:ind w:firstLine="392" w:firstLineChars="187"/>
        <w:rPr>
          <w:rFonts w:ascii="宋体" w:hAnsi="宋体"/>
          <w:szCs w:val="21"/>
        </w:rPr>
      </w:pPr>
    </w:p>
    <w:p w14:paraId="7F6DCB9D">
      <w:r>
        <w:rPr>
          <w:rFonts w:ascii="宋体" w:hAnsi="宋体"/>
          <w:szCs w:val="21"/>
        </w:rPr>
        <w:br w:type="page"/>
      </w:r>
    </w:p>
    <w:p w14:paraId="56CF971D"/>
    <w:p w14:paraId="74239B2A">
      <w:pPr>
        <w:pStyle w:val="7"/>
        <w:rPr>
          <w:rFonts w:hint="eastAsia" w:eastAsia="宋体"/>
          <w:kern w:val="2"/>
          <w:lang w:eastAsia="zh-CN"/>
        </w:rPr>
      </w:pPr>
      <w:r>
        <w:rPr>
          <w:rFonts w:hint="eastAsia"/>
          <w:kern w:val="2"/>
        </w:rPr>
        <w:t>第四章 投标文件组成要求及格式</w:t>
      </w:r>
      <w:r>
        <w:rPr>
          <w:rFonts w:hint="eastAsia"/>
          <w:lang w:eastAsia="zh-CN"/>
        </w:rPr>
        <w:t>（不公开部分）</w:t>
      </w:r>
    </w:p>
    <w:p w14:paraId="6E911853">
      <w:pPr>
        <w:ind w:left="718" w:leftChars="342" w:firstLine="1417" w:firstLineChars="675"/>
        <w:rPr>
          <w:rFonts w:hint="eastAsia"/>
          <w:szCs w:val="21"/>
        </w:rPr>
      </w:pPr>
      <w:bookmarkStart w:id="32" w:name="OLE_LINK3"/>
      <w:bookmarkStart w:id="33" w:name="_Hlk72257253"/>
      <w:r>
        <w:rPr>
          <w:rFonts w:hint="eastAsia"/>
          <w:szCs w:val="21"/>
        </w:rPr>
        <w:t>（1）</w:t>
      </w:r>
      <w:bookmarkStart w:id="34" w:name="_Hlk72070784"/>
      <w:r>
        <w:rPr>
          <w:rFonts w:hint="eastAsia"/>
          <w:szCs w:val="21"/>
        </w:rPr>
        <w:t>投标函</w:t>
      </w:r>
      <w:bookmarkEnd w:id="34"/>
    </w:p>
    <w:p w14:paraId="38BF7485">
      <w:pPr>
        <w:ind w:left="718" w:leftChars="342" w:firstLine="1417" w:firstLineChars="675"/>
        <w:rPr>
          <w:rFonts w:hint="eastAsia"/>
          <w:szCs w:val="21"/>
        </w:rPr>
      </w:pPr>
      <w:r>
        <w:rPr>
          <w:rFonts w:hint="eastAsia"/>
          <w:szCs w:val="21"/>
        </w:rPr>
        <w:t>（2）</w:t>
      </w:r>
      <w:bookmarkStart w:id="35" w:name="_Hlk72062521"/>
      <w:r>
        <w:rPr>
          <w:rFonts w:hint="eastAsia"/>
          <w:szCs w:val="21"/>
        </w:rPr>
        <w:t>政府采购投标及履约承诺函</w:t>
      </w:r>
      <w:bookmarkEnd w:id="35"/>
    </w:p>
    <w:p w14:paraId="7E2588C1">
      <w:pPr>
        <w:ind w:left="718" w:leftChars="342" w:firstLine="1417" w:firstLineChars="675"/>
        <w:rPr>
          <w:rFonts w:hint="eastAsia"/>
          <w:szCs w:val="21"/>
        </w:rPr>
      </w:pPr>
      <w:r>
        <w:rPr>
          <w:rFonts w:hint="eastAsia"/>
          <w:szCs w:val="21"/>
        </w:rPr>
        <w:t>（3）投标人情况及资格证明文件</w:t>
      </w:r>
    </w:p>
    <w:p w14:paraId="22CA6932">
      <w:pPr>
        <w:ind w:left="718" w:leftChars="342" w:firstLine="1417" w:firstLineChars="675"/>
        <w:rPr>
          <w:rFonts w:hint="eastAsia"/>
          <w:szCs w:val="21"/>
        </w:rPr>
      </w:pPr>
      <w:bookmarkStart w:id="36" w:name="_Hlk72257201"/>
      <w:r>
        <w:rPr>
          <w:rFonts w:hint="eastAsia"/>
          <w:szCs w:val="21"/>
        </w:rPr>
        <w:t>（4）项目详细报价</w:t>
      </w:r>
    </w:p>
    <w:p w14:paraId="662AC732">
      <w:pPr>
        <w:ind w:left="718" w:leftChars="342" w:firstLine="1417" w:firstLineChars="675"/>
        <w:rPr>
          <w:rFonts w:hint="eastAsia" w:eastAsia="宋体"/>
          <w:szCs w:val="21"/>
          <w:lang w:eastAsia="zh-CN"/>
        </w:rPr>
      </w:pPr>
      <w:r>
        <w:rPr>
          <w:rFonts w:hint="eastAsia"/>
          <w:szCs w:val="21"/>
          <w:lang w:eastAsia="zh-CN"/>
        </w:rPr>
        <w:t>（</w:t>
      </w:r>
      <w:r>
        <w:rPr>
          <w:rFonts w:hint="eastAsia"/>
          <w:szCs w:val="21"/>
          <w:lang w:val="en-US" w:eastAsia="zh-CN"/>
        </w:rPr>
        <w:t>5</w:t>
      </w:r>
      <w:r>
        <w:rPr>
          <w:rFonts w:hint="eastAsia"/>
          <w:szCs w:val="21"/>
          <w:lang w:eastAsia="zh-CN"/>
        </w:rPr>
        <w:t>）</w:t>
      </w:r>
      <w:r>
        <w:rPr>
          <w:rFonts w:hint="eastAsia" w:ascii="宋体" w:hAnsi="宋体" w:eastAsia="宋体" w:cs="宋体"/>
          <w:sz w:val="21"/>
          <w:szCs w:val="21"/>
          <w:lang w:val="en-US" w:eastAsia="zh-CN"/>
        </w:rPr>
        <w:t>供应商基本情况表</w:t>
      </w:r>
    </w:p>
    <w:bookmarkEnd w:id="36"/>
    <w:p w14:paraId="3E03AB4E">
      <w:pPr>
        <w:ind w:left="718" w:leftChars="342" w:firstLine="1417" w:firstLineChars="675"/>
        <w:rPr>
          <w:rFonts w:hint="eastAsia"/>
          <w:szCs w:val="21"/>
        </w:rPr>
      </w:pPr>
      <w:r>
        <w:rPr>
          <w:rFonts w:hint="eastAsia"/>
          <w:szCs w:val="21"/>
        </w:rPr>
        <w:t>（</w:t>
      </w:r>
      <w:r>
        <w:rPr>
          <w:rFonts w:hint="eastAsia"/>
          <w:szCs w:val="21"/>
          <w:lang w:val="en-US" w:eastAsia="zh-CN"/>
        </w:rPr>
        <w:t>6</w:t>
      </w:r>
      <w:r>
        <w:rPr>
          <w:rFonts w:hint="eastAsia"/>
          <w:szCs w:val="21"/>
        </w:rPr>
        <w:t>）法定代表人（负责人）证明书</w:t>
      </w:r>
    </w:p>
    <w:p w14:paraId="0AF0BB54">
      <w:pPr>
        <w:ind w:left="718" w:leftChars="342" w:firstLine="1417" w:firstLineChars="675"/>
        <w:rPr>
          <w:rFonts w:hint="eastAsia"/>
          <w:szCs w:val="21"/>
        </w:rPr>
      </w:pPr>
      <w:r>
        <w:rPr>
          <w:rFonts w:hint="eastAsia"/>
          <w:szCs w:val="21"/>
        </w:rPr>
        <w:t>（</w:t>
      </w:r>
      <w:r>
        <w:rPr>
          <w:rFonts w:hint="eastAsia"/>
          <w:szCs w:val="21"/>
          <w:lang w:val="en-US" w:eastAsia="zh-CN"/>
        </w:rPr>
        <w:t>7</w:t>
      </w:r>
      <w:r>
        <w:rPr>
          <w:rFonts w:hint="eastAsia"/>
          <w:szCs w:val="21"/>
        </w:rPr>
        <w:t>）投标文件签署授权委托书</w:t>
      </w:r>
    </w:p>
    <w:p w14:paraId="4D148D4D">
      <w:pPr>
        <w:ind w:left="718" w:leftChars="342" w:firstLine="1417" w:firstLineChars="675"/>
        <w:rPr>
          <w:rFonts w:hint="eastAsia"/>
          <w:szCs w:val="21"/>
        </w:rPr>
      </w:pPr>
      <w:r>
        <w:rPr>
          <w:rFonts w:hint="eastAsia"/>
          <w:szCs w:val="21"/>
        </w:rPr>
        <w:t>（</w:t>
      </w:r>
      <w:r>
        <w:rPr>
          <w:rFonts w:hint="eastAsia"/>
          <w:szCs w:val="21"/>
          <w:lang w:val="en-US" w:eastAsia="zh-CN"/>
        </w:rPr>
        <w:t>8</w:t>
      </w:r>
      <w:r>
        <w:rPr>
          <w:rFonts w:hint="eastAsia"/>
          <w:szCs w:val="21"/>
        </w:rPr>
        <w:t>）实质性条款响应情况表</w:t>
      </w:r>
    </w:p>
    <w:p w14:paraId="6A9DCA28">
      <w:pPr>
        <w:ind w:left="718" w:leftChars="342" w:firstLine="1417" w:firstLineChars="675"/>
        <w:rPr>
          <w:rFonts w:hint="eastAsia" w:ascii="宋体" w:hAnsi="宋体"/>
          <w:szCs w:val="21"/>
        </w:rPr>
      </w:pPr>
      <w:bookmarkStart w:id="37" w:name="OLE_LINK2"/>
      <w:bookmarkStart w:id="38" w:name="OLE_LINK1"/>
      <w:r>
        <w:rPr>
          <w:rFonts w:hint="eastAsia"/>
          <w:szCs w:val="21"/>
        </w:rPr>
        <w:t>（</w:t>
      </w:r>
      <w:r>
        <w:rPr>
          <w:rFonts w:hint="eastAsia"/>
          <w:szCs w:val="21"/>
          <w:lang w:val="en-US" w:eastAsia="zh-CN"/>
        </w:rPr>
        <w:t>9</w:t>
      </w:r>
      <w:r>
        <w:rPr>
          <w:rFonts w:hint="eastAsia"/>
          <w:szCs w:val="21"/>
        </w:rPr>
        <w:t>）项目</w:t>
      </w:r>
      <w:r>
        <w:rPr>
          <w:rFonts w:hint="eastAsia"/>
          <w:szCs w:val="21"/>
          <w:lang w:val="en-US" w:eastAsia="zh-CN"/>
        </w:rPr>
        <w:t>经理</w:t>
      </w:r>
      <w:r>
        <w:rPr>
          <w:rFonts w:hint="eastAsia" w:ascii="宋体" w:hAnsi="宋体"/>
          <w:szCs w:val="21"/>
        </w:rPr>
        <w:t>及项目团队人员</w:t>
      </w:r>
    </w:p>
    <w:p w14:paraId="27504DCF">
      <w:pPr>
        <w:ind w:left="718" w:leftChars="342" w:firstLine="1417" w:firstLineChars="675"/>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11</w:t>
      </w:r>
      <w:r>
        <w:rPr>
          <w:rFonts w:hint="eastAsia" w:ascii="宋体" w:hAnsi="宋体"/>
          <w:szCs w:val="21"/>
          <w:lang w:eastAsia="zh-CN"/>
        </w:rPr>
        <w:t>）项目实施方案</w:t>
      </w:r>
    </w:p>
    <w:p w14:paraId="3C4F2E86">
      <w:pPr>
        <w:ind w:left="718" w:leftChars="342" w:firstLine="1417" w:firstLineChars="675"/>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12</w:t>
      </w:r>
      <w:r>
        <w:rPr>
          <w:rFonts w:hint="eastAsia" w:ascii="宋体" w:hAnsi="宋体"/>
          <w:szCs w:val="21"/>
          <w:lang w:eastAsia="zh-CN"/>
        </w:rPr>
        <w:t>）理赔服务承诺</w:t>
      </w:r>
    </w:p>
    <w:p w14:paraId="119205A9">
      <w:pPr>
        <w:ind w:left="718" w:leftChars="342" w:firstLine="1417" w:firstLineChars="675"/>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13</w:t>
      </w:r>
      <w:r>
        <w:rPr>
          <w:rFonts w:hint="eastAsia" w:ascii="宋体" w:hAnsi="宋体"/>
          <w:szCs w:val="21"/>
          <w:lang w:eastAsia="zh-CN"/>
        </w:rPr>
        <w:t>）违约承诺</w:t>
      </w:r>
    </w:p>
    <w:p w14:paraId="70900684">
      <w:pPr>
        <w:ind w:left="718" w:leftChars="342" w:firstLine="1417" w:firstLineChars="675"/>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14</w:t>
      </w:r>
      <w:r>
        <w:rPr>
          <w:rFonts w:hint="eastAsia" w:ascii="宋体" w:hAnsi="宋体"/>
          <w:szCs w:val="21"/>
          <w:lang w:eastAsia="zh-CN"/>
        </w:rPr>
        <w:t>）综合偿付能力充足率情况</w:t>
      </w:r>
    </w:p>
    <w:p w14:paraId="7115AFB4">
      <w:pPr>
        <w:ind w:left="718" w:leftChars="342" w:firstLine="1417" w:firstLineChars="675"/>
        <w:rPr>
          <w:rFonts w:hint="eastAsia" w:ascii="宋体" w:hAnsi="宋体"/>
          <w:szCs w:val="21"/>
          <w:lang w:eastAsia="zh-CN"/>
        </w:rPr>
      </w:pPr>
      <w:r>
        <w:rPr>
          <w:rFonts w:hint="eastAsia" w:ascii="宋体" w:hAnsi="宋体"/>
          <w:szCs w:val="21"/>
          <w:lang w:eastAsia="zh-CN"/>
        </w:rPr>
        <w:t>（</w:t>
      </w:r>
      <w:r>
        <w:rPr>
          <w:rFonts w:hint="eastAsia" w:ascii="宋体" w:hAnsi="宋体"/>
          <w:szCs w:val="21"/>
          <w:lang w:val="en-US" w:eastAsia="zh-CN"/>
        </w:rPr>
        <w:t>15</w:t>
      </w:r>
      <w:r>
        <w:rPr>
          <w:rFonts w:hint="eastAsia" w:ascii="宋体" w:hAnsi="宋体"/>
          <w:szCs w:val="21"/>
          <w:lang w:eastAsia="zh-CN"/>
        </w:rPr>
        <w:t>）项目资金保障方案</w:t>
      </w:r>
    </w:p>
    <w:p w14:paraId="623D6D03">
      <w:pPr>
        <w:ind w:left="718" w:leftChars="342" w:firstLine="1417" w:firstLineChars="675"/>
        <w:rPr>
          <w:rFonts w:hint="eastAsia"/>
          <w:szCs w:val="21"/>
          <w:lang w:eastAsia="zh-CN"/>
        </w:rPr>
      </w:pPr>
      <w:r>
        <w:rPr>
          <w:rFonts w:hint="eastAsia"/>
          <w:szCs w:val="21"/>
          <w:lang w:eastAsia="zh-CN"/>
        </w:rPr>
        <w:t>（</w:t>
      </w:r>
      <w:r>
        <w:rPr>
          <w:rFonts w:hint="eastAsia"/>
          <w:szCs w:val="21"/>
          <w:lang w:val="en-US" w:eastAsia="zh-CN"/>
        </w:rPr>
        <w:t>16</w:t>
      </w:r>
      <w:r>
        <w:rPr>
          <w:rFonts w:hint="eastAsia"/>
          <w:szCs w:val="21"/>
          <w:lang w:eastAsia="zh-CN"/>
        </w:rPr>
        <w:t>）投标人同类项目业绩情况</w:t>
      </w:r>
    </w:p>
    <w:p w14:paraId="18B8D9FB">
      <w:pPr>
        <w:ind w:left="718" w:leftChars="342" w:firstLine="1417" w:firstLineChars="675"/>
        <w:rPr>
          <w:rFonts w:hint="eastAsia" w:ascii="宋体" w:hAnsi="宋体" w:eastAsia="宋体" w:cs="宋体"/>
          <w:sz w:val="21"/>
          <w:szCs w:val="21"/>
          <w:lang w:val="en-US" w:eastAsia="zh-CN"/>
        </w:rPr>
      </w:pPr>
      <w:r>
        <w:rPr>
          <w:rFonts w:hint="eastAsia"/>
          <w:szCs w:val="21"/>
          <w:lang w:eastAsia="zh-CN"/>
        </w:rPr>
        <w:t>（</w:t>
      </w:r>
      <w:r>
        <w:rPr>
          <w:rFonts w:hint="eastAsia"/>
          <w:szCs w:val="21"/>
          <w:lang w:val="en-US" w:eastAsia="zh-CN"/>
        </w:rPr>
        <w:t>17</w:t>
      </w:r>
      <w:r>
        <w:rPr>
          <w:rFonts w:hint="eastAsia"/>
          <w:szCs w:val="21"/>
          <w:lang w:eastAsia="zh-CN"/>
        </w:rPr>
        <w:t>）</w:t>
      </w:r>
      <w:r>
        <w:rPr>
          <w:rFonts w:hint="eastAsia"/>
          <w:szCs w:val="21"/>
          <w:lang w:val="en-US" w:eastAsia="zh-CN"/>
        </w:rPr>
        <w:t>服务网点</w:t>
      </w:r>
    </w:p>
    <w:bookmarkEnd w:id="37"/>
    <w:p w14:paraId="26A1CBE4">
      <w:pPr>
        <w:ind w:left="718" w:leftChars="342" w:firstLine="1417" w:firstLineChars="675"/>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cs="宋体"/>
          <w:sz w:val="21"/>
          <w:szCs w:val="21"/>
          <w:lang w:val="en-US" w:eastAsia="zh-CN"/>
        </w:rPr>
        <w:t>18</w:t>
      </w:r>
      <w:r>
        <w:rPr>
          <w:rFonts w:hint="eastAsia" w:ascii="宋体" w:hAnsi="宋体" w:eastAsia="宋体" w:cs="宋体"/>
          <w:sz w:val="21"/>
          <w:szCs w:val="21"/>
          <w:lang w:val="en-US" w:eastAsia="zh-CN"/>
        </w:rPr>
        <w:t>）政府采购违法行为风险知悉确认书</w:t>
      </w:r>
    </w:p>
    <w:bookmarkEnd w:id="38"/>
    <w:p w14:paraId="7189C2FE">
      <w:pPr>
        <w:ind w:left="718" w:leftChars="342" w:firstLine="1417" w:firstLineChars="675"/>
        <w:rPr>
          <w:rFonts w:hint="eastAsia"/>
          <w:szCs w:val="21"/>
        </w:rPr>
      </w:pPr>
      <w:r>
        <w:rPr>
          <w:rFonts w:hint="eastAsia" w:ascii="宋体" w:hAnsi="宋体" w:cs="宋体"/>
          <w:sz w:val="21"/>
          <w:szCs w:val="21"/>
          <w:lang w:eastAsia="zh-CN"/>
        </w:rPr>
        <w:t>（</w:t>
      </w:r>
      <w:r>
        <w:rPr>
          <w:rFonts w:hint="eastAsia" w:ascii="宋体" w:hAnsi="宋体" w:cs="宋体"/>
          <w:sz w:val="21"/>
          <w:szCs w:val="21"/>
          <w:lang w:val="en-US" w:eastAsia="zh-CN"/>
        </w:rPr>
        <w:t>19</w:t>
      </w:r>
      <w:r>
        <w:rPr>
          <w:rFonts w:hint="eastAsia" w:ascii="宋体" w:hAnsi="宋体" w:cs="宋体"/>
          <w:sz w:val="21"/>
          <w:szCs w:val="21"/>
          <w:lang w:eastAsia="zh-CN"/>
        </w:rPr>
        <w:t>）</w:t>
      </w:r>
      <w:r>
        <w:rPr>
          <w:rFonts w:hint="eastAsia"/>
          <w:szCs w:val="21"/>
        </w:rPr>
        <w:t>投标人认为需要加以说明的其他内容</w:t>
      </w:r>
    </w:p>
    <w:bookmarkEnd w:id="32"/>
    <w:p w14:paraId="17F20B58">
      <w:pPr>
        <w:pStyle w:val="2"/>
      </w:pPr>
    </w:p>
    <w:bookmarkEnd w:id="33"/>
    <w:p w14:paraId="124FF26A">
      <w:pPr>
        <w:ind w:left="718" w:leftChars="342" w:firstLine="1417" w:firstLineChars="675"/>
        <w:rPr>
          <w:szCs w:val="21"/>
        </w:rPr>
      </w:pPr>
    </w:p>
    <w:p w14:paraId="0F308E1B">
      <w:pPr>
        <w:ind w:firstLine="426" w:firstLineChars="202"/>
        <w:rPr>
          <w:rFonts w:ascii="宋体" w:hAnsi="宋体"/>
          <w:b/>
          <w:szCs w:val="21"/>
        </w:rPr>
      </w:pPr>
      <w:bookmarkStart w:id="39" w:name="_Hlk72257771"/>
      <w:r>
        <w:rPr>
          <w:rFonts w:hint="eastAsia" w:ascii="宋体" w:hAnsi="宋体"/>
          <w:b/>
          <w:szCs w:val="21"/>
        </w:rPr>
        <w:t>备注：</w:t>
      </w:r>
    </w:p>
    <w:p w14:paraId="774509CC">
      <w:pPr>
        <w:ind w:firstLine="426" w:firstLineChars="202"/>
        <w:rPr>
          <w:rFonts w:ascii="宋体" w:hAnsi="宋体"/>
          <w:b/>
          <w:szCs w:val="21"/>
        </w:rPr>
      </w:pPr>
      <w:r>
        <w:rPr>
          <w:rFonts w:hint="eastAsia" w:ascii="宋体" w:hAnsi="宋体"/>
          <w:b/>
          <w:szCs w:val="21"/>
        </w:rPr>
        <w:t>1.本项目为网上电子投标项目，投标文件不需法人或授权委托人另行签字，无需加盖单位公章，招标文件另有规定的除外。</w:t>
      </w:r>
    </w:p>
    <w:p w14:paraId="247EE627">
      <w:pPr>
        <w:ind w:firstLine="422" w:firstLineChars="200"/>
        <w:rPr>
          <w:rFonts w:ascii="宋体" w:hAnsi="宋体"/>
          <w:color w:val="FF0000"/>
          <w:sz w:val="24"/>
        </w:rPr>
      </w:pPr>
      <w:bookmarkStart w:id="40" w:name="_Hlk72263559"/>
      <w:r>
        <w:rPr>
          <w:rFonts w:hint="eastAsia" w:ascii="宋体" w:hAnsi="宋体"/>
          <w:b/>
          <w:szCs w:val="21"/>
        </w:rPr>
        <w:t>2.关于填写“开标一览表”的说明：“开标一览表”中除“投标总价”外，其他信息不作评审依据。</w:t>
      </w:r>
      <w:bookmarkEnd w:id="39"/>
      <w:bookmarkEnd w:id="40"/>
    </w:p>
    <w:p w14:paraId="0BA2F5E4">
      <w:pPr>
        <w:rPr>
          <w:rFonts w:ascii="宋体" w:hAnsi="宋体"/>
          <w:color w:val="FF0000"/>
          <w:sz w:val="24"/>
        </w:rPr>
      </w:pPr>
    </w:p>
    <w:p w14:paraId="7E4BDE7B">
      <w:pPr>
        <w:rPr>
          <w:rFonts w:ascii="宋体" w:hAnsi="宋体"/>
          <w:color w:val="FF0000"/>
          <w:sz w:val="24"/>
        </w:rPr>
        <w:sectPr>
          <w:pgSz w:w="11907" w:h="16840"/>
          <w:pgMar w:top="1440" w:right="1797" w:bottom="1440" w:left="1797" w:header="851" w:footer="992" w:gutter="0"/>
          <w:cols w:space="425" w:num="1"/>
          <w:titlePg/>
          <w:docGrid w:linePitch="462" w:charSpace="0"/>
        </w:sectPr>
      </w:pPr>
    </w:p>
    <w:p w14:paraId="7257DA58">
      <w:pPr>
        <w:pStyle w:val="5"/>
        <w:jc w:val="center"/>
        <w:rPr>
          <w:rFonts w:ascii="黑体" w:eastAsia="黑体"/>
          <w:b w:val="0"/>
          <w:kern w:val="0"/>
          <w:sz w:val="24"/>
        </w:rPr>
      </w:pPr>
      <w:r>
        <w:rPr>
          <w:rFonts w:hint="eastAsia" w:ascii="黑体" w:eastAsia="黑体"/>
          <w:b w:val="0"/>
          <w:kern w:val="0"/>
          <w:sz w:val="24"/>
        </w:rPr>
        <w:t>一、投标函</w:t>
      </w:r>
    </w:p>
    <w:p w14:paraId="46E23A4B">
      <w:pPr>
        <w:spacing w:line="360" w:lineRule="auto"/>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color w:val="FF0000"/>
          <w:szCs w:val="21"/>
          <w:u w:val="single"/>
        </w:rPr>
        <w:t>深圳公共资源交易中心</w:t>
      </w:r>
      <w:r>
        <w:rPr>
          <w:rFonts w:hint="eastAsia" w:ascii="宋体" w:hAnsi="宋体"/>
          <w:szCs w:val="21"/>
          <w:u w:val="single"/>
        </w:rPr>
        <w:t xml:space="preserve">  </w:t>
      </w:r>
    </w:p>
    <w:p w14:paraId="1AF0C34E">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ascii="宋体" w:hAnsi="宋体"/>
          <w:szCs w:val="21"/>
        </w:rPr>
      </w:pPr>
      <w:bookmarkStart w:id="41" w:name="_Hlk73818812"/>
      <w:r>
        <w:rPr>
          <w:rFonts w:hint="eastAsia"/>
          <w:szCs w:val="21"/>
        </w:rPr>
        <w:t>1、根据已收到贵单位的项目编号为</w:t>
      </w:r>
      <w:r>
        <w:rPr>
          <w:rFonts w:hint="eastAsia"/>
          <w:szCs w:val="21"/>
          <w:u w:val="thick"/>
        </w:rPr>
        <w:t xml:space="preserve">        </w:t>
      </w:r>
      <w:r>
        <w:rPr>
          <w:rFonts w:hint="eastAsia"/>
          <w:szCs w:val="21"/>
        </w:rPr>
        <w:t>的</w:t>
      </w:r>
      <w:r>
        <w:rPr>
          <w:rFonts w:hint="eastAsia"/>
          <w:szCs w:val="21"/>
          <w:u w:val="thick"/>
        </w:rPr>
        <w:t xml:space="preserve">    </w:t>
      </w:r>
      <w:r>
        <w:rPr>
          <w:rFonts w:hint="eastAsia" w:eastAsia="宋体"/>
          <w:szCs w:val="21"/>
          <w:u w:val="thick"/>
          <w:lang w:eastAsia="zh-CN"/>
        </w:rPr>
        <w:t>（</w:t>
      </w:r>
      <w:r>
        <w:rPr>
          <w:rFonts w:hint="eastAsia"/>
          <w:szCs w:val="21"/>
          <w:u w:val="thick"/>
        </w:rPr>
        <w:t>项目</w:t>
      </w:r>
      <w:r>
        <w:rPr>
          <w:rFonts w:hint="eastAsia" w:ascii="Times New Roman" w:eastAsia="宋体"/>
          <w:szCs w:val="21"/>
          <w:u w:val="thick"/>
          <w:lang w:val="en-US" w:eastAsia="zh-CN"/>
        </w:rPr>
        <w:t>名称</w:t>
      </w:r>
      <w:r>
        <w:rPr>
          <w:rFonts w:hint="eastAsia" w:eastAsia="宋体"/>
          <w:szCs w:val="21"/>
          <w:u w:val="thick"/>
          <w:lang w:eastAsia="zh-CN"/>
        </w:rPr>
        <w:t>）</w:t>
      </w:r>
      <w:r>
        <w:rPr>
          <w:rFonts w:hint="eastAsia"/>
          <w:szCs w:val="21"/>
          <w:u w:val="thick"/>
        </w:rPr>
        <w:t xml:space="preserve">       </w:t>
      </w:r>
      <w:r>
        <w:rPr>
          <w:rFonts w:hint="eastAsia"/>
          <w:szCs w:val="21"/>
        </w:rPr>
        <w:t>项目的招标文件，遵照《深圳经济特区政府采购条例》和《深圳网上政府采购管理暂行办法》等有关规定，我单位经研究上述招标文件的专用条款及通用条款后，</w:t>
      </w:r>
      <w:bookmarkStart w:id="42" w:name="_Hlk72263588"/>
      <w:r>
        <w:rPr>
          <w:rFonts w:hint="eastAsia"/>
          <w:szCs w:val="21"/>
        </w:rPr>
        <w:t>愿意按照招标文件要求承包上述项目并修补其任何缺陷。</w:t>
      </w:r>
      <w:bookmarkEnd w:id="42"/>
    </w:p>
    <w:p w14:paraId="535567E7">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ascii="宋体" w:hAnsi="宋体"/>
          <w:szCs w:val="21"/>
        </w:rPr>
      </w:pPr>
      <w:r>
        <w:rPr>
          <w:rFonts w:ascii="宋体" w:hAnsi="宋体"/>
          <w:szCs w:val="21"/>
        </w:rPr>
        <w:t>2</w:t>
      </w:r>
      <w:r>
        <w:rPr>
          <w:rFonts w:hint="eastAsia" w:ascii="宋体" w:hAnsi="宋体"/>
          <w:szCs w:val="21"/>
        </w:rPr>
        <w:t>、投标价格见</w:t>
      </w:r>
      <w:r>
        <w:rPr>
          <w:rFonts w:hint="eastAsia"/>
          <w:szCs w:val="21"/>
        </w:rPr>
        <w:t>投标书编制软件中《开标一览表》中填写的投标总价。</w:t>
      </w:r>
    </w:p>
    <w:p w14:paraId="0D50A6A8">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ascii="宋体" w:hAnsi="宋体"/>
          <w:szCs w:val="21"/>
        </w:rPr>
      </w:pPr>
      <w:r>
        <w:rPr>
          <w:rFonts w:hint="eastAsia" w:ascii="宋体" w:hAnsi="宋体"/>
          <w:szCs w:val="21"/>
        </w:rPr>
        <w:t>3、如果我单位中标，我单位将按照招标文件的要求足额提交履约担保。</w:t>
      </w:r>
    </w:p>
    <w:p w14:paraId="028245E9">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ascii="宋体" w:hAnsi="宋体"/>
          <w:szCs w:val="21"/>
        </w:rPr>
      </w:pPr>
      <w:r>
        <w:rPr>
          <w:rFonts w:hint="eastAsia" w:ascii="宋体" w:hAnsi="宋体"/>
          <w:szCs w:val="21"/>
        </w:rPr>
        <w:t>4、我单位同意所递交的投标文件在“对通用条款的补充内容”中明确的投标有效期内有效，在此期间内我单位的投标有可能中标，我方将受此约束。</w:t>
      </w:r>
    </w:p>
    <w:p w14:paraId="32554BE0">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ascii="宋体" w:hAnsi="宋体"/>
          <w:szCs w:val="21"/>
        </w:rPr>
      </w:pPr>
      <w:r>
        <w:rPr>
          <w:rFonts w:hint="eastAsia" w:ascii="宋体" w:hAnsi="宋体"/>
          <w:szCs w:val="21"/>
        </w:rPr>
        <w:t>5、除非另外达成协议并生效，贵单位的中标通知书和本投标文件将构成合同的重要内容。</w:t>
      </w:r>
    </w:p>
    <w:p w14:paraId="77FFDA56">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ascii="宋体" w:hAnsi="宋体"/>
          <w:szCs w:val="21"/>
        </w:rPr>
      </w:pPr>
      <w:r>
        <w:rPr>
          <w:rFonts w:hint="eastAsia" w:ascii="宋体" w:hAnsi="宋体"/>
          <w:szCs w:val="21"/>
        </w:rPr>
        <w:t>6、我单位理解贵单位将不受必须接受所收到的最低报价或其它任何投标文件的约束。</w:t>
      </w:r>
      <w:bookmarkEnd w:id="41"/>
    </w:p>
    <w:p w14:paraId="5BC74BF9">
      <w:pPr>
        <w:keepNext w:val="0"/>
        <w:keepLines w:val="0"/>
        <w:pageBreakBefore w:val="0"/>
        <w:widowControl w:val="0"/>
        <w:kinsoku/>
        <w:wordWrap/>
        <w:overflowPunct/>
        <w:topLinePunct w:val="0"/>
        <w:autoSpaceDE/>
        <w:autoSpaceDN/>
        <w:bidi w:val="0"/>
        <w:adjustRightInd/>
        <w:snapToGrid/>
        <w:ind w:left="0" w:leftChars="0" w:firstLine="422" w:firstLineChars="200"/>
        <w:textAlignment w:val="auto"/>
        <w:rPr>
          <w:rFonts w:ascii="宋体" w:hAnsi="宋体"/>
          <w:b/>
          <w:szCs w:val="21"/>
        </w:rPr>
      </w:pPr>
      <w:r>
        <w:rPr>
          <w:rFonts w:hint="eastAsia" w:ascii="宋体" w:hAnsi="宋体"/>
          <w:b/>
          <w:szCs w:val="21"/>
        </w:rPr>
        <w:t>7</w:t>
      </w:r>
      <w:r>
        <w:rPr>
          <w:rFonts w:ascii="宋体" w:hAnsi="宋体"/>
          <w:b/>
          <w:szCs w:val="21"/>
        </w:rPr>
        <w:t>、如我单位提交样品，且未在规定时间内取回样品的，视同放弃取回，同意深圳公共资源交易中心对我单位提交的样品进行清理。</w:t>
      </w:r>
    </w:p>
    <w:p w14:paraId="31FA34A4">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szCs w:val="21"/>
          <w:u w:val="none"/>
          <w:lang w:eastAsia="zh-CN"/>
        </w:rPr>
      </w:pPr>
      <w:r>
        <w:rPr>
          <w:rFonts w:hint="eastAsia"/>
          <w:szCs w:val="21"/>
        </w:rPr>
        <w:t>投标人：</w:t>
      </w:r>
      <w:r>
        <w:rPr>
          <w:rFonts w:hint="eastAsia"/>
          <w:szCs w:val="21"/>
          <w:u w:val="thick"/>
        </w:rPr>
        <w:t xml:space="preserve">       </w:t>
      </w:r>
      <w:r>
        <w:rPr>
          <w:rFonts w:hint="eastAsia" w:eastAsia="宋体"/>
          <w:szCs w:val="21"/>
          <w:lang w:eastAsia="zh-CN"/>
        </w:rPr>
        <w:t>；</w:t>
      </w:r>
      <w:r>
        <w:rPr>
          <w:rFonts w:hint="eastAsia"/>
          <w:szCs w:val="21"/>
        </w:rPr>
        <w:t xml:space="preserve">  单位地址：</w:t>
      </w:r>
      <w:r>
        <w:rPr>
          <w:rFonts w:hint="eastAsia"/>
          <w:szCs w:val="21"/>
          <w:u w:val="thick"/>
        </w:rPr>
        <w:t xml:space="preserve">       </w:t>
      </w:r>
      <w:r>
        <w:rPr>
          <w:rFonts w:hint="eastAsia" w:ascii="Times New Roman" w:eastAsia="宋体"/>
          <w:szCs w:val="21"/>
          <w:u w:val="thick"/>
          <w:lang w:val="en-US" w:eastAsia="zh-CN"/>
        </w:rPr>
        <w:t xml:space="preserve">          </w:t>
      </w:r>
      <w:r>
        <w:rPr>
          <w:rFonts w:hint="eastAsia"/>
          <w:szCs w:val="21"/>
          <w:u w:val="thick"/>
          <w:lang w:val="en-US" w:eastAsia="zh-CN"/>
        </w:rPr>
        <w:t xml:space="preserve"> </w:t>
      </w:r>
      <w:r>
        <w:rPr>
          <w:rFonts w:hint="eastAsia" w:ascii="Times New Roman" w:eastAsia="宋体"/>
          <w:szCs w:val="21"/>
          <w:u w:val="thick"/>
          <w:lang w:val="en-US" w:eastAsia="zh-CN"/>
        </w:rPr>
        <w:t xml:space="preserve">  </w:t>
      </w:r>
      <w:r>
        <w:rPr>
          <w:rFonts w:hint="eastAsia" w:eastAsia="宋体"/>
          <w:szCs w:val="21"/>
          <w:u w:val="none"/>
          <w:lang w:eastAsia="zh-CN"/>
        </w:rPr>
        <w:t>；</w:t>
      </w:r>
    </w:p>
    <w:p w14:paraId="1B9E4084">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szCs w:val="21"/>
          <w:u w:val="none"/>
          <w:lang w:eastAsia="zh-CN"/>
        </w:rPr>
      </w:pPr>
      <w:r>
        <w:rPr>
          <w:rFonts w:hint="eastAsia"/>
          <w:szCs w:val="21"/>
        </w:rPr>
        <w:t>法定代表人（负责人）或其</w:t>
      </w:r>
      <w:r>
        <w:rPr>
          <w:rFonts w:hint="eastAsia" w:ascii="Times New Roman" w:eastAsia="宋体"/>
          <w:szCs w:val="21"/>
          <w:lang w:val="en-US" w:eastAsia="zh-CN"/>
        </w:rPr>
        <w:t>授权</w:t>
      </w:r>
      <w:r>
        <w:rPr>
          <w:rFonts w:hint="eastAsia"/>
          <w:szCs w:val="21"/>
        </w:rPr>
        <w:t>委托代理人：</w:t>
      </w:r>
      <w:r>
        <w:rPr>
          <w:rFonts w:hint="eastAsia"/>
          <w:szCs w:val="21"/>
          <w:u w:val="thick"/>
        </w:rPr>
        <w:t xml:space="preserve">         </w:t>
      </w:r>
      <w:r>
        <w:rPr>
          <w:rFonts w:hint="eastAsia" w:eastAsia="宋体"/>
          <w:szCs w:val="21"/>
          <w:u w:val="none"/>
          <w:lang w:eastAsia="zh-CN"/>
        </w:rPr>
        <w:t>；</w:t>
      </w:r>
    </w:p>
    <w:p w14:paraId="0F645427">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szCs w:val="21"/>
          <w:u w:val="none"/>
          <w:lang w:eastAsia="zh-CN"/>
        </w:rPr>
      </w:pPr>
      <w:r>
        <w:rPr>
          <w:rFonts w:hint="eastAsia" w:ascii="Times New Roman" w:eastAsia="宋体"/>
          <w:szCs w:val="21"/>
          <w:lang w:val="en-US" w:eastAsia="zh-CN"/>
        </w:rPr>
        <w:t>开户银行名称：</w:t>
      </w:r>
      <w:r>
        <w:rPr>
          <w:rFonts w:hint="eastAsia"/>
          <w:szCs w:val="21"/>
          <w:u w:val="thick"/>
        </w:rPr>
        <w:t xml:space="preserve">                        </w:t>
      </w:r>
      <w:r>
        <w:rPr>
          <w:rFonts w:hint="eastAsia" w:eastAsia="宋体"/>
          <w:szCs w:val="21"/>
          <w:u w:val="none"/>
          <w:lang w:eastAsia="zh-CN"/>
        </w:rPr>
        <w:t>；</w:t>
      </w:r>
    </w:p>
    <w:p w14:paraId="5E7622E5">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szCs w:val="21"/>
          <w:u w:val="none"/>
          <w:lang w:eastAsia="zh-CN"/>
        </w:rPr>
      </w:pPr>
      <w:r>
        <w:rPr>
          <w:rFonts w:hint="eastAsia" w:ascii="Times New Roman" w:eastAsia="宋体"/>
          <w:szCs w:val="21"/>
          <w:lang w:val="en-US" w:eastAsia="zh-CN"/>
        </w:rPr>
        <w:t>开户银行账号：</w:t>
      </w:r>
      <w:r>
        <w:rPr>
          <w:rFonts w:hint="eastAsia"/>
          <w:szCs w:val="21"/>
          <w:u w:val="thick"/>
        </w:rPr>
        <w:t xml:space="preserve">      </w:t>
      </w:r>
      <w:r>
        <w:rPr>
          <w:rFonts w:hint="eastAsia" w:ascii="Times New Roman" w:eastAsia="宋体"/>
          <w:szCs w:val="21"/>
          <w:u w:val="thick"/>
          <w:lang w:val="en-US" w:eastAsia="zh-CN"/>
        </w:rPr>
        <w:t xml:space="preserve">            </w:t>
      </w:r>
      <w:r>
        <w:rPr>
          <w:rFonts w:hint="eastAsia"/>
          <w:szCs w:val="21"/>
          <w:u w:val="thick"/>
        </w:rPr>
        <w:t xml:space="preserve">      </w:t>
      </w:r>
      <w:r>
        <w:rPr>
          <w:rFonts w:hint="eastAsia" w:eastAsia="宋体"/>
          <w:szCs w:val="21"/>
          <w:u w:val="none"/>
          <w:lang w:eastAsia="zh-CN"/>
        </w:rPr>
        <w:t>；</w:t>
      </w:r>
    </w:p>
    <w:p w14:paraId="23A29AD8">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rFonts w:hint="eastAsia"/>
          <w:szCs w:val="21"/>
          <w:u w:val="none"/>
        </w:rPr>
      </w:pPr>
      <w:r>
        <w:rPr>
          <w:rFonts w:hint="eastAsia"/>
          <w:szCs w:val="21"/>
        </w:rPr>
        <w:t>邮政编码：</w:t>
      </w:r>
      <w:r>
        <w:rPr>
          <w:rFonts w:hint="eastAsia"/>
          <w:szCs w:val="21"/>
          <w:u w:val="thick"/>
        </w:rPr>
        <w:t xml:space="preserve">          </w:t>
      </w:r>
      <w:r>
        <w:rPr>
          <w:rFonts w:hint="eastAsia"/>
          <w:szCs w:val="21"/>
        </w:rPr>
        <w:t xml:space="preserve">  电话</w:t>
      </w:r>
      <w:r>
        <w:rPr>
          <w:rFonts w:hint="eastAsia"/>
          <w:szCs w:val="21"/>
          <w:u w:val="none"/>
        </w:rPr>
        <w:t>：</w:t>
      </w:r>
      <w:r>
        <w:rPr>
          <w:rFonts w:hint="eastAsia"/>
          <w:szCs w:val="21"/>
          <w:u w:val="thick"/>
        </w:rPr>
        <w:t xml:space="preserve">         </w:t>
      </w:r>
      <w:r>
        <w:rPr>
          <w:rFonts w:hint="eastAsia"/>
          <w:szCs w:val="21"/>
        </w:rPr>
        <w:t xml:space="preserve"> 传真：</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eastAsia="宋体"/>
          <w:szCs w:val="21"/>
          <w:u w:val="none"/>
          <w:lang w:eastAsia="zh-CN"/>
        </w:rPr>
        <w:t>；</w:t>
      </w:r>
      <w:r>
        <w:rPr>
          <w:rFonts w:hint="eastAsia"/>
          <w:szCs w:val="21"/>
          <w:u w:val="none"/>
        </w:rPr>
        <w:t xml:space="preserve">     </w:t>
      </w:r>
    </w:p>
    <w:p w14:paraId="5CD31FCB">
      <w:pPr>
        <w:keepNext w:val="0"/>
        <w:keepLines w:val="0"/>
        <w:pageBreakBefore w:val="0"/>
        <w:widowControl w:val="0"/>
        <w:kinsoku/>
        <w:wordWrap/>
        <w:overflowPunct/>
        <w:topLinePunct w:val="0"/>
        <w:autoSpaceDE/>
        <w:autoSpaceDN/>
        <w:bidi w:val="0"/>
        <w:adjustRightInd/>
        <w:snapToGrid/>
        <w:ind w:left="0" w:leftChars="0" w:firstLine="420" w:firstLineChars="200"/>
        <w:textAlignment w:val="auto"/>
        <w:rPr>
          <w:sz w:val="24"/>
        </w:rPr>
      </w:pPr>
      <w:r>
        <w:rPr>
          <w:rFonts w:hint="eastAsia" w:ascii="宋体" w:hAnsi="宋体"/>
          <w:szCs w:val="21"/>
        </w:rPr>
        <w:t>日期：</w:t>
      </w:r>
      <w:r>
        <w:rPr>
          <w:rFonts w:hint="eastAsia" w:ascii="宋体" w:hAnsi="宋体"/>
          <w:szCs w:val="21"/>
          <w:u w:val="thick"/>
        </w:rPr>
        <w:t xml:space="preserve">       </w:t>
      </w:r>
      <w:r>
        <w:rPr>
          <w:rFonts w:hint="eastAsia" w:ascii="宋体" w:hAnsi="宋体"/>
          <w:szCs w:val="21"/>
        </w:rPr>
        <w:t>年</w:t>
      </w:r>
      <w:r>
        <w:rPr>
          <w:rFonts w:hint="eastAsia" w:ascii="宋体" w:hAnsi="宋体"/>
          <w:szCs w:val="21"/>
          <w:u w:val="thick"/>
        </w:rPr>
        <w:t xml:space="preserve">     </w:t>
      </w:r>
      <w:r>
        <w:rPr>
          <w:rFonts w:hint="eastAsia" w:ascii="宋体" w:hAnsi="宋体"/>
          <w:szCs w:val="21"/>
        </w:rPr>
        <w:t>月</w:t>
      </w:r>
      <w:r>
        <w:rPr>
          <w:rFonts w:hint="eastAsia" w:ascii="宋体" w:hAnsi="宋体"/>
          <w:szCs w:val="21"/>
          <w:u w:val="thick"/>
        </w:rPr>
        <w:t xml:space="preserve">    </w:t>
      </w:r>
      <w:r>
        <w:rPr>
          <w:rFonts w:hint="eastAsia" w:ascii="宋体" w:hAnsi="宋体"/>
          <w:szCs w:val="21"/>
        </w:rPr>
        <w:t>日</w:t>
      </w:r>
      <w:r>
        <w:rPr>
          <w:rFonts w:hint="eastAsia"/>
          <w:sz w:val="24"/>
        </w:rPr>
        <w:t xml:space="preserve">                                </w:t>
      </w:r>
    </w:p>
    <w:p w14:paraId="71C454ED">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sz w:val="24"/>
        </w:rPr>
      </w:pPr>
      <w:r>
        <w:rPr>
          <w:rFonts w:hint="eastAsia"/>
          <w:sz w:val="24"/>
        </w:rPr>
        <w:t xml:space="preserve">                       </w:t>
      </w:r>
    </w:p>
    <w:p w14:paraId="6DCB78AC">
      <w:pPr>
        <w:rPr>
          <w:rFonts w:ascii="黑体" w:hAnsi="宋体" w:eastAsia="黑体"/>
        </w:rPr>
      </w:pPr>
    </w:p>
    <w:p w14:paraId="3EEAF748">
      <w:pPr>
        <w:rPr>
          <w:rFonts w:ascii="宋体" w:hAnsi="宋体"/>
          <w:szCs w:val="21"/>
        </w:rPr>
      </w:pPr>
    </w:p>
    <w:p w14:paraId="5C62A09D">
      <w:pPr>
        <w:rPr>
          <w:rFonts w:hint="eastAsia" w:ascii="黑体" w:eastAsia="黑体"/>
          <w:b w:val="0"/>
          <w:kern w:val="0"/>
          <w:sz w:val="24"/>
        </w:rPr>
      </w:pPr>
      <w:r>
        <w:rPr>
          <w:rFonts w:hint="eastAsia" w:ascii="黑体" w:eastAsia="黑体"/>
          <w:b w:val="0"/>
          <w:kern w:val="0"/>
          <w:sz w:val="24"/>
        </w:rPr>
        <w:br w:type="page"/>
      </w:r>
    </w:p>
    <w:p w14:paraId="73693CB6">
      <w:pPr>
        <w:pStyle w:val="5"/>
        <w:jc w:val="center"/>
        <w:rPr>
          <w:rFonts w:ascii="黑体" w:eastAsia="黑体"/>
          <w:b w:val="0"/>
          <w:kern w:val="0"/>
          <w:sz w:val="24"/>
        </w:rPr>
      </w:pPr>
      <w:r>
        <w:rPr>
          <w:rFonts w:hint="eastAsia" w:ascii="黑体" w:eastAsia="黑体"/>
          <w:b w:val="0"/>
          <w:kern w:val="0"/>
          <w:sz w:val="24"/>
        </w:rPr>
        <w:t>二、政府采购投标及履约承诺函</w:t>
      </w:r>
    </w:p>
    <w:p w14:paraId="1D5B1352">
      <w:pPr>
        <w:rPr>
          <w:rFonts w:ascii="宋体" w:hAnsi="宋体"/>
          <w:sz w:val="24"/>
        </w:rPr>
      </w:pPr>
    </w:p>
    <w:p w14:paraId="260C3D82">
      <w:pPr>
        <w:rPr>
          <w:rFonts w:ascii="宋体" w:hAnsi="宋体"/>
          <w:color w:val="FF0000"/>
          <w:szCs w:val="21"/>
        </w:rPr>
      </w:pPr>
      <w:r>
        <w:rPr>
          <w:rFonts w:hint="eastAsia" w:ascii="宋体" w:hAnsi="宋体"/>
          <w:color w:val="FF0000"/>
          <w:szCs w:val="21"/>
        </w:rPr>
        <w:t>致：</w:t>
      </w:r>
      <w:r>
        <w:rPr>
          <w:rFonts w:hint="eastAsia" w:ascii="宋体" w:hAnsi="宋体"/>
          <w:color w:val="FF0000"/>
          <w:szCs w:val="21"/>
          <w:u w:val="single"/>
        </w:rPr>
        <w:t>深圳公共资源交易中心</w:t>
      </w:r>
    </w:p>
    <w:p w14:paraId="74510A81">
      <w:pPr>
        <w:ind w:right="-815" w:firstLine="420" w:firstLineChars="200"/>
        <w:rPr>
          <w:rFonts w:ascii="宋体" w:hAnsi="宋体"/>
          <w:szCs w:val="21"/>
        </w:rPr>
      </w:pPr>
      <w:r>
        <w:rPr>
          <w:rFonts w:hint="eastAsia" w:ascii="宋体" w:hAnsi="宋体"/>
          <w:szCs w:val="21"/>
        </w:rPr>
        <w:t>我单位承诺：</w:t>
      </w:r>
    </w:p>
    <w:p w14:paraId="092B3C36">
      <w:pPr>
        <w:ind w:firstLine="420" w:firstLineChars="200"/>
        <w:rPr>
          <w:rFonts w:ascii="宋体" w:hAnsi="宋体"/>
          <w:szCs w:val="21"/>
        </w:rPr>
      </w:pPr>
      <w:r>
        <w:rPr>
          <w:rFonts w:hint="eastAsia" w:ascii="宋体" w:hAnsi="宋体"/>
          <w:szCs w:val="21"/>
        </w:rPr>
        <w:t>1.我单位参与本项目</w:t>
      </w:r>
      <w:r>
        <w:rPr>
          <w:rFonts w:hint="eastAsia" w:ascii="宋体" w:hAnsi="宋体"/>
        </w:rPr>
        <w:t>所投标（响应）的货物、工程或服务，不存在侵犯知识产权的情况。</w:t>
      </w:r>
    </w:p>
    <w:p w14:paraId="6DECE767">
      <w:pPr>
        <w:ind w:firstLine="420" w:firstLineChars="200"/>
        <w:rPr>
          <w:rFonts w:ascii="宋体" w:hAnsi="宋体"/>
          <w:szCs w:val="21"/>
        </w:rPr>
      </w:pPr>
      <w:r>
        <w:rPr>
          <w:rFonts w:hint="eastAsia" w:ascii="宋体" w:hAnsi="宋体"/>
          <w:szCs w:val="21"/>
        </w:rPr>
        <w:t>2.我单位参与本项目</w:t>
      </w:r>
      <w:r>
        <w:rPr>
          <w:rFonts w:hint="eastAsia"/>
        </w:rPr>
        <w:t>政府采购活动时不存在被有关部门禁止参与政府采购活动且在有效期内的情况。</w:t>
      </w:r>
    </w:p>
    <w:p w14:paraId="28F7D8B8">
      <w:pPr>
        <w:ind w:firstLine="420" w:firstLineChars="200"/>
        <w:rPr>
          <w:rFonts w:ascii="宋体" w:hAnsi="宋体"/>
          <w:szCs w:val="21"/>
        </w:rPr>
      </w:pPr>
      <w:r>
        <w:rPr>
          <w:rFonts w:hint="eastAsia" w:ascii="宋体" w:hAnsi="宋体"/>
          <w:szCs w:val="21"/>
        </w:rPr>
        <w:t>3.我单位具备《中华人民共和国政府采购法》第二十二条第一款规定的六项条件。</w:t>
      </w:r>
    </w:p>
    <w:p w14:paraId="5EDD1834">
      <w:pPr>
        <w:ind w:firstLine="420" w:firstLineChars="200"/>
        <w:rPr>
          <w:rFonts w:hint="eastAsia"/>
          <w:lang w:eastAsia="zh-CN"/>
        </w:rPr>
      </w:pPr>
      <w:r>
        <w:rPr>
          <w:rFonts w:hint="eastAsia" w:ascii="宋体" w:hAnsi="宋体"/>
          <w:szCs w:val="21"/>
        </w:rPr>
        <w:t>4.我单位</w:t>
      </w:r>
      <w:r>
        <w:rPr>
          <w:rFonts w:hint="eastAsia"/>
        </w:rPr>
        <w:t>未被列入失信被执行人、重大税收违法案件当事人名单、政府采购严重违法失信行为记录名单</w:t>
      </w:r>
      <w:r>
        <w:rPr>
          <w:rFonts w:hint="eastAsia"/>
          <w:lang w:eastAsia="zh-CN"/>
        </w:rPr>
        <w:t>。</w:t>
      </w:r>
    </w:p>
    <w:p w14:paraId="6C86E5F1">
      <w:pPr>
        <w:ind w:firstLine="420" w:firstLineChars="200"/>
        <w:rPr>
          <w:rFonts w:hint="eastAsia"/>
          <w:lang w:eastAsia="zh-CN"/>
        </w:rPr>
      </w:pPr>
      <w:r>
        <w:rPr>
          <w:rFonts w:hint="eastAsia" w:ascii="Times New Roman" w:eastAsia="宋体"/>
          <w:color w:val="FF0000"/>
          <w:lang w:val="en-US" w:eastAsia="zh-CN"/>
        </w:rPr>
        <w:t>5.我单位不存在《深圳市财政局政府采购供应商信用信息管理办法》（深财规〔2023〕3号）列明的严重违法失信行为。</w:t>
      </w:r>
    </w:p>
    <w:p w14:paraId="0FF80373">
      <w:pPr>
        <w:ind w:firstLine="420" w:firstLineChars="200"/>
        <w:rPr>
          <w:rFonts w:ascii="宋体" w:hAnsi="宋体"/>
          <w:szCs w:val="21"/>
        </w:rPr>
      </w:pPr>
      <w:r>
        <w:rPr>
          <w:rFonts w:hint="eastAsia" w:ascii="宋体" w:hAnsi="宋体"/>
          <w:szCs w:val="21"/>
          <w:lang w:val="en-US" w:eastAsia="zh-CN"/>
        </w:rPr>
        <w:t>6</w:t>
      </w:r>
      <w:r>
        <w:rPr>
          <w:rFonts w:hint="eastAsia" w:ascii="宋体" w:hAnsi="宋体"/>
          <w:szCs w:val="21"/>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3640B267">
      <w:pPr>
        <w:ind w:firstLine="420" w:firstLineChars="200"/>
        <w:rPr>
          <w:rFonts w:ascii="宋体" w:hAnsi="宋体"/>
          <w:szCs w:val="21"/>
        </w:rPr>
      </w:pPr>
      <w:r>
        <w:rPr>
          <w:rFonts w:hint="eastAsia" w:ascii="宋体" w:hAnsi="宋体"/>
          <w:szCs w:val="21"/>
          <w:lang w:val="en-US" w:eastAsia="zh-CN"/>
        </w:rPr>
        <w:t>7</w:t>
      </w:r>
      <w:r>
        <w:rPr>
          <w:rFonts w:hint="eastAsia" w:ascii="宋体" w:hAnsi="宋体"/>
          <w:szCs w:val="21"/>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6D6F27E2">
      <w:pPr>
        <w:ind w:firstLine="420" w:firstLineChars="200"/>
        <w:rPr>
          <w:rFonts w:ascii="宋体" w:hAnsi="宋体"/>
          <w:szCs w:val="21"/>
        </w:rPr>
      </w:pPr>
      <w:r>
        <w:rPr>
          <w:rFonts w:hint="eastAsia" w:ascii="宋体" w:hAnsi="宋体"/>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3486474">
      <w:pPr>
        <w:ind w:firstLine="420" w:firstLineChars="200"/>
        <w:rPr>
          <w:rFonts w:ascii="宋体" w:hAnsi="宋体"/>
          <w:szCs w:val="21"/>
        </w:rPr>
      </w:pPr>
      <w:r>
        <w:rPr>
          <w:rFonts w:hint="eastAsia" w:ascii="宋体" w:hAnsi="宋体"/>
          <w:szCs w:val="21"/>
          <w:lang w:val="en-US" w:eastAsia="zh-CN"/>
        </w:rPr>
        <w:t>8</w:t>
      </w:r>
      <w:r>
        <w:rPr>
          <w:rFonts w:hint="eastAsia" w:ascii="宋体" w:hAnsi="宋体"/>
          <w:szCs w:val="21"/>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5CF39297">
      <w:pPr>
        <w:ind w:firstLine="420" w:firstLineChars="200"/>
        <w:rPr>
          <w:rFonts w:ascii="宋体" w:hAnsi="宋体"/>
          <w:szCs w:val="21"/>
        </w:rPr>
      </w:pPr>
      <w:r>
        <w:rPr>
          <w:rFonts w:hint="eastAsia" w:ascii="宋体" w:hAnsi="宋体"/>
          <w:szCs w:val="21"/>
          <w:lang w:val="en-US" w:eastAsia="zh-CN"/>
        </w:rPr>
        <w:t>9</w:t>
      </w:r>
      <w:r>
        <w:rPr>
          <w:rFonts w:hint="eastAsia" w:ascii="宋体" w:hAnsi="宋体"/>
          <w:szCs w:val="21"/>
        </w:rPr>
        <w:t>.我单位承诺中标后项目不转包，未经采购人同意不进行分包。</w:t>
      </w:r>
    </w:p>
    <w:p w14:paraId="0581DFA5">
      <w:pPr>
        <w:ind w:firstLine="420" w:firstLineChars="200"/>
        <w:rPr>
          <w:rFonts w:ascii="宋体" w:hAnsi="宋体"/>
        </w:rPr>
      </w:pPr>
      <w:r>
        <w:rPr>
          <w:rFonts w:hint="eastAsia" w:ascii="宋体" w:hAnsi="宋体"/>
          <w:szCs w:val="21"/>
          <w:lang w:val="en-US" w:eastAsia="zh-CN"/>
        </w:rPr>
        <w:t>10</w:t>
      </w:r>
      <w:r>
        <w:rPr>
          <w:rFonts w:ascii="宋体" w:hAnsi="宋体"/>
          <w:szCs w:val="21"/>
        </w:rPr>
        <w:t>.</w:t>
      </w:r>
      <w:r>
        <w:rPr>
          <w:rFonts w:hint="eastAsia" w:ascii="宋体" w:hAnsi="宋体"/>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4E64A406">
      <w:pPr>
        <w:ind w:firstLine="420" w:firstLineChars="200"/>
        <w:rPr>
          <w:rFonts w:ascii="宋体" w:hAnsi="宋体" w:cs="宋体"/>
          <w:b/>
          <w:kern w:val="0"/>
          <w:szCs w:val="21"/>
        </w:rPr>
      </w:pPr>
      <w:r>
        <w:rPr>
          <w:rFonts w:hint="eastAsia" w:ascii="宋体" w:hAnsi="宋体"/>
        </w:rPr>
        <w:t>1</w:t>
      </w:r>
      <w:r>
        <w:rPr>
          <w:rFonts w:hint="eastAsia" w:ascii="宋体" w:hAnsi="宋体"/>
          <w:lang w:val="en-US" w:eastAsia="zh-CN"/>
        </w:rPr>
        <w:t>1</w:t>
      </w:r>
      <w:r>
        <w:rPr>
          <w:rFonts w:ascii="宋体" w:hAnsi="宋体"/>
        </w:rPr>
        <w:t>.</w:t>
      </w:r>
      <w:r>
        <w:rPr>
          <w:rFonts w:hint="eastAsia" w:ascii="宋体" w:hAnsi="宋体"/>
        </w:rPr>
        <w:t>我单位保证，若所投货物涉及</w:t>
      </w:r>
      <w:r>
        <w:rPr>
          <w:rFonts w:ascii="宋体" w:hAnsi="宋体"/>
        </w:rPr>
        <w:t>《</w:t>
      </w:r>
      <w:r>
        <w:rPr>
          <w:rFonts w:hint="eastAsia" w:ascii="宋体" w:hAnsi="宋体"/>
        </w:rPr>
        <w:t>财政部生态环境部关于印发节能产品政府采购品目清单的通知》（财库〔20</w:t>
      </w:r>
      <w:r>
        <w:rPr>
          <w:rFonts w:ascii="宋体" w:hAnsi="宋体"/>
        </w:rPr>
        <w:t>19</w:t>
      </w:r>
      <w:r>
        <w:rPr>
          <w:rFonts w:hint="eastAsia" w:ascii="宋体" w:hAnsi="宋体"/>
        </w:rPr>
        <w:t>〕</w:t>
      </w:r>
      <w:r>
        <w:rPr>
          <w:rFonts w:ascii="宋体" w:hAnsi="宋体"/>
        </w:rPr>
        <w:t>19</w:t>
      </w:r>
      <w:r>
        <w:rPr>
          <w:rFonts w:hint="eastAsia" w:ascii="宋体" w:hAnsi="宋体"/>
        </w:rPr>
        <w:t>号）列明的政府采购强制产品，则所投该产品符合节能产品的认证要求。</w:t>
      </w:r>
      <w:r>
        <w:rPr>
          <w:rFonts w:hint="eastAsia" w:ascii="宋体" w:hAnsi="宋体"/>
          <w:lang w:val="en-US" w:eastAsia="zh-CN"/>
        </w:rPr>
        <w:t>若所投产品包括数据中心相关设备的，应满足</w:t>
      </w:r>
      <w:r>
        <w:rPr>
          <w:rFonts w:hint="eastAsia"/>
        </w:rPr>
        <w:t>《财政部 生态环境部 工业和信息化部关于印发&lt;绿色数据中心政府采购需求标准（试行）&gt;的通知》</w:t>
      </w:r>
      <w:r>
        <w:rPr>
          <w:rFonts w:hint="eastAsia" w:eastAsia="宋体"/>
          <w:lang w:eastAsia="zh-CN"/>
        </w:rPr>
        <w:t>（</w:t>
      </w:r>
      <w:r>
        <w:rPr>
          <w:rFonts w:hint="eastAsia"/>
        </w:rPr>
        <w:t>财库〔2023〕7号）</w:t>
      </w:r>
      <w:r>
        <w:rPr>
          <w:rFonts w:hint="eastAsia" w:ascii="Times New Roman" w:eastAsia="宋体"/>
          <w:lang w:val="en-US" w:eastAsia="zh-CN"/>
        </w:rPr>
        <w:t>要求。若所投产品涉及国家强制性标准的，所投产品应符合国家强制性标准相关要求。</w:t>
      </w:r>
    </w:p>
    <w:p w14:paraId="618D6E80">
      <w:pPr>
        <w:ind w:firstLine="420" w:firstLineChars="200"/>
        <w:rPr>
          <w:rFonts w:hint="eastAsia" w:ascii="宋体" w:hAnsi="宋体"/>
          <w:b w:val="0"/>
          <w:bCs/>
        </w:rPr>
      </w:pPr>
      <w:r>
        <w:rPr>
          <w:rFonts w:hint="eastAsia" w:ascii="宋体" w:hAnsi="宋体" w:cs="宋体"/>
          <w:b w:val="0"/>
          <w:bCs/>
          <w:kern w:val="0"/>
          <w:szCs w:val="21"/>
        </w:rPr>
        <w:t>1</w:t>
      </w:r>
      <w:r>
        <w:rPr>
          <w:rFonts w:hint="eastAsia" w:ascii="宋体" w:hAnsi="宋体" w:cs="宋体"/>
          <w:b w:val="0"/>
          <w:bCs/>
          <w:kern w:val="0"/>
          <w:szCs w:val="21"/>
          <w:lang w:val="en-US" w:eastAsia="zh-CN"/>
        </w:rPr>
        <w:t>2</w:t>
      </w:r>
      <w:r>
        <w:rPr>
          <w:rFonts w:hint="eastAsia" w:ascii="宋体" w:hAnsi="宋体" w:cs="宋体"/>
          <w:b w:val="0"/>
          <w:bCs/>
          <w:kern w:val="0"/>
          <w:szCs w:val="21"/>
        </w:rPr>
        <w:t>.</w:t>
      </w:r>
      <w:r>
        <w:rPr>
          <w:rFonts w:hint="eastAsia" w:ascii="宋体" w:hAnsi="宋体"/>
          <w:b w:val="0"/>
          <w:bCs/>
        </w:rPr>
        <w:t>我单位已知悉并同意中标（成交）结果信息公示（公开）的内容。</w:t>
      </w:r>
    </w:p>
    <w:p w14:paraId="1DCF9224">
      <w:pPr>
        <w:ind w:firstLine="420" w:firstLineChars="200"/>
        <w:rPr>
          <w:rFonts w:hint="eastAsia" w:ascii="宋体" w:hAnsi="宋体"/>
          <w:b w:val="0"/>
          <w:bCs/>
        </w:rPr>
      </w:pPr>
      <w:r>
        <w:rPr>
          <w:rFonts w:hint="eastAsia" w:ascii="宋体" w:hAnsi="宋体"/>
          <w:b w:val="0"/>
          <w:bCs/>
        </w:rPr>
        <w:t>1</w:t>
      </w:r>
      <w:r>
        <w:rPr>
          <w:rFonts w:hint="eastAsia" w:ascii="宋体" w:hAnsi="宋体"/>
          <w:b w:val="0"/>
          <w:bCs/>
          <w:lang w:val="en-US" w:eastAsia="zh-CN"/>
        </w:rPr>
        <w:t>3</w:t>
      </w:r>
      <w:r>
        <w:rPr>
          <w:rFonts w:hint="eastAsia" w:ascii="宋体" w:hAnsi="宋体"/>
          <w:b w:val="0"/>
          <w:bCs/>
        </w:rPr>
        <w:t>.我单位保证，符合《中华人民共和国政府采购法实施条例》第十八条规定，与其他投标供应商不存在单位负责人为同一人或者存在直接控股、管理关系；</w:t>
      </w:r>
      <w:r>
        <w:rPr>
          <w:rFonts w:hint="eastAsia" w:ascii="宋体" w:hAnsi="宋体"/>
          <w:b w:val="0"/>
          <w:bCs/>
          <w:color w:val="auto"/>
          <w:lang w:val="en-US" w:eastAsia="zh-CN"/>
        </w:rPr>
        <w:t>不存在为</w:t>
      </w:r>
      <w:r>
        <w:rPr>
          <w:rFonts w:hint="eastAsia" w:ascii="宋体" w:hAnsi="宋体"/>
          <w:b w:val="0"/>
          <w:bCs/>
        </w:rPr>
        <w:t>本次采购项目提供整体设计、规范编制或者项目管理、监理、检测等服务的情</w:t>
      </w:r>
      <w:r>
        <w:rPr>
          <w:rFonts w:hint="eastAsia" w:ascii="宋体" w:hAnsi="宋体"/>
          <w:b w:val="0"/>
          <w:bCs/>
          <w:color w:val="auto"/>
        </w:rPr>
        <w:t>形。</w:t>
      </w:r>
      <w:r>
        <w:rPr>
          <w:rFonts w:hint="eastAsia" w:ascii="宋体" w:hAnsi="宋体"/>
          <w:b w:val="0"/>
          <w:bCs/>
          <w:color w:val="auto"/>
          <w:lang w:val="en-US" w:eastAsia="zh-CN"/>
        </w:rPr>
        <w:t>若</w:t>
      </w:r>
      <w:r>
        <w:rPr>
          <w:rFonts w:hint="eastAsia" w:ascii="宋体" w:hAnsi="宋体"/>
          <w:b w:val="0"/>
          <w:bCs/>
          <w:color w:val="auto"/>
        </w:rPr>
        <w:t>存在“不同供应商的董事、股东或其他高级管理人员为同一人的”情形的，</w:t>
      </w:r>
      <w:r>
        <w:rPr>
          <w:rFonts w:hint="eastAsia" w:ascii="宋体" w:hAnsi="宋体"/>
          <w:b w:val="0"/>
          <w:bCs/>
          <w:color w:val="auto"/>
          <w:lang w:val="en-US" w:eastAsia="zh-CN"/>
        </w:rPr>
        <w:t>我单位保证</w:t>
      </w:r>
      <w:r>
        <w:rPr>
          <w:rFonts w:hint="eastAsia" w:ascii="宋体" w:hAnsi="宋体"/>
          <w:b w:val="0"/>
          <w:bCs/>
          <w:color w:val="auto"/>
        </w:rPr>
        <w:t>不存在串通投标、恶意串通或者视为串通投标的情形</w:t>
      </w:r>
      <w:r>
        <w:rPr>
          <w:rFonts w:hint="eastAsia" w:ascii="宋体" w:hAnsi="宋体"/>
          <w:b w:val="0"/>
          <w:bCs/>
          <w:color w:val="auto"/>
          <w:lang w:eastAsia="zh-CN"/>
        </w:rPr>
        <w:t>。</w:t>
      </w:r>
    </w:p>
    <w:p w14:paraId="071D7877">
      <w:pPr>
        <w:ind w:firstLine="422" w:firstLineChars="200"/>
        <w:rPr>
          <w:rFonts w:ascii="宋体" w:hAnsi="宋体"/>
          <w:b/>
        </w:rPr>
      </w:pPr>
      <w:r>
        <w:rPr>
          <w:rFonts w:hint="eastAsia" w:ascii="宋体" w:hAnsi="宋体"/>
          <w:b/>
          <w:bCs w:val="0"/>
          <w:sz w:val="21"/>
          <w:lang w:val="en-US" w:eastAsia="zh-CN"/>
        </w:rPr>
        <w:t>14.我单位清楚，如存在违反投标承诺行为情节严重的，将根据《深圳市财政局关于印发&lt;深圳市财政局政府采购供应商信用信息管理办法&gt;的通知》，依法被列入失信信息。</w:t>
      </w:r>
    </w:p>
    <w:p w14:paraId="2AEBF1CE">
      <w:pPr>
        <w:pStyle w:val="2"/>
        <w:ind w:firstLine="482" w:firstLineChars="200"/>
        <w:rPr>
          <w:rFonts w:ascii="宋体" w:hAnsi="宋体"/>
        </w:rPr>
      </w:pPr>
    </w:p>
    <w:p w14:paraId="2AD2FA77">
      <w:pPr>
        <w:ind w:firstLine="420" w:firstLineChars="200"/>
        <w:rPr>
          <w:rFonts w:ascii="宋体" w:hAnsi="宋体"/>
          <w:szCs w:val="21"/>
        </w:rPr>
      </w:pPr>
      <w:r>
        <w:rPr>
          <w:rFonts w:hint="eastAsia" w:ascii="宋体" w:hAnsi="宋体"/>
          <w:szCs w:val="21"/>
        </w:rPr>
        <w:t>以上承诺，如有违反，愿依照国家相关法律法规处理，并承担由此给采购人带来的损失。</w:t>
      </w:r>
    </w:p>
    <w:p w14:paraId="548F60E0">
      <w:pPr>
        <w:spacing w:before="60" w:beforeLines="25" w:after="60" w:afterLines="25"/>
        <w:ind w:firstLine="5460" w:firstLineChars="2600"/>
        <w:rPr>
          <w:rFonts w:ascii="宋体" w:hAnsi="宋体"/>
          <w:szCs w:val="21"/>
        </w:rPr>
      </w:pPr>
      <w:r>
        <w:rPr>
          <w:rFonts w:hint="eastAsia" w:ascii="宋体" w:hAnsi="宋体"/>
          <w:szCs w:val="21"/>
        </w:rPr>
        <w:t xml:space="preserve">                                    </w:t>
      </w:r>
    </w:p>
    <w:p w14:paraId="6E02A82C">
      <w:pPr>
        <w:spacing w:before="60" w:beforeLines="25" w:after="60" w:afterLines="25"/>
        <w:ind w:firstLine="5460" w:firstLineChars="2600"/>
        <w:rPr>
          <w:color w:val="FF0000"/>
        </w:rPr>
      </w:pPr>
      <w:r>
        <w:rPr>
          <w:rFonts w:hint="eastAsia"/>
          <w:color w:val="FF0000"/>
          <w:szCs w:val="21"/>
        </w:rPr>
        <w:t>投标人：</w:t>
      </w:r>
      <w:r>
        <w:rPr>
          <w:rFonts w:hint="eastAsia"/>
          <w:color w:val="FF0000"/>
          <w:szCs w:val="21"/>
          <w:u w:val="single"/>
        </w:rPr>
        <w:t xml:space="preserve">              </w:t>
      </w:r>
    </w:p>
    <w:p w14:paraId="676A3051">
      <w:pPr>
        <w:ind w:firstLine="645"/>
        <w:rPr>
          <w:rFonts w:ascii="宋体" w:hAnsi="宋体"/>
          <w:color w:val="FF0000"/>
          <w:szCs w:val="21"/>
        </w:rPr>
      </w:pPr>
      <w:r>
        <w:rPr>
          <w:rFonts w:hint="eastAsia" w:ascii="宋体" w:hAnsi="宋体"/>
          <w:color w:val="FF0000"/>
          <w:szCs w:val="21"/>
        </w:rPr>
        <w:t xml:space="preserve">                                              日期：</w:t>
      </w:r>
      <w:r>
        <w:rPr>
          <w:rFonts w:hint="eastAsia" w:ascii="宋体" w:hAnsi="宋体"/>
          <w:color w:val="FF0000"/>
          <w:szCs w:val="21"/>
          <w:u w:val="single"/>
        </w:rPr>
        <w:t xml:space="preserve">    </w:t>
      </w:r>
      <w:r>
        <w:rPr>
          <w:rFonts w:hint="eastAsia" w:ascii="宋体" w:hAnsi="宋体"/>
          <w:color w:val="FF0000"/>
          <w:szCs w:val="21"/>
        </w:rPr>
        <w:t>年</w:t>
      </w:r>
      <w:r>
        <w:rPr>
          <w:rFonts w:hint="eastAsia" w:ascii="宋体" w:hAnsi="宋体"/>
          <w:color w:val="FF0000"/>
          <w:szCs w:val="21"/>
          <w:u w:val="single"/>
        </w:rPr>
        <w:t xml:space="preserve">   </w:t>
      </w:r>
      <w:r>
        <w:rPr>
          <w:rFonts w:hint="eastAsia" w:ascii="宋体" w:hAnsi="宋体"/>
          <w:color w:val="FF0000"/>
          <w:szCs w:val="21"/>
        </w:rPr>
        <w:t>月</w:t>
      </w:r>
      <w:r>
        <w:rPr>
          <w:rFonts w:hint="eastAsia" w:ascii="宋体" w:hAnsi="宋体"/>
          <w:color w:val="FF0000"/>
          <w:szCs w:val="21"/>
          <w:u w:val="single"/>
        </w:rPr>
        <w:t xml:space="preserve">   </w:t>
      </w:r>
      <w:r>
        <w:rPr>
          <w:rFonts w:hint="eastAsia" w:ascii="宋体" w:hAnsi="宋体"/>
          <w:color w:val="FF0000"/>
          <w:szCs w:val="21"/>
        </w:rPr>
        <w:t>日</w:t>
      </w:r>
    </w:p>
    <w:p w14:paraId="518EFB8B">
      <w:pPr>
        <w:rPr>
          <w:rFonts w:hint="eastAsia" w:ascii="黑体" w:eastAsia="黑体"/>
          <w:b w:val="0"/>
          <w:kern w:val="0"/>
          <w:sz w:val="24"/>
        </w:rPr>
      </w:pPr>
      <w:r>
        <w:rPr>
          <w:rFonts w:hint="eastAsia" w:ascii="黑体" w:eastAsia="黑体"/>
          <w:b w:val="0"/>
          <w:kern w:val="0"/>
          <w:sz w:val="24"/>
        </w:rPr>
        <w:br w:type="page"/>
      </w:r>
    </w:p>
    <w:p w14:paraId="0111D5FA">
      <w:pPr>
        <w:pStyle w:val="5"/>
        <w:spacing w:before="120" w:after="120"/>
        <w:jc w:val="center"/>
        <w:rPr>
          <w:rFonts w:ascii="黑体" w:eastAsia="黑体"/>
          <w:b w:val="0"/>
          <w:kern w:val="0"/>
          <w:sz w:val="24"/>
        </w:rPr>
      </w:pPr>
      <w:r>
        <w:rPr>
          <w:rFonts w:hint="eastAsia" w:ascii="黑体" w:eastAsia="黑体"/>
          <w:b w:val="0"/>
          <w:kern w:val="0"/>
          <w:sz w:val="24"/>
        </w:rPr>
        <w:t>三、投标人情况及资格证明文件</w:t>
      </w:r>
    </w:p>
    <w:p w14:paraId="29A2D0BE">
      <w:pPr>
        <w:ind w:firstLine="2640" w:firstLineChars="1100"/>
        <w:outlineLvl w:val="3"/>
        <w:rPr>
          <w:rFonts w:ascii="黑体" w:hAnsi="宋体" w:eastAsia="黑体"/>
          <w:bCs/>
          <w:kern w:val="0"/>
          <w:sz w:val="24"/>
          <w:szCs w:val="32"/>
        </w:rPr>
      </w:pPr>
      <w:r>
        <w:rPr>
          <w:rFonts w:hint="eastAsia" w:ascii="黑体" w:hAnsi="宋体" w:eastAsia="黑体"/>
          <w:bCs/>
          <w:kern w:val="0"/>
          <w:sz w:val="24"/>
          <w:szCs w:val="32"/>
        </w:rPr>
        <w:t>（一）投标人资格证明文件</w:t>
      </w:r>
    </w:p>
    <w:p w14:paraId="19CB0DFA">
      <w:pPr>
        <w:ind w:firstLine="422" w:firstLineChars="200"/>
        <w:rPr>
          <w:rFonts w:hint="eastAsia" w:ascii="宋体" w:hAnsi="宋体" w:cs="宋体"/>
          <w:b/>
          <w:bCs/>
          <w:color w:val="FF0000"/>
          <w:sz w:val="21"/>
          <w:szCs w:val="21"/>
        </w:rPr>
      </w:pPr>
      <w:r>
        <w:rPr>
          <w:rFonts w:hint="eastAsia" w:ascii="宋体" w:hAnsi="宋体" w:cs="宋体"/>
          <w:b/>
          <w:bCs/>
          <w:color w:val="FF0000"/>
          <w:sz w:val="21"/>
          <w:szCs w:val="21"/>
        </w:rPr>
        <w:t>（特别提示：投标人须按本招标文件第一册第一章招标公告“申请人的资格要求”（即投标人资格要求）提供相关的资格证明资料，未提供或提供不完整、不符合要求的，将作投标无效处理，其中要求提供《政府采购投标及履约承诺函》《供应商基本情况表》且已在规定章节中提供的，此处不重复提供。）</w:t>
      </w:r>
    </w:p>
    <w:p w14:paraId="754BCF3A">
      <w:pPr>
        <w:ind w:firstLine="422" w:firstLineChars="200"/>
        <w:rPr>
          <w:rFonts w:hint="eastAsia" w:ascii="宋体" w:hAnsi="宋体" w:cs="宋体"/>
          <w:b/>
          <w:bCs/>
          <w:color w:val="auto"/>
          <w:sz w:val="21"/>
          <w:szCs w:val="21"/>
        </w:rPr>
      </w:pPr>
      <w:r>
        <w:rPr>
          <w:rFonts w:hint="eastAsia" w:ascii="宋体" w:hAnsi="宋体" w:cs="宋体"/>
          <w:b/>
          <w:bCs/>
          <w:color w:val="auto"/>
          <w:sz w:val="21"/>
          <w:szCs w:val="21"/>
        </w:rPr>
        <w:t>（二）中小企业声明函、残疾人福利性单位声明函及监狱企业声明函</w:t>
      </w:r>
    </w:p>
    <w:p w14:paraId="121DBFD1">
      <w:pPr>
        <w:ind w:firstLine="422" w:firstLineChars="200"/>
        <w:rPr>
          <w:rFonts w:hint="eastAsia" w:ascii="宋体" w:hAnsi="宋体" w:cs="宋体"/>
          <w:b/>
          <w:bCs/>
          <w:color w:val="FF0000"/>
          <w:sz w:val="21"/>
          <w:szCs w:val="21"/>
        </w:rPr>
      </w:pPr>
    </w:p>
    <w:p w14:paraId="0B335C2F">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填写指引：</w:t>
      </w:r>
    </w:p>
    <w:p w14:paraId="13F4EFE1">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1、该部分内容由投标人根据自身实际情况填写，不符合要求的投标人可以不填写或直接删除相应的声明函。投标人提供的声明函不属实的，属于提供虚假资料谋取中标，依照《中华人民共和国政府采购法》等国家有关规定追究相应责任。</w:t>
      </w:r>
    </w:p>
    <w:p w14:paraId="7F1BCC2D">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2、该部分内容填写需要参考的相关文件：</w:t>
      </w:r>
    </w:p>
    <w:p w14:paraId="5FA48B36">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(1)财政部《政府采购促进中小企业发展管理办法》（财库〔2020〕46号）</w:t>
      </w:r>
    </w:p>
    <w:p w14:paraId="6AADDCF2">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(2)《工业和信息化部、国家统计局、国家发展和改革委员会、财政部关于印发中小企业划型标准规定的通知》（工信部联企业〔2011〕300号）</w:t>
      </w:r>
    </w:p>
    <w:p w14:paraId="2A6345EE">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(3)《统计上大中小微型企业划分办法(2017)》（国统字〔2017〕213号）</w:t>
      </w:r>
    </w:p>
    <w:p w14:paraId="6FFF5591">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(4)《关于促进残疾人就业政府采购政策的通知》（财库〔2017〕141号）</w:t>
      </w:r>
    </w:p>
    <w:p w14:paraId="0D07172A">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(5)《关于政府采购支持监狱企业发展有关问题的通知》（财库〔2014〕68号）</w:t>
      </w:r>
    </w:p>
    <w:p w14:paraId="632C55FA">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3、请依照提供的格式和内容填写声明函，不要随意变更格式；声明函不需要盖章或签字；满足多项优惠政策的投标人，不重复享受多项价格扣除政策。</w:t>
      </w:r>
    </w:p>
    <w:p w14:paraId="1D5E1106">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4、声明函具体填写要求：</w:t>
      </w:r>
    </w:p>
    <w:p w14:paraId="42F10579">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（1）声明是中小企业须填写《中小企业声明函》的以下内容：</w:t>
      </w:r>
    </w:p>
    <w:p w14:paraId="120F1C2D">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第一处，在“单位名称”下划线处如实填写采购人名称（深圳公共资源交易中心不是本项目的采购人，而是组织实施机构）；</w:t>
      </w:r>
    </w:p>
    <w:p w14:paraId="39050358">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第二处，在“项目名称”下划线处如实填写采购文件中确定的项目名称。对于分包方式面向中小企业采购的项目，应标明中小企业的具体分包内容；对于以联合体方式面向中小企业采购的项目，应标明联合体中中小企业所承担的具体内容；</w:t>
      </w:r>
    </w:p>
    <w:p w14:paraId="7F78750E">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第三处，在“标的名称”下划线处填写所采购标的具体名称（以招标文件第一册第三章用户需求书“服务需求明细”的“服务需求名称（标的名称）”一栏为准）；如果涉及多项服务（标的）为同一企业承接的，“标的名称”下划线处可以如实填写多项服务；对于分包方式面向中小企业采购的项目，“标的名称”应填写采购文件中注明的分包给中小企业的采购标的名称；对于以联合体方式面向中小企业采购的项目“标的名称”应填写采购文件中注明的联合体中中小企业承担的采购标的名称。</w:t>
      </w:r>
    </w:p>
    <w:p w14:paraId="460ED793">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第四处，在“采购文件中明确的所属行业”下划线处填写采购标的对应的中小企业划分标准所属行业（所属行业以招标文件第一册第三章用户需求书“服务需求明细”的“标的所属行业”一栏为准），并应确保与采购标的涉及的服务承接商本身的所属行业保持一致。对于分包方式面向中小企业采购的项目，“采购文件中明确的所属行业”应按照采购文件中注明的分包给中小企业的采购标的所属行业填写，并应确保与该分包部分采购标的涉及的服务承接商本身的所属行业保持一致；对于以联合体方式面向中小企业采购的项目，“采购文件中明确的所属行业”应按照采购文件中注明的联合体中中小企业承担的采购标的所属行业填写，并应确保与该分包部分采购标的涉及的服务承接商本身的所属行业保持一致；</w:t>
      </w:r>
    </w:p>
    <w:p w14:paraId="0EA67773">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第五处，在“企业名称”下划线处如实填写服务承接商名称。对于分包方式面向中小企业采购的项目，“企业名称”应填写分包部分采购标的对应的服务承接商；对于以联合体方式面向中小企业采购的项目，“企业名称”应填写联合体中中小企业承担采购标的对应的服务承接商；</w:t>
      </w:r>
    </w:p>
    <w:p w14:paraId="16F30E94">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第六、七、八处，在“从业人员”、“营业收入”、“资产总额”下划线处如实填写从业人员、营业收入、资产总额。从业人员、资产总额指标以上年度末数据为依据，营业收入指标以上年度累计数据为依据。无上年度数据的新成立企业可不填报。</w:t>
      </w:r>
    </w:p>
    <w:p w14:paraId="6CB3E8AE">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第九处，在“中型企业、小型企业、微型企业”下划线处应依据企业上年度从业人员、营业收入、资产总额等指标，按照《中小企业划型标准规定》（工信部联企业〔2011〕300号）、《金融业企业划型标准规定》（银发〔2015〕309号），判断《中小企业声明函》载明的服务承接商是否属于采购文件所属行业的中型企业/小型企业/微型企业。</w:t>
      </w:r>
    </w:p>
    <w:p w14:paraId="4E21A6DC">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2）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48DD1D8F">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（3）事业单位、社会组织等非企业主体不享受中小企业扶持政策。</w:t>
      </w:r>
    </w:p>
    <w:p w14:paraId="45DB471E">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（4）声明是残疾人福利性单位须填写《残疾人福利性单位声明函》的相关内容，具体参照以上《中小企业声明函》填写要求执行。</w:t>
      </w:r>
    </w:p>
    <w:p w14:paraId="2806BCE7">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（5）声明是监狱企业须填写《监狱企业声明函》的三项内容（填写位置的字体已加粗），具体参照以上《中小企业声明函》填写要求执行。</w:t>
      </w:r>
    </w:p>
    <w:p w14:paraId="371EF05D">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5、本项目属于服务类项目，相关服务承接商应当为中小企业或残疾人福利性单位或监狱企业，如包含硬件设备、产品等货物采购的，不再对其中涉及的货物制造商作出要求。</w:t>
      </w:r>
    </w:p>
    <w:p w14:paraId="737A68C9">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color w:val="FF0000"/>
          <w:sz w:val="21"/>
          <w:szCs w:val="21"/>
        </w:rPr>
      </w:pPr>
      <w:r>
        <w:rPr>
          <w:rFonts w:hint="eastAsia" w:ascii="宋体" w:hAnsi="宋体" w:cs="宋体"/>
          <w:b/>
          <w:bCs/>
          <w:color w:val="FF0000"/>
          <w:sz w:val="21"/>
          <w:szCs w:val="21"/>
        </w:rPr>
        <w:t>6、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4C607B09">
      <w:pPr>
        <w:pStyle w:val="2"/>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sz w:val="21"/>
          <w:szCs w:val="21"/>
        </w:rPr>
      </w:pPr>
      <w:r>
        <w:rPr>
          <w:rFonts w:hint="eastAsia" w:ascii="宋体" w:hAnsi="宋体" w:cs="宋体"/>
          <w:b/>
          <w:bCs/>
          <w:color w:val="FF0000"/>
          <w:sz w:val="21"/>
          <w:szCs w:val="21"/>
        </w:rPr>
        <w:t>7、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14:paraId="10268571">
      <w:pPr>
        <w:jc w:val="center"/>
        <w:outlineLvl w:val="3"/>
        <w:rPr>
          <w:rFonts w:ascii="宋体" w:hAnsi="宋体" w:cs="宋体"/>
          <w:b/>
          <w:sz w:val="21"/>
          <w:szCs w:val="21"/>
        </w:rPr>
      </w:pPr>
      <w:r>
        <w:rPr>
          <w:rFonts w:hint="eastAsia" w:ascii="宋体" w:hAnsi="宋体" w:cs="宋体"/>
          <w:b/>
          <w:sz w:val="21"/>
          <w:szCs w:val="21"/>
        </w:rPr>
        <w:t>1、中小企业声明函（服务）</w:t>
      </w:r>
    </w:p>
    <w:p w14:paraId="09D4C621">
      <w:pPr>
        <w:pStyle w:val="2"/>
        <w:spacing w:line="240" w:lineRule="auto"/>
        <w:rPr>
          <w:sz w:val="21"/>
          <w:szCs w:val="21"/>
        </w:rPr>
      </w:pPr>
    </w:p>
    <w:p w14:paraId="41479D3E">
      <w:pPr>
        <w:ind w:firstLine="420" w:firstLineChars="200"/>
        <w:outlineLvl w:val="3"/>
        <w:rPr>
          <w:rFonts w:ascii="宋体" w:hAnsi="宋体" w:cs="宋体"/>
          <w:sz w:val="21"/>
          <w:szCs w:val="21"/>
        </w:rPr>
      </w:pPr>
      <w:r>
        <w:rPr>
          <w:rFonts w:hint="eastAsia" w:ascii="宋体" w:hAnsi="宋体" w:cs="宋体"/>
          <w:sz w:val="21"/>
          <w:szCs w:val="21"/>
        </w:rPr>
        <w:t>本公司（联合体）郑重声明，根据《政府采购促进中小企业发展管理办法》（财库﹝2020﹞46号）的规定，本公司（联合体）参加</w:t>
      </w:r>
      <w:r>
        <w:rPr>
          <w:rFonts w:hint="eastAsia" w:ascii="宋体" w:hAnsi="宋体" w:cs="宋体"/>
          <w:b/>
          <w:bCs/>
          <w:sz w:val="21"/>
          <w:szCs w:val="21"/>
          <w:u w:val="single"/>
        </w:rPr>
        <w:t xml:space="preserve">    （</w:t>
      </w:r>
      <w:r>
        <w:rPr>
          <w:rFonts w:hint="eastAsia" w:ascii="宋体" w:hAnsi="宋体" w:cs="宋体"/>
          <w:b/>
          <w:bCs/>
          <w:sz w:val="21"/>
          <w:szCs w:val="21"/>
          <w:u w:val="single"/>
          <w:lang w:eastAsia="zh-CN"/>
        </w:rPr>
        <w:t>采购</w:t>
      </w:r>
      <w:r>
        <w:rPr>
          <w:rFonts w:hint="eastAsia" w:ascii="宋体" w:hAnsi="宋体" w:cs="宋体"/>
          <w:b/>
          <w:bCs/>
          <w:sz w:val="21"/>
          <w:szCs w:val="21"/>
          <w:u w:val="single"/>
        </w:rPr>
        <w:t xml:space="preserve">单位名称）    </w:t>
      </w:r>
      <w:r>
        <w:rPr>
          <w:rFonts w:hint="eastAsia" w:ascii="宋体" w:hAnsi="宋体" w:cs="宋体"/>
          <w:sz w:val="21"/>
          <w:szCs w:val="21"/>
        </w:rPr>
        <w:t>的</w:t>
      </w:r>
      <w:r>
        <w:rPr>
          <w:rFonts w:hint="eastAsia" w:ascii="宋体" w:hAnsi="宋体" w:cs="宋体"/>
          <w:b/>
          <w:bCs/>
          <w:sz w:val="21"/>
          <w:szCs w:val="21"/>
          <w:u w:val="single"/>
        </w:rPr>
        <w:t xml:space="preserve">    （项目名称）    </w:t>
      </w:r>
      <w:r>
        <w:rPr>
          <w:rFonts w:hint="eastAsia" w:ascii="宋体" w:hAnsi="宋体" w:cs="宋体"/>
          <w:sz w:val="21"/>
          <w:szCs w:val="21"/>
        </w:rPr>
        <w:t>采购活动，服务全部由符合政策要求的中小企业承接。相关企业（含联合体中的中小企业、</w:t>
      </w:r>
      <w:r>
        <w:rPr>
          <w:rFonts w:hint="eastAsia" w:ascii="宋体" w:hAnsi="宋体" w:cs="宋体"/>
          <w:sz w:val="21"/>
          <w:szCs w:val="21"/>
          <w:highlight w:val="yellow"/>
        </w:rPr>
        <w:t>签订分包意向协议的中小企业</w:t>
      </w:r>
      <w:r>
        <w:rPr>
          <w:rFonts w:hint="eastAsia" w:ascii="宋体" w:hAnsi="宋体" w:cs="宋体"/>
          <w:sz w:val="21"/>
          <w:szCs w:val="21"/>
        </w:rPr>
        <w:t>）的具体情况如下：</w:t>
      </w:r>
    </w:p>
    <w:p w14:paraId="56C6629E">
      <w:pPr>
        <w:ind w:firstLine="420" w:firstLineChars="200"/>
        <w:outlineLvl w:val="3"/>
        <w:rPr>
          <w:rFonts w:ascii="宋体" w:hAnsi="宋体" w:cs="宋体"/>
          <w:sz w:val="21"/>
          <w:szCs w:val="21"/>
        </w:rPr>
      </w:pPr>
      <w:r>
        <w:rPr>
          <w:rFonts w:hint="eastAsia" w:ascii="宋体" w:hAnsi="宋体" w:cs="宋体"/>
          <w:sz w:val="21"/>
          <w:szCs w:val="21"/>
        </w:rPr>
        <w:t>1.</w:t>
      </w:r>
      <w:r>
        <w:rPr>
          <w:rFonts w:hint="eastAsia" w:ascii="宋体" w:hAnsi="宋体" w:cs="宋体"/>
          <w:b/>
          <w:bCs/>
          <w:sz w:val="21"/>
          <w:szCs w:val="21"/>
          <w:u w:val="single"/>
        </w:rPr>
        <w:t xml:space="preserve">    （标的名称）     </w:t>
      </w:r>
      <w:r>
        <w:rPr>
          <w:rFonts w:hint="eastAsia" w:ascii="宋体" w:hAnsi="宋体" w:cs="宋体"/>
          <w:sz w:val="21"/>
          <w:szCs w:val="21"/>
        </w:rPr>
        <w:t>，属于</w:t>
      </w:r>
      <w:r>
        <w:rPr>
          <w:rFonts w:hint="eastAsia" w:ascii="宋体" w:hAnsi="宋体" w:cs="宋体"/>
          <w:b/>
          <w:bCs/>
          <w:sz w:val="21"/>
          <w:szCs w:val="21"/>
          <w:u w:val="single"/>
        </w:rPr>
        <w:t xml:space="preserve">    （采购文件中明确的所属行业）    </w:t>
      </w:r>
      <w:r>
        <w:rPr>
          <w:rFonts w:hint="eastAsia" w:ascii="宋体" w:hAnsi="宋体" w:cs="宋体"/>
          <w:sz w:val="21"/>
          <w:szCs w:val="21"/>
        </w:rPr>
        <w:t>行业；承接企业为</w:t>
      </w:r>
      <w:r>
        <w:rPr>
          <w:rFonts w:hint="eastAsia" w:ascii="宋体" w:hAnsi="宋体" w:cs="宋体"/>
          <w:b/>
          <w:bCs/>
          <w:sz w:val="21"/>
          <w:szCs w:val="21"/>
          <w:u w:val="single"/>
        </w:rPr>
        <w:t xml:space="preserve">    （企业名称，要求承接企业本身所属行业应当与招标文件要求的行业相一致）    </w:t>
      </w:r>
      <w:r>
        <w:rPr>
          <w:rFonts w:hint="eastAsia" w:ascii="宋体" w:hAnsi="宋体" w:cs="宋体"/>
          <w:sz w:val="21"/>
          <w:szCs w:val="21"/>
        </w:rPr>
        <w:t>，从业人员</w:t>
      </w:r>
      <w:r>
        <w:rPr>
          <w:rFonts w:hint="eastAsia" w:ascii="宋体" w:hAnsi="宋体" w:cs="宋体"/>
          <w:b/>
          <w:bCs/>
          <w:sz w:val="21"/>
          <w:szCs w:val="21"/>
          <w:u w:val="single"/>
        </w:rPr>
        <w:t xml:space="preserve">        </w:t>
      </w:r>
      <w:r>
        <w:rPr>
          <w:rFonts w:hint="eastAsia" w:ascii="宋体" w:hAnsi="宋体" w:cs="宋体"/>
          <w:sz w:val="21"/>
          <w:szCs w:val="21"/>
        </w:rPr>
        <w:t>人，营业收入为</w:t>
      </w:r>
      <w:r>
        <w:rPr>
          <w:rFonts w:hint="eastAsia" w:ascii="宋体" w:hAnsi="宋体" w:cs="宋体"/>
          <w:b/>
          <w:bCs/>
          <w:sz w:val="21"/>
          <w:szCs w:val="21"/>
          <w:u w:val="single"/>
        </w:rPr>
        <w:t xml:space="preserve">        </w:t>
      </w:r>
      <w:r>
        <w:rPr>
          <w:rFonts w:hint="eastAsia" w:ascii="宋体" w:hAnsi="宋体" w:cs="宋体"/>
          <w:sz w:val="21"/>
          <w:szCs w:val="21"/>
        </w:rPr>
        <w:t>万元，资产总额为</w:t>
      </w:r>
      <w:r>
        <w:rPr>
          <w:rFonts w:hint="eastAsia" w:ascii="宋体" w:hAnsi="宋体" w:cs="宋体"/>
          <w:b/>
          <w:bCs/>
          <w:sz w:val="21"/>
          <w:szCs w:val="21"/>
          <w:u w:val="single"/>
        </w:rPr>
        <w:t xml:space="preserve">        </w:t>
      </w:r>
      <w:r>
        <w:rPr>
          <w:rFonts w:hint="eastAsia" w:ascii="宋体" w:hAnsi="宋体" w:cs="宋体"/>
          <w:sz w:val="21"/>
          <w:szCs w:val="21"/>
        </w:rPr>
        <w:t>万元，属于</w:t>
      </w:r>
      <w:r>
        <w:rPr>
          <w:rFonts w:hint="eastAsia" w:ascii="宋体" w:hAnsi="宋体" w:cs="宋体"/>
          <w:b/>
          <w:bCs/>
          <w:sz w:val="21"/>
          <w:szCs w:val="21"/>
          <w:u w:val="single"/>
        </w:rPr>
        <w:t xml:space="preserve">    （中型企业、小型企业、微型企业）    </w:t>
      </w:r>
      <w:r>
        <w:rPr>
          <w:rFonts w:hint="eastAsia" w:ascii="宋体" w:hAnsi="宋体" w:cs="宋体"/>
          <w:sz w:val="21"/>
          <w:szCs w:val="21"/>
        </w:rPr>
        <w:t>；</w:t>
      </w:r>
    </w:p>
    <w:p w14:paraId="48E0FCF8">
      <w:pPr>
        <w:ind w:firstLine="420" w:firstLineChars="200"/>
        <w:outlineLvl w:val="3"/>
        <w:rPr>
          <w:rFonts w:ascii="宋体" w:hAnsi="宋体" w:cs="宋体"/>
          <w:sz w:val="21"/>
          <w:szCs w:val="21"/>
        </w:rPr>
      </w:pPr>
      <w:r>
        <w:rPr>
          <w:rFonts w:hint="eastAsia" w:ascii="宋体" w:hAnsi="宋体" w:cs="宋体"/>
          <w:sz w:val="21"/>
          <w:szCs w:val="21"/>
        </w:rPr>
        <w:t>2.</w:t>
      </w:r>
      <w:r>
        <w:rPr>
          <w:rFonts w:hint="eastAsia" w:ascii="宋体" w:hAnsi="宋体" w:cs="宋体"/>
          <w:b/>
          <w:bCs/>
          <w:sz w:val="21"/>
          <w:szCs w:val="21"/>
          <w:u w:val="single"/>
        </w:rPr>
        <w:t xml:space="preserve">    （标的名称）     </w:t>
      </w:r>
      <w:r>
        <w:rPr>
          <w:rFonts w:hint="eastAsia" w:ascii="宋体" w:hAnsi="宋体" w:cs="宋体"/>
          <w:sz w:val="21"/>
          <w:szCs w:val="21"/>
        </w:rPr>
        <w:t>，属于</w:t>
      </w:r>
      <w:r>
        <w:rPr>
          <w:rFonts w:hint="eastAsia" w:ascii="宋体" w:hAnsi="宋体" w:cs="宋体"/>
          <w:b/>
          <w:bCs/>
          <w:sz w:val="21"/>
          <w:szCs w:val="21"/>
          <w:u w:val="single"/>
        </w:rPr>
        <w:t xml:space="preserve">    （采购文件中明确的所属行业）    </w:t>
      </w:r>
      <w:r>
        <w:rPr>
          <w:rFonts w:hint="eastAsia" w:ascii="宋体" w:hAnsi="宋体" w:cs="宋体"/>
          <w:sz w:val="21"/>
          <w:szCs w:val="21"/>
        </w:rPr>
        <w:t>行业；承接企业为</w:t>
      </w:r>
      <w:r>
        <w:rPr>
          <w:rFonts w:hint="eastAsia" w:ascii="宋体" w:hAnsi="宋体" w:cs="宋体"/>
          <w:b/>
          <w:bCs/>
          <w:sz w:val="21"/>
          <w:szCs w:val="21"/>
          <w:u w:val="single"/>
        </w:rPr>
        <w:t xml:space="preserve">    （企业名称，要求承接企业本身所属行业应当与招标文件要求的行业相一致）    </w:t>
      </w:r>
      <w:r>
        <w:rPr>
          <w:rFonts w:hint="eastAsia" w:ascii="宋体" w:hAnsi="宋体" w:cs="宋体"/>
          <w:sz w:val="21"/>
          <w:szCs w:val="21"/>
        </w:rPr>
        <w:t>，从业人员</w:t>
      </w:r>
      <w:r>
        <w:rPr>
          <w:rFonts w:hint="eastAsia" w:ascii="宋体" w:hAnsi="宋体" w:cs="宋体"/>
          <w:b/>
          <w:bCs/>
          <w:sz w:val="21"/>
          <w:szCs w:val="21"/>
          <w:u w:val="single"/>
        </w:rPr>
        <w:t xml:space="preserve">        </w:t>
      </w:r>
      <w:r>
        <w:rPr>
          <w:rFonts w:hint="eastAsia" w:ascii="宋体" w:hAnsi="宋体" w:cs="宋体"/>
          <w:sz w:val="21"/>
          <w:szCs w:val="21"/>
        </w:rPr>
        <w:t>人，营业收入为</w:t>
      </w:r>
      <w:r>
        <w:rPr>
          <w:rFonts w:hint="eastAsia" w:ascii="宋体" w:hAnsi="宋体" w:cs="宋体"/>
          <w:b/>
          <w:bCs/>
          <w:sz w:val="21"/>
          <w:szCs w:val="21"/>
          <w:u w:val="single"/>
        </w:rPr>
        <w:t xml:space="preserve">        </w:t>
      </w:r>
      <w:r>
        <w:rPr>
          <w:rFonts w:hint="eastAsia" w:ascii="宋体" w:hAnsi="宋体" w:cs="宋体"/>
          <w:sz w:val="21"/>
          <w:szCs w:val="21"/>
        </w:rPr>
        <w:t>万元，资产总额为</w:t>
      </w:r>
      <w:r>
        <w:rPr>
          <w:rFonts w:hint="eastAsia" w:ascii="宋体" w:hAnsi="宋体" w:cs="宋体"/>
          <w:b/>
          <w:bCs/>
          <w:sz w:val="21"/>
          <w:szCs w:val="21"/>
          <w:u w:val="single"/>
        </w:rPr>
        <w:t xml:space="preserve">        </w:t>
      </w:r>
      <w:r>
        <w:rPr>
          <w:rFonts w:hint="eastAsia" w:ascii="宋体" w:hAnsi="宋体" w:cs="宋体"/>
          <w:sz w:val="21"/>
          <w:szCs w:val="21"/>
        </w:rPr>
        <w:t>万元，属于</w:t>
      </w:r>
      <w:r>
        <w:rPr>
          <w:rFonts w:hint="eastAsia" w:ascii="宋体" w:hAnsi="宋体" w:cs="宋体"/>
          <w:b/>
          <w:bCs/>
          <w:sz w:val="21"/>
          <w:szCs w:val="21"/>
          <w:u w:val="single"/>
        </w:rPr>
        <w:t xml:space="preserve">    （中型企业、小型企业、微型企业）    </w:t>
      </w:r>
      <w:r>
        <w:rPr>
          <w:rFonts w:hint="eastAsia" w:ascii="宋体" w:hAnsi="宋体" w:cs="宋体"/>
          <w:sz w:val="21"/>
          <w:szCs w:val="21"/>
        </w:rPr>
        <w:t>；</w:t>
      </w:r>
    </w:p>
    <w:p w14:paraId="27A8F665">
      <w:pPr>
        <w:ind w:firstLine="420" w:firstLineChars="200"/>
        <w:outlineLvl w:val="3"/>
        <w:rPr>
          <w:rFonts w:ascii="宋体" w:hAnsi="宋体" w:cs="宋体"/>
          <w:sz w:val="21"/>
          <w:szCs w:val="21"/>
        </w:rPr>
      </w:pPr>
      <w:r>
        <w:rPr>
          <w:rFonts w:hint="eastAsia" w:ascii="宋体" w:hAnsi="宋体" w:cs="宋体"/>
          <w:sz w:val="21"/>
          <w:szCs w:val="21"/>
        </w:rPr>
        <w:t>……</w:t>
      </w:r>
    </w:p>
    <w:p w14:paraId="5A7E6B46">
      <w:pPr>
        <w:ind w:firstLine="420" w:firstLineChars="200"/>
        <w:outlineLvl w:val="3"/>
        <w:rPr>
          <w:rFonts w:ascii="宋体" w:hAnsi="宋体" w:cs="宋体"/>
          <w:sz w:val="21"/>
          <w:szCs w:val="21"/>
        </w:rPr>
      </w:pPr>
      <w:r>
        <w:rPr>
          <w:rFonts w:hint="eastAsia" w:ascii="宋体" w:hAnsi="宋体" w:cs="宋体"/>
          <w:sz w:val="21"/>
          <w:szCs w:val="21"/>
        </w:rPr>
        <w:t>以上企业，不属于大企业的分支机构，不存在控股股东为大企业的情形，也不存在与大企业的负责人为同一人的情形。</w:t>
      </w:r>
    </w:p>
    <w:p w14:paraId="6B513DA6">
      <w:pPr>
        <w:ind w:firstLine="420" w:firstLineChars="200"/>
        <w:jc w:val="left"/>
        <w:outlineLvl w:val="3"/>
        <w:rPr>
          <w:rFonts w:ascii="宋体" w:hAnsi="宋体" w:cs="宋体"/>
          <w:sz w:val="21"/>
          <w:szCs w:val="21"/>
        </w:rPr>
      </w:pPr>
      <w:r>
        <w:rPr>
          <w:rFonts w:hint="eastAsia" w:ascii="宋体" w:hAnsi="宋体" w:cs="宋体"/>
          <w:sz w:val="21"/>
          <w:szCs w:val="21"/>
        </w:rPr>
        <w:t>本企业对上述声明内容的真实性负责。如有虚假，将依法承担相应责任。</w:t>
      </w:r>
    </w:p>
    <w:p w14:paraId="10B9C5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hint="eastAsia" w:asciiTheme="minorEastAsia" w:hAnsiTheme="minorEastAsia" w:eastAsiaTheme="minorEastAsia" w:cstheme="minorEastAsia"/>
          <w:kern w:val="2"/>
          <w:sz w:val="21"/>
          <w:szCs w:val="21"/>
          <w:lang w:val="en-US" w:eastAsia="zh-CN" w:bidi="ar-SA"/>
        </w:rPr>
      </w:pPr>
      <w:r>
        <w:rPr>
          <w:rFonts w:hint="eastAsia" w:ascii="宋体" w:hAnsi="宋体" w:cs="宋体"/>
          <w:sz w:val="21"/>
          <w:szCs w:val="21"/>
        </w:rPr>
        <w:t>本投标人已知悉《政府采购促进中小企业发展管理办法》（财库〔2020〕 46 号）、《中小企业划型标准规定》（工信部联企〔2011〕 300 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号）第二十条规定，投标人按照本办法规定提供声明函内容不实的，属于提供虚假材料谋取中标，依照《政府采购法》等政府采购有关法律法规规定追究相应责任。</w:t>
      </w:r>
    </w:p>
    <w:p w14:paraId="7E2A0A65">
      <w:pPr>
        <w:ind w:firstLine="420" w:firstLineChars="200"/>
      </w:pPr>
    </w:p>
    <w:p w14:paraId="622F390F">
      <w:pPr>
        <w:jc w:val="center"/>
        <w:outlineLvl w:val="3"/>
        <w:rPr>
          <w:b/>
          <w:sz w:val="24"/>
        </w:rPr>
      </w:pPr>
      <w:r>
        <w:rPr>
          <w:rFonts w:hint="eastAsia"/>
          <w:b/>
          <w:sz w:val="24"/>
        </w:rPr>
        <w:t>2、残疾人福利性单位声明函</w:t>
      </w:r>
      <w:r>
        <w:rPr>
          <w:rFonts w:hint="eastAsia"/>
          <w:b/>
          <w:sz w:val="24"/>
          <w:lang w:eastAsia="zh-CN"/>
        </w:rPr>
        <w:t>（</w:t>
      </w:r>
      <w:r>
        <w:rPr>
          <w:rFonts w:hint="eastAsia"/>
          <w:b/>
          <w:sz w:val="24"/>
          <w:lang w:val="en-US" w:eastAsia="zh-CN"/>
        </w:rPr>
        <w:t>服务</w:t>
      </w:r>
      <w:r>
        <w:rPr>
          <w:rFonts w:hint="eastAsia"/>
          <w:b/>
          <w:sz w:val="24"/>
        </w:rPr>
        <w:t>类）</w:t>
      </w:r>
    </w:p>
    <w:p w14:paraId="2BBDE5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单位的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项目采购活动由本单位提供服务。</w:t>
      </w:r>
    </w:p>
    <w:p w14:paraId="13B8046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本单位对上述声明的真实性负责。如有虚假，将依法承担相应责任。</w:t>
      </w:r>
    </w:p>
    <w:p w14:paraId="67D287C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本投标人已知悉《财政部民政部中国残疾人联合会关于促进残疾人就业政府采购政策的通知》（财库〔2017〕141号）的规定，承诺提供的声明函内容是真实的，如提供声明函内容不实，则依法追究相关法律责任。</w:t>
      </w:r>
    </w:p>
    <w:p w14:paraId="599E2783">
      <w:pPr>
        <w:ind w:firstLine="420" w:firstLineChars="200"/>
        <w:rPr>
          <w:rFonts w:ascii="宋体" w:hAnsi="宋体"/>
          <w:szCs w:val="21"/>
        </w:rPr>
      </w:pPr>
    </w:p>
    <w:p w14:paraId="7E4E15E7">
      <w:pPr>
        <w:ind w:firstLine="420" w:firstLineChars="200"/>
        <w:rPr>
          <w:rFonts w:ascii="宋体" w:hAnsi="宋体"/>
          <w:szCs w:val="21"/>
        </w:rPr>
      </w:pPr>
    </w:p>
    <w:p w14:paraId="21C66772">
      <w:pPr>
        <w:ind w:firstLine="420" w:firstLineChars="200"/>
        <w:rPr>
          <w:rFonts w:ascii="宋体" w:hAnsi="宋体"/>
          <w:szCs w:val="21"/>
        </w:rPr>
      </w:pPr>
    </w:p>
    <w:p w14:paraId="669D8528">
      <w:pPr>
        <w:jc w:val="center"/>
        <w:outlineLvl w:val="3"/>
        <w:rPr>
          <w:b/>
          <w:sz w:val="24"/>
        </w:rPr>
      </w:pPr>
      <w:r>
        <w:rPr>
          <w:rFonts w:hint="eastAsia"/>
          <w:b/>
          <w:sz w:val="24"/>
        </w:rPr>
        <w:t>3、监狱企业声明函【服务类，监狱企业如需享受优惠政策，还须另行提供省级以上监狱管理局、戒毒管理局（含新疆生产建设兵团）出具的监狱企业证明文件】</w:t>
      </w:r>
    </w:p>
    <w:p w14:paraId="60AD5FAA">
      <w:pPr>
        <w:ind w:firstLine="420" w:firstLineChars="200"/>
        <w:rPr>
          <w:rFonts w:ascii="宋体" w:hAnsi="宋体"/>
          <w:szCs w:val="21"/>
        </w:rPr>
      </w:pPr>
      <w:r>
        <w:rPr>
          <w:rFonts w:hint="eastAsia" w:ascii="宋体" w:hAnsi="宋体"/>
          <w:szCs w:val="21"/>
        </w:rPr>
        <w:t>本投标人郑重声明，根据《财政部司法部关于政府采购支持监狱企业发展有关问题的通知》（财库〔</w:t>
      </w:r>
      <w:r>
        <w:rPr>
          <w:rFonts w:ascii="宋体" w:hAnsi="宋体"/>
          <w:szCs w:val="21"/>
        </w:rPr>
        <w:t>2014</w:t>
      </w:r>
      <w:r>
        <w:rPr>
          <w:rFonts w:hint="eastAsia" w:ascii="宋体" w:hAnsi="宋体"/>
          <w:szCs w:val="21"/>
        </w:rPr>
        <w:t>〕</w:t>
      </w:r>
      <w:r>
        <w:rPr>
          <w:rFonts w:ascii="宋体" w:hAnsi="宋体"/>
          <w:szCs w:val="21"/>
        </w:rPr>
        <w:t>68</w:t>
      </w:r>
      <w:r>
        <w:rPr>
          <w:rFonts w:hint="eastAsia" w:ascii="宋体" w:hAnsi="宋体"/>
          <w:szCs w:val="21"/>
        </w:rPr>
        <w:t>号）的规定，本投标人</w:t>
      </w:r>
      <w:r>
        <w:rPr>
          <w:rFonts w:ascii="宋体" w:hAnsi="宋体" w:cstheme="minorBidi"/>
          <w:szCs w:val="21"/>
        </w:rPr>
        <w:t>参加</w:t>
      </w:r>
      <w:r>
        <w:rPr>
          <w:rFonts w:ascii="宋体" w:hAnsi="宋体"/>
          <w:b/>
          <w:bCs/>
          <w:szCs w:val="21"/>
          <w:u w:val="single"/>
        </w:rPr>
        <w:t>（</w:t>
      </w:r>
      <w:r>
        <w:rPr>
          <w:rFonts w:hint="eastAsia" w:ascii="宋体" w:hAnsi="宋体"/>
          <w:b/>
          <w:bCs/>
          <w:szCs w:val="21"/>
          <w:u w:val="single"/>
        </w:rPr>
        <w:t>采购人</w:t>
      </w:r>
      <w:r>
        <w:rPr>
          <w:rFonts w:ascii="宋体" w:hAnsi="宋体"/>
          <w:b/>
          <w:bCs/>
          <w:szCs w:val="21"/>
          <w:u w:val="single"/>
        </w:rPr>
        <w:t>名称）</w:t>
      </w:r>
      <w:r>
        <w:rPr>
          <w:rFonts w:ascii="宋体" w:hAnsi="宋体"/>
          <w:szCs w:val="21"/>
        </w:rPr>
        <w:t>的</w:t>
      </w:r>
      <w:r>
        <w:rPr>
          <w:rFonts w:ascii="宋体" w:hAnsi="宋体"/>
          <w:b/>
          <w:bCs/>
          <w:szCs w:val="21"/>
          <w:u w:val="single"/>
        </w:rPr>
        <w:t>（项目名称）</w:t>
      </w:r>
      <w:r>
        <w:rPr>
          <w:rFonts w:ascii="宋体" w:hAnsi="宋体"/>
          <w:szCs w:val="21"/>
        </w:rPr>
        <w:t>采购活动，</w:t>
      </w:r>
      <w:r>
        <w:rPr>
          <w:rFonts w:hint="eastAsia" w:ascii="宋体" w:hAnsi="宋体"/>
          <w:szCs w:val="21"/>
        </w:rPr>
        <w:t>服务</w:t>
      </w:r>
      <w:r>
        <w:rPr>
          <w:rFonts w:ascii="宋体" w:hAnsi="宋体"/>
          <w:szCs w:val="21"/>
        </w:rPr>
        <w:t>全部由符合政策要求的</w:t>
      </w:r>
      <w:r>
        <w:rPr>
          <w:rFonts w:hint="eastAsia" w:ascii="宋体" w:hAnsi="宋体"/>
          <w:szCs w:val="21"/>
        </w:rPr>
        <w:t>监狱企业承接</w:t>
      </w:r>
      <w:r>
        <w:rPr>
          <w:rFonts w:ascii="宋体" w:hAnsi="宋体"/>
          <w:szCs w:val="21"/>
        </w:rPr>
        <w:t>。相关</w:t>
      </w:r>
      <w:r>
        <w:rPr>
          <w:rFonts w:hint="eastAsia" w:ascii="宋体" w:hAnsi="宋体"/>
          <w:szCs w:val="21"/>
        </w:rPr>
        <w:t>监狱企业</w:t>
      </w:r>
      <w:r>
        <w:rPr>
          <w:rFonts w:ascii="宋体" w:hAnsi="宋体"/>
          <w:szCs w:val="21"/>
        </w:rPr>
        <w:t>的具体情况如下：</w:t>
      </w:r>
    </w:p>
    <w:p w14:paraId="1CB115C0">
      <w:pPr>
        <w:ind w:firstLine="420" w:firstLineChars="200"/>
        <w:rPr>
          <w:rFonts w:ascii="宋体" w:hAnsi="宋体"/>
          <w:szCs w:val="21"/>
        </w:rPr>
      </w:pPr>
      <w:r>
        <w:rPr>
          <w:rFonts w:ascii="宋体" w:hAnsi="宋体"/>
          <w:szCs w:val="21"/>
        </w:rPr>
        <w:t>1.</w:t>
      </w:r>
      <w:r>
        <w:rPr>
          <w:rFonts w:ascii="宋体" w:hAnsi="宋体"/>
          <w:b/>
          <w:bCs/>
          <w:szCs w:val="21"/>
          <w:u w:val="single"/>
        </w:rPr>
        <w:t xml:space="preserve"> </w:t>
      </w:r>
      <w:r>
        <w:rPr>
          <w:rFonts w:ascii="宋体" w:hAnsi="宋体"/>
          <w:b/>
          <w:bCs/>
          <w:i/>
          <w:iCs/>
          <w:szCs w:val="21"/>
          <w:u w:val="single"/>
        </w:rPr>
        <w:t>（标的名称</w:t>
      </w:r>
      <w:r>
        <w:rPr>
          <w:rFonts w:ascii="宋体" w:hAnsi="宋体"/>
          <w:b/>
          <w:bCs/>
          <w:szCs w:val="21"/>
          <w:u w:val="single"/>
        </w:rPr>
        <w:t>）</w:t>
      </w:r>
      <w:r>
        <w:rPr>
          <w:rFonts w:ascii="宋体" w:hAnsi="宋体"/>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ascii="宋体" w:hAnsi="宋体"/>
          <w:szCs w:val="21"/>
        </w:rPr>
        <w:t>；</w:t>
      </w:r>
    </w:p>
    <w:p w14:paraId="031FF78A">
      <w:pPr>
        <w:ind w:firstLine="420" w:firstLineChars="200"/>
        <w:rPr>
          <w:rFonts w:ascii="宋体" w:hAnsi="宋体"/>
          <w:szCs w:val="21"/>
        </w:rPr>
      </w:pPr>
      <w:r>
        <w:rPr>
          <w:rFonts w:ascii="宋体" w:hAnsi="宋体"/>
          <w:szCs w:val="21"/>
        </w:rPr>
        <w:t>2.</w:t>
      </w:r>
      <w:r>
        <w:rPr>
          <w:rFonts w:ascii="宋体" w:hAnsi="宋体"/>
          <w:b/>
          <w:bCs/>
          <w:szCs w:val="21"/>
          <w:u w:val="single"/>
        </w:rPr>
        <w:t xml:space="preserve"> </w:t>
      </w:r>
      <w:r>
        <w:rPr>
          <w:rFonts w:ascii="宋体" w:hAnsi="宋体"/>
          <w:b/>
          <w:bCs/>
          <w:i/>
          <w:iCs/>
          <w:szCs w:val="21"/>
          <w:u w:val="single"/>
        </w:rPr>
        <w:t>（标的名称）</w:t>
      </w:r>
      <w:r>
        <w:rPr>
          <w:rFonts w:ascii="宋体" w:hAnsi="宋体"/>
          <w:i/>
          <w:iCs/>
          <w:szCs w:val="21"/>
        </w:rPr>
        <w:t xml:space="preserve"> </w:t>
      </w:r>
      <w:r>
        <w:rPr>
          <w:rFonts w:hint="eastAsia" w:ascii="宋体" w:hAnsi="宋体"/>
          <w:szCs w:val="21"/>
        </w:rPr>
        <w:t>，承接单位</w:t>
      </w:r>
      <w:r>
        <w:rPr>
          <w:rFonts w:ascii="宋体" w:hAnsi="宋体"/>
          <w:szCs w:val="21"/>
        </w:rPr>
        <w:t>为</w:t>
      </w:r>
      <w:r>
        <w:rPr>
          <w:rFonts w:ascii="宋体" w:hAnsi="宋体"/>
          <w:b/>
          <w:bCs/>
          <w:i/>
          <w:iCs/>
          <w:szCs w:val="21"/>
          <w:u w:val="single"/>
        </w:rPr>
        <w:t>（</w:t>
      </w:r>
      <w:r>
        <w:rPr>
          <w:rFonts w:hint="eastAsia" w:ascii="宋体" w:hAnsi="宋体"/>
          <w:b/>
          <w:bCs/>
          <w:i/>
          <w:iCs/>
          <w:szCs w:val="21"/>
          <w:u w:val="single"/>
        </w:rPr>
        <w:t>企业</w:t>
      </w:r>
      <w:r>
        <w:rPr>
          <w:rFonts w:ascii="宋体" w:hAnsi="宋体"/>
          <w:b/>
          <w:bCs/>
          <w:i/>
          <w:iCs/>
          <w:szCs w:val="21"/>
          <w:u w:val="single"/>
        </w:rPr>
        <w:t>名称）</w:t>
      </w:r>
      <w:r>
        <w:rPr>
          <w:rFonts w:ascii="宋体" w:hAnsi="宋体"/>
          <w:szCs w:val="21"/>
        </w:rPr>
        <w:t>，属于</w:t>
      </w:r>
      <w:r>
        <w:rPr>
          <w:rFonts w:hint="eastAsia" w:ascii="宋体" w:hAnsi="宋体"/>
          <w:b/>
          <w:bCs/>
          <w:i/>
          <w:iCs/>
          <w:szCs w:val="21"/>
          <w:u w:val="single"/>
        </w:rPr>
        <w:t>监狱企业</w:t>
      </w:r>
      <w:r>
        <w:rPr>
          <w:rFonts w:hint="eastAsia" w:ascii="宋体" w:hAnsi="宋体"/>
          <w:szCs w:val="21"/>
        </w:rPr>
        <w:t>。</w:t>
      </w:r>
    </w:p>
    <w:p w14:paraId="685E0E0E">
      <w:pPr>
        <w:ind w:firstLine="420" w:firstLineChars="200"/>
        <w:outlineLvl w:val="3"/>
        <w:rPr>
          <w:rFonts w:ascii="宋体" w:hAnsi="宋体"/>
          <w:szCs w:val="21"/>
        </w:rPr>
      </w:pPr>
      <w:r>
        <w:rPr>
          <w:rFonts w:ascii="宋体" w:hAnsi="宋体"/>
          <w:szCs w:val="21"/>
        </w:rPr>
        <w:t xml:space="preserve">…… </w:t>
      </w:r>
    </w:p>
    <w:p w14:paraId="67FCEF13">
      <w:pPr>
        <w:ind w:firstLine="420" w:firstLineChars="200"/>
        <w:rPr>
          <w:rFonts w:ascii="宋体" w:hAnsi="宋体"/>
          <w:szCs w:val="21"/>
        </w:rPr>
      </w:pPr>
      <w:r>
        <w:rPr>
          <w:rFonts w:ascii="宋体" w:hAnsi="宋体" w:cstheme="minorBidi"/>
          <w:szCs w:val="21"/>
        </w:rPr>
        <w:t>本</w:t>
      </w:r>
      <w:r>
        <w:rPr>
          <w:rFonts w:hint="eastAsia" w:ascii="宋体" w:hAnsi="宋体" w:cstheme="minorBidi"/>
          <w:szCs w:val="21"/>
        </w:rPr>
        <w:t>投标人</w:t>
      </w:r>
      <w:r>
        <w:rPr>
          <w:rFonts w:ascii="宋体" w:hAnsi="宋体"/>
          <w:szCs w:val="21"/>
        </w:rPr>
        <w:t>对上述声明内容的真实性负责。如有虚假，将依法承担相应责任。</w:t>
      </w:r>
    </w:p>
    <w:p w14:paraId="3228ADD9">
      <w:pPr>
        <w:ind w:firstLine="420" w:firstLineChars="200"/>
        <w:rPr>
          <w:rFonts w:ascii="宋体" w:hAnsi="宋体"/>
          <w:szCs w:val="21"/>
        </w:rPr>
      </w:pPr>
      <w:r>
        <w:rPr>
          <w:rFonts w:hint="eastAsia" w:ascii="宋体" w:hAnsi="宋体"/>
          <w:szCs w:val="21"/>
        </w:rPr>
        <w:t>附：省级以上监狱管理局、戒毒管理局（含新疆生产建设兵团）出具的监狱企业证明文件。</w:t>
      </w:r>
    </w:p>
    <w:p w14:paraId="085D4F53">
      <w:pPr>
        <w:ind w:left="723" w:hanging="723" w:hangingChars="300"/>
        <w:rPr>
          <w:b/>
          <w:sz w:val="24"/>
        </w:rPr>
      </w:pPr>
    </w:p>
    <w:p w14:paraId="6721CD9F">
      <w:pPr>
        <w:ind w:left="723" w:hanging="723" w:hangingChars="300"/>
        <w:rPr>
          <w:b/>
          <w:sz w:val="24"/>
        </w:rPr>
      </w:pPr>
    </w:p>
    <w:p w14:paraId="10B63468">
      <w:pPr>
        <w:rPr>
          <w:rFonts w:hint="eastAsia" w:ascii="黑体" w:eastAsia="黑体"/>
          <w:b w:val="0"/>
          <w:sz w:val="24"/>
          <w:szCs w:val="24"/>
        </w:rPr>
      </w:pPr>
      <w:r>
        <w:rPr>
          <w:rFonts w:hint="eastAsia" w:ascii="黑体" w:eastAsia="黑体"/>
          <w:b w:val="0"/>
          <w:sz w:val="24"/>
          <w:szCs w:val="24"/>
        </w:rPr>
        <w:br w:type="page"/>
      </w:r>
    </w:p>
    <w:p w14:paraId="5A168AB8">
      <w:pPr>
        <w:pStyle w:val="5"/>
        <w:jc w:val="center"/>
        <w:rPr>
          <w:rFonts w:ascii="黑体" w:eastAsia="黑体"/>
          <w:b w:val="0"/>
          <w:sz w:val="24"/>
          <w:szCs w:val="24"/>
        </w:rPr>
      </w:pPr>
      <w:r>
        <w:rPr>
          <w:rFonts w:hint="eastAsia" w:ascii="黑体" w:eastAsia="黑体"/>
          <w:b w:val="0"/>
          <w:sz w:val="24"/>
          <w:szCs w:val="24"/>
        </w:rPr>
        <w:t>四、项目详细报价</w:t>
      </w:r>
    </w:p>
    <w:p w14:paraId="755CC7E6">
      <w:pPr>
        <w:tabs>
          <w:tab w:val="left" w:pos="720"/>
        </w:tabs>
        <w:ind w:firstLine="3132" w:firstLineChars="1300"/>
        <w:rPr>
          <w:rFonts w:hint="eastAsia"/>
          <w:b/>
          <w:sz w:val="24"/>
        </w:rPr>
      </w:pPr>
      <w:r>
        <w:rPr>
          <w:rFonts w:hint="eastAsia"/>
          <w:b/>
          <w:sz w:val="24"/>
        </w:rPr>
        <w:t>（一）分项报价表</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
        <w:gridCol w:w="1808"/>
        <w:gridCol w:w="1071"/>
        <w:gridCol w:w="2586"/>
        <w:gridCol w:w="2586"/>
      </w:tblGrid>
      <w:tr w14:paraId="6A019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trPr>
        <w:tc>
          <w:tcPr>
            <w:tcW w:w="476" w:type="dxa"/>
            <w:vAlign w:val="center"/>
          </w:tcPr>
          <w:p w14:paraId="0797B63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highlight w:val="none"/>
                <w:vertAlign w:val="baseline"/>
                <w:lang w:eastAsia="zh-CN"/>
              </w:rPr>
            </w:pPr>
            <w:r>
              <w:rPr>
                <w:rFonts w:hint="eastAsia" w:ascii="宋体" w:hAnsi="宋体" w:cs="宋体"/>
                <w:b/>
                <w:bCs/>
                <w:highlight w:val="none"/>
                <w:vertAlign w:val="baseline"/>
                <w:lang w:eastAsia="zh-CN"/>
              </w:rPr>
              <w:t>序号</w:t>
            </w:r>
          </w:p>
        </w:tc>
        <w:tc>
          <w:tcPr>
            <w:tcW w:w="1808" w:type="dxa"/>
            <w:vAlign w:val="center"/>
          </w:tcPr>
          <w:p w14:paraId="26666256">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b/>
                <w:bCs/>
                <w:highlight w:val="none"/>
                <w:vertAlign w:val="baseline"/>
                <w:lang w:val="en-US" w:eastAsia="zh-CN"/>
              </w:rPr>
            </w:pPr>
            <w:r>
              <w:rPr>
                <w:rFonts w:hint="eastAsia" w:ascii="宋体" w:hAnsi="宋体" w:cs="宋体"/>
                <w:b/>
                <w:bCs/>
                <w:highlight w:val="none"/>
                <w:lang w:val="en-US" w:eastAsia="zh-CN"/>
              </w:rPr>
              <w:t>服务内容</w:t>
            </w:r>
          </w:p>
        </w:tc>
        <w:tc>
          <w:tcPr>
            <w:tcW w:w="1071" w:type="dxa"/>
            <w:vAlign w:val="center"/>
          </w:tcPr>
          <w:p w14:paraId="5E850E72">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b/>
                <w:bCs/>
                <w:highlight w:val="none"/>
                <w:vertAlign w:val="baseline"/>
                <w:lang w:val="en-US" w:eastAsia="zh-CN"/>
              </w:rPr>
            </w:pPr>
            <w:r>
              <w:rPr>
                <w:rFonts w:hint="eastAsia" w:ascii="宋体" w:hAnsi="宋体" w:cs="宋体"/>
                <w:b/>
                <w:bCs/>
                <w:highlight w:val="none"/>
                <w:vertAlign w:val="baseline"/>
                <w:lang w:val="en-US" w:eastAsia="zh-CN"/>
              </w:rPr>
              <w:t>人数（人）</w:t>
            </w:r>
          </w:p>
        </w:tc>
        <w:tc>
          <w:tcPr>
            <w:tcW w:w="2586" w:type="dxa"/>
            <w:vAlign w:val="center"/>
          </w:tcPr>
          <w:p w14:paraId="10529EC2">
            <w:pPr>
              <w:keepNext w:val="0"/>
              <w:keepLines w:val="0"/>
              <w:pageBreakBefore w:val="0"/>
              <w:kinsoku/>
              <w:wordWrap/>
              <w:overflowPunct/>
              <w:topLinePunct w:val="0"/>
              <w:autoSpaceDE/>
              <w:autoSpaceDN/>
              <w:bidi w:val="0"/>
              <w:adjustRightInd/>
              <w:snapToGrid/>
              <w:spacing w:line="240" w:lineRule="auto"/>
              <w:jc w:val="center"/>
              <w:rPr>
                <w:rFonts w:hint="eastAsia" w:ascii="宋体" w:hAnsi="宋体" w:eastAsia="宋体" w:cs="宋体"/>
                <w:b/>
                <w:bCs/>
                <w:highlight w:val="none"/>
                <w:vertAlign w:val="baseline"/>
                <w:lang w:eastAsia="zh-CN"/>
              </w:rPr>
            </w:pPr>
            <w:r>
              <w:rPr>
                <w:rFonts w:hint="eastAsia" w:ascii="宋体" w:hAnsi="宋体" w:cs="宋体"/>
                <w:b/>
                <w:bCs/>
                <w:highlight w:val="none"/>
                <w:vertAlign w:val="baseline"/>
                <w:lang w:eastAsia="zh-CN"/>
              </w:rPr>
              <w:t>投标人</w:t>
            </w:r>
            <w:r>
              <w:rPr>
                <w:rFonts w:hint="eastAsia" w:ascii="宋体" w:hAnsi="宋体" w:cs="宋体"/>
                <w:b/>
                <w:bCs/>
                <w:highlight w:val="none"/>
                <w:vertAlign w:val="baseline"/>
                <w:lang w:val="en-US" w:eastAsia="zh-CN"/>
              </w:rPr>
              <w:t>总</w:t>
            </w:r>
            <w:r>
              <w:rPr>
                <w:rFonts w:hint="eastAsia" w:ascii="宋体" w:hAnsi="宋体" w:cs="宋体"/>
                <w:b/>
                <w:bCs/>
                <w:highlight w:val="none"/>
                <w:vertAlign w:val="baseline"/>
                <w:lang w:eastAsia="zh-CN"/>
              </w:rPr>
              <w:t>价（</w:t>
            </w:r>
            <w:r>
              <w:rPr>
                <w:rFonts w:hint="eastAsia" w:ascii="宋体" w:hAnsi="宋体" w:cs="宋体"/>
                <w:b/>
                <w:bCs/>
                <w:highlight w:val="none"/>
                <w:vertAlign w:val="baseline"/>
                <w:lang w:val="en-US" w:eastAsia="zh-CN"/>
              </w:rPr>
              <w:t>元</w:t>
            </w:r>
            <w:r>
              <w:rPr>
                <w:rFonts w:hint="eastAsia" w:ascii="宋体" w:hAnsi="宋体" w:cs="宋体"/>
                <w:b/>
                <w:bCs/>
                <w:highlight w:val="none"/>
                <w:vertAlign w:val="baseline"/>
                <w:lang w:eastAsia="zh-CN"/>
              </w:rPr>
              <w:t>）</w:t>
            </w:r>
          </w:p>
        </w:tc>
        <w:tc>
          <w:tcPr>
            <w:tcW w:w="2586" w:type="dxa"/>
            <w:vAlign w:val="center"/>
          </w:tcPr>
          <w:p w14:paraId="279AD99C">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b/>
                <w:bCs/>
                <w:highlight w:val="none"/>
                <w:vertAlign w:val="baseline"/>
                <w:lang w:val="en-US" w:eastAsia="zh-CN"/>
              </w:rPr>
            </w:pPr>
            <w:r>
              <w:rPr>
                <w:rFonts w:hint="eastAsia" w:ascii="宋体" w:hAnsi="宋体" w:cs="宋体"/>
                <w:b/>
                <w:bCs/>
                <w:highlight w:val="none"/>
                <w:vertAlign w:val="baseline"/>
                <w:lang w:val="en-US" w:eastAsia="zh-CN"/>
              </w:rPr>
              <w:t>预算金额（元）</w:t>
            </w:r>
          </w:p>
        </w:tc>
      </w:tr>
      <w:tr w14:paraId="1D9C4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476" w:type="dxa"/>
            <w:vAlign w:val="center"/>
          </w:tcPr>
          <w:p w14:paraId="4EC9A318">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eastAsia="宋体" w:cs="宋体"/>
                <w:highlight w:val="none"/>
                <w:vertAlign w:val="baseline"/>
                <w:lang w:val="en-US" w:eastAsia="zh-CN"/>
              </w:rPr>
            </w:pPr>
            <w:r>
              <w:rPr>
                <w:rFonts w:hint="eastAsia" w:ascii="宋体" w:hAnsi="宋体" w:cs="宋体"/>
                <w:highlight w:val="none"/>
                <w:vertAlign w:val="baseline"/>
                <w:lang w:val="en-US" w:eastAsia="zh-CN"/>
              </w:rPr>
              <w:t>1</w:t>
            </w:r>
          </w:p>
        </w:tc>
        <w:tc>
          <w:tcPr>
            <w:tcW w:w="1808" w:type="dxa"/>
            <w:vAlign w:val="center"/>
          </w:tcPr>
          <w:p w14:paraId="07FC7D05">
            <w:pPr>
              <w:keepNext w:val="0"/>
              <w:keepLines w:val="0"/>
              <w:pageBreakBefore w:val="0"/>
              <w:widowControl/>
              <w:kinsoku/>
              <w:wordWrap/>
              <w:overflowPunct/>
              <w:topLinePunct w:val="0"/>
              <w:autoSpaceDE/>
              <w:autoSpaceDN/>
              <w:bidi w:val="0"/>
              <w:adjustRightInd/>
              <w:snapToGrid/>
              <w:spacing w:line="240" w:lineRule="auto"/>
              <w:jc w:val="left"/>
              <w:textAlignment w:val="center"/>
              <w:rPr>
                <w:rFonts w:hint="eastAsia" w:ascii="宋体" w:hAnsi="宋体" w:eastAsia="宋体" w:cs="宋体"/>
                <w:highlight w:val="none"/>
                <w:vertAlign w:val="baseline"/>
                <w:lang w:eastAsia="zh-CN"/>
              </w:rPr>
            </w:pPr>
            <w:r>
              <w:rPr>
                <w:rFonts w:hint="eastAsia" w:ascii="宋体" w:hAnsi="宋体" w:cs="宋体"/>
                <w:b/>
                <w:color w:val="auto"/>
                <w:szCs w:val="21"/>
                <w:highlight w:val="none"/>
                <w:lang w:eastAsia="zh-CN"/>
              </w:rPr>
              <w:t>基本险种服务</w:t>
            </w:r>
          </w:p>
        </w:tc>
        <w:tc>
          <w:tcPr>
            <w:tcW w:w="1071" w:type="dxa"/>
            <w:vMerge w:val="restart"/>
            <w:vAlign w:val="center"/>
          </w:tcPr>
          <w:p w14:paraId="6ADEDFF5">
            <w:pPr>
              <w:bidi w:val="0"/>
              <w:jc w:val="center"/>
              <w:rPr>
                <w:rFonts w:hint="default"/>
                <w:lang w:val="en-US" w:eastAsia="zh-CN"/>
              </w:rPr>
            </w:pPr>
            <w:r>
              <w:rPr>
                <w:rFonts w:hint="eastAsia"/>
                <w:lang w:val="en-US" w:eastAsia="zh-CN"/>
              </w:rPr>
              <w:t>1068</w:t>
            </w:r>
          </w:p>
        </w:tc>
        <w:tc>
          <w:tcPr>
            <w:tcW w:w="2586" w:type="dxa"/>
          </w:tcPr>
          <w:p w14:paraId="0042AA18">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yellow"/>
                <w:vertAlign w:val="baseline"/>
                <w:lang w:eastAsia="zh-CN"/>
              </w:rPr>
            </w:pPr>
          </w:p>
        </w:tc>
        <w:tc>
          <w:tcPr>
            <w:tcW w:w="2586" w:type="dxa"/>
            <w:vMerge w:val="restart"/>
          </w:tcPr>
          <w:p w14:paraId="4341E7D1">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yellow"/>
                <w:vertAlign w:val="baseline"/>
                <w:lang w:eastAsia="zh-CN"/>
              </w:rPr>
            </w:pPr>
          </w:p>
          <w:p w14:paraId="75B9E2C3">
            <w:pPr>
              <w:bidi w:val="0"/>
              <w:rPr>
                <w:rFonts w:hint="eastAsia" w:ascii="Times New Roman" w:hAnsi="Times New Roman" w:eastAsia="宋体" w:cs="Times New Roman"/>
                <w:kern w:val="2"/>
                <w:sz w:val="21"/>
                <w:szCs w:val="24"/>
                <w:lang w:val="en-US" w:eastAsia="zh-CN" w:bidi="ar-SA"/>
              </w:rPr>
            </w:pPr>
          </w:p>
          <w:p w14:paraId="21D9FBC1">
            <w:pPr>
              <w:tabs>
                <w:tab w:val="left" w:pos="610"/>
              </w:tabs>
              <w:bidi w:val="0"/>
              <w:jc w:val="left"/>
              <w:rPr>
                <w:rFonts w:hint="default"/>
                <w:lang w:val="en-US" w:eastAsia="zh-CN"/>
              </w:rPr>
            </w:pPr>
            <w:r>
              <w:rPr>
                <w:rFonts w:hint="eastAsia"/>
                <w:lang w:val="en-US" w:eastAsia="zh-CN"/>
              </w:rPr>
              <w:tab/>
            </w:r>
            <w:r>
              <w:rPr>
                <w:rFonts w:hint="eastAsia"/>
                <w:color w:val="FF0000"/>
                <w:lang w:val="en-US" w:eastAsia="zh-CN"/>
              </w:rPr>
              <w:t>427200.00</w:t>
            </w:r>
          </w:p>
        </w:tc>
      </w:tr>
      <w:tr w14:paraId="7199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476" w:type="dxa"/>
            <w:vAlign w:val="center"/>
          </w:tcPr>
          <w:p w14:paraId="37F940B1">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highlight w:val="none"/>
                <w:vertAlign w:val="baseline"/>
                <w:lang w:val="en-US" w:eastAsia="zh-CN"/>
              </w:rPr>
            </w:pPr>
            <w:r>
              <w:rPr>
                <w:rFonts w:hint="eastAsia" w:ascii="宋体" w:hAnsi="宋体" w:cs="宋体"/>
                <w:highlight w:val="none"/>
                <w:vertAlign w:val="baseline"/>
                <w:lang w:val="en-US" w:eastAsia="zh-CN"/>
              </w:rPr>
              <w:t>2</w:t>
            </w:r>
          </w:p>
        </w:tc>
        <w:tc>
          <w:tcPr>
            <w:tcW w:w="1808" w:type="dxa"/>
            <w:vAlign w:val="center"/>
          </w:tcPr>
          <w:p w14:paraId="31359735">
            <w:pPr>
              <w:keepNext w:val="0"/>
              <w:keepLines w:val="0"/>
              <w:pageBreakBefore w:val="0"/>
              <w:widowControl/>
              <w:kinsoku/>
              <w:wordWrap/>
              <w:overflowPunct/>
              <w:topLinePunct w:val="0"/>
              <w:autoSpaceDE/>
              <w:autoSpaceDN/>
              <w:bidi w:val="0"/>
              <w:adjustRightInd/>
              <w:snapToGrid/>
              <w:spacing w:line="240" w:lineRule="auto"/>
              <w:textAlignment w:val="center"/>
              <w:rPr>
                <w:rFonts w:hint="eastAsia" w:ascii="宋体" w:hAnsi="宋体" w:eastAsia="宋体" w:cs="宋体"/>
                <w:szCs w:val="21"/>
                <w:highlight w:val="none"/>
                <w:lang w:eastAsia="zh-CN"/>
              </w:rPr>
            </w:pPr>
            <w:r>
              <w:rPr>
                <w:rFonts w:hint="eastAsia" w:ascii="宋体" w:hAnsi="宋体" w:cs="宋体"/>
                <w:b/>
                <w:bCs/>
                <w:highlight w:val="none"/>
                <w:lang w:val="en-US" w:eastAsia="zh-CN"/>
              </w:rPr>
              <w:t>拓展保障理赔标准</w:t>
            </w:r>
          </w:p>
        </w:tc>
        <w:tc>
          <w:tcPr>
            <w:tcW w:w="1071" w:type="dxa"/>
            <w:vMerge w:val="continue"/>
          </w:tcPr>
          <w:p w14:paraId="6B13A0D6">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val="en-US" w:eastAsia="zh-CN"/>
              </w:rPr>
            </w:pPr>
          </w:p>
        </w:tc>
        <w:tc>
          <w:tcPr>
            <w:tcW w:w="2586" w:type="dxa"/>
          </w:tcPr>
          <w:p w14:paraId="58188E00">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yellow"/>
                <w:vertAlign w:val="baseline"/>
                <w:lang w:eastAsia="zh-CN"/>
              </w:rPr>
            </w:pPr>
          </w:p>
        </w:tc>
        <w:tc>
          <w:tcPr>
            <w:tcW w:w="2586" w:type="dxa"/>
            <w:vMerge w:val="continue"/>
          </w:tcPr>
          <w:p w14:paraId="14130182">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yellow"/>
                <w:vertAlign w:val="baseline"/>
                <w:lang w:eastAsia="zh-CN"/>
              </w:rPr>
            </w:pPr>
          </w:p>
        </w:tc>
      </w:tr>
      <w:tr w14:paraId="0765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6" w:type="dxa"/>
            <w:vAlign w:val="center"/>
          </w:tcPr>
          <w:p w14:paraId="283BB63C">
            <w:pPr>
              <w:keepNext w:val="0"/>
              <w:keepLines w:val="0"/>
              <w:pageBreakBefore w:val="0"/>
              <w:kinsoku/>
              <w:wordWrap/>
              <w:overflowPunct/>
              <w:topLinePunct w:val="0"/>
              <w:autoSpaceDE/>
              <w:autoSpaceDN/>
              <w:bidi w:val="0"/>
              <w:adjustRightInd/>
              <w:snapToGrid/>
              <w:spacing w:line="240" w:lineRule="auto"/>
              <w:jc w:val="center"/>
              <w:rPr>
                <w:rFonts w:hint="default" w:ascii="宋体" w:hAnsi="宋体" w:cs="宋体"/>
                <w:highlight w:val="none"/>
                <w:vertAlign w:val="baseline"/>
                <w:lang w:val="en-US" w:eastAsia="zh-CN"/>
              </w:rPr>
            </w:pPr>
            <w:r>
              <w:rPr>
                <w:rFonts w:hint="eastAsia" w:ascii="宋体" w:hAnsi="宋体" w:cs="宋体"/>
                <w:highlight w:val="none"/>
                <w:vertAlign w:val="baseline"/>
                <w:lang w:val="en-US" w:eastAsia="zh-CN"/>
              </w:rPr>
              <w:t>3</w:t>
            </w:r>
          </w:p>
        </w:tc>
        <w:tc>
          <w:tcPr>
            <w:tcW w:w="1808" w:type="dxa"/>
            <w:vAlign w:val="center"/>
          </w:tcPr>
          <w:p w14:paraId="36D2E633">
            <w:pPr>
              <w:keepNext w:val="0"/>
              <w:keepLines w:val="0"/>
              <w:pageBreakBefore w:val="0"/>
              <w:widowControl/>
              <w:kinsoku/>
              <w:wordWrap/>
              <w:overflowPunct/>
              <w:topLinePunct w:val="0"/>
              <w:autoSpaceDE/>
              <w:autoSpaceDN/>
              <w:bidi w:val="0"/>
              <w:adjustRightInd/>
              <w:snapToGrid/>
              <w:spacing w:line="240" w:lineRule="auto"/>
              <w:textAlignment w:val="center"/>
              <w:rPr>
                <w:rFonts w:hint="default" w:ascii="宋体" w:hAnsi="宋体" w:eastAsia="宋体" w:cs="宋体"/>
                <w:szCs w:val="21"/>
                <w:highlight w:val="none"/>
                <w:lang w:val="en-US" w:eastAsia="zh-CN"/>
              </w:rPr>
            </w:pPr>
            <w:r>
              <w:rPr>
                <w:rFonts w:hint="eastAsia" w:ascii="宋体" w:hAnsi="宋体" w:cs="宋体"/>
                <w:b/>
                <w:bCs/>
                <w:szCs w:val="21"/>
                <w:highlight w:val="none"/>
                <w:lang w:val="en-US" w:eastAsia="zh-CN"/>
              </w:rPr>
              <w:t>合计</w:t>
            </w:r>
          </w:p>
        </w:tc>
        <w:tc>
          <w:tcPr>
            <w:tcW w:w="1071" w:type="dxa"/>
            <w:vMerge w:val="continue"/>
          </w:tcPr>
          <w:p w14:paraId="0D3C4728">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szCs w:val="21"/>
                <w:highlight w:val="none"/>
                <w:lang w:val="en-US" w:eastAsia="zh-CN"/>
              </w:rPr>
            </w:pPr>
          </w:p>
        </w:tc>
        <w:tc>
          <w:tcPr>
            <w:tcW w:w="2586" w:type="dxa"/>
          </w:tcPr>
          <w:p w14:paraId="7F7D9B37">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yellow"/>
                <w:vertAlign w:val="baseline"/>
                <w:lang w:eastAsia="zh-CN"/>
              </w:rPr>
            </w:pPr>
          </w:p>
        </w:tc>
        <w:tc>
          <w:tcPr>
            <w:tcW w:w="2586" w:type="dxa"/>
            <w:vMerge w:val="continue"/>
          </w:tcPr>
          <w:p w14:paraId="6C068882">
            <w:pPr>
              <w:keepNext w:val="0"/>
              <w:keepLines w:val="0"/>
              <w:pageBreakBefore w:val="0"/>
              <w:kinsoku/>
              <w:wordWrap/>
              <w:overflowPunct/>
              <w:topLinePunct w:val="0"/>
              <w:autoSpaceDE/>
              <w:autoSpaceDN/>
              <w:bidi w:val="0"/>
              <w:adjustRightInd/>
              <w:snapToGrid/>
              <w:spacing w:line="240" w:lineRule="auto"/>
              <w:rPr>
                <w:rFonts w:hint="eastAsia" w:ascii="宋体" w:hAnsi="宋体" w:eastAsia="宋体" w:cs="宋体"/>
                <w:highlight w:val="yellow"/>
                <w:vertAlign w:val="baseline"/>
                <w:lang w:eastAsia="zh-CN"/>
              </w:rPr>
            </w:pPr>
          </w:p>
        </w:tc>
      </w:tr>
    </w:tbl>
    <w:p w14:paraId="4EC8C9E6">
      <w:pPr>
        <w:tabs>
          <w:tab w:val="left" w:pos="720"/>
        </w:tabs>
        <w:jc w:val="both"/>
        <w:rPr>
          <w:rFonts w:hint="eastAsia"/>
          <w:b/>
          <w:sz w:val="24"/>
          <w:highlight w:val="yellow"/>
        </w:rPr>
      </w:pPr>
    </w:p>
    <w:p w14:paraId="3BD6BE07">
      <w:pPr>
        <w:widowControl/>
        <w:adjustRightInd w:val="0"/>
        <w:snapToGrid w:val="0"/>
        <w:spacing w:line="300" w:lineRule="auto"/>
        <w:jc w:val="both"/>
        <w:rPr>
          <w:rFonts w:hint="eastAsia" w:ascii="Times New Roman" w:hAnsi="Times New Roman" w:eastAsia="宋体" w:cs="Times New Roman"/>
          <w:bCs/>
          <w:color w:val="auto"/>
          <w:szCs w:val="21"/>
          <w:highlight w:val="yellow"/>
          <w:lang w:val="en-US" w:eastAsia="zh-CN"/>
        </w:rPr>
      </w:pPr>
      <w:r>
        <w:rPr>
          <w:rFonts w:hint="eastAsia" w:ascii="Times New Roman" w:hAnsi="Times New Roman" w:eastAsia="宋体" w:cs="Times New Roman"/>
          <w:bCs/>
          <w:color w:val="auto"/>
          <w:szCs w:val="21"/>
          <w:highlight w:val="yellow"/>
          <w:lang w:val="en-US" w:eastAsia="zh-CN"/>
        </w:rPr>
        <w:t>注：投标人的投标报价不得超过预算金额，否则将导致投标无效。</w:t>
      </w:r>
    </w:p>
    <w:p w14:paraId="6F19D851">
      <w:pPr>
        <w:tabs>
          <w:tab w:val="left" w:pos="720"/>
        </w:tabs>
        <w:jc w:val="center"/>
        <w:rPr>
          <w:rFonts w:hint="eastAsia"/>
          <w:b/>
          <w:sz w:val="24"/>
        </w:rPr>
      </w:pPr>
    </w:p>
    <w:p w14:paraId="0D8070A5">
      <w:pPr>
        <w:tabs>
          <w:tab w:val="left" w:pos="720"/>
        </w:tabs>
        <w:jc w:val="center"/>
        <w:rPr>
          <w:rFonts w:hint="eastAsia"/>
          <w:b/>
          <w:sz w:val="24"/>
        </w:rPr>
      </w:pPr>
    </w:p>
    <w:p w14:paraId="73049A33">
      <w:pPr>
        <w:tabs>
          <w:tab w:val="left" w:pos="720"/>
        </w:tabs>
        <w:jc w:val="center"/>
        <w:rPr>
          <w:b/>
          <w:sz w:val="24"/>
        </w:rPr>
      </w:pPr>
      <w:r>
        <w:rPr>
          <w:rFonts w:hint="eastAsia"/>
          <w:b/>
          <w:sz w:val="24"/>
        </w:rPr>
        <w:t>（二）</w:t>
      </w:r>
      <w:bookmarkStart w:id="43" w:name="_Hlk72073235"/>
      <w:r>
        <w:rPr>
          <w:rFonts w:hint="eastAsia"/>
          <w:b/>
          <w:sz w:val="24"/>
        </w:rPr>
        <w:t>投标人认为需要涉及的其他内容报价清单</w:t>
      </w:r>
      <w:bookmarkEnd w:id="43"/>
    </w:p>
    <w:p w14:paraId="3A7702CD">
      <w:pPr>
        <w:rPr>
          <w:b/>
          <w:bCs/>
        </w:rPr>
      </w:pPr>
    </w:p>
    <w:p w14:paraId="7FFAEDB3">
      <w:pPr>
        <w:pStyle w:val="2"/>
      </w:pPr>
    </w:p>
    <w:p w14:paraId="11D2A95D"/>
    <w:p w14:paraId="1FB71B3F">
      <w:pPr>
        <w:widowControl/>
        <w:numPr>
          <w:ilvl w:val="0"/>
          <w:numId w:val="8"/>
        </w:numPr>
        <w:snapToGrid/>
        <w:spacing w:before="0" w:after="0" w:line="240" w:lineRule="auto"/>
        <w:ind w:left="0" w:leftChars="0" w:firstLine="0" w:firstLineChars="0"/>
        <w:jc w:val="center"/>
        <w:outlineLvl w:val="9"/>
        <w:rPr>
          <w:rFonts w:hint="eastAsia" w:ascii="黑体" w:hAnsi="宋体" w:eastAsia="黑体" w:cs="Times New Roman"/>
          <w:b w:val="0"/>
          <w:bCs/>
          <w:kern w:val="2"/>
          <w:sz w:val="24"/>
          <w:szCs w:val="32"/>
          <w:lang w:val="en-US" w:eastAsia="zh-CN" w:bidi="ar-SA"/>
        </w:rPr>
      </w:pPr>
      <w:r>
        <w:rPr>
          <w:rFonts w:hint="eastAsia" w:ascii="黑体" w:hAnsi="宋体" w:eastAsia="黑体" w:cs="Times New Roman"/>
          <w:b w:val="0"/>
          <w:bCs/>
          <w:kern w:val="2"/>
          <w:sz w:val="24"/>
          <w:szCs w:val="32"/>
          <w:lang w:val="en-US" w:eastAsia="zh-CN" w:bidi="ar-SA"/>
        </w:rPr>
        <w:t>供应商基本情况表</w:t>
      </w:r>
    </w:p>
    <w:p w14:paraId="04EDA4D1">
      <w:pPr>
        <w:pStyle w:val="2"/>
        <w:rPr>
          <w:rFonts w:hint="eastAsia"/>
          <w:lang w:val="en-US" w:eastAsia="zh-CN"/>
        </w:rPr>
      </w:pPr>
    </w:p>
    <w:p w14:paraId="1AD75FC9">
      <w:pPr>
        <w:pStyle w:val="2"/>
        <w:numPr>
          <w:ilvl w:val="0"/>
          <w:numId w:val="0"/>
        </w:numPr>
        <w:ind w:leftChars="0"/>
        <w:rPr>
          <w:rFonts w:hint="eastAsia" w:ascii="宋体" w:hAnsi="宋体" w:eastAsia="宋体" w:cs="宋体"/>
          <w:b w:val="0"/>
          <w:bCs w:val="0"/>
          <w:color w:val="auto"/>
          <w:kern w:val="2"/>
          <w:sz w:val="21"/>
          <w:szCs w:val="21"/>
          <w:vertAlign w:val="baseline"/>
          <w:lang w:val="en-US" w:eastAsia="zh-CN" w:bidi="ar-SA"/>
        </w:rPr>
      </w:pPr>
      <w:r>
        <w:rPr>
          <w:rFonts w:hint="eastAsia" w:ascii="宋体" w:hAnsi="宋体" w:eastAsia="宋体" w:cs="宋体"/>
          <w:b w:val="0"/>
          <w:bCs w:val="0"/>
          <w:color w:val="auto"/>
          <w:kern w:val="2"/>
          <w:sz w:val="21"/>
          <w:szCs w:val="21"/>
          <w:vertAlign w:val="baseline"/>
          <w:lang w:val="en-US" w:eastAsia="zh-CN" w:bidi="ar-SA"/>
        </w:rPr>
        <w:t>填表单位：（加盖单位公章）</w:t>
      </w:r>
      <w:r>
        <w:rPr>
          <w:rFonts w:hint="eastAsia" w:ascii="宋体" w:hAnsi="宋体" w:eastAsia="宋体" w:cs="宋体"/>
          <w:b w:val="0"/>
          <w:bCs w:val="0"/>
          <w:color w:val="auto"/>
          <w:kern w:val="2"/>
          <w:sz w:val="21"/>
          <w:szCs w:val="21"/>
          <w:vertAlign w:val="baseline"/>
          <w:lang w:val="en-US" w:eastAsia="zh-CN" w:bidi="ar-SA"/>
        </w:rPr>
        <w:tab/>
      </w:r>
      <w:r>
        <w:rPr>
          <w:rFonts w:hint="eastAsia" w:ascii="宋体" w:hAnsi="宋体" w:eastAsia="宋体" w:cs="宋体"/>
          <w:b w:val="0"/>
          <w:bCs w:val="0"/>
          <w:color w:val="auto"/>
          <w:kern w:val="2"/>
          <w:sz w:val="21"/>
          <w:szCs w:val="21"/>
          <w:vertAlign w:val="baseline"/>
          <w:lang w:val="en-US" w:eastAsia="zh-CN" w:bidi="ar-SA"/>
        </w:rPr>
        <w:tab/>
      </w:r>
      <w:r>
        <w:rPr>
          <w:rFonts w:hint="eastAsia" w:ascii="宋体" w:hAnsi="宋体" w:eastAsia="宋体" w:cs="宋体"/>
          <w:b w:val="0"/>
          <w:bCs w:val="0"/>
          <w:color w:val="auto"/>
          <w:kern w:val="2"/>
          <w:sz w:val="21"/>
          <w:szCs w:val="21"/>
          <w:vertAlign w:val="baseline"/>
          <w:lang w:val="en-US" w:eastAsia="zh-CN" w:bidi="ar-SA"/>
        </w:rPr>
        <w:t xml:space="preserve">   填表日期：    年   月   日</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645"/>
        <w:gridCol w:w="1530"/>
        <w:gridCol w:w="904"/>
        <w:gridCol w:w="752"/>
        <w:gridCol w:w="1146"/>
        <w:gridCol w:w="1429"/>
        <w:gridCol w:w="1420"/>
      </w:tblGrid>
      <w:tr w14:paraId="57807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gridSpan w:val="2"/>
            <w:noWrap w:val="0"/>
            <w:vAlign w:val="center"/>
          </w:tcPr>
          <w:p w14:paraId="6D40A4ED">
            <w:pPr>
              <w:jc w:val="both"/>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投标（响应）供应商</w:t>
            </w:r>
          </w:p>
        </w:tc>
        <w:tc>
          <w:tcPr>
            <w:tcW w:w="1427" w:type="pct"/>
            <w:gridSpan w:val="2"/>
            <w:noWrap w:val="0"/>
            <w:vAlign w:val="center"/>
          </w:tcPr>
          <w:p w14:paraId="32851626">
            <w:pPr>
              <w:jc w:val="center"/>
              <w:rPr>
                <w:rFonts w:hint="eastAsia" w:ascii="宋体" w:hAnsi="宋体" w:eastAsia="宋体" w:cs="宋体"/>
                <w:color w:val="auto"/>
                <w:sz w:val="21"/>
                <w:szCs w:val="21"/>
                <w:vertAlign w:val="baseline"/>
                <w:lang w:val="en-US" w:eastAsia="zh-CN"/>
              </w:rPr>
            </w:pPr>
          </w:p>
        </w:tc>
        <w:tc>
          <w:tcPr>
            <w:tcW w:w="1113" w:type="pct"/>
            <w:gridSpan w:val="2"/>
            <w:noWrap w:val="0"/>
            <w:vAlign w:val="center"/>
          </w:tcPr>
          <w:p w14:paraId="2EE9CD4E">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项目名称及编号</w:t>
            </w:r>
          </w:p>
        </w:tc>
        <w:tc>
          <w:tcPr>
            <w:tcW w:w="1669" w:type="pct"/>
            <w:gridSpan w:val="2"/>
            <w:noWrap w:val="0"/>
            <w:vAlign w:val="center"/>
          </w:tcPr>
          <w:p w14:paraId="7168ADFA">
            <w:pPr>
              <w:jc w:val="center"/>
              <w:rPr>
                <w:rFonts w:hint="eastAsia" w:ascii="宋体" w:hAnsi="宋体" w:eastAsia="宋体" w:cs="宋体"/>
                <w:color w:val="auto"/>
                <w:sz w:val="21"/>
                <w:szCs w:val="21"/>
                <w:vertAlign w:val="baseline"/>
                <w:lang w:val="en-US" w:eastAsia="zh-CN"/>
              </w:rPr>
            </w:pPr>
          </w:p>
        </w:tc>
      </w:tr>
      <w:tr w14:paraId="77BAF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noWrap w:val="0"/>
            <w:vAlign w:val="center"/>
          </w:tcPr>
          <w:p w14:paraId="674DC741">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投标（响应）供应商相关人员情况</w:t>
            </w:r>
          </w:p>
        </w:tc>
      </w:tr>
      <w:tr w14:paraId="51A3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noWrap w:val="0"/>
            <w:vAlign w:val="center"/>
          </w:tcPr>
          <w:p w14:paraId="7B0DCAB0">
            <w:pPr>
              <w:snapToGrid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序号</w:t>
            </w:r>
          </w:p>
        </w:tc>
        <w:tc>
          <w:tcPr>
            <w:tcW w:w="1275" w:type="pct"/>
            <w:gridSpan w:val="2"/>
            <w:tcBorders>
              <w:bottom w:val="single" w:color="auto" w:sz="4" w:space="0"/>
            </w:tcBorders>
            <w:noWrap w:val="0"/>
            <w:vAlign w:val="center"/>
          </w:tcPr>
          <w:p w14:paraId="6B648803">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职务</w:t>
            </w:r>
          </w:p>
        </w:tc>
        <w:tc>
          <w:tcPr>
            <w:tcW w:w="529" w:type="pct"/>
            <w:tcBorders>
              <w:bottom w:val="single" w:color="auto" w:sz="4" w:space="0"/>
            </w:tcBorders>
            <w:noWrap w:val="0"/>
            <w:vAlign w:val="center"/>
          </w:tcPr>
          <w:p w14:paraId="4A0F88DF">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姓名</w:t>
            </w:r>
          </w:p>
        </w:tc>
        <w:tc>
          <w:tcPr>
            <w:tcW w:w="1113" w:type="pct"/>
            <w:gridSpan w:val="2"/>
            <w:tcBorders>
              <w:bottom w:val="single" w:color="auto" w:sz="4" w:space="0"/>
            </w:tcBorders>
            <w:noWrap w:val="0"/>
            <w:vAlign w:val="center"/>
          </w:tcPr>
          <w:p w14:paraId="2789E9DF">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身份证号码</w:t>
            </w:r>
          </w:p>
        </w:tc>
        <w:tc>
          <w:tcPr>
            <w:tcW w:w="838" w:type="pct"/>
            <w:tcBorders>
              <w:bottom w:val="single" w:color="auto" w:sz="4" w:space="0"/>
            </w:tcBorders>
            <w:noWrap w:val="0"/>
            <w:vAlign w:val="center"/>
          </w:tcPr>
          <w:p w14:paraId="09FE59EB">
            <w:pPr>
              <w:snapToGrid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劳动合同</w:t>
            </w:r>
          </w:p>
          <w:p w14:paraId="18972876">
            <w:pPr>
              <w:snapToGrid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关系单位</w:t>
            </w:r>
          </w:p>
        </w:tc>
        <w:tc>
          <w:tcPr>
            <w:tcW w:w="830" w:type="pct"/>
            <w:tcBorders>
              <w:bottom w:val="single" w:color="auto" w:sz="4" w:space="0"/>
            </w:tcBorders>
            <w:noWrap w:val="0"/>
            <w:vAlign w:val="center"/>
          </w:tcPr>
          <w:p w14:paraId="14F4DD48">
            <w:pPr>
              <w:snapToGrid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缴纳社会</w:t>
            </w:r>
          </w:p>
          <w:p w14:paraId="12AD0B4F">
            <w:pPr>
              <w:snapToGrid w:val="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保险单位</w:t>
            </w:r>
          </w:p>
        </w:tc>
      </w:tr>
      <w:tr w14:paraId="5748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3725708D">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1</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3FDCB5F1">
            <w:pPr>
              <w:spacing w:line="46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法定代表人</w:t>
            </w:r>
            <w:r>
              <w:rPr>
                <w:rFonts w:hint="eastAsia" w:ascii="宋体" w:hAnsi="宋体" w:eastAsia="宋体" w:cs="宋体"/>
                <w:color w:val="auto"/>
                <w:sz w:val="21"/>
                <w:szCs w:val="21"/>
                <w:highlight w:val="none"/>
                <w:lang w:val="en-US" w:eastAsia="zh-CN"/>
              </w:rPr>
              <w:t>/单位负责人/主要经营负责人</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11991D55">
            <w:pPr>
              <w:jc w:val="center"/>
              <w:rPr>
                <w:rFonts w:hint="eastAsia" w:ascii="宋体" w:hAnsi="宋体" w:eastAsia="宋体" w:cs="宋体"/>
                <w:color w:val="auto"/>
                <w:sz w:val="21"/>
                <w:szCs w:val="21"/>
                <w:vertAlign w:val="baseline"/>
                <w:lang w:val="en-US" w:eastAsia="zh-CN"/>
              </w:rPr>
            </w:pPr>
          </w:p>
        </w:tc>
        <w:tc>
          <w:tcPr>
            <w:tcW w:w="1113" w:type="pct"/>
            <w:gridSpan w:val="2"/>
            <w:tcBorders>
              <w:top w:val="single" w:color="auto" w:sz="4" w:space="0"/>
              <w:left w:val="single" w:color="auto" w:sz="4" w:space="0"/>
              <w:bottom w:val="single" w:color="auto" w:sz="4" w:space="0"/>
              <w:right w:val="single" w:color="auto" w:sz="4" w:space="0"/>
            </w:tcBorders>
            <w:noWrap w:val="0"/>
            <w:vAlign w:val="center"/>
          </w:tcPr>
          <w:p w14:paraId="34CF04FE">
            <w:pPr>
              <w:jc w:val="center"/>
              <w:rPr>
                <w:rFonts w:hint="eastAsia" w:ascii="宋体" w:hAnsi="宋体" w:eastAsia="宋体" w:cs="宋体"/>
                <w:color w:val="auto"/>
                <w:sz w:val="21"/>
                <w:szCs w:val="21"/>
                <w:vertAlign w:val="baseline"/>
                <w:lang w:val="en-US" w:eastAsia="zh-CN"/>
              </w:rPr>
            </w:pPr>
          </w:p>
        </w:tc>
        <w:tc>
          <w:tcPr>
            <w:tcW w:w="838" w:type="pct"/>
            <w:tcBorders>
              <w:top w:val="single" w:color="auto" w:sz="4" w:space="0"/>
              <w:left w:val="single" w:color="auto" w:sz="4" w:space="0"/>
              <w:bottom w:val="single" w:color="auto" w:sz="4" w:space="0"/>
              <w:right w:val="single" w:color="auto" w:sz="4" w:space="0"/>
            </w:tcBorders>
            <w:noWrap w:val="0"/>
            <w:vAlign w:val="center"/>
          </w:tcPr>
          <w:p w14:paraId="21D79AD8">
            <w:pPr>
              <w:jc w:val="center"/>
              <w:rPr>
                <w:rFonts w:hint="eastAsia" w:ascii="宋体" w:hAnsi="宋体" w:eastAsia="宋体" w:cs="宋体"/>
                <w:color w:val="auto"/>
                <w:sz w:val="21"/>
                <w:szCs w:val="21"/>
                <w:vertAlign w:val="baseline"/>
                <w:lang w:val="en-US" w:eastAsia="zh-CN"/>
              </w:rPr>
            </w:pPr>
          </w:p>
        </w:tc>
        <w:tc>
          <w:tcPr>
            <w:tcW w:w="830" w:type="pct"/>
            <w:tcBorders>
              <w:top w:val="single" w:color="auto" w:sz="4" w:space="0"/>
              <w:left w:val="single" w:color="auto" w:sz="4" w:space="0"/>
              <w:bottom w:val="single" w:color="auto" w:sz="4" w:space="0"/>
              <w:right w:val="single" w:color="auto" w:sz="4" w:space="0"/>
            </w:tcBorders>
            <w:noWrap w:val="0"/>
            <w:vAlign w:val="center"/>
          </w:tcPr>
          <w:p w14:paraId="64A4F1FF">
            <w:pPr>
              <w:jc w:val="center"/>
              <w:rPr>
                <w:rFonts w:hint="eastAsia" w:ascii="宋体" w:hAnsi="宋体" w:eastAsia="宋体" w:cs="宋体"/>
                <w:color w:val="auto"/>
                <w:sz w:val="21"/>
                <w:szCs w:val="21"/>
                <w:vertAlign w:val="baseline"/>
                <w:lang w:val="en-US" w:eastAsia="zh-CN"/>
              </w:rPr>
            </w:pPr>
          </w:p>
        </w:tc>
      </w:tr>
      <w:tr w14:paraId="10185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2D2886A9">
            <w:pPr>
              <w:spacing w:beforeLines="0" w:afterLine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rPr>
              <w:t>2</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197D90D4">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highlight w:val="none"/>
              </w:rPr>
              <w:t>项目投标授权代表人</w:t>
            </w:r>
          </w:p>
        </w:tc>
        <w:tc>
          <w:tcPr>
            <w:tcW w:w="529" w:type="pct"/>
            <w:tcBorders>
              <w:top w:val="single" w:color="auto" w:sz="4" w:space="0"/>
              <w:left w:val="single" w:color="auto" w:sz="4" w:space="0"/>
              <w:bottom w:val="single" w:color="auto" w:sz="4" w:space="0"/>
              <w:right w:val="single" w:color="auto" w:sz="4" w:space="0"/>
            </w:tcBorders>
            <w:noWrap w:val="0"/>
            <w:vAlign w:val="center"/>
          </w:tcPr>
          <w:p w14:paraId="4EDD5D48">
            <w:pPr>
              <w:jc w:val="center"/>
              <w:rPr>
                <w:rFonts w:hint="eastAsia" w:ascii="宋体" w:hAnsi="宋体" w:eastAsia="宋体" w:cs="宋体"/>
                <w:color w:val="auto"/>
                <w:sz w:val="21"/>
                <w:szCs w:val="21"/>
                <w:vertAlign w:val="baseline"/>
                <w:lang w:val="en-US" w:eastAsia="zh-CN"/>
              </w:rPr>
            </w:pPr>
          </w:p>
        </w:tc>
        <w:tc>
          <w:tcPr>
            <w:tcW w:w="1113" w:type="pct"/>
            <w:gridSpan w:val="2"/>
            <w:tcBorders>
              <w:top w:val="single" w:color="auto" w:sz="4" w:space="0"/>
              <w:left w:val="single" w:color="auto" w:sz="4" w:space="0"/>
              <w:bottom w:val="single" w:color="auto" w:sz="4" w:space="0"/>
              <w:right w:val="single" w:color="auto" w:sz="4" w:space="0"/>
            </w:tcBorders>
            <w:noWrap w:val="0"/>
            <w:vAlign w:val="center"/>
          </w:tcPr>
          <w:p w14:paraId="1618D93F">
            <w:pPr>
              <w:jc w:val="center"/>
              <w:rPr>
                <w:rFonts w:hint="eastAsia" w:ascii="宋体" w:hAnsi="宋体" w:eastAsia="宋体" w:cs="宋体"/>
                <w:color w:val="auto"/>
                <w:sz w:val="21"/>
                <w:szCs w:val="21"/>
                <w:vertAlign w:val="baseline"/>
                <w:lang w:val="en-US" w:eastAsia="zh-CN"/>
              </w:rPr>
            </w:pPr>
          </w:p>
        </w:tc>
        <w:tc>
          <w:tcPr>
            <w:tcW w:w="838" w:type="pct"/>
            <w:tcBorders>
              <w:top w:val="single" w:color="auto" w:sz="4" w:space="0"/>
              <w:left w:val="single" w:color="auto" w:sz="4" w:space="0"/>
              <w:bottom w:val="single" w:color="auto" w:sz="4" w:space="0"/>
              <w:right w:val="single" w:color="auto" w:sz="4" w:space="0"/>
            </w:tcBorders>
            <w:noWrap w:val="0"/>
            <w:vAlign w:val="center"/>
          </w:tcPr>
          <w:p w14:paraId="62771FB1">
            <w:pPr>
              <w:jc w:val="center"/>
              <w:rPr>
                <w:rFonts w:hint="eastAsia" w:ascii="宋体" w:hAnsi="宋体" w:eastAsia="宋体" w:cs="宋体"/>
                <w:color w:val="auto"/>
                <w:sz w:val="21"/>
                <w:szCs w:val="21"/>
                <w:vertAlign w:val="baseline"/>
                <w:lang w:val="en-US" w:eastAsia="zh-CN"/>
              </w:rPr>
            </w:pPr>
          </w:p>
        </w:tc>
        <w:tc>
          <w:tcPr>
            <w:tcW w:w="830" w:type="pct"/>
            <w:tcBorders>
              <w:top w:val="single" w:color="auto" w:sz="4" w:space="0"/>
              <w:left w:val="single" w:color="auto" w:sz="4" w:space="0"/>
              <w:bottom w:val="single" w:color="auto" w:sz="4" w:space="0"/>
              <w:right w:val="single" w:color="auto" w:sz="4" w:space="0"/>
            </w:tcBorders>
            <w:noWrap w:val="0"/>
            <w:vAlign w:val="center"/>
          </w:tcPr>
          <w:p w14:paraId="47931D07">
            <w:pPr>
              <w:jc w:val="center"/>
              <w:rPr>
                <w:rFonts w:hint="eastAsia" w:ascii="宋体" w:hAnsi="宋体" w:eastAsia="宋体" w:cs="宋体"/>
                <w:color w:val="auto"/>
                <w:sz w:val="21"/>
                <w:szCs w:val="21"/>
                <w:vertAlign w:val="baseline"/>
                <w:lang w:val="en-US" w:eastAsia="zh-CN"/>
              </w:rPr>
            </w:pPr>
          </w:p>
        </w:tc>
      </w:tr>
      <w:tr w14:paraId="4E202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tcBorders>
            <w:noWrap w:val="0"/>
            <w:vAlign w:val="center"/>
          </w:tcPr>
          <w:p w14:paraId="0A9DD83C">
            <w:pPr>
              <w:spacing w:beforeLines="0" w:afterLine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lang w:bidi="ar"/>
              </w:rPr>
              <w:t>3</w:t>
            </w:r>
          </w:p>
        </w:tc>
        <w:tc>
          <w:tcPr>
            <w:tcW w:w="1275" w:type="pct"/>
            <w:gridSpan w:val="2"/>
            <w:tcBorders>
              <w:top w:val="single" w:color="auto" w:sz="4" w:space="0"/>
            </w:tcBorders>
            <w:noWrap w:val="0"/>
            <w:vAlign w:val="center"/>
          </w:tcPr>
          <w:p w14:paraId="57E49F76">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highlight w:val="none"/>
              </w:rPr>
              <w:t>项目负责人</w:t>
            </w:r>
          </w:p>
        </w:tc>
        <w:tc>
          <w:tcPr>
            <w:tcW w:w="529" w:type="pct"/>
            <w:tcBorders>
              <w:top w:val="single" w:color="auto" w:sz="4" w:space="0"/>
            </w:tcBorders>
            <w:noWrap w:val="0"/>
            <w:vAlign w:val="center"/>
          </w:tcPr>
          <w:p w14:paraId="06747FF0">
            <w:pPr>
              <w:jc w:val="center"/>
              <w:rPr>
                <w:rFonts w:hint="eastAsia" w:ascii="宋体" w:hAnsi="宋体" w:eastAsia="宋体" w:cs="宋体"/>
                <w:color w:val="auto"/>
                <w:sz w:val="21"/>
                <w:szCs w:val="21"/>
                <w:vertAlign w:val="baseline"/>
                <w:lang w:val="en-US" w:eastAsia="zh-CN"/>
              </w:rPr>
            </w:pPr>
          </w:p>
        </w:tc>
        <w:tc>
          <w:tcPr>
            <w:tcW w:w="1113" w:type="pct"/>
            <w:gridSpan w:val="2"/>
            <w:tcBorders>
              <w:top w:val="single" w:color="auto" w:sz="4" w:space="0"/>
            </w:tcBorders>
            <w:noWrap w:val="0"/>
            <w:vAlign w:val="center"/>
          </w:tcPr>
          <w:p w14:paraId="378C7CDC">
            <w:pPr>
              <w:jc w:val="center"/>
              <w:rPr>
                <w:rFonts w:hint="eastAsia" w:ascii="宋体" w:hAnsi="宋体" w:eastAsia="宋体" w:cs="宋体"/>
                <w:color w:val="auto"/>
                <w:sz w:val="21"/>
                <w:szCs w:val="21"/>
                <w:vertAlign w:val="baseline"/>
                <w:lang w:val="en-US" w:eastAsia="zh-CN"/>
              </w:rPr>
            </w:pPr>
          </w:p>
        </w:tc>
        <w:tc>
          <w:tcPr>
            <w:tcW w:w="838" w:type="pct"/>
            <w:tcBorders>
              <w:top w:val="single" w:color="auto" w:sz="4" w:space="0"/>
            </w:tcBorders>
            <w:noWrap w:val="0"/>
            <w:vAlign w:val="center"/>
          </w:tcPr>
          <w:p w14:paraId="759CA818">
            <w:pPr>
              <w:jc w:val="center"/>
              <w:rPr>
                <w:rFonts w:hint="eastAsia" w:ascii="宋体" w:hAnsi="宋体" w:eastAsia="宋体" w:cs="宋体"/>
                <w:color w:val="auto"/>
                <w:sz w:val="21"/>
                <w:szCs w:val="21"/>
                <w:vertAlign w:val="baseline"/>
                <w:lang w:val="en-US" w:eastAsia="zh-CN"/>
              </w:rPr>
            </w:pPr>
          </w:p>
        </w:tc>
        <w:tc>
          <w:tcPr>
            <w:tcW w:w="830" w:type="pct"/>
            <w:tcBorders>
              <w:top w:val="single" w:color="auto" w:sz="4" w:space="0"/>
            </w:tcBorders>
            <w:noWrap w:val="0"/>
            <w:vAlign w:val="center"/>
          </w:tcPr>
          <w:p w14:paraId="2A349332">
            <w:pPr>
              <w:jc w:val="center"/>
              <w:rPr>
                <w:rFonts w:hint="eastAsia" w:ascii="宋体" w:hAnsi="宋体" w:eastAsia="宋体" w:cs="宋体"/>
                <w:color w:val="auto"/>
                <w:sz w:val="21"/>
                <w:szCs w:val="21"/>
                <w:vertAlign w:val="baseline"/>
                <w:lang w:val="en-US" w:eastAsia="zh-CN"/>
              </w:rPr>
            </w:pPr>
          </w:p>
        </w:tc>
      </w:tr>
      <w:tr w14:paraId="7DED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noWrap w:val="0"/>
            <w:vAlign w:val="center"/>
          </w:tcPr>
          <w:p w14:paraId="5849B064">
            <w:pPr>
              <w:spacing w:beforeLines="0" w:afterLine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lang w:bidi="ar"/>
              </w:rPr>
              <w:t>4</w:t>
            </w:r>
          </w:p>
        </w:tc>
        <w:tc>
          <w:tcPr>
            <w:tcW w:w="1275" w:type="pct"/>
            <w:gridSpan w:val="2"/>
            <w:noWrap w:val="0"/>
            <w:vAlign w:val="center"/>
          </w:tcPr>
          <w:p w14:paraId="315067C4">
            <w:pPr>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highlight w:val="none"/>
              </w:rPr>
              <w:t>主要技术人员</w:t>
            </w:r>
          </w:p>
        </w:tc>
        <w:tc>
          <w:tcPr>
            <w:tcW w:w="529" w:type="pct"/>
            <w:noWrap w:val="0"/>
            <w:vAlign w:val="center"/>
          </w:tcPr>
          <w:p w14:paraId="3C62807C">
            <w:pPr>
              <w:jc w:val="center"/>
              <w:rPr>
                <w:rFonts w:hint="eastAsia" w:ascii="宋体" w:hAnsi="宋体" w:eastAsia="宋体" w:cs="宋体"/>
                <w:color w:val="auto"/>
                <w:sz w:val="21"/>
                <w:szCs w:val="21"/>
                <w:vertAlign w:val="baseline"/>
                <w:lang w:val="en-US" w:eastAsia="zh-CN"/>
              </w:rPr>
            </w:pPr>
          </w:p>
        </w:tc>
        <w:tc>
          <w:tcPr>
            <w:tcW w:w="1113" w:type="pct"/>
            <w:gridSpan w:val="2"/>
            <w:noWrap w:val="0"/>
            <w:vAlign w:val="center"/>
          </w:tcPr>
          <w:p w14:paraId="71F6A08E">
            <w:pPr>
              <w:jc w:val="center"/>
              <w:rPr>
                <w:rFonts w:hint="eastAsia" w:ascii="宋体" w:hAnsi="宋体" w:eastAsia="宋体" w:cs="宋体"/>
                <w:color w:val="auto"/>
                <w:sz w:val="21"/>
                <w:szCs w:val="21"/>
                <w:vertAlign w:val="baseline"/>
                <w:lang w:val="en-US" w:eastAsia="zh-CN"/>
              </w:rPr>
            </w:pPr>
          </w:p>
        </w:tc>
        <w:tc>
          <w:tcPr>
            <w:tcW w:w="838" w:type="pct"/>
            <w:noWrap w:val="0"/>
            <w:vAlign w:val="center"/>
          </w:tcPr>
          <w:p w14:paraId="0AD3B841">
            <w:pPr>
              <w:jc w:val="center"/>
              <w:rPr>
                <w:rFonts w:hint="eastAsia" w:ascii="宋体" w:hAnsi="宋体" w:eastAsia="宋体" w:cs="宋体"/>
                <w:color w:val="auto"/>
                <w:sz w:val="21"/>
                <w:szCs w:val="21"/>
                <w:vertAlign w:val="baseline"/>
                <w:lang w:val="en-US" w:eastAsia="zh-CN"/>
              </w:rPr>
            </w:pPr>
          </w:p>
        </w:tc>
        <w:tc>
          <w:tcPr>
            <w:tcW w:w="830" w:type="pct"/>
            <w:noWrap w:val="0"/>
            <w:vAlign w:val="center"/>
          </w:tcPr>
          <w:p w14:paraId="72D9E4F1">
            <w:pPr>
              <w:jc w:val="center"/>
              <w:rPr>
                <w:rFonts w:hint="eastAsia" w:ascii="宋体" w:hAnsi="宋体" w:eastAsia="宋体" w:cs="宋体"/>
                <w:color w:val="auto"/>
                <w:sz w:val="21"/>
                <w:szCs w:val="21"/>
                <w:vertAlign w:val="baseline"/>
                <w:lang w:val="en-US" w:eastAsia="zh-CN"/>
              </w:rPr>
            </w:pPr>
          </w:p>
        </w:tc>
      </w:tr>
      <w:tr w14:paraId="4468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noWrap w:val="0"/>
            <w:vAlign w:val="center"/>
          </w:tcPr>
          <w:p w14:paraId="1CC88209">
            <w:pPr>
              <w:spacing w:beforeLines="0" w:afterLine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lang w:bidi="ar"/>
              </w:rPr>
              <w:t>5</w:t>
            </w:r>
          </w:p>
        </w:tc>
        <w:tc>
          <w:tcPr>
            <w:tcW w:w="1275" w:type="pct"/>
            <w:gridSpan w:val="2"/>
            <w:noWrap w:val="0"/>
            <w:vAlign w:val="center"/>
          </w:tcPr>
          <w:p w14:paraId="3C0D8F04">
            <w:pPr>
              <w:widowControl w:val="0"/>
              <w:snapToGrid w:val="0"/>
              <w:ind w:left="0" w:leftChars="0" w:firstLine="0" w:firstLineChars="0"/>
              <w:jc w:val="center"/>
              <w:rPr>
                <w:rFonts w:hint="eastAsia" w:ascii="宋体" w:hAnsi="宋体" w:eastAsia="宋体" w:cs="宋体"/>
                <w:color w:val="auto"/>
                <w:kern w:val="2"/>
                <w:sz w:val="21"/>
                <w:szCs w:val="21"/>
                <w:lang w:val="en-US" w:eastAsia="zh-CN" w:bidi="ar-SA"/>
              </w:rPr>
            </w:pPr>
            <w:r>
              <w:rPr>
                <w:rFonts w:hint="eastAsia" w:ascii="宋体" w:hAnsi="宋体" w:eastAsia="宋体" w:cs="宋体"/>
                <w:color w:val="auto"/>
                <w:kern w:val="2"/>
                <w:sz w:val="21"/>
                <w:szCs w:val="21"/>
                <w:highlight w:val="none"/>
                <w:lang w:val="en-US" w:eastAsia="zh-CN" w:bidi="ar-SA"/>
              </w:rPr>
              <w:t>投标文件编制人员</w:t>
            </w:r>
          </w:p>
        </w:tc>
        <w:tc>
          <w:tcPr>
            <w:tcW w:w="529" w:type="pct"/>
            <w:noWrap w:val="0"/>
            <w:vAlign w:val="center"/>
          </w:tcPr>
          <w:p w14:paraId="48CA0476">
            <w:pPr>
              <w:jc w:val="center"/>
              <w:rPr>
                <w:rFonts w:hint="eastAsia" w:ascii="宋体" w:hAnsi="宋体" w:eastAsia="宋体" w:cs="宋体"/>
                <w:color w:val="auto"/>
                <w:sz w:val="21"/>
                <w:szCs w:val="21"/>
                <w:vertAlign w:val="baseline"/>
                <w:lang w:val="en-US" w:eastAsia="zh-CN"/>
              </w:rPr>
            </w:pPr>
          </w:p>
        </w:tc>
        <w:tc>
          <w:tcPr>
            <w:tcW w:w="1113" w:type="pct"/>
            <w:gridSpan w:val="2"/>
            <w:noWrap w:val="0"/>
            <w:vAlign w:val="center"/>
          </w:tcPr>
          <w:p w14:paraId="73409288">
            <w:pPr>
              <w:jc w:val="center"/>
              <w:rPr>
                <w:rFonts w:hint="eastAsia" w:ascii="宋体" w:hAnsi="宋体" w:eastAsia="宋体" w:cs="宋体"/>
                <w:color w:val="auto"/>
                <w:sz w:val="21"/>
                <w:szCs w:val="21"/>
                <w:vertAlign w:val="baseline"/>
                <w:lang w:val="en-US" w:eastAsia="zh-CN"/>
              </w:rPr>
            </w:pPr>
          </w:p>
        </w:tc>
        <w:tc>
          <w:tcPr>
            <w:tcW w:w="838" w:type="pct"/>
            <w:noWrap w:val="0"/>
            <w:vAlign w:val="center"/>
          </w:tcPr>
          <w:p w14:paraId="0575A615">
            <w:pPr>
              <w:jc w:val="center"/>
              <w:rPr>
                <w:rFonts w:hint="eastAsia" w:ascii="宋体" w:hAnsi="宋体" w:eastAsia="宋体" w:cs="宋体"/>
                <w:color w:val="auto"/>
                <w:sz w:val="21"/>
                <w:szCs w:val="21"/>
                <w:vertAlign w:val="baseline"/>
                <w:lang w:val="en-US" w:eastAsia="zh-CN"/>
              </w:rPr>
            </w:pPr>
          </w:p>
        </w:tc>
        <w:tc>
          <w:tcPr>
            <w:tcW w:w="830" w:type="pct"/>
            <w:noWrap w:val="0"/>
            <w:vAlign w:val="center"/>
          </w:tcPr>
          <w:p w14:paraId="278BB3F1">
            <w:pPr>
              <w:jc w:val="center"/>
              <w:rPr>
                <w:rFonts w:hint="eastAsia" w:ascii="宋体" w:hAnsi="宋体" w:eastAsia="宋体" w:cs="宋体"/>
                <w:color w:val="auto"/>
                <w:sz w:val="21"/>
                <w:szCs w:val="21"/>
                <w:vertAlign w:val="baseline"/>
                <w:lang w:val="en-US" w:eastAsia="zh-CN"/>
              </w:rPr>
            </w:pPr>
          </w:p>
        </w:tc>
      </w:tr>
      <w:tr w14:paraId="5252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noWrap w:val="0"/>
            <w:vAlign w:val="center"/>
          </w:tcPr>
          <w:p w14:paraId="716357E6">
            <w:pPr>
              <w:jc w:val="both"/>
              <w:rPr>
                <w:rFonts w:hint="eastAsia" w:ascii="宋体" w:hAnsi="宋体" w:eastAsia="宋体" w:cs="宋体"/>
                <w:color w:val="auto"/>
                <w:sz w:val="21"/>
                <w:szCs w:val="21"/>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说明：同一职务有多人担任（如主要技术人员），应分行填写。</w:t>
            </w:r>
          </w:p>
        </w:tc>
      </w:tr>
      <w:tr w14:paraId="1359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noWrap w:val="0"/>
            <w:vAlign w:val="center"/>
          </w:tcPr>
          <w:p w14:paraId="40FF1435">
            <w:pPr>
              <w:jc w:val="center"/>
              <w:rPr>
                <w:rFonts w:hint="eastAsia" w:ascii="宋体" w:hAnsi="宋体" w:eastAsia="宋体" w:cs="宋体"/>
                <w:b/>
                <w:bCs/>
                <w:color w:val="auto"/>
                <w:sz w:val="21"/>
                <w:szCs w:val="21"/>
                <w:vertAlign w:val="baseline"/>
                <w:lang w:val="en-US" w:eastAsia="zh-CN"/>
              </w:rPr>
            </w:pPr>
            <w:r>
              <w:rPr>
                <w:rFonts w:hint="eastAsia" w:ascii="宋体" w:hAnsi="宋体" w:eastAsia="宋体" w:cs="宋体"/>
                <w:b/>
                <w:bCs/>
                <w:color w:val="auto"/>
                <w:sz w:val="21"/>
                <w:szCs w:val="21"/>
                <w:vertAlign w:val="baseline"/>
                <w:lang w:val="en-US" w:eastAsia="zh-CN"/>
              </w:rPr>
              <w:t>投标（响应）供应商关联关系情况</w:t>
            </w:r>
          </w:p>
        </w:tc>
      </w:tr>
      <w:tr w14:paraId="669ED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noWrap w:val="0"/>
            <w:vAlign w:val="center"/>
          </w:tcPr>
          <w:p w14:paraId="2A66E969">
            <w:pPr>
              <w:jc w:val="center"/>
              <w:rPr>
                <w:rFonts w:hint="eastAsia" w:ascii="宋体" w:hAnsi="宋体" w:eastAsia="宋体" w:cs="宋体"/>
                <w:color w:val="auto"/>
                <w:sz w:val="21"/>
                <w:szCs w:val="21"/>
                <w:vertAlign w:val="baseline"/>
                <w:lang w:val="en-US" w:eastAsia="zh-CN" w:bidi="ar"/>
              </w:rPr>
            </w:pPr>
            <w:r>
              <w:rPr>
                <w:rFonts w:hint="eastAsia" w:ascii="宋体" w:hAnsi="宋体" w:eastAsia="宋体" w:cs="宋体"/>
                <w:color w:val="auto"/>
                <w:sz w:val="21"/>
                <w:szCs w:val="21"/>
                <w:vertAlign w:val="baseline"/>
                <w:lang w:val="en-US" w:eastAsia="zh-CN" w:bidi="ar"/>
              </w:rPr>
              <w:t>序号</w:t>
            </w:r>
          </w:p>
        </w:tc>
        <w:tc>
          <w:tcPr>
            <w:tcW w:w="1275" w:type="pct"/>
            <w:gridSpan w:val="2"/>
            <w:tcBorders>
              <w:bottom w:val="single" w:color="auto" w:sz="4" w:space="0"/>
            </w:tcBorders>
            <w:noWrap w:val="0"/>
            <w:vAlign w:val="center"/>
          </w:tcPr>
          <w:p w14:paraId="070B6E4B">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vertAlign w:val="baseline"/>
                <w:lang w:val="en-US" w:eastAsia="zh-CN"/>
              </w:rPr>
              <w:t>关联关系类型</w:t>
            </w:r>
          </w:p>
        </w:tc>
        <w:tc>
          <w:tcPr>
            <w:tcW w:w="971" w:type="pct"/>
            <w:gridSpan w:val="2"/>
            <w:tcBorders>
              <w:bottom w:val="single" w:color="auto" w:sz="4" w:space="0"/>
            </w:tcBorders>
            <w:noWrap w:val="0"/>
            <w:vAlign w:val="center"/>
          </w:tcPr>
          <w:p w14:paraId="7C013A44">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关联主体名称</w:t>
            </w:r>
          </w:p>
        </w:tc>
        <w:tc>
          <w:tcPr>
            <w:tcW w:w="2340" w:type="pct"/>
            <w:gridSpan w:val="3"/>
            <w:tcBorders>
              <w:bottom w:val="single" w:color="auto" w:sz="4" w:space="0"/>
            </w:tcBorders>
            <w:noWrap w:val="0"/>
            <w:vAlign w:val="center"/>
          </w:tcPr>
          <w:p w14:paraId="35561972">
            <w:p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6896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7059EB86">
            <w:pPr>
              <w:jc w:val="center"/>
              <w:rPr>
                <w:rFonts w:hint="eastAsia" w:ascii="宋体" w:hAnsi="宋体" w:eastAsia="宋体" w:cs="宋体"/>
                <w:color w:val="auto"/>
                <w:sz w:val="21"/>
                <w:szCs w:val="21"/>
                <w:vertAlign w:val="baseline"/>
                <w:lang w:val="en-US" w:eastAsia="zh-CN" w:bidi="ar"/>
              </w:rPr>
            </w:pPr>
            <w:r>
              <w:rPr>
                <w:rFonts w:hint="eastAsia" w:ascii="宋体" w:hAnsi="宋体" w:eastAsia="宋体" w:cs="宋体"/>
                <w:color w:val="auto"/>
                <w:sz w:val="21"/>
                <w:szCs w:val="21"/>
                <w:vertAlign w:val="baseline"/>
                <w:lang w:val="en-US" w:eastAsia="zh-CN" w:bidi="ar"/>
              </w:rPr>
              <w:t>1</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00325BDD">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控股股东</w:t>
            </w:r>
          </w:p>
        </w:tc>
        <w:tc>
          <w:tcPr>
            <w:tcW w:w="971" w:type="pct"/>
            <w:gridSpan w:val="2"/>
            <w:tcBorders>
              <w:top w:val="single" w:color="auto" w:sz="4" w:space="0"/>
              <w:left w:val="single" w:color="auto" w:sz="4" w:space="0"/>
              <w:bottom w:val="single" w:color="auto" w:sz="4" w:space="0"/>
              <w:right w:val="single" w:color="auto" w:sz="4" w:space="0"/>
            </w:tcBorders>
            <w:noWrap w:val="0"/>
            <w:vAlign w:val="center"/>
          </w:tcPr>
          <w:p w14:paraId="7078B9AC">
            <w:pPr>
              <w:jc w:val="center"/>
              <w:rPr>
                <w:rFonts w:hint="eastAsia" w:ascii="宋体" w:hAnsi="宋体" w:eastAsia="宋体" w:cs="宋体"/>
                <w:color w:val="auto"/>
                <w:sz w:val="21"/>
                <w:szCs w:val="21"/>
                <w:highlight w:val="none"/>
                <w:vertAlign w:val="baseline"/>
                <w:lang w:val="en-US" w:eastAsia="zh-CN"/>
              </w:rPr>
            </w:pPr>
          </w:p>
        </w:tc>
        <w:tc>
          <w:tcPr>
            <w:tcW w:w="2340" w:type="pct"/>
            <w:gridSpan w:val="3"/>
            <w:tcBorders>
              <w:top w:val="single" w:color="auto" w:sz="4" w:space="0"/>
              <w:left w:val="single" w:color="auto" w:sz="4" w:space="0"/>
              <w:bottom w:val="single" w:color="auto" w:sz="4" w:space="0"/>
              <w:right w:val="single" w:color="auto" w:sz="4" w:space="0"/>
            </w:tcBorders>
            <w:noWrap w:val="0"/>
            <w:vAlign w:val="center"/>
          </w:tcPr>
          <w:p w14:paraId="399583A9">
            <w:pPr>
              <w:snapToGrid w:val="0"/>
              <w:jc w:val="both"/>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569FF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11" w:type="pct"/>
            <w:tcBorders>
              <w:top w:val="single" w:color="auto" w:sz="4" w:space="0"/>
              <w:left w:val="single" w:color="auto" w:sz="4" w:space="0"/>
              <w:bottom w:val="single" w:color="auto" w:sz="4" w:space="0"/>
              <w:right w:val="single" w:color="auto" w:sz="4" w:space="0"/>
            </w:tcBorders>
            <w:noWrap w:val="0"/>
            <w:vAlign w:val="center"/>
          </w:tcPr>
          <w:p w14:paraId="7AE15EBF">
            <w:pPr>
              <w:jc w:val="center"/>
              <w:rPr>
                <w:rFonts w:hint="eastAsia" w:ascii="宋体" w:hAnsi="宋体" w:eastAsia="宋体" w:cs="宋体"/>
                <w:color w:val="auto"/>
                <w:sz w:val="21"/>
                <w:szCs w:val="21"/>
                <w:vertAlign w:val="baseline"/>
                <w:lang w:val="en-US" w:eastAsia="zh-CN" w:bidi="ar"/>
              </w:rPr>
            </w:pPr>
            <w:r>
              <w:rPr>
                <w:rFonts w:hint="eastAsia" w:ascii="宋体" w:hAnsi="宋体" w:eastAsia="宋体" w:cs="宋体"/>
                <w:color w:val="auto"/>
                <w:sz w:val="21"/>
                <w:szCs w:val="21"/>
                <w:vertAlign w:val="baseline"/>
                <w:lang w:val="en-US" w:eastAsia="zh-CN" w:bidi="ar"/>
              </w:rPr>
              <w:t>2</w:t>
            </w:r>
          </w:p>
        </w:tc>
        <w:tc>
          <w:tcPr>
            <w:tcW w:w="1275" w:type="pct"/>
            <w:gridSpan w:val="2"/>
            <w:tcBorders>
              <w:top w:val="single" w:color="auto" w:sz="4" w:space="0"/>
              <w:left w:val="single" w:color="auto" w:sz="4" w:space="0"/>
              <w:bottom w:val="single" w:color="auto" w:sz="4" w:space="0"/>
              <w:right w:val="single" w:color="auto" w:sz="4" w:space="0"/>
            </w:tcBorders>
            <w:noWrap w:val="0"/>
            <w:vAlign w:val="center"/>
          </w:tcPr>
          <w:p w14:paraId="6F6236BB">
            <w:pPr>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管理关系</w:t>
            </w:r>
          </w:p>
        </w:tc>
        <w:tc>
          <w:tcPr>
            <w:tcW w:w="971" w:type="pct"/>
            <w:gridSpan w:val="2"/>
            <w:tcBorders>
              <w:top w:val="single" w:color="auto" w:sz="4" w:space="0"/>
              <w:left w:val="single" w:color="auto" w:sz="4" w:space="0"/>
              <w:bottom w:val="single" w:color="auto" w:sz="4" w:space="0"/>
              <w:right w:val="single" w:color="auto" w:sz="4" w:space="0"/>
            </w:tcBorders>
            <w:noWrap w:val="0"/>
            <w:vAlign w:val="center"/>
          </w:tcPr>
          <w:p w14:paraId="6B5B4449">
            <w:pPr>
              <w:jc w:val="center"/>
              <w:rPr>
                <w:rFonts w:hint="eastAsia" w:ascii="宋体" w:hAnsi="宋体" w:eastAsia="宋体" w:cs="宋体"/>
                <w:color w:val="auto"/>
                <w:sz w:val="21"/>
                <w:szCs w:val="21"/>
                <w:highlight w:val="none"/>
                <w:vertAlign w:val="baseline"/>
                <w:lang w:val="en-US" w:eastAsia="zh-CN"/>
              </w:rPr>
            </w:pPr>
          </w:p>
        </w:tc>
        <w:tc>
          <w:tcPr>
            <w:tcW w:w="2340" w:type="pct"/>
            <w:gridSpan w:val="3"/>
            <w:tcBorders>
              <w:top w:val="single" w:color="auto" w:sz="4" w:space="0"/>
              <w:left w:val="single" w:color="auto" w:sz="4" w:space="0"/>
              <w:bottom w:val="single" w:color="auto" w:sz="4" w:space="0"/>
              <w:right w:val="single" w:color="auto" w:sz="4" w:space="0"/>
            </w:tcBorders>
            <w:noWrap w:val="0"/>
            <w:vAlign w:val="center"/>
          </w:tcPr>
          <w:p w14:paraId="5CE12122">
            <w:pPr>
              <w:snapToGrid w:val="0"/>
              <w:jc w:val="both"/>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14:paraId="2AEB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000" w:type="pct"/>
            <w:gridSpan w:val="8"/>
            <w:tcBorders>
              <w:top w:val="single" w:color="auto" w:sz="4" w:space="0"/>
              <w:left w:val="single" w:color="auto" w:sz="4" w:space="0"/>
              <w:bottom w:val="single" w:color="auto" w:sz="4" w:space="0"/>
              <w:right w:val="single" w:color="auto" w:sz="4" w:space="0"/>
            </w:tcBorders>
            <w:noWrap w:val="0"/>
            <w:vAlign w:val="center"/>
          </w:tcPr>
          <w:p w14:paraId="54054F49">
            <w:pPr>
              <w:snapToGrid w:val="0"/>
              <w:jc w:val="both"/>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b/>
                <w:bCs/>
                <w:color w:val="auto"/>
                <w:sz w:val="21"/>
                <w:szCs w:val="21"/>
                <w:highlight w:val="none"/>
                <w:vertAlign w:val="baseline"/>
                <w:lang w:val="en-US" w:eastAsia="zh-CN"/>
              </w:rPr>
              <w:t>说明：同一关联关系类型有多个主体的，应分行填写。</w:t>
            </w:r>
          </w:p>
        </w:tc>
      </w:tr>
    </w:tbl>
    <w:p w14:paraId="4D0B87B7">
      <w:pPr>
        <w:pStyle w:val="5"/>
        <w:jc w:val="center"/>
        <w:rPr>
          <w:rFonts w:hint="eastAsia" w:ascii="黑体" w:eastAsia="黑体"/>
          <w:b w:val="0"/>
          <w:sz w:val="24"/>
          <w:lang w:val="en-US" w:eastAsia="zh-CN"/>
        </w:rPr>
      </w:pPr>
    </w:p>
    <w:p w14:paraId="6BC3F77E">
      <w:pPr>
        <w:pStyle w:val="5"/>
        <w:jc w:val="center"/>
        <w:rPr>
          <w:rFonts w:ascii="黑体" w:eastAsia="黑体"/>
          <w:b w:val="0"/>
          <w:sz w:val="24"/>
        </w:rPr>
      </w:pPr>
      <w:r>
        <w:rPr>
          <w:rFonts w:hint="eastAsia" w:ascii="黑体" w:eastAsia="黑体"/>
          <w:b w:val="0"/>
          <w:sz w:val="24"/>
          <w:lang w:val="en-US" w:eastAsia="zh-CN"/>
        </w:rPr>
        <w:t>六</w:t>
      </w:r>
      <w:r>
        <w:rPr>
          <w:rFonts w:hint="eastAsia" w:ascii="黑体" w:eastAsia="黑体"/>
          <w:b w:val="0"/>
          <w:sz w:val="24"/>
        </w:rPr>
        <w:t>、</w:t>
      </w:r>
      <w:bookmarkStart w:id="44" w:name="_Hlk72092499"/>
      <w:r>
        <w:rPr>
          <w:rFonts w:hint="eastAsia" w:ascii="黑体" w:eastAsia="黑体"/>
          <w:b w:val="0"/>
          <w:sz w:val="24"/>
        </w:rPr>
        <w:t>法定代表人（负责人）证明书</w:t>
      </w:r>
      <w:bookmarkEnd w:id="44"/>
    </w:p>
    <w:p w14:paraId="276B0637">
      <w:pPr>
        <w:rPr>
          <w:sz w:val="24"/>
        </w:rPr>
      </w:pPr>
    </w:p>
    <w:p w14:paraId="0B87A936">
      <w:pPr>
        <w:spacing w:line="360" w:lineRule="auto"/>
        <w:ind w:firstLine="420" w:firstLineChars="200"/>
        <w:rPr>
          <w:rFonts w:hint="default" w:eastAsia="宋体"/>
          <w:szCs w:val="21"/>
          <w:lang w:val="en-US" w:eastAsia="zh-CN"/>
        </w:rPr>
      </w:pPr>
      <w:r>
        <w:rPr>
          <w:rFonts w:hint="eastAsia"/>
          <w:szCs w:val="21"/>
          <w:u w:val="single"/>
        </w:rPr>
        <w:t xml:space="preserve">         </w:t>
      </w:r>
      <w:r>
        <w:rPr>
          <w:rFonts w:hint="eastAsia" w:ascii="Times New Roman" w:eastAsia="宋体"/>
          <w:szCs w:val="21"/>
          <w:u w:val="single"/>
          <w:lang w:val="en-US" w:eastAsia="zh-CN"/>
        </w:rPr>
        <w:t xml:space="preserve">  </w:t>
      </w:r>
      <w:r>
        <w:rPr>
          <w:rFonts w:hint="eastAsia"/>
          <w:szCs w:val="21"/>
          <w:u w:val="single"/>
        </w:rPr>
        <w:t xml:space="preserve">   </w:t>
      </w:r>
      <w:r>
        <w:rPr>
          <w:rFonts w:hint="eastAsia" w:ascii="Times New Roman" w:eastAsia="宋体"/>
          <w:szCs w:val="21"/>
          <w:u w:val="single"/>
          <w:lang w:val="en-US" w:eastAsia="zh-CN"/>
        </w:rPr>
        <w:t xml:space="preserve">   </w:t>
      </w:r>
      <w:r>
        <w:rPr>
          <w:rFonts w:hint="eastAsia" w:eastAsia="宋体"/>
          <w:szCs w:val="21"/>
          <w:u w:val="none"/>
          <w:lang w:eastAsia="zh-CN"/>
        </w:rPr>
        <w:t>（</w:t>
      </w:r>
      <w:r>
        <w:rPr>
          <w:rFonts w:hint="eastAsia" w:ascii="Times New Roman" w:eastAsia="宋体"/>
          <w:szCs w:val="21"/>
          <w:u w:val="none"/>
          <w:lang w:val="en-US" w:eastAsia="zh-CN"/>
        </w:rPr>
        <w:t>姓名</w:t>
      </w:r>
      <w:r>
        <w:rPr>
          <w:rFonts w:hint="eastAsia" w:eastAsia="宋体"/>
          <w:szCs w:val="21"/>
          <w:u w:val="none"/>
          <w:lang w:eastAsia="zh-CN"/>
        </w:rPr>
        <w:t>）</w:t>
      </w:r>
      <w:r>
        <w:rPr>
          <w:rFonts w:hint="eastAsia"/>
          <w:szCs w:val="21"/>
        </w:rPr>
        <w:t>，现任我单位</w:t>
      </w:r>
      <w:r>
        <w:rPr>
          <w:rFonts w:hint="eastAsia"/>
          <w:szCs w:val="21"/>
          <w:u w:val="single"/>
        </w:rPr>
        <w:t xml:space="preserve">     </w:t>
      </w:r>
      <w:r>
        <w:rPr>
          <w:rFonts w:hint="eastAsia" w:ascii="Times New Roman" w:eastAsia="宋体"/>
          <w:szCs w:val="21"/>
          <w:u w:val="single"/>
          <w:lang w:val="en-US" w:eastAsia="zh-CN"/>
        </w:rPr>
        <w:t xml:space="preserve">    </w:t>
      </w:r>
      <w:r>
        <w:rPr>
          <w:rFonts w:hint="eastAsia"/>
          <w:szCs w:val="21"/>
          <w:u w:val="single"/>
        </w:rPr>
        <w:t xml:space="preserve">    </w:t>
      </w:r>
      <w:r>
        <w:rPr>
          <w:rFonts w:hint="eastAsia"/>
          <w:szCs w:val="21"/>
        </w:rPr>
        <w:t>职务，为法定代表人（负责人），</w:t>
      </w:r>
      <w:r>
        <w:rPr>
          <w:rFonts w:hint="eastAsia" w:ascii="Times New Roman" w:eastAsia="宋体"/>
          <w:szCs w:val="21"/>
          <w:lang w:val="en-US" w:eastAsia="zh-CN"/>
        </w:rPr>
        <w:t>身份证件</w:t>
      </w:r>
      <w:r>
        <w:rPr>
          <w:rFonts w:hint="eastAsia"/>
          <w:szCs w:val="21"/>
        </w:rPr>
        <w:t>号</w:t>
      </w:r>
      <w:r>
        <w:rPr>
          <w:rFonts w:hint="eastAsia" w:ascii="Times New Roman" w:eastAsia="宋体"/>
          <w:szCs w:val="21"/>
          <w:lang w:val="en-US" w:eastAsia="zh-CN"/>
        </w:rPr>
        <w:t>为</w:t>
      </w:r>
      <w:r>
        <w:rPr>
          <w:rFonts w:hint="eastAsia"/>
          <w:szCs w:val="21"/>
        </w:rPr>
        <w:t>：</w:t>
      </w:r>
      <w:r>
        <w:rPr>
          <w:rFonts w:hint="eastAsia"/>
          <w:szCs w:val="21"/>
          <w:u w:val="single"/>
        </w:rPr>
        <w:t xml:space="preserve">                                     </w:t>
      </w:r>
      <w:r>
        <w:rPr>
          <w:rFonts w:hint="eastAsia" w:eastAsia="宋体"/>
          <w:szCs w:val="21"/>
          <w:u w:val="none"/>
          <w:lang w:eastAsia="zh-CN"/>
        </w:rPr>
        <w:t>，</w:t>
      </w:r>
      <w:r>
        <w:rPr>
          <w:rFonts w:hint="eastAsia"/>
          <w:szCs w:val="21"/>
        </w:rPr>
        <w:t>联系电话：</w:t>
      </w:r>
      <w:r>
        <w:rPr>
          <w:rFonts w:hint="eastAsia" w:ascii="Times New Roman" w:eastAsia="宋体"/>
          <w:szCs w:val="21"/>
          <w:u w:val="single"/>
          <w:lang w:val="en-US" w:eastAsia="zh-CN"/>
        </w:rPr>
        <w:t xml:space="preserve">                </w:t>
      </w:r>
      <w:r>
        <w:rPr>
          <w:rFonts w:hint="eastAsia" w:ascii="Times New Roman" w:eastAsia="宋体"/>
          <w:szCs w:val="21"/>
          <w:lang w:val="en-US" w:eastAsia="zh-CN"/>
        </w:rPr>
        <w:t>。</w:t>
      </w:r>
    </w:p>
    <w:p w14:paraId="1E29CECD">
      <w:pPr>
        <w:spacing w:line="360" w:lineRule="auto"/>
        <w:ind w:firstLine="420" w:firstLineChars="200"/>
        <w:rPr>
          <w:szCs w:val="21"/>
        </w:rPr>
      </w:pPr>
      <w:r>
        <w:rPr>
          <w:rFonts w:hint="eastAsia"/>
          <w:szCs w:val="21"/>
        </w:rPr>
        <w:t>特此证明。</w:t>
      </w:r>
    </w:p>
    <w:p w14:paraId="0F65EC37">
      <w:pPr>
        <w:spacing w:line="360" w:lineRule="auto"/>
        <w:ind w:firstLine="420" w:firstLineChars="200"/>
        <w:rPr>
          <w:rFonts w:hint="eastAsia"/>
          <w:szCs w:val="21"/>
        </w:rPr>
      </w:pPr>
      <w:r>
        <w:rPr>
          <w:rFonts w:hint="eastAsia"/>
          <w:szCs w:val="21"/>
        </w:rPr>
        <w:t>说明：1、法定代表人为投标人（企业事业单位、国家机关、社会团体）的主要行政负责人。</w:t>
      </w:r>
    </w:p>
    <w:p w14:paraId="4BCA9A36">
      <w:pPr>
        <w:numPr>
          <w:ilvl w:val="0"/>
          <w:numId w:val="9"/>
        </w:numPr>
        <w:spacing w:line="360" w:lineRule="auto"/>
        <w:ind w:firstLine="420" w:firstLineChars="200"/>
        <w:rPr>
          <w:rFonts w:hint="eastAsia"/>
          <w:color w:val="auto"/>
          <w:szCs w:val="21"/>
          <w:lang w:val="en-US" w:eastAsia="zh-CN"/>
        </w:rPr>
      </w:pPr>
      <w:r>
        <w:rPr>
          <w:rFonts w:hint="eastAsia" w:eastAsia="宋体"/>
          <w:color w:val="auto"/>
          <w:szCs w:val="21"/>
          <w:lang w:eastAsia="zh-Hans"/>
        </w:rPr>
        <w:t>本证明书要供法定代表人（负责人）</w:t>
      </w:r>
      <w:r>
        <w:rPr>
          <w:rFonts w:hint="eastAsia" w:ascii="Times New Roman" w:eastAsia="宋体"/>
          <w:color w:val="auto"/>
          <w:szCs w:val="21"/>
          <w:lang w:val="en-US" w:eastAsia="zh-CN"/>
        </w:rPr>
        <w:t>相关身份证明文件：身份证扫描件（正反两面）；港澳台居民可提供来往通行证扫描件；非中国国籍管辖范围人员，可提供公安部门认可的身份证明材料扫描件。</w:t>
      </w:r>
    </w:p>
    <w:p w14:paraId="72E1CC24">
      <w:pPr>
        <w:numPr>
          <w:ilvl w:val="0"/>
          <w:numId w:val="9"/>
        </w:numPr>
        <w:spacing w:line="360" w:lineRule="auto"/>
        <w:ind w:firstLine="420" w:firstLineChars="200"/>
        <w:rPr>
          <w:szCs w:val="21"/>
        </w:rPr>
      </w:pPr>
      <w:r>
        <w:rPr>
          <w:rFonts w:hint="eastAsia" w:eastAsia="宋体"/>
          <w:color w:val="auto"/>
          <w:szCs w:val="21"/>
          <w:lang w:eastAsia="zh-Hans"/>
        </w:rPr>
        <w:t>本项目投标授权代表为法定代表人（负责人）的，无需提供</w:t>
      </w:r>
      <w:r>
        <w:rPr>
          <w:rFonts w:hint="eastAsia"/>
          <w:color w:val="auto"/>
          <w:szCs w:val="21"/>
        </w:rPr>
        <w:t>《投标文件签署授权委托书》</w:t>
      </w:r>
      <w:r>
        <w:rPr>
          <w:rFonts w:hint="eastAsia" w:eastAsia="宋体"/>
          <w:color w:val="auto"/>
          <w:szCs w:val="21"/>
          <w:lang w:eastAsia="zh-Hans"/>
        </w:rPr>
        <w:t>。</w:t>
      </w:r>
    </w:p>
    <w:p w14:paraId="3CF4FD96">
      <w:pPr>
        <w:numPr>
          <w:ilvl w:val="0"/>
          <w:numId w:val="9"/>
        </w:numPr>
        <w:spacing w:line="360" w:lineRule="auto"/>
        <w:ind w:firstLine="420" w:firstLineChars="200"/>
        <w:rPr>
          <w:szCs w:val="21"/>
        </w:rPr>
      </w:pPr>
      <w:r>
        <w:rPr>
          <w:rFonts w:hint="eastAsia"/>
          <w:szCs w:val="21"/>
        </w:rPr>
        <w:t>内容必须填写真实、清楚，涂改无效，不得转让、买卖。</w:t>
      </w:r>
    </w:p>
    <w:tbl>
      <w:tblPr>
        <w:tblStyle w:val="4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2F17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vAlign w:val="top"/>
          </w:tcPr>
          <w:p w14:paraId="10AD1F1E">
            <w:pPr>
              <w:jc w:val="center"/>
              <w:rPr>
                <w:rFonts w:hint="eastAsia"/>
                <w:lang w:val="en-US" w:eastAsia="zh-CN"/>
              </w:rPr>
            </w:pPr>
            <w:r>
              <w:rPr>
                <w:rFonts w:hint="eastAsia" w:ascii="Times New Roman" w:eastAsia="宋体"/>
                <w:lang w:val="en-US" w:eastAsia="zh-CN"/>
              </w:rPr>
              <w:t>证件扫描件正面</w:t>
            </w:r>
          </w:p>
          <w:p w14:paraId="144B2681">
            <w:pPr>
              <w:pStyle w:val="2"/>
              <w:jc w:val="center"/>
              <w:rPr>
                <w:rFonts w:hint="eastAsia"/>
                <w:lang w:val="en-US" w:eastAsia="zh-CN"/>
              </w:rPr>
            </w:pPr>
          </w:p>
          <w:p w14:paraId="031E494B">
            <w:pPr>
              <w:pStyle w:val="3"/>
              <w:jc w:val="center"/>
              <w:rPr>
                <w:rFonts w:hint="default"/>
                <w:lang w:val="en-US" w:eastAsia="zh-CN"/>
              </w:rPr>
            </w:pPr>
          </w:p>
        </w:tc>
        <w:tc>
          <w:tcPr>
            <w:tcW w:w="4265" w:type="dxa"/>
            <w:vAlign w:val="top"/>
          </w:tcPr>
          <w:p w14:paraId="5EC9FD81">
            <w:pPr>
              <w:jc w:val="center"/>
              <w:rPr>
                <w:rFonts w:hint="eastAsia"/>
                <w:lang w:val="en-US" w:eastAsia="zh-CN"/>
              </w:rPr>
            </w:pPr>
            <w:r>
              <w:rPr>
                <w:rFonts w:hint="eastAsia" w:ascii="Times New Roman" w:eastAsia="宋体"/>
                <w:lang w:val="en-US" w:eastAsia="zh-CN"/>
              </w:rPr>
              <w:t>证件扫描件反面</w:t>
            </w:r>
          </w:p>
          <w:p w14:paraId="3D49F35F">
            <w:pPr>
              <w:pStyle w:val="2"/>
              <w:jc w:val="center"/>
              <w:rPr>
                <w:rFonts w:hint="eastAsia"/>
                <w:lang w:val="en-US" w:eastAsia="zh-CN"/>
              </w:rPr>
            </w:pPr>
          </w:p>
          <w:p w14:paraId="00C3C228">
            <w:pPr>
              <w:pStyle w:val="3"/>
              <w:jc w:val="center"/>
              <w:rPr>
                <w:rFonts w:hint="eastAsia"/>
                <w:sz w:val="24"/>
                <w:vertAlign w:val="baseline"/>
                <w:lang w:val="en-US" w:eastAsia="zh-CN"/>
              </w:rPr>
            </w:pPr>
          </w:p>
        </w:tc>
      </w:tr>
    </w:tbl>
    <w:p w14:paraId="505D277B">
      <w:pPr>
        <w:rPr>
          <w:sz w:val="24"/>
        </w:rPr>
      </w:pPr>
    </w:p>
    <w:p w14:paraId="09C26AF4">
      <w:pPr>
        <w:numPr>
          <w:ilvl w:val="0"/>
          <w:numId w:val="0"/>
        </w:numPr>
        <w:spacing w:line="360" w:lineRule="auto"/>
        <w:rPr>
          <w:rFonts w:ascii="宋体" w:hAnsi="宋体" w:cs="宋体"/>
          <w:sz w:val="24"/>
        </w:rPr>
      </w:pPr>
      <w:r>
        <w:rPr>
          <w:rFonts w:hint="eastAsia"/>
          <w:highlight w:val="yellow"/>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14:paraId="1447BF25">
      <w:pPr>
        <w:rPr>
          <w:rFonts w:hint="eastAsia" w:ascii="黑体" w:eastAsia="黑体"/>
          <w:b w:val="0"/>
          <w:sz w:val="24"/>
          <w:lang w:val="en-US" w:eastAsia="zh-CN"/>
        </w:rPr>
      </w:pPr>
    </w:p>
    <w:p w14:paraId="42B5DEB7">
      <w:pPr>
        <w:pStyle w:val="5"/>
        <w:spacing w:before="120" w:after="120"/>
        <w:jc w:val="center"/>
        <w:rPr>
          <w:rFonts w:ascii="黑体" w:eastAsia="黑体"/>
          <w:b w:val="0"/>
          <w:sz w:val="24"/>
        </w:rPr>
      </w:pPr>
      <w:r>
        <w:rPr>
          <w:rFonts w:hint="eastAsia" w:ascii="黑体" w:eastAsia="黑体"/>
          <w:b w:val="0"/>
          <w:sz w:val="24"/>
          <w:lang w:val="en-US" w:eastAsia="zh-CN"/>
        </w:rPr>
        <w:t>七</w:t>
      </w:r>
      <w:r>
        <w:rPr>
          <w:rFonts w:hint="eastAsia" w:ascii="黑体" w:eastAsia="黑体"/>
          <w:b w:val="0"/>
          <w:sz w:val="24"/>
        </w:rPr>
        <w:t>、投标文件签署授权委托书</w:t>
      </w:r>
    </w:p>
    <w:p w14:paraId="0CFC5352">
      <w:pPr>
        <w:spacing w:line="360" w:lineRule="auto"/>
        <w:ind w:firstLine="420" w:firstLineChars="200"/>
        <w:rPr>
          <w:rFonts w:hint="eastAsia"/>
          <w:szCs w:val="21"/>
        </w:rPr>
      </w:pPr>
      <w:r>
        <w:rPr>
          <w:rFonts w:hint="eastAsia"/>
          <w:szCs w:val="21"/>
        </w:rPr>
        <w:t>本授权委托书声明：我</w:t>
      </w:r>
      <w:r>
        <w:rPr>
          <w:rFonts w:hint="eastAsia"/>
          <w:szCs w:val="21"/>
          <w:u w:val="single"/>
        </w:rPr>
        <w:t xml:space="preserve">           </w:t>
      </w:r>
      <w:r>
        <w:rPr>
          <w:rFonts w:hint="eastAsia"/>
          <w:szCs w:val="21"/>
        </w:rPr>
        <w:t>（姓名）系</w:t>
      </w:r>
      <w:r>
        <w:rPr>
          <w:rFonts w:hint="eastAsia"/>
          <w:szCs w:val="21"/>
          <w:u w:val="single"/>
        </w:rPr>
        <w:t xml:space="preserve">             </w:t>
      </w:r>
      <w:r>
        <w:rPr>
          <w:rFonts w:hint="eastAsia"/>
          <w:szCs w:val="21"/>
        </w:rPr>
        <w:t>（投标人名称）的法定代表人（负责人），现授权委托</w:t>
      </w:r>
      <w:r>
        <w:rPr>
          <w:rFonts w:hint="eastAsia"/>
          <w:szCs w:val="21"/>
          <w:u w:val="single"/>
        </w:rPr>
        <w:t xml:space="preserve">            </w:t>
      </w:r>
      <w:r>
        <w:rPr>
          <w:rFonts w:hint="eastAsia"/>
          <w:szCs w:val="21"/>
        </w:rPr>
        <w:t>（姓名）为我单位签署本项目已递交的投标文件的法定代表人（负责人）的授权委托代理人，代理人全权代表我所签署的本项目已递交的投标文件内容我均承认。</w:t>
      </w:r>
    </w:p>
    <w:p w14:paraId="6947B3FF">
      <w:pPr>
        <w:spacing w:line="360" w:lineRule="auto"/>
        <w:ind w:firstLine="420" w:firstLineChars="200"/>
        <w:rPr>
          <w:rFonts w:hint="eastAsia"/>
          <w:szCs w:val="21"/>
        </w:rPr>
      </w:pPr>
      <w:r>
        <w:rPr>
          <w:rFonts w:hint="eastAsia"/>
          <w:szCs w:val="21"/>
        </w:rPr>
        <w:t>代理人无转委托权，特此委托。</w:t>
      </w:r>
    </w:p>
    <w:p w14:paraId="02EF8C98">
      <w:pPr>
        <w:spacing w:line="360" w:lineRule="auto"/>
        <w:ind w:firstLine="420" w:firstLineChars="200"/>
        <w:rPr>
          <w:rFonts w:hint="eastAsia"/>
          <w:szCs w:val="21"/>
        </w:rPr>
      </w:pPr>
    </w:p>
    <w:p w14:paraId="26A01988">
      <w:pPr>
        <w:spacing w:line="360" w:lineRule="auto"/>
        <w:ind w:firstLine="420" w:firstLineChars="200"/>
        <w:rPr>
          <w:rFonts w:hint="eastAsia"/>
          <w:szCs w:val="21"/>
          <w:u w:val="none"/>
          <w:lang w:eastAsia="zh-CN"/>
        </w:rPr>
      </w:pPr>
      <w:r>
        <w:rPr>
          <w:rFonts w:hint="eastAsia"/>
          <w:szCs w:val="21"/>
        </w:rPr>
        <w:t>代理人</w:t>
      </w:r>
      <w:r>
        <w:rPr>
          <w:rFonts w:hint="eastAsia" w:eastAsia="宋体"/>
          <w:szCs w:val="21"/>
          <w:lang w:eastAsia="zh-CN"/>
        </w:rPr>
        <w:t>：</w:t>
      </w:r>
      <w:r>
        <w:rPr>
          <w:rFonts w:hint="eastAsia"/>
          <w:szCs w:val="21"/>
          <w:u w:val="single"/>
        </w:rPr>
        <w:t xml:space="preserve">      </w:t>
      </w:r>
      <w:r>
        <w:rPr>
          <w:rFonts w:hint="eastAsia" w:ascii="Times New Roman" w:eastAsia="宋体"/>
          <w:szCs w:val="21"/>
          <w:u w:val="single"/>
          <w:lang w:val="en-US" w:eastAsia="zh-CN"/>
        </w:rPr>
        <w:t xml:space="preserve">  </w:t>
      </w:r>
      <w:r>
        <w:rPr>
          <w:rFonts w:hint="eastAsia"/>
          <w:szCs w:val="21"/>
          <w:u w:val="single"/>
        </w:rPr>
        <w:t xml:space="preserve">      </w:t>
      </w:r>
      <w:r>
        <w:rPr>
          <w:rFonts w:hint="eastAsia" w:eastAsia="宋体"/>
          <w:szCs w:val="21"/>
          <w:u w:val="none"/>
          <w:lang w:eastAsia="zh-CN"/>
        </w:rPr>
        <w:t>；</w:t>
      </w:r>
    </w:p>
    <w:p w14:paraId="01C76E48">
      <w:pPr>
        <w:spacing w:line="360" w:lineRule="auto"/>
        <w:ind w:firstLine="420" w:firstLineChars="200"/>
        <w:rPr>
          <w:rFonts w:hint="eastAsia"/>
          <w:szCs w:val="21"/>
          <w:u w:val="none"/>
          <w:lang w:eastAsia="zh-CN"/>
        </w:rPr>
      </w:pPr>
      <w:r>
        <w:rPr>
          <w:rFonts w:hint="eastAsia"/>
          <w:szCs w:val="21"/>
        </w:rPr>
        <w:t>身份</w:t>
      </w:r>
      <w:r>
        <w:rPr>
          <w:rFonts w:hint="eastAsia" w:ascii="Times New Roman" w:eastAsia="宋体"/>
          <w:szCs w:val="21"/>
          <w:lang w:val="en-US" w:eastAsia="zh-CN"/>
        </w:rPr>
        <w:t>证件号</w:t>
      </w:r>
      <w:r>
        <w:rPr>
          <w:rFonts w:hint="eastAsia"/>
          <w:szCs w:val="21"/>
        </w:rPr>
        <w:t>：</w:t>
      </w:r>
      <w:r>
        <w:rPr>
          <w:rFonts w:hint="eastAsia"/>
          <w:szCs w:val="21"/>
          <w:u w:val="single"/>
        </w:rPr>
        <w:t xml:space="preserve">                        </w:t>
      </w:r>
      <w:r>
        <w:rPr>
          <w:rFonts w:hint="eastAsia" w:eastAsia="宋体"/>
          <w:szCs w:val="21"/>
          <w:u w:val="none"/>
          <w:lang w:eastAsia="zh-CN"/>
        </w:rPr>
        <w:t>，</w:t>
      </w:r>
      <w:r>
        <w:rPr>
          <w:rFonts w:hint="eastAsia"/>
          <w:szCs w:val="21"/>
        </w:rPr>
        <w:t>职务：</w:t>
      </w:r>
      <w:r>
        <w:rPr>
          <w:rFonts w:hint="eastAsia"/>
          <w:szCs w:val="21"/>
          <w:u w:val="single"/>
        </w:rPr>
        <w:t xml:space="preserve">   </w:t>
      </w:r>
      <w:r>
        <w:rPr>
          <w:rFonts w:hint="eastAsia" w:ascii="Times New Roman" w:eastAsia="宋体"/>
          <w:szCs w:val="21"/>
          <w:u w:val="single"/>
          <w:lang w:val="en-US" w:eastAsia="zh-CN"/>
        </w:rPr>
        <w:t xml:space="preserve">         </w:t>
      </w:r>
      <w:r>
        <w:rPr>
          <w:rFonts w:hint="eastAsia"/>
          <w:szCs w:val="21"/>
          <w:u w:val="single"/>
        </w:rPr>
        <w:t xml:space="preserve">    </w:t>
      </w:r>
      <w:r>
        <w:rPr>
          <w:rFonts w:hint="eastAsia" w:eastAsia="宋体"/>
          <w:szCs w:val="21"/>
          <w:u w:val="none"/>
          <w:lang w:eastAsia="zh-CN"/>
        </w:rPr>
        <w:t>；</w:t>
      </w:r>
    </w:p>
    <w:p w14:paraId="3504240B">
      <w:pPr>
        <w:spacing w:line="360" w:lineRule="auto"/>
        <w:ind w:firstLine="420" w:firstLineChars="200"/>
        <w:rPr>
          <w:rFonts w:hint="default"/>
          <w:szCs w:val="21"/>
          <w:u w:val="none"/>
          <w:lang w:val="en-US" w:eastAsia="zh-CN"/>
        </w:rPr>
      </w:pPr>
      <w:r>
        <w:rPr>
          <w:rFonts w:hint="eastAsia"/>
          <w:szCs w:val="21"/>
        </w:rPr>
        <w:t>联系电话：</w:t>
      </w:r>
      <w:r>
        <w:rPr>
          <w:rFonts w:hint="eastAsia"/>
          <w:szCs w:val="21"/>
          <w:u w:val="single"/>
        </w:rPr>
        <w:t xml:space="preserve">         </w:t>
      </w:r>
      <w:r>
        <w:rPr>
          <w:rFonts w:hint="eastAsia" w:eastAsia="宋体"/>
          <w:szCs w:val="21"/>
          <w:lang w:eastAsia="zh-CN"/>
        </w:rPr>
        <w:t>，</w:t>
      </w:r>
      <w:r>
        <w:rPr>
          <w:rFonts w:hint="eastAsia"/>
          <w:szCs w:val="21"/>
        </w:rPr>
        <w:t>手机：</w:t>
      </w:r>
      <w:r>
        <w:rPr>
          <w:rFonts w:hint="eastAsia"/>
          <w:szCs w:val="21"/>
          <w:u w:val="single"/>
        </w:rPr>
        <w:t xml:space="preserve">                </w:t>
      </w:r>
      <w:r>
        <w:rPr>
          <w:rFonts w:hint="eastAsia" w:eastAsia="宋体"/>
          <w:szCs w:val="21"/>
          <w:u w:val="none"/>
          <w:lang w:eastAsia="zh-CN"/>
        </w:rPr>
        <w:t>，</w:t>
      </w:r>
      <w:r>
        <w:rPr>
          <w:rFonts w:hint="eastAsia" w:ascii="Times New Roman" w:eastAsia="宋体"/>
          <w:szCs w:val="21"/>
          <w:u w:val="none"/>
          <w:lang w:val="en-US" w:eastAsia="zh-CN"/>
        </w:rPr>
        <w:t>电子邮箱：</w:t>
      </w:r>
      <w:r>
        <w:rPr>
          <w:rFonts w:hint="eastAsia"/>
          <w:szCs w:val="21"/>
          <w:u w:val="single"/>
        </w:rPr>
        <w:t xml:space="preserve">            </w:t>
      </w:r>
      <w:r>
        <w:rPr>
          <w:rFonts w:hint="eastAsia" w:ascii="Times New Roman" w:eastAsia="宋体"/>
          <w:szCs w:val="21"/>
          <w:u w:val="single"/>
          <w:lang w:val="en-US" w:eastAsia="zh-CN"/>
        </w:rPr>
        <w:t xml:space="preserve">  </w:t>
      </w:r>
      <w:r>
        <w:rPr>
          <w:rFonts w:hint="eastAsia"/>
          <w:szCs w:val="21"/>
          <w:u w:val="single"/>
        </w:rPr>
        <w:t xml:space="preserve">       </w:t>
      </w:r>
      <w:r>
        <w:rPr>
          <w:rFonts w:hint="eastAsia" w:eastAsia="宋体"/>
          <w:szCs w:val="21"/>
          <w:u w:val="none"/>
          <w:lang w:eastAsia="zh-CN"/>
        </w:rPr>
        <w:t>；</w:t>
      </w:r>
    </w:p>
    <w:p w14:paraId="5939975E">
      <w:pPr>
        <w:spacing w:line="360" w:lineRule="auto"/>
        <w:ind w:firstLine="420" w:firstLineChars="200"/>
        <w:rPr>
          <w:rFonts w:hint="eastAsia" w:eastAsia="宋体"/>
          <w:szCs w:val="21"/>
          <w:lang w:eastAsia="zh-CN"/>
        </w:rPr>
      </w:pPr>
      <w:r>
        <w:rPr>
          <w:rFonts w:hint="eastAsia"/>
          <w:szCs w:val="21"/>
        </w:rPr>
        <w:t>授权委托日期：</w:t>
      </w:r>
      <w:r>
        <w:rPr>
          <w:rFonts w:hint="eastAsia"/>
          <w:szCs w:val="21"/>
          <w:u w:val="single"/>
        </w:rPr>
        <w:t xml:space="preserve">         </w:t>
      </w:r>
      <w:r>
        <w:rPr>
          <w:rFonts w:hint="eastAsia"/>
          <w:szCs w:val="21"/>
        </w:rPr>
        <w:t>年</w:t>
      </w:r>
      <w:r>
        <w:rPr>
          <w:rFonts w:hint="eastAsia"/>
          <w:szCs w:val="21"/>
          <w:u w:val="single"/>
        </w:rPr>
        <w:t xml:space="preserve">     </w:t>
      </w:r>
      <w:r>
        <w:rPr>
          <w:rFonts w:hint="eastAsia"/>
          <w:szCs w:val="21"/>
        </w:rPr>
        <w:t xml:space="preserve">月 </w:t>
      </w:r>
      <w:r>
        <w:rPr>
          <w:rFonts w:hint="eastAsia"/>
          <w:szCs w:val="21"/>
          <w:u w:val="single"/>
        </w:rPr>
        <w:t xml:space="preserve">      </w:t>
      </w:r>
      <w:r>
        <w:rPr>
          <w:rFonts w:hint="eastAsia"/>
          <w:szCs w:val="21"/>
        </w:rPr>
        <w:t>日</w:t>
      </w:r>
      <w:r>
        <w:rPr>
          <w:rFonts w:hint="eastAsia" w:eastAsia="宋体"/>
          <w:szCs w:val="21"/>
          <w:lang w:eastAsia="zh-CN"/>
        </w:rPr>
        <w:t>。</w:t>
      </w:r>
    </w:p>
    <w:p w14:paraId="6DD8803D">
      <w:pPr>
        <w:spacing w:line="360" w:lineRule="auto"/>
        <w:ind w:firstLine="422" w:firstLineChars="200"/>
        <w:rPr>
          <w:b/>
          <w:color w:val="FF0000"/>
          <w:szCs w:val="21"/>
        </w:rPr>
      </w:pPr>
      <w:r>
        <w:rPr>
          <w:rFonts w:hint="eastAsia"/>
          <w:b/>
          <w:color w:val="FF0000"/>
          <w:szCs w:val="21"/>
        </w:rPr>
        <w:t>附：请提供代理人身份证扫描件（正反两面）；港澳台居民可提供来往通行证扫描件；非中国国籍管辖范围人员，可提供公安部门认可的身份证明材料扫描件。</w:t>
      </w:r>
    </w:p>
    <w:tbl>
      <w:tblPr>
        <w:tblStyle w:val="44"/>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164BC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vAlign w:val="top"/>
          </w:tcPr>
          <w:p w14:paraId="3DCA5050">
            <w:pPr>
              <w:jc w:val="center"/>
              <w:rPr>
                <w:rFonts w:hint="eastAsia"/>
                <w:lang w:val="en-US" w:eastAsia="zh-CN"/>
              </w:rPr>
            </w:pPr>
            <w:r>
              <w:rPr>
                <w:rFonts w:hint="eastAsia" w:ascii="Times New Roman" w:eastAsia="宋体"/>
                <w:lang w:val="en-US" w:eastAsia="zh-CN"/>
              </w:rPr>
              <w:t>证件扫描件正面</w:t>
            </w:r>
          </w:p>
          <w:p w14:paraId="70BC8FAC">
            <w:pPr>
              <w:pStyle w:val="2"/>
              <w:jc w:val="center"/>
              <w:rPr>
                <w:rFonts w:hint="eastAsia"/>
                <w:lang w:val="en-US" w:eastAsia="zh-CN"/>
              </w:rPr>
            </w:pPr>
          </w:p>
          <w:p w14:paraId="7BC33C72">
            <w:pPr>
              <w:pStyle w:val="3"/>
              <w:jc w:val="center"/>
              <w:rPr>
                <w:rFonts w:hint="default"/>
                <w:lang w:val="en-US" w:eastAsia="zh-CN"/>
              </w:rPr>
            </w:pPr>
          </w:p>
        </w:tc>
        <w:tc>
          <w:tcPr>
            <w:tcW w:w="4265" w:type="dxa"/>
            <w:vAlign w:val="top"/>
          </w:tcPr>
          <w:p w14:paraId="6CC590C7">
            <w:pPr>
              <w:jc w:val="center"/>
              <w:rPr>
                <w:rFonts w:hint="eastAsia"/>
                <w:lang w:val="en-US" w:eastAsia="zh-CN"/>
              </w:rPr>
            </w:pPr>
            <w:r>
              <w:rPr>
                <w:rFonts w:hint="eastAsia" w:ascii="Times New Roman" w:eastAsia="宋体"/>
                <w:lang w:val="en-US" w:eastAsia="zh-CN"/>
              </w:rPr>
              <w:t>证件扫描件反面</w:t>
            </w:r>
          </w:p>
          <w:p w14:paraId="29A7D2D4">
            <w:pPr>
              <w:pStyle w:val="2"/>
              <w:jc w:val="center"/>
              <w:rPr>
                <w:rFonts w:hint="eastAsia"/>
                <w:lang w:val="en-US" w:eastAsia="zh-CN"/>
              </w:rPr>
            </w:pPr>
          </w:p>
          <w:p w14:paraId="3C835993">
            <w:pPr>
              <w:pStyle w:val="3"/>
              <w:jc w:val="center"/>
              <w:rPr>
                <w:rFonts w:hint="eastAsia"/>
                <w:sz w:val="24"/>
                <w:vertAlign w:val="baseline"/>
                <w:lang w:val="en-US" w:eastAsia="zh-CN"/>
              </w:rPr>
            </w:pPr>
          </w:p>
        </w:tc>
      </w:tr>
    </w:tbl>
    <w:p w14:paraId="4FCDD4A0">
      <w:pPr>
        <w:rPr>
          <w:rFonts w:hint="eastAsia" w:ascii="黑体" w:eastAsia="黑体"/>
          <w:b w:val="0"/>
          <w:kern w:val="0"/>
          <w:sz w:val="24"/>
          <w:szCs w:val="24"/>
        </w:rPr>
      </w:pPr>
      <w:r>
        <w:rPr>
          <w:rFonts w:hint="eastAsia"/>
          <w:highlight w:val="yellow"/>
          <w:lang w:val="en-US" w:eastAsia="zh-CN"/>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黑体" w:eastAsia="黑体"/>
          <w:b w:val="0"/>
          <w:kern w:val="0"/>
          <w:sz w:val="24"/>
          <w:szCs w:val="24"/>
        </w:rPr>
        <w:br w:type="page"/>
      </w:r>
    </w:p>
    <w:p w14:paraId="1661A25F">
      <w:pPr>
        <w:pStyle w:val="5"/>
        <w:jc w:val="center"/>
        <w:rPr>
          <w:rFonts w:ascii="黑体" w:eastAsia="黑体"/>
          <w:b w:val="0"/>
          <w:kern w:val="0"/>
          <w:sz w:val="24"/>
          <w:szCs w:val="24"/>
        </w:rPr>
      </w:pPr>
      <w:r>
        <w:rPr>
          <w:rFonts w:hint="eastAsia" w:ascii="黑体" w:eastAsia="黑体"/>
          <w:b w:val="0"/>
          <w:kern w:val="0"/>
          <w:sz w:val="24"/>
          <w:szCs w:val="24"/>
          <w:lang w:val="en-US" w:eastAsia="zh-CN"/>
        </w:rPr>
        <w:t>八</w:t>
      </w:r>
      <w:r>
        <w:rPr>
          <w:rFonts w:hint="eastAsia" w:ascii="黑体" w:eastAsia="黑体"/>
          <w:b w:val="0"/>
          <w:kern w:val="0"/>
          <w:sz w:val="24"/>
          <w:szCs w:val="24"/>
        </w:rPr>
        <w:t>、</w:t>
      </w:r>
      <w:bookmarkStart w:id="45" w:name="_Hlk72092634"/>
      <w:r>
        <w:rPr>
          <w:rFonts w:hint="eastAsia" w:ascii="黑体" w:eastAsia="黑体"/>
          <w:b w:val="0"/>
          <w:kern w:val="0"/>
          <w:sz w:val="24"/>
          <w:szCs w:val="24"/>
        </w:rPr>
        <w:t>实质性条款响应情况表</w:t>
      </w:r>
      <w:bookmarkEnd w:id="45"/>
    </w:p>
    <w:tbl>
      <w:tblPr>
        <w:tblStyle w:val="43"/>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664"/>
        <w:gridCol w:w="1588"/>
        <w:gridCol w:w="1842"/>
        <w:gridCol w:w="1418"/>
      </w:tblGrid>
      <w:tr w14:paraId="655D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4712EB3A">
            <w:pPr>
              <w:adjustRightInd w:val="0"/>
              <w:snapToGrid w:val="0"/>
              <w:spacing w:line="360" w:lineRule="auto"/>
              <w:jc w:val="center"/>
              <w:rPr>
                <w:rFonts w:ascii="宋体" w:hAnsi="宋体"/>
                <w:kern w:val="0"/>
                <w:szCs w:val="21"/>
              </w:rPr>
            </w:pPr>
            <w:bookmarkStart w:id="46" w:name="_Hlk72092651"/>
            <w:r>
              <w:rPr>
                <w:rFonts w:hint="eastAsia" w:ascii="宋体" w:hAnsi="宋体"/>
                <w:kern w:val="0"/>
                <w:szCs w:val="21"/>
              </w:rPr>
              <w:t>序号</w:t>
            </w:r>
          </w:p>
        </w:tc>
        <w:tc>
          <w:tcPr>
            <w:tcW w:w="2664" w:type="dxa"/>
            <w:vAlign w:val="center"/>
          </w:tcPr>
          <w:p w14:paraId="6558F393">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88" w:type="dxa"/>
            <w:vAlign w:val="center"/>
          </w:tcPr>
          <w:p w14:paraId="5CAC3A21">
            <w:pPr>
              <w:adjustRightInd w:val="0"/>
              <w:snapToGrid w:val="0"/>
              <w:spacing w:line="360" w:lineRule="auto"/>
              <w:jc w:val="center"/>
              <w:rPr>
                <w:rFonts w:ascii="宋体" w:hAnsi="宋体"/>
                <w:kern w:val="0"/>
                <w:szCs w:val="21"/>
              </w:rPr>
            </w:pPr>
            <w:r>
              <w:rPr>
                <w:rFonts w:hint="eastAsia"/>
              </w:rPr>
              <w:t>投标响应</w:t>
            </w:r>
          </w:p>
        </w:tc>
        <w:tc>
          <w:tcPr>
            <w:tcW w:w="1842" w:type="dxa"/>
            <w:vAlign w:val="center"/>
          </w:tcPr>
          <w:p w14:paraId="615F0D3A">
            <w:pPr>
              <w:adjustRightInd w:val="0"/>
              <w:snapToGrid w:val="0"/>
              <w:spacing w:line="360" w:lineRule="auto"/>
              <w:jc w:val="center"/>
              <w:rPr>
                <w:rFonts w:ascii="宋体" w:hAnsi="宋体"/>
                <w:kern w:val="0"/>
                <w:szCs w:val="21"/>
              </w:rPr>
            </w:pPr>
            <w:r>
              <w:rPr>
                <w:rFonts w:hint="eastAsia"/>
              </w:rPr>
              <w:t>偏离情况</w:t>
            </w:r>
          </w:p>
        </w:tc>
        <w:tc>
          <w:tcPr>
            <w:tcW w:w="1418" w:type="dxa"/>
            <w:vAlign w:val="center"/>
          </w:tcPr>
          <w:p w14:paraId="25C5A88B">
            <w:pPr>
              <w:adjustRightInd w:val="0"/>
              <w:snapToGrid w:val="0"/>
              <w:spacing w:line="360" w:lineRule="auto"/>
              <w:jc w:val="center"/>
              <w:rPr>
                <w:rFonts w:ascii="宋体" w:hAnsi="宋体"/>
                <w:kern w:val="0"/>
                <w:szCs w:val="21"/>
              </w:rPr>
            </w:pPr>
            <w:r>
              <w:rPr>
                <w:rFonts w:hint="eastAsia"/>
              </w:rPr>
              <w:t>说明</w:t>
            </w:r>
          </w:p>
        </w:tc>
      </w:tr>
      <w:bookmarkEnd w:id="46"/>
      <w:tr w14:paraId="5DE48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7DF2D4C9">
            <w:pPr>
              <w:adjustRightInd w:val="0"/>
              <w:snapToGrid w:val="0"/>
              <w:spacing w:line="360" w:lineRule="auto"/>
              <w:rPr>
                <w:rFonts w:ascii="宋体" w:hAnsi="宋体"/>
                <w:kern w:val="0"/>
                <w:szCs w:val="21"/>
              </w:rPr>
            </w:pPr>
            <w:r>
              <w:rPr>
                <w:rFonts w:hint="eastAsia" w:ascii="宋体" w:hAnsi="宋体"/>
                <w:kern w:val="0"/>
                <w:szCs w:val="21"/>
              </w:rPr>
              <w:t>1</w:t>
            </w:r>
          </w:p>
        </w:tc>
        <w:tc>
          <w:tcPr>
            <w:tcW w:w="2664" w:type="dxa"/>
            <w:vAlign w:val="top"/>
          </w:tcPr>
          <w:p w14:paraId="37600237">
            <w:pPr>
              <w:pStyle w:val="7"/>
              <w:pageBreakBefore w:val="0"/>
              <w:widowControl w:val="0"/>
              <w:kinsoku/>
              <w:wordWrap/>
              <w:overflowPunct/>
              <w:topLinePunct w:val="0"/>
              <w:autoSpaceDE/>
              <w:autoSpaceDN/>
              <w:bidi w:val="0"/>
              <w:snapToGrid/>
              <w:spacing w:before="0" w:after="0" w:line="240" w:lineRule="auto"/>
              <w:jc w:val="left"/>
              <w:rPr>
                <w:rFonts w:hint="eastAsia" w:asciiTheme="minorEastAsia" w:hAnsiTheme="minorEastAsia" w:eastAsiaTheme="minorEastAsia" w:cstheme="minorEastAsia"/>
                <w:b/>
                <w:bCs/>
                <w:color w:val="000000"/>
                <w:sz w:val="21"/>
                <w:szCs w:val="21"/>
                <w:highlight w:val="none"/>
                <w:lang w:eastAsia="zh-CN"/>
              </w:rPr>
            </w:pPr>
            <w:r>
              <w:rPr>
                <w:rFonts w:hint="eastAsia" w:asciiTheme="minorEastAsia" w:hAnsiTheme="minorEastAsia" w:eastAsiaTheme="minorEastAsia" w:cstheme="minorEastAsia"/>
                <w:b/>
                <w:bCs/>
                <w:color w:val="000000"/>
                <w:sz w:val="21"/>
                <w:szCs w:val="21"/>
                <w:highlight w:val="none"/>
              </w:rPr>
              <w:t>服务期限</w:t>
            </w:r>
            <w:r>
              <w:rPr>
                <w:rFonts w:hint="eastAsia" w:asciiTheme="minorEastAsia" w:hAnsiTheme="minorEastAsia" w:eastAsiaTheme="minorEastAsia" w:cstheme="minorEastAsia"/>
                <w:b/>
                <w:bCs/>
                <w:color w:val="000000"/>
                <w:sz w:val="21"/>
                <w:szCs w:val="21"/>
                <w:highlight w:val="none"/>
                <w:lang w:eastAsia="zh-CN"/>
              </w:rPr>
              <w:t>：</w:t>
            </w:r>
          </w:p>
          <w:p w14:paraId="1EDC3C55">
            <w:pPr>
              <w:pStyle w:val="7"/>
              <w:pageBreakBefore w:val="0"/>
              <w:widowControl w:val="0"/>
              <w:kinsoku/>
              <w:wordWrap/>
              <w:overflowPunct/>
              <w:topLinePunct w:val="0"/>
              <w:autoSpaceDE/>
              <w:autoSpaceDN/>
              <w:bidi w:val="0"/>
              <w:snapToGrid/>
              <w:spacing w:before="0" w:after="0" w:line="240" w:lineRule="auto"/>
              <w:jc w:val="left"/>
              <w:rPr>
                <w:rFonts w:hint="eastAsia" w:asciiTheme="minorEastAsia" w:hAnsiTheme="minorEastAsia" w:eastAsiaTheme="minorEastAsia" w:cstheme="minorEastAsia"/>
                <w:b w:val="0"/>
                <w:bCs w:val="0"/>
                <w:color w:val="000000"/>
                <w:sz w:val="21"/>
                <w:szCs w:val="21"/>
                <w:highlight w:val="none"/>
              </w:rPr>
            </w:pPr>
            <w:r>
              <w:rPr>
                <w:rFonts w:hint="eastAsia" w:asciiTheme="minorEastAsia" w:hAnsiTheme="minorEastAsia" w:eastAsiaTheme="minorEastAsia" w:cstheme="minorEastAsia"/>
                <w:b w:val="0"/>
                <w:bCs w:val="0"/>
                <w:color w:val="000000"/>
                <w:sz w:val="21"/>
                <w:szCs w:val="21"/>
                <w:highlight w:val="none"/>
              </w:rPr>
              <w:t>1.</w:t>
            </w:r>
            <w:r>
              <w:rPr>
                <w:rFonts w:hint="eastAsia" w:hAnsi="宋体" w:eastAsiaTheme="minorEastAsia"/>
                <w:kern w:val="0"/>
                <w:szCs w:val="21"/>
                <w:highlight w:val="none"/>
              </w:rPr>
              <w:t>★</w:t>
            </w:r>
            <w:r>
              <w:rPr>
                <w:rFonts w:hint="eastAsia" w:asciiTheme="minorEastAsia" w:hAnsiTheme="minorEastAsia" w:eastAsiaTheme="minorEastAsia" w:cstheme="minorEastAsia"/>
                <w:b w:val="0"/>
                <w:bCs w:val="0"/>
                <w:color w:val="000000"/>
                <w:sz w:val="21"/>
                <w:szCs w:val="21"/>
                <w:highlight w:val="none"/>
              </w:rPr>
              <w:t>自合同签订之日起一年。</w:t>
            </w:r>
          </w:p>
          <w:p w14:paraId="1457EC60">
            <w:pPr>
              <w:pageBreakBefore w:val="0"/>
              <w:widowControl w:val="0"/>
              <w:kinsoku/>
              <w:wordWrap/>
              <w:overflowPunct/>
              <w:topLinePunct w:val="0"/>
              <w:autoSpaceDE/>
              <w:autoSpaceDN/>
              <w:bidi w:val="0"/>
              <w:snapToGrid/>
              <w:spacing w:line="240" w:lineRule="auto"/>
              <w:rPr>
                <w:rFonts w:hAnsi="宋体"/>
                <w:kern w:val="0"/>
                <w:sz w:val="21"/>
                <w:szCs w:val="21"/>
              </w:rPr>
            </w:pPr>
            <w:r>
              <w:rPr>
                <w:rFonts w:hint="eastAsia" w:asciiTheme="minorEastAsia" w:hAnsiTheme="minorEastAsia" w:eastAsiaTheme="minorEastAsia" w:cstheme="minorEastAsia"/>
                <w:b w:val="0"/>
                <w:bCs w:val="0"/>
                <w:color w:val="000000"/>
                <w:sz w:val="21"/>
                <w:szCs w:val="21"/>
                <w:highlight w:val="none"/>
              </w:rPr>
              <w:t>2.</w:t>
            </w:r>
            <w:r>
              <w:rPr>
                <w:rFonts w:hint="eastAsia" w:hAnsi="宋体" w:eastAsiaTheme="minorEastAsia"/>
                <w:kern w:val="0"/>
                <w:szCs w:val="21"/>
                <w:highlight w:val="none"/>
              </w:rPr>
              <w:t>★</w:t>
            </w:r>
            <w:r>
              <w:rPr>
                <w:rFonts w:hint="eastAsia" w:asciiTheme="minorEastAsia" w:hAnsiTheme="minorEastAsia" w:eastAsiaTheme="minorEastAsia" w:cstheme="minorEastAsia"/>
                <w:b w:val="0"/>
                <w:bCs w:val="0"/>
                <w:color w:val="000000"/>
                <w:sz w:val="21"/>
                <w:szCs w:val="21"/>
                <w:highlight w:val="none"/>
              </w:rPr>
              <w:t>保险期限结束后，对于保险期限内发生的保险事故，中标单位应继续提供服务，服务内容及要求不变。</w:t>
            </w:r>
          </w:p>
        </w:tc>
        <w:tc>
          <w:tcPr>
            <w:tcW w:w="1588" w:type="dxa"/>
          </w:tcPr>
          <w:p w14:paraId="306F03D2">
            <w:pPr>
              <w:adjustRightInd w:val="0"/>
              <w:snapToGrid w:val="0"/>
              <w:spacing w:line="360" w:lineRule="auto"/>
              <w:rPr>
                <w:rFonts w:ascii="宋体" w:hAnsi="宋体"/>
                <w:kern w:val="0"/>
                <w:szCs w:val="21"/>
              </w:rPr>
            </w:pPr>
          </w:p>
        </w:tc>
        <w:tc>
          <w:tcPr>
            <w:tcW w:w="1842" w:type="dxa"/>
          </w:tcPr>
          <w:p w14:paraId="280BC23B">
            <w:pPr>
              <w:adjustRightInd w:val="0"/>
              <w:snapToGrid w:val="0"/>
              <w:spacing w:line="360" w:lineRule="auto"/>
              <w:rPr>
                <w:rFonts w:ascii="宋体" w:hAnsi="宋体"/>
                <w:kern w:val="0"/>
                <w:szCs w:val="21"/>
              </w:rPr>
            </w:pPr>
          </w:p>
        </w:tc>
        <w:tc>
          <w:tcPr>
            <w:tcW w:w="1418" w:type="dxa"/>
          </w:tcPr>
          <w:p w14:paraId="3CC22C83">
            <w:pPr>
              <w:adjustRightInd w:val="0"/>
              <w:snapToGrid w:val="0"/>
              <w:spacing w:line="360" w:lineRule="auto"/>
              <w:rPr>
                <w:rFonts w:ascii="宋体" w:hAnsi="宋体"/>
                <w:kern w:val="0"/>
                <w:szCs w:val="21"/>
              </w:rPr>
            </w:pPr>
          </w:p>
        </w:tc>
      </w:tr>
      <w:tr w14:paraId="0DF8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tcPr>
          <w:p w14:paraId="675361A0">
            <w:pPr>
              <w:adjustRightInd w:val="0"/>
              <w:snapToGrid w:val="0"/>
              <w:spacing w:line="360" w:lineRule="auto"/>
              <w:rPr>
                <w:rFonts w:ascii="宋体" w:hAnsi="宋体"/>
                <w:kern w:val="0"/>
                <w:szCs w:val="21"/>
              </w:rPr>
            </w:pPr>
            <w:r>
              <w:rPr>
                <w:rFonts w:hint="eastAsia" w:ascii="宋体" w:hAnsi="宋体"/>
                <w:kern w:val="0"/>
                <w:szCs w:val="21"/>
              </w:rPr>
              <w:t>2</w:t>
            </w:r>
          </w:p>
        </w:tc>
        <w:tc>
          <w:tcPr>
            <w:tcW w:w="2664" w:type="dxa"/>
            <w:vAlign w:val="top"/>
          </w:tcPr>
          <w:p w14:paraId="6A5CB626">
            <w:pPr>
              <w:pageBreakBefore w:val="0"/>
              <w:kinsoku/>
              <w:wordWrap/>
              <w:overflowPunct/>
              <w:topLinePunct w:val="0"/>
              <w:bidi w:val="0"/>
              <w:spacing w:line="240" w:lineRule="auto"/>
              <w:rPr>
                <w:rFonts w:hAnsi="宋体"/>
                <w:kern w:val="0"/>
                <w:sz w:val="21"/>
                <w:szCs w:val="21"/>
              </w:rPr>
            </w:pPr>
            <w:r>
              <w:rPr>
                <w:rFonts w:hint="eastAsia" w:hAnsi="宋体" w:cs="宋体"/>
                <w:b/>
                <w:bCs w:val="0"/>
                <w:sz w:val="21"/>
                <w:szCs w:val="21"/>
                <w:lang w:val="en-US" w:eastAsia="zh-CN"/>
              </w:rPr>
              <w:t>项目人员一览表</w:t>
            </w:r>
            <w:r>
              <w:rPr>
                <w:rFonts w:hint="eastAsia" w:asciiTheme="minorEastAsia" w:hAnsiTheme="minorEastAsia" w:eastAsiaTheme="minorEastAsia"/>
                <w:sz w:val="21"/>
                <w:szCs w:val="21"/>
              </w:rPr>
              <w:t>★人员类别★数量★人员必须具备条件</w:t>
            </w:r>
          </w:p>
        </w:tc>
        <w:tc>
          <w:tcPr>
            <w:tcW w:w="1588" w:type="dxa"/>
          </w:tcPr>
          <w:p w14:paraId="5BA13C78">
            <w:pPr>
              <w:adjustRightInd w:val="0"/>
              <w:snapToGrid w:val="0"/>
              <w:spacing w:line="360" w:lineRule="auto"/>
              <w:rPr>
                <w:rFonts w:ascii="宋体" w:hAnsi="宋体"/>
                <w:kern w:val="0"/>
                <w:szCs w:val="21"/>
              </w:rPr>
            </w:pPr>
          </w:p>
        </w:tc>
        <w:tc>
          <w:tcPr>
            <w:tcW w:w="1842" w:type="dxa"/>
          </w:tcPr>
          <w:p w14:paraId="7E0A7F95">
            <w:pPr>
              <w:adjustRightInd w:val="0"/>
              <w:snapToGrid w:val="0"/>
              <w:spacing w:line="360" w:lineRule="auto"/>
              <w:rPr>
                <w:rFonts w:ascii="宋体" w:hAnsi="宋体"/>
                <w:kern w:val="0"/>
                <w:szCs w:val="21"/>
              </w:rPr>
            </w:pPr>
          </w:p>
        </w:tc>
        <w:tc>
          <w:tcPr>
            <w:tcW w:w="1418" w:type="dxa"/>
          </w:tcPr>
          <w:p w14:paraId="133F001E">
            <w:pPr>
              <w:adjustRightInd w:val="0"/>
              <w:snapToGrid w:val="0"/>
              <w:spacing w:line="360" w:lineRule="auto"/>
              <w:rPr>
                <w:rFonts w:ascii="宋体" w:hAnsi="宋体"/>
                <w:kern w:val="0"/>
                <w:szCs w:val="21"/>
              </w:rPr>
            </w:pPr>
          </w:p>
        </w:tc>
      </w:tr>
    </w:tbl>
    <w:p w14:paraId="35DE987A">
      <w:pPr>
        <w:ind w:firstLine="482" w:firstLineChars="200"/>
        <w:rPr>
          <w:b/>
          <w:sz w:val="24"/>
          <w:szCs w:val="22"/>
        </w:rPr>
      </w:pPr>
      <w:r>
        <w:rPr>
          <w:rFonts w:hint="eastAsia"/>
          <w:b/>
          <w:sz w:val="24"/>
          <w:szCs w:val="22"/>
        </w:rPr>
        <w:t>注：1.上表所列各项均为不可负偏离条款。</w:t>
      </w:r>
    </w:p>
    <w:p w14:paraId="3B78B560">
      <w:pPr>
        <w:ind w:firstLine="482" w:firstLineChars="200"/>
        <w:rPr>
          <w:b/>
          <w:sz w:val="24"/>
          <w:szCs w:val="22"/>
        </w:rPr>
      </w:pPr>
      <w:r>
        <w:rPr>
          <w:rFonts w:hint="eastAsia"/>
          <w:b/>
          <w:sz w:val="24"/>
          <w:szCs w:val="22"/>
        </w:rPr>
        <w:t>2.“投标响应”一栏应当详细填写投标人自身响应情况，而不能不合理照搬照抄招实质性条款具体内容。</w:t>
      </w:r>
    </w:p>
    <w:p w14:paraId="2FA202D4">
      <w:pPr>
        <w:ind w:firstLine="482" w:firstLineChars="200"/>
        <w:rPr>
          <w:b/>
          <w:sz w:val="24"/>
          <w:szCs w:val="22"/>
        </w:rPr>
      </w:pPr>
      <w:r>
        <w:rPr>
          <w:rFonts w:hint="eastAsia"/>
          <w:b/>
          <w:sz w:val="24"/>
          <w:szCs w:val="22"/>
        </w:rPr>
        <w:t>3</w:t>
      </w:r>
      <w:r>
        <w:rPr>
          <w:b/>
          <w:sz w:val="24"/>
          <w:szCs w:val="22"/>
        </w:rPr>
        <w:t>.</w:t>
      </w:r>
      <w:r>
        <w:rPr>
          <w:rFonts w:hint="eastAsia"/>
          <w:b/>
          <w:sz w:val="24"/>
          <w:szCs w:val="22"/>
        </w:rPr>
        <w:t>“偏离情况”一栏应填写“正偏离”、“负偏离”或“无偏离”，</w:t>
      </w:r>
      <w:r>
        <w:rPr>
          <w:rFonts w:hint="eastAsia"/>
          <w:b/>
          <w:sz w:val="24"/>
        </w:rPr>
        <w:t>“正偏离”表示“投标响应优于实质性条款具体内容要求”，“负偏离”表示“投标响应不满足实质性条款具体内容要求”，“无偏离”表示“投标响应与实质性条款具体内容要求一致”。</w:t>
      </w:r>
    </w:p>
    <w:p w14:paraId="3463FC92">
      <w:pPr>
        <w:ind w:firstLine="482" w:firstLineChars="200"/>
        <w:rPr>
          <w:b/>
          <w:sz w:val="24"/>
        </w:rPr>
      </w:pPr>
      <w:r>
        <w:rPr>
          <w:b/>
          <w:sz w:val="24"/>
        </w:rPr>
        <w:t>4.</w:t>
      </w:r>
      <w:r>
        <w:rPr>
          <w:rFonts w:hint="eastAsia"/>
          <w:b/>
          <w:sz w:val="24"/>
        </w:rPr>
        <w:t>评审委员会有权对投标响应情况作出判断（作出评审结论）。</w:t>
      </w:r>
    </w:p>
    <w:p w14:paraId="65A8BB11">
      <w:pPr>
        <w:ind w:firstLine="482" w:firstLineChars="200"/>
        <w:rPr>
          <w:b/>
          <w:sz w:val="24"/>
          <w:szCs w:val="22"/>
        </w:rPr>
      </w:pPr>
      <w:r>
        <w:rPr>
          <w:b/>
          <w:sz w:val="24"/>
          <w:szCs w:val="22"/>
        </w:rPr>
        <w:t>5</w:t>
      </w:r>
      <w:r>
        <w:rPr>
          <w:rFonts w:hint="eastAsia"/>
          <w:b/>
          <w:sz w:val="24"/>
          <w:szCs w:val="22"/>
        </w:rPr>
        <w:t>.实质性响应条款“投标响应情况”与投标文件其它内容冲突的，以实质性响应条款“投标响应情况”为准。</w:t>
      </w:r>
    </w:p>
    <w:p w14:paraId="10152009">
      <w:pPr>
        <w:ind w:firstLine="482" w:firstLineChars="200"/>
        <w:rPr>
          <w:b/>
          <w:sz w:val="24"/>
          <w:szCs w:val="22"/>
        </w:rPr>
      </w:pPr>
      <w:r>
        <w:rPr>
          <w:rFonts w:hint="eastAsia"/>
          <w:b/>
          <w:sz w:val="24"/>
          <w:szCs w:val="22"/>
        </w:rPr>
        <w:t>6.要求提供证明资料，在“说明”一栏中列明证明资料的位置,以便评审；未要求提供证明材料的，投标人可以不提供。</w:t>
      </w:r>
    </w:p>
    <w:p w14:paraId="4977E526">
      <w:pPr>
        <w:ind w:firstLine="420" w:firstLineChars="200"/>
      </w:pPr>
    </w:p>
    <w:p w14:paraId="7B7854F8">
      <w:pPr>
        <w:numPr>
          <w:ilvl w:val="0"/>
          <w:numId w:val="0"/>
        </w:numPr>
        <w:ind w:left="0" w:leftChars="0" w:firstLine="0" w:firstLineChars="0"/>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九、项目资金保障方案</w:t>
      </w:r>
    </w:p>
    <w:p w14:paraId="7E3481D8">
      <w:pPr>
        <w:pStyle w:val="2"/>
        <w:widowControl w:val="0"/>
        <w:numPr>
          <w:ilvl w:val="0"/>
          <w:numId w:val="0"/>
        </w:numPr>
        <w:spacing w:line="360" w:lineRule="auto"/>
        <w:jc w:val="center"/>
        <w:rPr>
          <w:rFonts w:hint="eastAsia" w:ascii="宋体" w:hAnsi="宋体" w:eastAsia="宋体" w:cs="宋体"/>
          <w:b/>
          <w:bCs/>
          <w:kern w:val="2"/>
          <w:sz w:val="21"/>
          <w:szCs w:val="21"/>
          <w:lang w:val="en-US" w:eastAsia="zh-CN" w:bidi="ar-SA"/>
        </w:rPr>
      </w:pPr>
      <w:bookmarkStart w:id="104" w:name="_GoBack"/>
      <w:bookmarkEnd w:id="104"/>
    </w:p>
    <w:p w14:paraId="7F57EBEC">
      <w:pPr>
        <w:numPr>
          <w:ilvl w:val="0"/>
          <w:numId w:val="0"/>
        </w:numPr>
        <w:ind w:left="0" w:leftChars="0" w:firstLine="0" w:firstLineChars="0"/>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十、</w:t>
      </w:r>
      <w:r>
        <w:rPr>
          <w:rFonts w:hint="eastAsia"/>
          <w:b/>
          <w:bCs/>
          <w:color w:val="auto"/>
          <w:sz w:val="21"/>
          <w:szCs w:val="21"/>
          <w:highlight w:val="none"/>
          <w:lang w:val="en-US" w:eastAsia="zh-CN"/>
        </w:rPr>
        <w:t>项目经理及项目团队人员</w:t>
      </w:r>
    </w:p>
    <w:p w14:paraId="7F9D6A57">
      <w:pPr>
        <w:pStyle w:val="2"/>
        <w:rPr>
          <w:rFonts w:hint="eastAsia"/>
          <w:b/>
          <w:bCs/>
          <w:sz w:val="21"/>
          <w:szCs w:val="21"/>
          <w:lang w:val="en-US" w:eastAsia="zh-CN"/>
        </w:rPr>
      </w:pPr>
    </w:p>
    <w:p w14:paraId="10B5FA7E">
      <w:pPr>
        <w:pStyle w:val="2"/>
        <w:numPr>
          <w:ilvl w:val="0"/>
          <w:numId w:val="0"/>
        </w:numPr>
        <w:ind w:left="0" w:leftChars="0" w:firstLine="0" w:firstLineChars="0"/>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十一、项目实施方案</w:t>
      </w:r>
    </w:p>
    <w:p w14:paraId="72DDC566">
      <w:pPr>
        <w:pStyle w:val="3"/>
        <w:rPr>
          <w:rFonts w:hint="eastAsia" w:ascii="宋体" w:hAnsi="宋体" w:eastAsia="宋体" w:cs="宋体"/>
          <w:b/>
          <w:bCs/>
          <w:kern w:val="2"/>
          <w:sz w:val="21"/>
          <w:szCs w:val="21"/>
          <w:lang w:val="en-US" w:eastAsia="zh-CN" w:bidi="ar-SA"/>
        </w:rPr>
      </w:pPr>
    </w:p>
    <w:p w14:paraId="1D1B223D">
      <w:pPr>
        <w:numPr>
          <w:ilvl w:val="0"/>
          <w:numId w:val="0"/>
        </w:numPr>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十二、理赔服务承诺</w:t>
      </w:r>
    </w:p>
    <w:p w14:paraId="024A9458">
      <w:pPr>
        <w:numPr>
          <w:ilvl w:val="0"/>
          <w:numId w:val="0"/>
        </w:numPr>
        <w:jc w:val="center"/>
        <w:rPr>
          <w:rFonts w:hint="eastAsia" w:ascii="宋体" w:hAnsi="宋体" w:eastAsia="宋体" w:cs="宋体"/>
          <w:b/>
          <w:bCs/>
          <w:kern w:val="2"/>
          <w:sz w:val="21"/>
          <w:szCs w:val="21"/>
          <w:lang w:val="en-US" w:eastAsia="zh-CN" w:bidi="ar-SA"/>
        </w:rPr>
      </w:pPr>
    </w:p>
    <w:p w14:paraId="19143889">
      <w:pPr>
        <w:numPr>
          <w:ilvl w:val="0"/>
          <w:numId w:val="10"/>
        </w:numPr>
        <w:jc w:val="center"/>
        <w:rPr>
          <w:rFonts w:hint="eastAsia" w:ascii="宋体" w:hAnsi="宋体" w:eastAsia="宋体" w:cs="宋体"/>
          <w:b/>
          <w:bCs/>
          <w:kern w:val="2"/>
          <w:sz w:val="21"/>
          <w:szCs w:val="21"/>
          <w:lang w:val="en-US" w:eastAsia="zh-CN" w:bidi="ar-SA"/>
        </w:rPr>
      </w:pPr>
      <w:r>
        <w:rPr>
          <w:rFonts w:hint="eastAsia" w:ascii="宋体" w:hAnsi="宋体"/>
          <w:b/>
          <w:bCs/>
          <w:szCs w:val="21"/>
          <w:lang w:eastAsia="zh-CN"/>
        </w:rPr>
        <w:t>违约承诺</w:t>
      </w:r>
    </w:p>
    <w:p w14:paraId="5EDC1C40">
      <w:pPr>
        <w:pStyle w:val="2"/>
        <w:numPr>
          <w:ilvl w:val="0"/>
          <w:numId w:val="0"/>
        </w:numPr>
        <w:rPr>
          <w:rFonts w:hint="eastAsia"/>
          <w:b/>
          <w:bCs/>
          <w:sz w:val="21"/>
          <w:szCs w:val="21"/>
          <w:lang w:val="en-US" w:eastAsia="zh-CN"/>
        </w:rPr>
      </w:pPr>
    </w:p>
    <w:p w14:paraId="54E0819C">
      <w:pPr>
        <w:numPr>
          <w:ilvl w:val="0"/>
          <w:numId w:val="0"/>
        </w:numPr>
        <w:jc w:val="center"/>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十四、</w:t>
      </w:r>
      <w:r>
        <w:rPr>
          <w:rFonts w:hint="eastAsia" w:ascii="宋体" w:hAnsi="宋体"/>
          <w:b/>
          <w:bCs/>
          <w:szCs w:val="21"/>
          <w:lang w:eastAsia="zh-CN"/>
        </w:rPr>
        <w:t>综合偿付能力充足率情况</w:t>
      </w:r>
    </w:p>
    <w:p w14:paraId="469E8C89">
      <w:pPr>
        <w:numPr>
          <w:ilvl w:val="0"/>
          <w:numId w:val="0"/>
        </w:numPr>
        <w:jc w:val="center"/>
        <w:rPr>
          <w:rFonts w:hint="eastAsia" w:ascii="宋体" w:hAnsi="宋体" w:eastAsia="宋体" w:cs="宋体"/>
          <w:b/>
          <w:bCs/>
          <w:kern w:val="2"/>
          <w:sz w:val="21"/>
          <w:szCs w:val="21"/>
          <w:lang w:val="en-US" w:eastAsia="zh-CN" w:bidi="ar-SA"/>
        </w:rPr>
      </w:pPr>
    </w:p>
    <w:p w14:paraId="54E044C8">
      <w:pPr>
        <w:pStyle w:val="5"/>
        <w:jc w:val="center"/>
        <w:rPr>
          <w:rFonts w:ascii="黑体" w:eastAsia="黑体"/>
          <w:b w:val="0"/>
          <w:bCs w:val="0"/>
          <w:sz w:val="24"/>
          <w:szCs w:val="20"/>
        </w:rPr>
      </w:pPr>
      <w:r>
        <w:rPr>
          <w:rFonts w:hint="eastAsia" w:ascii="黑体" w:eastAsia="黑体"/>
          <w:b w:val="0"/>
          <w:bCs w:val="0"/>
          <w:sz w:val="24"/>
          <w:szCs w:val="20"/>
          <w:lang w:val="en-US" w:eastAsia="zh-CN"/>
        </w:rPr>
        <w:t>十五</w:t>
      </w:r>
      <w:r>
        <w:rPr>
          <w:rFonts w:hint="eastAsia" w:ascii="黑体" w:eastAsia="黑体"/>
          <w:b w:val="0"/>
          <w:bCs w:val="0"/>
          <w:sz w:val="24"/>
          <w:szCs w:val="20"/>
        </w:rPr>
        <w:t>、</w:t>
      </w:r>
      <w:bookmarkStart w:id="47" w:name="_Hlk72062872"/>
      <w:r>
        <w:rPr>
          <w:rFonts w:hint="eastAsia" w:ascii="黑体" w:eastAsia="黑体"/>
          <w:b w:val="0"/>
          <w:bCs w:val="0"/>
          <w:sz w:val="24"/>
          <w:szCs w:val="20"/>
        </w:rPr>
        <w:t>投标人认为需要加以说明的其他内容</w:t>
      </w:r>
      <w:bookmarkEnd w:id="47"/>
    </w:p>
    <w:p w14:paraId="68188982">
      <w:pPr>
        <w:widowControl/>
        <w:jc w:val="center"/>
        <w:rPr>
          <w:rFonts w:ascii="黑体" w:hAnsi="宋体" w:eastAsia="黑体"/>
          <w:kern w:val="0"/>
          <w:sz w:val="24"/>
          <w:szCs w:val="20"/>
        </w:rPr>
      </w:pPr>
      <w:r>
        <w:rPr>
          <w:rFonts w:hint="eastAsia" w:ascii="黑体" w:hAnsi="宋体" w:eastAsia="黑体"/>
          <w:kern w:val="0"/>
          <w:sz w:val="24"/>
          <w:szCs w:val="20"/>
        </w:rPr>
        <w:t>（一）</w:t>
      </w:r>
      <w:r>
        <w:rPr>
          <w:rFonts w:hint="eastAsia" w:ascii="黑体" w:hAnsi="宋体" w:eastAsia="黑体"/>
          <w:kern w:val="0"/>
          <w:sz w:val="24"/>
          <w:szCs w:val="20"/>
          <w:highlight w:val="yellow"/>
        </w:rPr>
        <w:t>政府采购违法行为风险知悉确认书</w:t>
      </w:r>
    </w:p>
    <w:p w14:paraId="26830874">
      <w:pPr>
        <w:widowControl/>
        <w:jc w:val="center"/>
        <w:rPr>
          <w:rFonts w:ascii="黑体" w:hAnsi="宋体" w:eastAsia="黑体"/>
          <w:kern w:val="0"/>
          <w:sz w:val="24"/>
          <w:szCs w:val="20"/>
        </w:rPr>
      </w:pPr>
    </w:p>
    <w:p w14:paraId="5C7E4173">
      <w:pPr>
        <w:spacing w:before="0" w:beforeLines="0" w:after="157" w:afterLines="50" w:line="360" w:lineRule="exact"/>
        <w:ind w:firstLine="482" w:firstLineChars="200"/>
        <w:rPr>
          <w:rFonts w:hint="eastAsia" w:eastAsia="宋体" w:cs="Times New Roman"/>
          <w:b/>
          <w:bCs/>
          <w:color w:val="auto"/>
          <w:sz w:val="24"/>
          <w:lang w:val="en-US" w:eastAsia="zh-CN"/>
        </w:rPr>
      </w:pPr>
      <w:r>
        <w:rPr>
          <w:rFonts w:hint="eastAsia"/>
          <w:b/>
          <w:bCs/>
          <w:color w:val="auto"/>
          <w:sz w:val="24"/>
          <w:lang w:eastAsia="zh-CN"/>
        </w:rPr>
        <w:t>我</w:t>
      </w:r>
      <w:r>
        <w:rPr>
          <w:rFonts w:hint="eastAsia" w:ascii="Calibri" w:hAnsi="Calibri" w:eastAsia="宋体" w:cs="Times New Roman"/>
          <w:b/>
          <w:bCs/>
          <w:color w:val="auto"/>
          <w:sz w:val="24"/>
          <w:szCs w:val="24"/>
          <w:lang w:val="en-US" w:eastAsia="zh-CN"/>
        </w:rPr>
        <w:t>单位</w:t>
      </w:r>
      <w:r>
        <w:rPr>
          <w:rFonts w:hint="eastAsia" w:eastAsia="宋体"/>
          <w:b/>
          <w:bCs/>
          <w:color w:val="auto"/>
          <w:sz w:val="24"/>
        </w:rPr>
        <w:t>在</w:t>
      </w:r>
      <w:r>
        <w:rPr>
          <w:rFonts w:hint="eastAsia"/>
          <w:b/>
          <w:bCs/>
          <w:color w:val="auto"/>
          <w:sz w:val="24"/>
        </w:rPr>
        <w:t>投标前已充分知悉以下情形为参与政府采购活动时的重大风险事项，并承诺已对下述风险提示事项重点排查，</w:t>
      </w:r>
      <w:r>
        <w:rPr>
          <w:rFonts w:hint="eastAsia" w:eastAsia="宋体" w:cs="Times New Roman"/>
          <w:b/>
          <w:bCs/>
          <w:color w:val="auto"/>
          <w:sz w:val="24"/>
          <w:lang w:val="en-US" w:eastAsia="zh-CN"/>
        </w:rPr>
        <w:t>若存在下述情况，我单位愿意依法承担被记入供应商诚信档案、罚款、取消参与政府采购资格、吊销营业执照等处罚；构成犯罪的，依法承担刑事责任。</w:t>
      </w:r>
    </w:p>
    <w:tbl>
      <w:tblPr>
        <w:tblStyle w:val="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7811"/>
      </w:tblGrid>
      <w:tr w14:paraId="0107E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711" w:type="dxa"/>
            <w:noWrap w:val="0"/>
            <w:vAlign w:val="top"/>
          </w:tcPr>
          <w:p w14:paraId="125FE69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序号</w:t>
            </w:r>
          </w:p>
        </w:tc>
        <w:tc>
          <w:tcPr>
            <w:tcW w:w="7811" w:type="dxa"/>
            <w:noWrap w:val="0"/>
            <w:vAlign w:val="top"/>
          </w:tcPr>
          <w:p w14:paraId="6514538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bCs/>
                <w:color w:val="auto"/>
                <w:sz w:val="24"/>
                <w:szCs w:val="24"/>
                <w:highlight w:val="none"/>
                <w:lang w:val="en-US" w:eastAsia="zh-CN"/>
              </w:rPr>
              <w:t>供应商参与投标禁止情形</w:t>
            </w:r>
          </w:p>
        </w:tc>
      </w:tr>
      <w:tr w14:paraId="0815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29C39B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1</w:t>
            </w:r>
          </w:p>
        </w:tc>
        <w:tc>
          <w:tcPr>
            <w:tcW w:w="7811" w:type="dxa"/>
            <w:noWrap w:val="0"/>
            <w:vAlign w:val="center"/>
          </w:tcPr>
          <w:p w14:paraId="7C4853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与其他投标供应商的法定代表人、主要经营负责人、投标授权代表人、项目负责人、主要技术人员为</w:t>
            </w:r>
            <w:r>
              <w:rPr>
                <w:rFonts w:hint="eastAsia" w:ascii="仿宋_GB2312" w:hAnsi="仿宋_GB2312" w:eastAsia="仿宋_GB2312" w:cs="仿宋_GB2312"/>
                <w:b/>
                <w:bCs/>
                <w:color w:val="auto"/>
                <w:sz w:val="24"/>
                <w:szCs w:val="24"/>
                <w:highlight w:val="none"/>
                <w:lang w:val="en-US" w:eastAsia="zh-CN"/>
              </w:rPr>
              <w:t>同一人、属同一单位或者在同一单位缴纳社会保险</w:t>
            </w:r>
            <w:r>
              <w:rPr>
                <w:rFonts w:hint="eastAsia" w:ascii="仿宋_GB2312" w:hAnsi="仿宋_GB2312" w:eastAsia="仿宋_GB2312" w:cs="仿宋_GB2312"/>
                <w:color w:val="auto"/>
                <w:sz w:val="24"/>
                <w:szCs w:val="24"/>
                <w:highlight w:val="none"/>
                <w:lang w:val="en-US" w:eastAsia="zh-CN"/>
              </w:rPr>
              <w:t>。</w:t>
            </w:r>
          </w:p>
        </w:tc>
      </w:tr>
      <w:tr w14:paraId="251B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14:paraId="1E1381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2</w:t>
            </w:r>
          </w:p>
        </w:tc>
        <w:tc>
          <w:tcPr>
            <w:tcW w:w="7811" w:type="dxa"/>
            <w:noWrap w:val="0"/>
            <w:vAlign w:val="center"/>
          </w:tcPr>
          <w:p w14:paraId="600AF80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参与本项目政府采购活动时，与其他投标供应商存在单位负责人为</w:t>
            </w:r>
            <w:r>
              <w:rPr>
                <w:rFonts w:hint="eastAsia" w:ascii="仿宋_GB2312" w:hAnsi="仿宋_GB2312" w:eastAsia="仿宋_GB2312" w:cs="仿宋_GB2312"/>
                <w:b/>
                <w:bCs/>
                <w:color w:val="auto"/>
                <w:sz w:val="24"/>
                <w:szCs w:val="24"/>
                <w:highlight w:val="none"/>
                <w:lang w:val="en-US" w:eastAsia="zh-CN"/>
              </w:rPr>
              <w:t>同一人或直接控股、管理关系</w:t>
            </w:r>
            <w:r>
              <w:rPr>
                <w:rFonts w:hint="eastAsia" w:ascii="仿宋_GB2312" w:hAnsi="仿宋_GB2312" w:eastAsia="仿宋_GB2312" w:cs="仿宋_GB2312"/>
                <w:color w:val="auto"/>
                <w:sz w:val="24"/>
                <w:szCs w:val="24"/>
                <w:highlight w:val="none"/>
                <w:lang w:val="en-US" w:eastAsia="zh-CN"/>
              </w:rPr>
              <w:t>。</w:t>
            </w:r>
          </w:p>
        </w:tc>
      </w:tr>
      <w:tr w14:paraId="686F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5BCD331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w:t>
            </w:r>
          </w:p>
        </w:tc>
        <w:tc>
          <w:tcPr>
            <w:tcW w:w="7811" w:type="dxa"/>
            <w:noWrap w:val="0"/>
            <w:vAlign w:val="center"/>
          </w:tcPr>
          <w:p w14:paraId="09C8E4C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与其他投标供应商的投标文件或部分投标文件</w:t>
            </w:r>
            <w:r>
              <w:rPr>
                <w:rFonts w:hint="eastAsia" w:ascii="仿宋_GB2312" w:hAnsi="仿宋_GB2312" w:eastAsia="仿宋_GB2312" w:cs="仿宋_GB2312"/>
                <w:b/>
                <w:bCs/>
                <w:color w:val="auto"/>
                <w:sz w:val="24"/>
                <w:szCs w:val="24"/>
                <w:highlight w:val="none"/>
                <w:lang w:val="en-US" w:eastAsia="zh-CN"/>
              </w:rPr>
              <w:t>相互混装或存在非正常一致</w:t>
            </w:r>
            <w:r>
              <w:rPr>
                <w:rFonts w:hint="eastAsia" w:ascii="仿宋_GB2312" w:hAnsi="仿宋_GB2312" w:eastAsia="仿宋_GB2312" w:cs="仿宋_GB2312"/>
                <w:color w:val="auto"/>
                <w:sz w:val="24"/>
                <w:szCs w:val="24"/>
                <w:highlight w:val="none"/>
                <w:lang w:val="en-US" w:eastAsia="zh-CN"/>
              </w:rPr>
              <w:t>。</w:t>
            </w:r>
          </w:p>
        </w:tc>
      </w:tr>
      <w:tr w14:paraId="7175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58C07B2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4</w:t>
            </w:r>
          </w:p>
        </w:tc>
        <w:tc>
          <w:tcPr>
            <w:tcW w:w="7811" w:type="dxa"/>
            <w:noWrap w:val="0"/>
            <w:vAlign w:val="center"/>
          </w:tcPr>
          <w:p w14:paraId="515E24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与其他投标供应商的投标文件由</w:t>
            </w:r>
            <w:r>
              <w:rPr>
                <w:rFonts w:hint="eastAsia" w:ascii="仿宋_GB2312" w:hAnsi="仿宋_GB2312" w:eastAsia="仿宋_GB2312" w:cs="仿宋_GB2312"/>
                <w:b/>
                <w:bCs/>
                <w:color w:val="auto"/>
                <w:sz w:val="24"/>
                <w:szCs w:val="24"/>
                <w:highlight w:val="none"/>
                <w:lang w:val="en-US" w:eastAsia="zh-CN"/>
              </w:rPr>
              <w:t>同一单位或者同一人编制</w:t>
            </w:r>
            <w:r>
              <w:rPr>
                <w:rFonts w:hint="eastAsia" w:ascii="仿宋_GB2312" w:hAnsi="仿宋_GB2312" w:eastAsia="仿宋_GB2312" w:cs="仿宋_GB2312"/>
                <w:color w:val="auto"/>
                <w:sz w:val="24"/>
                <w:szCs w:val="24"/>
                <w:highlight w:val="none"/>
                <w:lang w:val="en-US" w:eastAsia="zh-CN"/>
              </w:rPr>
              <w:t>，或者使用</w:t>
            </w:r>
            <w:r>
              <w:rPr>
                <w:rFonts w:hint="eastAsia" w:ascii="仿宋_GB2312" w:hAnsi="仿宋_GB2312" w:eastAsia="仿宋_GB2312" w:cs="仿宋_GB2312"/>
                <w:b/>
                <w:bCs/>
                <w:color w:val="auto"/>
                <w:sz w:val="24"/>
                <w:szCs w:val="24"/>
                <w:highlight w:val="none"/>
                <w:lang w:val="en-US" w:eastAsia="zh-CN"/>
              </w:rPr>
              <w:t>同一设备编制</w:t>
            </w:r>
            <w:r>
              <w:rPr>
                <w:rFonts w:hint="eastAsia" w:ascii="仿宋_GB2312" w:hAnsi="仿宋_GB2312" w:eastAsia="仿宋_GB2312" w:cs="仿宋_GB2312"/>
                <w:color w:val="auto"/>
                <w:sz w:val="24"/>
                <w:szCs w:val="24"/>
                <w:highlight w:val="none"/>
                <w:lang w:val="en-US" w:eastAsia="zh-CN"/>
              </w:rPr>
              <w:t>（“文件制作机器码”“文件创建标识码”一致）。</w:t>
            </w:r>
          </w:p>
        </w:tc>
      </w:tr>
      <w:tr w14:paraId="582A1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11" w:type="dxa"/>
            <w:noWrap w:val="0"/>
            <w:vAlign w:val="top"/>
          </w:tcPr>
          <w:p w14:paraId="54240AA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5</w:t>
            </w:r>
          </w:p>
        </w:tc>
        <w:tc>
          <w:tcPr>
            <w:tcW w:w="7811" w:type="dxa"/>
            <w:noWrap w:val="0"/>
            <w:vAlign w:val="center"/>
          </w:tcPr>
          <w:p w14:paraId="639F7D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提供</w:t>
            </w:r>
            <w:r>
              <w:rPr>
                <w:rFonts w:hint="eastAsia" w:ascii="仿宋_GB2312" w:hAnsi="仿宋_GB2312" w:eastAsia="仿宋_GB2312" w:cs="仿宋_GB2312"/>
                <w:b/>
                <w:bCs/>
                <w:color w:val="auto"/>
                <w:sz w:val="24"/>
                <w:szCs w:val="24"/>
                <w:highlight w:val="none"/>
                <w:lang w:val="en-US" w:eastAsia="zh-CN"/>
              </w:rPr>
              <w:t>未经出具机构核实</w:t>
            </w:r>
            <w:r>
              <w:rPr>
                <w:rFonts w:hint="eastAsia" w:ascii="仿宋_GB2312" w:hAnsi="仿宋_GB2312" w:eastAsia="仿宋_GB2312" w:cs="仿宋_GB2312"/>
                <w:color w:val="auto"/>
                <w:sz w:val="24"/>
                <w:szCs w:val="24"/>
                <w:highlight w:val="none"/>
                <w:lang w:val="en-US" w:eastAsia="zh-CN"/>
              </w:rPr>
              <w:t>的虚假的检验检测报告、业绩材料、社保缴纳证明、学历学位证书、职称认证证书等材料。</w:t>
            </w:r>
          </w:p>
        </w:tc>
      </w:tr>
      <w:tr w14:paraId="65B6D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noWrap w:val="0"/>
            <w:vAlign w:val="top"/>
          </w:tcPr>
          <w:p w14:paraId="2ECA63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6</w:t>
            </w:r>
          </w:p>
        </w:tc>
        <w:tc>
          <w:tcPr>
            <w:tcW w:w="7811" w:type="dxa"/>
            <w:noWrap w:val="0"/>
            <w:vAlign w:val="center"/>
          </w:tcPr>
          <w:p w14:paraId="7375E4D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4"/>
                <w:szCs w:val="24"/>
                <w:highlight w:val="none"/>
                <w:lang w:val="en-US" w:eastAsia="zh-CN"/>
              </w:rPr>
              <w:t>擅自将投标密钥或电子营业执照出借他人使用或未妥善保管。</w:t>
            </w:r>
          </w:p>
        </w:tc>
      </w:tr>
    </w:tbl>
    <w:p w14:paraId="23B43BFB">
      <w:pPr>
        <w:ind w:firstLine="422" w:firstLineChars="200"/>
        <w:rPr>
          <w:rFonts w:hint="eastAsia"/>
          <w:b/>
        </w:rPr>
      </w:pPr>
    </w:p>
    <w:p w14:paraId="69F4904A">
      <w:pPr>
        <w:ind w:firstLine="422" w:firstLineChars="200"/>
        <w:rPr>
          <w:b/>
        </w:rPr>
      </w:pPr>
      <w:r>
        <w:rPr>
          <w:rFonts w:hint="eastAsia"/>
          <w:b/>
        </w:rPr>
        <w:t>一、本公司已充分知悉“隐瞒真实情况，提供虚假资料”的法定情形，相关情形包括但不限于：</w:t>
      </w:r>
    </w:p>
    <w:p w14:paraId="59B2E423">
      <w:pPr>
        <w:ind w:firstLine="420" w:firstLineChars="200"/>
      </w:pPr>
      <w:r>
        <w:rPr>
          <w:rFonts w:hint="eastAsia"/>
        </w:rPr>
        <w:t>（一）通过转让或者租借等方式从其他单位获取资格或者资质证书投标的。</w:t>
      </w:r>
    </w:p>
    <w:p w14:paraId="174DA403">
      <w:pPr>
        <w:ind w:firstLine="420" w:firstLineChars="200"/>
      </w:pPr>
      <w:r>
        <w:rPr>
          <w:rFonts w:hint="eastAsia"/>
        </w:rPr>
        <w:t>（二）由其他单位或者其他单位负责人在投标供应商编制的投标文件上加盖印章或者签字的。</w:t>
      </w:r>
    </w:p>
    <w:p w14:paraId="1116B831">
      <w:pPr>
        <w:ind w:firstLine="420" w:firstLineChars="200"/>
      </w:pPr>
      <w:r>
        <w:rPr>
          <w:rFonts w:hint="eastAsia"/>
        </w:rPr>
        <w:t>（三）项目负责人或者主要技术人员不是本单位人员的。</w:t>
      </w:r>
    </w:p>
    <w:p w14:paraId="7ED7F097">
      <w:pPr>
        <w:ind w:firstLine="420" w:firstLineChars="200"/>
      </w:pPr>
      <w:r>
        <w:rPr>
          <w:rFonts w:hint="eastAsia"/>
        </w:rPr>
        <w:t>（四）投标保证金不是从投标供应商基本账户转出的。</w:t>
      </w:r>
    </w:p>
    <w:p w14:paraId="59581F82">
      <w:pPr>
        <w:ind w:firstLine="420" w:firstLineChars="200"/>
      </w:pPr>
      <w:r>
        <w:rPr>
          <w:rFonts w:hint="eastAsia"/>
        </w:rPr>
        <w:t>（五）其他隐瞒真实情况、提供虚假资料的行为。</w:t>
      </w:r>
    </w:p>
    <w:p w14:paraId="2B717592">
      <w:pPr>
        <w:ind w:firstLine="422" w:firstLineChars="200"/>
        <w:rPr>
          <w:b/>
        </w:rPr>
      </w:pPr>
      <w:r>
        <w:rPr>
          <w:rFonts w:hint="eastAsia"/>
          <w:b/>
        </w:rPr>
        <w:t>二、本公司已充分知悉“与其他采购参加人串通投标”的法定情形，相关情形包括但不限于：</w:t>
      </w:r>
    </w:p>
    <w:p w14:paraId="759A045B">
      <w:pPr>
        <w:ind w:firstLine="420" w:firstLineChars="200"/>
      </w:pPr>
      <w:r>
        <w:rPr>
          <w:rFonts w:hint="eastAsia"/>
        </w:rPr>
        <w:t>（一）投标供应商之间相互约定给予未中标的供应商利益补偿。</w:t>
      </w:r>
    </w:p>
    <w:p w14:paraId="009996B5">
      <w:pPr>
        <w:ind w:firstLine="420" w:firstLineChars="200"/>
      </w:pPr>
      <w:r>
        <w:rPr>
          <w:rFonts w:hint="eastAsia"/>
        </w:rPr>
        <w:t>（二）不同投标供应商的法定代表人、主要经营负责人、项目投标授权代表人、项目负责人、主要技术人员为同一人、属同一单位或者在同一单位缴纳社会保险。</w:t>
      </w:r>
    </w:p>
    <w:p w14:paraId="3CEE8F23">
      <w:pPr>
        <w:ind w:firstLine="420" w:firstLineChars="200"/>
      </w:pPr>
      <w:r>
        <w:rPr>
          <w:rFonts w:hint="eastAsia"/>
        </w:rPr>
        <w:t>（三）不同投标供应商的投标文件由同一单位或者同一人编制，或者由同一人分阶段参与编制的。</w:t>
      </w:r>
    </w:p>
    <w:p w14:paraId="51A265DA">
      <w:pPr>
        <w:ind w:firstLine="420" w:firstLineChars="200"/>
      </w:pPr>
      <w:r>
        <w:rPr>
          <w:rFonts w:hint="eastAsia"/>
        </w:rPr>
        <w:t>（四）不同投标供应商的投标文件或部分投标文件相互混装。</w:t>
      </w:r>
    </w:p>
    <w:p w14:paraId="0EBB6C41">
      <w:pPr>
        <w:ind w:firstLine="420" w:firstLineChars="200"/>
      </w:pPr>
      <w:r>
        <w:rPr>
          <w:rFonts w:hint="eastAsia"/>
        </w:rPr>
        <w:t>（五）不同投标供应商的投标文件内容存在非正常一致。</w:t>
      </w:r>
    </w:p>
    <w:p w14:paraId="5009F14D">
      <w:pPr>
        <w:ind w:firstLine="420" w:firstLineChars="200"/>
      </w:pPr>
      <w:r>
        <w:rPr>
          <w:rFonts w:hint="eastAsia"/>
        </w:rPr>
        <w:t>（六）由同一单位工作人员为两家以上（含两家）供应商进行同一项投标活动的。</w:t>
      </w:r>
    </w:p>
    <w:p w14:paraId="7F652459">
      <w:pPr>
        <w:ind w:firstLine="420" w:firstLineChars="200"/>
      </w:pPr>
      <w:r>
        <w:rPr>
          <w:rFonts w:hint="eastAsia"/>
        </w:rPr>
        <w:t>（七）不同投标人的投标报价呈规律性差异。</w:t>
      </w:r>
    </w:p>
    <w:p w14:paraId="0F41689C">
      <w:pPr>
        <w:ind w:firstLine="420" w:firstLineChars="200"/>
      </w:pPr>
      <w:r>
        <w:rPr>
          <w:rFonts w:hint="eastAsia"/>
        </w:rPr>
        <w:t>（八）不同投标人的投标保证金从同一单位或者个人的账户转出。</w:t>
      </w:r>
    </w:p>
    <w:p w14:paraId="7E238B68">
      <w:pPr>
        <w:ind w:firstLine="420" w:firstLineChars="200"/>
      </w:pPr>
      <w:r>
        <w:rPr>
          <w:rFonts w:hint="eastAsia"/>
        </w:rPr>
        <w:t>（九）主管部门依照法律、法规认定的其他情形。</w:t>
      </w:r>
    </w:p>
    <w:p w14:paraId="284F35B2">
      <w:pPr>
        <w:ind w:firstLine="422" w:firstLineChars="200"/>
        <w:rPr>
          <w:b/>
        </w:rPr>
      </w:pPr>
      <w:r>
        <w:rPr>
          <w:rFonts w:hint="eastAsia"/>
          <w:b/>
        </w:rPr>
        <w:t>三、本公司已充分知悉下列情形所对应的法律风险，并在投标前已对相关风险事项进行排查。</w:t>
      </w:r>
    </w:p>
    <w:p w14:paraId="3FA2F144">
      <w:pPr>
        <w:ind w:firstLine="420" w:firstLineChars="200"/>
        <w:rPr>
          <w:b/>
        </w:rPr>
      </w:pPr>
      <w:r>
        <w:rPr>
          <w:rFonts w:hint="eastAsia"/>
        </w:rPr>
        <w:t>（一）对于从其他主体获取的投标资料，供应商应审慎核查，确保投标资料的真实性。</w:t>
      </w:r>
      <w:r>
        <w:rPr>
          <w:rFonts w:hint="eastAsia"/>
          <w:b/>
        </w:rPr>
        <w:t>如主管部门查实投标文件中存在虚假资料的，无论相关资料是否由第三方或本公司员工提供，均不影响主管部门对供应商存在“隐瞒真实情况，提供虚假资料”违法行为的认定。</w:t>
      </w:r>
    </w:p>
    <w:p w14:paraId="30DC7539">
      <w:pPr>
        <w:ind w:firstLine="420" w:firstLineChars="200"/>
      </w:pPr>
      <w:r>
        <w:rPr>
          <w:rFonts w:hint="eastAsia"/>
        </w:rPr>
        <w:t>（二）对于涉及国家机关出具的公文、证件、证明材料等文件，一旦涉嫌虚假，经查实，主管部门将依法从严处理，并移送有关部门追究法律责任；涉嫌犯罪的，主管部门将一并移送司法机关追究法律责任。</w:t>
      </w:r>
    </w:p>
    <w:p w14:paraId="01CEF2FF">
      <w:pPr>
        <w:ind w:firstLine="420" w:firstLineChars="200"/>
      </w:pPr>
      <w:r>
        <w:rPr>
          <w:rFonts w:hint="eastAsia"/>
        </w:rPr>
        <w:t>（三）对于涉及安全生产、特种作业、抢险救灾、防疫等政府采购项目，供应商实施提供虚假资料、串通投标等违法行为的，主管部门将依法从严处理。</w:t>
      </w:r>
    </w:p>
    <w:p w14:paraId="7C06FDCD">
      <w:pPr>
        <w:ind w:firstLine="420" w:firstLineChars="200"/>
      </w:pPr>
      <w:r>
        <w:rPr>
          <w:rFonts w:hint="eastAsia"/>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6E73ECDC">
      <w:pPr>
        <w:ind w:firstLine="420" w:firstLineChars="200"/>
      </w:pPr>
      <w:r>
        <w:rPr>
          <w:rFonts w:hint="eastAsia"/>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14:paraId="19773CEF">
      <w:pPr>
        <w:ind w:firstLine="420" w:firstLineChars="200"/>
      </w:pPr>
      <w:r>
        <w:rPr>
          <w:rFonts w:hint="eastAsia"/>
        </w:rPr>
        <w:t>（六）单位负责人为同一人或者存在直接控股、管理关系的不同供应商，不得参加同一合同项下的政府采购活动。相关情形如查实，依法作投标无效处理；涉嫌串通投标等违法行为的，主管部门将依法调查处理。</w:t>
      </w:r>
    </w:p>
    <w:p w14:paraId="2C110BF1">
      <w:pPr>
        <w:ind w:firstLine="422" w:firstLineChars="200"/>
        <w:rPr>
          <w:b/>
        </w:rPr>
      </w:pPr>
      <w:r>
        <w:rPr>
          <w:rFonts w:hint="eastAsia"/>
          <w:b/>
        </w:rPr>
        <w:t>四、本公司已充分知悉政府采购违法、违规行为的法律后果。</w:t>
      </w:r>
    </w:p>
    <w:p w14:paraId="460D58A0">
      <w:pPr>
        <w:ind w:firstLine="420" w:firstLineChars="200"/>
      </w:pPr>
      <w:r>
        <w:rPr>
          <w:rFonts w:hint="eastAsia"/>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223357ED">
      <w:pPr>
        <w:ind w:firstLine="420" w:firstLineChars="200"/>
      </w:pPr>
      <w:r>
        <w:rPr>
          <w:rFonts w:hint="eastAsia"/>
          <w:highlight w:val="yellow"/>
        </w:rPr>
        <w:t>以下文字请投标供应商抄写并确认：“本公司已仔细阅读《政府采购违法行为风险知悉确认书》，充分知悉违法行为的法律后果，并承诺将严谨、诚信、依法依规参与政府采购活动”。</w:t>
      </w:r>
    </w:p>
    <w:tbl>
      <w:tblPr>
        <w:tblStyle w:val="201"/>
        <w:tblW w:w="8529" w:type="dxa"/>
        <w:tblInd w:w="0" w:type="dxa"/>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29"/>
      </w:tblGrid>
      <w:tr w14:paraId="2E7696F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8529" w:type="dxa"/>
            <w:tcBorders>
              <w:top w:val="nil"/>
              <w:left w:val="nil"/>
              <w:bottom w:val="single" w:color="000000" w:sz="8" w:space="0"/>
              <w:right w:val="nil"/>
            </w:tcBorders>
          </w:tcPr>
          <w:p w14:paraId="569F26FB">
            <w:pPr>
              <w:autoSpaceDE w:val="0"/>
              <w:autoSpaceDN w:val="0"/>
              <w:spacing w:line="400" w:lineRule="exact"/>
              <w:ind w:firstLine="1866"/>
              <w:rPr>
                <w:rFonts w:ascii="宋体" w:hAnsi="宋体" w:eastAsiaTheme="minorEastAsia"/>
                <w:spacing w:val="-4"/>
                <w:kern w:val="0"/>
                <w:szCs w:val="21"/>
              </w:rPr>
            </w:pPr>
          </w:p>
        </w:tc>
      </w:tr>
      <w:tr w14:paraId="7963CBB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2DBE1BE1">
            <w:pPr>
              <w:autoSpaceDE w:val="0"/>
              <w:autoSpaceDN w:val="0"/>
              <w:spacing w:line="400" w:lineRule="exact"/>
              <w:ind w:firstLine="1866"/>
              <w:rPr>
                <w:rFonts w:ascii="宋体" w:hAnsi="宋体" w:eastAsiaTheme="minorEastAsia"/>
                <w:spacing w:val="-4"/>
                <w:kern w:val="0"/>
                <w:szCs w:val="21"/>
              </w:rPr>
            </w:pPr>
          </w:p>
        </w:tc>
      </w:tr>
      <w:tr w14:paraId="08F7F0C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000000" w:sz="8" w:space="0"/>
              <w:right w:val="nil"/>
            </w:tcBorders>
          </w:tcPr>
          <w:p w14:paraId="362F2C57">
            <w:pPr>
              <w:autoSpaceDE w:val="0"/>
              <w:autoSpaceDN w:val="0"/>
              <w:spacing w:line="400" w:lineRule="exact"/>
              <w:ind w:firstLine="1866"/>
              <w:rPr>
                <w:rFonts w:ascii="宋体" w:hAnsi="宋体" w:eastAsiaTheme="minorEastAsia"/>
                <w:spacing w:val="-4"/>
                <w:kern w:val="0"/>
                <w:szCs w:val="21"/>
              </w:rPr>
            </w:pPr>
          </w:p>
        </w:tc>
      </w:tr>
      <w:tr w14:paraId="1DE73378">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9" w:type="dxa"/>
            <w:tcBorders>
              <w:top w:val="single" w:color="000000" w:sz="8" w:space="0"/>
              <w:left w:val="nil"/>
              <w:bottom w:val="single" w:color="auto" w:sz="8" w:space="0"/>
              <w:right w:val="nil"/>
            </w:tcBorders>
          </w:tcPr>
          <w:p w14:paraId="38388075">
            <w:pPr>
              <w:autoSpaceDE w:val="0"/>
              <w:autoSpaceDN w:val="0"/>
              <w:spacing w:line="400" w:lineRule="exact"/>
              <w:ind w:firstLine="1866"/>
              <w:rPr>
                <w:rFonts w:ascii="宋体" w:hAnsi="宋体" w:eastAsiaTheme="minorEastAsia"/>
                <w:spacing w:val="-4"/>
                <w:kern w:val="0"/>
                <w:szCs w:val="21"/>
              </w:rPr>
            </w:pPr>
          </w:p>
        </w:tc>
      </w:tr>
    </w:tbl>
    <w:p w14:paraId="55803A49">
      <w:pPr>
        <w:widowControl/>
        <w:wordWrap w:val="0"/>
        <w:autoSpaceDE w:val="0"/>
        <w:autoSpaceDN w:val="0"/>
        <w:spacing w:line="400" w:lineRule="exact"/>
        <w:ind w:right="808" w:firstLine="404" w:firstLineChars="200"/>
        <w:jc w:val="right"/>
        <w:rPr>
          <w:rFonts w:ascii="宋体" w:hAnsi="宋体" w:eastAsiaTheme="minorEastAsia"/>
          <w:spacing w:val="-4"/>
          <w:kern w:val="0"/>
          <w:szCs w:val="21"/>
          <w:u w:val="single"/>
        </w:rPr>
      </w:pPr>
      <w:r>
        <w:rPr>
          <w:rFonts w:hint="eastAsia" w:ascii="宋体" w:hAnsi="宋体" w:eastAsiaTheme="minorEastAsia"/>
          <w:spacing w:val="-4"/>
          <w:kern w:val="0"/>
          <w:szCs w:val="21"/>
        </w:rPr>
        <w:t>负责人/投标授权代表签名：</w:t>
      </w:r>
      <w:r>
        <w:rPr>
          <w:rFonts w:hint="eastAsia" w:ascii="宋体" w:hAnsi="宋体" w:eastAsiaTheme="minorEastAsia"/>
          <w:spacing w:val="-4"/>
          <w:kern w:val="0"/>
          <w:szCs w:val="21"/>
          <w:u w:val="single"/>
        </w:rPr>
        <w:t xml:space="preserve">              </w:t>
      </w:r>
    </w:p>
    <w:p w14:paraId="10CD4C18">
      <w:pPr>
        <w:widowControl/>
        <w:wordWrap w:val="0"/>
        <w:autoSpaceDE w:val="0"/>
        <w:autoSpaceDN w:val="0"/>
        <w:spacing w:line="400" w:lineRule="exact"/>
        <w:ind w:right="808" w:firstLine="404" w:firstLineChars="200"/>
        <w:jc w:val="right"/>
        <w:rPr>
          <w:rFonts w:ascii="宋体" w:hAnsi="宋体" w:eastAsiaTheme="minorEastAsia"/>
          <w:spacing w:val="-4"/>
          <w:kern w:val="0"/>
          <w:szCs w:val="21"/>
          <w:u w:val="single"/>
        </w:rPr>
      </w:pPr>
      <w:r>
        <w:rPr>
          <w:rFonts w:hint="eastAsia" w:ascii="宋体" w:hAnsi="宋体" w:eastAsiaTheme="minorEastAsia"/>
          <w:spacing w:val="-4"/>
          <w:kern w:val="0"/>
          <w:szCs w:val="21"/>
        </w:rPr>
        <w:t>知悉人（公章）：</w:t>
      </w:r>
      <w:r>
        <w:rPr>
          <w:rFonts w:hint="eastAsia" w:ascii="宋体" w:hAnsi="宋体" w:eastAsiaTheme="minorEastAsia"/>
          <w:spacing w:val="-4"/>
          <w:kern w:val="0"/>
          <w:szCs w:val="21"/>
          <w:u w:val="single"/>
        </w:rPr>
        <w:t xml:space="preserve">              </w:t>
      </w:r>
    </w:p>
    <w:p w14:paraId="34B556D5">
      <w:pPr>
        <w:widowControl/>
        <w:wordWrap w:val="0"/>
        <w:autoSpaceDE w:val="0"/>
        <w:autoSpaceDN w:val="0"/>
        <w:spacing w:line="400" w:lineRule="exact"/>
        <w:ind w:right="808" w:firstLine="404" w:firstLineChars="200"/>
        <w:jc w:val="right"/>
        <w:rPr>
          <w:rFonts w:ascii="宋体" w:hAnsi="宋体" w:eastAsiaTheme="minorEastAsia"/>
          <w:spacing w:val="-4"/>
          <w:kern w:val="0"/>
          <w:szCs w:val="21"/>
          <w:u w:val="single"/>
        </w:rPr>
      </w:pPr>
      <w:r>
        <w:rPr>
          <w:rFonts w:hint="eastAsia" w:ascii="宋体" w:hAnsi="宋体" w:eastAsiaTheme="minorEastAsia"/>
          <w:spacing w:val="-4"/>
          <w:kern w:val="0"/>
          <w:szCs w:val="21"/>
        </w:rPr>
        <w:t xml:space="preserve">     日期：</w:t>
      </w:r>
      <w:r>
        <w:rPr>
          <w:rFonts w:hint="eastAsia" w:ascii="宋体" w:hAnsi="宋体" w:eastAsiaTheme="minorEastAsia"/>
          <w:spacing w:val="-4"/>
          <w:kern w:val="0"/>
          <w:szCs w:val="21"/>
          <w:u w:val="single"/>
        </w:rPr>
        <w:t xml:space="preserve">              </w:t>
      </w:r>
    </w:p>
    <w:p w14:paraId="057D11F4">
      <w:pPr>
        <w:widowControl/>
        <w:wordWrap w:val="0"/>
        <w:autoSpaceDE w:val="0"/>
        <w:autoSpaceDN w:val="0"/>
        <w:spacing w:line="400" w:lineRule="exact"/>
        <w:ind w:right="1414" w:firstLine="404" w:firstLineChars="200"/>
        <w:jc w:val="right"/>
        <w:rPr>
          <w:rFonts w:ascii="宋体" w:hAnsi="宋体" w:eastAsiaTheme="minorEastAsia"/>
          <w:spacing w:val="-4"/>
          <w:kern w:val="0"/>
          <w:szCs w:val="21"/>
        </w:rPr>
      </w:pPr>
      <w:r>
        <w:rPr>
          <w:rFonts w:hint="eastAsia" w:ascii="宋体" w:hAnsi="宋体" w:eastAsiaTheme="minorEastAsia"/>
          <w:spacing w:val="-4"/>
          <w:kern w:val="0"/>
          <w:szCs w:val="21"/>
        </w:rPr>
        <w:t xml:space="preserve">     </w:t>
      </w:r>
    </w:p>
    <w:p w14:paraId="64B65264">
      <w:pPr>
        <w:widowControl/>
        <w:autoSpaceDE w:val="0"/>
        <w:autoSpaceDN w:val="0"/>
        <w:spacing w:line="400" w:lineRule="exact"/>
        <w:ind w:firstLine="406" w:firstLineChars="200"/>
        <w:jc w:val="left"/>
        <w:rPr>
          <w:rFonts w:ascii="宋体" w:hAnsi="宋体" w:eastAsiaTheme="minorEastAsia"/>
          <w:b/>
          <w:bCs/>
          <w:color w:val="FF0000"/>
          <w:spacing w:val="-4"/>
          <w:kern w:val="0"/>
          <w:szCs w:val="21"/>
        </w:rPr>
      </w:pPr>
      <w:r>
        <w:rPr>
          <w:rFonts w:hint="eastAsia" w:ascii="宋体" w:hAnsi="宋体" w:eastAsiaTheme="minorEastAsia"/>
          <w:b/>
          <w:bCs/>
          <w:color w:val="FF0000"/>
          <w:spacing w:val="-4"/>
          <w:kern w:val="0"/>
          <w:szCs w:val="21"/>
        </w:rPr>
        <w:t>注：</w:t>
      </w:r>
    </w:p>
    <w:p w14:paraId="6175AA83">
      <w:pPr>
        <w:widowControl/>
        <w:autoSpaceDE w:val="0"/>
        <w:autoSpaceDN w:val="0"/>
        <w:spacing w:line="400" w:lineRule="exact"/>
        <w:ind w:firstLine="406" w:firstLineChars="200"/>
        <w:jc w:val="left"/>
        <w:rPr>
          <w:rFonts w:ascii="宋体" w:hAnsi="宋体" w:eastAsiaTheme="minorEastAsia"/>
          <w:b/>
          <w:bCs/>
          <w:color w:val="FF0000"/>
          <w:spacing w:val="-4"/>
          <w:kern w:val="0"/>
          <w:szCs w:val="21"/>
        </w:rPr>
      </w:pPr>
      <w:r>
        <w:rPr>
          <w:rFonts w:hint="eastAsia" w:ascii="宋体" w:hAnsi="宋体" w:eastAsiaTheme="minorEastAsia"/>
          <w:b/>
          <w:bCs/>
          <w:color w:val="FF0000"/>
          <w:spacing w:val="-4"/>
          <w:kern w:val="0"/>
          <w:szCs w:val="21"/>
        </w:rPr>
        <w:t>1.</w:t>
      </w:r>
      <w:r>
        <w:rPr>
          <w:rFonts w:hint="eastAsia"/>
        </w:rPr>
        <w:t xml:space="preserve"> </w:t>
      </w:r>
      <w:r>
        <w:rPr>
          <w:rFonts w:hint="eastAsia" w:ascii="宋体" w:hAnsi="宋体" w:eastAsiaTheme="minorEastAsia"/>
          <w:b/>
          <w:bCs/>
          <w:color w:val="FF0000"/>
          <w:spacing w:val="-4"/>
          <w:kern w:val="0"/>
          <w:szCs w:val="21"/>
        </w:rPr>
        <w:t>根据《深圳市财政局关于采购文件增加风险告知有关事项的通知》（深财购〔2022〕22 号），该风险知悉确认书用于对供应商违法行为的警示，不作为供应商资格性审查及符合性审查条件。</w:t>
      </w:r>
    </w:p>
    <w:p w14:paraId="022C8388">
      <w:pPr>
        <w:widowControl/>
        <w:autoSpaceDE w:val="0"/>
        <w:autoSpaceDN w:val="0"/>
        <w:spacing w:line="400" w:lineRule="exact"/>
        <w:ind w:firstLine="406" w:firstLineChars="200"/>
        <w:jc w:val="left"/>
        <w:rPr>
          <w:rFonts w:eastAsiaTheme="minorEastAsia"/>
          <w:b/>
          <w:bCs/>
          <w:kern w:val="0"/>
          <w:sz w:val="24"/>
        </w:rPr>
      </w:pPr>
      <w:r>
        <w:rPr>
          <w:rFonts w:hint="eastAsia" w:ascii="宋体" w:hAnsi="宋体" w:eastAsiaTheme="minorEastAsia"/>
          <w:b/>
          <w:bCs/>
          <w:color w:val="FF0000"/>
          <w:spacing w:val="-4"/>
          <w:kern w:val="0"/>
          <w:szCs w:val="21"/>
        </w:rPr>
        <w:t>2.投标供应商负责人或投标授权代表签字</w:t>
      </w:r>
      <w:r>
        <w:rPr>
          <w:rFonts w:hint="eastAsia" w:ascii="宋体" w:hAnsi="宋体" w:eastAsiaTheme="minorEastAsia"/>
          <w:b/>
          <w:bCs/>
          <w:color w:val="FF0000"/>
          <w:spacing w:val="-4"/>
          <w:kern w:val="0"/>
          <w:szCs w:val="21"/>
          <w:highlight w:val="yellow"/>
        </w:rPr>
        <w:t>并加盖单位公章</w:t>
      </w:r>
      <w:r>
        <w:rPr>
          <w:rFonts w:hint="eastAsia" w:ascii="宋体" w:hAnsi="宋体" w:eastAsiaTheme="minorEastAsia"/>
          <w:b/>
          <w:bCs/>
          <w:color w:val="FF0000"/>
          <w:spacing w:val="-4"/>
          <w:kern w:val="0"/>
          <w:szCs w:val="21"/>
        </w:rPr>
        <w:t>后，扫描上传至投标文件一并提交。</w:t>
      </w:r>
    </w:p>
    <w:p w14:paraId="540156DA">
      <w:pPr>
        <w:jc w:val="center"/>
        <w:rPr>
          <w:rFonts w:hint="eastAsia" w:ascii="黑体" w:eastAsia="黑体"/>
          <w:b w:val="0"/>
          <w:bCs w:val="0"/>
          <w:sz w:val="24"/>
          <w:szCs w:val="20"/>
          <w:lang w:val="en-US" w:eastAsia="zh-CN"/>
        </w:rPr>
      </w:pPr>
      <w:r>
        <w:rPr>
          <w:rFonts w:hint="eastAsia" w:ascii="黑体" w:eastAsia="黑体"/>
          <w:b w:val="0"/>
          <w:bCs w:val="0"/>
          <w:sz w:val="24"/>
          <w:szCs w:val="20"/>
          <w:lang w:val="en-US" w:eastAsia="zh-CN"/>
        </w:rPr>
        <w:t>（二）订单融资情况</w:t>
      </w:r>
    </w:p>
    <w:p w14:paraId="15183CA6">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ascii="宋体" w:hAnsi="宋体" w:cs="宋体"/>
          <w:b/>
          <w:bCs/>
        </w:rPr>
      </w:pPr>
      <w:r>
        <w:rPr>
          <w:rFonts w:hint="eastAsia" w:ascii="宋体" w:hAnsi="宋体" w:cs="宋体"/>
          <w:b/>
          <w:bCs/>
          <w:lang w:val="en-US" w:eastAsia="zh-CN"/>
        </w:rPr>
        <w:t>1</w:t>
      </w:r>
      <w:r>
        <w:rPr>
          <w:rFonts w:hint="eastAsia" w:ascii="宋体" w:hAnsi="宋体" w:cs="宋体"/>
          <w:b/>
          <w:bCs/>
          <w:lang w:eastAsia="zh-CN"/>
        </w:rPr>
        <w:t>、</w:t>
      </w:r>
      <w:r>
        <w:rPr>
          <w:rFonts w:hint="eastAsia" w:ascii="宋体" w:hAnsi="宋体" w:cs="宋体"/>
          <w:b/>
          <w:bCs/>
        </w:rPr>
        <w:t>关于政府采购订单融资政策</w:t>
      </w:r>
    </w:p>
    <w:p w14:paraId="0E13CF58">
      <w:pPr>
        <w:pStyle w:val="2"/>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eastAsia" w:ascii="Times New Roman" w:hAnsi="Times New Roman" w:eastAsia="宋体" w:cs="Times New Roman"/>
          <w:b w:val="0"/>
          <w:bCs/>
          <w:kern w:val="2"/>
          <w:sz w:val="21"/>
          <w:szCs w:val="21"/>
          <w:lang w:val="en-US" w:eastAsia="zh-CN" w:bidi="ar-SA"/>
        </w:rPr>
      </w:pPr>
      <w:r>
        <w:rPr>
          <w:rFonts w:hint="eastAsia" w:ascii="Times New Roman" w:hAnsi="Times New Roman" w:eastAsia="宋体" w:cs="Times New Roman"/>
          <w:b w:val="0"/>
          <w:bCs/>
          <w:kern w:val="2"/>
          <w:sz w:val="21"/>
          <w:szCs w:val="21"/>
          <w:lang w:val="en-US" w:eastAsia="zh-CN" w:bidi="ar-SA"/>
        </w:rPr>
        <w:t>为深入贯彻落实国家深化政府采购制度改革精神，充分发挥政府采购扶持中小企业发展的政策功能，缓解中小微企业融资难、融资贵的问题，根据《深圳市财政局关于加大力度运用政府采购订单融资政策支持企业发展的通知》要求，参与深圳市政府采购活动供应商可凭借所获取的深圳市政府采购中标通知书与采购合同，向参与订单融资业务的金融机构提出融资申请，金融机构以各自信贷政策为基础，为中标（成交）供应商提供融资授信，订单融资具体流程可登录深圳要素交易金融服务平台(https://finance.szexgrp.com/gtm/web/guarantee/#/)，相关政策法规参阅深圳市政府采购监管网（http://zfcg.sz.gov.cn/）信息公开栏目。</w:t>
      </w:r>
    </w:p>
    <w:p w14:paraId="726F3A76">
      <w:pPr>
        <w:keepNext w:val="0"/>
        <w:keepLines w:val="0"/>
        <w:pageBreakBefore w:val="0"/>
        <w:widowControl w:val="0"/>
        <w:kinsoku/>
        <w:wordWrap/>
        <w:overflowPunct/>
        <w:topLinePunct w:val="0"/>
        <w:autoSpaceDE/>
        <w:autoSpaceDN/>
        <w:bidi w:val="0"/>
        <w:adjustRightInd/>
        <w:snapToGrid/>
        <w:spacing w:line="240" w:lineRule="auto"/>
        <w:ind w:firstLine="422" w:firstLineChars="200"/>
        <w:textAlignment w:val="auto"/>
        <w:rPr>
          <w:rFonts w:hint="eastAsia" w:ascii="宋体" w:hAnsi="宋体" w:cs="宋体"/>
          <w:b/>
          <w:bCs/>
          <w:lang w:val="en-US" w:eastAsia="zh-CN"/>
        </w:rPr>
      </w:pPr>
      <w:r>
        <w:rPr>
          <w:rFonts w:hint="eastAsia" w:ascii="宋体" w:hAnsi="宋体" w:cs="宋体"/>
          <w:b/>
          <w:bCs/>
          <w:lang w:val="en-US" w:eastAsia="zh-CN"/>
        </w:rPr>
        <w:t>2</w:t>
      </w:r>
      <w:r>
        <w:rPr>
          <w:rFonts w:hint="eastAsia" w:ascii="宋体" w:hAnsi="宋体" w:cs="宋体"/>
          <w:b/>
          <w:bCs/>
          <w:lang w:eastAsia="zh-CN"/>
        </w:rPr>
        <w:t>、</w:t>
      </w:r>
      <w:r>
        <w:rPr>
          <w:rFonts w:hint="eastAsia" w:ascii="宋体" w:hAnsi="宋体" w:cs="宋体"/>
          <w:b/>
          <w:bCs/>
          <w:lang w:val="en-US" w:eastAsia="zh-CN"/>
        </w:rPr>
        <w:t>供应商账户信息</w:t>
      </w:r>
    </w:p>
    <w:p w14:paraId="13671349">
      <w:pPr>
        <w:ind w:left="420" w:leftChars="200" w:firstLine="210" w:firstLineChars="100"/>
        <w:rPr>
          <w:rFonts w:hint="eastAsia"/>
          <w:szCs w:val="21"/>
        </w:rPr>
      </w:pPr>
      <w:r>
        <w:rPr>
          <w:rFonts w:hint="eastAsia"/>
          <w:szCs w:val="21"/>
        </w:rPr>
        <w:t>投标人</w:t>
      </w:r>
      <w:r>
        <w:rPr>
          <w:rFonts w:hint="eastAsia"/>
          <w:szCs w:val="21"/>
          <w:lang w:eastAsia="zh-CN"/>
        </w:rPr>
        <w:t>（</w:t>
      </w:r>
      <w:r>
        <w:rPr>
          <w:rFonts w:hint="eastAsia"/>
          <w:szCs w:val="21"/>
          <w:lang w:val="en-US" w:eastAsia="zh-CN"/>
        </w:rPr>
        <w:t>单位全称</w:t>
      </w:r>
      <w:r>
        <w:rPr>
          <w:rFonts w:hint="eastAsia"/>
          <w:szCs w:val="21"/>
          <w:lang w:eastAsia="zh-CN"/>
        </w:rPr>
        <w:t>）</w:t>
      </w:r>
      <w:r>
        <w:rPr>
          <w:rFonts w:hint="eastAsia"/>
          <w:szCs w:val="21"/>
        </w:rPr>
        <w:t>：</w:t>
      </w:r>
      <w:r>
        <w:rPr>
          <w:rFonts w:hint="eastAsia"/>
          <w:szCs w:val="21"/>
          <w:u w:val="thick"/>
        </w:rPr>
        <w:t xml:space="preserve">       </w:t>
      </w:r>
      <w:r>
        <w:rPr>
          <w:rFonts w:hint="eastAsia"/>
          <w:szCs w:val="21"/>
          <w:u w:val="thick"/>
          <w:lang w:val="en-US" w:eastAsia="zh-CN"/>
        </w:rPr>
        <w:t xml:space="preserve">                    </w:t>
      </w:r>
      <w:r>
        <w:rPr>
          <w:rFonts w:hint="eastAsia" w:eastAsia="宋体"/>
          <w:szCs w:val="21"/>
          <w:lang w:eastAsia="zh-CN"/>
        </w:rPr>
        <w:t>；</w:t>
      </w:r>
      <w:r>
        <w:rPr>
          <w:rFonts w:hint="eastAsia"/>
          <w:szCs w:val="21"/>
        </w:rPr>
        <w:t xml:space="preserve">  </w:t>
      </w:r>
    </w:p>
    <w:p w14:paraId="5F6A2412">
      <w:pPr>
        <w:ind w:left="420" w:leftChars="200" w:firstLine="210" w:firstLineChars="100"/>
        <w:rPr>
          <w:rFonts w:hint="eastAsia"/>
          <w:szCs w:val="21"/>
          <w:u w:val="none"/>
          <w:lang w:eastAsia="zh-CN"/>
        </w:rPr>
      </w:pPr>
      <w:r>
        <w:rPr>
          <w:rFonts w:hint="eastAsia"/>
          <w:szCs w:val="21"/>
          <w:lang w:val="en-US" w:eastAsia="zh-CN"/>
        </w:rPr>
        <w:t>投标人</w:t>
      </w:r>
      <w:r>
        <w:rPr>
          <w:rFonts w:hint="eastAsia"/>
          <w:szCs w:val="21"/>
        </w:rPr>
        <w:t>单位地址：</w:t>
      </w:r>
      <w:r>
        <w:rPr>
          <w:rFonts w:hint="eastAsia"/>
          <w:szCs w:val="21"/>
          <w:u w:val="thick"/>
        </w:rPr>
        <w:t xml:space="preserve">       </w:t>
      </w:r>
      <w:r>
        <w:rPr>
          <w:rFonts w:hint="eastAsia" w:ascii="Times New Roman" w:eastAsia="宋体"/>
          <w:szCs w:val="21"/>
          <w:u w:val="thick"/>
          <w:lang w:val="en-US" w:eastAsia="zh-CN"/>
        </w:rPr>
        <w:t xml:space="preserve">          </w:t>
      </w:r>
      <w:r>
        <w:rPr>
          <w:rFonts w:hint="eastAsia"/>
          <w:szCs w:val="21"/>
          <w:u w:val="thick"/>
          <w:lang w:val="en-US" w:eastAsia="zh-CN"/>
        </w:rPr>
        <w:t xml:space="preserve"> </w:t>
      </w:r>
      <w:r>
        <w:rPr>
          <w:rFonts w:hint="eastAsia" w:ascii="Times New Roman" w:eastAsia="宋体"/>
          <w:szCs w:val="21"/>
          <w:u w:val="thick"/>
          <w:lang w:val="en-US" w:eastAsia="zh-CN"/>
        </w:rPr>
        <w:t xml:space="preserve">  </w:t>
      </w:r>
      <w:r>
        <w:rPr>
          <w:rFonts w:hint="eastAsia" w:eastAsia="宋体"/>
          <w:szCs w:val="21"/>
          <w:u w:val="none"/>
          <w:lang w:eastAsia="zh-CN"/>
        </w:rPr>
        <w:t>；</w:t>
      </w:r>
    </w:p>
    <w:p w14:paraId="56023334">
      <w:pPr>
        <w:ind w:left="420" w:leftChars="200" w:firstLine="210" w:firstLineChars="100"/>
        <w:rPr>
          <w:rFonts w:hint="eastAsia"/>
          <w:szCs w:val="21"/>
          <w:u w:val="none"/>
          <w:lang w:eastAsia="zh-CN"/>
        </w:rPr>
      </w:pPr>
      <w:r>
        <w:rPr>
          <w:rFonts w:hint="eastAsia"/>
          <w:szCs w:val="21"/>
        </w:rPr>
        <w:t>法定代表人（负责人）或其</w:t>
      </w:r>
      <w:r>
        <w:rPr>
          <w:rFonts w:hint="eastAsia" w:ascii="Times New Roman" w:eastAsia="宋体"/>
          <w:szCs w:val="21"/>
          <w:lang w:val="en-US" w:eastAsia="zh-CN"/>
        </w:rPr>
        <w:t>授权</w:t>
      </w:r>
      <w:r>
        <w:rPr>
          <w:rFonts w:hint="eastAsia"/>
          <w:szCs w:val="21"/>
        </w:rPr>
        <w:t>委托代理人：</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eastAsia="宋体"/>
          <w:szCs w:val="21"/>
          <w:u w:val="none"/>
          <w:lang w:eastAsia="zh-CN"/>
        </w:rPr>
        <w:t>；</w:t>
      </w:r>
    </w:p>
    <w:p w14:paraId="1CC37583">
      <w:pPr>
        <w:ind w:left="420" w:leftChars="200" w:firstLine="210" w:firstLineChars="100"/>
        <w:rPr>
          <w:rFonts w:hint="eastAsia"/>
          <w:szCs w:val="21"/>
          <w:u w:val="thick"/>
        </w:rPr>
      </w:pPr>
      <w:r>
        <w:rPr>
          <w:rFonts w:hint="eastAsia"/>
          <w:szCs w:val="21"/>
          <w:lang w:val="en-US" w:eastAsia="zh-CN"/>
        </w:rPr>
        <w:t>联系</w:t>
      </w:r>
      <w:r>
        <w:rPr>
          <w:rFonts w:hint="eastAsia"/>
          <w:szCs w:val="21"/>
        </w:rPr>
        <w:t>电话</w:t>
      </w:r>
      <w:r>
        <w:rPr>
          <w:rFonts w:hint="eastAsia"/>
          <w:szCs w:val="21"/>
          <w:u w:val="none"/>
        </w:rPr>
        <w:t>：</w:t>
      </w:r>
      <w:r>
        <w:rPr>
          <w:rFonts w:hint="eastAsia"/>
          <w:szCs w:val="21"/>
          <w:u w:val="thick"/>
        </w:rPr>
        <w:t xml:space="preserve">        </w:t>
      </w:r>
      <w:r>
        <w:rPr>
          <w:rFonts w:hint="eastAsia" w:ascii="Times New Roman" w:eastAsia="宋体"/>
          <w:szCs w:val="21"/>
          <w:u w:val="thick"/>
          <w:lang w:val="en-US" w:eastAsia="zh-CN"/>
        </w:rPr>
        <w:t xml:space="preserve">          </w:t>
      </w:r>
      <w:r>
        <w:rPr>
          <w:rFonts w:hint="eastAsia"/>
          <w:szCs w:val="21"/>
          <w:u w:val="thick"/>
          <w:lang w:val="en-US" w:eastAsia="zh-CN"/>
        </w:rPr>
        <w:t xml:space="preserve"> </w:t>
      </w:r>
      <w:r>
        <w:rPr>
          <w:rFonts w:hint="eastAsia" w:ascii="Times New Roman" w:eastAsia="宋体"/>
          <w:szCs w:val="21"/>
          <w:u w:val="thick"/>
          <w:lang w:val="en-US" w:eastAsia="zh-CN"/>
        </w:rPr>
        <w:t xml:space="preserve">  </w:t>
      </w:r>
      <w:r>
        <w:rPr>
          <w:rFonts w:hint="eastAsia" w:eastAsia="宋体"/>
          <w:szCs w:val="21"/>
          <w:u w:val="none"/>
          <w:lang w:eastAsia="zh-CN"/>
        </w:rPr>
        <w:t>；</w:t>
      </w:r>
    </w:p>
    <w:p w14:paraId="18DF08E0">
      <w:pPr>
        <w:ind w:left="420" w:leftChars="200" w:firstLine="210" w:firstLineChars="100"/>
        <w:rPr>
          <w:rFonts w:hint="eastAsia"/>
          <w:szCs w:val="21"/>
          <w:u w:val="none"/>
          <w:lang w:eastAsia="zh-CN"/>
        </w:rPr>
      </w:pPr>
      <w:r>
        <w:rPr>
          <w:rFonts w:hint="eastAsia" w:ascii="Times New Roman" w:eastAsia="宋体"/>
          <w:szCs w:val="21"/>
          <w:lang w:val="en-US" w:eastAsia="zh-CN"/>
        </w:rPr>
        <w:t>开户银行名称：</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eastAsia="宋体"/>
          <w:szCs w:val="21"/>
          <w:u w:val="none"/>
          <w:lang w:eastAsia="zh-CN"/>
        </w:rPr>
        <w:t>；</w:t>
      </w:r>
    </w:p>
    <w:p w14:paraId="4706D989">
      <w:pPr>
        <w:ind w:left="420" w:leftChars="200" w:firstLine="210" w:firstLineChars="100"/>
        <w:rPr>
          <w:rFonts w:hint="eastAsia"/>
          <w:szCs w:val="21"/>
          <w:u w:val="thick"/>
          <w:lang w:eastAsia="zh-CN"/>
        </w:rPr>
      </w:pPr>
      <w:r>
        <w:rPr>
          <w:rFonts w:hint="eastAsia"/>
          <w:szCs w:val="21"/>
          <w:u w:val="none"/>
          <w:lang w:val="en-US" w:eastAsia="zh-CN"/>
        </w:rPr>
        <w:t>开户银行账号：</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none"/>
          <w:lang w:eastAsia="zh-CN"/>
        </w:rPr>
        <w:t>；</w:t>
      </w:r>
    </w:p>
    <w:p w14:paraId="55260140">
      <w:pPr>
        <w:ind w:left="420" w:leftChars="200" w:firstLine="210" w:firstLineChars="100"/>
        <w:rPr>
          <w:rFonts w:hint="eastAsia"/>
          <w:szCs w:val="21"/>
          <w:u w:val="none"/>
          <w:lang w:eastAsia="zh-CN"/>
        </w:rPr>
      </w:pPr>
      <w:r>
        <w:rPr>
          <w:rFonts w:hint="eastAsia"/>
          <w:szCs w:val="21"/>
          <w:u w:val="none"/>
          <w:lang w:val="en-US" w:eastAsia="zh-CN"/>
        </w:rPr>
        <w:t>开户银行地址：</w:t>
      </w:r>
      <w:r>
        <w:rPr>
          <w:rFonts w:hint="eastAsia"/>
          <w:szCs w:val="21"/>
          <w:u w:val="thick"/>
        </w:rPr>
        <w:t xml:space="preserve">      </w:t>
      </w:r>
      <w:r>
        <w:rPr>
          <w:rFonts w:hint="eastAsia"/>
          <w:szCs w:val="21"/>
          <w:u w:val="thick"/>
          <w:lang w:val="en-US" w:eastAsia="zh-CN"/>
        </w:rPr>
        <w:t xml:space="preserve">            </w:t>
      </w:r>
      <w:r>
        <w:rPr>
          <w:rFonts w:hint="eastAsia"/>
          <w:szCs w:val="21"/>
          <w:u w:val="thick"/>
        </w:rPr>
        <w:t xml:space="preserve">      </w:t>
      </w:r>
      <w:r>
        <w:rPr>
          <w:rFonts w:hint="eastAsia"/>
          <w:szCs w:val="21"/>
          <w:u w:val="thick"/>
          <w:lang w:val="en-US" w:eastAsia="zh-CN"/>
        </w:rPr>
        <w:t xml:space="preserve">                          </w:t>
      </w:r>
      <w:r>
        <w:rPr>
          <w:rFonts w:hint="eastAsia"/>
          <w:szCs w:val="21"/>
          <w:u w:val="none"/>
          <w:lang w:eastAsia="zh-CN"/>
        </w:rPr>
        <w:t>。</w:t>
      </w:r>
    </w:p>
    <w:p w14:paraId="70CFB8A1">
      <w:pPr>
        <w:ind w:left="420" w:leftChars="200" w:firstLine="210" w:firstLineChars="100"/>
        <w:rPr>
          <w:rFonts w:hint="eastAsia"/>
          <w:szCs w:val="21"/>
          <w:u w:val="none"/>
        </w:rPr>
      </w:pPr>
      <w:r>
        <w:rPr>
          <w:rFonts w:hint="eastAsia"/>
          <w:szCs w:val="21"/>
          <w:u w:val="none"/>
        </w:rPr>
        <w:t xml:space="preserve"> </w:t>
      </w:r>
      <w:r>
        <w:rPr>
          <w:rFonts w:hint="eastAsia" w:ascii="宋体" w:hAnsi="宋体" w:eastAsiaTheme="minorEastAsia"/>
          <w:b/>
          <w:bCs/>
          <w:color w:val="FF0000"/>
          <w:spacing w:val="-4"/>
          <w:kern w:val="0"/>
          <w:szCs w:val="21"/>
          <w:lang w:val="en-US" w:eastAsia="zh-CN"/>
        </w:rPr>
        <w:t>注：本项填写内容作为订单融资开展的参考信息，</w:t>
      </w:r>
      <w:r>
        <w:rPr>
          <w:rFonts w:hint="eastAsia" w:ascii="宋体" w:hAnsi="宋体" w:eastAsiaTheme="minorEastAsia"/>
          <w:b/>
          <w:bCs/>
          <w:color w:val="FF0000"/>
          <w:spacing w:val="-4"/>
          <w:kern w:val="0"/>
          <w:szCs w:val="21"/>
        </w:rPr>
        <w:t>不作为供应商资格性审查及符合性审查条件。</w:t>
      </w:r>
    </w:p>
    <w:p w14:paraId="0A4C86D9">
      <w:pPr>
        <w:widowControl/>
        <w:autoSpaceDE w:val="0"/>
        <w:autoSpaceDN w:val="0"/>
        <w:spacing w:line="400" w:lineRule="exact"/>
        <w:ind w:right="1414" w:firstLine="480" w:firstLineChars="200"/>
        <w:jc w:val="right"/>
        <w:rPr>
          <w:rFonts w:eastAsiaTheme="minorEastAsia"/>
          <w:kern w:val="0"/>
          <w:sz w:val="24"/>
        </w:rPr>
      </w:pPr>
    </w:p>
    <w:p w14:paraId="2B68AD8B">
      <w:pPr>
        <w:widowControl/>
        <w:autoSpaceDE w:val="0"/>
        <w:autoSpaceDN w:val="0"/>
        <w:spacing w:line="400" w:lineRule="exact"/>
        <w:ind w:right="1414" w:firstLine="480" w:firstLineChars="200"/>
        <w:jc w:val="right"/>
        <w:rPr>
          <w:rFonts w:eastAsiaTheme="minorEastAsia"/>
          <w:kern w:val="0"/>
          <w:sz w:val="24"/>
        </w:rPr>
      </w:pPr>
    </w:p>
    <w:p w14:paraId="0AB3EF58">
      <w:pPr>
        <w:ind w:firstLine="630" w:firstLineChars="300"/>
        <w:rPr>
          <w:rFonts w:ascii="宋体" w:hAnsi="宋体"/>
        </w:rPr>
      </w:pPr>
      <w:r>
        <w:t xml:space="preserve">  </w:t>
      </w:r>
      <w:r>
        <w:rPr>
          <w:rFonts w:hint="eastAsia" w:ascii="宋体" w:hAnsi="宋体"/>
        </w:rPr>
        <w:t>………………（根据项目具体情况增加与综合实力评审相关的节点）</w:t>
      </w:r>
    </w:p>
    <w:p w14:paraId="3C19499F">
      <w:pPr>
        <w:ind w:firstLine="720" w:firstLineChars="300"/>
        <w:rPr>
          <w:sz w:val="24"/>
        </w:rPr>
      </w:pPr>
    </w:p>
    <w:p w14:paraId="51A1A49D">
      <w:pPr>
        <w:widowControl/>
        <w:spacing w:line="360" w:lineRule="auto"/>
        <w:jc w:val="left"/>
        <w:rPr>
          <w:rFonts w:eastAsiaTheme="minorEastAsia"/>
          <w:b/>
          <w:bCs/>
          <w:kern w:val="0"/>
          <w:sz w:val="24"/>
        </w:rPr>
      </w:pPr>
    </w:p>
    <w:p w14:paraId="6164F1FC">
      <w:pPr>
        <w:widowControl/>
        <w:jc w:val="center"/>
        <w:rPr>
          <w:rFonts w:ascii="黑体" w:hAnsi="宋体" w:eastAsia="黑体"/>
          <w:kern w:val="0"/>
          <w:sz w:val="24"/>
          <w:szCs w:val="20"/>
        </w:rPr>
      </w:pPr>
      <w:r>
        <w:rPr>
          <w:rFonts w:hint="eastAsia" w:ascii="黑体" w:hAnsi="宋体" w:eastAsia="黑体"/>
          <w:kern w:val="0"/>
          <w:sz w:val="24"/>
          <w:szCs w:val="20"/>
        </w:rPr>
        <w:t>（</w:t>
      </w:r>
      <w:r>
        <w:rPr>
          <w:rFonts w:hint="eastAsia" w:ascii="黑体" w:hAnsi="宋体" w:eastAsia="黑体"/>
          <w:kern w:val="0"/>
          <w:sz w:val="24"/>
          <w:szCs w:val="20"/>
          <w:lang w:val="en-US" w:eastAsia="zh-CN"/>
        </w:rPr>
        <w:t>三</w:t>
      </w:r>
      <w:r>
        <w:rPr>
          <w:rFonts w:hint="eastAsia" w:ascii="黑体" w:hAnsi="宋体" w:eastAsia="黑体"/>
          <w:kern w:val="0"/>
          <w:sz w:val="24"/>
          <w:szCs w:val="20"/>
        </w:rPr>
        <w:t>）投标人认为需要加以说明的其他内容（格式自定）</w:t>
      </w:r>
    </w:p>
    <w:p w14:paraId="1D963E6E"/>
    <w:p w14:paraId="74A3EB1A">
      <w:pPr>
        <w:pStyle w:val="2"/>
        <w:sectPr>
          <w:pgSz w:w="11907" w:h="16840"/>
          <w:pgMar w:top="1440" w:right="1797" w:bottom="1440" w:left="1797" w:header="851" w:footer="992" w:gutter="0"/>
          <w:cols w:space="425" w:num="1"/>
          <w:titlePg/>
          <w:docGrid w:linePitch="462" w:charSpace="0"/>
        </w:sectPr>
      </w:pPr>
    </w:p>
    <w:p w14:paraId="67A9B249">
      <w:pPr>
        <w:pStyle w:val="7"/>
        <w:rPr>
          <w:rFonts w:hint="eastAsia" w:ascii="宋体" w:hAnsi="宋体" w:eastAsia="宋体" w:cs="宋体"/>
          <w:b/>
          <w:bCs/>
          <w:sz w:val="21"/>
          <w:szCs w:val="21"/>
        </w:rPr>
      </w:pPr>
      <w:r>
        <w:rPr>
          <w:rFonts w:hint="eastAsia" w:ascii="宋体" w:hAnsi="宋体" w:eastAsia="宋体" w:cs="宋体"/>
          <w:b/>
          <w:bCs/>
          <w:sz w:val="21"/>
          <w:szCs w:val="21"/>
        </w:rPr>
        <w:t>第五章</w:t>
      </w:r>
      <w:r>
        <w:rPr>
          <w:rFonts w:hint="eastAsia" w:ascii="宋体" w:hAnsi="宋体" w:eastAsia="宋体" w:cs="宋体"/>
          <w:b/>
          <w:bCs/>
          <w:sz w:val="21"/>
          <w:szCs w:val="21"/>
          <w:lang w:val="en-US" w:eastAsia="zh-CN"/>
        </w:rPr>
        <w:t xml:space="preserve">  </w:t>
      </w:r>
      <w:r>
        <w:rPr>
          <w:rFonts w:hint="eastAsia" w:ascii="宋体" w:hAnsi="宋体" w:eastAsia="宋体" w:cs="宋体"/>
          <w:b/>
          <w:bCs/>
          <w:sz w:val="21"/>
          <w:szCs w:val="21"/>
        </w:rPr>
        <w:t>合同条款及格式</w:t>
      </w:r>
    </w:p>
    <w:p w14:paraId="0E986DC5">
      <w:pPr>
        <w:ind w:firstLine="413" w:firstLineChars="196"/>
        <w:rPr>
          <w:rFonts w:hint="eastAsia" w:ascii="宋体" w:hAnsi="宋体" w:eastAsia="宋体" w:cs="宋体"/>
          <w:b/>
          <w:bCs/>
          <w:sz w:val="21"/>
          <w:szCs w:val="21"/>
        </w:rPr>
      </w:pPr>
    </w:p>
    <w:p w14:paraId="3C3C96A0">
      <w:pPr>
        <w:jc w:val="center"/>
        <w:outlineLvl w:val="0"/>
        <w:rPr>
          <w:rFonts w:hint="eastAsia" w:ascii="宋体" w:hAnsi="宋体" w:eastAsia="宋体" w:cs="宋体"/>
          <w:sz w:val="21"/>
          <w:szCs w:val="21"/>
        </w:rPr>
      </w:pPr>
      <w:r>
        <w:rPr>
          <w:rFonts w:hint="eastAsia" w:ascii="宋体" w:hAnsi="宋体" w:eastAsia="宋体" w:cs="宋体"/>
          <w:b/>
          <w:sz w:val="21"/>
          <w:szCs w:val="21"/>
        </w:rPr>
        <w:t>（仅供参考，具体以项目需求及采购结果为准）</w:t>
      </w:r>
    </w:p>
    <w:p w14:paraId="7FF6693D">
      <w:pPr>
        <w:rPr>
          <w:rFonts w:hint="eastAsia" w:ascii="宋体" w:hAnsi="宋体" w:eastAsia="宋体" w:cs="宋体"/>
          <w:b/>
          <w:bCs/>
          <w:sz w:val="21"/>
          <w:szCs w:val="21"/>
        </w:rPr>
      </w:pPr>
      <w:r>
        <w:rPr>
          <w:rFonts w:hint="eastAsia" w:ascii="宋体" w:hAnsi="宋体" w:eastAsia="宋体" w:cs="宋体"/>
          <w:b/>
          <w:bCs/>
          <w:sz w:val="21"/>
          <w:szCs w:val="21"/>
        </w:rPr>
        <w:t>甲方：</w:t>
      </w:r>
    </w:p>
    <w:p w14:paraId="5D66DECC">
      <w:pPr>
        <w:rPr>
          <w:rFonts w:hint="eastAsia" w:ascii="宋体" w:hAnsi="宋体" w:eastAsia="宋体" w:cs="宋体"/>
          <w:sz w:val="21"/>
          <w:szCs w:val="21"/>
        </w:rPr>
      </w:pPr>
      <w:r>
        <w:rPr>
          <w:rFonts w:hint="eastAsia" w:ascii="宋体" w:hAnsi="宋体" w:eastAsia="宋体" w:cs="宋体"/>
          <w:sz w:val="21"/>
          <w:szCs w:val="21"/>
        </w:rPr>
        <w:t>地址：</w:t>
      </w:r>
    </w:p>
    <w:p w14:paraId="0D08DE8C">
      <w:pPr>
        <w:rPr>
          <w:rFonts w:hint="eastAsia" w:ascii="宋体" w:hAnsi="宋体" w:eastAsia="宋体" w:cs="宋体"/>
          <w:sz w:val="21"/>
          <w:szCs w:val="21"/>
        </w:rPr>
      </w:pPr>
      <w:r>
        <w:rPr>
          <w:rFonts w:hint="eastAsia" w:ascii="宋体" w:hAnsi="宋体" w:eastAsia="宋体" w:cs="宋体"/>
          <w:sz w:val="21"/>
          <w:szCs w:val="21"/>
        </w:rPr>
        <w:t>联系人：</w:t>
      </w:r>
    </w:p>
    <w:p w14:paraId="2395F5F3">
      <w:pPr>
        <w:rPr>
          <w:rFonts w:hint="eastAsia" w:ascii="宋体" w:hAnsi="宋体" w:eastAsia="宋体" w:cs="宋体"/>
          <w:b/>
          <w:bCs/>
          <w:sz w:val="21"/>
          <w:szCs w:val="21"/>
        </w:rPr>
      </w:pPr>
      <w:r>
        <w:rPr>
          <w:rFonts w:hint="eastAsia" w:ascii="宋体" w:hAnsi="宋体" w:eastAsia="宋体" w:cs="宋体"/>
          <w:sz w:val="21"/>
          <w:szCs w:val="21"/>
        </w:rPr>
        <w:t>联系电话：</w:t>
      </w:r>
    </w:p>
    <w:p w14:paraId="43A328B9">
      <w:pPr>
        <w:rPr>
          <w:rFonts w:hint="eastAsia" w:ascii="宋体" w:hAnsi="宋体" w:eastAsia="宋体" w:cs="宋体"/>
          <w:b/>
          <w:bCs/>
          <w:sz w:val="21"/>
          <w:szCs w:val="21"/>
        </w:rPr>
      </w:pPr>
    </w:p>
    <w:p w14:paraId="3BB6AE7D">
      <w:pPr>
        <w:rPr>
          <w:rFonts w:hint="eastAsia" w:ascii="宋体" w:hAnsi="宋体" w:eastAsia="宋体" w:cs="宋体"/>
          <w:b/>
          <w:bCs/>
          <w:sz w:val="21"/>
          <w:szCs w:val="21"/>
        </w:rPr>
      </w:pPr>
      <w:r>
        <w:rPr>
          <w:rFonts w:hint="eastAsia" w:ascii="宋体" w:hAnsi="宋体" w:eastAsia="宋体" w:cs="宋体"/>
          <w:b/>
          <w:bCs/>
          <w:sz w:val="21"/>
          <w:szCs w:val="21"/>
        </w:rPr>
        <w:t>乙方：</w:t>
      </w:r>
    </w:p>
    <w:p w14:paraId="4EA13051">
      <w:pPr>
        <w:rPr>
          <w:rFonts w:hint="eastAsia" w:ascii="宋体" w:hAnsi="宋体" w:eastAsia="宋体" w:cs="宋体"/>
          <w:sz w:val="21"/>
          <w:szCs w:val="21"/>
        </w:rPr>
      </w:pPr>
      <w:r>
        <w:rPr>
          <w:rFonts w:hint="eastAsia" w:ascii="宋体" w:hAnsi="宋体" w:eastAsia="宋体" w:cs="宋体"/>
          <w:sz w:val="21"/>
          <w:szCs w:val="21"/>
        </w:rPr>
        <w:t>地址：</w:t>
      </w:r>
    </w:p>
    <w:p w14:paraId="71C10A81">
      <w:pPr>
        <w:rPr>
          <w:rFonts w:hint="eastAsia" w:ascii="宋体" w:hAnsi="宋体" w:eastAsia="宋体" w:cs="宋体"/>
          <w:sz w:val="21"/>
          <w:szCs w:val="21"/>
        </w:rPr>
      </w:pPr>
      <w:r>
        <w:rPr>
          <w:rFonts w:hint="eastAsia" w:ascii="宋体" w:hAnsi="宋体" w:eastAsia="宋体" w:cs="宋体"/>
          <w:sz w:val="21"/>
          <w:szCs w:val="21"/>
        </w:rPr>
        <w:t>联系人：</w:t>
      </w:r>
    </w:p>
    <w:p w14:paraId="73A3A509">
      <w:pPr>
        <w:rPr>
          <w:rFonts w:hint="eastAsia" w:ascii="宋体" w:hAnsi="宋体" w:eastAsia="宋体" w:cs="宋体"/>
          <w:b/>
          <w:bCs/>
          <w:sz w:val="21"/>
          <w:szCs w:val="21"/>
        </w:rPr>
      </w:pPr>
      <w:r>
        <w:rPr>
          <w:rFonts w:hint="eastAsia" w:ascii="宋体" w:hAnsi="宋体" w:eastAsia="宋体" w:cs="宋体"/>
          <w:sz w:val="21"/>
          <w:szCs w:val="21"/>
        </w:rPr>
        <w:t>联系电话：</w:t>
      </w:r>
    </w:p>
    <w:p w14:paraId="7BF97BC5">
      <w:pPr>
        <w:rPr>
          <w:rFonts w:hint="eastAsia" w:ascii="宋体" w:hAnsi="宋体" w:eastAsia="宋体" w:cs="宋体"/>
          <w:sz w:val="21"/>
          <w:szCs w:val="21"/>
        </w:rPr>
      </w:pPr>
    </w:p>
    <w:p w14:paraId="21141AFA">
      <w:pPr>
        <w:rPr>
          <w:rFonts w:hint="eastAsia" w:ascii="宋体" w:hAnsi="宋体" w:eastAsia="宋体" w:cs="宋体"/>
          <w:sz w:val="21"/>
          <w:szCs w:val="21"/>
        </w:rPr>
      </w:pPr>
    </w:p>
    <w:p w14:paraId="5FB27A4D">
      <w:pPr>
        <w:ind w:firstLine="420" w:firstLineChars="200"/>
        <w:rPr>
          <w:rFonts w:hint="eastAsia" w:ascii="宋体" w:hAnsi="宋体" w:eastAsia="宋体" w:cs="宋体"/>
          <w:sz w:val="21"/>
          <w:szCs w:val="21"/>
        </w:rPr>
      </w:pPr>
      <w:r>
        <w:rPr>
          <w:rFonts w:hint="eastAsia" w:ascii="宋体" w:hAnsi="宋体" w:eastAsia="宋体" w:cs="宋体"/>
          <w:sz w:val="21"/>
          <w:szCs w:val="21"/>
        </w:rPr>
        <w:t>根据深圳公共资源交易中心（深圳交易集团有限公司龙岗分公司）***号项目结果，***单位为中标人。按照《中华人民共和国民法典》（第三编合同）》和《深圳经济特区政府采购条例》，经深圳市（以下简称甲方）和单位（以下简称乙方）协商，就甲方委托乙方承担</w:t>
      </w:r>
      <w:r>
        <w:rPr>
          <w:rFonts w:hint="eastAsia" w:ascii="宋体" w:hAnsi="宋体" w:eastAsia="宋体" w:cs="宋体"/>
          <w:b/>
          <w:bCs/>
          <w:snapToGrid w:val="0"/>
          <w:kern w:val="0"/>
          <w:sz w:val="21"/>
          <w:szCs w:val="21"/>
          <w:u w:val="single"/>
          <w:lang w:val="zh-CN"/>
        </w:rPr>
        <w:t>服务项目</w:t>
      </w:r>
      <w:r>
        <w:rPr>
          <w:rFonts w:hint="eastAsia" w:ascii="宋体" w:hAnsi="宋体" w:eastAsia="宋体" w:cs="宋体"/>
          <w:sz w:val="21"/>
          <w:szCs w:val="21"/>
        </w:rPr>
        <w:t>，达成以下合同条款：</w:t>
      </w:r>
    </w:p>
    <w:p w14:paraId="4CF90149">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第一条项目概况</w:t>
      </w:r>
    </w:p>
    <w:p w14:paraId="358483AC">
      <w:pPr>
        <w:ind w:firstLine="420" w:firstLineChars="200"/>
        <w:rPr>
          <w:rFonts w:hint="eastAsia" w:ascii="宋体" w:hAnsi="宋体" w:eastAsia="宋体" w:cs="宋体"/>
          <w:sz w:val="21"/>
          <w:szCs w:val="21"/>
        </w:rPr>
      </w:pPr>
      <w:r>
        <w:rPr>
          <w:rFonts w:hint="eastAsia" w:ascii="宋体" w:hAnsi="宋体" w:eastAsia="宋体" w:cs="宋体"/>
          <w:sz w:val="21"/>
          <w:szCs w:val="21"/>
        </w:rPr>
        <w:t>项目名称：</w:t>
      </w:r>
    </w:p>
    <w:p w14:paraId="77BD4180">
      <w:pPr>
        <w:ind w:firstLine="420" w:firstLineChars="200"/>
        <w:rPr>
          <w:rFonts w:hint="eastAsia" w:ascii="宋体" w:hAnsi="宋体" w:eastAsia="宋体" w:cs="宋体"/>
          <w:sz w:val="21"/>
          <w:szCs w:val="21"/>
        </w:rPr>
      </w:pPr>
      <w:r>
        <w:rPr>
          <w:rFonts w:hint="eastAsia" w:ascii="宋体" w:hAnsi="宋体" w:eastAsia="宋体" w:cs="宋体"/>
          <w:sz w:val="21"/>
          <w:szCs w:val="21"/>
        </w:rPr>
        <w:t>项目内容：</w:t>
      </w:r>
    </w:p>
    <w:p w14:paraId="222CB27E">
      <w:pPr>
        <w:ind w:firstLine="420" w:firstLineChars="200"/>
        <w:rPr>
          <w:rFonts w:hint="eastAsia" w:ascii="宋体" w:hAnsi="宋体" w:eastAsia="宋体" w:cs="宋体"/>
          <w:sz w:val="21"/>
          <w:szCs w:val="21"/>
        </w:rPr>
      </w:pPr>
      <w:r>
        <w:rPr>
          <w:rFonts w:hint="eastAsia" w:ascii="宋体" w:hAnsi="宋体" w:eastAsia="宋体" w:cs="宋体"/>
          <w:sz w:val="21"/>
          <w:szCs w:val="21"/>
        </w:rPr>
        <w:t>服务时间：</w:t>
      </w:r>
    </w:p>
    <w:p w14:paraId="1AF3FA81">
      <w:pPr>
        <w:ind w:firstLine="420" w:firstLineChars="200"/>
        <w:rPr>
          <w:rFonts w:hint="eastAsia" w:ascii="宋体" w:hAnsi="宋体" w:eastAsia="宋体" w:cs="宋体"/>
          <w:sz w:val="21"/>
          <w:szCs w:val="21"/>
        </w:rPr>
      </w:pPr>
      <w:r>
        <w:rPr>
          <w:rFonts w:hint="eastAsia" w:ascii="宋体" w:hAnsi="宋体" w:eastAsia="宋体" w:cs="宋体"/>
          <w:sz w:val="21"/>
          <w:szCs w:val="21"/>
        </w:rPr>
        <w:t>合同价款：合同总价为元，含一切税、费。本合同总价包括乙方为实施本项目***所需的设备仪器费、车辆租赁费、服务和技术费用等，为固定不变价格，且不随通货膨胀的影响而波动。合同总价包括乙方履行本合同义务所发生的一切费用和支出和以各种方式寄送技术资料到甲方办公室所发生的费用。</w:t>
      </w:r>
    </w:p>
    <w:p w14:paraId="58F1DB82">
      <w:pPr>
        <w:pStyle w:val="9"/>
        <w:rPr>
          <w:rFonts w:hint="eastAsia" w:ascii="宋体" w:hAnsi="宋体" w:eastAsia="宋体" w:cs="宋体"/>
          <w:sz w:val="21"/>
          <w:szCs w:val="21"/>
        </w:rPr>
      </w:pPr>
      <w:r>
        <w:rPr>
          <w:rFonts w:hint="eastAsia" w:ascii="宋体" w:hAnsi="宋体" w:eastAsia="宋体" w:cs="宋体"/>
          <w:sz w:val="21"/>
          <w:szCs w:val="21"/>
        </w:rPr>
        <w:t>支付方式：分期支付。</w:t>
      </w:r>
    </w:p>
    <w:p w14:paraId="75DED696">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第二条服务范围</w:t>
      </w:r>
    </w:p>
    <w:p w14:paraId="085A19E8">
      <w:pPr>
        <w:ind w:firstLine="420" w:firstLineChars="200"/>
        <w:rPr>
          <w:rFonts w:hint="eastAsia" w:ascii="宋体" w:hAnsi="宋体" w:eastAsia="宋体" w:cs="宋体"/>
          <w:sz w:val="21"/>
          <w:szCs w:val="21"/>
        </w:rPr>
      </w:pPr>
      <w:r>
        <w:rPr>
          <w:rFonts w:hint="eastAsia" w:ascii="宋体" w:hAnsi="宋体" w:eastAsia="宋体" w:cs="宋体"/>
          <w:sz w:val="21"/>
          <w:szCs w:val="21"/>
        </w:rPr>
        <w:t>1、</w:t>
      </w:r>
    </w:p>
    <w:p w14:paraId="5C557BE7">
      <w:pPr>
        <w:ind w:firstLine="420" w:firstLineChars="200"/>
        <w:rPr>
          <w:rFonts w:hint="eastAsia" w:ascii="宋体" w:hAnsi="宋体" w:eastAsia="宋体" w:cs="宋体"/>
          <w:sz w:val="21"/>
          <w:szCs w:val="21"/>
        </w:rPr>
      </w:pPr>
      <w:r>
        <w:rPr>
          <w:rFonts w:hint="eastAsia" w:ascii="宋体" w:hAnsi="宋体" w:eastAsia="宋体" w:cs="宋体"/>
          <w:sz w:val="21"/>
          <w:szCs w:val="21"/>
        </w:rPr>
        <w:t>2、</w:t>
      </w:r>
    </w:p>
    <w:p w14:paraId="11942BD9">
      <w:pPr>
        <w:ind w:firstLine="420" w:firstLineChars="200"/>
        <w:rPr>
          <w:rFonts w:hint="eastAsia" w:ascii="宋体" w:hAnsi="宋体" w:eastAsia="宋体" w:cs="宋体"/>
          <w:sz w:val="21"/>
          <w:szCs w:val="21"/>
        </w:rPr>
      </w:pPr>
      <w:r>
        <w:rPr>
          <w:rFonts w:hint="eastAsia" w:ascii="宋体" w:hAnsi="宋体" w:eastAsia="宋体" w:cs="宋体"/>
          <w:sz w:val="21"/>
          <w:szCs w:val="21"/>
        </w:rPr>
        <w:t>3、</w:t>
      </w:r>
    </w:p>
    <w:p w14:paraId="641876B2">
      <w:pPr>
        <w:ind w:firstLine="420" w:firstLineChars="200"/>
        <w:rPr>
          <w:rFonts w:hint="eastAsia" w:ascii="宋体" w:hAnsi="宋体" w:eastAsia="宋体" w:cs="宋体"/>
          <w:sz w:val="21"/>
          <w:szCs w:val="21"/>
        </w:rPr>
      </w:pPr>
      <w:r>
        <w:rPr>
          <w:rFonts w:hint="eastAsia" w:ascii="宋体" w:hAnsi="宋体" w:eastAsia="宋体" w:cs="宋体"/>
          <w:sz w:val="21"/>
          <w:szCs w:val="21"/>
        </w:rPr>
        <w:t>4、其他合同未明示的相关工作。</w:t>
      </w:r>
    </w:p>
    <w:p w14:paraId="042E8999">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第三条时间要求及阶段成果</w:t>
      </w:r>
    </w:p>
    <w:p w14:paraId="2204FCA6">
      <w:pPr>
        <w:ind w:firstLine="420" w:firstLineChars="200"/>
        <w:rPr>
          <w:rFonts w:hint="eastAsia" w:ascii="宋体" w:hAnsi="宋体" w:eastAsia="宋体" w:cs="宋体"/>
          <w:sz w:val="21"/>
          <w:szCs w:val="21"/>
        </w:rPr>
      </w:pPr>
      <w:r>
        <w:rPr>
          <w:rFonts w:hint="eastAsia" w:ascii="宋体" w:hAnsi="宋体" w:eastAsia="宋体" w:cs="宋体"/>
          <w:sz w:val="21"/>
          <w:szCs w:val="21"/>
        </w:rPr>
        <w:t>1、合同签订天内完成项目实施的准备工作，包括工作大纲和试验细则的编制；</w:t>
      </w:r>
    </w:p>
    <w:p w14:paraId="11A5B22B">
      <w:pPr>
        <w:ind w:firstLine="420" w:firstLineChars="200"/>
        <w:rPr>
          <w:rFonts w:hint="eastAsia" w:ascii="宋体" w:hAnsi="宋体" w:eastAsia="宋体" w:cs="宋体"/>
          <w:sz w:val="21"/>
          <w:szCs w:val="21"/>
        </w:rPr>
      </w:pPr>
      <w:r>
        <w:rPr>
          <w:rFonts w:hint="eastAsia" w:ascii="宋体" w:hAnsi="宋体" w:eastAsia="宋体" w:cs="宋体"/>
          <w:sz w:val="21"/>
          <w:szCs w:val="21"/>
        </w:rPr>
        <w:t>2、</w:t>
      </w:r>
    </w:p>
    <w:p w14:paraId="71F7FBB0">
      <w:pPr>
        <w:ind w:firstLine="420" w:firstLineChars="200"/>
        <w:rPr>
          <w:rFonts w:hint="eastAsia" w:ascii="宋体" w:hAnsi="宋体" w:eastAsia="宋体" w:cs="宋体"/>
          <w:sz w:val="21"/>
          <w:szCs w:val="21"/>
        </w:rPr>
      </w:pPr>
      <w:r>
        <w:rPr>
          <w:rFonts w:hint="eastAsia" w:ascii="宋体" w:hAnsi="宋体" w:eastAsia="宋体" w:cs="宋体"/>
          <w:sz w:val="21"/>
          <w:szCs w:val="21"/>
        </w:rPr>
        <w:t>3、</w:t>
      </w:r>
    </w:p>
    <w:p w14:paraId="48A9DA12">
      <w:pPr>
        <w:ind w:firstLine="420" w:firstLineChars="200"/>
        <w:rPr>
          <w:rFonts w:hint="eastAsia" w:ascii="宋体" w:hAnsi="宋体" w:eastAsia="宋体" w:cs="宋体"/>
          <w:sz w:val="21"/>
          <w:szCs w:val="21"/>
        </w:rPr>
      </w:pPr>
      <w:r>
        <w:rPr>
          <w:rFonts w:hint="eastAsia" w:ascii="宋体" w:hAnsi="宋体" w:eastAsia="宋体" w:cs="宋体"/>
          <w:sz w:val="21"/>
          <w:szCs w:val="21"/>
        </w:rPr>
        <w:t>4、</w:t>
      </w:r>
    </w:p>
    <w:p w14:paraId="614D9934">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第四条咨询服务资料归属</w:t>
      </w:r>
    </w:p>
    <w:p w14:paraId="325207D4">
      <w:pPr>
        <w:ind w:firstLine="420" w:firstLineChars="200"/>
        <w:rPr>
          <w:rFonts w:hint="eastAsia" w:ascii="宋体" w:hAnsi="宋体" w:eastAsia="宋体" w:cs="宋体"/>
          <w:sz w:val="21"/>
          <w:szCs w:val="21"/>
        </w:rPr>
      </w:pPr>
      <w:r>
        <w:rPr>
          <w:rFonts w:hint="eastAsia" w:ascii="宋体" w:hAnsi="宋体" w:eastAsia="宋体" w:cs="宋体"/>
          <w:sz w:val="21"/>
          <w:szCs w:val="21"/>
        </w:rPr>
        <w:t>1、所有提交给甲方的咨询服务文件及相关的资料的最后文本，包括为履行技术咨询服务范围所编制的图纸、计划和证明资料等，都属于甲方的财产，乙方在提交给甲方之前应将上述资料进行整理归类和编制索引。</w:t>
      </w:r>
    </w:p>
    <w:p w14:paraId="4D84B059">
      <w:pPr>
        <w:ind w:firstLine="420" w:firstLineChars="200"/>
        <w:rPr>
          <w:rFonts w:hint="eastAsia" w:ascii="宋体" w:hAnsi="宋体" w:eastAsia="宋体" w:cs="宋体"/>
          <w:sz w:val="21"/>
          <w:szCs w:val="21"/>
        </w:rPr>
      </w:pPr>
      <w:r>
        <w:rPr>
          <w:rFonts w:hint="eastAsia" w:ascii="宋体" w:hAnsi="宋体" w:eastAsia="宋体" w:cs="宋体"/>
          <w:sz w:val="21"/>
          <w:szCs w:val="21"/>
        </w:rPr>
        <w:t>2、乙方未经甲方的书面同意，不得将上述资料用于与本咨询服务项目之外的任何项目。</w:t>
      </w:r>
    </w:p>
    <w:p w14:paraId="006CA1F7">
      <w:pPr>
        <w:ind w:firstLine="420" w:firstLineChars="200"/>
        <w:rPr>
          <w:rFonts w:hint="eastAsia" w:ascii="宋体" w:hAnsi="宋体" w:eastAsia="宋体" w:cs="宋体"/>
          <w:sz w:val="21"/>
          <w:szCs w:val="21"/>
        </w:rPr>
      </w:pPr>
      <w:r>
        <w:rPr>
          <w:rFonts w:hint="eastAsia" w:ascii="宋体" w:hAnsi="宋体" w:eastAsia="宋体" w:cs="宋体"/>
          <w:sz w:val="21"/>
          <w:szCs w:val="21"/>
        </w:rPr>
        <w:t>3、合同履行完毕，未经甲方的书面同意，乙方不得保存在履行合同过程中所获得或接触到的任何内部数据资料。</w:t>
      </w:r>
    </w:p>
    <w:p w14:paraId="025C2B20">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第五条甲方的义务</w:t>
      </w:r>
    </w:p>
    <w:p w14:paraId="6D27DF02">
      <w:pPr>
        <w:ind w:firstLine="420" w:firstLineChars="200"/>
        <w:rPr>
          <w:rFonts w:hint="eastAsia" w:ascii="宋体" w:hAnsi="宋体" w:eastAsia="宋体" w:cs="宋体"/>
          <w:sz w:val="21"/>
          <w:szCs w:val="21"/>
        </w:rPr>
      </w:pPr>
      <w:r>
        <w:rPr>
          <w:rFonts w:hint="eastAsia" w:ascii="宋体" w:hAnsi="宋体" w:eastAsia="宋体" w:cs="宋体"/>
          <w:sz w:val="21"/>
          <w:szCs w:val="21"/>
        </w:rPr>
        <w:t>1、负责与本咨询服务项目有关的第三方的协调，提供开展咨询服务工作的外部条件。</w:t>
      </w:r>
    </w:p>
    <w:p w14:paraId="3E075E79">
      <w:pPr>
        <w:ind w:firstLine="420" w:firstLineChars="200"/>
        <w:rPr>
          <w:rFonts w:hint="eastAsia" w:ascii="宋体" w:hAnsi="宋体" w:eastAsia="宋体" w:cs="宋体"/>
          <w:sz w:val="21"/>
          <w:szCs w:val="21"/>
        </w:rPr>
      </w:pPr>
      <w:r>
        <w:rPr>
          <w:rFonts w:hint="eastAsia" w:ascii="宋体" w:hAnsi="宋体" w:eastAsia="宋体" w:cs="宋体"/>
          <w:sz w:val="21"/>
          <w:szCs w:val="21"/>
        </w:rPr>
        <w:t>2、向乙方提供与本项目咨询服务工作有关的资料。</w:t>
      </w:r>
    </w:p>
    <w:p w14:paraId="484689CE">
      <w:pPr>
        <w:ind w:firstLine="420" w:firstLineChars="200"/>
        <w:rPr>
          <w:rFonts w:hint="eastAsia" w:ascii="宋体" w:hAnsi="宋体" w:eastAsia="宋体" w:cs="宋体"/>
          <w:sz w:val="21"/>
          <w:szCs w:val="21"/>
        </w:rPr>
      </w:pPr>
      <w:r>
        <w:rPr>
          <w:rFonts w:hint="eastAsia" w:ascii="宋体" w:hAnsi="宋体" w:eastAsia="宋体" w:cs="宋体"/>
          <w:sz w:val="21"/>
          <w:szCs w:val="21"/>
        </w:rPr>
        <w:t>3、负责组织有关专家对项目试验成果评估报告的评审。</w:t>
      </w:r>
    </w:p>
    <w:p w14:paraId="6D5335E2">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第六条乙方的义务</w:t>
      </w:r>
    </w:p>
    <w:p w14:paraId="5846C28C">
      <w:pPr>
        <w:ind w:firstLine="420" w:firstLineChars="200"/>
        <w:rPr>
          <w:rFonts w:hint="eastAsia" w:ascii="宋体" w:hAnsi="宋体" w:eastAsia="宋体" w:cs="宋体"/>
          <w:sz w:val="21"/>
          <w:szCs w:val="21"/>
        </w:rPr>
      </w:pPr>
      <w:r>
        <w:rPr>
          <w:rFonts w:hint="eastAsia" w:ascii="宋体" w:hAnsi="宋体" w:eastAsia="宋体" w:cs="宋体"/>
          <w:sz w:val="21"/>
          <w:szCs w:val="21"/>
        </w:rPr>
        <w:t>１、应按照招标文件、投标文件要求按期完成本项目咨询服务工作。</w:t>
      </w:r>
    </w:p>
    <w:p w14:paraId="4435B9CA">
      <w:pPr>
        <w:ind w:firstLine="420" w:firstLineChars="200"/>
        <w:rPr>
          <w:rFonts w:hint="eastAsia" w:ascii="宋体" w:hAnsi="宋体" w:eastAsia="宋体" w:cs="宋体"/>
          <w:sz w:val="21"/>
          <w:szCs w:val="21"/>
        </w:rPr>
      </w:pPr>
      <w:r>
        <w:rPr>
          <w:rFonts w:hint="eastAsia" w:ascii="宋体" w:hAnsi="宋体" w:eastAsia="宋体" w:cs="宋体"/>
          <w:sz w:val="21"/>
          <w:szCs w:val="21"/>
        </w:rPr>
        <w:t>2、负责组织项目的实施，保证工程进度和成桥荷载试验工作质量，并满足交通部交工验收相关标准。</w:t>
      </w:r>
    </w:p>
    <w:p w14:paraId="02405D84">
      <w:pPr>
        <w:ind w:firstLine="420" w:firstLineChars="200"/>
        <w:rPr>
          <w:rFonts w:hint="eastAsia" w:ascii="宋体" w:hAnsi="宋体" w:eastAsia="宋体" w:cs="宋体"/>
          <w:sz w:val="21"/>
          <w:szCs w:val="21"/>
        </w:rPr>
      </w:pPr>
      <w:r>
        <w:rPr>
          <w:rFonts w:hint="eastAsia" w:ascii="宋体" w:hAnsi="宋体" w:eastAsia="宋体" w:cs="宋体"/>
          <w:sz w:val="21"/>
          <w:szCs w:val="21"/>
        </w:rPr>
        <w:t>3、向甲方提交检测资料等各套，一套电子版文件。</w:t>
      </w:r>
    </w:p>
    <w:p w14:paraId="0D0EE08C">
      <w:pPr>
        <w:ind w:firstLine="420" w:firstLineChars="200"/>
        <w:rPr>
          <w:rFonts w:hint="eastAsia" w:ascii="宋体" w:hAnsi="宋体" w:eastAsia="宋体" w:cs="宋体"/>
          <w:sz w:val="21"/>
          <w:szCs w:val="21"/>
        </w:rPr>
      </w:pPr>
      <w:r>
        <w:rPr>
          <w:rFonts w:hint="eastAsia" w:ascii="宋体" w:hAnsi="宋体" w:eastAsia="宋体" w:cs="宋体"/>
          <w:sz w:val="21"/>
          <w:szCs w:val="21"/>
        </w:rPr>
        <w:t>4、在履行合同期间或合同规定期限内，不得泄露与本合同规定业务活动有关的保密资料。</w:t>
      </w:r>
    </w:p>
    <w:p w14:paraId="58542AE3">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第七条甲方的权利</w:t>
      </w:r>
    </w:p>
    <w:p w14:paraId="5CD995D3">
      <w:pPr>
        <w:ind w:firstLine="420" w:firstLineChars="200"/>
        <w:rPr>
          <w:rFonts w:hint="eastAsia" w:ascii="宋体" w:hAnsi="宋体" w:eastAsia="宋体" w:cs="宋体"/>
          <w:sz w:val="21"/>
          <w:szCs w:val="21"/>
        </w:rPr>
      </w:pPr>
      <w:r>
        <w:rPr>
          <w:rFonts w:hint="eastAsia" w:ascii="宋体" w:hAnsi="宋体" w:eastAsia="宋体" w:cs="宋体"/>
          <w:sz w:val="21"/>
          <w:szCs w:val="21"/>
        </w:rPr>
        <w:t>1、有权向乙方询问工作进展情况及相关的内容。</w:t>
      </w:r>
    </w:p>
    <w:p w14:paraId="46A74FB2">
      <w:pPr>
        <w:ind w:firstLine="420" w:firstLineChars="200"/>
        <w:rPr>
          <w:rFonts w:hint="eastAsia" w:ascii="宋体" w:hAnsi="宋体" w:eastAsia="宋体" w:cs="宋体"/>
          <w:sz w:val="21"/>
          <w:szCs w:val="21"/>
        </w:rPr>
      </w:pPr>
      <w:r>
        <w:rPr>
          <w:rFonts w:hint="eastAsia" w:ascii="宋体" w:hAnsi="宋体" w:eastAsia="宋体" w:cs="宋体"/>
          <w:sz w:val="21"/>
          <w:szCs w:val="21"/>
        </w:rPr>
        <w:t>2、有权阐述对具体问题的意见和建议。</w:t>
      </w:r>
    </w:p>
    <w:p w14:paraId="78F8B558">
      <w:pPr>
        <w:ind w:firstLine="420" w:firstLineChars="200"/>
        <w:rPr>
          <w:rFonts w:hint="eastAsia" w:ascii="宋体" w:hAnsi="宋体" w:eastAsia="宋体" w:cs="宋体"/>
          <w:sz w:val="21"/>
          <w:szCs w:val="21"/>
        </w:rPr>
      </w:pPr>
      <w:r>
        <w:rPr>
          <w:rFonts w:hint="eastAsia" w:ascii="宋体" w:hAnsi="宋体" w:eastAsia="宋体" w:cs="宋体"/>
          <w:sz w:val="21"/>
          <w:szCs w:val="21"/>
        </w:rPr>
        <w:t>3、当甲方认定乙方人员不按合同履行其职责，或与第三人串通给甲方造成经济损失的，甲方有权要求更换人员，直至终止合同并要求乙方承担相应的赔偿责任。</w:t>
      </w:r>
    </w:p>
    <w:p w14:paraId="662D622A">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第八条乙方的权利</w:t>
      </w:r>
    </w:p>
    <w:p w14:paraId="6019FEEE">
      <w:pPr>
        <w:ind w:firstLine="420" w:firstLineChars="200"/>
        <w:rPr>
          <w:rFonts w:hint="eastAsia" w:ascii="宋体" w:hAnsi="宋体" w:eastAsia="宋体" w:cs="宋体"/>
          <w:sz w:val="21"/>
          <w:szCs w:val="21"/>
        </w:rPr>
      </w:pPr>
      <w:r>
        <w:rPr>
          <w:rFonts w:hint="eastAsia" w:ascii="宋体" w:hAnsi="宋体" w:eastAsia="宋体" w:cs="宋体"/>
          <w:sz w:val="21"/>
          <w:szCs w:val="21"/>
        </w:rPr>
        <w:t>1、乙方在本项目服务过程中，如甲方提供的资料不明确时可向甲方提出书面报告。</w:t>
      </w:r>
    </w:p>
    <w:p w14:paraId="2C9FD34C">
      <w:pPr>
        <w:ind w:firstLine="420" w:firstLineChars="200"/>
        <w:rPr>
          <w:rFonts w:hint="eastAsia" w:ascii="宋体" w:hAnsi="宋体" w:eastAsia="宋体" w:cs="宋体"/>
          <w:sz w:val="21"/>
          <w:szCs w:val="21"/>
        </w:rPr>
      </w:pPr>
      <w:r>
        <w:rPr>
          <w:rFonts w:hint="eastAsia" w:ascii="宋体" w:hAnsi="宋体" w:eastAsia="宋体" w:cs="宋体"/>
          <w:sz w:val="21"/>
          <w:szCs w:val="21"/>
        </w:rPr>
        <w:t>2、乙方在本项目服务过程中，有权对第三方提出与本咨询服务业务有关的问题进行核对或查问。</w:t>
      </w:r>
    </w:p>
    <w:p w14:paraId="2DF67CAC">
      <w:pPr>
        <w:ind w:firstLine="420" w:firstLineChars="200"/>
        <w:rPr>
          <w:rFonts w:hint="eastAsia" w:ascii="宋体" w:hAnsi="宋体" w:eastAsia="宋体" w:cs="宋体"/>
          <w:sz w:val="21"/>
          <w:szCs w:val="21"/>
        </w:rPr>
      </w:pPr>
      <w:r>
        <w:rPr>
          <w:rFonts w:hint="eastAsia" w:ascii="宋体" w:hAnsi="宋体" w:eastAsia="宋体" w:cs="宋体"/>
          <w:sz w:val="21"/>
          <w:szCs w:val="21"/>
        </w:rPr>
        <w:t>3、乙方在本项目服务过程中，有到工程现场勘察的权利。</w:t>
      </w:r>
    </w:p>
    <w:p w14:paraId="6D4104B5">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第九条甲方的责任</w:t>
      </w:r>
    </w:p>
    <w:p w14:paraId="26D34613">
      <w:pPr>
        <w:ind w:firstLine="420" w:firstLineChars="200"/>
        <w:rPr>
          <w:rFonts w:hint="eastAsia" w:ascii="宋体" w:hAnsi="宋体" w:eastAsia="宋体" w:cs="宋体"/>
          <w:sz w:val="21"/>
          <w:szCs w:val="21"/>
        </w:rPr>
      </w:pPr>
      <w:r>
        <w:rPr>
          <w:rFonts w:hint="eastAsia" w:ascii="宋体" w:hAnsi="宋体" w:eastAsia="宋体" w:cs="宋体"/>
          <w:sz w:val="21"/>
          <w:szCs w:val="21"/>
        </w:rPr>
        <w:t>1、应当履行本合同约定的义务，如有违反则应当承担违约责任，赔偿给乙方造成的损失。</w:t>
      </w:r>
    </w:p>
    <w:p w14:paraId="2E5B26B7">
      <w:pPr>
        <w:ind w:firstLine="420" w:firstLineChars="200"/>
        <w:rPr>
          <w:rFonts w:hint="eastAsia" w:ascii="宋体" w:hAnsi="宋体" w:eastAsia="宋体" w:cs="宋体"/>
          <w:sz w:val="21"/>
          <w:szCs w:val="21"/>
        </w:rPr>
      </w:pPr>
      <w:r>
        <w:rPr>
          <w:rFonts w:hint="eastAsia" w:ascii="宋体" w:hAnsi="宋体" w:eastAsia="宋体" w:cs="宋体"/>
          <w:sz w:val="21"/>
          <w:szCs w:val="21"/>
        </w:rPr>
        <w:t>2、甲方向乙方提出赔偿要求不能成立时，则应补偿由于该赔偿或其他要求所导致乙方的各种费用的支出。</w:t>
      </w:r>
    </w:p>
    <w:p w14:paraId="4F9491BF">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第十条乙方的责任</w:t>
      </w:r>
    </w:p>
    <w:p w14:paraId="66B7F0CC">
      <w:pPr>
        <w:ind w:firstLine="420" w:firstLineChars="200"/>
        <w:rPr>
          <w:rFonts w:hint="eastAsia" w:ascii="宋体" w:hAnsi="宋体" w:eastAsia="宋体" w:cs="宋体"/>
          <w:sz w:val="21"/>
          <w:szCs w:val="21"/>
        </w:rPr>
      </w:pPr>
      <w:r>
        <w:rPr>
          <w:rFonts w:hint="eastAsia" w:ascii="宋体" w:hAnsi="宋体" w:eastAsia="宋体" w:cs="宋体"/>
          <w:sz w:val="21"/>
          <w:szCs w:val="21"/>
        </w:rPr>
        <w:t>1、乙方的责任期即本合同有效期。如因非乙方的责任造成进度的推迟或延误而超过约定的日期，双方应进一步约定相应延长合同有效期。</w:t>
      </w:r>
    </w:p>
    <w:p w14:paraId="7465A1D3">
      <w:pPr>
        <w:ind w:firstLine="420" w:firstLineChars="200"/>
        <w:rPr>
          <w:rFonts w:hint="eastAsia" w:ascii="宋体" w:hAnsi="宋体" w:eastAsia="宋体" w:cs="宋体"/>
          <w:sz w:val="21"/>
          <w:szCs w:val="21"/>
        </w:rPr>
      </w:pPr>
      <w:r>
        <w:rPr>
          <w:rFonts w:hint="eastAsia" w:ascii="宋体" w:hAnsi="宋体" w:eastAsia="宋体" w:cs="宋体"/>
          <w:sz w:val="21"/>
          <w:szCs w:val="21"/>
        </w:rPr>
        <w:t>2、乙方的责任期内，应当履行本合同中约定的义务，因乙方的单方过失造成的经济损失，应当向甲方进行赔偿。</w:t>
      </w:r>
    </w:p>
    <w:p w14:paraId="5770AD54">
      <w:pPr>
        <w:ind w:firstLine="420" w:firstLineChars="200"/>
        <w:rPr>
          <w:rFonts w:hint="eastAsia" w:ascii="宋体" w:hAnsi="宋体" w:eastAsia="宋体" w:cs="宋体"/>
          <w:sz w:val="21"/>
          <w:szCs w:val="21"/>
        </w:rPr>
      </w:pPr>
      <w:r>
        <w:rPr>
          <w:rFonts w:hint="eastAsia" w:ascii="宋体" w:hAnsi="宋体" w:eastAsia="宋体" w:cs="宋体"/>
          <w:sz w:val="21"/>
          <w:szCs w:val="21"/>
        </w:rPr>
        <w:t>3、乙方对甲方或第三方所提出的问题不能及时核对或答复，导致合同不能全部或部分履行，乙方应承担责任。</w:t>
      </w:r>
    </w:p>
    <w:p w14:paraId="332163BA">
      <w:pPr>
        <w:ind w:firstLine="420" w:firstLineChars="200"/>
        <w:rPr>
          <w:rFonts w:hint="eastAsia" w:ascii="宋体" w:hAnsi="宋体" w:eastAsia="宋体" w:cs="宋体"/>
          <w:sz w:val="21"/>
          <w:szCs w:val="21"/>
        </w:rPr>
      </w:pPr>
      <w:r>
        <w:rPr>
          <w:rFonts w:hint="eastAsia" w:ascii="宋体" w:hAnsi="宋体" w:eastAsia="宋体" w:cs="宋体"/>
          <w:sz w:val="21"/>
          <w:szCs w:val="21"/>
        </w:rPr>
        <w:t>4、乙方向甲方提出赔偿要求不能成立时，则应补偿由于该赔偿或其他要求所导致甲方的各种费用的支出。</w:t>
      </w:r>
    </w:p>
    <w:p w14:paraId="73C107AA">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第十一条人员要求</w:t>
      </w:r>
    </w:p>
    <w:p w14:paraId="5BDAA9B5">
      <w:pPr>
        <w:ind w:firstLine="420" w:firstLineChars="200"/>
        <w:rPr>
          <w:rFonts w:hint="eastAsia" w:ascii="宋体" w:hAnsi="宋体" w:eastAsia="宋体" w:cs="宋体"/>
          <w:sz w:val="21"/>
          <w:szCs w:val="21"/>
        </w:rPr>
      </w:pPr>
      <w:r>
        <w:rPr>
          <w:rFonts w:hint="eastAsia" w:ascii="宋体" w:hAnsi="宋体" w:eastAsia="宋体" w:cs="宋体"/>
          <w:sz w:val="21"/>
          <w:szCs w:val="21"/>
        </w:rPr>
        <w:t>1、参加本项目试验的人员必须具有国家和有关部门规定的相应资质。</w:t>
      </w:r>
    </w:p>
    <w:p w14:paraId="105C986C">
      <w:pPr>
        <w:ind w:firstLine="420" w:firstLineChars="200"/>
        <w:rPr>
          <w:rFonts w:hint="eastAsia" w:ascii="宋体" w:hAnsi="宋体" w:eastAsia="宋体" w:cs="宋体"/>
          <w:sz w:val="21"/>
          <w:szCs w:val="21"/>
        </w:rPr>
      </w:pPr>
      <w:r>
        <w:rPr>
          <w:rFonts w:hint="eastAsia" w:ascii="宋体" w:hAnsi="宋体" w:eastAsia="宋体" w:cs="宋体"/>
          <w:sz w:val="21"/>
          <w:szCs w:val="21"/>
        </w:rPr>
        <w:t>2、参加本项目的试验人员的配置必须与投标文件中的服务承诺书和试验服务组织实施方案一致。</w:t>
      </w:r>
    </w:p>
    <w:p w14:paraId="0B66E08F">
      <w:pPr>
        <w:ind w:firstLine="420" w:firstLineChars="200"/>
        <w:rPr>
          <w:rFonts w:hint="eastAsia" w:ascii="宋体" w:hAnsi="宋体" w:eastAsia="宋体" w:cs="宋体"/>
          <w:sz w:val="21"/>
          <w:szCs w:val="21"/>
        </w:rPr>
      </w:pPr>
      <w:r>
        <w:rPr>
          <w:rFonts w:hint="eastAsia" w:ascii="宋体" w:hAnsi="宋体" w:eastAsia="宋体" w:cs="宋体"/>
          <w:sz w:val="21"/>
          <w:szCs w:val="21"/>
        </w:rPr>
        <w:t>3、必须以直属试验人员参与本项目服务，不得使用挂靠队伍。</w:t>
      </w:r>
    </w:p>
    <w:p w14:paraId="1264DD65">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第十二条乙方咨询服务工具要求</w:t>
      </w:r>
    </w:p>
    <w:p w14:paraId="741F03C5">
      <w:pPr>
        <w:ind w:firstLine="420" w:firstLineChars="200"/>
        <w:rPr>
          <w:rFonts w:hint="eastAsia" w:ascii="宋体" w:hAnsi="宋体" w:eastAsia="宋体" w:cs="宋体"/>
          <w:sz w:val="21"/>
          <w:szCs w:val="21"/>
        </w:rPr>
      </w:pPr>
      <w:r>
        <w:rPr>
          <w:rFonts w:hint="eastAsia" w:ascii="宋体" w:hAnsi="宋体" w:eastAsia="宋体" w:cs="宋体"/>
          <w:sz w:val="21"/>
          <w:szCs w:val="21"/>
        </w:rPr>
        <w:t>1、乙方应配备中标项目所需的足够数量的仪器、仪表以及工具等设备。用户不需向乙方提供施工工具和仪器、仪表。</w:t>
      </w:r>
    </w:p>
    <w:p w14:paraId="51D57446">
      <w:pPr>
        <w:ind w:firstLine="420" w:firstLineChars="200"/>
        <w:rPr>
          <w:rFonts w:hint="eastAsia" w:ascii="宋体" w:hAnsi="宋体" w:eastAsia="宋体" w:cs="宋体"/>
          <w:sz w:val="21"/>
          <w:szCs w:val="21"/>
        </w:rPr>
      </w:pPr>
      <w:r>
        <w:rPr>
          <w:rFonts w:hint="eastAsia" w:ascii="宋体" w:hAnsi="宋体" w:eastAsia="宋体" w:cs="宋体"/>
          <w:sz w:val="21"/>
          <w:szCs w:val="21"/>
        </w:rPr>
        <w:t>2、乙方在提供服务过程中应自备车辆。</w:t>
      </w:r>
    </w:p>
    <w:p w14:paraId="575BEF8B">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第十三条保密要求</w:t>
      </w:r>
    </w:p>
    <w:p w14:paraId="0A828C11">
      <w:pPr>
        <w:ind w:firstLine="420" w:firstLineChars="200"/>
        <w:rPr>
          <w:rFonts w:hint="eastAsia" w:ascii="宋体" w:hAnsi="宋体" w:eastAsia="宋体" w:cs="宋体"/>
          <w:sz w:val="21"/>
          <w:szCs w:val="21"/>
        </w:rPr>
      </w:pPr>
      <w:r>
        <w:rPr>
          <w:rFonts w:hint="eastAsia" w:ascii="宋体" w:hAnsi="宋体" w:eastAsia="宋体" w:cs="宋体"/>
          <w:sz w:val="21"/>
          <w:szCs w:val="21"/>
        </w:rPr>
        <w:t>1、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14:paraId="75DF94B8">
      <w:pPr>
        <w:ind w:firstLine="420" w:firstLineChars="200"/>
        <w:rPr>
          <w:rFonts w:hint="eastAsia" w:ascii="宋体" w:hAnsi="宋体" w:eastAsia="宋体" w:cs="宋体"/>
          <w:sz w:val="21"/>
          <w:szCs w:val="21"/>
        </w:rPr>
      </w:pPr>
      <w:r>
        <w:rPr>
          <w:rFonts w:hint="eastAsia" w:ascii="宋体" w:hAnsi="宋体" w:eastAsia="宋体" w:cs="宋体"/>
          <w:sz w:val="21"/>
          <w:szCs w:val="21"/>
        </w:rPr>
        <w:t>2、乙方在履行合同过程中所获得或接触到的任何内部数据资料，未经甲方同意，不得向第三方透露。</w:t>
      </w:r>
    </w:p>
    <w:p w14:paraId="16EFAE85">
      <w:pPr>
        <w:ind w:firstLine="420" w:firstLineChars="200"/>
        <w:rPr>
          <w:rFonts w:hint="eastAsia" w:ascii="宋体" w:hAnsi="宋体" w:eastAsia="宋体" w:cs="宋体"/>
          <w:sz w:val="21"/>
          <w:szCs w:val="21"/>
        </w:rPr>
      </w:pPr>
      <w:r>
        <w:rPr>
          <w:rFonts w:hint="eastAsia" w:ascii="宋体" w:hAnsi="宋体" w:eastAsia="宋体" w:cs="宋体"/>
          <w:sz w:val="21"/>
          <w:szCs w:val="21"/>
        </w:rPr>
        <w:t>3、乙方实施项目的一切程序都应符合国家安全、保密的有关规定和标准。</w:t>
      </w:r>
    </w:p>
    <w:p w14:paraId="2107063C">
      <w:pPr>
        <w:ind w:firstLine="420" w:firstLineChars="200"/>
        <w:rPr>
          <w:rFonts w:hint="eastAsia" w:ascii="宋体" w:hAnsi="宋体" w:eastAsia="宋体" w:cs="宋体"/>
          <w:sz w:val="21"/>
          <w:szCs w:val="21"/>
        </w:rPr>
      </w:pPr>
      <w:r>
        <w:rPr>
          <w:rFonts w:hint="eastAsia" w:ascii="宋体" w:hAnsi="宋体" w:eastAsia="宋体" w:cs="宋体"/>
          <w:sz w:val="21"/>
          <w:szCs w:val="21"/>
        </w:rPr>
        <w:t>4、乙方参加项目的有关人员均需同甲方签订保密协议。</w:t>
      </w:r>
    </w:p>
    <w:p w14:paraId="34EA9689">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第十四条验收</w:t>
      </w:r>
    </w:p>
    <w:p w14:paraId="399883EC">
      <w:pPr>
        <w:ind w:firstLine="420" w:firstLineChars="200"/>
        <w:rPr>
          <w:rFonts w:hint="eastAsia" w:ascii="宋体" w:hAnsi="宋体" w:eastAsia="宋体" w:cs="宋体"/>
          <w:sz w:val="21"/>
          <w:szCs w:val="21"/>
        </w:rPr>
      </w:pPr>
      <w:r>
        <w:rPr>
          <w:rFonts w:hint="eastAsia" w:ascii="宋体" w:hAnsi="宋体" w:eastAsia="宋体" w:cs="宋体"/>
          <w:sz w:val="21"/>
          <w:szCs w:val="21"/>
        </w:rPr>
        <w:t>1、下列文件的验收分为</w:t>
      </w:r>
      <w:r>
        <w:rPr>
          <w:rFonts w:hint="eastAsia" w:ascii="宋体" w:hAnsi="宋体" w:eastAsia="宋体" w:cs="宋体"/>
          <w:sz w:val="21"/>
          <w:szCs w:val="21"/>
          <w:u w:val="single"/>
        </w:rPr>
        <w:t>三</w:t>
      </w:r>
      <w:r>
        <w:rPr>
          <w:rFonts w:hint="eastAsia" w:ascii="宋体" w:hAnsi="宋体" w:eastAsia="宋体" w:cs="宋体"/>
          <w:sz w:val="21"/>
          <w:szCs w:val="21"/>
        </w:rPr>
        <w:t>个阶段:</w:t>
      </w:r>
    </w:p>
    <w:p w14:paraId="563CDAD1">
      <w:pPr>
        <w:ind w:firstLine="420" w:firstLineChars="200"/>
        <w:rPr>
          <w:rFonts w:hint="eastAsia" w:ascii="宋体" w:hAnsi="宋体" w:eastAsia="宋体" w:cs="宋体"/>
          <w:sz w:val="21"/>
          <w:szCs w:val="21"/>
        </w:rPr>
      </w:pPr>
      <w:r>
        <w:rPr>
          <w:rFonts w:hint="eastAsia" w:ascii="宋体" w:hAnsi="宋体" w:eastAsia="宋体" w:cs="宋体"/>
          <w:sz w:val="21"/>
          <w:szCs w:val="21"/>
        </w:rPr>
        <w:t>2、其余文件和工作由用户组织有关技术人员根据国家和行业有关规范、规程、标准和用户需求直接验收。</w:t>
      </w:r>
    </w:p>
    <w:p w14:paraId="60BFE525">
      <w:pPr>
        <w:ind w:firstLine="420" w:firstLineChars="200"/>
        <w:rPr>
          <w:rFonts w:hint="eastAsia" w:ascii="宋体" w:hAnsi="宋体" w:eastAsia="宋体" w:cs="宋体"/>
          <w:sz w:val="21"/>
          <w:szCs w:val="21"/>
        </w:rPr>
      </w:pPr>
      <w:r>
        <w:rPr>
          <w:rFonts w:hint="eastAsia" w:ascii="宋体" w:hAnsi="宋体" w:eastAsia="宋体" w:cs="宋体"/>
          <w:sz w:val="21"/>
          <w:szCs w:val="21"/>
        </w:rPr>
        <w:t>3、验收依据为招标文件、投标文件，国家和行业有关规范、规程和标准。</w:t>
      </w:r>
    </w:p>
    <w:p w14:paraId="71768FE2">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第十五条付款方式</w:t>
      </w:r>
    </w:p>
    <w:p w14:paraId="2E774224">
      <w:pPr>
        <w:ind w:firstLine="420" w:firstLineChars="200"/>
        <w:rPr>
          <w:rFonts w:hint="eastAsia" w:ascii="宋体" w:hAnsi="宋体" w:eastAsia="宋体" w:cs="宋体"/>
          <w:sz w:val="21"/>
          <w:szCs w:val="21"/>
        </w:rPr>
      </w:pPr>
      <w:r>
        <w:rPr>
          <w:rFonts w:hint="eastAsia" w:ascii="宋体" w:hAnsi="宋体" w:eastAsia="宋体" w:cs="宋体"/>
          <w:sz w:val="21"/>
          <w:szCs w:val="21"/>
        </w:rPr>
        <w:t>1、合同签订后天内乙方向甲方开具合法有效的发票后，甲方于天内向乙方支付合同总价%的款项。</w:t>
      </w:r>
    </w:p>
    <w:p w14:paraId="7A7DC36A">
      <w:pPr>
        <w:ind w:firstLine="420" w:firstLineChars="200"/>
        <w:rPr>
          <w:rFonts w:hint="eastAsia" w:ascii="宋体" w:hAnsi="宋体" w:eastAsia="宋体" w:cs="宋体"/>
          <w:sz w:val="21"/>
          <w:szCs w:val="21"/>
        </w:rPr>
      </w:pPr>
      <w:r>
        <w:rPr>
          <w:rFonts w:hint="eastAsia" w:ascii="宋体" w:hAnsi="宋体" w:eastAsia="宋体" w:cs="宋体"/>
          <w:sz w:val="21"/>
          <w:szCs w:val="21"/>
        </w:rPr>
        <w:t>2、检测完成并提交评估报告后天内，乙方向甲方开具合法有效发票后天，甲方向乙方支付合同总价%的款项。</w:t>
      </w:r>
    </w:p>
    <w:p w14:paraId="3D8369FC">
      <w:pPr>
        <w:ind w:firstLine="420" w:firstLineChars="200"/>
        <w:rPr>
          <w:rFonts w:hint="eastAsia" w:ascii="宋体" w:hAnsi="宋体" w:eastAsia="宋体" w:cs="宋体"/>
          <w:sz w:val="21"/>
          <w:szCs w:val="21"/>
        </w:rPr>
      </w:pPr>
      <w:r>
        <w:rPr>
          <w:rFonts w:hint="eastAsia" w:ascii="宋体" w:hAnsi="宋体" w:eastAsia="宋体" w:cs="宋体"/>
          <w:sz w:val="21"/>
          <w:szCs w:val="21"/>
        </w:rPr>
        <w:t>3、报告通过专家评审后，甲方向乙方支付合同总价%的款项。</w:t>
      </w:r>
    </w:p>
    <w:p w14:paraId="63826EC8">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第十六条争议解决办法</w:t>
      </w:r>
    </w:p>
    <w:p w14:paraId="584688E9">
      <w:pPr>
        <w:ind w:firstLine="420" w:firstLineChars="200"/>
        <w:rPr>
          <w:rFonts w:hint="eastAsia" w:ascii="宋体" w:hAnsi="宋体" w:eastAsia="宋体" w:cs="宋体"/>
          <w:sz w:val="21"/>
          <w:szCs w:val="21"/>
        </w:rPr>
      </w:pPr>
      <w:r>
        <w:rPr>
          <w:rFonts w:hint="eastAsia" w:ascii="宋体" w:hAnsi="宋体" w:eastAsia="宋体" w:cs="宋体"/>
          <w:sz w:val="21"/>
          <w:szCs w:val="21"/>
        </w:rPr>
        <w:t>执行本合同发生的争议，由甲乙双方协商解决，如协商不成的，应提交甲方所在地人民法院诉讼解决。</w:t>
      </w:r>
    </w:p>
    <w:p w14:paraId="465A3737">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第十七条风险责任</w:t>
      </w:r>
    </w:p>
    <w:p w14:paraId="3F4A2A4B">
      <w:pPr>
        <w:ind w:firstLine="420" w:firstLineChars="200"/>
        <w:rPr>
          <w:rFonts w:hint="eastAsia" w:ascii="宋体" w:hAnsi="宋体" w:eastAsia="宋体" w:cs="宋体"/>
          <w:sz w:val="21"/>
          <w:szCs w:val="21"/>
        </w:rPr>
      </w:pPr>
      <w:r>
        <w:rPr>
          <w:rFonts w:hint="eastAsia" w:ascii="宋体" w:hAnsi="宋体" w:eastAsia="宋体" w:cs="宋体"/>
          <w:sz w:val="21"/>
          <w:szCs w:val="21"/>
        </w:rPr>
        <w:t>１、乙方应完全地按照招标文件的要求和乙方投标文件的承诺完成本项目，出于自身财务、技术、人力等原因导致项目失败的，应承担全部责任。</w:t>
      </w:r>
    </w:p>
    <w:p w14:paraId="1417D54F">
      <w:pPr>
        <w:ind w:firstLine="420" w:firstLineChars="200"/>
        <w:rPr>
          <w:rFonts w:hint="eastAsia" w:ascii="宋体" w:hAnsi="宋体" w:eastAsia="宋体" w:cs="宋体"/>
          <w:sz w:val="21"/>
          <w:szCs w:val="21"/>
        </w:rPr>
      </w:pPr>
      <w:r>
        <w:rPr>
          <w:rFonts w:hint="eastAsia" w:ascii="宋体" w:hAnsi="宋体" w:eastAsia="宋体" w:cs="宋体"/>
          <w:sz w:val="21"/>
          <w:szCs w:val="21"/>
        </w:rPr>
        <w:t>2、乙方在实施荷载试验过程中应对自身的安全生产负责，若非因甲方原因发生的各种事故甲方不承担任何责任。</w:t>
      </w:r>
    </w:p>
    <w:p w14:paraId="7383B333">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第十八条违约责任</w:t>
      </w:r>
    </w:p>
    <w:p w14:paraId="2D98B9C4">
      <w:pPr>
        <w:pStyle w:val="20"/>
        <w:spacing w:line="240" w:lineRule="auto"/>
        <w:ind w:firstLine="480"/>
        <w:rPr>
          <w:rFonts w:hint="eastAsia" w:ascii="宋体" w:hAnsi="宋体" w:eastAsia="宋体" w:cs="宋体"/>
          <w:sz w:val="21"/>
          <w:szCs w:val="21"/>
        </w:rPr>
      </w:pPr>
      <w:r>
        <w:rPr>
          <w:rFonts w:hint="eastAsia" w:ascii="宋体" w:hAnsi="宋体" w:eastAsia="宋体" w:cs="宋体"/>
          <w:sz w:val="21"/>
          <w:szCs w:val="21"/>
        </w:rPr>
        <w:t>１、因乙方原因，未能按规定时间完成有关工作的，每延误一天，甲方可在支付合同余款中扣除合同价款千分之一。</w:t>
      </w:r>
    </w:p>
    <w:p w14:paraId="7C2E9E09">
      <w:pPr>
        <w:ind w:firstLine="420" w:firstLineChars="200"/>
        <w:rPr>
          <w:rFonts w:hint="eastAsia" w:ascii="宋体" w:hAnsi="宋体" w:eastAsia="宋体" w:cs="宋体"/>
          <w:sz w:val="21"/>
          <w:szCs w:val="21"/>
        </w:rPr>
      </w:pPr>
      <w:r>
        <w:rPr>
          <w:rFonts w:hint="eastAsia" w:ascii="宋体" w:hAnsi="宋体" w:eastAsia="宋体" w:cs="宋体"/>
          <w:sz w:val="21"/>
          <w:szCs w:val="21"/>
        </w:rPr>
        <w:t>2、由于乙方原因造成试验成果质量低劣，不能满足大纲要求时，应继续完善试验工作，其费用由乙方承担。</w:t>
      </w:r>
    </w:p>
    <w:p w14:paraId="67BC1EBB">
      <w:pPr>
        <w:ind w:firstLine="420" w:firstLineChars="200"/>
        <w:rPr>
          <w:rFonts w:hint="eastAsia" w:ascii="宋体" w:hAnsi="宋体" w:eastAsia="宋体" w:cs="宋体"/>
          <w:sz w:val="21"/>
          <w:szCs w:val="21"/>
        </w:rPr>
      </w:pPr>
      <w:r>
        <w:rPr>
          <w:rFonts w:hint="eastAsia" w:ascii="宋体" w:hAnsi="宋体" w:eastAsia="宋体" w:cs="宋体"/>
          <w:sz w:val="21"/>
          <w:szCs w:val="21"/>
        </w:rPr>
        <w:t>3、乙方交付的成果经验收不合格，应于7日内无条件修改，费用由乙方自行承担，在甲方要求整改后再次验收不合格的，甲方有权解除合同、要求乙方返还甲方已支付的合同款项，并有权要求乙方按合同总额%支付违约金。。</w:t>
      </w:r>
    </w:p>
    <w:p w14:paraId="311195D2">
      <w:pPr>
        <w:ind w:firstLine="420" w:firstLineChars="200"/>
        <w:rPr>
          <w:rFonts w:hint="eastAsia" w:ascii="宋体" w:hAnsi="宋体" w:eastAsia="宋体" w:cs="宋体"/>
          <w:sz w:val="21"/>
          <w:szCs w:val="21"/>
        </w:rPr>
      </w:pPr>
      <w:r>
        <w:rPr>
          <w:rFonts w:hint="eastAsia" w:ascii="宋体" w:hAnsi="宋体" w:eastAsia="宋体" w:cs="宋体"/>
          <w:sz w:val="21"/>
          <w:szCs w:val="21"/>
        </w:rPr>
        <w:t>4、若甲方发现乙方派出的试验服务人员或提供的试验仪器设备不符合合同要求，乙方应在3天之内按要求派出人员或提供满足投标文件承诺的仪器设备，否则甲方有权终止合同，并保留追究乙方责任及要求赔偿损失的权利。</w:t>
      </w:r>
    </w:p>
    <w:p w14:paraId="2DCB93C7">
      <w:pPr>
        <w:ind w:firstLine="420" w:firstLineChars="200"/>
        <w:rPr>
          <w:rFonts w:hint="eastAsia" w:ascii="宋体" w:hAnsi="宋体" w:eastAsia="宋体" w:cs="宋体"/>
          <w:sz w:val="21"/>
          <w:szCs w:val="21"/>
        </w:rPr>
      </w:pPr>
      <w:r>
        <w:rPr>
          <w:rFonts w:hint="eastAsia" w:ascii="宋体" w:hAnsi="宋体" w:eastAsia="宋体" w:cs="宋体"/>
          <w:sz w:val="21"/>
          <w:szCs w:val="21"/>
        </w:rPr>
        <w:t>5、乙方或其工作人员违反本合同约定的保密义务，甲方有权要求乙方按合同总额%支付违约金；造成不良影响或对甲方造成损失的，甲方有权要求乙方消除影响，承担赔偿责任，并有权解除合同。</w:t>
      </w:r>
    </w:p>
    <w:p w14:paraId="1943B3D5">
      <w:pPr>
        <w:ind w:firstLine="420" w:firstLineChars="200"/>
        <w:rPr>
          <w:rFonts w:hint="eastAsia" w:ascii="宋体" w:hAnsi="宋体" w:eastAsia="宋体" w:cs="宋体"/>
          <w:sz w:val="21"/>
          <w:szCs w:val="21"/>
        </w:rPr>
      </w:pPr>
      <w:r>
        <w:rPr>
          <w:rFonts w:hint="eastAsia" w:ascii="宋体" w:hAnsi="宋体" w:eastAsia="宋体" w:cs="宋体"/>
          <w:sz w:val="21"/>
          <w:szCs w:val="21"/>
        </w:rPr>
        <w:t>6、因乙方提供的服务成果受到侵权指控或者引发法律纠纷，影响甲方使用服务成果或者导致合同目的不能实现的，甲方有权要求乙方按合同总额%支付违约金，并有权解除合同。</w:t>
      </w:r>
    </w:p>
    <w:p w14:paraId="70B46835">
      <w:pPr>
        <w:ind w:firstLine="422" w:firstLineChars="200"/>
        <w:rPr>
          <w:rFonts w:hint="eastAsia" w:ascii="宋体" w:hAnsi="宋体" w:eastAsia="宋体" w:cs="宋体"/>
          <w:b/>
          <w:bCs/>
          <w:sz w:val="21"/>
          <w:szCs w:val="21"/>
        </w:rPr>
      </w:pPr>
      <w:r>
        <w:rPr>
          <w:rFonts w:hint="eastAsia" w:ascii="宋体" w:hAnsi="宋体" w:eastAsia="宋体" w:cs="宋体"/>
          <w:b/>
          <w:bCs/>
          <w:sz w:val="21"/>
          <w:szCs w:val="21"/>
        </w:rPr>
        <w:t>第十九条其他</w:t>
      </w:r>
    </w:p>
    <w:p w14:paraId="57B17243">
      <w:pPr>
        <w:ind w:firstLine="420" w:firstLineChars="200"/>
        <w:rPr>
          <w:rFonts w:hint="eastAsia" w:ascii="宋体" w:hAnsi="宋体" w:eastAsia="宋体" w:cs="宋体"/>
          <w:sz w:val="21"/>
          <w:szCs w:val="21"/>
        </w:rPr>
      </w:pPr>
      <w:r>
        <w:rPr>
          <w:rFonts w:hint="eastAsia" w:ascii="宋体" w:hAnsi="宋体" w:eastAsia="宋体" w:cs="宋体"/>
          <w:sz w:val="21"/>
          <w:szCs w:val="21"/>
        </w:rPr>
        <w:t>1、本合同与招标文件、乙方投标文件如有抵触之处，以本合同条款为准。</w:t>
      </w:r>
    </w:p>
    <w:p w14:paraId="36B59578">
      <w:pPr>
        <w:ind w:firstLine="420" w:firstLineChars="200"/>
        <w:rPr>
          <w:rFonts w:hint="eastAsia" w:ascii="宋体" w:hAnsi="宋体" w:eastAsia="宋体" w:cs="宋体"/>
          <w:sz w:val="21"/>
          <w:szCs w:val="21"/>
        </w:rPr>
      </w:pPr>
      <w:r>
        <w:rPr>
          <w:rFonts w:hint="eastAsia" w:ascii="宋体" w:hAnsi="宋体" w:eastAsia="宋体" w:cs="宋体"/>
          <w:sz w:val="21"/>
          <w:szCs w:val="21"/>
        </w:rPr>
        <w:t>2、下列文件均为本合同的组成部分：</w:t>
      </w:r>
    </w:p>
    <w:p w14:paraId="6DF7C1EC">
      <w:pPr>
        <w:ind w:firstLine="420" w:firstLineChars="200"/>
        <w:rPr>
          <w:rFonts w:hint="eastAsia" w:ascii="宋体" w:hAnsi="宋体" w:eastAsia="宋体" w:cs="宋体"/>
          <w:sz w:val="21"/>
          <w:szCs w:val="21"/>
        </w:rPr>
      </w:pPr>
      <w:r>
        <w:rPr>
          <w:rFonts w:hint="eastAsia" w:ascii="宋体" w:hAnsi="宋体" w:eastAsia="宋体" w:cs="宋体"/>
          <w:sz w:val="21"/>
          <w:szCs w:val="21"/>
        </w:rPr>
        <w:t>（1）号招标文件、答疑及补充通知；</w:t>
      </w:r>
    </w:p>
    <w:p w14:paraId="51C335AD">
      <w:pPr>
        <w:ind w:firstLine="420" w:firstLineChars="200"/>
        <w:rPr>
          <w:rFonts w:hint="eastAsia" w:ascii="宋体" w:hAnsi="宋体" w:eastAsia="宋体" w:cs="宋体"/>
          <w:sz w:val="21"/>
          <w:szCs w:val="21"/>
        </w:rPr>
      </w:pPr>
      <w:r>
        <w:rPr>
          <w:rFonts w:hint="eastAsia" w:ascii="宋体" w:hAnsi="宋体" w:eastAsia="宋体" w:cs="宋体"/>
          <w:sz w:val="21"/>
          <w:szCs w:val="21"/>
        </w:rPr>
        <w:t>（2）投标文件；</w:t>
      </w:r>
    </w:p>
    <w:p w14:paraId="3820A766">
      <w:pPr>
        <w:ind w:firstLine="420" w:firstLineChars="200"/>
        <w:rPr>
          <w:rFonts w:hint="eastAsia" w:ascii="宋体" w:hAnsi="宋体" w:eastAsia="宋体" w:cs="宋体"/>
          <w:sz w:val="21"/>
          <w:szCs w:val="21"/>
        </w:rPr>
      </w:pPr>
      <w:r>
        <w:rPr>
          <w:rFonts w:hint="eastAsia" w:ascii="宋体" w:hAnsi="宋体" w:eastAsia="宋体" w:cs="宋体"/>
          <w:sz w:val="21"/>
          <w:szCs w:val="21"/>
        </w:rPr>
        <w:t>（3）本合同执行中共同签署的补充与修正文件。</w:t>
      </w:r>
    </w:p>
    <w:p w14:paraId="19798E44">
      <w:pPr>
        <w:ind w:firstLine="420" w:firstLineChars="200"/>
        <w:rPr>
          <w:rFonts w:hint="eastAsia" w:ascii="宋体" w:hAnsi="宋体" w:eastAsia="宋体" w:cs="宋体"/>
          <w:sz w:val="21"/>
          <w:szCs w:val="21"/>
        </w:rPr>
      </w:pPr>
      <w:r>
        <w:rPr>
          <w:rFonts w:hint="eastAsia" w:ascii="宋体" w:hAnsi="宋体" w:eastAsia="宋体" w:cs="宋体"/>
          <w:sz w:val="21"/>
          <w:szCs w:val="21"/>
        </w:rPr>
        <w:t>本合同一式份，甲、乙方双方各执份，具有同等法律效力。本合同自双方法人代表签字（盖章）认可之日起生效。</w:t>
      </w:r>
    </w:p>
    <w:p w14:paraId="10C9D7EB">
      <w:pPr>
        <w:ind w:firstLine="420" w:firstLineChars="200"/>
        <w:rPr>
          <w:rFonts w:hint="eastAsia" w:ascii="宋体" w:hAnsi="宋体" w:eastAsia="宋体" w:cs="宋体"/>
          <w:sz w:val="21"/>
          <w:szCs w:val="21"/>
        </w:rPr>
      </w:pPr>
      <w:r>
        <w:rPr>
          <w:rFonts w:hint="eastAsia" w:ascii="宋体" w:hAnsi="宋体" w:eastAsia="宋体" w:cs="宋体"/>
          <w:sz w:val="21"/>
          <w:szCs w:val="21"/>
        </w:rPr>
        <w:t>本合同未尽事宜，双方友好协商，达成解决方案，经双方签字后，可作为本合同的有效附件。</w:t>
      </w:r>
    </w:p>
    <w:p w14:paraId="0E900441">
      <w:pPr>
        <w:ind w:firstLine="420" w:firstLineChars="200"/>
        <w:rPr>
          <w:rFonts w:hint="eastAsia" w:ascii="宋体" w:hAnsi="宋体" w:eastAsia="宋体" w:cs="宋体"/>
          <w:sz w:val="21"/>
          <w:szCs w:val="21"/>
        </w:rPr>
      </w:pPr>
    </w:p>
    <w:p w14:paraId="20E15B19">
      <w:pPr>
        <w:ind w:firstLine="420" w:firstLineChars="200"/>
        <w:rPr>
          <w:rFonts w:hint="eastAsia" w:ascii="宋体" w:hAnsi="宋体" w:eastAsia="宋体" w:cs="宋体"/>
          <w:sz w:val="21"/>
          <w:szCs w:val="21"/>
        </w:rPr>
      </w:pPr>
    </w:p>
    <w:p w14:paraId="7C3BE336">
      <w:pPr>
        <w:ind w:firstLine="560"/>
        <w:jc w:val="left"/>
        <w:rPr>
          <w:rFonts w:hint="eastAsia" w:ascii="宋体" w:hAnsi="宋体" w:eastAsia="宋体" w:cs="宋体"/>
          <w:sz w:val="21"/>
          <w:szCs w:val="21"/>
        </w:rPr>
      </w:pPr>
      <w:r>
        <w:rPr>
          <w:rFonts w:hint="eastAsia" w:ascii="宋体" w:hAnsi="宋体" w:eastAsia="宋体" w:cs="宋体"/>
          <w:sz w:val="21"/>
          <w:szCs w:val="21"/>
        </w:rPr>
        <w:t>甲方（采购人）：（盖章）</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乙方（供应商）：（盖章）</w:t>
      </w:r>
    </w:p>
    <w:p w14:paraId="1276418E">
      <w:pPr>
        <w:ind w:firstLine="560"/>
        <w:jc w:val="left"/>
        <w:rPr>
          <w:rFonts w:hint="eastAsia" w:ascii="宋体" w:hAnsi="宋体" w:eastAsia="宋体" w:cs="宋体"/>
          <w:sz w:val="21"/>
          <w:szCs w:val="21"/>
        </w:rPr>
      </w:pPr>
      <w:r>
        <w:rPr>
          <w:rFonts w:hint="eastAsia" w:ascii="宋体" w:hAnsi="宋体" w:eastAsia="宋体" w:cs="宋体"/>
          <w:sz w:val="21"/>
          <w:szCs w:val="21"/>
        </w:rPr>
        <w:t>法定代表人：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法定代表人：</w:t>
      </w:r>
    </w:p>
    <w:p w14:paraId="78DF726D">
      <w:pPr>
        <w:ind w:firstLine="560"/>
        <w:jc w:val="left"/>
        <w:rPr>
          <w:rFonts w:hint="eastAsia" w:ascii="宋体" w:hAnsi="宋体" w:eastAsia="宋体" w:cs="宋体"/>
          <w:sz w:val="21"/>
          <w:szCs w:val="21"/>
        </w:rPr>
      </w:pPr>
      <w:r>
        <w:rPr>
          <w:rFonts w:hint="eastAsia" w:ascii="宋体" w:hAnsi="宋体" w:eastAsia="宋体" w:cs="宋体"/>
          <w:sz w:val="21"/>
          <w:szCs w:val="21"/>
        </w:rPr>
        <w:t>委托代理人：</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委托代理人：</w:t>
      </w:r>
    </w:p>
    <w:p w14:paraId="6742CFBE">
      <w:pPr>
        <w:ind w:firstLine="420" w:firstLineChars="200"/>
        <w:rPr>
          <w:rFonts w:hint="eastAsia" w:ascii="宋体" w:hAnsi="宋体" w:eastAsia="宋体" w:cs="宋体"/>
          <w:sz w:val="21"/>
          <w:szCs w:val="21"/>
        </w:rPr>
      </w:pPr>
      <w:r>
        <w:rPr>
          <w:rFonts w:hint="eastAsia" w:ascii="宋体" w:hAnsi="宋体" w:eastAsia="宋体" w:cs="宋体"/>
          <w:sz w:val="21"/>
          <w:szCs w:val="21"/>
        </w:rPr>
        <w:t>日期：年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日期：年</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月</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日</w:t>
      </w:r>
    </w:p>
    <w:p w14:paraId="6CF7B3E6">
      <w:pPr>
        <w:pStyle w:val="33"/>
        <w:spacing w:line="460" w:lineRule="exact"/>
        <w:ind w:left="0" w:leftChars="0" w:firstLine="0" w:firstLineChars="0"/>
        <w:jc w:val="both"/>
        <w:rPr>
          <w:sz w:val="28"/>
          <w:szCs w:val="28"/>
        </w:rPr>
      </w:pPr>
      <w:r>
        <w:rPr>
          <w:rFonts w:hint="eastAsia"/>
          <w:sz w:val="28"/>
          <w:szCs w:val="28"/>
        </w:rPr>
        <w:t xml:space="preserve"> </w:t>
      </w:r>
    </w:p>
    <w:p w14:paraId="2079476A">
      <w:pPr>
        <w:pStyle w:val="7"/>
        <w:spacing w:before="120" w:beforeLines="50" w:after="120" w:afterLines="50"/>
        <w:ind w:left="562"/>
        <w:rPr>
          <w:sz w:val="28"/>
          <w:szCs w:val="28"/>
        </w:rPr>
      </w:pPr>
      <w:r>
        <w:rPr>
          <w:rFonts w:hint="eastAsia"/>
          <w:sz w:val="28"/>
          <w:szCs w:val="28"/>
        </w:rPr>
        <w:t>第二册  通用条款（公开招标）</w:t>
      </w:r>
    </w:p>
    <w:p w14:paraId="23FA9F28">
      <w:pPr>
        <w:pStyle w:val="7"/>
        <w:numPr>
          <w:ilvl w:val="0"/>
          <w:numId w:val="11"/>
        </w:numPr>
        <w:spacing w:before="120" w:beforeLines="50" w:after="120" w:afterLines="50"/>
        <w:ind w:left="562" w:hanging="562"/>
        <w:rPr>
          <w:sz w:val="28"/>
          <w:szCs w:val="28"/>
        </w:rPr>
      </w:pPr>
      <w:bookmarkStart w:id="48" w:name="_Hlk72399513"/>
      <w:r>
        <w:rPr>
          <w:rFonts w:hint="eastAsia"/>
          <w:sz w:val="28"/>
          <w:szCs w:val="28"/>
        </w:rPr>
        <w:t>总则</w:t>
      </w:r>
    </w:p>
    <w:bookmarkEnd w:id="48"/>
    <w:p w14:paraId="4750E90E">
      <w:pPr>
        <w:rPr>
          <w:rFonts w:ascii="黑体" w:hAnsi="宋体" w:eastAsia="黑体"/>
          <w:sz w:val="24"/>
        </w:rPr>
      </w:pPr>
      <w:r>
        <w:rPr>
          <w:rFonts w:hint="eastAsia" w:ascii="黑体" w:hAnsi="宋体" w:eastAsia="黑体"/>
          <w:sz w:val="24"/>
        </w:rPr>
        <w:t>1. 通用条款说明</w:t>
      </w:r>
    </w:p>
    <w:p w14:paraId="1085224A">
      <w:pPr>
        <w:ind w:firstLine="411" w:firstLineChars="196"/>
        <w:rPr>
          <w:rFonts w:ascii="宋体" w:hAnsi="宋体"/>
          <w:szCs w:val="21"/>
        </w:rPr>
      </w:pPr>
      <w:r>
        <w:rPr>
          <w:rFonts w:hint="eastAsia" w:ascii="宋体" w:hAnsi="宋体"/>
          <w:szCs w:val="21"/>
        </w:rPr>
        <w:t>1.1政府集中采购机构发出招标文件通用条款版本，列出深圳市政府采购项目进行招标采购所适用的通用条款内容。</w:t>
      </w:r>
      <w:bookmarkStart w:id="49" w:name="_Hlk72399729"/>
      <w:r>
        <w:rPr>
          <w:rFonts w:hint="eastAsia" w:ascii="宋体" w:hAnsi="宋体"/>
          <w:szCs w:val="21"/>
        </w:rPr>
        <w:t>如有需要，政府集中采购机构可以对通用条款的内容进行补充。</w:t>
      </w:r>
      <w:bookmarkEnd w:id="49"/>
    </w:p>
    <w:p w14:paraId="37C9A621">
      <w:pPr>
        <w:ind w:firstLine="411" w:firstLineChars="196"/>
        <w:rPr>
          <w:rFonts w:ascii="宋体" w:hAnsi="宋体"/>
          <w:szCs w:val="21"/>
        </w:rPr>
      </w:pPr>
      <w:r>
        <w:rPr>
          <w:rFonts w:hint="eastAsia" w:ascii="宋体" w:hAnsi="宋体"/>
          <w:szCs w:val="21"/>
        </w:rPr>
        <w:t>1.2招标文件分为第一册“专用条款”和第二册“通用条款”。</w:t>
      </w:r>
    </w:p>
    <w:p w14:paraId="72E43D01">
      <w:pPr>
        <w:ind w:firstLine="411" w:firstLineChars="196"/>
        <w:rPr>
          <w:rFonts w:ascii="宋体" w:hAnsi="宋体"/>
          <w:szCs w:val="21"/>
        </w:rPr>
      </w:pPr>
      <w:r>
        <w:rPr>
          <w:rFonts w:hint="eastAsia" w:ascii="宋体" w:hAnsi="宋体"/>
          <w:szCs w:val="21"/>
        </w:rPr>
        <w:t>1.3“专用条款”是对本次采购项目的具体要求，包含招标公告、对通用条款的补充内容及其他关键信息、用户需求书、投标文件格式及附件、合同条款及格式等内容。</w:t>
      </w:r>
    </w:p>
    <w:p w14:paraId="7683AB44">
      <w:pPr>
        <w:ind w:firstLine="411" w:firstLineChars="196"/>
        <w:rPr>
          <w:rFonts w:ascii="宋体" w:hAnsi="宋体"/>
          <w:szCs w:val="21"/>
        </w:rPr>
      </w:pPr>
      <w:r>
        <w:rPr>
          <w:rFonts w:hint="eastAsia" w:ascii="宋体" w:hAnsi="宋体"/>
          <w:szCs w:val="21"/>
        </w:rPr>
        <w:t>1.4“通用条款”是适用于政府采购公开招标项目的基础性条款，具有普遍性和通用性。</w:t>
      </w:r>
    </w:p>
    <w:p w14:paraId="28962C5C">
      <w:pPr>
        <w:ind w:firstLine="411" w:firstLineChars="196"/>
        <w:rPr>
          <w:rFonts w:ascii="宋体" w:hAnsi="宋体"/>
          <w:szCs w:val="21"/>
        </w:rPr>
      </w:pPr>
      <w:r>
        <w:rPr>
          <w:rFonts w:hint="eastAsia" w:ascii="宋体" w:hAnsi="宋体"/>
          <w:szCs w:val="21"/>
        </w:rPr>
        <w:t>1.5 “专用条款”和“通用条款”表述不一致或有冲突时，以“专用条款”为准。</w:t>
      </w:r>
    </w:p>
    <w:p w14:paraId="308F0C46">
      <w:pPr>
        <w:rPr>
          <w:rFonts w:ascii="黑体" w:hAnsi="宋体" w:eastAsia="黑体"/>
          <w:sz w:val="24"/>
        </w:rPr>
      </w:pPr>
      <w:r>
        <w:rPr>
          <w:rFonts w:hint="eastAsia" w:ascii="黑体" w:hAnsi="宋体" w:eastAsia="黑体"/>
          <w:sz w:val="24"/>
        </w:rPr>
        <w:t>2</w:t>
      </w:r>
      <w:r>
        <w:rPr>
          <w:rFonts w:ascii="黑体" w:hAnsi="宋体" w:eastAsia="黑体"/>
          <w:sz w:val="24"/>
        </w:rPr>
        <w:t>．</w:t>
      </w:r>
      <w:r>
        <w:rPr>
          <w:rFonts w:hint="eastAsia" w:ascii="黑体" w:hAnsi="宋体" w:eastAsia="黑体"/>
          <w:sz w:val="24"/>
        </w:rPr>
        <w:t>招标说明</w:t>
      </w:r>
    </w:p>
    <w:p w14:paraId="5A47191C">
      <w:pPr>
        <w:ind w:firstLine="411" w:firstLineChars="196"/>
        <w:rPr>
          <w:rFonts w:ascii="宋体" w:hAnsi="宋体"/>
          <w:szCs w:val="21"/>
        </w:rPr>
      </w:pPr>
      <w:r>
        <w:rPr>
          <w:rFonts w:hint="eastAsia" w:ascii="宋体" w:hAnsi="宋体"/>
          <w:szCs w:val="21"/>
        </w:rPr>
        <w:t>本项目</w:t>
      </w:r>
      <w:r>
        <w:rPr>
          <w:rFonts w:hint="eastAsia" w:ascii="宋体" w:hAnsi="宋体"/>
          <w:szCs w:val="21"/>
          <w:lang w:val="en-US" w:eastAsia="zh-CN"/>
        </w:rPr>
        <w:t>参照</w:t>
      </w:r>
      <w:r>
        <w:rPr>
          <w:rFonts w:hint="eastAsia" w:ascii="宋体" w:hAnsi="宋体"/>
          <w:szCs w:val="21"/>
        </w:rPr>
        <w:t>《深圳经济特区政府采购条例》、《深圳经济特区政府采购条例实施细则》及政府采购其他法律法规，通过公开招标方式确定中标供应商。</w:t>
      </w:r>
    </w:p>
    <w:p w14:paraId="60BD4BCB">
      <w:pPr>
        <w:rPr>
          <w:rFonts w:ascii="黑体" w:hAnsi="宋体" w:eastAsia="黑体"/>
          <w:sz w:val="24"/>
        </w:rPr>
      </w:pPr>
      <w:r>
        <w:rPr>
          <w:rFonts w:hint="eastAsia" w:ascii="黑体" w:hAnsi="宋体" w:eastAsia="黑体"/>
          <w:sz w:val="24"/>
        </w:rPr>
        <w:t>3．定义</w:t>
      </w:r>
    </w:p>
    <w:p w14:paraId="12C15142">
      <w:pPr>
        <w:ind w:firstLine="420" w:firstLineChars="200"/>
        <w:rPr>
          <w:rFonts w:ascii="宋体" w:hAnsi="宋体"/>
          <w:szCs w:val="21"/>
        </w:rPr>
      </w:pPr>
      <w:r>
        <w:rPr>
          <w:rFonts w:ascii="宋体" w:hAnsi="宋体"/>
          <w:szCs w:val="21"/>
        </w:rPr>
        <w:t>招标文件中下列术语应解释为：</w:t>
      </w:r>
    </w:p>
    <w:p w14:paraId="6BFC16E2">
      <w:pPr>
        <w:ind w:firstLine="411" w:firstLineChars="196"/>
        <w:rPr>
          <w:rFonts w:ascii="宋体" w:hAnsi="宋体"/>
          <w:szCs w:val="21"/>
        </w:rPr>
      </w:pPr>
      <w:r>
        <w:rPr>
          <w:rFonts w:hint="eastAsia" w:ascii="宋体" w:hAnsi="宋体"/>
          <w:szCs w:val="21"/>
        </w:rPr>
        <w:t>3.</w:t>
      </w:r>
      <w:r>
        <w:rPr>
          <w:rFonts w:ascii="宋体" w:hAnsi="宋体"/>
          <w:szCs w:val="21"/>
        </w:rPr>
        <w:t>1</w:t>
      </w:r>
      <w:r>
        <w:rPr>
          <w:rFonts w:hint="eastAsia" w:ascii="宋体" w:hAnsi="宋体"/>
          <w:szCs w:val="21"/>
        </w:rPr>
        <w:t>“采购人”：指利用财政性资金依法进行政府采购的国家机关、事业单位、团体组织；</w:t>
      </w:r>
      <w:r>
        <w:rPr>
          <w:rFonts w:ascii="宋体" w:hAnsi="宋体"/>
          <w:szCs w:val="21"/>
        </w:rPr>
        <w:t xml:space="preserve"> </w:t>
      </w:r>
    </w:p>
    <w:p w14:paraId="61BD6F63">
      <w:pPr>
        <w:ind w:firstLine="411" w:firstLineChars="196"/>
        <w:rPr>
          <w:rFonts w:ascii="宋体" w:hAnsi="宋体"/>
          <w:szCs w:val="21"/>
        </w:rPr>
      </w:pPr>
      <w:r>
        <w:rPr>
          <w:rFonts w:hint="eastAsia" w:ascii="宋体" w:hAnsi="宋体"/>
          <w:szCs w:val="21"/>
        </w:rPr>
        <w:t>3.2 “政府集中采购机构”</w:t>
      </w:r>
      <w:r>
        <w:rPr>
          <w:rFonts w:hint="eastAsia" w:ascii="Arial" w:hAnsi="Arial" w:cs="Arial"/>
          <w:szCs w:val="21"/>
          <w:shd w:val="clear" w:color="auto" w:fill="FFFFFF"/>
        </w:rPr>
        <w:t>是指市政府设立的，组织实施政府采购项目，并对政府采购活动提供服务的专门机构；</w:t>
      </w:r>
      <w:r>
        <w:rPr>
          <w:rFonts w:hint="eastAsia" w:ascii="宋体" w:hAnsi="宋体"/>
          <w:szCs w:val="21"/>
        </w:rPr>
        <w:t>本文件所述的“政府集中采购机构”</w:t>
      </w:r>
      <w:r>
        <w:rPr>
          <w:rFonts w:ascii="宋体" w:hAnsi="宋体"/>
          <w:szCs w:val="21"/>
        </w:rPr>
        <w:t>指</w:t>
      </w:r>
      <w:r>
        <w:rPr>
          <w:rFonts w:hint="eastAsia" w:ascii="宋体" w:hAnsi="宋体"/>
          <w:b/>
          <w:bCs/>
          <w:szCs w:val="21"/>
        </w:rPr>
        <w:t>深圳公共资源交易中心</w:t>
      </w:r>
      <w:r>
        <w:rPr>
          <w:rFonts w:hint="eastAsia" w:ascii="宋体" w:hAnsi="宋体"/>
          <w:szCs w:val="21"/>
        </w:rPr>
        <w:t>；</w:t>
      </w:r>
    </w:p>
    <w:p w14:paraId="52E94EF5">
      <w:pPr>
        <w:ind w:firstLine="411" w:firstLineChars="196"/>
        <w:rPr>
          <w:rFonts w:ascii="宋体" w:hAnsi="宋体"/>
          <w:szCs w:val="21"/>
        </w:rPr>
      </w:pPr>
      <w:r>
        <w:rPr>
          <w:rFonts w:hint="eastAsia" w:ascii="宋体" w:hAnsi="宋体"/>
          <w:szCs w:val="21"/>
        </w:rPr>
        <w:t>3.3“投标人”，即供应商，指参加投标竞争并愿意按照招标文件要求向采购人提供货物、工程或者服务的依法成立的法人、其他组织或者自然人；</w:t>
      </w:r>
    </w:p>
    <w:p w14:paraId="27F46B58">
      <w:pPr>
        <w:ind w:firstLine="411" w:firstLineChars="196"/>
        <w:rPr>
          <w:rFonts w:ascii="宋体" w:hAnsi="宋体"/>
          <w:szCs w:val="21"/>
        </w:rPr>
      </w:pPr>
      <w:r>
        <w:rPr>
          <w:rFonts w:hint="eastAsia" w:ascii="宋体" w:hAnsi="宋体"/>
          <w:szCs w:val="21"/>
        </w:rPr>
        <w:t>3.4“评审委员会”是</w:t>
      </w:r>
      <w:r>
        <w:rPr>
          <w:rFonts w:hint="eastAsia" w:ascii="宋体" w:hAnsi="宋体"/>
          <w:szCs w:val="21"/>
          <w:lang w:val="en-US" w:eastAsia="zh-CN"/>
        </w:rPr>
        <w:t>参照</w:t>
      </w:r>
      <w:r>
        <w:rPr>
          <w:rFonts w:hint="eastAsia" w:ascii="宋体" w:hAnsi="宋体"/>
          <w:szCs w:val="21"/>
        </w:rPr>
        <w:t>《深圳经济特区政府采购条例》、《深圳经济特区政府采购条例实施细则》等有关规定组建的专门负责本次招标其评审工作的临时性机构；</w:t>
      </w:r>
    </w:p>
    <w:p w14:paraId="436C9006">
      <w:pPr>
        <w:ind w:firstLine="411" w:firstLineChars="196"/>
        <w:rPr>
          <w:rFonts w:ascii="宋体" w:hAnsi="宋体"/>
          <w:szCs w:val="21"/>
        </w:rPr>
      </w:pPr>
      <w:r>
        <w:rPr>
          <w:rFonts w:hint="eastAsia" w:ascii="宋体" w:hAnsi="宋体"/>
          <w:szCs w:val="21"/>
        </w:rPr>
        <w:t>3.5“日期”</w:t>
      </w:r>
      <w:r>
        <w:rPr>
          <w:rFonts w:ascii="宋体" w:hAnsi="宋体"/>
          <w:szCs w:val="21"/>
        </w:rPr>
        <w:t>指</w:t>
      </w:r>
      <w:r>
        <w:rPr>
          <w:rFonts w:hint="eastAsia" w:ascii="宋体" w:hAnsi="宋体"/>
          <w:szCs w:val="21"/>
        </w:rPr>
        <w:t>公历日；</w:t>
      </w:r>
    </w:p>
    <w:p w14:paraId="633D567C">
      <w:pPr>
        <w:ind w:firstLine="411" w:firstLineChars="196"/>
        <w:rPr>
          <w:rFonts w:ascii="宋体" w:hAnsi="宋体"/>
          <w:szCs w:val="21"/>
        </w:rPr>
      </w:pPr>
      <w:r>
        <w:rPr>
          <w:rFonts w:hint="eastAsia" w:ascii="宋体" w:hAnsi="宋体"/>
          <w:szCs w:val="21"/>
        </w:rPr>
        <w:t>3.6“合同”指由本次招标所产生的合同或合约文件；</w:t>
      </w:r>
    </w:p>
    <w:p w14:paraId="6B8ECC1E">
      <w:pPr>
        <w:ind w:firstLine="411" w:firstLineChars="196"/>
        <w:rPr>
          <w:rFonts w:ascii="宋体" w:hAnsi="宋体"/>
          <w:szCs w:val="21"/>
        </w:rPr>
      </w:pPr>
      <w:r>
        <w:rPr>
          <w:rFonts w:hint="eastAsia" w:ascii="宋体" w:hAnsi="宋体"/>
          <w:szCs w:val="21"/>
        </w:rPr>
        <w:t>3.7“电子投标文件”指利用</w:t>
      </w:r>
      <w:r>
        <w:rPr>
          <w:rFonts w:hint="eastAsia" w:ascii="宋体" w:hAnsi="宋体"/>
          <w:b/>
          <w:bCs/>
          <w:color w:val="FF0000"/>
          <w:szCs w:val="21"/>
        </w:rPr>
        <w:t>深圳公共资源交易中心（深圳交易集团有限公司</w:t>
      </w:r>
      <w:r>
        <w:rPr>
          <w:rFonts w:hint="eastAsia" w:ascii="宋体" w:hAnsi="宋体"/>
          <w:b/>
          <w:bCs/>
          <w:color w:val="FF0000"/>
          <w:szCs w:val="21"/>
          <w:lang w:val="en-US" w:eastAsia="zh-CN"/>
        </w:rPr>
        <w:t>龙岗</w:t>
      </w:r>
      <w:r>
        <w:rPr>
          <w:rFonts w:hint="eastAsia" w:ascii="宋体" w:hAnsi="宋体"/>
          <w:b/>
          <w:bCs/>
          <w:color w:val="FF0000"/>
          <w:szCs w:val="21"/>
        </w:rPr>
        <w:t>分公司）</w:t>
      </w:r>
      <w:r>
        <w:rPr>
          <w:rFonts w:hint="eastAsia" w:ascii="宋体" w:hAnsi="宋体"/>
          <w:szCs w:val="21"/>
        </w:rPr>
        <w:t>网站提供的深圳市自行采购系统投标文件编制工具（以下简称：投标文件制作软件）制作并加密的投标文件,适用于网上投标；（投标文件制作软件可从“下载地址：https://www.szggzy.com/jyfw/details.html?contentId=2053275”下载）</w:t>
      </w:r>
    </w:p>
    <w:p w14:paraId="0E6C0B48">
      <w:pPr>
        <w:ind w:firstLine="411" w:firstLineChars="196"/>
        <w:rPr>
          <w:rFonts w:ascii="宋体" w:hAnsi="宋体"/>
          <w:szCs w:val="21"/>
        </w:rPr>
      </w:pPr>
      <w:r>
        <w:rPr>
          <w:rFonts w:hint="eastAsia" w:ascii="宋体" w:hAnsi="宋体"/>
          <w:szCs w:val="21"/>
        </w:rPr>
        <w:t>3.8“网上投标”指通过</w:t>
      </w:r>
      <w:r>
        <w:rPr>
          <w:rFonts w:hint="eastAsia" w:ascii="宋体" w:hAnsi="宋体"/>
          <w:b/>
          <w:bCs/>
          <w:color w:val="FF0000"/>
          <w:szCs w:val="21"/>
        </w:rPr>
        <w:t>深圳公共资源交易中心（深圳交易集团有限公司</w:t>
      </w:r>
      <w:r>
        <w:rPr>
          <w:rFonts w:hint="eastAsia" w:ascii="宋体" w:hAnsi="宋体"/>
          <w:b/>
          <w:bCs/>
          <w:color w:val="FF0000"/>
          <w:szCs w:val="21"/>
          <w:lang w:val="en-US" w:eastAsia="zh-CN"/>
        </w:rPr>
        <w:t>龙岗</w:t>
      </w:r>
      <w:r>
        <w:rPr>
          <w:rFonts w:hint="eastAsia" w:ascii="宋体" w:hAnsi="宋体"/>
          <w:b/>
          <w:bCs/>
          <w:color w:val="FF0000"/>
          <w:szCs w:val="21"/>
        </w:rPr>
        <w:t>分公司）</w:t>
      </w:r>
      <w:r>
        <w:rPr>
          <w:rFonts w:hint="eastAsia" w:ascii="宋体" w:hAnsi="宋体"/>
          <w:szCs w:val="21"/>
        </w:rPr>
        <w:t>网站上传电子投标文件；</w:t>
      </w:r>
    </w:p>
    <w:p w14:paraId="43008119">
      <w:pPr>
        <w:ind w:firstLine="411" w:firstLineChars="196"/>
        <w:rPr>
          <w:rFonts w:ascii="宋体" w:hAnsi="宋体"/>
          <w:szCs w:val="21"/>
        </w:rPr>
      </w:pPr>
      <w:r>
        <w:rPr>
          <w:rFonts w:hint="eastAsia" w:ascii="宋体" w:hAnsi="宋体"/>
          <w:szCs w:val="21"/>
        </w:rPr>
        <w:t>3.9招标文件中的标题或题名仅起引导作用，而不应视为对招标文件内容的理解和解释。</w:t>
      </w:r>
    </w:p>
    <w:p w14:paraId="6B22C9E3">
      <w:pPr>
        <w:rPr>
          <w:rFonts w:ascii="黑体" w:hAnsi="宋体" w:eastAsia="黑体"/>
          <w:sz w:val="24"/>
        </w:rPr>
      </w:pPr>
      <w:r>
        <w:rPr>
          <w:rFonts w:hint="eastAsia" w:ascii="黑体" w:hAnsi="宋体" w:eastAsia="黑体"/>
          <w:sz w:val="24"/>
        </w:rPr>
        <w:t xml:space="preserve">4. </w:t>
      </w:r>
      <w:bookmarkStart w:id="50" w:name="_Hlk72398643"/>
      <w:r>
        <w:rPr>
          <w:rFonts w:hint="eastAsia" w:ascii="黑体" w:hAnsi="宋体" w:eastAsia="黑体"/>
          <w:sz w:val="24"/>
        </w:rPr>
        <w:t>政府采购供应商责任</w:t>
      </w:r>
    </w:p>
    <w:p w14:paraId="663DEBE4">
      <w:pPr>
        <w:ind w:firstLine="411" w:firstLineChars="196"/>
        <w:rPr>
          <w:rFonts w:ascii="宋体" w:hAnsi="宋体"/>
          <w:szCs w:val="21"/>
        </w:rPr>
      </w:pPr>
      <w:r>
        <w:rPr>
          <w:rFonts w:hint="eastAsia" w:ascii="宋体" w:hAnsi="宋体"/>
          <w:szCs w:val="21"/>
        </w:rPr>
        <w:t>4.1欢迎诚信、有实力和有社会责任心的供应商参与政府采购事业。</w:t>
      </w:r>
    </w:p>
    <w:p w14:paraId="54F3F14E">
      <w:pPr>
        <w:ind w:firstLine="411" w:firstLineChars="196"/>
        <w:rPr>
          <w:rFonts w:ascii="宋体" w:hAnsi="宋体"/>
          <w:szCs w:val="21"/>
        </w:rPr>
      </w:pPr>
      <w:r>
        <w:rPr>
          <w:rFonts w:hint="eastAsia" w:ascii="宋体" w:hAnsi="宋体"/>
          <w:szCs w:val="21"/>
        </w:rPr>
        <w:t>4.2投标人应当遵循公平竞争的原则，不得恶意串通，不得妨碍其他投标人的竞争行为，不得损害采购人或者其他投标人的合法权益。如违反上述要求，经核实后，供应商的投标无效。</w:t>
      </w:r>
    </w:p>
    <w:p w14:paraId="06DD9A8B">
      <w:pPr>
        <w:rPr>
          <w:rFonts w:ascii="黑体" w:hAnsi="宋体" w:eastAsia="黑体"/>
          <w:sz w:val="24"/>
        </w:rPr>
      </w:pPr>
      <w:r>
        <w:rPr>
          <w:rFonts w:hint="eastAsia" w:ascii="黑体" w:hAnsi="宋体" w:eastAsia="黑体"/>
          <w:sz w:val="24"/>
        </w:rPr>
        <w:t>5．投标人参加政府采购的条件</w:t>
      </w:r>
    </w:p>
    <w:p w14:paraId="766B743B">
      <w:pPr>
        <w:ind w:firstLine="411" w:firstLineChars="196"/>
        <w:jc w:val="left"/>
        <w:rPr>
          <w:rFonts w:hint="eastAsia" w:ascii="宋体" w:hAnsi="宋体"/>
          <w:szCs w:val="21"/>
          <w:lang w:val="en-US" w:eastAsia="zh-CN"/>
        </w:rPr>
      </w:pPr>
      <w:r>
        <w:rPr>
          <w:rFonts w:hint="eastAsia" w:ascii="宋体" w:hAnsi="宋体"/>
          <w:szCs w:val="21"/>
        </w:rPr>
        <w:t>5.1投标人应在投标前到</w:t>
      </w:r>
      <w:r>
        <w:rPr>
          <w:rFonts w:hint="eastAsia" w:ascii="宋体" w:hAnsi="宋体"/>
          <w:b/>
          <w:bCs/>
          <w:szCs w:val="21"/>
        </w:rPr>
        <w:t>深圳公共资源交易中心（具体在深圳交易集团有限公司政府采购业务分公司进行办理）</w:t>
      </w:r>
      <w:r>
        <w:rPr>
          <w:rFonts w:hint="eastAsia" w:ascii="宋体" w:hAnsi="宋体"/>
          <w:szCs w:val="21"/>
        </w:rPr>
        <w:t>进行注册并办理电子密钥。《供应商注册及信息变更指引》详见www.szggzy.com网站“交易服务指南-政府采购”</w:t>
      </w:r>
      <w:r>
        <w:rPr>
          <w:rFonts w:hint="eastAsia" w:ascii="宋体" w:hAnsi="宋体"/>
          <w:szCs w:val="21"/>
          <w:lang w:val="en-US" w:eastAsia="zh-CN"/>
        </w:rPr>
        <w:t>。</w:t>
      </w:r>
    </w:p>
    <w:p w14:paraId="6F868E6B">
      <w:pPr>
        <w:ind w:firstLine="411" w:firstLineChars="196"/>
        <w:jc w:val="left"/>
        <w:rPr>
          <w:rFonts w:ascii="宋体" w:hAnsi="宋体"/>
          <w:szCs w:val="21"/>
        </w:rPr>
      </w:pPr>
      <w:r>
        <w:rPr>
          <w:rFonts w:hint="eastAsia" w:ascii="宋体" w:hAnsi="宋体"/>
          <w:szCs w:val="21"/>
        </w:rPr>
        <w:t>5.2投标人资格要求</w:t>
      </w:r>
    </w:p>
    <w:p w14:paraId="33C93462">
      <w:pPr>
        <w:ind w:firstLine="411" w:firstLineChars="196"/>
        <w:rPr>
          <w:rFonts w:ascii="宋体" w:hAnsi="宋体"/>
          <w:szCs w:val="21"/>
        </w:rPr>
      </w:pPr>
      <w:r>
        <w:rPr>
          <w:rFonts w:hint="eastAsia" w:ascii="宋体" w:hAnsi="宋体"/>
          <w:szCs w:val="21"/>
        </w:rPr>
        <w:t>参加本项目的投标人应具备的资格条件详见本项目招标公告中“投标人资格要求”（即申请人的资格要求）的内容。</w:t>
      </w:r>
    </w:p>
    <w:p w14:paraId="0600CCF7">
      <w:pPr>
        <w:ind w:firstLine="411" w:firstLineChars="196"/>
        <w:rPr>
          <w:rFonts w:ascii="宋体" w:hAnsi="宋体"/>
          <w:szCs w:val="21"/>
        </w:rPr>
      </w:pPr>
      <w:r>
        <w:rPr>
          <w:rFonts w:hint="eastAsia" w:ascii="宋体" w:hAnsi="宋体"/>
          <w:szCs w:val="21"/>
        </w:rPr>
        <w:t>5.3联合体投标</w:t>
      </w:r>
    </w:p>
    <w:p w14:paraId="0D1A00F2">
      <w:pPr>
        <w:ind w:firstLine="411" w:firstLineChars="196"/>
        <w:rPr>
          <w:rFonts w:ascii="宋体" w:hAnsi="宋体"/>
          <w:szCs w:val="21"/>
        </w:rPr>
      </w:pPr>
      <w:r>
        <w:rPr>
          <w:rFonts w:hint="eastAsia" w:ascii="宋体" w:hAnsi="宋体"/>
          <w:szCs w:val="21"/>
        </w:rPr>
        <w:t>5.3.1　以下有关联合体投标的条款仅适用于允许投标人组成联合体投标的项目。</w:t>
      </w:r>
    </w:p>
    <w:p w14:paraId="35A7E1CA">
      <w:pPr>
        <w:ind w:firstLine="411" w:firstLineChars="196"/>
        <w:rPr>
          <w:rFonts w:ascii="宋体" w:hAnsi="宋体"/>
          <w:szCs w:val="21"/>
        </w:rPr>
      </w:pPr>
      <w:r>
        <w:rPr>
          <w:rFonts w:hint="eastAsia" w:ascii="宋体" w:hAnsi="宋体"/>
          <w:szCs w:val="21"/>
        </w:rPr>
        <w:t>5.3.2  由两个或两个以上的自然人、法人或者其他组织可以组成一个联合体，以一个供应商的身份共同投标时，应符合以下原则：</w:t>
      </w:r>
    </w:p>
    <w:p w14:paraId="707BC17C">
      <w:pPr>
        <w:ind w:firstLine="411" w:firstLineChars="196"/>
        <w:rPr>
          <w:rFonts w:ascii="宋体" w:hAnsi="宋体"/>
        </w:rPr>
      </w:pPr>
      <w:r>
        <w:rPr>
          <w:rFonts w:hint="eastAsia" w:ascii="宋体" w:hAnsi="宋体"/>
        </w:rPr>
        <w:t>（1）投标联合体各方参加政府采购活动应当具备下列条件：</w:t>
      </w:r>
      <w:r>
        <w:rPr>
          <w:rFonts w:ascii="宋体" w:hAnsi="宋体"/>
        </w:rPr>
        <w:t xml:space="preserve"> </w:t>
      </w:r>
    </w:p>
    <w:p w14:paraId="14373589">
      <w:pPr>
        <w:ind w:left="420" w:leftChars="200" w:firstLine="411" w:firstLineChars="196"/>
        <w:rPr>
          <w:rFonts w:ascii="宋体" w:hAnsi="宋体"/>
        </w:rPr>
      </w:pPr>
      <w:r>
        <w:rPr>
          <w:rFonts w:hint="eastAsia" w:ascii="宋体" w:hAnsi="宋体"/>
        </w:rPr>
        <w:t>1、具有独立承担民事责任的能力；</w:t>
      </w:r>
      <w:r>
        <w:rPr>
          <w:rFonts w:ascii="宋体" w:hAnsi="宋体"/>
        </w:rPr>
        <w:t xml:space="preserve"> </w:t>
      </w:r>
    </w:p>
    <w:p w14:paraId="0315DB92">
      <w:pPr>
        <w:ind w:left="420" w:firstLine="411" w:firstLineChars="196"/>
        <w:rPr>
          <w:rFonts w:ascii="宋体" w:hAnsi="宋体"/>
        </w:rPr>
      </w:pPr>
      <w:r>
        <w:rPr>
          <w:rFonts w:hint="eastAsia" w:ascii="宋体" w:hAnsi="宋体"/>
        </w:rPr>
        <w:t>2、有良好的商业信誉和健全的财务会计制度；</w:t>
      </w:r>
      <w:r>
        <w:rPr>
          <w:rFonts w:ascii="宋体" w:hAnsi="宋体"/>
        </w:rPr>
        <w:t xml:space="preserve"> </w:t>
      </w:r>
    </w:p>
    <w:p w14:paraId="2693A64D">
      <w:pPr>
        <w:ind w:left="420" w:leftChars="200" w:firstLine="411" w:firstLineChars="196"/>
        <w:rPr>
          <w:rFonts w:ascii="宋体" w:hAnsi="宋体"/>
        </w:rPr>
      </w:pPr>
      <w:r>
        <w:rPr>
          <w:rFonts w:hint="eastAsia" w:ascii="宋体" w:hAnsi="宋体"/>
        </w:rPr>
        <w:t>3、具有履行合同所必需的设备和专业技术能力；</w:t>
      </w:r>
      <w:r>
        <w:rPr>
          <w:rFonts w:ascii="宋体" w:hAnsi="宋体"/>
        </w:rPr>
        <w:t xml:space="preserve"> </w:t>
      </w:r>
    </w:p>
    <w:p w14:paraId="29273D2F">
      <w:pPr>
        <w:ind w:left="420" w:leftChars="200" w:firstLine="411" w:firstLineChars="196"/>
        <w:rPr>
          <w:rFonts w:ascii="宋体" w:hAnsi="宋体"/>
        </w:rPr>
      </w:pPr>
      <w:r>
        <w:rPr>
          <w:rFonts w:hint="eastAsia" w:ascii="宋体" w:hAnsi="宋体"/>
        </w:rPr>
        <w:t>4、有依法缴纳税收和社会保障资金的良好记录；</w:t>
      </w:r>
      <w:r>
        <w:rPr>
          <w:rFonts w:ascii="宋体" w:hAnsi="宋体"/>
        </w:rPr>
        <w:t xml:space="preserve"> </w:t>
      </w:r>
    </w:p>
    <w:p w14:paraId="7CAE820B">
      <w:pPr>
        <w:ind w:left="420" w:leftChars="200" w:firstLine="411" w:firstLineChars="196"/>
        <w:rPr>
          <w:rFonts w:ascii="宋体" w:hAnsi="宋体"/>
        </w:rPr>
      </w:pPr>
      <w:r>
        <w:rPr>
          <w:rFonts w:hint="eastAsia" w:ascii="宋体" w:hAnsi="宋体"/>
        </w:rPr>
        <w:t>5、参加政府采购活动前三年内，在经营活动中没有重大违法记录；</w:t>
      </w:r>
      <w:r>
        <w:rPr>
          <w:rFonts w:ascii="宋体" w:hAnsi="宋体"/>
        </w:rPr>
        <w:t xml:space="preserve"> </w:t>
      </w:r>
    </w:p>
    <w:p w14:paraId="35D5B873">
      <w:pPr>
        <w:ind w:left="420" w:leftChars="200" w:firstLine="411" w:firstLineChars="196"/>
        <w:rPr>
          <w:rFonts w:ascii="宋体" w:hAnsi="宋体"/>
        </w:rPr>
      </w:pPr>
      <w:r>
        <w:rPr>
          <w:rFonts w:hint="eastAsia" w:ascii="宋体" w:hAnsi="宋体"/>
        </w:rPr>
        <w:t>6、法律、行政法规规定的其他条件。</w:t>
      </w:r>
      <w:r>
        <w:rPr>
          <w:rFonts w:ascii="宋体" w:hAnsi="宋体"/>
        </w:rPr>
        <w:t xml:space="preserve"> </w:t>
      </w:r>
    </w:p>
    <w:p w14:paraId="387A2B1F">
      <w:pPr>
        <w:ind w:firstLine="411" w:firstLineChars="196"/>
        <w:rPr>
          <w:rFonts w:ascii="宋体" w:hAnsi="宋体"/>
        </w:rPr>
      </w:pPr>
      <w:r>
        <w:rPr>
          <w:rFonts w:hint="eastAsia" w:ascii="宋体" w:hAnsi="宋体"/>
        </w:rPr>
        <w:t>（2）在投标截止前，投标联合体各方均应注册成政府集中采购机构供应商；</w:t>
      </w:r>
    </w:p>
    <w:p w14:paraId="732E7E07">
      <w:pPr>
        <w:ind w:firstLine="411" w:firstLineChars="196"/>
        <w:rPr>
          <w:rFonts w:ascii="宋体" w:hAnsi="宋体"/>
        </w:rPr>
      </w:pPr>
      <w:r>
        <w:rPr>
          <w:rFonts w:hint="eastAsia" w:ascii="宋体" w:hAnsi="宋体"/>
        </w:rPr>
        <w:t>（3）联合体中有同类资质的供应商按照联合体分工承担相同工作的，应当按照资质等级较低的供应商确定资质等级；</w:t>
      </w:r>
    </w:p>
    <w:p w14:paraId="7204EA9A">
      <w:pPr>
        <w:ind w:firstLine="411" w:firstLineChars="196"/>
      </w:pPr>
      <w:r>
        <w:rPr>
          <w:rFonts w:hint="eastAsia"/>
        </w:rPr>
        <w:t>（4）是否允许联合体参加投标，应当由采购人和采购代理机构根据项目的实际情况和潜在供应商的数量自主决定，如果决定接受联合体投标则应当在招标公告中明示；</w:t>
      </w:r>
    </w:p>
    <w:p w14:paraId="4A8857A8">
      <w:pPr>
        <w:ind w:firstLine="411" w:firstLineChars="196"/>
        <w:rPr>
          <w:rFonts w:ascii="宋体" w:hAnsi="宋体"/>
        </w:rPr>
      </w:pPr>
      <w:r>
        <w:rPr>
          <w:rFonts w:hint="eastAsia" w:ascii="宋体" w:hAnsi="宋体"/>
        </w:rPr>
        <w:t>（5）投标人的投标文件及中标后签署的合同协议对联合体各方均具法律约束力；</w:t>
      </w:r>
    </w:p>
    <w:p w14:paraId="16B30BE4">
      <w:pPr>
        <w:ind w:firstLine="411" w:firstLineChars="196"/>
        <w:rPr>
          <w:rFonts w:ascii="宋体" w:hAnsi="宋体"/>
        </w:rPr>
      </w:pPr>
      <w:r>
        <w:rPr>
          <w:rFonts w:hint="eastAsia" w:ascii="宋体" w:hAnsi="宋体"/>
        </w:rPr>
        <w:t>（6）联合体各方应当签订联合体投标协议，明确约定各方拟承担的工作和责任，并将该协议随投标文件一并递交给政府集中采购机构；</w:t>
      </w:r>
    </w:p>
    <w:p w14:paraId="5362F78A">
      <w:pPr>
        <w:ind w:firstLine="411" w:firstLineChars="196"/>
        <w:rPr>
          <w:rFonts w:ascii="宋体" w:hAnsi="宋体"/>
        </w:rPr>
      </w:pPr>
      <w:r>
        <w:rPr>
          <w:rFonts w:hint="eastAsia" w:ascii="宋体" w:hAnsi="宋体"/>
        </w:rPr>
        <w:t>（7）联合体中标后，联合体各方应当共同与采购人签订合同，就中标项目向采购人承担连带责任；</w:t>
      </w:r>
    </w:p>
    <w:p w14:paraId="7E2E91EF">
      <w:pPr>
        <w:ind w:firstLine="411" w:firstLineChars="196"/>
        <w:rPr>
          <w:rFonts w:ascii="宋体" w:hAnsi="宋体"/>
        </w:rPr>
      </w:pPr>
      <w:r>
        <w:rPr>
          <w:rFonts w:hint="eastAsia" w:ascii="宋体" w:hAnsi="宋体"/>
        </w:rPr>
        <w:t>（8）以联合体形式参加政府采购活动的，联合体各方不得再单独参加或者与其他供应商另外组成联合体参加同一合同项下的政府采购活动，出现上述情况者，其投标和与此有关联合体、总包单位的投标将被拒绝；</w:t>
      </w:r>
    </w:p>
    <w:p w14:paraId="4588027C">
      <w:pPr>
        <w:ind w:firstLine="411" w:firstLineChars="196"/>
        <w:rPr>
          <w:rFonts w:ascii="宋体" w:hAnsi="宋体"/>
          <w:szCs w:val="21"/>
        </w:rPr>
      </w:pPr>
      <w:r>
        <w:rPr>
          <w:rFonts w:hint="eastAsia" w:ascii="宋体" w:hAnsi="宋体"/>
        </w:rPr>
        <w:t>（9）本通用条款中“投标人”一词亦指联合体各方，专用条款另有规定或说明的除外。</w:t>
      </w:r>
    </w:p>
    <w:p w14:paraId="12B68B8A">
      <w:pPr>
        <w:rPr>
          <w:rFonts w:ascii="黑体" w:hAnsi="宋体" w:eastAsia="黑体"/>
          <w:sz w:val="24"/>
        </w:rPr>
      </w:pPr>
      <w:r>
        <w:rPr>
          <w:rFonts w:hint="eastAsia" w:ascii="黑体" w:hAnsi="宋体" w:eastAsia="黑体"/>
          <w:sz w:val="24"/>
        </w:rPr>
        <w:t>6．政策导向</w:t>
      </w:r>
    </w:p>
    <w:p w14:paraId="2CEB6E7B">
      <w:pPr>
        <w:ind w:firstLine="411" w:firstLineChars="196"/>
        <w:rPr>
          <w:rFonts w:ascii="宋体" w:hAnsi="宋体"/>
        </w:rPr>
      </w:pPr>
      <w:r>
        <w:rPr>
          <w:rFonts w:hint="eastAsia" w:ascii="宋体" w:hAnsi="宋体"/>
        </w:rPr>
        <w:t>6.1</w:t>
      </w:r>
      <w:r>
        <w:rPr>
          <w:rFonts w:ascii="宋体" w:hAnsi="宋体"/>
        </w:rPr>
        <w:t xml:space="preserve">  </w:t>
      </w:r>
      <w:r>
        <w:rPr>
          <w:rFonts w:hint="eastAsia" w:ascii="宋体" w:hAnsi="宋体"/>
        </w:rPr>
        <w:t>政府采购支持本国产品、支持中小企业、监狱企业和残疾人福利性单位发展，支持乡村产业振兴，支持创新、节能减排、绿色环保等。</w:t>
      </w:r>
    </w:p>
    <w:p w14:paraId="3C26A731">
      <w:pPr>
        <w:ind w:firstLine="405"/>
        <w:rPr>
          <w:rFonts w:hint="eastAsia" w:ascii="宋体" w:hAnsi="宋体"/>
        </w:rPr>
      </w:pPr>
      <w:r>
        <w:rPr>
          <w:rFonts w:hint="eastAsia" w:ascii="宋体" w:hAnsi="宋体"/>
        </w:rPr>
        <w:t>6.2</w:t>
      </w:r>
      <w:r>
        <w:rPr>
          <w:rFonts w:ascii="宋体" w:hAnsi="宋体"/>
        </w:rPr>
        <w:t xml:space="preserve">  </w:t>
      </w:r>
      <w:r>
        <w:rPr>
          <w:rFonts w:hint="eastAsia" w:ascii="宋体" w:hAnsi="宋体"/>
        </w:rPr>
        <w:t>本项目落实深圳市政府采购供应商诚信管理政策要求。</w:t>
      </w:r>
    </w:p>
    <w:p w14:paraId="7E8DB54F">
      <w:pPr>
        <w:ind w:firstLine="405"/>
        <w:rPr>
          <w:rFonts w:hint="default" w:eastAsia="宋体"/>
          <w:lang w:val="en-US" w:eastAsia="zh-CN"/>
        </w:rPr>
      </w:pPr>
      <w:r>
        <w:rPr>
          <w:rFonts w:hint="eastAsia" w:ascii="宋体" w:hAnsi="宋体"/>
          <w:lang w:val="en-US" w:eastAsia="zh-CN"/>
        </w:rPr>
        <w:t>6.3  本项目支持投标人性别平等的相关政策。</w:t>
      </w:r>
    </w:p>
    <w:p w14:paraId="478F3AA6">
      <w:pPr>
        <w:rPr>
          <w:rFonts w:ascii="黑体" w:hAnsi="宋体" w:eastAsia="黑体"/>
          <w:sz w:val="24"/>
        </w:rPr>
      </w:pPr>
      <w:r>
        <w:rPr>
          <w:rFonts w:hint="eastAsia" w:ascii="黑体" w:hAnsi="宋体" w:eastAsia="黑体"/>
          <w:sz w:val="24"/>
        </w:rPr>
        <w:t>7. 本项目若涉及采购货物，则合格的货物及相应服务应满足以下要求：</w:t>
      </w:r>
    </w:p>
    <w:p w14:paraId="4D0F407D">
      <w:pPr>
        <w:ind w:firstLine="411" w:firstLineChars="196"/>
        <w:rPr>
          <w:rFonts w:ascii="宋体" w:hAnsi="宋体"/>
        </w:rPr>
      </w:pPr>
      <w:r>
        <w:rPr>
          <w:rFonts w:hint="eastAsia" w:ascii="宋体" w:hAnsi="宋体"/>
        </w:rPr>
        <w:t>7</w:t>
      </w:r>
      <w:r>
        <w:rPr>
          <w:rFonts w:ascii="宋体" w:hAnsi="宋体"/>
        </w:rPr>
        <w:t xml:space="preserve">.1  </w:t>
      </w:r>
      <w:r>
        <w:rPr>
          <w:rFonts w:hint="eastAsia" w:ascii="宋体" w:hAnsi="宋体"/>
        </w:rPr>
        <w:t>必须是全新、未使用过的原装合格正品（包括零部件），如安装或配置了软件的，须为正版软件。</w:t>
      </w:r>
    </w:p>
    <w:p w14:paraId="3879D86C">
      <w:pPr>
        <w:ind w:firstLine="411" w:firstLineChars="196"/>
        <w:rPr>
          <w:rFonts w:ascii="宋体" w:hAnsi="宋体"/>
        </w:rPr>
      </w:pPr>
      <w:r>
        <w:rPr>
          <w:rFonts w:hint="eastAsia" w:ascii="宋体" w:hAnsi="宋体"/>
        </w:rPr>
        <w:t>7.2  国产的货物及其有关服务必须符合中华人民共和国的设计、制造生产标准及行业标准。招标公告有其他要求的，亦应符合其要求。</w:t>
      </w:r>
    </w:p>
    <w:p w14:paraId="4B1742C1">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3</w:t>
      </w:r>
      <w:r>
        <w:rPr>
          <w:rFonts w:ascii="宋体" w:hAnsi="宋体"/>
        </w:rPr>
        <w:t xml:space="preserve">  </w:t>
      </w:r>
      <w:r>
        <w:rPr>
          <w:rFonts w:hint="eastAsia" w:ascii="宋体" w:hAnsi="宋体"/>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14:paraId="3211C551">
      <w:pPr>
        <w:ind w:firstLine="411" w:firstLineChars="196"/>
        <w:rPr>
          <w:rFonts w:ascii="宋体" w:hAnsi="宋体"/>
        </w:rPr>
      </w:pPr>
      <w:r>
        <w:rPr>
          <w:rFonts w:hint="eastAsia" w:ascii="宋体" w:hAnsi="宋体"/>
        </w:rPr>
        <w:t>7</w:t>
      </w:r>
      <w:r>
        <w:rPr>
          <w:rFonts w:ascii="宋体" w:hAnsi="宋体"/>
        </w:rPr>
        <w:t>.</w:t>
      </w:r>
      <w:r>
        <w:rPr>
          <w:rFonts w:hint="eastAsia" w:ascii="宋体" w:hAnsi="宋体"/>
        </w:rPr>
        <w:t>4</w:t>
      </w:r>
      <w:r>
        <w:rPr>
          <w:rFonts w:ascii="宋体" w:hAnsi="宋体"/>
        </w:rPr>
        <w:t xml:space="preserve">  </w:t>
      </w:r>
      <w:r>
        <w:rPr>
          <w:rFonts w:hint="eastAsia" w:ascii="宋体" w:hAnsi="宋体"/>
        </w:rPr>
        <w:t>投标人</w:t>
      </w:r>
      <w:bookmarkStart w:id="51" w:name="_Hlk72152753"/>
      <w:r>
        <w:rPr>
          <w:rFonts w:hint="eastAsia" w:ascii="宋体" w:hAnsi="宋体"/>
        </w:rPr>
        <w:t>应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51"/>
    </w:p>
    <w:p w14:paraId="08C0201D">
      <w:pPr>
        <w:ind w:firstLine="411" w:firstLineChars="196"/>
        <w:rPr>
          <w:rFonts w:ascii="宋体" w:hAnsi="宋体"/>
        </w:rPr>
      </w:pPr>
      <w:r>
        <w:rPr>
          <w:rFonts w:hint="eastAsia" w:ascii="宋体" w:hAnsi="宋体"/>
        </w:rPr>
        <w:t>7.5  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定，投标人必须按合同规定完成设备的安装，并达到验收标准。</w:t>
      </w:r>
    </w:p>
    <w:p w14:paraId="0D63AAE7">
      <w:pPr>
        <w:ind w:firstLine="411" w:firstLineChars="196"/>
        <w:rPr>
          <w:rFonts w:ascii="宋体" w:hAnsi="宋体"/>
        </w:rPr>
      </w:pPr>
      <w:r>
        <w:rPr>
          <w:rFonts w:hint="eastAsia" w:ascii="宋体" w:hAnsi="宋体"/>
        </w:rPr>
        <w:t>7.6  工期要求：投标人在投标时对其所投项目应提交交货进度、交货计划等，在合同规定的时间内完成项目实施工作。</w:t>
      </w:r>
    </w:p>
    <w:p w14:paraId="12FC800C">
      <w:pPr>
        <w:ind w:firstLine="411" w:firstLineChars="196"/>
        <w:rPr>
          <w:rFonts w:ascii="宋体" w:hAnsi="宋体"/>
        </w:rPr>
      </w:pPr>
      <w:r>
        <w:rPr>
          <w:rFonts w:hint="eastAsia" w:ascii="宋体" w:hAnsi="宋体"/>
        </w:rPr>
        <w:t>7.7  投标人必须承担的设备运输、安装调试、验收检测和提供设备操作说明书、图纸等其他相关及类似的义务。</w:t>
      </w:r>
    </w:p>
    <w:p w14:paraId="221BAD9F">
      <w:pPr>
        <w:rPr>
          <w:rFonts w:ascii="黑体" w:hAnsi="宋体" w:eastAsia="黑体"/>
          <w:sz w:val="24"/>
        </w:rPr>
      </w:pPr>
      <w:r>
        <w:rPr>
          <w:rFonts w:hint="eastAsia" w:ascii="黑体" w:hAnsi="宋体" w:eastAsia="黑体"/>
          <w:sz w:val="24"/>
        </w:rPr>
        <w:t>8．投标费用</w:t>
      </w:r>
    </w:p>
    <w:p w14:paraId="4ACE0FBA">
      <w:pPr>
        <w:ind w:firstLine="411" w:firstLineChars="196"/>
        <w:rPr>
          <w:rFonts w:ascii="宋体" w:hAnsi="宋体"/>
          <w:szCs w:val="21"/>
        </w:rPr>
      </w:pPr>
      <w:r>
        <w:rPr>
          <w:rFonts w:hint="eastAsia" w:ascii="宋体" w:hAnsi="宋体"/>
          <w:szCs w:val="21"/>
        </w:rPr>
        <w:t>不论投标结果如何，投标人应承担其编制投标文件与递交投标文件所涉及的一切费用。</w:t>
      </w:r>
    </w:p>
    <w:p w14:paraId="4049D7F5">
      <w:pPr>
        <w:rPr>
          <w:rFonts w:ascii="黑体" w:hAnsi="宋体" w:eastAsia="黑体"/>
          <w:sz w:val="24"/>
        </w:rPr>
      </w:pPr>
      <w:r>
        <w:rPr>
          <w:rFonts w:hint="eastAsia" w:ascii="黑体" w:hAnsi="宋体" w:eastAsia="黑体"/>
          <w:sz w:val="24"/>
        </w:rPr>
        <w:t>9．踏勘现场</w:t>
      </w:r>
    </w:p>
    <w:p w14:paraId="784426E4">
      <w:pPr>
        <w:ind w:firstLine="411" w:firstLineChars="196"/>
        <w:rPr>
          <w:rFonts w:ascii="宋体" w:hAnsi="宋体"/>
          <w:szCs w:val="21"/>
        </w:rPr>
      </w:pPr>
      <w:r>
        <w:rPr>
          <w:rFonts w:hint="eastAsia" w:ascii="宋体" w:hAnsi="宋体"/>
          <w:szCs w:val="21"/>
        </w:rPr>
        <w:t>9.1如有需要（详见专用条款），采购人或政府集中采购机构将组织投标人对项目现场及周围环境进行踏勘，以便投标人获取有关编制投标文件和签署合同所需的资料。踏勘现场所发生的费用由投标人自行承担。投标人应按招标文件所约定的时间、地点踏勘现场。</w:t>
      </w:r>
    </w:p>
    <w:p w14:paraId="2F303E6E">
      <w:pPr>
        <w:ind w:firstLine="411" w:firstLineChars="196"/>
        <w:rPr>
          <w:rFonts w:ascii="宋体" w:hAnsi="宋体"/>
        </w:rPr>
      </w:pPr>
      <w:r>
        <w:rPr>
          <w:rFonts w:hint="eastAsia" w:ascii="宋体" w:hAnsi="宋体"/>
        </w:rPr>
        <w:t>9.2投标人及其人员经过采购人的允许，可以进入采购人的项目现场踏勘。若招标文件要求投标人于统一时间地点踏勘现场的，投标人应当按时前往。</w:t>
      </w:r>
    </w:p>
    <w:p w14:paraId="7C88340E">
      <w:pPr>
        <w:ind w:firstLine="411" w:firstLineChars="196"/>
        <w:rPr>
          <w:rFonts w:ascii="宋体" w:hAnsi="宋体"/>
        </w:rPr>
      </w:pPr>
      <w:r>
        <w:rPr>
          <w:rFonts w:hint="eastAsia" w:ascii="宋体" w:hAnsi="宋体"/>
        </w:rPr>
        <w:t>9.3采购人应当通过政府集中采购机构向投标人提供有关现场的书面资料和数据。</w:t>
      </w:r>
    </w:p>
    <w:p w14:paraId="29EA62CD">
      <w:pPr>
        <w:ind w:firstLine="411" w:firstLineChars="196"/>
        <w:rPr>
          <w:rFonts w:ascii="宋体" w:hAnsi="宋体"/>
        </w:rPr>
      </w:pPr>
      <w:r>
        <w:rPr>
          <w:rFonts w:hint="eastAsia" w:ascii="宋体" w:hAnsi="宋体"/>
        </w:rPr>
        <w:t>9.4任何人或任何组织在踏勘现场时向投标人提供的任何书面资料或口头承诺，未经政府集中采购机构在网上发布或书面通知，均作无效处理。</w:t>
      </w:r>
    </w:p>
    <w:p w14:paraId="7EFF5E37">
      <w:pPr>
        <w:ind w:firstLine="411" w:firstLineChars="196"/>
        <w:rPr>
          <w:rFonts w:ascii="宋体" w:hAnsi="宋体"/>
        </w:rPr>
      </w:pPr>
      <w:r>
        <w:rPr>
          <w:rFonts w:ascii="宋体" w:hAnsi="宋体"/>
          <w:szCs w:val="21"/>
        </w:rPr>
        <w:t>9</w:t>
      </w:r>
      <w:r>
        <w:rPr>
          <w:rFonts w:hint="eastAsia" w:ascii="宋体" w:hAnsi="宋体"/>
          <w:szCs w:val="21"/>
        </w:rPr>
        <w:t>.</w:t>
      </w:r>
      <w:r>
        <w:rPr>
          <w:rFonts w:ascii="宋体" w:hAnsi="宋体"/>
          <w:szCs w:val="21"/>
        </w:rPr>
        <w:t>5</w:t>
      </w:r>
      <w:r>
        <w:rPr>
          <w:rFonts w:hint="eastAsia" w:ascii="宋体" w:hAnsi="宋体"/>
          <w:szCs w:val="21"/>
        </w:rPr>
        <w:t>未参与踏勘现场不作为否定投标人资格的理由。</w:t>
      </w:r>
    </w:p>
    <w:p w14:paraId="22DA8DB5">
      <w:pPr>
        <w:rPr>
          <w:rFonts w:ascii="宋体" w:hAnsi="宋体"/>
          <w:szCs w:val="21"/>
        </w:rPr>
      </w:pPr>
      <w:r>
        <w:rPr>
          <w:rFonts w:hint="eastAsia" w:ascii="黑体" w:hAnsi="宋体" w:eastAsia="黑体"/>
          <w:sz w:val="24"/>
        </w:rPr>
        <w:t>1</w:t>
      </w:r>
      <w:r>
        <w:rPr>
          <w:rFonts w:ascii="黑体" w:hAnsi="宋体" w:eastAsia="黑体"/>
          <w:sz w:val="24"/>
        </w:rPr>
        <w:t>0</w:t>
      </w:r>
      <w:r>
        <w:rPr>
          <w:rFonts w:hint="eastAsia" w:ascii="黑体" w:hAnsi="宋体" w:eastAsia="黑体"/>
          <w:sz w:val="24"/>
        </w:rPr>
        <w:t>．标前会议</w:t>
      </w:r>
    </w:p>
    <w:p w14:paraId="1E968431">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1</w:t>
      </w:r>
      <w:r>
        <w:rPr>
          <w:rFonts w:hint="eastAsia" w:ascii="宋体" w:hAnsi="宋体"/>
          <w:szCs w:val="21"/>
        </w:rPr>
        <w:t>如采购人或政府集中采购机构认为有必要组织标前会议，投标人应按照招标文件规定的时间或政府集中采购机构另行书面通知（包括政府集中采购机构网站发布方式，如更正公告等）的时间和地点，参与标前会议。</w:t>
      </w:r>
    </w:p>
    <w:p w14:paraId="084C88FC">
      <w:pPr>
        <w:ind w:firstLine="411" w:firstLineChars="196"/>
        <w:rPr>
          <w:rFonts w:ascii="宋体" w:hAnsi="宋体"/>
          <w:szCs w:val="21"/>
        </w:rPr>
      </w:pPr>
      <w:r>
        <w:rPr>
          <w:rFonts w:ascii="宋体" w:hAnsi="宋体"/>
        </w:rPr>
        <w:t>10</w:t>
      </w:r>
      <w:r>
        <w:rPr>
          <w:rFonts w:hint="eastAsia" w:ascii="宋体" w:hAnsi="宋体"/>
        </w:rPr>
        <w:t>.</w:t>
      </w:r>
      <w:r>
        <w:rPr>
          <w:rFonts w:ascii="宋体" w:hAnsi="宋体"/>
        </w:rPr>
        <w:t>2</w:t>
      </w:r>
      <w:r>
        <w:rPr>
          <w:rFonts w:hint="eastAsia" w:ascii="宋体" w:hAnsi="宋体"/>
        </w:rPr>
        <w:t>任何人或任何组织在标前会议时向投标人提供的任何书面资料或口头承诺，未经政府集中采购机构在网上发布或书面通知，均作无效处理。</w:t>
      </w:r>
    </w:p>
    <w:p w14:paraId="1A3589F0">
      <w:pPr>
        <w:ind w:firstLine="411" w:firstLineChars="196"/>
        <w:rPr>
          <w:rFonts w:ascii="宋体" w:hAnsi="宋体"/>
          <w:szCs w:val="21"/>
        </w:rPr>
      </w:pPr>
      <w:r>
        <w:rPr>
          <w:rFonts w:hint="eastAsia" w:ascii="宋体" w:hAnsi="宋体"/>
          <w:szCs w:val="21"/>
        </w:rPr>
        <w:t>1</w:t>
      </w:r>
      <w:r>
        <w:rPr>
          <w:rFonts w:ascii="宋体" w:hAnsi="宋体"/>
          <w:szCs w:val="21"/>
        </w:rPr>
        <w:t>0</w:t>
      </w:r>
      <w:r>
        <w:rPr>
          <w:rFonts w:hint="eastAsia" w:ascii="宋体" w:hAnsi="宋体"/>
          <w:szCs w:val="21"/>
        </w:rPr>
        <w:t>.</w:t>
      </w:r>
      <w:r>
        <w:rPr>
          <w:rFonts w:ascii="宋体" w:hAnsi="宋体"/>
          <w:szCs w:val="21"/>
        </w:rPr>
        <w:t>3</w:t>
      </w:r>
      <w:r>
        <w:rPr>
          <w:rFonts w:hint="eastAsia" w:ascii="宋体" w:hAnsi="宋体"/>
          <w:szCs w:val="21"/>
        </w:rPr>
        <w:t>未参与标前会议不作为否定投标人资格的理由。</w:t>
      </w:r>
    </w:p>
    <w:bookmarkEnd w:id="50"/>
    <w:p w14:paraId="1B4E03BB">
      <w:pPr>
        <w:ind w:firstLine="411" w:firstLineChars="196"/>
        <w:rPr>
          <w:rFonts w:ascii="宋体" w:hAnsi="宋体"/>
        </w:rPr>
      </w:pPr>
    </w:p>
    <w:p w14:paraId="51C3B14F">
      <w:pPr>
        <w:pStyle w:val="7"/>
        <w:numPr>
          <w:ilvl w:val="0"/>
          <w:numId w:val="11"/>
        </w:numPr>
        <w:spacing w:before="120" w:beforeLines="50" w:after="120" w:afterLines="50"/>
        <w:ind w:left="562" w:hanging="562"/>
        <w:rPr>
          <w:sz w:val="28"/>
          <w:szCs w:val="28"/>
        </w:rPr>
      </w:pPr>
      <w:r>
        <w:rPr>
          <w:rFonts w:hint="eastAsia"/>
          <w:sz w:val="28"/>
          <w:szCs w:val="28"/>
        </w:rPr>
        <w:t>招标文件</w:t>
      </w:r>
    </w:p>
    <w:p w14:paraId="362FB954">
      <w:pPr>
        <w:rPr>
          <w:rFonts w:ascii="黑体" w:hAnsi="宋体" w:eastAsia="黑体"/>
          <w:sz w:val="24"/>
        </w:rPr>
      </w:pPr>
      <w:r>
        <w:rPr>
          <w:rFonts w:hint="eastAsia" w:ascii="黑体" w:hAnsi="宋体" w:eastAsia="黑体"/>
          <w:sz w:val="24"/>
        </w:rPr>
        <w:t>1</w:t>
      </w:r>
      <w:r>
        <w:rPr>
          <w:rFonts w:ascii="黑体" w:hAnsi="宋体" w:eastAsia="黑体"/>
          <w:sz w:val="24"/>
        </w:rPr>
        <w:t>1</w:t>
      </w:r>
      <w:r>
        <w:rPr>
          <w:rFonts w:hint="eastAsia" w:ascii="黑体" w:hAnsi="宋体" w:eastAsia="黑体"/>
          <w:sz w:val="24"/>
        </w:rPr>
        <w:t>．</w:t>
      </w:r>
      <w:bookmarkStart w:id="52" w:name="_Hlk72399819"/>
      <w:r>
        <w:rPr>
          <w:rFonts w:hint="eastAsia" w:ascii="黑体" w:hAnsi="宋体" w:eastAsia="黑体"/>
          <w:sz w:val="24"/>
        </w:rPr>
        <w:t>招标文件的编制与组成</w:t>
      </w:r>
    </w:p>
    <w:p w14:paraId="7AA41AD7">
      <w:pPr>
        <w:snapToGrid w:val="0"/>
        <w:ind w:firstLine="420" w:firstLineChars="200"/>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.1招标文件除以下内容外，政府集中采购机构在招标期间发出的澄清或修改等相关公告或通知内容，均是招标文件的组成部分，对投标人起约束作用；</w:t>
      </w:r>
    </w:p>
    <w:p w14:paraId="62119C01">
      <w:pPr>
        <w:ind w:firstLine="411" w:firstLineChars="196"/>
        <w:rPr>
          <w:rFonts w:ascii="宋体" w:hAnsi="宋体"/>
          <w:szCs w:val="21"/>
        </w:rPr>
      </w:pPr>
      <w:r>
        <w:rPr>
          <w:rFonts w:hint="eastAsia" w:ascii="宋体" w:hAnsi="宋体"/>
          <w:szCs w:val="21"/>
        </w:rPr>
        <w:t>招标文件包括下列内容：</w:t>
      </w:r>
    </w:p>
    <w:p w14:paraId="78FCA55F">
      <w:pPr>
        <w:ind w:left="420" w:leftChars="200" w:firstLine="413" w:firstLineChars="196"/>
        <w:rPr>
          <w:rFonts w:ascii="宋体" w:hAnsi="宋体"/>
          <w:b/>
          <w:szCs w:val="21"/>
        </w:rPr>
      </w:pPr>
      <w:r>
        <w:rPr>
          <w:rFonts w:hint="eastAsia" w:ascii="宋体" w:hAnsi="宋体"/>
          <w:b/>
          <w:szCs w:val="21"/>
        </w:rPr>
        <w:t>第一册  专用条款</w:t>
      </w:r>
    </w:p>
    <w:p w14:paraId="1C2C9074">
      <w:pPr>
        <w:ind w:left="1079" w:leftChars="514"/>
        <w:rPr>
          <w:rFonts w:ascii="宋体" w:hAnsi="宋体"/>
          <w:b/>
          <w:szCs w:val="21"/>
        </w:rPr>
      </w:pPr>
      <w:r>
        <w:rPr>
          <w:rFonts w:hint="eastAsia" w:ascii="宋体" w:hAnsi="宋体"/>
          <w:b/>
          <w:szCs w:val="21"/>
        </w:rPr>
        <w:t>关键信息</w:t>
      </w:r>
    </w:p>
    <w:p w14:paraId="5063B138">
      <w:pPr>
        <w:ind w:left="630" w:leftChars="300" w:firstLine="411" w:firstLineChars="196"/>
        <w:rPr>
          <w:rFonts w:ascii="宋体" w:hAnsi="宋体"/>
          <w:szCs w:val="21"/>
        </w:rPr>
      </w:pPr>
      <w:r>
        <w:rPr>
          <w:rFonts w:hint="eastAsia" w:ascii="宋体" w:hAnsi="宋体"/>
          <w:szCs w:val="21"/>
        </w:rPr>
        <w:t>第一章  招标公告</w:t>
      </w:r>
    </w:p>
    <w:p w14:paraId="5A03B680">
      <w:pPr>
        <w:ind w:left="630" w:leftChars="300" w:firstLine="411" w:firstLineChars="196"/>
        <w:rPr>
          <w:rFonts w:ascii="宋体" w:hAnsi="宋体"/>
          <w:szCs w:val="21"/>
        </w:rPr>
      </w:pPr>
      <w:r>
        <w:rPr>
          <w:rFonts w:hint="eastAsia" w:ascii="宋体" w:hAnsi="宋体"/>
          <w:szCs w:val="21"/>
        </w:rPr>
        <w:t>第二章  对通用条款的补充内容及其他关键信息</w:t>
      </w:r>
    </w:p>
    <w:p w14:paraId="1C4FAABA">
      <w:pPr>
        <w:ind w:left="630" w:leftChars="300" w:firstLine="411" w:firstLineChars="196"/>
        <w:rPr>
          <w:rFonts w:ascii="宋体" w:hAnsi="宋体"/>
          <w:szCs w:val="21"/>
        </w:rPr>
      </w:pPr>
      <w:r>
        <w:rPr>
          <w:rFonts w:hint="eastAsia" w:ascii="宋体" w:hAnsi="宋体"/>
          <w:szCs w:val="21"/>
        </w:rPr>
        <w:t>第三章  用户需求书</w:t>
      </w:r>
    </w:p>
    <w:p w14:paraId="65E55822">
      <w:pPr>
        <w:ind w:left="630" w:leftChars="300" w:firstLine="411" w:firstLineChars="196"/>
        <w:rPr>
          <w:rFonts w:ascii="宋体" w:hAnsi="宋体"/>
          <w:szCs w:val="21"/>
        </w:rPr>
      </w:pPr>
      <w:r>
        <w:rPr>
          <w:rFonts w:hint="eastAsia"/>
        </w:rPr>
        <w:t xml:space="preserve">第四章 </w:t>
      </w:r>
      <w:r>
        <w:t xml:space="preserve"> </w:t>
      </w:r>
      <w:r>
        <w:rPr>
          <w:rFonts w:hint="eastAsia"/>
        </w:rPr>
        <w:t>投标文件格式及附件</w:t>
      </w:r>
    </w:p>
    <w:p w14:paraId="6B6160B7">
      <w:pPr>
        <w:ind w:left="630" w:leftChars="300" w:firstLine="411" w:firstLineChars="196"/>
        <w:rPr>
          <w:rFonts w:ascii="宋体" w:hAnsi="宋体"/>
          <w:szCs w:val="21"/>
        </w:rPr>
      </w:pPr>
      <w:r>
        <w:rPr>
          <w:rFonts w:hint="eastAsia" w:ascii="宋体" w:hAnsi="宋体"/>
          <w:szCs w:val="21"/>
        </w:rPr>
        <w:t>第五章  合同条款及格式</w:t>
      </w:r>
    </w:p>
    <w:p w14:paraId="423D46BD">
      <w:pPr>
        <w:ind w:left="420" w:leftChars="200" w:firstLine="413" w:firstLineChars="196"/>
        <w:rPr>
          <w:rFonts w:ascii="宋体" w:hAnsi="宋体"/>
          <w:b/>
          <w:szCs w:val="21"/>
        </w:rPr>
      </w:pPr>
      <w:r>
        <w:rPr>
          <w:rFonts w:hint="eastAsia" w:ascii="宋体" w:hAnsi="宋体"/>
          <w:b/>
          <w:szCs w:val="21"/>
        </w:rPr>
        <w:t>第二册  通用条款</w:t>
      </w:r>
    </w:p>
    <w:p w14:paraId="421996B6">
      <w:pPr>
        <w:ind w:left="630" w:leftChars="300" w:firstLine="411" w:firstLineChars="196"/>
        <w:rPr>
          <w:rFonts w:ascii="宋体" w:hAnsi="宋体"/>
          <w:szCs w:val="21"/>
        </w:rPr>
      </w:pPr>
      <w:r>
        <w:rPr>
          <w:rFonts w:hint="eastAsia" w:ascii="宋体" w:hAnsi="宋体"/>
          <w:szCs w:val="21"/>
        </w:rPr>
        <w:t>第一章  总则</w:t>
      </w:r>
    </w:p>
    <w:p w14:paraId="7B09C3F4">
      <w:pPr>
        <w:ind w:left="630" w:leftChars="300" w:firstLine="411" w:firstLineChars="196"/>
        <w:rPr>
          <w:rFonts w:ascii="宋体" w:hAnsi="宋体"/>
          <w:szCs w:val="21"/>
        </w:rPr>
      </w:pPr>
      <w:r>
        <w:rPr>
          <w:rFonts w:hint="eastAsia" w:ascii="宋体" w:hAnsi="宋体"/>
          <w:szCs w:val="21"/>
        </w:rPr>
        <w:t>第二章  招标文件</w:t>
      </w:r>
    </w:p>
    <w:p w14:paraId="4D9792D8">
      <w:pPr>
        <w:ind w:left="630" w:leftChars="300" w:firstLine="411" w:firstLineChars="196"/>
        <w:rPr>
          <w:rFonts w:ascii="宋体" w:hAnsi="宋体"/>
          <w:szCs w:val="21"/>
        </w:rPr>
      </w:pPr>
      <w:r>
        <w:rPr>
          <w:rFonts w:hint="eastAsia" w:ascii="宋体" w:hAnsi="宋体"/>
          <w:szCs w:val="21"/>
        </w:rPr>
        <w:t>第三章  投标文件的编制</w:t>
      </w:r>
    </w:p>
    <w:p w14:paraId="132B8304">
      <w:pPr>
        <w:ind w:left="630" w:leftChars="300" w:firstLine="411" w:firstLineChars="196"/>
        <w:rPr>
          <w:rFonts w:ascii="宋体" w:hAnsi="宋体"/>
          <w:szCs w:val="21"/>
        </w:rPr>
      </w:pPr>
      <w:r>
        <w:rPr>
          <w:rFonts w:hint="eastAsia" w:ascii="宋体" w:hAnsi="宋体"/>
          <w:szCs w:val="21"/>
        </w:rPr>
        <w:t>第四章  投标文件的递交</w:t>
      </w:r>
    </w:p>
    <w:p w14:paraId="3397084A">
      <w:pPr>
        <w:ind w:left="630" w:leftChars="300" w:firstLine="411" w:firstLineChars="196"/>
        <w:rPr>
          <w:rFonts w:ascii="宋体" w:hAnsi="宋体"/>
          <w:szCs w:val="21"/>
        </w:rPr>
      </w:pPr>
      <w:r>
        <w:rPr>
          <w:rFonts w:hint="eastAsia" w:ascii="宋体" w:hAnsi="宋体"/>
          <w:szCs w:val="21"/>
        </w:rPr>
        <w:t>第五章  开标</w:t>
      </w:r>
    </w:p>
    <w:p w14:paraId="259E001E">
      <w:pPr>
        <w:ind w:left="630" w:leftChars="300" w:firstLine="411" w:firstLineChars="196"/>
        <w:rPr>
          <w:rFonts w:ascii="宋体" w:hAnsi="宋体"/>
          <w:szCs w:val="21"/>
        </w:rPr>
      </w:pPr>
      <w:r>
        <w:rPr>
          <w:rFonts w:hint="eastAsia" w:ascii="宋体" w:hAnsi="宋体"/>
          <w:szCs w:val="21"/>
        </w:rPr>
        <w:t>第六章  评审要求</w:t>
      </w:r>
    </w:p>
    <w:p w14:paraId="231A9631">
      <w:pPr>
        <w:ind w:left="630" w:leftChars="300" w:firstLine="411" w:firstLineChars="196"/>
        <w:rPr>
          <w:rFonts w:ascii="宋体" w:hAnsi="宋体"/>
          <w:szCs w:val="21"/>
        </w:rPr>
      </w:pPr>
      <w:r>
        <w:rPr>
          <w:rFonts w:hint="eastAsia" w:ascii="宋体" w:hAnsi="宋体"/>
          <w:szCs w:val="21"/>
        </w:rPr>
        <w:t>第七章  评审程序及评审方法</w:t>
      </w:r>
    </w:p>
    <w:p w14:paraId="508A056C">
      <w:pPr>
        <w:ind w:left="630" w:leftChars="300" w:firstLine="411" w:firstLineChars="196"/>
        <w:rPr>
          <w:rFonts w:ascii="宋体" w:hAnsi="宋体"/>
          <w:szCs w:val="21"/>
        </w:rPr>
      </w:pPr>
      <w:r>
        <w:rPr>
          <w:rFonts w:hint="eastAsia" w:ascii="宋体" w:hAnsi="宋体"/>
          <w:szCs w:val="21"/>
        </w:rPr>
        <w:t>第八章  定标及公示</w:t>
      </w:r>
    </w:p>
    <w:p w14:paraId="6AEDE001">
      <w:pPr>
        <w:ind w:left="630" w:leftChars="300" w:firstLine="411" w:firstLineChars="196"/>
        <w:rPr>
          <w:rFonts w:ascii="宋体" w:hAnsi="宋体"/>
          <w:szCs w:val="21"/>
        </w:rPr>
      </w:pPr>
      <w:r>
        <w:rPr>
          <w:rFonts w:hint="eastAsia" w:ascii="宋体" w:hAnsi="宋体"/>
          <w:szCs w:val="21"/>
        </w:rPr>
        <w:t>第九章  公开招标失败的后续处理</w:t>
      </w:r>
    </w:p>
    <w:p w14:paraId="117AEE50">
      <w:pPr>
        <w:ind w:left="630" w:leftChars="300" w:firstLine="411" w:firstLineChars="196"/>
        <w:rPr>
          <w:rFonts w:ascii="宋体" w:hAnsi="宋体"/>
          <w:szCs w:val="21"/>
        </w:rPr>
      </w:pPr>
      <w:r>
        <w:rPr>
          <w:rFonts w:hint="eastAsia" w:ascii="宋体" w:hAnsi="宋体"/>
          <w:szCs w:val="21"/>
        </w:rPr>
        <w:t>第十章  合同的授予与备案</w:t>
      </w:r>
    </w:p>
    <w:p w14:paraId="54B1FD0D">
      <w:pPr>
        <w:ind w:left="630" w:leftChars="300" w:firstLine="411" w:firstLineChars="196"/>
        <w:rPr>
          <w:rFonts w:ascii="宋体" w:hAnsi="宋体"/>
          <w:szCs w:val="21"/>
        </w:rPr>
      </w:pPr>
      <w:r>
        <w:rPr>
          <w:rFonts w:hint="eastAsia" w:ascii="宋体" w:hAnsi="宋体"/>
          <w:szCs w:val="21"/>
        </w:rPr>
        <w:t>第十一章  质疑处理</w:t>
      </w:r>
    </w:p>
    <w:p w14:paraId="381F7FD8">
      <w:pPr>
        <w:ind w:firstLine="411" w:firstLineChars="196"/>
        <w:rPr>
          <w:rFonts w:ascii="宋体" w:hAnsi="宋体"/>
          <w:szCs w:val="21"/>
        </w:rPr>
      </w:pPr>
      <w:r>
        <w:rPr>
          <w:rFonts w:hint="eastAsia" w:ascii="宋体" w:hAnsi="宋体"/>
          <w:szCs w:val="21"/>
        </w:rPr>
        <w:t>1</w:t>
      </w:r>
      <w:r>
        <w:rPr>
          <w:rFonts w:ascii="宋体" w:hAnsi="宋体"/>
          <w:szCs w:val="21"/>
        </w:rPr>
        <w:t>1</w:t>
      </w:r>
      <w:r>
        <w:rPr>
          <w:rFonts w:hint="eastAsia" w:ascii="宋体" w:hAnsi="宋体"/>
          <w:szCs w:val="21"/>
        </w:rPr>
        <w:t>.2 投标人下载招标文件后，应仔细检查招标文件的所有内容，如有疑问应在答疑截止时间之前向政府集中采购机构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14:paraId="33469339">
      <w:pPr>
        <w:ind w:firstLine="411" w:firstLineChars="196"/>
        <w:rPr>
          <w:rFonts w:hint="eastAsia" w:ascii="宋体" w:hAnsi="宋体"/>
        </w:rPr>
      </w:pPr>
      <w:r>
        <w:rPr>
          <w:rFonts w:hint="eastAsia" w:ascii="宋体" w:hAnsi="宋体"/>
          <w:szCs w:val="21"/>
        </w:rPr>
        <w:t>1</w:t>
      </w:r>
      <w:r>
        <w:rPr>
          <w:rFonts w:ascii="宋体" w:hAnsi="宋体"/>
          <w:szCs w:val="21"/>
        </w:rPr>
        <w:t>1</w:t>
      </w:r>
      <w:r>
        <w:rPr>
          <w:rFonts w:hint="eastAsia" w:ascii="宋体" w:hAnsi="宋体"/>
          <w:szCs w:val="21"/>
        </w:rPr>
        <w:t>.3</w:t>
      </w:r>
      <w:r>
        <w:rPr>
          <w:rFonts w:hint="eastAsia" w:ascii="宋体" w:hAnsi="宋体"/>
        </w:rPr>
        <w:t>任何人或任何组织向投标人提交的任何书面或口头资料，未经政府集中采购机构在网上发布或书面通知，均作无效处理，不得作为招标文件的组成部分。政府集中采购机构对投标人由此而做出的推论、理解和结论概不负责。</w:t>
      </w:r>
    </w:p>
    <w:p w14:paraId="7171859E">
      <w:pPr>
        <w:ind w:firstLine="411" w:firstLineChars="196"/>
        <w:rPr>
          <w:rFonts w:hint="eastAsia" w:ascii="宋体" w:hAnsi="宋体"/>
          <w:szCs w:val="21"/>
        </w:rPr>
      </w:pPr>
      <w:r>
        <w:rPr>
          <w:rFonts w:hint="eastAsia" w:ascii="宋体" w:hAnsi="宋体"/>
          <w:szCs w:val="21"/>
          <w:lang w:val="en-US" w:eastAsia="zh-CN"/>
        </w:rPr>
        <w:t>11.4招标文件所称“原件备查”，是指在项目产生质疑、投诉等阶段，主管部门、采购人、代理机构、评审委员会等可以要求供应商提供原件进行核查。</w:t>
      </w:r>
    </w:p>
    <w:p w14:paraId="2435705C">
      <w:pPr>
        <w:rPr>
          <w:rFonts w:ascii="黑体" w:hAnsi="宋体" w:eastAsia="黑体"/>
          <w:sz w:val="24"/>
        </w:rPr>
      </w:pPr>
      <w:r>
        <w:rPr>
          <w:rFonts w:hint="eastAsia" w:ascii="黑体" w:hAnsi="宋体" w:eastAsia="黑体"/>
          <w:sz w:val="24"/>
        </w:rPr>
        <w:t>1</w:t>
      </w:r>
      <w:r>
        <w:rPr>
          <w:rFonts w:ascii="黑体" w:hAnsi="宋体" w:eastAsia="黑体"/>
          <w:sz w:val="24"/>
        </w:rPr>
        <w:t>2</w:t>
      </w:r>
      <w:r>
        <w:rPr>
          <w:rFonts w:hint="eastAsia" w:ascii="黑体" w:hAnsi="宋体" w:eastAsia="黑体"/>
          <w:sz w:val="24"/>
        </w:rPr>
        <w:t>．招标文件的澄清</w:t>
      </w:r>
    </w:p>
    <w:p w14:paraId="7C49CA2E">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.1招标文件澄清的目的是澄清、解答投标人在查阅招标文件后或现场踏勘中可能提出的与投标有关的疑问或询问。</w:t>
      </w:r>
    </w:p>
    <w:p w14:paraId="20808A06">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.2投标人如对招标文件内容有疑问，应当在招标公告规定的澄清（提问）截止时间前以网上提问的形式通过网上政府采购系统提交政府集中采购机构。</w:t>
      </w:r>
    </w:p>
    <w:p w14:paraId="1F2DF5E8">
      <w:pPr>
        <w:ind w:firstLine="411" w:firstLineChars="196"/>
        <w:rPr>
          <w:rFonts w:ascii="宋体" w:hAnsi="宋体"/>
          <w:szCs w:val="21"/>
        </w:rPr>
      </w:pPr>
      <w:r>
        <w:rPr>
          <w:rFonts w:hint="eastAsia" w:ascii="宋体" w:hAnsi="宋体"/>
          <w:szCs w:val="21"/>
        </w:rPr>
        <w:t>1</w:t>
      </w:r>
      <w:r>
        <w:rPr>
          <w:rFonts w:ascii="宋体" w:hAnsi="宋体"/>
          <w:szCs w:val="21"/>
        </w:rPr>
        <w:t>2</w:t>
      </w:r>
      <w:r>
        <w:rPr>
          <w:rFonts w:hint="eastAsia" w:ascii="宋体" w:hAnsi="宋体"/>
          <w:szCs w:val="21"/>
        </w:rPr>
        <w:t>.3不论是政府集中采购机构根据需要主动对招标文件进行必要的澄清或是根据投标人的要求对招标文件做出澄清，政府集中采购机构都将在投标截止日期前以书面形式（包括政府集中采购机构网站发布方式）答复或发送给所有投标人。答复内容是招标文件的组成部分，对投标人起约束作用，其有效性按照本通用条款第1</w:t>
      </w:r>
      <w:r>
        <w:rPr>
          <w:rFonts w:ascii="宋体" w:hAnsi="宋体"/>
          <w:szCs w:val="21"/>
        </w:rPr>
        <w:t>3.3</w:t>
      </w:r>
      <w:r>
        <w:rPr>
          <w:rFonts w:hint="eastAsia" w:ascii="宋体" w:hAnsi="宋体"/>
          <w:szCs w:val="21"/>
        </w:rPr>
        <w:t>、1</w:t>
      </w:r>
      <w:r>
        <w:rPr>
          <w:rFonts w:ascii="宋体" w:hAnsi="宋体"/>
          <w:szCs w:val="21"/>
        </w:rPr>
        <w:t>3.4</w:t>
      </w:r>
      <w:r>
        <w:rPr>
          <w:rFonts w:hint="eastAsia" w:ascii="宋体" w:hAnsi="宋体"/>
          <w:szCs w:val="21"/>
        </w:rPr>
        <w:t>款规定执行。</w:t>
      </w:r>
    </w:p>
    <w:p w14:paraId="69D828A8">
      <w:pPr>
        <w:rPr>
          <w:rFonts w:ascii="黑体" w:hAnsi="宋体" w:eastAsia="黑体"/>
          <w:sz w:val="24"/>
        </w:rPr>
      </w:pPr>
      <w:r>
        <w:rPr>
          <w:rFonts w:ascii="黑体" w:hAnsi="宋体" w:eastAsia="黑体"/>
          <w:sz w:val="24"/>
        </w:rPr>
        <w:t>1</w:t>
      </w:r>
      <w:r>
        <w:rPr>
          <w:rFonts w:hint="eastAsia" w:ascii="黑体" w:hAnsi="宋体" w:eastAsia="黑体"/>
          <w:sz w:val="24"/>
        </w:rPr>
        <w:t>3．招标文件的修改</w:t>
      </w:r>
    </w:p>
    <w:p w14:paraId="7DBC33A2">
      <w:pPr>
        <w:ind w:firstLine="411" w:firstLineChars="196"/>
        <w:rPr>
          <w:rFonts w:ascii="宋体" w:hAnsi="宋体"/>
          <w:szCs w:val="21"/>
        </w:rPr>
      </w:pPr>
      <w:r>
        <w:rPr>
          <w:rFonts w:ascii="宋体" w:hAnsi="宋体"/>
          <w:szCs w:val="21"/>
        </w:rPr>
        <w:t>1</w:t>
      </w:r>
      <w:r>
        <w:rPr>
          <w:rFonts w:hint="eastAsia" w:ascii="宋体" w:hAnsi="宋体"/>
          <w:szCs w:val="21"/>
        </w:rPr>
        <w:t>3.1招标文件发出后，在投标截止日期前任何时候，确需要变更招标文件内容的，政府集中采购机构可主动或在解答投标人提出的澄清问题时对招标文件进行修改。</w:t>
      </w:r>
    </w:p>
    <w:p w14:paraId="0BF8176A">
      <w:pPr>
        <w:ind w:firstLine="411" w:firstLineChars="196"/>
        <w:rPr>
          <w:rFonts w:ascii="宋体" w:hAnsi="宋体"/>
          <w:szCs w:val="21"/>
        </w:rPr>
      </w:pPr>
      <w:r>
        <w:rPr>
          <w:rFonts w:ascii="宋体" w:hAnsi="宋体"/>
          <w:szCs w:val="21"/>
        </w:rPr>
        <w:t>1</w:t>
      </w:r>
      <w:r>
        <w:rPr>
          <w:rFonts w:hint="eastAsia" w:ascii="宋体" w:hAnsi="宋体"/>
          <w:szCs w:val="21"/>
        </w:rPr>
        <w:t>3.2招标文件的修改以书面形式（包括网站发布方式，如更正公告等）发送给所有投标人，招标文件的修改内容作为招标文件的组成部分，并具有约束力。</w:t>
      </w:r>
    </w:p>
    <w:p w14:paraId="04F5966B">
      <w:pPr>
        <w:ind w:firstLine="411" w:firstLineChars="196"/>
        <w:rPr>
          <w:rFonts w:ascii="宋体" w:hAnsi="宋体"/>
          <w:szCs w:val="21"/>
        </w:rPr>
      </w:pPr>
      <w:r>
        <w:rPr>
          <w:rFonts w:ascii="宋体" w:hAnsi="宋体"/>
          <w:szCs w:val="21"/>
        </w:rPr>
        <w:t>1</w:t>
      </w:r>
      <w:r>
        <w:rPr>
          <w:rFonts w:hint="eastAsia" w:ascii="宋体" w:hAnsi="宋体"/>
          <w:szCs w:val="21"/>
        </w:rPr>
        <w:t>3.3招标文件、招标文件澄清答复内容、招标文件修改补充内容均以书面形式（包括政府集中采购机构网站公开发布方式，如更正公告等）明确的内容为准。当招标文件、修改补充通知、招标文件澄清答复内容相互矛盾时，以最后发出的内容为准。</w:t>
      </w:r>
    </w:p>
    <w:p w14:paraId="506E2A4B">
      <w:pPr>
        <w:ind w:firstLine="411" w:firstLineChars="196"/>
        <w:rPr>
          <w:rFonts w:ascii="宋体" w:hAnsi="宋体"/>
          <w:szCs w:val="21"/>
        </w:rPr>
      </w:pPr>
      <w:r>
        <w:rPr>
          <w:rFonts w:ascii="宋体" w:hAnsi="宋体"/>
          <w:szCs w:val="21"/>
        </w:rPr>
        <w:t>1</w:t>
      </w:r>
      <w:r>
        <w:rPr>
          <w:rFonts w:hint="eastAsia" w:ascii="宋体" w:hAnsi="宋体"/>
          <w:szCs w:val="21"/>
        </w:rPr>
        <w:t>3.4政府集中采购机构保证招标文件澄清答复内容和招标文件修改补充内容在投标截止时间前以书面形式（包括网站发布方式，如更正公告等）发送给所有投标人。为使投标人在编制投标文件时有充分时间对招标文件的修改部分进行研究，政府集中采购机构可以酌情延长递交投标文件的截止日期。</w:t>
      </w:r>
      <w:bookmarkEnd w:id="52"/>
    </w:p>
    <w:p w14:paraId="62C6E15A">
      <w:pPr>
        <w:rPr>
          <w:rFonts w:ascii="宋体" w:hAnsi="宋体"/>
          <w:szCs w:val="21"/>
        </w:rPr>
      </w:pPr>
    </w:p>
    <w:p w14:paraId="1F0833BA">
      <w:pPr>
        <w:pStyle w:val="7"/>
        <w:numPr>
          <w:ilvl w:val="0"/>
          <w:numId w:val="11"/>
        </w:numPr>
        <w:spacing w:before="120" w:beforeLines="50" w:after="120" w:afterLines="50"/>
        <w:ind w:left="562" w:hanging="562"/>
        <w:rPr>
          <w:sz w:val="28"/>
          <w:szCs w:val="28"/>
        </w:rPr>
      </w:pPr>
      <w:r>
        <w:rPr>
          <w:rFonts w:hint="eastAsia"/>
          <w:sz w:val="28"/>
          <w:szCs w:val="28"/>
        </w:rPr>
        <w:t>投标文件的编制</w:t>
      </w:r>
    </w:p>
    <w:p w14:paraId="1741D9F7">
      <w:pPr>
        <w:rPr>
          <w:rFonts w:ascii="黑体" w:hAnsi="宋体" w:eastAsia="黑体"/>
          <w:sz w:val="24"/>
        </w:rPr>
      </w:pPr>
      <w:r>
        <w:rPr>
          <w:rFonts w:hint="eastAsia" w:ascii="黑体" w:hAnsi="宋体" w:eastAsia="黑体"/>
          <w:sz w:val="24"/>
        </w:rPr>
        <w:t>14．</w:t>
      </w:r>
      <w:bookmarkStart w:id="53" w:name="_Hlk72400236"/>
      <w:r>
        <w:rPr>
          <w:rFonts w:hint="eastAsia" w:ascii="黑体" w:hAnsi="宋体" w:eastAsia="黑体"/>
          <w:sz w:val="24"/>
        </w:rPr>
        <w:t>投标文件的语言及度量单位</w:t>
      </w:r>
    </w:p>
    <w:p w14:paraId="17F82D09">
      <w:pPr>
        <w:ind w:firstLine="411" w:firstLineChars="196"/>
        <w:rPr>
          <w:rFonts w:ascii="宋体" w:hAnsi="宋体"/>
          <w:szCs w:val="21"/>
        </w:rPr>
      </w:pPr>
      <w:r>
        <w:rPr>
          <w:rFonts w:hint="eastAsia" w:ascii="宋体" w:hAnsi="宋体"/>
          <w:szCs w:val="21"/>
        </w:rPr>
        <w:t>14.1 投标人与政府集中采购机构之间与投标有关的所有往来通知、函件和投标文件均用中文表述。投标人随投标文件提供的证明文件和资料可以为其它语言，但必须附中文译文。翻译的中文资料与外文资料如果出现差异时，以中文为准。</w:t>
      </w:r>
    </w:p>
    <w:p w14:paraId="339DB06C">
      <w:pPr>
        <w:ind w:firstLine="411" w:firstLineChars="196"/>
        <w:rPr>
          <w:rFonts w:ascii="宋体" w:hAnsi="宋体"/>
          <w:szCs w:val="21"/>
        </w:rPr>
      </w:pPr>
      <w:r>
        <w:rPr>
          <w:rFonts w:hint="eastAsia" w:ascii="宋体" w:hAnsi="宋体"/>
          <w:szCs w:val="21"/>
        </w:rPr>
        <w:t>14.2 除技术规范另有规定外，投标文件使用的度量单位，均采用中华人民共和国法定计量单位。</w:t>
      </w:r>
    </w:p>
    <w:bookmarkEnd w:id="53"/>
    <w:p w14:paraId="7060052B">
      <w:pPr>
        <w:rPr>
          <w:rFonts w:ascii="黑体" w:hAnsi="宋体" w:eastAsia="黑体"/>
          <w:sz w:val="24"/>
        </w:rPr>
      </w:pPr>
      <w:r>
        <w:rPr>
          <w:rFonts w:hint="eastAsia" w:ascii="黑体" w:hAnsi="宋体" w:eastAsia="黑体"/>
          <w:sz w:val="24"/>
        </w:rPr>
        <w:t>15．</w:t>
      </w:r>
      <w:bookmarkStart w:id="54" w:name="_Hlk72401567"/>
      <w:r>
        <w:rPr>
          <w:rFonts w:hint="eastAsia" w:ascii="黑体" w:hAnsi="宋体" w:eastAsia="黑体"/>
          <w:sz w:val="24"/>
        </w:rPr>
        <w:t>投标文件的组成</w:t>
      </w:r>
    </w:p>
    <w:p w14:paraId="01203F1A">
      <w:pPr>
        <w:ind w:firstLine="411" w:firstLineChars="196"/>
        <w:rPr>
          <w:rFonts w:ascii="宋体" w:hAnsi="宋体"/>
          <w:szCs w:val="21"/>
        </w:rPr>
      </w:pPr>
      <w:r>
        <w:rPr>
          <w:rFonts w:hint="eastAsia" w:ascii="宋体" w:hAnsi="宋体"/>
          <w:szCs w:val="21"/>
        </w:rPr>
        <w:t>具体内容在招标文件专用条款中进行规定。</w:t>
      </w:r>
    </w:p>
    <w:p w14:paraId="51654BDC">
      <w:pPr>
        <w:rPr>
          <w:rFonts w:ascii="黑体" w:hAnsi="宋体" w:eastAsia="黑体"/>
          <w:sz w:val="24"/>
        </w:rPr>
      </w:pPr>
      <w:r>
        <w:rPr>
          <w:rFonts w:ascii="黑体" w:hAnsi="宋体" w:eastAsia="黑体"/>
          <w:sz w:val="24"/>
        </w:rPr>
        <w:t>16．投标文件格式</w:t>
      </w:r>
    </w:p>
    <w:p w14:paraId="627C2210">
      <w:pPr>
        <w:ind w:firstLine="411" w:firstLineChars="196"/>
        <w:rPr>
          <w:rFonts w:ascii="宋体" w:hAnsi="宋体"/>
          <w:szCs w:val="21"/>
        </w:rPr>
      </w:pPr>
      <w:r>
        <w:rPr>
          <w:rFonts w:hint="eastAsia" w:ascii="宋体" w:hAnsi="宋体"/>
          <w:szCs w:val="21"/>
        </w:rPr>
        <w:t>投标文件包括本通用条款第</w:t>
      </w:r>
      <w:r>
        <w:rPr>
          <w:rFonts w:ascii="宋体" w:hAnsi="宋体"/>
          <w:szCs w:val="21"/>
        </w:rPr>
        <w:t>15条中规定的内容。如招标文件提供了投标文件格式，则</w:t>
      </w:r>
      <w:r>
        <w:rPr>
          <w:rFonts w:hint="eastAsia" w:ascii="宋体" w:hAnsi="宋体"/>
          <w:b/>
          <w:bCs/>
          <w:szCs w:val="21"/>
        </w:rPr>
        <w:t>投标人提交的投标文件应毫无例外地使用招标文件所提供的相应格式</w:t>
      </w:r>
      <w:r>
        <w:rPr>
          <w:rFonts w:hint="eastAsia" w:ascii="宋体" w:hAnsi="宋体"/>
          <w:szCs w:val="21"/>
        </w:rPr>
        <w:t>（表格均可按同样格式扩展）。</w:t>
      </w:r>
    </w:p>
    <w:p w14:paraId="2266C100">
      <w:pPr>
        <w:rPr>
          <w:rFonts w:ascii="黑体" w:hAnsi="宋体" w:eastAsia="黑体"/>
          <w:sz w:val="24"/>
        </w:rPr>
      </w:pPr>
      <w:r>
        <w:rPr>
          <w:rFonts w:hint="eastAsia" w:ascii="黑体" w:hAnsi="宋体" w:eastAsia="黑体"/>
          <w:sz w:val="24"/>
        </w:rPr>
        <w:t>17．投标货币</w:t>
      </w:r>
    </w:p>
    <w:p w14:paraId="381A4441">
      <w:pPr>
        <w:ind w:firstLine="411" w:firstLineChars="196"/>
        <w:rPr>
          <w:rFonts w:ascii="宋体" w:hAnsi="宋体"/>
          <w:szCs w:val="21"/>
        </w:rPr>
      </w:pPr>
      <w:r>
        <w:rPr>
          <w:rFonts w:hint="eastAsia" w:ascii="宋体" w:hAnsi="宋体"/>
          <w:szCs w:val="21"/>
        </w:rPr>
        <w:t>本项目的投标报价应以人民币计。</w:t>
      </w:r>
    </w:p>
    <w:bookmarkEnd w:id="54"/>
    <w:p w14:paraId="3BC2D332">
      <w:pPr>
        <w:rPr>
          <w:rFonts w:ascii="黑体" w:hAnsi="宋体" w:eastAsia="黑体"/>
          <w:sz w:val="24"/>
        </w:rPr>
      </w:pPr>
      <w:r>
        <w:rPr>
          <w:rFonts w:hint="eastAsia" w:ascii="黑体" w:hAnsi="宋体" w:eastAsia="黑体"/>
          <w:sz w:val="24"/>
        </w:rPr>
        <w:t>18．</w:t>
      </w:r>
      <w:bookmarkStart w:id="55" w:name="_Hlk72401735"/>
      <w:r>
        <w:rPr>
          <w:rFonts w:hint="eastAsia" w:ascii="黑体" w:hAnsi="宋体" w:eastAsia="黑体"/>
          <w:sz w:val="24"/>
        </w:rPr>
        <w:t>证明投标文件投标技术方案的合格性和符合招标文件规定的文件要求</w:t>
      </w:r>
    </w:p>
    <w:p w14:paraId="25C2ED3A">
      <w:pPr>
        <w:ind w:firstLine="411" w:firstLineChars="196"/>
        <w:rPr>
          <w:rFonts w:ascii="宋体" w:hAnsi="宋体"/>
          <w:szCs w:val="21"/>
        </w:rPr>
      </w:pPr>
      <w:r>
        <w:rPr>
          <w:rFonts w:hint="eastAsia" w:ascii="宋体" w:hAnsi="宋体"/>
          <w:szCs w:val="21"/>
        </w:rPr>
        <w:t>18</w:t>
      </w:r>
      <w:r>
        <w:rPr>
          <w:rFonts w:ascii="宋体" w:hAnsi="宋体"/>
          <w:szCs w:val="21"/>
        </w:rPr>
        <w:t xml:space="preserve">.1 </w:t>
      </w:r>
      <w:r>
        <w:rPr>
          <w:rFonts w:hint="eastAsia" w:ascii="宋体" w:hAnsi="宋体"/>
          <w:szCs w:val="21"/>
        </w:rPr>
        <w:t>投标人应提交证明文件，证明其投标技术方案项下的货物和服务的合格性符合招标文件规定。该投标技术方案及其证明文件均作为投标文件组成部分。</w:t>
      </w:r>
    </w:p>
    <w:p w14:paraId="1DDAB2CC">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 xml:space="preserve">.2 </w:t>
      </w:r>
      <w:r>
        <w:rPr>
          <w:rFonts w:hint="eastAsia" w:ascii="宋体" w:hAnsi="宋体"/>
          <w:szCs w:val="21"/>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14:paraId="521978A3">
      <w:pPr>
        <w:ind w:firstLine="411" w:firstLineChars="196"/>
        <w:rPr>
          <w:rFonts w:ascii="宋体" w:hAnsi="宋体"/>
          <w:szCs w:val="21"/>
        </w:rPr>
      </w:pPr>
      <w:r>
        <w:rPr>
          <w:rFonts w:hint="eastAsia" w:ascii="宋体" w:hAnsi="宋体"/>
          <w:szCs w:val="21"/>
        </w:rPr>
        <w:t>18.2.1主要技术指标和性能的详细说明。</w:t>
      </w:r>
    </w:p>
    <w:p w14:paraId="1A9AE9BC">
      <w:pPr>
        <w:ind w:firstLine="411" w:firstLineChars="196"/>
        <w:rPr>
          <w:rFonts w:ascii="宋体" w:hAnsi="宋体"/>
          <w:szCs w:val="21"/>
        </w:rPr>
      </w:pPr>
      <w:r>
        <w:rPr>
          <w:rFonts w:hint="eastAsia" w:ascii="宋体" w:hAnsi="宋体"/>
          <w:szCs w:val="21"/>
        </w:rPr>
        <w:t>18.2.</w:t>
      </w:r>
      <w:r>
        <w:rPr>
          <w:rFonts w:ascii="宋体" w:hAnsi="宋体"/>
          <w:szCs w:val="21"/>
        </w:rPr>
        <w:t>2</w:t>
      </w:r>
      <w:r>
        <w:rPr>
          <w:rFonts w:hint="eastAsia" w:ascii="宋体" w:hAnsi="宋体"/>
          <w:szCs w:val="21"/>
        </w:rPr>
        <w:t>投标产品从采购人开始使用至招标文件中规定的周期内正常、连续地使用所必须的备件和专用工具清单，包括备件和专用工具的货源及现行价格。</w:t>
      </w:r>
    </w:p>
    <w:p w14:paraId="0E8567A3">
      <w:pPr>
        <w:ind w:firstLine="411" w:firstLineChars="196"/>
        <w:rPr>
          <w:rFonts w:ascii="宋体" w:hAnsi="宋体"/>
          <w:szCs w:val="21"/>
        </w:rPr>
      </w:pPr>
      <w:r>
        <w:rPr>
          <w:rFonts w:hint="eastAsia" w:ascii="宋体" w:hAnsi="宋体"/>
          <w:szCs w:val="21"/>
        </w:rPr>
        <w:t>18.2.</w:t>
      </w:r>
      <w:r>
        <w:rPr>
          <w:rFonts w:ascii="宋体" w:hAnsi="宋体"/>
          <w:szCs w:val="21"/>
        </w:rPr>
        <w:t>3</w:t>
      </w:r>
      <w:r>
        <w:rPr>
          <w:rFonts w:hint="eastAsia" w:ascii="宋体" w:hAnsi="宋体"/>
          <w:szCs w:val="21"/>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14:paraId="0E661488">
      <w:pPr>
        <w:ind w:firstLine="411" w:firstLineChars="196"/>
        <w:rPr>
          <w:rFonts w:ascii="宋体" w:hAnsi="宋体"/>
          <w:szCs w:val="21"/>
        </w:rPr>
      </w:pPr>
      <w:r>
        <w:rPr>
          <w:rFonts w:hint="eastAsia" w:ascii="宋体" w:hAnsi="宋体"/>
          <w:szCs w:val="21"/>
        </w:rPr>
        <w:t>18.2.4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Pr>
          <w:rFonts w:hint="eastAsia"/>
        </w:rPr>
        <w:t>清晰度要求能够使用电脑阅读、识别和判断</w:t>
      </w:r>
      <w:r>
        <w:rPr>
          <w:rFonts w:hint="eastAsia" w:ascii="宋体" w:hAnsi="宋体"/>
          <w:szCs w:val="21"/>
        </w:rPr>
        <w:t>；</w:t>
      </w:r>
    </w:p>
    <w:p w14:paraId="35950A64">
      <w:pPr>
        <w:ind w:firstLine="411" w:firstLineChars="196"/>
        <w:rPr>
          <w:rFonts w:ascii="宋体" w:hAnsi="宋体"/>
          <w:szCs w:val="21"/>
        </w:rPr>
      </w:pPr>
      <w:r>
        <w:rPr>
          <w:rFonts w:hint="eastAsia" w:ascii="宋体" w:hAnsi="宋体"/>
          <w:szCs w:val="21"/>
        </w:rPr>
        <w:t>18.2.5我国政府机构出具的产品检验和核准证件应为证件正面、背面和附件标注的全部具体内容；产品检验和核准证件的尺寸和清晰度应该能够在电脑上被阅读、识别和判断，提供原件扫描件。</w:t>
      </w:r>
    </w:p>
    <w:p w14:paraId="50DFD594">
      <w:pPr>
        <w:ind w:firstLine="411" w:firstLineChars="196"/>
        <w:rPr>
          <w:rFonts w:ascii="宋体" w:hAnsi="宋体"/>
          <w:szCs w:val="21"/>
        </w:rPr>
      </w:pPr>
      <w:r>
        <w:rPr>
          <w:rFonts w:hint="eastAsia" w:ascii="宋体" w:hAnsi="宋体"/>
          <w:szCs w:val="21"/>
        </w:rPr>
        <w:t>18.3相关资料不符合18.2款要求的，评审委员会有权认定为投标技术方案不合格响应，其相关分数予以扣减或作投标无效处理。</w:t>
      </w:r>
    </w:p>
    <w:p w14:paraId="422564A8">
      <w:pPr>
        <w:ind w:firstLine="411" w:firstLineChars="196"/>
        <w:rPr>
          <w:rFonts w:ascii="宋体" w:hAnsi="宋体"/>
          <w:szCs w:val="21"/>
        </w:rPr>
      </w:pPr>
      <w:r>
        <w:rPr>
          <w:rFonts w:ascii="宋体" w:hAnsi="宋体"/>
          <w:szCs w:val="21"/>
        </w:rPr>
        <w:t>1</w:t>
      </w:r>
      <w:r>
        <w:rPr>
          <w:rFonts w:hint="eastAsia" w:ascii="宋体" w:hAnsi="宋体"/>
          <w:szCs w:val="21"/>
        </w:rPr>
        <w:t>8</w:t>
      </w:r>
      <w:r>
        <w:rPr>
          <w:rFonts w:ascii="宋体" w:hAnsi="宋体"/>
          <w:szCs w:val="21"/>
        </w:rPr>
        <w:t>.</w:t>
      </w:r>
      <w:r>
        <w:rPr>
          <w:rFonts w:hint="eastAsia" w:ascii="宋体" w:hAnsi="宋体"/>
          <w:szCs w:val="21"/>
        </w:rPr>
        <w:t>4投标人在阐述上述第18.2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Pr>
          <w:rFonts w:hint="eastAsia"/>
        </w:rPr>
        <w:t>满足要求</w:t>
      </w:r>
      <w:r>
        <w:rPr>
          <w:rFonts w:hint="eastAsia" w:ascii="宋体" w:hAnsi="宋体"/>
          <w:szCs w:val="21"/>
        </w:rPr>
        <w:t>，由评审委员会来评判。</w:t>
      </w:r>
    </w:p>
    <w:p w14:paraId="66FFA1D3">
      <w:pPr>
        <w:ind w:firstLine="411" w:firstLineChars="196"/>
        <w:rPr>
          <w:rFonts w:ascii="宋体" w:hAnsi="宋体"/>
          <w:szCs w:val="21"/>
        </w:rPr>
      </w:pPr>
      <w:r>
        <w:rPr>
          <w:rFonts w:hint="eastAsia" w:ascii="宋体" w:hAnsi="宋体"/>
          <w:szCs w:val="21"/>
        </w:rPr>
        <w:t>18.5除非另有规定或说明，投标人对同一项目投标时，不得同时提供两套或两套以上的投标方案。</w:t>
      </w:r>
    </w:p>
    <w:bookmarkEnd w:id="55"/>
    <w:p w14:paraId="20CBB3C1">
      <w:pPr>
        <w:rPr>
          <w:rFonts w:ascii="黑体" w:hAnsi="宋体" w:eastAsia="黑体"/>
          <w:sz w:val="24"/>
        </w:rPr>
      </w:pPr>
      <w:r>
        <w:rPr>
          <w:rFonts w:hint="eastAsia" w:ascii="黑体" w:hAnsi="宋体" w:eastAsia="黑体"/>
          <w:sz w:val="24"/>
        </w:rPr>
        <w:t>19．</w:t>
      </w:r>
      <w:bookmarkStart w:id="56" w:name="_Hlk72402034"/>
      <w:r>
        <w:rPr>
          <w:rFonts w:hint="eastAsia" w:ascii="黑体" w:hAnsi="宋体" w:eastAsia="黑体"/>
          <w:sz w:val="24"/>
        </w:rPr>
        <w:t>投标文件其他证明文件的要求</w:t>
      </w:r>
    </w:p>
    <w:p w14:paraId="6EB3E99F">
      <w:pPr>
        <w:rPr>
          <w:rFonts w:ascii="宋体" w:hAnsi="宋体"/>
          <w:color w:val="FF0000"/>
          <w:szCs w:val="21"/>
        </w:rPr>
      </w:pPr>
      <w:r>
        <w:rPr>
          <w:rFonts w:hint="eastAsia" w:ascii="黑体" w:hAnsi="宋体" w:eastAsia="黑体"/>
          <w:sz w:val="24"/>
        </w:rPr>
        <w:t xml:space="preserve">    </w:t>
      </w:r>
      <w:r>
        <w:rPr>
          <w:rFonts w:hint="eastAsia" w:ascii="宋体" w:hAnsi="宋体"/>
          <w:szCs w:val="21"/>
        </w:rPr>
        <w:t>19.1采用综合评分法的项目，对项目招标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w:t>
      </w:r>
      <w:bookmarkStart w:id="57" w:name="_Hlk71407299"/>
      <w:r>
        <w:rPr>
          <w:rFonts w:hint="eastAsia" w:ascii="宋体" w:hAnsi="宋体"/>
          <w:szCs w:val="21"/>
        </w:rPr>
        <w:t>若投标人未按要求提供证明材料或提供的是部分证明材料或提供不清晰的扫描件（或照片）的，采购人</w:t>
      </w:r>
      <w:r>
        <w:rPr>
          <w:rFonts w:hint="eastAsia" w:ascii="宋体" w:hAnsi="宋体"/>
          <w:szCs w:val="21"/>
          <w:lang w:eastAsia="zh-CN"/>
        </w:rPr>
        <w:t>、</w:t>
      </w:r>
      <w:r>
        <w:rPr>
          <w:rFonts w:hint="eastAsia" w:ascii="宋体" w:hAnsi="宋体"/>
          <w:szCs w:val="21"/>
        </w:rPr>
        <w:t>代理机构</w:t>
      </w:r>
      <w:r>
        <w:rPr>
          <w:rFonts w:hint="eastAsia" w:ascii="宋体" w:hAnsi="宋体"/>
          <w:szCs w:val="21"/>
          <w:lang w:val="en-US" w:eastAsia="zh-CN"/>
        </w:rPr>
        <w:t>及</w:t>
      </w:r>
      <w:r>
        <w:rPr>
          <w:rFonts w:hint="eastAsia" w:ascii="宋体" w:hAnsi="宋体"/>
          <w:szCs w:val="21"/>
        </w:rPr>
        <w:t>评审委员会依据各自审查范围，有权认定其投标文件未对招标文件有关需求进行响应，涉及资格性审查或符合性审查的予以投标无效处理，涉及《评标信息》打分项的则该项评分予以0分处理。对供应商投标资料是否异常、是否有效问题进行核查和判定，如认为供应商投标资料有异常或无效的，若涉及资格性审查或符合性审查条款的，则应作投标无效处理；若涉及评分的，则作不得分处理。</w:t>
      </w:r>
    </w:p>
    <w:bookmarkEnd w:id="57"/>
    <w:p w14:paraId="457D6BD5">
      <w:pPr>
        <w:ind w:firstLine="411" w:firstLineChars="196"/>
        <w:rPr>
          <w:rFonts w:ascii="宋体" w:hAnsi="宋体"/>
          <w:szCs w:val="21"/>
        </w:rPr>
      </w:pPr>
      <w:r>
        <w:rPr>
          <w:rFonts w:hint="eastAsia" w:ascii="宋体" w:hAnsi="宋体"/>
          <w:szCs w:val="21"/>
        </w:rPr>
        <w:t>19.2本项目涉及提供的有关资质（资格）证书，若原有资质（资格）证书处于年审期间，须提供证书颁发部门提供的回执，并且回执须证明该证书依然有效（若在法规范围不需提供的，供应商应做书面说明并提供证明文件，否则该证书无效），则该投标人提供年审证明的可按原资质（资格）投标；若投标人正在申报上一级别资质（资格），在未获批准之前，仍按原级别资质（资格）投标。</w:t>
      </w:r>
    </w:p>
    <w:p w14:paraId="058DA26E">
      <w:pPr>
        <w:rPr>
          <w:rFonts w:ascii="黑体" w:hAnsi="宋体" w:eastAsia="黑体"/>
          <w:sz w:val="24"/>
        </w:rPr>
      </w:pPr>
      <w:r>
        <w:rPr>
          <w:rFonts w:hint="eastAsia" w:ascii="黑体" w:hAnsi="宋体" w:eastAsia="黑体"/>
          <w:sz w:val="24"/>
        </w:rPr>
        <w:t>20．投标有效期</w:t>
      </w:r>
    </w:p>
    <w:bookmarkEnd w:id="56"/>
    <w:p w14:paraId="133C6C4C">
      <w:pPr>
        <w:ind w:firstLine="411" w:firstLineChars="196"/>
        <w:rPr>
          <w:rFonts w:ascii="宋体" w:hAnsi="宋体"/>
          <w:szCs w:val="21"/>
        </w:rPr>
      </w:pPr>
      <w:bookmarkStart w:id="58" w:name="_Hlk72402214"/>
      <w:r>
        <w:rPr>
          <w:rFonts w:hint="eastAsia" w:ascii="宋体" w:hAnsi="宋体"/>
          <w:szCs w:val="21"/>
        </w:rPr>
        <w:t>20.1 投标有效期为</w:t>
      </w:r>
      <w:r>
        <w:rPr>
          <w:rFonts w:hint="eastAsia" w:ascii="Arial" w:hAnsi="Arial" w:cs="Arial"/>
          <w:szCs w:val="21"/>
        </w:rPr>
        <w:t>从投标截止之日算起的日历天数。</w:t>
      </w:r>
      <w:r>
        <w:rPr>
          <w:rFonts w:hint="eastAsia" w:ascii="宋体" w:hAnsi="宋体"/>
          <w:szCs w:val="21"/>
        </w:rPr>
        <w:t>在此期限内，所有投标文件均保持有效。</w:t>
      </w:r>
    </w:p>
    <w:p w14:paraId="1B663321">
      <w:pPr>
        <w:ind w:firstLine="411" w:firstLineChars="196"/>
        <w:rPr>
          <w:rFonts w:ascii="宋体" w:hAnsi="宋体"/>
          <w:szCs w:val="21"/>
        </w:rPr>
      </w:pPr>
      <w:r>
        <w:rPr>
          <w:rFonts w:hint="eastAsia" w:ascii="宋体" w:hAnsi="宋体"/>
          <w:szCs w:val="21"/>
        </w:rPr>
        <w:t>20.2 在特殊情况下，政府集中采购机构在原定的投标有效期满之前，政府集中采购机构可以根据需要以书面形式（包括政府集中采购机构网站公开发布方式）向投标人提出延长投标有效期的要求，对此要求投标人须以书面形式予以答复，投标人可以拒绝政府集中采购机构此项要求，其投标在原投标有效期满后不再有效。同意延长投标有效期的投标人不能要求也不允许修改其投标文件。</w:t>
      </w:r>
    </w:p>
    <w:p w14:paraId="5E817505">
      <w:pPr>
        <w:ind w:firstLine="411" w:firstLineChars="196"/>
        <w:rPr>
          <w:rFonts w:ascii="宋体" w:hAnsi="宋体"/>
          <w:szCs w:val="21"/>
        </w:rPr>
      </w:pPr>
      <w:r>
        <w:rPr>
          <w:rFonts w:hint="eastAsia" w:ascii="宋体" w:hAnsi="宋体"/>
          <w:szCs w:val="21"/>
        </w:rPr>
        <w:t>20</w:t>
      </w:r>
      <w:r>
        <w:rPr>
          <w:rFonts w:ascii="宋体" w:hAnsi="宋体"/>
          <w:szCs w:val="21"/>
        </w:rPr>
        <w:t>.3</w:t>
      </w:r>
      <w:r>
        <w:rPr>
          <w:rFonts w:hint="eastAsia" w:ascii="宋体" w:hAnsi="宋体"/>
          <w:szCs w:val="21"/>
        </w:rPr>
        <w:t xml:space="preserve"> 中标供应商的投标文件有效期，截止于完成本招标文件规定的全部项目内容，并通过竣工验收及保修期结束。</w:t>
      </w:r>
    </w:p>
    <w:bookmarkEnd w:id="58"/>
    <w:p w14:paraId="3F589CC2">
      <w:pPr>
        <w:rPr>
          <w:rFonts w:ascii="黑体" w:hAnsi="宋体" w:eastAsia="黑体"/>
          <w:sz w:val="24"/>
        </w:rPr>
      </w:pPr>
      <w:r>
        <w:rPr>
          <w:rFonts w:hint="eastAsia" w:ascii="黑体" w:hAnsi="宋体" w:eastAsia="黑体"/>
          <w:sz w:val="24"/>
        </w:rPr>
        <w:t>21．</w:t>
      </w:r>
      <w:bookmarkStart w:id="59" w:name="_Hlk72402325"/>
      <w:r>
        <w:rPr>
          <w:rFonts w:hint="eastAsia" w:ascii="黑体" w:hAnsi="宋体" w:eastAsia="黑体"/>
          <w:sz w:val="24"/>
        </w:rPr>
        <w:t xml:space="preserve">关于投标保证金 </w:t>
      </w:r>
    </w:p>
    <w:p w14:paraId="255BC18A">
      <w:pPr>
        <w:rPr>
          <w:rFonts w:ascii="宋体" w:hAnsi="宋体"/>
          <w:szCs w:val="21"/>
        </w:rPr>
      </w:pPr>
      <w:r>
        <w:rPr>
          <w:rFonts w:hint="eastAsia" w:ascii="宋体" w:hAnsi="宋体"/>
          <w:szCs w:val="21"/>
        </w:rPr>
        <w:t xml:space="preserve">    21.1</w:t>
      </w:r>
      <w:r>
        <w:rPr>
          <w:rFonts w:hint="eastAsia"/>
        </w:rPr>
        <w:t>根据《深圳市财政局关于调整政府采购投标（响应）保证金管理政策的通知》（深财购〔2021〕51号）文的规定，本项目不收取投标保证金。</w:t>
      </w:r>
    </w:p>
    <w:p w14:paraId="1422C29B">
      <w:pPr>
        <w:rPr>
          <w:rFonts w:ascii="黑体" w:hAnsi="宋体" w:eastAsia="黑体"/>
          <w:sz w:val="24"/>
        </w:rPr>
      </w:pPr>
      <w:r>
        <w:rPr>
          <w:rFonts w:hint="eastAsia" w:ascii="黑体" w:hAnsi="宋体" w:eastAsia="黑体"/>
          <w:sz w:val="24"/>
        </w:rPr>
        <w:t>22．投标人的替代方案</w:t>
      </w:r>
    </w:p>
    <w:p w14:paraId="2D4076B5">
      <w:pPr>
        <w:ind w:firstLine="411" w:firstLineChars="196"/>
        <w:rPr>
          <w:rFonts w:ascii="宋体" w:hAnsi="宋体"/>
          <w:szCs w:val="21"/>
        </w:rPr>
      </w:pPr>
      <w:r>
        <w:rPr>
          <w:rFonts w:hint="eastAsia" w:ascii="宋体" w:hAnsi="宋体"/>
          <w:szCs w:val="21"/>
        </w:rPr>
        <w:t>22.1投标人所提交的投标文件应完全满足招标文件（包括图纸和技术规范所示的基本技术设计）的要求。除非项目明确允许投标人提交替代方案，否则投标人有关替代方案的条款将初审不通过，作投标无效处理。</w:t>
      </w:r>
    </w:p>
    <w:p w14:paraId="64E1C08A">
      <w:pPr>
        <w:ind w:firstLine="411" w:firstLineChars="196"/>
        <w:rPr>
          <w:rFonts w:ascii="宋体" w:hAnsi="宋体"/>
          <w:szCs w:val="21"/>
        </w:rPr>
      </w:pPr>
      <w:r>
        <w:rPr>
          <w:rFonts w:hint="eastAsia" w:ascii="宋体" w:hAnsi="宋体"/>
          <w:szCs w:val="21"/>
        </w:rPr>
        <w:t>22.2 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59"/>
    <w:p w14:paraId="42029CB4">
      <w:pPr>
        <w:rPr>
          <w:rFonts w:ascii="黑体" w:hAnsi="宋体" w:eastAsia="黑体"/>
          <w:sz w:val="24"/>
        </w:rPr>
      </w:pPr>
      <w:r>
        <w:rPr>
          <w:rFonts w:hint="eastAsia" w:ascii="黑体" w:hAnsi="宋体" w:eastAsia="黑体"/>
          <w:sz w:val="24"/>
        </w:rPr>
        <w:t>23．</w:t>
      </w:r>
      <w:bookmarkStart w:id="60" w:name="_Hlk72402860"/>
      <w:r>
        <w:rPr>
          <w:rFonts w:ascii="黑体" w:hAnsi="宋体" w:eastAsia="黑体"/>
          <w:sz w:val="24"/>
        </w:rPr>
        <w:t>投标文件的</w:t>
      </w:r>
      <w:r>
        <w:rPr>
          <w:rFonts w:hint="eastAsia" w:ascii="黑体" w:hAnsi="宋体" w:eastAsia="黑体"/>
          <w:sz w:val="24"/>
        </w:rPr>
        <w:t>制作</w:t>
      </w:r>
      <w:r>
        <w:rPr>
          <w:rFonts w:ascii="黑体" w:hAnsi="宋体" w:eastAsia="黑体"/>
          <w:sz w:val="24"/>
        </w:rPr>
        <w:t>要求</w:t>
      </w:r>
    </w:p>
    <w:p w14:paraId="0F264D63">
      <w:pPr>
        <w:ind w:firstLine="411" w:firstLineChars="196"/>
        <w:rPr>
          <w:rFonts w:ascii="宋体" w:hAnsi="宋体" w:eastAsia="宋体" w:cs="Times New Roman"/>
        </w:rPr>
      </w:pPr>
      <w:r>
        <w:rPr>
          <w:rFonts w:hint="eastAsia" w:ascii="宋体" w:hAnsi="宋体" w:eastAsia="宋体" w:cs="Times New Roman"/>
        </w:rPr>
        <w:t>23.1投标人应准备所投项目的电子投标文件一份。此电子投标文件须由投标人根据政府集中采购机构提供的后缀名为.TYZB的电子招标文件，下载并使用相应的</w:t>
      </w:r>
      <w:r>
        <w:rPr>
          <w:rFonts w:hint="eastAsia" w:ascii="宋体" w:hAnsi="宋体"/>
          <w:szCs w:val="21"/>
        </w:rPr>
        <w:t>深圳市自行采购系统</w:t>
      </w:r>
      <w:r>
        <w:rPr>
          <w:rFonts w:hint="eastAsia" w:ascii="宋体" w:hAnsi="宋体" w:eastAsia="宋体" w:cs="Times New Roman"/>
        </w:rPr>
        <w:t>投标文件制作专用软件打开招标文件（.TYZB格式）【下载地址：https://www.szggzy.com/jyfw/list.html?id=jyfwzfcg】。</w:t>
      </w:r>
    </w:p>
    <w:p w14:paraId="33E8E426">
      <w:pPr>
        <w:ind w:firstLine="411" w:firstLineChars="196"/>
        <w:rPr>
          <w:rFonts w:ascii="宋体" w:hAnsi="宋体"/>
        </w:rPr>
      </w:pPr>
      <w:r>
        <w:rPr>
          <w:rFonts w:hint="eastAsia" w:ascii="宋体" w:hAnsi="宋体"/>
        </w:rPr>
        <w:t>23.2投标人在使用《投标书编制软件》编制投标书时须注意：</w:t>
      </w:r>
    </w:p>
    <w:p w14:paraId="0580A6A0">
      <w:pPr>
        <w:ind w:firstLine="411" w:firstLineChars="196"/>
        <w:rPr>
          <w:rFonts w:ascii="宋体" w:hAnsi="宋体"/>
        </w:rPr>
      </w:pPr>
      <w:r>
        <w:rPr>
          <w:rFonts w:hint="eastAsia" w:ascii="宋体" w:hAnsi="宋体"/>
        </w:rPr>
        <w:t>23.2.1导入《投标书编制软件》的招标文件项目编号、包号应与以此制作的投标文件项目编号、包号一致。例如，不能将甲项目A包的招标书导入《投标书编制软件》，制作乙项目B包的投标书。</w:t>
      </w:r>
    </w:p>
    <w:p w14:paraId="64C09546">
      <w:pPr>
        <w:ind w:firstLine="411" w:firstLineChars="196"/>
        <w:rPr>
          <w:rFonts w:ascii="宋体" w:hAnsi="宋体"/>
        </w:rPr>
      </w:pPr>
      <w:r>
        <w:rPr>
          <w:rFonts w:hint="eastAsia" w:ascii="宋体" w:hAnsi="宋体"/>
        </w:rPr>
        <w:t>23.2.2不能用非本公司的电子密钥加密本公司的投标文件，或者用其它公司的登录用户上传本公司的投标文件。</w:t>
      </w:r>
    </w:p>
    <w:p w14:paraId="7F5FCEA1">
      <w:pPr>
        <w:ind w:firstLine="411" w:firstLineChars="196"/>
        <w:rPr>
          <w:rFonts w:ascii="宋体" w:hAnsi="宋体"/>
        </w:rPr>
      </w:pPr>
      <w:r>
        <w:rPr>
          <w:rFonts w:hint="eastAsia" w:ascii="宋体" w:hAnsi="宋体"/>
        </w:rPr>
        <w:t>23.2.3要求用《投标书编制软件》编制投标书的包，不能用其它方式编制投标书。编制投标文件时，电脑须连通互联网。</w:t>
      </w:r>
    </w:p>
    <w:p w14:paraId="7F3FC625">
      <w:pPr>
        <w:ind w:firstLine="411" w:firstLineChars="196"/>
        <w:rPr>
          <w:rFonts w:ascii="宋体" w:hAnsi="宋体"/>
        </w:rPr>
      </w:pPr>
      <w:r>
        <w:rPr>
          <w:rFonts w:hint="eastAsia" w:ascii="宋体" w:hAnsi="宋体"/>
        </w:rPr>
        <w:t>23.2.4投标文件不能带病毒。政府集中采购机构将用专业杀毒软件对投标文件进行病毒检测，如果这两种软件均报告发现病毒，则政府集中采购机构认为该投标文件带病毒。</w:t>
      </w:r>
    </w:p>
    <w:p w14:paraId="5A695366">
      <w:pPr>
        <w:ind w:firstLine="411" w:firstLineChars="196"/>
        <w:rPr>
          <w:rFonts w:ascii="宋体" w:hAnsi="宋体"/>
          <w:b/>
        </w:rPr>
      </w:pPr>
      <w:r>
        <w:rPr>
          <w:rFonts w:hint="eastAsia" w:ascii="宋体" w:hAnsi="宋体"/>
        </w:rPr>
        <w:t>23.2.5</w:t>
      </w:r>
      <w:r>
        <w:rPr>
          <w:rFonts w:hint="eastAsia" w:ascii="宋体" w:hAnsi="宋体"/>
          <w:b/>
        </w:rPr>
        <w:t>“开标一览表”中的“投标报价”将作为价格分计算依据；其它信息仅是对投标文件相关内容的概括性表述，不作为评审依据。</w:t>
      </w:r>
    </w:p>
    <w:p w14:paraId="5BC0FCF7">
      <w:pPr>
        <w:ind w:firstLine="411" w:firstLineChars="196"/>
        <w:rPr>
          <w:rFonts w:ascii="宋体" w:hAnsi="宋体"/>
        </w:rPr>
      </w:pPr>
      <w:r>
        <w:rPr>
          <w:rFonts w:hint="eastAsia" w:ascii="宋体" w:hAnsi="宋体"/>
        </w:rPr>
        <w:t>23.2.6投标人在编辑投标文件时，</w:t>
      </w:r>
      <w:r>
        <w:rPr>
          <w:rFonts w:hint="eastAsia" w:ascii="宋体" w:hAnsi="宋体"/>
          <w:b/>
        </w:rPr>
        <w:t>在投标文件目录中属于本节点内容的必须在本节点中填写，填写到其他节点或附件，</w:t>
      </w:r>
      <w:r>
        <w:rPr>
          <w:rFonts w:hint="eastAsia" w:ascii="宋体" w:hAnsi="宋体"/>
        </w:rPr>
        <w:t>一切后果由供应商自行承担。</w:t>
      </w:r>
    </w:p>
    <w:p w14:paraId="1FDD8B21">
      <w:pPr>
        <w:ind w:firstLine="411" w:firstLineChars="196"/>
        <w:rPr>
          <w:rFonts w:ascii="宋体" w:hAnsi="宋体"/>
        </w:rPr>
      </w:pPr>
      <w:r>
        <w:rPr>
          <w:rFonts w:hint="eastAsia" w:ascii="宋体" w:hAnsi="宋体"/>
        </w:rPr>
        <w:t>23.2.7投标文件编写完成后，</w:t>
      </w:r>
      <w:r>
        <w:rPr>
          <w:rFonts w:hint="eastAsia" w:ascii="宋体" w:hAnsi="宋体"/>
          <w:b/>
          <w:lang w:val="en-US" w:eastAsia="zh-CN"/>
        </w:rPr>
        <w:t>可选择</w:t>
      </w:r>
      <w:r>
        <w:rPr>
          <w:rFonts w:hint="eastAsia" w:ascii="宋体" w:hAnsi="宋体"/>
          <w:b/>
        </w:rPr>
        <w:t>用属于投标人的电子密钥</w:t>
      </w:r>
      <w:r>
        <w:rPr>
          <w:rFonts w:hint="eastAsia" w:ascii="宋体" w:hAnsi="宋体"/>
          <w:b/>
          <w:lang w:val="en-US" w:eastAsia="zh-CN"/>
        </w:rPr>
        <w:t>或电子营业执照</w:t>
      </w:r>
      <w:r>
        <w:rPr>
          <w:rFonts w:hint="eastAsia" w:ascii="宋体" w:hAnsi="宋体"/>
          <w:b/>
        </w:rPr>
        <w:t>进行加密。</w:t>
      </w:r>
    </w:p>
    <w:p w14:paraId="41BD22C5">
      <w:pPr>
        <w:ind w:firstLine="411" w:firstLineChars="196"/>
        <w:rPr>
          <w:rFonts w:ascii="宋体" w:hAnsi="宋体"/>
        </w:rPr>
      </w:pPr>
      <w:r>
        <w:rPr>
          <w:rFonts w:hint="eastAsia" w:ascii="宋体" w:hAnsi="宋体"/>
        </w:rPr>
        <w:t>23.2.8政府集中采购机构不接受投标截止时间后递交的纸质、电子、传真等所有形式的投标文件。由于对网上政府采购系统操作不熟悉或自身电脑、网络等原因导致不能在投标截止时间之前上传投标文件，政府集中采购机构概不负责。建议于开标前一个工作日完成投标文件的制作与上传，如上传确有困难，请及时咨询。</w:t>
      </w:r>
    </w:p>
    <w:p w14:paraId="617FF172">
      <w:pPr>
        <w:ind w:firstLine="411" w:firstLineChars="196"/>
        <w:rPr>
          <w:rFonts w:ascii="宋体" w:hAnsi="宋体"/>
        </w:rPr>
      </w:pPr>
      <w:r>
        <w:rPr>
          <w:rFonts w:hint="eastAsia" w:ascii="宋体" w:hAnsi="宋体"/>
        </w:rPr>
        <w:t>23.2.9如果开标时出现网络故障、技术故障，影响了政府采购活动，政府集中采购机构有权采取措施如延期、接受无法从网上上传的投标书等，以保障政府采购活动的公开、公平和公正。</w:t>
      </w:r>
    </w:p>
    <w:p w14:paraId="5E35F83D">
      <w:pPr>
        <w:ind w:firstLine="411" w:firstLineChars="196"/>
        <w:rPr>
          <w:rFonts w:ascii="宋体" w:hAnsi="宋体"/>
        </w:rPr>
      </w:pPr>
      <w:r>
        <w:rPr>
          <w:rFonts w:hint="eastAsia" w:ascii="宋体" w:hAnsi="宋体"/>
        </w:rPr>
        <w:t>23.3电报、电话、传真形式的投标概不接受。</w:t>
      </w:r>
    </w:p>
    <w:p w14:paraId="6E54E31B">
      <w:pPr>
        <w:ind w:firstLine="413" w:firstLineChars="196"/>
        <w:rPr>
          <w:rFonts w:ascii="宋体" w:hAnsi="宋体"/>
          <w:b/>
        </w:rPr>
      </w:pPr>
      <w:r>
        <w:rPr>
          <w:rFonts w:hint="eastAsia" w:ascii="宋体" w:hAnsi="宋体"/>
          <w:b/>
        </w:rPr>
        <w:t>23.4经投标人电子密钥</w:t>
      </w:r>
      <w:r>
        <w:rPr>
          <w:rFonts w:hint="eastAsia" w:ascii="宋体" w:hAnsi="宋体"/>
          <w:b/>
          <w:lang w:val="en-US" w:eastAsia="zh-CN"/>
        </w:rPr>
        <w:t>或电子营业执照</w:t>
      </w:r>
      <w:r>
        <w:rPr>
          <w:rFonts w:hint="eastAsia" w:ascii="宋体" w:hAnsi="宋体"/>
          <w:b/>
        </w:rPr>
        <w:t>加密的投标文件无须盖章或签字，</w:t>
      </w:r>
      <w:r>
        <w:rPr>
          <w:rFonts w:hint="eastAsia" w:ascii="宋体" w:hAnsi="宋体"/>
        </w:rPr>
        <w:t>专用条款另有要求的除外。</w:t>
      </w:r>
    </w:p>
    <w:p w14:paraId="0329C275">
      <w:pPr>
        <w:ind w:firstLine="413" w:firstLineChars="196"/>
        <w:rPr>
          <w:rFonts w:ascii="宋体" w:hAnsi="宋体"/>
        </w:rPr>
      </w:pPr>
      <w:r>
        <w:rPr>
          <w:rFonts w:hint="eastAsia" w:ascii="宋体" w:hAnsi="宋体"/>
          <w:b/>
        </w:rPr>
        <w:t>23.5</w:t>
      </w:r>
      <w:r>
        <w:rPr>
          <w:rFonts w:hint="eastAsia" w:ascii="宋体" w:hAnsi="宋体"/>
        </w:rPr>
        <w:t xml:space="preserve"> 各类资格（资质）文件提供扫描件，专用条款另有要求的除外。</w:t>
      </w:r>
      <w:bookmarkEnd w:id="60"/>
    </w:p>
    <w:p w14:paraId="6B399533">
      <w:pPr>
        <w:ind w:firstLine="411" w:firstLineChars="196"/>
        <w:rPr>
          <w:rFonts w:ascii="宋体" w:hAnsi="宋体"/>
          <w:szCs w:val="21"/>
        </w:rPr>
      </w:pPr>
    </w:p>
    <w:p w14:paraId="7520A2EE">
      <w:pPr>
        <w:pStyle w:val="7"/>
        <w:numPr>
          <w:ilvl w:val="0"/>
          <w:numId w:val="11"/>
        </w:numPr>
        <w:spacing w:before="120" w:beforeLines="50" w:after="120" w:afterLines="50"/>
        <w:ind w:left="562" w:hanging="562"/>
        <w:rPr>
          <w:sz w:val="28"/>
          <w:szCs w:val="28"/>
        </w:rPr>
      </w:pPr>
      <w:r>
        <w:rPr>
          <w:rFonts w:hint="eastAsia"/>
          <w:sz w:val="28"/>
          <w:szCs w:val="28"/>
        </w:rPr>
        <w:t>投标文件的递交</w:t>
      </w:r>
    </w:p>
    <w:p w14:paraId="6D7F0CA4">
      <w:pPr>
        <w:rPr>
          <w:rFonts w:ascii="黑体" w:hAnsi="宋体" w:eastAsia="黑体"/>
          <w:sz w:val="24"/>
        </w:rPr>
      </w:pPr>
      <w:bookmarkStart w:id="61" w:name="_Hlk72405459"/>
      <w:r>
        <w:rPr>
          <w:rFonts w:hint="eastAsia" w:ascii="黑体" w:hAnsi="宋体" w:eastAsia="黑体"/>
          <w:sz w:val="24"/>
        </w:rPr>
        <w:t>24．投标文件的保密</w:t>
      </w:r>
    </w:p>
    <w:p w14:paraId="73B1A160">
      <w:pPr>
        <w:widowControl/>
        <w:spacing w:line="240" w:lineRule="auto"/>
        <w:ind w:firstLine="411" w:firstLineChars="196"/>
        <w:jc w:val="left"/>
        <w:rPr>
          <w:rFonts w:hint="eastAsia" w:ascii="Times New Roman" w:hAnsi="Times New Roman" w:eastAsia="宋体" w:cs="Times New Roman"/>
          <w:color w:val="FF0000"/>
          <w:lang w:eastAsia="zh-CN"/>
        </w:rPr>
      </w:pPr>
      <w:r>
        <w:rPr>
          <w:rFonts w:hint="eastAsia" w:ascii="宋体" w:hAnsi="宋体"/>
        </w:rPr>
        <w:t>24.1</w:t>
      </w:r>
      <w:r>
        <w:rPr>
          <w:rFonts w:hint="eastAsia" w:ascii="Times New Roman" w:hAnsi="Times New Roman" w:eastAsia="宋体" w:cs="Times New Roman"/>
          <w:color w:val="FF0000"/>
          <w:lang w:val="en-US" w:eastAsia="zh-CN"/>
        </w:rPr>
        <w:t>投标文件</w:t>
      </w:r>
      <w:r>
        <w:rPr>
          <w:rFonts w:hint="eastAsia" w:ascii="Times New Roman" w:hAnsi="Times New Roman" w:eastAsia="宋体" w:cs="Times New Roman"/>
          <w:color w:val="FF0000"/>
        </w:rPr>
        <w:t>生成后会选择是否加密投标文件，如不加密则直接点击生成文件即可，如需加密请插入CA锁，点击加密后生成文件，需输入CA锁密码即可加密成功</w:t>
      </w:r>
      <w:r>
        <w:rPr>
          <w:rFonts w:hint="eastAsia" w:ascii="Times New Roman" w:hAnsi="Times New Roman" w:eastAsia="宋体" w:cs="Times New Roman"/>
          <w:color w:val="FF0000"/>
          <w:lang w:eastAsia="zh-CN"/>
        </w:rPr>
        <w:t>。</w:t>
      </w:r>
    </w:p>
    <w:p w14:paraId="3FFE32ED">
      <w:pPr>
        <w:spacing w:line="360" w:lineRule="auto"/>
        <w:rPr>
          <w:rFonts w:ascii="Times New Roman" w:hAnsi="Times New Roman" w:eastAsia="宋体" w:cs="Times New Roman"/>
        </w:rPr>
      </w:pPr>
      <w:r>
        <w:rPr>
          <w:rFonts w:hint="eastAsia" w:ascii="Times New Roman" w:hAnsi="Times New Roman" w:eastAsia="宋体" w:cs="Times New Roman"/>
        </w:rPr>
        <w:drawing>
          <wp:inline distT="0" distB="0" distL="114300" distR="114300">
            <wp:extent cx="5266690" cy="2126615"/>
            <wp:effectExtent l="0" t="0" r="10160" b="6985"/>
            <wp:docPr id="14" name="图片 14" descr="企业微信截图_1699261725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企业微信截图_16992617251837"/>
                    <pic:cNvPicPr>
                      <a:picLocks noChangeAspect="1"/>
                    </pic:cNvPicPr>
                  </pic:nvPicPr>
                  <pic:blipFill>
                    <a:blip r:embed="rId8"/>
                    <a:stretch>
                      <a:fillRect/>
                    </a:stretch>
                  </pic:blipFill>
                  <pic:spPr>
                    <a:xfrm>
                      <a:off x="0" y="0"/>
                      <a:ext cx="5266690" cy="2126615"/>
                    </a:xfrm>
                    <a:prstGeom prst="rect">
                      <a:avLst/>
                    </a:prstGeom>
                  </pic:spPr>
                </pic:pic>
              </a:graphicData>
            </a:graphic>
          </wp:inline>
        </w:drawing>
      </w:r>
    </w:p>
    <w:p w14:paraId="2FBC6B60">
      <w:pPr>
        <w:widowControl w:val="0"/>
        <w:jc w:val="left"/>
        <w:rPr>
          <w:rFonts w:ascii="Times New Roman" w:hAnsi="Times New Roman" w:eastAsia="宋体" w:cs="Times New Roman"/>
          <w:kern w:val="2"/>
          <w:sz w:val="21"/>
          <w:szCs w:val="24"/>
          <w:lang w:val="en-US" w:eastAsia="zh-CN" w:bidi="ar-SA"/>
        </w:rPr>
      </w:pPr>
      <w:r>
        <w:rPr>
          <w:rFonts w:hint="eastAsia" w:ascii="Times New Roman" w:hAnsi="Times New Roman" w:eastAsia="宋体" w:cs="Times New Roman"/>
          <w:kern w:val="2"/>
          <w:sz w:val="21"/>
          <w:szCs w:val="24"/>
          <w:lang w:val="en-US" w:eastAsia="zh-CN" w:bidi="ar-SA"/>
        </w:rPr>
        <w:t>加密后会提示文件生成成功！</w:t>
      </w:r>
    </w:p>
    <w:p w14:paraId="08FAB435">
      <w:pPr>
        <w:jc w:val="left"/>
        <w:rPr>
          <w:sz w:val="24"/>
        </w:rPr>
      </w:pPr>
      <w:r>
        <w:rPr>
          <w:rFonts w:hint="eastAsia" w:ascii="Times New Roman" w:hAnsi="Times New Roman" w:eastAsia="宋体" w:cs="Times New Roman"/>
          <w:color w:val="FF0000"/>
          <w:kern w:val="2"/>
          <w:sz w:val="21"/>
          <w:szCs w:val="24"/>
          <w:lang w:val="en-US" w:eastAsia="zh-CN" w:bidi="ar-SA"/>
        </w:rPr>
        <w:t>(注意：</w:t>
      </w:r>
      <w:r>
        <w:rPr>
          <w:rFonts w:hint="eastAsia" w:ascii="Times New Roman" w:hAnsi="Times New Roman" w:eastAsia="宋体" w:cs="Times New Roman"/>
          <w:kern w:val="2"/>
          <w:sz w:val="21"/>
          <w:szCs w:val="24"/>
          <w:lang w:val="en-US" w:eastAsia="zh-CN" w:bidi="ar-SA"/>
        </w:rPr>
        <w:t>加密的投标文件</w:t>
      </w:r>
      <w:r>
        <w:rPr>
          <w:rFonts w:hint="eastAsia" w:ascii="Times New Roman" w:hAnsi="Times New Roman" w:eastAsia="宋体" w:cs="Times New Roman"/>
          <w:color w:val="FF0000"/>
          <w:kern w:val="2"/>
          <w:sz w:val="21"/>
          <w:szCs w:val="24"/>
          <w:lang w:val="en-US" w:eastAsia="zh-CN" w:bidi="ar-SA"/>
        </w:rPr>
        <w:t>开标时须使用加密文件时使用的锁在项目规定时间内解密！</w:t>
      </w:r>
      <w:r>
        <w:rPr>
          <w:rFonts w:hint="eastAsia" w:ascii="Times New Roman" w:hAnsi="Times New Roman" w:eastAsia="宋体" w:cs="Times New Roman"/>
          <w:color w:val="FF0000"/>
        </w:rPr>
        <w:t>)</w:t>
      </w:r>
    </w:p>
    <w:p w14:paraId="30534DAB">
      <w:pPr>
        <w:ind w:firstLine="0" w:firstLineChars="0"/>
        <w:rPr>
          <w:rFonts w:ascii="宋体" w:hAnsi="宋体"/>
          <w:b w:val="0"/>
        </w:rPr>
      </w:pPr>
      <w:r>
        <w:drawing>
          <wp:inline distT="0" distB="0" distL="114300" distR="114300">
            <wp:extent cx="5266690" cy="2185035"/>
            <wp:effectExtent l="0" t="0" r="10160" b="5715"/>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9"/>
                    <a:stretch>
                      <a:fillRect/>
                    </a:stretch>
                  </pic:blipFill>
                  <pic:spPr>
                    <a:xfrm>
                      <a:off x="0" y="0"/>
                      <a:ext cx="5266690" cy="2185035"/>
                    </a:xfrm>
                    <a:prstGeom prst="rect">
                      <a:avLst/>
                    </a:prstGeom>
                    <a:noFill/>
                    <a:ln>
                      <a:noFill/>
                    </a:ln>
                  </pic:spPr>
                </pic:pic>
              </a:graphicData>
            </a:graphic>
          </wp:inline>
        </w:drawing>
      </w:r>
    </w:p>
    <w:p w14:paraId="0367A5A4">
      <w:pPr>
        <w:rPr>
          <w:rFonts w:ascii="宋体" w:hAnsi="宋体"/>
          <w:b/>
        </w:rPr>
      </w:pPr>
      <w:r>
        <w:rPr>
          <w:rFonts w:hint="eastAsia" w:ascii="宋体" w:hAnsi="宋体"/>
          <w:b/>
        </w:rPr>
        <w:t>24.2若采购项目出现延期情况：</w:t>
      </w:r>
    </w:p>
    <w:p w14:paraId="201F51EA">
      <w:pPr>
        <w:ind w:firstLine="422" w:firstLineChars="200"/>
        <w:rPr>
          <w:rFonts w:ascii="黑体" w:hAnsi="宋体" w:eastAsia="黑体"/>
          <w:b/>
          <w:sz w:val="24"/>
        </w:rPr>
      </w:pPr>
      <w:r>
        <w:rPr>
          <w:rFonts w:hint="eastAsia" w:ascii="宋体" w:hAnsi="宋体"/>
          <w:b/>
        </w:rPr>
        <w:t>如果供下载的招标文件有更新，投标人必须重新下载招标文件、重新制作投标文件、重新加密投标文件、重新上传投标文件；如果供下载的招标文件没有更新，投标人必须重新加密投标文件、重新上传投标文件（是否重新制作投标文件根据项目实际情况定）。否则，投标人自行承担投标文件无法解密导致投标无效的后果。</w:t>
      </w:r>
    </w:p>
    <w:p w14:paraId="32CFDD49">
      <w:pPr>
        <w:rPr>
          <w:rFonts w:ascii="黑体" w:hAnsi="宋体" w:eastAsia="黑体"/>
          <w:sz w:val="24"/>
        </w:rPr>
      </w:pPr>
      <w:r>
        <w:rPr>
          <w:rFonts w:hint="eastAsia" w:ascii="黑体" w:hAnsi="宋体" w:eastAsia="黑体"/>
          <w:sz w:val="24"/>
        </w:rPr>
        <w:t>25．上传投标文件及投标截止日期</w:t>
      </w:r>
    </w:p>
    <w:p w14:paraId="4270CA70">
      <w:pPr>
        <w:keepNext w:val="0"/>
        <w:keepLines w:val="0"/>
        <w:pageBreakBefore w:val="0"/>
        <w:widowControl w:val="0"/>
        <w:kinsoku/>
        <w:wordWrap w:val="0"/>
        <w:overflowPunct/>
        <w:topLinePunct w:val="0"/>
        <w:autoSpaceDE/>
        <w:autoSpaceDN/>
        <w:bidi w:val="0"/>
        <w:adjustRightInd/>
        <w:snapToGrid/>
        <w:ind w:firstLine="411" w:firstLineChars="196"/>
        <w:textAlignment w:val="auto"/>
        <w:rPr>
          <w:rFonts w:hint="eastAsia" w:ascii="宋体" w:hAnsi="宋体" w:eastAsia="宋体"/>
          <w:lang w:eastAsia="zh-CN"/>
        </w:rPr>
      </w:pPr>
      <w:r>
        <w:rPr>
          <w:rFonts w:hint="eastAsia" w:ascii="宋体" w:hAnsi="宋体"/>
        </w:rPr>
        <w:t>25</w:t>
      </w:r>
      <w:r>
        <w:rPr>
          <w:rFonts w:ascii="宋体" w:hAnsi="宋体"/>
        </w:rPr>
        <w:t>.</w:t>
      </w:r>
      <w:r>
        <w:rPr>
          <w:rFonts w:hint="eastAsia" w:ascii="宋体" w:hAnsi="宋体"/>
        </w:rPr>
        <w:t>1实行网上投标，</w:t>
      </w:r>
      <w:r>
        <w:rPr>
          <w:rFonts w:hint="eastAsia"/>
        </w:rPr>
        <w:t>生成投标文件后供应商需要在投标文件递交截止时间之前递交投标文件，超过规定时间则无法递交</w:t>
      </w:r>
      <w:r>
        <w:rPr>
          <w:rFonts w:hint="eastAsia" w:ascii="宋体" w:hAnsi="宋体"/>
          <w:lang w:eastAsia="zh-CN"/>
        </w:rPr>
        <w:t>。</w:t>
      </w:r>
    </w:p>
    <w:p w14:paraId="5F2D093E">
      <w:pPr>
        <w:ind w:firstLine="411" w:firstLineChars="196"/>
        <w:rPr>
          <w:rFonts w:ascii="宋体" w:hAnsi="宋体"/>
        </w:rPr>
      </w:pPr>
      <w:r>
        <w:rPr>
          <w:rFonts w:hint="eastAsia" w:ascii="宋体" w:hAnsi="宋体"/>
        </w:rPr>
        <w:t>25.2政府集中采购机构可以按本通用条款第13条规定，通过修改招标文件自行决定酌情延长投标截止期。在此情况下，政府集中采购机构、采购人和投标人受投标截止期制约的所有权利和义务均应延长至新的截止期。</w:t>
      </w:r>
    </w:p>
    <w:p w14:paraId="3E4E9893">
      <w:pPr>
        <w:ind w:firstLine="411" w:firstLineChars="196"/>
        <w:rPr>
          <w:rFonts w:ascii="宋体" w:hAnsi="宋体"/>
        </w:rPr>
      </w:pPr>
      <w:r>
        <w:rPr>
          <w:rFonts w:hint="eastAsia" w:ascii="宋体" w:hAnsi="宋体"/>
        </w:rPr>
        <w:t>25</w:t>
      </w:r>
      <w:r>
        <w:rPr>
          <w:rFonts w:ascii="宋体" w:hAnsi="宋体"/>
        </w:rPr>
        <w:t>.</w:t>
      </w:r>
      <w:r>
        <w:rPr>
          <w:rFonts w:hint="eastAsia" w:ascii="宋体" w:hAnsi="宋体"/>
        </w:rPr>
        <w:t>3投标截止时间以后不得上传投标文件。</w:t>
      </w:r>
    </w:p>
    <w:p w14:paraId="0A94BDFC">
      <w:pPr>
        <w:ind w:firstLine="411" w:firstLineChars="196"/>
        <w:rPr>
          <w:rFonts w:ascii="宋体" w:hAnsi="宋体"/>
        </w:rPr>
      </w:pPr>
    </w:p>
    <w:bookmarkEnd w:id="61"/>
    <w:p w14:paraId="43527665">
      <w:pPr>
        <w:rPr>
          <w:rFonts w:ascii="黑体" w:hAnsi="宋体" w:eastAsia="黑体"/>
          <w:sz w:val="24"/>
        </w:rPr>
      </w:pPr>
      <w:r>
        <w:rPr>
          <w:rFonts w:hint="eastAsia" w:ascii="黑体" w:hAnsi="宋体" w:eastAsia="黑体"/>
          <w:sz w:val="24"/>
        </w:rPr>
        <w:t>26. 样品、现场演示、方案讲解</w:t>
      </w:r>
    </w:p>
    <w:p w14:paraId="4E794E72">
      <w:pPr>
        <w:ind w:firstLine="411" w:firstLineChars="196"/>
        <w:rPr>
          <w:rFonts w:ascii="宋体" w:hAnsi="宋体"/>
          <w:szCs w:val="21"/>
        </w:rPr>
      </w:pPr>
      <w:r>
        <w:rPr>
          <w:rFonts w:hint="eastAsia" w:ascii="宋体" w:hAnsi="宋体"/>
          <w:szCs w:val="21"/>
        </w:rPr>
        <w:t>26.1 样品、现场演示、方案讲解等事项在招标文件专用条款中进行规定。</w:t>
      </w:r>
    </w:p>
    <w:p w14:paraId="2014BF94">
      <w:pPr>
        <w:rPr>
          <w:rFonts w:ascii="黑体" w:hAnsi="宋体" w:eastAsia="黑体"/>
          <w:sz w:val="24"/>
        </w:rPr>
      </w:pPr>
      <w:bookmarkStart w:id="62" w:name="_Hlk72428346"/>
      <w:r>
        <w:rPr>
          <w:rFonts w:ascii="黑体" w:hAnsi="宋体" w:eastAsia="黑体"/>
          <w:sz w:val="24"/>
        </w:rPr>
        <w:t>2</w:t>
      </w:r>
      <w:r>
        <w:rPr>
          <w:rFonts w:hint="eastAsia" w:ascii="黑体" w:hAnsi="宋体" w:eastAsia="黑体"/>
          <w:sz w:val="24"/>
        </w:rPr>
        <w:t>7．</w:t>
      </w:r>
      <w:r>
        <w:rPr>
          <w:rFonts w:ascii="黑体" w:hAnsi="宋体" w:eastAsia="黑体"/>
          <w:sz w:val="24"/>
        </w:rPr>
        <w:t>投标文件的修改和撤销</w:t>
      </w:r>
    </w:p>
    <w:p w14:paraId="4F66A513">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1</w:t>
      </w:r>
      <w:r>
        <w:rPr>
          <w:rFonts w:ascii="宋体" w:hAnsi="宋体"/>
        </w:rPr>
        <w:t>投标方在提交投标文件后可对其投标文件进行修改</w:t>
      </w:r>
      <w:r>
        <w:rPr>
          <w:rFonts w:hint="eastAsia" w:ascii="宋体" w:hAnsi="宋体"/>
        </w:rPr>
        <w:t>并重新上传投标文件</w:t>
      </w:r>
      <w:r>
        <w:rPr>
          <w:rFonts w:ascii="宋体" w:hAnsi="宋体"/>
        </w:rPr>
        <w:t>或</w:t>
      </w:r>
      <w:r>
        <w:rPr>
          <w:rFonts w:hint="eastAsia" w:ascii="宋体" w:hAnsi="宋体"/>
        </w:rPr>
        <w:t>在网上进行</w:t>
      </w:r>
      <w:r>
        <w:rPr>
          <w:rFonts w:ascii="宋体" w:hAnsi="宋体"/>
        </w:rPr>
        <w:t>撤销</w:t>
      </w:r>
      <w:r>
        <w:rPr>
          <w:rFonts w:hint="eastAsia" w:ascii="宋体" w:hAnsi="宋体"/>
        </w:rPr>
        <w:t>投标的操作</w:t>
      </w:r>
      <w:r>
        <w:rPr>
          <w:rFonts w:ascii="宋体" w:hAnsi="宋体"/>
        </w:rPr>
        <w:t>。</w:t>
      </w:r>
    </w:p>
    <w:p w14:paraId="20809865">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2</w:t>
      </w:r>
      <w:r>
        <w:rPr>
          <w:rFonts w:ascii="宋体" w:hAnsi="宋体"/>
        </w:rPr>
        <w:t>投标截止时间以后不得修改投标文件。</w:t>
      </w:r>
    </w:p>
    <w:p w14:paraId="49723D56">
      <w:pPr>
        <w:ind w:firstLine="411" w:firstLineChars="196"/>
        <w:rPr>
          <w:rFonts w:ascii="宋体" w:hAnsi="宋体"/>
        </w:rPr>
      </w:pPr>
      <w:r>
        <w:rPr>
          <w:rFonts w:ascii="宋体" w:hAnsi="宋体"/>
        </w:rPr>
        <w:t>2</w:t>
      </w:r>
      <w:r>
        <w:rPr>
          <w:rFonts w:hint="eastAsia" w:ascii="宋体" w:hAnsi="宋体"/>
        </w:rPr>
        <w:t>7</w:t>
      </w:r>
      <w:r>
        <w:rPr>
          <w:rFonts w:ascii="宋体" w:hAnsi="宋体"/>
        </w:rPr>
        <w:t>.</w:t>
      </w:r>
      <w:r>
        <w:rPr>
          <w:rFonts w:hint="eastAsia" w:ascii="宋体" w:hAnsi="宋体"/>
        </w:rPr>
        <w:t>3从投标截止期至投标人在投标文件中确定的投标有效期之间的这段时间内，投标人不得撤回其投标。</w:t>
      </w:r>
    </w:p>
    <w:p w14:paraId="17DA6DA7">
      <w:pPr>
        <w:ind w:firstLine="411" w:firstLineChars="196"/>
        <w:rPr>
          <w:rFonts w:ascii="宋体" w:hAnsi="宋体"/>
          <w:szCs w:val="21"/>
        </w:rPr>
      </w:pPr>
      <w:r>
        <w:rPr>
          <w:rFonts w:hint="eastAsia" w:ascii="宋体" w:hAnsi="宋体"/>
          <w:szCs w:val="21"/>
        </w:rPr>
        <w:t>27.4政府集中采购机构不退还投标文件，专用条款另有规定的除外。</w:t>
      </w:r>
    </w:p>
    <w:bookmarkEnd w:id="62"/>
    <w:p w14:paraId="3C8CC075">
      <w:pPr>
        <w:pStyle w:val="7"/>
        <w:numPr>
          <w:ilvl w:val="0"/>
          <w:numId w:val="11"/>
        </w:numPr>
        <w:spacing w:before="120" w:beforeLines="50" w:after="120" w:afterLines="50"/>
        <w:ind w:left="562" w:hanging="562"/>
        <w:rPr>
          <w:sz w:val="28"/>
          <w:szCs w:val="28"/>
        </w:rPr>
      </w:pPr>
      <w:r>
        <w:rPr>
          <w:rFonts w:hint="eastAsia"/>
          <w:sz w:val="28"/>
          <w:szCs w:val="28"/>
        </w:rPr>
        <w:t>开标</w:t>
      </w:r>
    </w:p>
    <w:p w14:paraId="6FFE1962">
      <w:pPr>
        <w:rPr>
          <w:rFonts w:ascii="黑体" w:hAnsi="宋体" w:eastAsia="黑体"/>
          <w:sz w:val="24"/>
        </w:rPr>
      </w:pPr>
      <w:r>
        <w:rPr>
          <w:rFonts w:hint="eastAsia" w:ascii="黑体" w:hAnsi="宋体" w:eastAsia="黑体"/>
          <w:sz w:val="24"/>
        </w:rPr>
        <w:t>28．开标</w:t>
      </w:r>
    </w:p>
    <w:p w14:paraId="74D54DB7">
      <w:pPr>
        <w:ind w:firstLine="359" w:firstLineChars="171"/>
        <w:rPr>
          <w:rFonts w:hint="eastAsia" w:ascii="宋体" w:hAnsi="宋体"/>
          <w:szCs w:val="21"/>
        </w:rPr>
      </w:pPr>
      <w:r>
        <w:rPr>
          <w:rFonts w:ascii="宋体" w:hAnsi="宋体"/>
          <w:szCs w:val="21"/>
        </w:rPr>
        <w:t>2</w:t>
      </w:r>
      <w:r>
        <w:rPr>
          <w:rFonts w:hint="eastAsia" w:ascii="宋体" w:hAnsi="宋体"/>
          <w:szCs w:val="21"/>
        </w:rPr>
        <w:t>8</w:t>
      </w:r>
      <w:r>
        <w:rPr>
          <w:rFonts w:ascii="宋体" w:hAnsi="宋体"/>
          <w:szCs w:val="21"/>
        </w:rPr>
        <w:t>.</w:t>
      </w:r>
      <w:r>
        <w:rPr>
          <w:rFonts w:hint="eastAsia" w:ascii="宋体" w:hAnsi="宋体"/>
          <w:szCs w:val="21"/>
        </w:rPr>
        <w:t>1</w:t>
      </w:r>
      <w:r>
        <w:rPr>
          <w:rFonts w:hint="eastAsia"/>
        </w:rPr>
        <w:t>如投标文件为加密，则需插入CA锁点击解密，</w:t>
      </w:r>
      <w:r>
        <w:rPr>
          <w:rFonts w:hint="eastAsia" w:ascii="宋体" w:hAnsi="宋体"/>
          <w:szCs w:val="21"/>
        </w:rPr>
        <w:t>逾期未解密的作无效处理</w:t>
      </w:r>
      <w:r>
        <w:rPr>
          <w:rFonts w:hint="eastAsia" w:ascii="宋体" w:hAnsi="宋体"/>
          <w:szCs w:val="21"/>
          <w:lang w:eastAsia="zh-CN"/>
        </w:rPr>
        <w:t>，</w:t>
      </w:r>
      <w:r>
        <w:rPr>
          <w:rFonts w:hint="eastAsia"/>
        </w:rPr>
        <w:t>否则无需解密</w:t>
      </w:r>
      <w:r>
        <w:rPr>
          <w:rFonts w:hint="eastAsia" w:eastAsia="宋体"/>
          <w:lang w:eastAsia="zh-CN"/>
        </w:rPr>
        <w:t>。</w:t>
      </w:r>
    </w:p>
    <w:p w14:paraId="49085D61">
      <w:pPr>
        <w:ind w:firstLine="0" w:firstLineChars="0"/>
        <w:rPr>
          <w:rFonts w:hint="eastAsia" w:ascii="宋体" w:hAnsi="宋体"/>
          <w:szCs w:val="21"/>
        </w:rPr>
      </w:pPr>
      <w:r>
        <w:drawing>
          <wp:inline distT="0" distB="0" distL="114300" distR="114300">
            <wp:extent cx="5269230" cy="2591435"/>
            <wp:effectExtent l="0" t="0" r="7620" b="1841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0"/>
                    <a:stretch>
                      <a:fillRect/>
                    </a:stretch>
                  </pic:blipFill>
                  <pic:spPr>
                    <a:xfrm>
                      <a:off x="0" y="0"/>
                      <a:ext cx="5269230" cy="2591435"/>
                    </a:xfrm>
                    <a:prstGeom prst="rect">
                      <a:avLst/>
                    </a:prstGeom>
                    <a:noFill/>
                    <a:ln>
                      <a:noFill/>
                    </a:ln>
                  </pic:spPr>
                </pic:pic>
              </a:graphicData>
            </a:graphic>
          </wp:inline>
        </w:drawing>
      </w:r>
    </w:p>
    <w:p w14:paraId="4A28870A">
      <w:pPr>
        <w:ind w:firstLine="315" w:firstLineChars="150"/>
        <w:rPr>
          <w:rFonts w:ascii="宋体" w:hAnsi="宋体"/>
          <w:szCs w:val="21"/>
        </w:rPr>
      </w:pPr>
      <w:r>
        <w:rPr>
          <w:rFonts w:hint="eastAsia" w:ascii="宋体" w:hAnsi="宋体"/>
          <w:szCs w:val="21"/>
        </w:rPr>
        <w:t>28.2政府集中采购机构将在满足开标条件后，对投标文件进行开标。</w:t>
      </w:r>
    </w:p>
    <w:p w14:paraId="1F255A9B">
      <w:pPr>
        <w:ind w:firstLine="315" w:firstLineChars="150"/>
        <w:rPr>
          <w:rFonts w:ascii="宋体" w:hAnsi="宋体"/>
          <w:szCs w:val="21"/>
        </w:rPr>
      </w:pPr>
    </w:p>
    <w:p w14:paraId="3B5E5EAD">
      <w:pPr>
        <w:pStyle w:val="7"/>
        <w:numPr>
          <w:ilvl w:val="0"/>
          <w:numId w:val="11"/>
        </w:numPr>
        <w:spacing w:before="120" w:beforeLines="50" w:after="120" w:afterLines="50"/>
        <w:ind w:left="562" w:hanging="562"/>
        <w:rPr>
          <w:sz w:val="28"/>
          <w:szCs w:val="28"/>
        </w:rPr>
      </w:pPr>
      <w:r>
        <w:rPr>
          <w:rFonts w:hint="eastAsia"/>
          <w:sz w:val="28"/>
          <w:szCs w:val="28"/>
        </w:rPr>
        <w:t>评审要求</w:t>
      </w:r>
    </w:p>
    <w:p w14:paraId="4A7EAEC5">
      <w:pPr>
        <w:rPr>
          <w:rFonts w:ascii="黑体" w:hAnsi="宋体" w:eastAsia="黑体"/>
          <w:sz w:val="24"/>
        </w:rPr>
      </w:pPr>
      <w:r>
        <w:rPr>
          <w:rFonts w:hint="eastAsia" w:ascii="黑体" w:hAnsi="宋体" w:eastAsia="黑体"/>
          <w:sz w:val="24"/>
        </w:rPr>
        <w:t>29．评审委员会组成</w:t>
      </w:r>
    </w:p>
    <w:p w14:paraId="02B50121">
      <w:pPr>
        <w:ind w:firstLine="411" w:firstLineChars="196"/>
        <w:rPr>
          <w:rFonts w:ascii="宋体" w:hAnsi="宋体"/>
        </w:rPr>
      </w:pPr>
      <w:r>
        <w:rPr>
          <w:rFonts w:hint="eastAsia" w:ascii="宋体" w:hAnsi="宋体"/>
        </w:rPr>
        <w:t>29.1网上开标结束后召开评审会议，</w:t>
      </w:r>
      <w:r>
        <w:rPr>
          <w:rFonts w:hint="eastAsia" w:ascii="宋体" w:hAnsi="宋体"/>
          <w:szCs w:val="21"/>
        </w:rPr>
        <w:t>评审委员会</w:t>
      </w:r>
      <w:r>
        <w:rPr>
          <w:rFonts w:hint="eastAsia" w:ascii="宋体" w:hAnsi="宋体"/>
        </w:rPr>
        <w:t>由政府集中采购机构依法组建，负责评审活动。</w:t>
      </w:r>
    </w:p>
    <w:p w14:paraId="252126CB">
      <w:pPr>
        <w:ind w:firstLine="411" w:firstLineChars="196"/>
        <w:rPr>
          <w:rFonts w:ascii="宋体" w:hAnsi="宋体"/>
        </w:rPr>
      </w:pPr>
      <w:bookmarkStart w:id="63" w:name="_Hlk72436580"/>
      <w:r>
        <w:rPr>
          <w:rFonts w:hint="eastAsia" w:ascii="宋体" w:hAnsi="宋体"/>
        </w:rPr>
        <w:t>评审委员会由采购人代表和评审专家组成。</w:t>
      </w:r>
      <w:bookmarkEnd w:id="63"/>
      <w:r>
        <w:rPr>
          <w:rFonts w:hint="eastAsia" w:ascii="宋体" w:hAnsi="宋体"/>
        </w:rPr>
        <w:t>评定</w:t>
      </w:r>
      <w:r>
        <w:rPr>
          <w:rFonts w:hint="eastAsia"/>
        </w:rPr>
        <w:t>分离项目</w:t>
      </w:r>
      <w:r>
        <w:t>评审专家</w:t>
      </w:r>
      <w:r>
        <w:rPr>
          <w:rFonts w:hint="eastAsia"/>
        </w:rPr>
        <w:t>均</w:t>
      </w:r>
      <w:r>
        <w:t>由</w:t>
      </w:r>
      <w:r>
        <w:rPr>
          <w:rFonts w:hint="eastAsia"/>
        </w:rPr>
        <w:t>评审专家组成。</w:t>
      </w:r>
      <w:r>
        <w:rPr>
          <w:rFonts w:hint="eastAsia" w:ascii="宋体" w:hAnsi="宋体"/>
          <w:szCs w:val="21"/>
        </w:rPr>
        <w:t>评审专家一般是</w:t>
      </w:r>
      <w:r>
        <w:rPr>
          <w:rFonts w:hint="eastAsia" w:ascii="宋体" w:hAnsi="宋体"/>
        </w:rPr>
        <w:t>从深圳市政府采购评审专家库中随机抽取。采购人代表须持本单位签发的《评审授权书》参加评审。</w:t>
      </w:r>
    </w:p>
    <w:p w14:paraId="2FCD7B24">
      <w:pPr>
        <w:ind w:firstLine="411" w:firstLineChars="196"/>
        <w:rPr>
          <w:rFonts w:ascii="宋体" w:hAnsi="宋体"/>
        </w:rPr>
      </w:pPr>
      <w:r>
        <w:rPr>
          <w:rFonts w:hint="eastAsia" w:ascii="宋体" w:hAnsi="宋体"/>
        </w:rPr>
        <w:t>29.2评审定标应当遵循公平、公正、科学、择优的原则。</w:t>
      </w:r>
    </w:p>
    <w:p w14:paraId="313523CF">
      <w:pPr>
        <w:ind w:firstLine="411" w:firstLineChars="196"/>
        <w:rPr>
          <w:rFonts w:ascii="宋体" w:hAnsi="宋体"/>
        </w:rPr>
      </w:pPr>
      <w:r>
        <w:rPr>
          <w:rFonts w:hint="eastAsia" w:ascii="宋体" w:hAnsi="宋体"/>
        </w:rPr>
        <w:t>29.3评审活动依法进行，任何单位和个人不得非法干预评标过程和结果。</w:t>
      </w:r>
    </w:p>
    <w:p w14:paraId="6A0180BE">
      <w:pPr>
        <w:ind w:firstLine="411" w:firstLineChars="196"/>
        <w:rPr>
          <w:rFonts w:ascii="宋体" w:hAnsi="宋体"/>
        </w:rPr>
      </w:pPr>
      <w:r>
        <w:rPr>
          <w:rFonts w:hint="eastAsia" w:ascii="宋体" w:hAnsi="宋体"/>
        </w:rPr>
        <w:t>29.4评审过程中不允许违背评标程序或采用招标文件未载明的评标方法或评标因素进行评标。</w:t>
      </w:r>
    </w:p>
    <w:p w14:paraId="60DB3405">
      <w:pPr>
        <w:ind w:firstLine="411" w:firstLineChars="196"/>
        <w:rPr>
          <w:rFonts w:ascii="宋体" w:hAnsi="宋体"/>
          <w:bCs/>
        </w:rPr>
      </w:pPr>
      <w:r>
        <w:rPr>
          <w:rFonts w:hint="eastAsia" w:ascii="宋体" w:hAnsi="宋体"/>
          <w:bCs/>
        </w:rPr>
        <w:t>29.5 开标后，直到签订合同为止，凡属于对投标文件的审查、澄清、评价和比较的有关资料以及中标候选人的推荐情况、与评审有关的其他任何情况均严格保密（</w:t>
      </w:r>
      <w:r>
        <w:rPr>
          <w:rFonts w:hint="eastAsia"/>
        </w:rPr>
        <w:t>信息公开的内容除外</w:t>
      </w:r>
      <w:r>
        <w:rPr>
          <w:rFonts w:hint="eastAsia" w:ascii="宋体" w:hAnsi="宋体"/>
          <w:bCs/>
        </w:rPr>
        <w:t>）。</w:t>
      </w:r>
    </w:p>
    <w:p w14:paraId="2BCE669A">
      <w:pPr>
        <w:rPr>
          <w:rFonts w:ascii="黑体" w:hAnsi="宋体" w:eastAsia="黑体"/>
          <w:sz w:val="24"/>
        </w:rPr>
      </w:pPr>
      <w:r>
        <w:rPr>
          <w:rFonts w:hint="eastAsia" w:ascii="黑体" w:hAnsi="宋体" w:eastAsia="黑体"/>
          <w:sz w:val="24"/>
        </w:rPr>
        <w:t>30．向评审委员会提供的资料</w:t>
      </w:r>
    </w:p>
    <w:p w14:paraId="459762E2">
      <w:pPr>
        <w:ind w:firstLine="411" w:firstLineChars="196"/>
        <w:rPr>
          <w:rFonts w:ascii="宋体" w:hAnsi="宋体"/>
        </w:rPr>
      </w:pPr>
      <w:r>
        <w:rPr>
          <w:rFonts w:hint="eastAsia" w:ascii="宋体" w:hAnsi="宋体"/>
        </w:rPr>
        <w:t>30.1公开发布的招标文件，包括图纸、服务清单、答疑文件等；</w:t>
      </w:r>
    </w:p>
    <w:p w14:paraId="4BA65F31">
      <w:pPr>
        <w:ind w:firstLine="411" w:firstLineChars="196"/>
        <w:rPr>
          <w:rFonts w:ascii="宋体" w:hAnsi="宋体"/>
        </w:rPr>
      </w:pPr>
      <w:r>
        <w:rPr>
          <w:rFonts w:hint="eastAsia" w:ascii="宋体" w:hAnsi="宋体"/>
        </w:rPr>
        <w:t>30.2其他评标必须的资料。</w:t>
      </w:r>
    </w:p>
    <w:p w14:paraId="64BDC839">
      <w:pPr>
        <w:ind w:firstLine="411" w:firstLineChars="196"/>
        <w:rPr>
          <w:rFonts w:ascii="宋体" w:hAnsi="宋体"/>
        </w:rPr>
      </w:pPr>
      <w:r>
        <w:rPr>
          <w:rFonts w:hint="eastAsia" w:ascii="宋体" w:hAnsi="宋体"/>
        </w:rPr>
        <w:t>30.3</w:t>
      </w:r>
      <w:r>
        <w:rPr>
          <w:rFonts w:hint="eastAsia" w:ascii="宋体" w:hAnsi="宋体"/>
          <w:szCs w:val="21"/>
        </w:rPr>
        <w:t>评审委员会</w:t>
      </w:r>
      <w:r>
        <w:rPr>
          <w:rFonts w:hint="eastAsia" w:ascii="宋体" w:hAnsi="宋体"/>
        </w:rPr>
        <w:t>应当认真研究招标文件，至少应了解熟悉以下内容：</w:t>
      </w:r>
    </w:p>
    <w:p w14:paraId="138B8424">
      <w:pPr>
        <w:ind w:firstLine="411" w:firstLineChars="196"/>
        <w:rPr>
          <w:rFonts w:ascii="宋体" w:hAnsi="宋体"/>
        </w:rPr>
      </w:pPr>
      <w:r>
        <w:rPr>
          <w:rFonts w:hint="eastAsia" w:ascii="宋体" w:hAnsi="宋体"/>
        </w:rPr>
        <w:t>（1）招标的目的；</w:t>
      </w:r>
    </w:p>
    <w:p w14:paraId="49DAD334">
      <w:pPr>
        <w:ind w:firstLine="411" w:firstLineChars="196"/>
        <w:rPr>
          <w:rFonts w:ascii="宋体" w:hAnsi="宋体"/>
        </w:rPr>
      </w:pPr>
      <w:r>
        <w:rPr>
          <w:rFonts w:hint="eastAsia" w:ascii="宋体" w:hAnsi="宋体"/>
        </w:rPr>
        <w:t>（2）招标项目需求的范围和性质；</w:t>
      </w:r>
    </w:p>
    <w:p w14:paraId="63F5F579">
      <w:pPr>
        <w:ind w:firstLine="411" w:firstLineChars="196"/>
        <w:rPr>
          <w:rFonts w:ascii="宋体" w:hAnsi="宋体"/>
        </w:rPr>
      </w:pPr>
      <w:r>
        <w:rPr>
          <w:rFonts w:hint="eastAsia" w:ascii="宋体" w:hAnsi="宋体"/>
        </w:rPr>
        <w:t>（3）招标文件规定的投标人的资格、财政预算限额、商务条款；</w:t>
      </w:r>
    </w:p>
    <w:p w14:paraId="0C4D7361">
      <w:pPr>
        <w:ind w:firstLine="411" w:firstLineChars="196"/>
        <w:rPr>
          <w:rFonts w:ascii="宋体" w:hAnsi="宋体"/>
        </w:rPr>
      </w:pPr>
      <w:r>
        <w:rPr>
          <w:rFonts w:hint="eastAsia" w:ascii="宋体" w:hAnsi="宋体"/>
        </w:rPr>
        <w:t>（4）招标文件规定的评标程序、评标方法和评标因素；</w:t>
      </w:r>
    </w:p>
    <w:p w14:paraId="466B2577">
      <w:pPr>
        <w:ind w:firstLine="411" w:firstLineChars="196"/>
        <w:rPr>
          <w:rFonts w:ascii="宋体" w:hAnsi="宋体"/>
        </w:rPr>
      </w:pPr>
      <w:r>
        <w:rPr>
          <w:rFonts w:hint="eastAsia" w:ascii="宋体" w:hAnsi="宋体"/>
        </w:rPr>
        <w:t>（5）招标文件所列示的资格性审查表及符合性审查表。</w:t>
      </w:r>
    </w:p>
    <w:p w14:paraId="5848C494">
      <w:pPr>
        <w:rPr>
          <w:rFonts w:ascii="黑体" w:hAnsi="宋体" w:eastAsia="黑体"/>
          <w:sz w:val="24"/>
        </w:rPr>
      </w:pPr>
      <w:r>
        <w:rPr>
          <w:rFonts w:hint="eastAsia" w:ascii="黑体" w:hAnsi="宋体" w:eastAsia="黑体"/>
          <w:sz w:val="24"/>
        </w:rPr>
        <w:t>31．独立评审</w:t>
      </w:r>
    </w:p>
    <w:p w14:paraId="2A956AD9">
      <w:pPr>
        <w:ind w:firstLine="411" w:firstLineChars="196"/>
        <w:rPr>
          <w:rFonts w:ascii="宋体" w:hAnsi="宋体"/>
          <w:bCs/>
        </w:rPr>
      </w:pPr>
      <w:r>
        <w:rPr>
          <w:rFonts w:hint="eastAsia" w:ascii="宋体" w:hAnsi="宋体"/>
          <w:bCs/>
        </w:rPr>
        <w:t>3</w:t>
      </w:r>
      <w:r>
        <w:rPr>
          <w:rFonts w:ascii="宋体" w:hAnsi="宋体"/>
          <w:bCs/>
        </w:rPr>
        <w:t>1</w:t>
      </w:r>
      <w:r>
        <w:rPr>
          <w:rFonts w:hint="eastAsia" w:ascii="宋体" w:hAnsi="宋体"/>
          <w:bCs/>
        </w:rPr>
        <w:t>.1</w:t>
      </w:r>
      <w:r>
        <w:rPr>
          <w:rFonts w:hint="eastAsia" w:ascii="宋体" w:hAnsi="宋体"/>
          <w:szCs w:val="21"/>
        </w:rPr>
        <w:t>评审委员会</w:t>
      </w:r>
      <w:r>
        <w:rPr>
          <w:rFonts w:hint="eastAsia" w:ascii="宋体" w:hAnsi="宋体"/>
          <w:bCs/>
        </w:rPr>
        <w:t>成员的评标活动应当独立进行，并应遵循投标文件初审、澄清有关问题、比较与评价、确定中标供应商、编写评审报告的工作程序。</w:t>
      </w:r>
    </w:p>
    <w:p w14:paraId="74DBA896">
      <w:pPr>
        <w:ind w:firstLine="411" w:firstLineChars="196"/>
        <w:rPr>
          <w:rFonts w:ascii="宋体" w:hAnsi="宋体"/>
          <w:bCs/>
          <w:szCs w:val="21"/>
        </w:rPr>
      </w:pPr>
    </w:p>
    <w:p w14:paraId="11C8A415">
      <w:pPr>
        <w:pStyle w:val="7"/>
        <w:numPr>
          <w:ilvl w:val="0"/>
          <w:numId w:val="11"/>
        </w:numPr>
        <w:spacing w:before="120" w:beforeLines="50" w:after="120" w:afterLines="50"/>
        <w:ind w:left="562" w:hanging="562"/>
        <w:rPr>
          <w:sz w:val="28"/>
          <w:szCs w:val="28"/>
        </w:rPr>
      </w:pPr>
      <w:r>
        <w:rPr>
          <w:rFonts w:hint="eastAsia"/>
          <w:sz w:val="28"/>
          <w:szCs w:val="28"/>
        </w:rPr>
        <w:t>评审程序及评审方法</w:t>
      </w:r>
    </w:p>
    <w:p w14:paraId="0FF0980B">
      <w:pPr>
        <w:rPr>
          <w:rFonts w:ascii="黑体" w:hAnsi="宋体" w:eastAsia="黑体"/>
          <w:sz w:val="24"/>
        </w:rPr>
      </w:pPr>
      <w:r>
        <w:rPr>
          <w:rFonts w:hint="eastAsia" w:ascii="黑体" w:hAnsi="宋体" w:eastAsia="黑体"/>
          <w:sz w:val="24"/>
        </w:rPr>
        <w:t>32．投标文件初审</w:t>
      </w:r>
    </w:p>
    <w:p w14:paraId="74609895">
      <w:pPr>
        <w:ind w:firstLine="411" w:firstLineChars="196"/>
        <w:rPr>
          <w:rFonts w:ascii="宋体" w:hAnsi="宋体"/>
        </w:rPr>
      </w:pPr>
      <w:r>
        <w:rPr>
          <w:rFonts w:hint="eastAsia" w:ascii="宋体" w:hAnsi="宋体"/>
        </w:rPr>
        <w:t>32.1投标文件初审包括资格性审查和符合性审查。</w:t>
      </w:r>
    </w:p>
    <w:p w14:paraId="69BBE994">
      <w:pPr>
        <w:ind w:firstLine="411" w:firstLineChars="196"/>
        <w:rPr>
          <w:rFonts w:ascii="宋体" w:hAnsi="宋体"/>
        </w:rPr>
      </w:pPr>
      <w:r>
        <w:rPr>
          <w:rFonts w:hint="eastAsia" w:ascii="宋体" w:hAnsi="宋体"/>
        </w:rPr>
        <w:t>资格性审查：依据法律法规和招标文件的规定，对投标文件中的资格证明等进行审查，以确定投标供应商是否具备投标资格。</w:t>
      </w:r>
    </w:p>
    <w:p w14:paraId="4E11D931">
      <w:pPr>
        <w:ind w:firstLine="411" w:firstLineChars="196"/>
        <w:rPr>
          <w:rFonts w:ascii="宋体" w:hAnsi="宋体"/>
        </w:rPr>
      </w:pPr>
      <w:r>
        <w:rPr>
          <w:rFonts w:hint="eastAsia" w:ascii="宋体" w:hAnsi="宋体"/>
        </w:rPr>
        <w:t>符合性审查：依据招标文件的规定，对投标文件的有效性、完整性和对招标文件的响应程度进行审查，以确定是否满足符合性审查的要求。</w:t>
      </w:r>
    </w:p>
    <w:p w14:paraId="2E8D02E6">
      <w:pPr>
        <w:ind w:firstLine="411" w:firstLineChars="196"/>
        <w:rPr>
          <w:rFonts w:ascii="宋体" w:hAnsi="宋体"/>
        </w:rPr>
      </w:pPr>
      <w:r>
        <w:rPr>
          <w:rFonts w:hint="eastAsia" w:ascii="宋体" w:hAnsi="宋体"/>
        </w:rPr>
        <w:t>32.2 投标文件初审内容请详见《资格性审查表》和《符合性审查表》部分。投标人若有一条审查不通过则按投标无效处理。</w:t>
      </w:r>
    </w:p>
    <w:p w14:paraId="745BAE20">
      <w:pPr>
        <w:ind w:firstLine="411" w:firstLineChars="196"/>
        <w:rPr>
          <w:rFonts w:ascii="宋体" w:hAnsi="宋体"/>
          <w:bCs/>
        </w:rPr>
      </w:pPr>
      <w:r>
        <w:rPr>
          <w:rFonts w:hint="eastAsia" w:ascii="宋体" w:hAnsi="宋体"/>
          <w:bCs/>
        </w:rPr>
        <w:t>32.3 投标文件初审中关于供应商家数的计算:</w:t>
      </w:r>
    </w:p>
    <w:p w14:paraId="75225FB9">
      <w:pPr>
        <w:ind w:firstLine="411" w:firstLineChars="196"/>
        <w:rPr>
          <w:rFonts w:ascii="宋体" w:hAnsi="宋体"/>
          <w:bCs/>
        </w:rPr>
      </w:pPr>
      <w:r>
        <w:rPr>
          <w:rFonts w:hint="eastAsia" w:ascii="宋体" w:hAnsi="宋体"/>
          <w:bCs/>
        </w:rPr>
        <w:t>32.3.1采用最低价法的采购项目，提供相同品牌产品的不同投标人参加同一合同项下投标的，以其中通过资格审查、符合性审查且报价最低的参加评标；报价相同的，由采购人或者采购人委托评审委员会按照招标文件规定的方式确定一个参加评审的投标人，招标文件未规定的采取随机抽取方式确定，其他投标无效。</w:t>
      </w:r>
    </w:p>
    <w:p w14:paraId="18DCB7CD">
      <w:pPr>
        <w:ind w:firstLine="411" w:firstLineChars="196"/>
        <w:rPr>
          <w:rFonts w:ascii="宋体" w:hAnsi="宋体"/>
          <w:bCs/>
        </w:rPr>
      </w:pPr>
      <w:r>
        <w:rPr>
          <w:rFonts w:hint="eastAsia" w:ascii="宋体" w:hAnsi="宋体"/>
          <w:bCs/>
        </w:rPr>
        <w:t>32.3.2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Pr>
          <w:rFonts w:hint="eastAsia" w:ascii="宋体" w:hAnsi="宋体"/>
          <w:bCs/>
          <w:szCs w:val="21"/>
        </w:rPr>
        <w:t>评审委员会</w:t>
      </w:r>
      <w:r>
        <w:rPr>
          <w:rFonts w:hint="eastAsia" w:ascii="宋体" w:hAnsi="宋体"/>
          <w:bCs/>
        </w:rPr>
        <w:t>按照招标文件规定的方式确定一个投标人获得中标人推荐资格，招标文件未规定的采取随机抽取方式确定，其他同品牌投标人不作为中标候选人。</w:t>
      </w:r>
    </w:p>
    <w:p w14:paraId="72967F94">
      <w:pPr>
        <w:ind w:firstLine="411" w:firstLineChars="196"/>
        <w:rPr>
          <w:rFonts w:ascii="宋体" w:hAnsi="宋体"/>
          <w:bCs/>
        </w:rPr>
      </w:pPr>
      <w:r>
        <w:rPr>
          <w:rFonts w:hint="eastAsia" w:ascii="宋体" w:hAnsi="宋体"/>
          <w:bCs/>
        </w:rPr>
        <w:t>32.3.3非单一产品采购项目，采购人应当根据采购项目技术构成、产品价格比重等合理确定核心产品，并在招标文件中载明。多家投标人提供的核心产品品牌相同的，按前两款规定处理。</w:t>
      </w:r>
    </w:p>
    <w:p w14:paraId="25A51762">
      <w:pPr>
        <w:ind w:firstLine="411" w:firstLineChars="196"/>
        <w:rPr>
          <w:rFonts w:ascii="宋体" w:hAnsi="宋体"/>
        </w:rPr>
      </w:pPr>
      <w:r>
        <w:rPr>
          <w:rFonts w:hint="eastAsia" w:ascii="宋体" w:hAnsi="宋体"/>
        </w:rPr>
        <w:t>32.4投标人投标文件作无效处理的情形，具体包括但不限于以下：</w:t>
      </w:r>
    </w:p>
    <w:p w14:paraId="0627A576">
      <w:pPr>
        <w:ind w:firstLine="411" w:firstLineChars="196"/>
      </w:pPr>
      <w:r>
        <w:rPr>
          <w:rFonts w:hint="eastAsia" w:ascii="宋体" w:hAnsi="宋体"/>
        </w:rPr>
        <w:t>32.4.1</w:t>
      </w:r>
      <w:r>
        <w:rPr>
          <w:rFonts w:hint="eastAsia"/>
        </w:rPr>
        <w:t>不同投标人的投标文件由同一单位或者同一个人编制，或者由同一个人分阶段参与编制；</w:t>
      </w:r>
    </w:p>
    <w:p w14:paraId="217044DD">
      <w:pPr>
        <w:ind w:firstLine="411" w:firstLineChars="196"/>
      </w:pPr>
      <w:r>
        <w:rPr>
          <w:rFonts w:ascii="宋体" w:hAnsi="宋体"/>
        </w:rPr>
        <w:t>32.4.</w:t>
      </w:r>
      <w:r>
        <w:rPr>
          <w:rFonts w:hint="eastAsia" w:ascii="宋体" w:hAnsi="宋体"/>
        </w:rPr>
        <w:t>2</w:t>
      </w:r>
      <w:r>
        <w:rPr>
          <w:rFonts w:hint="eastAsia"/>
        </w:rPr>
        <w:t>不同投标人委托同一单位或者个人办理投标事宜；</w:t>
      </w:r>
    </w:p>
    <w:p w14:paraId="4AEBAA1C">
      <w:pPr>
        <w:ind w:firstLine="411" w:firstLineChars="196"/>
        <w:rPr>
          <w:rFonts w:ascii="宋体" w:hAnsi="宋体"/>
        </w:rPr>
      </w:pPr>
      <w:r>
        <w:rPr>
          <w:rFonts w:hint="eastAsia" w:ascii="宋体" w:hAnsi="宋体"/>
        </w:rPr>
        <w:t>32.4.3不同投标人的投标文件载明的项目管理成员或者联系人员为同一人；</w:t>
      </w:r>
    </w:p>
    <w:p w14:paraId="0B7623A5">
      <w:pPr>
        <w:ind w:firstLine="411" w:firstLineChars="196"/>
        <w:rPr>
          <w:rFonts w:ascii="宋体" w:hAnsi="宋体"/>
        </w:rPr>
      </w:pPr>
      <w:r>
        <w:rPr>
          <w:rFonts w:hint="eastAsia" w:ascii="宋体" w:hAnsi="宋体"/>
        </w:rPr>
        <w:t>32.4.4不同投标人的投标文件异常一致或者投标报价呈规律性差异；</w:t>
      </w:r>
    </w:p>
    <w:p w14:paraId="4A61E43E">
      <w:pPr>
        <w:ind w:firstLine="411" w:firstLineChars="196"/>
        <w:rPr>
          <w:rFonts w:ascii="宋体" w:hAnsi="宋体"/>
        </w:rPr>
      </w:pPr>
      <w:r>
        <w:rPr>
          <w:rFonts w:hint="eastAsia" w:ascii="宋体" w:hAnsi="宋体"/>
        </w:rPr>
        <w:t>32.4.5</w:t>
      </w:r>
      <w:r>
        <w:rPr>
          <w:rFonts w:ascii="宋体" w:hAnsi="宋体"/>
        </w:rPr>
        <w:t>不同投标供应商的投标文件或部分投标文件相互混装</w:t>
      </w:r>
      <w:r>
        <w:rPr>
          <w:rFonts w:hint="eastAsia" w:ascii="宋体" w:hAnsi="宋体"/>
        </w:rPr>
        <w:t>；</w:t>
      </w:r>
    </w:p>
    <w:p w14:paraId="5AC6A705">
      <w:pPr>
        <w:ind w:firstLine="411" w:firstLineChars="196"/>
        <w:rPr>
          <w:rFonts w:ascii="宋体" w:hAnsi="宋体"/>
        </w:rPr>
      </w:pPr>
      <w:r>
        <w:rPr>
          <w:rFonts w:hint="eastAsia" w:ascii="宋体" w:hAnsi="宋体"/>
        </w:rPr>
        <w:t>32.4.6投标供应商之间相互约定给予未中标的供应商利益补偿；</w:t>
      </w:r>
    </w:p>
    <w:p w14:paraId="06747275">
      <w:pPr>
        <w:ind w:firstLine="411" w:firstLineChars="196"/>
        <w:rPr>
          <w:rFonts w:ascii="宋体" w:hAnsi="宋体"/>
        </w:rPr>
      </w:pPr>
      <w:r>
        <w:rPr>
          <w:rFonts w:hint="eastAsia" w:ascii="宋体" w:hAnsi="宋体"/>
        </w:rPr>
        <w:t>32.4.7不同投标供应商的法定代表人、主要经营负责人、项目投标授权代表人、项目负责人、主要技术人员为同一人、属同一单位或者同一单位缴纳社会保险；</w:t>
      </w:r>
    </w:p>
    <w:p w14:paraId="7B5B7719">
      <w:pPr>
        <w:ind w:firstLine="411" w:firstLineChars="196"/>
        <w:rPr>
          <w:rFonts w:ascii="宋体" w:hAnsi="宋体"/>
        </w:rPr>
      </w:pPr>
      <w:r>
        <w:rPr>
          <w:rFonts w:hint="eastAsia" w:ascii="宋体" w:hAnsi="宋体"/>
        </w:rPr>
        <w:t>32.4.8不同投标供应商的投标文件内容存在非正常一致；</w:t>
      </w:r>
    </w:p>
    <w:p w14:paraId="10E42501">
      <w:pPr>
        <w:ind w:firstLine="411" w:firstLineChars="196"/>
        <w:rPr>
          <w:rFonts w:ascii="宋体" w:hAnsi="宋体"/>
        </w:rPr>
      </w:pPr>
      <w:r>
        <w:rPr>
          <w:rFonts w:hint="eastAsia" w:ascii="宋体" w:hAnsi="宋体"/>
        </w:rPr>
        <w:t>32.4.9在同一单位工作人员为两家以上（含两家）供应商进行同一项投标活动；</w:t>
      </w:r>
    </w:p>
    <w:p w14:paraId="554A4DF9">
      <w:pPr>
        <w:ind w:firstLine="411" w:firstLineChars="196"/>
        <w:rPr>
          <w:rFonts w:ascii="宋体" w:hAnsi="宋体"/>
        </w:rPr>
      </w:pPr>
      <w:r>
        <w:rPr>
          <w:rFonts w:hint="eastAsia" w:ascii="宋体" w:hAnsi="宋体"/>
        </w:rPr>
        <w:t>32.4.10主管部门依照法律、法规认定的其他情形。</w:t>
      </w:r>
    </w:p>
    <w:p w14:paraId="61D0CFE8">
      <w:pPr>
        <w:rPr>
          <w:rFonts w:hint="eastAsia" w:ascii="宋体" w:hAnsi="宋体"/>
        </w:rPr>
      </w:pPr>
      <w:r>
        <w:rPr>
          <w:rFonts w:hint="eastAsia" w:ascii="宋体" w:hAnsi="宋体"/>
        </w:rPr>
        <w:t>32.5对不属于《资格性审查表》和《符合性审查表》所列的其他情形，除专用条款另有规定和32.4条款所列情形外，不得作为投标无效的理由。</w:t>
      </w:r>
    </w:p>
    <w:p w14:paraId="2BAFAAA0">
      <w:pPr>
        <w:rPr>
          <w:rFonts w:ascii="黑体" w:hAnsi="宋体" w:eastAsia="黑体"/>
          <w:sz w:val="24"/>
        </w:rPr>
      </w:pPr>
      <w:r>
        <w:rPr>
          <w:rFonts w:hint="eastAsia" w:ascii="黑体" w:hAnsi="宋体" w:eastAsia="黑体"/>
          <w:sz w:val="24"/>
        </w:rPr>
        <w:t>33．澄清有关问题</w:t>
      </w:r>
    </w:p>
    <w:p w14:paraId="5F1992B4">
      <w:pPr>
        <w:ind w:firstLine="411" w:firstLineChars="196"/>
        <w:rPr>
          <w:rFonts w:ascii="宋体" w:hAnsi="宋体"/>
        </w:rPr>
      </w:pPr>
      <w:bookmarkStart w:id="64" w:name="_Hlk71407321"/>
      <w:r>
        <w:rPr>
          <w:rFonts w:hint="eastAsia" w:ascii="宋体" w:hAnsi="宋体"/>
        </w:rPr>
        <w:t>3</w:t>
      </w:r>
      <w:r>
        <w:rPr>
          <w:rFonts w:ascii="宋体" w:hAnsi="宋体"/>
        </w:rPr>
        <w:t>3.1</w:t>
      </w:r>
      <w:r>
        <w:rPr>
          <w:rFonts w:hint="eastAsia" w:ascii="宋体" w:hAnsi="宋体"/>
        </w:rPr>
        <w:t>对招标文件中描述有歧义或前后不一致的地方（不含</w:t>
      </w:r>
      <w:r>
        <w:rPr>
          <w:szCs w:val="21"/>
        </w:rPr>
        <w:t>招标文件存在歧义、重大缺陷导致评</w:t>
      </w:r>
      <w:r>
        <w:rPr>
          <w:rFonts w:hint="eastAsia"/>
          <w:szCs w:val="21"/>
        </w:rPr>
        <w:t>审</w:t>
      </w:r>
      <w:r>
        <w:rPr>
          <w:szCs w:val="21"/>
        </w:rPr>
        <w:t>工作无法进行</w:t>
      </w:r>
      <w:r>
        <w:rPr>
          <w:rFonts w:hint="eastAsia"/>
          <w:szCs w:val="21"/>
        </w:rPr>
        <w:t>的情况）</w:t>
      </w:r>
      <w:r>
        <w:rPr>
          <w:rFonts w:hint="eastAsia" w:ascii="宋体" w:hAnsi="宋体"/>
        </w:rPr>
        <w:t>，评审委员会有权进行评判，但对同一条款的评判应适用于每个投标人。</w:t>
      </w:r>
      <w:bookmarkEnd w:id="64"/>
    </w:p>
    <w:p w14:paraId="5941866E">
      <w:pPr>
        <w:ind w:firstLine="411" w:firstLineChars="196"/>
        <w:rPr>
          <w:rFonts w:ascii="宋体" w:hAnsi="宋体"/>
        </w:rPr>
      </w:pPr>
      <w:r>
        <w:rPr>
          <w:rFonts w:hint="eastAsia" w:ascii="宋体" w:hAnsi="宋体"/>
        </w:rPr>
        <w:t>3</w:t>
      </w:r>
      <w:r>
        <w:rPr>
          <w:rFonts w:ascii="宋体" w:hAnsi="宋体"/>
        </w:rPr>
        <w:t>3.2</w:t>
      </w:r>
      <w:r>
        <w:rPr>
          <w:szCs w:val="21"/>
        </w:rPr>
        <w:t>评</w:t>
      </w:r>
      <w:r>
        <w:rPr>
          <w:rFonts w:hint="eastAsia"/>
          <w:szCs w:val="21"/>
        </w:rPr>
        <w:t>审</w:t>
      </w:r>
      <w:r>
        <w:rPr>
          <w:szCs w:val="21"/>
        </w:rPr>
        <w:t>委员会发现招标文件存在歧义、重大缺陷导致评</w:t>
      </w:r>
      <w:r>
        <w:rPr>
          <w:rFonts w:hint="eastAsia"/>
          <w:szCs w:val="21"/>
        </w:rPr>
        <w:t>审</w:t>
      </w:r>
      <w:r>
        <w:rPr>
          <w:szCs w:val="21"/>
        </w:rPr>
        <w:t>工作无法进行，或者招标文件内容违反国家有关强制性规定的，应当停止评</w:t>
      </w:r>
      <w:r>
        <w:rPr>
          <w:rFonts w:hint="eastAsia"/>
          <w:szCs w:val="21"/>
        </w:rPr>
        <w:t>审</w:t>
      </w:r>
      <w:r>
        <w:rPr>
          <w:szCs w:val="21"/>
        </w:rPr>
        <w:t>工作，与</w:t>
      </w:r>
      <w:r>
        <w:rPr>
          <w:rFonts w:hint="eastAsia"/>
          <w:szCs w:val="21"/>
        </w:rPr>
        <w:t>政府集中采购机构</w:t>
      </w:r>
      <w:r>
        <w:rPr>
          <w:szCs w:val="21"/>
        </w:rPr>
        <w:t>沟通并作书面记录。</w:t>
      </w:r>
      <w:r>
        <w:rPr>
          <w:rFonts w:hint="eastAsia"/>
          <w:szCs w:val="21"/>
        </w:rPr>
        <w:t>经</w:t>
      </w:r>
      <w:r>
        <w:rPr>
          <w:szCs w:val="21"/>
        </w:rPr>
        <w:t>确认后，</w:t>
      </w:r>
      <w:r>
        <w:rPr>
          <w:rFonts w:hint="eastAsia"/>
          <w:szCs w:val="21"/>
        </w:rPr>
        <w:t>项目</w:t>
      </w:r>
      <w:r>
        <w:rPr>
          <w:szCs w:val="21"/>
        </w:rPr>
        <w:t>应当修改招标文件，重新组织采购活动。</w:t>
      </w:r>
    </w:p>
    <w:p w14:paraId="7D7C9AC6">
      <w:pPr>
        <w:ind w:firstLine="411" w:firstLineChars="196"/>
        <w:rPr>
          <w:rFonts w:ascii="宋体" w:hAnsi="宋体"/>
        </w:rPr>
      </w:pPr>
      <w:r>
        <w:rPr>
          <w:rFonts w:ascii="宋体" w:hAnsi="宋体"/>
        </w:rPr>
        <w:t>33.3</w:t>
      </w:r>
      <w:r>
        <w:rPr>
          <w:rFonts w:hint="eastAsia" w:ascii="宋体" w:hAnsi="宋体"/>
        </w:rPr>
        <w:t>对于投标文件中含义不明确、同类问题表述不一致或者有明显文字和计算错误的内容，评审委员会应当以书面形式要求投标人作出必要的澄清、说明或者补正。</w:t>
      </w:r>
    </w:p>
    <w:p w14:paraId="34BBA222">
      <w:pPr>
        <w:ind w:firstLine="411" w:firstLineChars="196"/>
        <w:rPr>
          <w:rFonts w:ascii="宋体" w:hAnsi="宋体"/>
        </w:rPr>
      </w:pPr>
      <w:r>
        <w:rPr>
          <w:rFonts w:hint="eastAsia" w:ascii="宋体" w:hAnsi="宋体"/>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14:paraId="505FAF36">
      <w:pPr>
        <w:ind w:firstLine="411" w:firstLineChars="196"/>
        <w:rPr>
          <w:rFonts w:ascii="宋体" w:hAnsi="宋体"/>
          <w:szCs w:val="21"/>
        </w:rPr>
      </w:pPr>
      <w:r>
        <w:rPr>
          <w:rFonts w:hint="eastAsia" w:ascii="宋体" w:hAnsi="宋体"/>
          <w:szCs w:val="21"/>
        </w:rPr>
        <w:t>根据本通用条款第34条，凡属于评审委员会在评审中发现的算术错误进行核实的修改不在此列。</w:t>
      </w:r>
    </w:p>
    <w:p w14:paraId="1B238D84">
      <w:pPr>
        <w:rPr>
          <w:rFonts w:ascii="黑体" w:hAnsi="宋体" w:eastAsia="黑体"/>
          <w:sz w:val="24"/>
        </w:rPr>
      </w:pPr>
      <w:bookmarkStart w:id="65" w:name="_Toc100052400"/>
      <w:bookmarkStart w:id="66" w:name="_Toc73517673"/>
      <w:bookmarkStart w:id="67" w:name="_Toc73521669"/>
      <w:bookmarkStart w:id="68" w:name="_Toc73521581"/>
      <w:bookmarkStart w:id="69" w:name="_Toc73518151"/>
      <w:r>
        <w:rPr>
          <w:rFonts w:hint="eastAsia" w:ascii="黑体" w:hAnsi="宋体" w:eastAsia="黑体"/>
          <w:sz w:val="24"/>
        </w:rPr>
        <w:t>34．错误的修正</w:t>
      </w:r>
      <w:bookmarkEnd w:id="65"/>
      <w:bookmarkEnd w:id="66"/>
      <w:bookmarkEnd w:id="67"/>
      <w:bookmarkEnd w:id="68"/>
      <w:bookmarkEnd w:id="69"/>
    </w:p>
    <w:p w14:paraId="5AE905A5">
      <w:pPr>
        <w:ind w:firstLine="411" w:firstLineChars="196"/>
        <w:rPr>
          <w:rFonts w:ascii="宋体" w:hAnsi="宋体"/>
          <w:szCs w:val="21"/>
        </w:rPr>
      </w:pPr>
      <w:r>
        <w:rPr>
          <w:rFonts w:hint="eastAsia" w:ascii="宋体" w:hAnsi="宋体"/>
          <w:szCs w:val="21"/>
        </w:rPr>
        <w:t>投标文件报价出现前后不一致的，除专用条款另有规定外，按照下列规定修正：</w:t>
      </w:r>
    </w:p>
    <w:p w14:paraId="6B979EEB">
      <w:pPr>
        <w:ind w:firstLine="411" w:firstLineChars="196"/>
        <w:rPr>
          <w:rFonts w:ascii="宋体" w:hAnsi="宋体"/>
          <w:szCs w:val="21"/>
        </w:rPr>
      </w:pPr>
      <w:r>
        <w:rPr>
          <w:rFonts w:hint="eastAsia" w:ascii="宋体" w:hAnsi="宋体"/>
          <w:szCs w:val="21"/>
        </w:rPr>
        <w:t>34.1投标文件中开标一览表投标报价内容与投标文件中投标报价相应内容不一致的，以开标一览表为准；</w:t>
      </w:r>
    </w:p>
    <w:p w14:paraId="271947FC">
      <w:pPr>
        <w:ind w:firstLine="411" w:firstLineChars="196"/>
        <w:rPr>
          <w:rFonts w:ascii="宋体" w:hAnsi="宋体"/>
          <w:szCs w:val="21"/>
        </w:rPr>
      </w:pPr>
      <w:r>
        <w:rPr>
          <w:rFonts w:hint="eastAsia" w:ascii="宋体" w:hAnsi="宋体"/>
          <w:szCs w:val="21"/>
        </w:rPr>
        <w:t>34.2大写金额和小写金额不一致的，以大写金额为准；</w:t>
      </w:r>
    </w:p>
    <w:p w14:paraId="5406480B">
      <w:pPr>
        <w:ind w:firstLine="411" w:firstLineChars="196"/>
        <w:rPr>
          <w:rFonts w:ascii="宋体" w:hAnsi="宋体"/>
          <w:szCs w:val="21"/>
        </w:rPr>
      </w:pPr>
      <w:r>
        <w:rPr>
          <w:rFonts w:hint="eastAsia" w:ascii="宋体" w:hAnsi="宋体"/>
          <w:szCs w:val="21"/>
        </w:rPr>
        <w:t>34.3单价金额小数点或者百分比有明显错位，以开标一览表的总价为准，并修改单价；</w:t>
      </w:r>
    </w:p>
    <w:p w14:paraId="40058BB7">
      <w:pPr>
        <w:ind w:firstLine="411" w:firstLineChars="196"/>
        <w:rPr>
          <w:rFonts w:ascii="宋体" w:hAnsi="宋体"/>
          <w:szCs w:val="21"/>
        </w:rPr>
      </w:pPr>
      <w:r>
        <w:rPr>
          <w:rFonts w:hint="eastAsia" w:ascii="宋体" w:hAnsi="宋体"/>
          <w:szCs w:val="21"/>
        </w:rPr>
        <w:t>34.4总价金额与按单价汇总金额不一致的，以单价金额计算结果为准。</w:t>
      </w:r>
    </w:p>
    <w:p w14:paraId="7D2B6181">
      <w:pPr>
        <w:ind w:firstLine="411" w:firstLineChars="196"/>
        <w:rPr>
          <w:rFonts w:ascii="宋体" w:hAnsi="宋体"/>
          <w:szCs w:val="21"/>
        </w:rPr>
      </w:pPr>
      <w:r>
        <w:rPr>
          <w:rFonts w:hint="eastAsia" w:ascii="宋体" w:hAnsi="宋体"/>
          <w:szCs w:val="21"/>
        </w:rPr>
        <w:t>34.5同时出现两种以上不一致的，按照前款规定的顺序修正。修正后的报价按照本通用条款33条的规定，经投标人确认后产生约束力，投标人不确认的，其投标无效。</w:t>
      </w:r>
    </w:p>
    <w:p w14:paraId="0447667A">
      <w:pPr>
        <w:rPr>
          <w:rFonts w:ascii="黑体" w:hAnsi="宋体" w:eastAsia="黑体"/>
          <w:sz w:val="24"/>
        </w:rPr>
      </w:pPr>
      <w:r>
        <w:rPr>
          <w:rFonts w:hint="eastAsia" w:ascii="黑体" w:hAnsi="宋体" w:eastAsia="黑体"/>
          <w:sz w:val="24"/>
        </w:rPr>
        <w:t>35．投标文件的比较与评价</w:t>
      </w:r>
    </w:p>
    <w:p w14:paraId="20D97114">
      <w:pPr>
        <w:ind w:firstLine="411" w:firstLineChars="196"/>
        <w:rPr>
          <w:rFonts w:ascii="宋体" w:hAnsi="宋体"/>
          <w:szCs w:val="21"/>
        </w:rPr>
      </w:pPr>
      <w:r>
        <w:rPr>
          <w:rFonts w:hint="eastAsia" w:ascii="宋体" w:hAnsi="宋体"/>
          <w:szCs w:val="21"/>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14:paraId="2E821735">
      <w:pPr>
        <w:ind w:firstLine="411" w:firstLineChars="196"/>
        <w:rPr>
          <w:rFonts w:ascii="宋体" w:hAnsi="宋体"/>
          <w:szCs w:val="21"/>
        </w:rPr>
      </w:pPr>
      <w:r>
        <w:rPr>
          <w:rFonts w:hint="eastAsia" w:ascii="宋体" w:hAnsi="宋体"/>
          <w:szCs w:val="21"/>
        </w:rPr>
        <w:t>评审委员会成员对需要共同认定的事项存在争议的，应当按照少数服从多数的原则作出结论。持不同意见的评审委员会成员应当书面作出说明，否则视为无异议。</w:t>
      </w:r>
    </w:p>
    <w:p w14:paraId="3FB7E4A4">
      <w:pPr>
        <w:rPr>
          <w:rFonts w:ascii="黑体" w:hAnsi="宋体" w:eastAsia="黑体"/>
          <w:sz w:val="24"/>
        </w:rPr>
      </w:pPr>
      <w:r>
        <w:rPr>
          <w:rFonts w:hint="eastAsia" w:ascii="黑体" w:hAnsi="宋体" w:eastAsia="黑体"/>
          <w:sz w:val="24"/>
        </w:rPr>
        <w:t>36. 实地考察或资料查验</w:t>
      </w:r>
    </w:p>
    <w:p w14:paraId="76185613">
      <w:pPr>
        <w:ind w:firstLine="411" w:firstLineChars="196"/>
        <w:rPr>
          <w:rFonts w:ascii="宋体" w:hAnsi="宋体"/>
          <w:szCs w:val="21"/>
        </w:rPr>
      </w:pPr>
      <w:r>
        <w:rPr>
          <w:rFonts w:hint="eastAsia" w:ascii="宋体" w:hAnsi="宋体"/>
          <w:szCs w:val="21"/>
        </w:rPr>
        <w:t>36.1</w:t>
      </w:r>
      <w:r>
        <w:rPr>
          <w:rFonts w:hint="eastAsia" w:ascii="宋体" w:hAnsi="宋体"/>
          <w:szCs w:val="21"/>
          <w:lang w:val="en-US" w:eastAsia="zh-CN"/>
        </w:rPr>
        <w:t>在评审期间，评审委员会根据招标文件规定（详见“一、对通用条款的补充内容”），有权对本项目的投标人开展实地考察，投标人需时刻做好接收实地考察的准备。</w:t>
      </w:r>
    </w:p>
    <w:p w14:paraId="54159898">
      <w:pPr>
        <w:rPr>
          <w:rFonts w:ascii="黑体" w:hAnsi="宋体" w:eastAsia="黑体"/>
          <w:sz w:val="24"/>
        </w:rPr>
      </w:pPr>
      <w:r>
        <w:rPr>
          <w:rFonts w:hint="eastAsia" w:ascii="黑体" w:hAnsi="宋体" w:eastAsia="黑体"/>
          <w:sz w:val="24"/>
        </w:rPr>
        <w:t>37．评审方法</w:t>
      </w:r>
    </w:p>
    <w:p w14:paraId="1CF5C3AD">
      <w:pPr>
        <w:ind w:firstLine="413" w:firstLineChars="196"/>
        <w:rPr>
          <w:rFonts w:ascii="宋体" w:hAnsi="宋体"/>
          <w:b/>
          <w:bCs/>
          <w:szCs w:val="21"/>
        </w:rPr>
      </w:pPr>
      <w:r>
        <w:rPr>
          <w:rFonts w:hint="eastAsia" w:ascii="宋体" w:hAnsi="宋体"/>
          <w:b/>
          <w:bCs/>
          <w:szCs w:val="21"/>
        </w:rPr>
        <w:t>37.1.1最低价法</w:t>
      </w:r>
    </w:p>
    <w:p w14:paraId="5DB5FFE9">
      <w:pPr>
        <w:ind w:firstLine="411" w:firstLineChars="196"/>
        <w:rPr>
          <w:rFonts w:hint="eastAsia" w:ascii="ˎ̥" w:hAnsi="ˎ̥"/>
          <w:lang w:eastAsia="zh-CN"/>
        </w:rPr>
      </w:pPr>
      <w:bookmarkStart w:id="70" w:name="_Hlk72438142"/>
      <w:r>
        <w:rPr>
          <w:rFonts w:ascii="ˎ̥" w:hAnsi="ˎ̥"/>
        </w:rPr>
        <w:t>最低价法，</w:t>
      </w:r>
      <w:r>
        <w:rPr>
          <w:rFonts w:hint="eastAsia" w:ascii="ˎ̥" w:hAnsi="ˎ̥"/>
        </w:rPr>
        <w:t>是指投标文件满足招标文件全部实质性要求，且投标报价最低的投标人为中标候选人的评标方法</w:t>
      </w:r>
      <w:r>
        <w:rPr>
          <w:rFonts w:hint="eastAsia" w:ascii="ˎ̥" w:hAnsi="ˎ̥"/>
          <w:lang w:eastAsia="zh-CN"/>
        </w:rPr>
        <w:t>。</w:t>
      </w:r>
    </w:p>
    <w:p w14:paraId="43E17054">
      <w:pPr>
        <w:ind w:firstLine="411" w:firstLineChars="196"/>
        <w:rPr>
          <w:rFonts w:hint="eastAsia" w:ascii="ˎ̥" w:hAnsi="ˎ̥" w:eastAsia="宋体"/>
          <w:lang w:eastAsia="zh-CN"/>
        </w:rPr>
      </w:pPr>
      <w:r>
        <w:rPr>
          <w:rFonts w:hint="eastAsia" w:ascii="ˎ̥" w:hAnsi="ˎ̥"/>
          <w:lang w:eastAsia="zh-CN"/>
        </w:rPr>
        <w:t>采用最低价法的，评标结果按投标报价由低到高顺序排列。投标报价相同的并列。投标文件满足招标文件全部实质性要求且投标报价最低的投标人为排名第一的中标候选人。中标候选人并列的，由采购人或者采购人委托评标委员会按照招标文件规定的方式确定中标人；招标文件未规定的，采取随机抽取的方式确定。</w:t>
      </w:r>
    </w:p>
    <w:p w14:paraId="6E36482A">
      <w:pPr>
        <w:ind w:firstLine="413" w:firstLineChars="196"/>
        <w:rPr>
          <w:rFonts w:ascii="宋体" w:hAnsi="宋体"/>
          <w:b/>
          <w:bCs/>
          <w:szCs w:val="21"/>
        </w:rPr>
      </w:pPr>
      <w:r>
        <w:rPr>
          <w:rFonts w:hint="eastAsia" w:ascii="宋体" w:hAnsi="宋体"/>
          <w:b/>
          <w:bCs/>
          <w:szCs w:val="21"/>
        </w:rPr>
        <w:t>37.1.2综合评分法</w:t>
      </w:r>
    </w:p>
    <w:p w14:paraId="3A3D9D1C">
      <w:pPr>
        <w:ind w:firstLine="411" w:firstLineChars="196"/>
        <w:rPr>
          <w:rFonts w:hint="eastAsia" w:ascii="ˎ̥" w:hAnsi="ˎ̥"/>
          <w:lang w:eastAsia="zh-CN"/>
        </w:rPr>
      </w:pPr>
      <w:r>
        <w:rPr>
          <w:rFonts w:ascii="ˎ̥" w:hAnsi="ˎ̥"/>
        </w:rPr>
        <w:t>综合评分法，是指</w:t>
      </w:r>
      <w:r>
        <w:rPr>
          <w:rFonts w:hint="eastAsia" w:ascii="ˎ̥" w:hAnsi="ˎ̥"/>
        </w:rPr>
        <w:t>在</w:t>
      </w:r>
      <w:r>
        <w:rPr>
          <w:rFonts w:ascii="ˎ̥" w:hAnsi="ˎ̥"/>
        </w:rPr>
        <w:t>满足招标文件全部实质性要求</w:t>
      </w:r>
      <w:r>
        <w:rPr>
          <w:rFonts w:hint="eastAsia" w:ascii="ˎ̥" w:hAnsi="ˎ̥"/>
        </w:rPr>
        <w:t>的前提下</w:t>
      </w:r>
      <w:r>
        <w:rPr>
          <w:rFonts w:ascii="ˎ̥" w:hAnsi="ˎ̥"/>
        </w:rPr>
        <w:t>，</w:t>
      </w:r>
      <w:r>
        <w:rPr>
          <w:rFonts w:hint="eastAsia" w:ascii="ˎ̥" w:hAnsi="ˎ̥"/>
        </w:rPr>
        <w:t>按照招标文件中规定的各项因素进行综合评审，评审总得分排名前列的投标人，作为推荐的候选中标供应商</w:t>
      </w:r>
      <w:bookmarkEnd w:id="70"/>
      <w:r>
        <w:rPr>
          <w:rFonts w:hint="eastAsia" w:ascii="ˎ̥" w:hAnsi="ˎ̥"/>
          <w:lang w:eastAsia="zh-CN"/>
        </w:rPr>
        <w:t>。</w:t>
      </w:r>
    </w:p>
    <w:p w14:paraId="7A9FDFD6">
      <w:pPr>
        <w:ind w:firstLine="411" w:firstLineChars="196"/>
        <w:rPr>
          <w:rFonts w:hint="eastAsia" w:ascii="ˎ̥" w:hAnsi="ˎ̥"/>
          <w:lang w:eastAsia="zh-CN"/>
        </w:rPr>
      </w:pPr>
      <w:r>
        <w:rPr>
          <w:rFonts w:hint="eastAsia" w:ascii="ˎ̥" w:hAnsi="ˎ̥"/>
          <w:lang w:eastAsia="zh-CN"/>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中标候选人并列的，由采购人或者采购人委托评标委员会按照招标文件规定的方式确定中标人；招标文件未规定的，采取随机抽取的方式确定。</w:t>
      </w:r>
    </w:p>
    <w:p w14:paraId="22CD063A">
      <w:pPr>
        <w:ind w:firstLine="413" w:firstLineChars="196"/>
        <w:rPr>
          <w:rFonts w:ascii="宋体" w:hAnsi="宋体"/>
          <w:b/>
          <w:bCs/>
          <w:szCs w:val="21"/>
        </w:rPr>
      </w:pPr>
      <w:r>
        <w:rPr>
          <w:rFonts w:hint="eastAsia" w:ascii="宋体" w:hAnsi="宋体"/>
          <w:b/>
          <w:bCs/>
          <w:szCs w:val="21"/>
        </w:rPr>
        <w:t>37.2本项目采用的评审方法见本项目招标文件第一册“专用条款”的相关内容。</w:t>
      </w:r>
    </w:p>
    <w:p w14:paraId="175BC747">
      <w:pPr>
        <w:ind w:firstLine="413" w:firstLineChars="196"/>
        <w:rPr>
          <w:rFonts w:ascii="宋体" w:hAnsi="宋体"/>
          <w:b/>
          <w:bCs/>
          <w:szCs w:val="21"/>
        </w:rPr>
      </w:pPr>
      <w:r>
        <w:rPr>
          <w:rFonts w:hint="eastAsia" w:ascii="宋体" w:hAnsi="宋体"/>
          <w:b/>
          <w:bCs/>
          <w:szCs w:val="21"/>
        </w:rPr>
        <w:t>37.3重新评审的情形</w:t>
      </w:r>
    </w:p>
    <w:p w14:paraId="764E1385">
      <w:pPr>
        <w:ind w:firstLine="411" w:firstLineChars="196"/>
        <w:rPr>
          <w:rFonts w:ascii="宋体" w:hAnsi="宋体"/>
          <w:b/>
          <w:bCs/>
          <w:szCs w:val="21"/>
        </w:rPr>
      </w:pPr>
      <w:r>
        <w:rPr>
          <w:rFonts w:hint="eastAsia" w:ascii="宋体" w:hAnsi="宋体" w:cs="宋体"/>
          <w:kern w:val="0"/>
          <w:szCs w:val="21"/>
        </w:rPr>
        <w:t>评审结果汇总完成后，除下列情形外，任何人不得修改评审结果：</w:t>
      </w:r>
    </w:p>
    <w:p w14:paraId="1D4C43F4">
      <w:pPr>
        <w:ind w:firstLine="411" w:firstLineChars="196"/>
        <w:rPr>
          <w:rFonts w:ascii="宋体" w:hAnsi="宋体" w:cs="宋体"/>
          <w:kern w:val="0"/>
          <w:szCs w:val="21"/>
        </w:rPr>
      </w:pPr>
      <w:r>
        <w:rPr>
          <w:rFonts w:hint="eastAsia" w:ascii="宋体" w:hAnsi="宋体" w:cs="宋体"/>
          <w:kern w:val="0"/>
          <w:szCs w:val="21"/>
        </w:rPr>
        <w:t>37.3.1分值汇总计算错误的；</w:t>
      </w:r>
    </w:p>
    <w:p w14:paraId="68BD487B">
      <w:pPr>
        <w:ind w:firstLine="411" w:firstLineChars="196"/>
        <w:rPr>
          <w:rFonts w:ascii="宋体" w:hAnsi="宋体" w:cs="宋体"/>
          <w:kern w:val="0"/>
          <w:szCs w:val="21"/>
        </w:rPr>
      </w:pPr>
      <w:r>
        <w:rPr>
          <w:rFonts w:hint="eastAsia" w:ascii="宋体" w:hAnsi="宋体" w:cs="宋体"/>
          <w:kern w:val="0"/>
          <w:szCs w:val="21"/>
        </w:rPr>
        <w:t>37.3.2分项评分超出评分标准范围的；</w:t>
      </w:r>
    </w:p>
    <w:p w14:paraId="26B1C5CD">
      <w:pPr>
        <w:ind w:firstLine="411" w:firstLineChars="196"/>
        <w:rPr>
          <w:rFonts w:ascii="宋体" w:hAnsi="宋体" w:cs="宋体"/>
          <w:kern w:val="0"/>
          <w:szCs w:val="21"/>
        </w:rPr>
      </w:pPr>
      <w:r>
        <w:rPr>
          <w:rFonts w:hint="eastAsia" w:ascii="宋体" w:hAnsi="宋体" w:cs="宋体"/>
          <w:kern w:val="0"/>
          <w:szCs w:val="21"/>
        </w:rPr>
        <w:t>37.3.3评审委员会成员对客观评审因素评分不一致的；</w:t>
      </w:r>
    </w:p>
    <w:p w14:paraId="7DE92E6C">
      <w:pPr>
        <w:ind w:firstLine="411" w:firstLineChars="196"/>
        <w:rPr>
          <w:rFonts w:ascii="宋体" w:hAnsi="宋体" w:cs="宋体"/>
          <w:kern w:val="0"/>
          <w:szCs w:val="21"/>
        </w:rPr>
      </w:pPr>
      <w:r>
        <w:rPr>
          <w:rFonts w:hint="eastAsia" w:ascii="宋体" w:hAnsi="宋体" w:cs="宋体"/>
          <w:kern w:val="0"/>
          <w:szCs w:val="21"/>
        </w:rPr>
        <w:t>37.3.4经评审委员会认定评分畸高、畸低的。</w:t>
      </w:r>
    </w:p>
    <w:p w14:paraId="764B7118">
      <w:pPr>
        <w:ind w:firstLine="411" w:firstLineChars="196"/>
        <w:rPr>
          <w:rFonts w:ascii="宋体" w:hAnsi="宋体" w:cs="宋体"/>
          <w:kern w:val="0"/>
          <w:szCs w:val="21"/>
        </w:rPr>
      </w:pPr>
      <w:r>
        <w:rPr>
          <w:rFonts w:hint="eastAsia" w:ascii="宋体" w:hAnsi="宋体" w:cs="宋体"/>
          <w:kern w:val="0"/>
          <w:szCs w:val="21"/>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14:paraId="54243C3F">
      <w:pPr>
        <w:ind w:firstLine="411" w:firstLineChars="196"/>
        <w:rPr>
          <w:rFonts w:ascii="宋体" w:hAnsi="宋体" w:cs="宋体"/>
          <w:kern w:val="0"/>
          <w:szCs w:val="21"/>
        </w:rPr>
      </w:pPr>
      <w:r>
        <w:rPr>
          <w:rFonts w:hint="eastAsia" w:ascii="宋体" w:hAnsi="宋体" w:cs="宋体"/>
          <w:kern w:val="0"/>
          <w:szCs w:val="21"/>
        </w:rPr>
        <w:t>投标人对本条第一款情形提出质疑的，采购人或者采购代理机构可以组织原评审委员会进行重新评审，重新评审改变评审结果的，应当书面报告本级财政部门。</w:t>
      </w:r>
    </w:p>
    <w:p w14:paraId="46673B7B">
      <w:pPr>
        <w:ind w:firstLine="413" w:firstLineChars="196"/>
        <w:rPr>
          <w:rFonts w:ascii="宋体" w:hAnsi="宋体"/>
          <w:b/>
          <w:bCs/>
          <w:szCs w:val="21"/>
        </w:rPr>
      </w:pPr>
      <w:r>
        <w:rPr>
          <w:rFonts w:hint="eastAsia" w:ascii="宋体" w:hAnsi="宋体"/>
          <w:b/>
          <w:bCs/>
          <w:szCs w:val="21"/>
        </w:rPr>
        <w:t>37.4重新组建评审委员会的情形</w:t>
      </w:r>
    </w:p>
    <w:p w14:paraId="3C48CEE5">
      <w:pPr>
        <w:ind w:firstLine="411" w:firstLineChars="196"/>
        <w:rPr>
          <w:rFonts w:ascii="宋体" w:hAnsi="宋体" w:cs="宋体"/>
          <w:kern w:val="0"/>
          <w:szCs w:val="21"/>
        </w:rPr>
      </w:pPr>
      <w:r>
        <w:rPr>
          <w:rFonts w:hint="eastAsia" w:ascii="宋体" w:hAnsi="宋体" w:cs="宋体"/>
          <w:kern w:val="0"/>
          <w:szCs w:val="21"/>
        </w:rPr>
        <w:t>评审委员会或者其成员存在下列情形导致评审结果无效的，重新组建评审委员会进行评标，并书面报告本级财政部门：</w:t>
      </w:r>
    </w:p>
    <w:p w14:paraId="6145EAF5">
      <w:pPr>
        <w:ind w:firstLine="411" w:firstLineChars="196"/>
        <w:rPr>
          <w:rFonts w:ascii="宋体" w:hAnsi="宋体" w:cs="宋体"/>
          <w:kern w:val="0"/>
          <w:szCs w:val="21"/>
        </w:rPr>
      </w:pPr>
      <w:r>
        <w:rPr>
          <w:rFonts w:hint="eastAsia" w:ascii="宋体" w:hAnsi="宋体" w:cs="宋体"/>
          <w:kern w:val="0"/>
          <w:szCs w:val="21"/>
        </w:rPr>
        <w:t>37.4.1评审委员会组成不符合《政府采购货物和服务招标投标管理办法》规定的；</w:t>
      </w:r>
    </w:p>
    <w:p w14:paraId="16E78748">
      <w:pPr>
        <w:ind w:firstLine="411" w:firstLineChars="196"/>
        <w:rPr>
          <w:rFonts w:ascii="宋体" w:hAnsi="宋体" w:cs="宋体"/>
          <w:kern w:val="0"/>
          <w:szCs w:val="21"/>
        </w:rPr>
      </w:pPr>
      <w:r>
        <w:rPr>
          <w:rFonts w:hint="eastAsia" w:ascii="宋体" w:hAnsi="宋体" w:cs="宋体"/>
          <w:kern w:val="0"/>
          <w:szCs w:val="21"/>
        </w:rPr>
        <w:t>37.4.2有《政府采购货物和服务招标投标管理办法》第六十二条第一至五项情形的；</w:t>
      </w:r>
    </w:p>
    <w:p w14:paraId="10B1C499">
      <w:pPr>
        <w:ind w:firstLine="411" w:firstLineChars="196"/>
        <w:rPr>
          <w:rFonts w:ascii="宋体" w:hAnsi="宋体" w:cs="宋体"/>
          <w:kern w:val="0"/>
          <w:szCs w:val="21"/>
        </w:rPr>
      </w:pPr>
      <w:r>
        <w:rPr>
          <w:rFonts w:hint="eastAsia" w:ascii="宋体" w:hAnsi="宋体" w:cs="宋体"/>
          <w:kern w:val="0"/>
          <w:szCs w:val="21"/>
        </w:rPr>
        <w:t>37.4.3评审委员会及其成员独立评标受到非法干预的；</w:t>
      </w:r>
    </w:p>
    <w:p w14:paraId="06894188">
      <w:pPr>
        <w:ind w:firstLine="411" w:firstLineChars="196"/>
        <w:rPr>
          <w:rFonts w:ascii="宋体" w:hAnsi="宋体" w:cs="宋体"/>
          <w:kern w:val="0"/>
          <w:szCs w:val="21"/>
        </w:rPr>
      </w:pPr>
      <w:r>
        <w:rPr>
          <w:rFonts w:hint="eastAsia" w:ascii="宋体" w:hAnsi="宋体" w:cs="宋体"/>
          <w:kern w:val="0"/>
          <w:szCs w:val="21"/>
        </w:rPr>
        <w:t>37.4.4有政府采购法实施条例第七十五条规定的违法行为的。</w:t>
      </w:r>
    </w:p>
    <w:p w14:paraId="74D922BE">
      <w:pPr>
        <w:ind w:firstLine="411" w:firstLineChars="196"/>
        <w:rPr>
          <w:rFonts w:ascii="宋体" w:hAnsi="宋体" w:cs="宋体"/>
          <w:kern w:val="0"/>
          <w:szCs w:val="21"/>
        </w:rPr>
      </w:pPr>
      <w:r>
        <w:rPr>
          <w:rFonts w:hint="eastAsia" w:ascii="宋体" w:hAnsi="宋体" w:cs="宋体"/>
          <w:kern w:val="0"/>
          <w:szCs w:val="21"/>
        </w:rPr>
        <w:t>有违法违规行为的原评审委员会成员不得参加重新组建的评审委员会。</w:t>
      </w:r>
    </w:p>
    <w:p w14:paraId="2303F957">
      <w:pPr>
        <w:ind w:firstLine="411" w:firstLineChars="196"/>
        <w:rPr>
          <w:rFonts w:ascii="宋体" w:hAnsi="宋体"/>
          <w:szCs w:val="21"/>
        </w:rPr>
      </w:pPr>
    </w:p>
    <w:p w14:paraId="5E50A8F3">
      <w:pPr>
        <w:pStyle w:val="7"/>
        <w:numPr>
          <w:ilvl w:val="0"/>
          <w:numId w:val="11"/>
        </w:numPr>
        <w:spacing w:before="120" w:beforeLines="50" w:after="120" w:afterLines="50"/>
        <w:ind w:left="562" w:hanging="562"/>
        <w:rPr>
          <w:sz w:val="28"/>
          <w:szCs w:val="28"/>
        </w:rPr>
      </w:pPr>
      <w:r>
        <w:rPr>
          <w:rFonts w:hint="eastAsia"/>
          <w:sz w:val="28"/>
          <w:szCs w:val="28"/>
        </w:rPr>
        <w:t>定标及公示</w:t>
      </w:r>
    </w:p>
    <w:p w14:paraId="5D8B6A63">
      <w:pPr>
        <w:rPr>
          <w:rFonts w:ascii="黑体" w:hAnsi="宋体" w:eastAsia="黑体"/>
          <w:sz w:val="24"/>
        </w:rPr>
      </w:pPr>
      <w:r>
        <w:rPr>
          <w:rFonts w:hint="eastAsia" w:ascii="黑体" w:hAnsi="宋体" w:eastAsia="黑体"/>
          <w:sz w:val="24"/>
        </w:rPr>
        <w:t>38．定标方法</w:t>
      </w:r>
    </w:p>
    <w:p w14:paraId="3B91235F">
      <w:pPr>
        <w:ind w:firstLine="411" w:firstLineChars="196"/>
        <w:rPr>
          <w:rFonts w:ascii="宋体" w:hAnsi="宋体"/>
          <w:szCs w:val="21"/>
        </w:rPr>
      </w:pPr>
      <w:bookmarkStart w:id="71" w:name="_Hlk73782795"/>
      <w:r>
        <w:rPr>
          <w:rFonts w:hint="eastAsia" w:ascii="宋体" w:hAnsi="宋体"/>
          <w:szCs w:val="21"/>
        </w:rPr>
        <w:t>38.1非评定分离项目定标方法</w:t>
      </w:r>
    </w:p>
    <w:p w14:paraId="05D0B49D">
      <w:pPr>
        <w:ind w:firstLine="411" w:firstLineChars="196"/>
        <w:rPr>
          <w:rFonts w:ascii="宋体" w:hAnsi="宋体"/>
          <w:szCs w:val="21"/>
        </w:rPr>
      </w:pPr>
      <w:r>
        <w:rPr>
          <w:rFonts w:hint="eastAsia" w:ascii="宋体" w:hAnsi="宋体"/>
          <w:szCs w:val="21"/>
        </w:rPr>
        <w:t>38</w:t>
      </w:r>
      <w:r>
        <w:rPr>
          <w:rFonts w:ascii="宋体" w:hAnsi="宋体"/>
          <w:szCs w:val="21"/>
        </w:rPr>
        <w:t>.</w:t>
      </w:r>
      <w:r>
        <w:rPr>
          <w:rFonts w:hint="eastAsia" w:ascii="宋体" w:hAnsi="宋体"/>
          <w:szCs w:val="21"/>
        </w:rPr>
        <w:t>1.1评审委员会依据本项目招标文件所约定的评审方法进行评审和比较，向政府集中采购机构提交书面评审报告，并根据评审方法比较评价结果从优到劣进行排序，确定候选中标供应商。</w:t>
      </w:r>
    </w:p>
    <w:p w14:paraId="6D84200E">
      <w:pPr>
        <w:ind w:firstLine="411" w:firstLineChars="196"/>
        <w:rPr>
          <w:rFonts w:ascii="ˎ̥" w:hAnsi="ˎ̥"/>
        </w:rPr>
      </w:pPr>
      <w:r>
        <w:rPr>
          <w:rFonts w:hint="eastAsia" w:ascii="宋体" w:hAnsi="宋体"/>
          <w:szCs w:val="21"/>
        </w:rPr>
        <w:t>38</w:t>
      </w:r>
      <w:r>
        <w:rPr>
          <w:rFonts w:ascii="宋体" w:hAnsi="宋体"/>
          <w:szCs w:val="21"/>
        </w:rPr>
        <w:t>.</w:t>
      </w:r>
      <w:r>
        <w:rPr>
          <w:rFonts w:hint="eastAsia" w:ascii="宋体" w:hAnsi="宋体"/>
          <w:szCs w:val="21"/>
        </w:rPr>
        <w:t>1.2</w:t>
      </w:r>
      <w:r>
        <w:rPr>
          <w:rFonts w:ascii="ˎ̥" w:hAnsi="ˎ̥"/>
        </w:rPr>
        <w:t>采用最低价法的，评</w:t>
      </w:r>
      <w:r>
        <w:rPr>
          <w:rFonts w:hint="eastAsia" w:ascii="ˎ̥" w:hAnsi="ˎ̥"/>
        </w:rPr>
        <w:t>审</w:t>
      </w:r>
      <w:r>
        <w:rPr>
          <w:rFonts w:ascii="ˎ̥" w:hAnsi="ˎ̥"/>
        </w:rPr>
        <w:t>结果按投标报价由低到高顺序排列。投标报价相同的并列。投标文件满足招标文件全部实质性要求且投标报价最低的</w:t>
      </w:r>
      <w:r>
        <w:rPr>
          <w:rFonts w:hint="eastAsia" w:ascii="ˎ̥" w:hAnsi="ˎ̥"/>
        </w:rPr>
        <w:t>投标人为</w:t>
      </w:r>
      <w:bookmarkStart w:id="72" w:name="_Hlk73821177"/>
      <w:r>
        <w:rPr>
          <w:rFonts w:hint="eastAsia" w:ascii="ˎ̥" w:hAnsi="ˎ̥"/>
        </w:rPr>
        <w:t>中标供应商</w:t>
      </w:r>
      <w:r>
        <w:rPr>
          <w:rFonts w:ascii="ˎ̥" w:hAnsi="ˎ̥"/>
        </w:rPr>
        <w:t>（</w:t>
      </w:r>
      <w:r>
        <w:rPr>
          <w:rFonts w:hint="eastAsia" w:ascii="ˎ̥" w:hAnsi="ˎ̥"/>
        </w:rPr>
        <w:t>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w:t>
      </w:r>
      <w:bookmarkEnd w:id="72"/>
      <w:r>
        <w:rPr>
          <w:rFonts w:ascii="ˎ̥" w:hAnsi="ˎ̥"/>
        </w:rPr>
        <w:t>）。</w:t>
      </w:r>
    </w:p>
    <w:p w14:paraId="400332FF">
      <w:pPr>
        <w:ind w:firstLine="411" w:firstLineChars="196"/>
        <w:rPr>
          <w:rFonts w:ascii="ˎ̥" w:hAnsi="ˎ̥"/>
        </w:rPr>
      </w:pPr>
      <w:r>
        <w:rPr>
          <w:rFonts w:hint="eastAsia" w:ascii="宋体" w:hAnsi="宋体"/>
          <w:szCs w:val="21"/>
        </w:rPr>
        <w:t>38</w:t>
      </w:r>
      <w:r>
        <w:rPr>
          <w:rFonts w:ascii="宋体" w:hAnsi="宋体"/>
          <w:szCs w:val="21"/>
        </w:rPr>
        <w:t>.</w:t>
      </w:r>
      <w:r>
        <w:rPr>
          <w:rFonts w:hint="eastAsia" w:ascii="宋体" w:hAnsi="宋体"/>
          <w:szCs w:val="21"/>
        </w:rPr>
        <w:t>1.3</w:t>
      </w:r>
      <w:r>
        <w:rPr>
          <w:rFonts w:ascii="宋体" w:hAnsi="宋体"/>
          <w:szCs w:val="21"/>
        </w:rPr>
        <w:t>采</w:t>
      </w:r>
      <w:r>
        <w:rPr>
          <w:rFonts w:ascii="ˎ̥" w:hAnsi="ˎ̥"/>
        </w:rPr>
        <w:t>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w:t>
      </w:r>
      <w:r>
        <w:rPr>
          <w:rFonts w:hint="eastAsia" w:ascii="ˎ̥" w:hAnsi="ˎ̥"/>
        </w:rPr>
        <w:t>为中标供应商</w:t>
      </w:r>
      <w:r>
        <w:rPr>
          <w:rFonts w:ascii="ˎ̥" w:hAnsi="ˎ̥"/>
        </w:rPr>
        <w:t>（</w:t>
      </w:r>
      <w:r>
        <w:rPr>
          <w:rFonts w:hint="eastAsia" w:ascii="ˎ̥" w:hAnsi="ˎ̥"/>
        </w:rPr>
        <w:t>排名</w:t>
      </w:r>
      <w:r>
        <w:rPr>
          <w:rFonts w:ascii="ˎ̥" w:hAnsi="ˎ̥"/>
        </w:rPr>
        <w:t>第二</w:t>
      </w:r>
      <w:r>
        <w:rPr>
          <w:rFonts w:hint="eastAsia" w:ascii="ˎ̥" w:hAnsi="ˎ̥"/>
        </w:rPr>
        <w:t>的投标人为第一替补中标候选人、排名</w:t>
      </w:r>
      <w:r>
        <w:rPr>
          <w:rFonts w:ascii="ˎ̥" w:hAnsi="ˎ̥"/>
        </w:rPr>
        <w:t>第</w:t>
      </w:r>
      <w:r>
        <w:rPr>
          <w:rFonts w:hint="eastAsia" w:ascii="ˎ̥" w:hAnsi="ˎ̥"/>
        </w:rPr>
        <w:t>三的投标人为第二替补中标候选人</w:t>
      </w:r>
      <w:r>
        <w:rPr>
          <w:rFonts w:ascii="ˎ̥" w:hAnsi="ˎ̥"/>
        </w:rPr>
        <w:t>）。</w:t>
      </w:r>
      <w:r>
        <w:rPr>
          <w:rFonts w:hint="eastAsia" w:ascii="ˎ̥" w:hAnsi="ˎ̥"/>
        </w:rPr>
        <w:t>出现</w:t>
      </w:r>
      <w:r>
        <w:rPr>
          <w:rFonts w:ascii="ˎ̥" w:hAnsi="ˎ̥"/>
        </w:rPr>
        <w:t>得分且投标报价相同的并列</w:t>
      </w:r>
      <w:r>
        <w:rPr>
          <w:rFonts w:hint="eastAsia" w:ascii="ˎ̥" w:hAnsi="ˎ̥"/>
        </w:rPr>
        <w:t>情况时，采取随机抽取的方式确定，具体操作办法及流程由评审委员会确定。</w:t>
      </w:r>
    </w:p>
    <w:p w14:paraId="375ADECB">
      <w:pPr>
        <w:ind w:firstLine="411" w:firstLineChars="196"/>
        <w:rPr>
          <w:rFonts w:ascii="宋体" w:hAnsi="宋体"/>
          <w:szCs w:val="21"/>
        </w:rPr>
      </w:pPr>
      <w:r>
        <w:rPr>
          <w:rFonts w:hint="eastAsia" w:ascii="宋体" w:hAnsi="宋体"/>
          <w:szCs w:val="21"/>
        </w:rPr>
        <w:t>38.2评定分离项目定标方法</w:t>
      </w:r>
    </w:p>
    <w:p w14:paraId="2E8C2B6D">
      <w:pPr>
        <w:ind w:firstLine="411" w:firstLineChars="196"/>
        <w:rPr>
          <w:rFonts w:ascii="宋体" w:hAnsi="宋体"/>
          <w:szCs w:val="21"/>
        </w:rPr>
      </w:pPr>
      <w:r>
        <w:rPr>
          <w:rFonts w:hint="eastAsia" w:ascii="宋体" w:hAnsi="宋体"/>
          <w:szCs w:val="21"/>
        </w:rPr>
        <w:t>38.2.1评定分离是指在政府集中采购程序中，以公开招标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14:paraId="3E0AB1A7">
      <w:pPr>
        <w:ind w:firstLine="411" w:firstLineChars="196"/>
      </w:pPr>
      <w:r>
        <w:rPr>
          <w:rFonts w:ascii="宋体" w:hAnsi="宋体"/>
          <w:szCs w:val="21"/>
        </w:rPr>
        <w:t xml:space="preserve">38.2.2 </w:t>
      </w:r>
      <w:bookmarkStart w:id="73" w:name="_Hlk71469733"/>
      <w:r>
        <w:t>适用评定分离的政府采购项目，采用综合评分法评</w:t>
      </w:r>
      <w:r>
        <w:rPr>
          <w:rFonts w:hint="eastAsia"/>
        </w:rPr>
        <w:t>审。</w:t>
      </w:r>
      <w:r>
        <w:rPr>
          <w:rFonts w:hint="eastAsia" w:ascii="宋体" w:hAnsi="宋体"/>
          <w:szCs w:val="21"/>
        </w:rPr>
        <w:t>评审委员会按照评审结果，推荐</w:t>
      </w:r>
      <w:r>
        <w:t>三个合格的候选中标供应商。</w:t>
      </w:r>
    </w:p>
    <w:p w14:paraId="6BB5CBC7">
      <w:pPr>
        <w:ind w:firstLine="411" w:firstLineChars="196"/>
        <w:rPr>
          <w:rFonts w:ascii="宋体" w:hAnsi="宋体"/>
          <w:szCs w:val="21"/>
        </w:rPr>
      </w:pPr>
      <w:r>
        <w:rPr>
          <w:rFonts w:hint="eastAsia" w:ascii="宋体" w:hAnsi="宋体"/>
          <w:szCs w:val="21"/>
        </w:rPr>
        <w:t>38.2.3</w:t>
      </w:r>
      <w:bookmarkStart w:id="74" w:name="_Hlk71469688"/>
      <w:r>
        <w:t>适用评定分离的政府采购项目，</w:t>
      </w:r>
      <w:r>
        <w:rPr>
          <w:rFonts w:hint="eastAsia" w:ascii="宋体" w:hAnsi="宋体"/>
          <w:szCs w:val="21"/>
        </w:rPr>
        <w:t>按照自定法确定中标供应商：自定法是指采购人组织定标委员会，由定标委员会在三家候选中标供应商中确定中标供应商。</w:t>
      </w:r>
      <w:bookmarkEnd w:id="73"/>
      <w:bookmarkEnd w:id="74"/>
    </w:p>
    <w:p w14:paraId="297D3E67">
      <w:pPr>
        <w:ind w:firstLine="411" w:firstLineChars="196"/>
        <w:rPr>
          <w:rFonts w:ascii="宋体" w:hAnsi="宋体"/>
          <w:szCs w:val="21"/>
        </w:rPr>
      </w:pPr>
      <w:r>
        <w:rPr>
          <w:rFonts w:ascii="宋体" w:hAnsi="宋体"/>
          <w:szCs w:val="21"/>
        </w:rPr>
        <w:t>38.2.4</w:t>
      </w:r>
      <w:r>
        <w:rPr>
          <w:rFonts w:hint="eastAsia" w:ascii="宋体" w:hAnsi="宋体"/>
          <w:szCs w:val="21"/>
        </w:rPr>
        <w:t>政府集中采购机构</w:t>
      </w:r>
      <w:r>
        <w:t>应当自评审结束之日起两个工作日内将候选中标供应商名单及其投标文件、评审报告送交采购人</w:t>
      </w:r>
      <w:r>
        <w:rPr>
          <w:rFonts w:hint="eastAsia" w:ascii="宋体" w:hAnsi="宋体"/>
          <w:szCs w:val="21"/>
        </w:rPr>
        <w:t>。</w:t>
      </w:r>
      <w:r>
        <w:t>采购人应当安排专人对定标过程进行书面记录，形成定标报告，作为采购文件的组成部分存档，并及时将定标结果反馈</w:t>
      </w:r>
      <w:r>
        <w:rPr>
          <w:rFonts w:hint="eastAsia"/>
        </w:rPr>
        <w:t>政府集中采购机构。具体定标程序及相关要求以按照《深圳市财政局关于</w:t>
      </w:r>
      <w:r>
        <w:rPr>
          <w:rFonts w:hint="eastAsia" w:ascii="Times New Roman" w:eastAsia="宋体"/>
          <w:lang w:val="en-US" w:eastAsia="zh-CN"/>
        </w:rPr>
        <w:t>&lt;</w:t>
      </w:r>
      <w:r>
        <w:rPr>
          <w:rFonts w:hint="eastAsia"/>
        </w:rPr>
        <w:t>深圳市政府采购评标定标分离管理办法</w:t>
      </w:r>
      <w:r>
        <w:rPr>
          <w:rFonts w:hint="eastAsia" w:ascii="Times New Roman" w:eastAsia="宋体"/>
          <w:lang w:val="en-US" w:eastAsia="zh-CN"/>
        </w:rPr>
        <w:t>&gt;</w:t>
      </w:r>
      <w:r>
        <w:rPr>
          <w:rFonts w:hint="eastAsia"/>
        </w:rPr>
        <w:t>续期的通知》（深财规〔2023〕1号）执行。</w:t>
      </w:r>
    </w:p>
    <w:p w14:paraId="0C159EE9">
      <w:pPr>
        <w:ind w:firstLine="411" w:firstLineChars="196"/>
        <w:rPr>
          <w:rFonts w:ascii="宋体" w:hAnsi="宋体"/>
          <w:szCs w:val="21"/>
        </w:rPr>
      </w:pPr>
      <w:r>
        <w:rPr>
          <w:rFonts w:hint="eastAsia" w:ascii="宋体" w:hAnsi="宋体"/>
          <w:szCs w:val="21"/>
        </w:rPr>
        <w:t>说明：采购人及投标供应商应按照上述方法提前做好相关准备。</w:t>
      </w:r>
    </w:p>
    <w:p w14:paraId="265E579F">
      <w:pPr>
        <w:ind w:firstLine="411" w:firstLineChars="196"/>
        <w:rPr>
          <w:rFonts w:ascii="宋体" w:hAnsi="宋体"/>
          <w:szCs w:val="21"/>
        </w:rPr>
      </w:pPr>
      <w:r>
        <w:rPr>
          <w:rFonts w:hint="eastAsia" w:ascii="宋体" w:hAnsi="宋体"/>
          <w:szCs w:val="21"/>
        </w:rPr>
        <w:t>38.3专用条款另有规定的，按专用条款相关要求定标。</w:t>
      </w:r>
      <w:bookmarkEnd w:id="71"/>
    </w:p>
    <w:p w14:paraId="430D4B41">
      <w:pPr>
        <w:rPr>
          <w:rFonts w:ascii="黑体" w:hAnsi="宋体" w:eastAsia="黑体"/>
          <w:sz w:val="24"/>
        </w:rPr>
      </w:pPr>
      <w:r>
        <w:rPr>
          <w:rFonts w:hint="eastAsia" w:ascii="黑体" w:hAnsi="宋体" w:eastAsia="黑体"/>
          <w:sz w:val="24"/>
        </w:rPr>
        <w:t>39．编写评审报告</w:t>
      </w:r>
    </w:p>
    <w:p w14:paraId="0D46A2B4">
      <w:pPr>
        <w:ind w:firstLine="411" w:firstLineChars="196"/>
        <w:rPr>
          <w:rFonts w:ascii="宋体" w:hAnsi="宋体"/>
          <w:szCs w:val="21"/>
        </w:rPr>
      </w:pPr>
      <w:r>
        <w:rPr>
          <w:rFonts w:hint="eastAsia" w:ascii="宋体" w:hAnsi="宋体"/>
          <w:szCs w:val="21"/>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评审结论。评审委员会应当对此作出书面说明并记录存档。</w:t>
      </w:r>
    </w:p>
    <w:p w14:paraId="57CA902D">
      <w:pPr>
        <w:rPr>
          <w:rFonts w:ascii="黑体" w:hAnsi="宋体" w:eastAsia="黑体"/>
          <w:sz w:val="24"/>
        </w:rPr>
      </w:pPr>
      <w:r>
        <w:rPr>
          <w:rFonts w:hint="eastAsia" w:ascii="黑体" w:hAnsi="宋体" w:eastAsia="黑体"/>
          <w:sz w:val="24"/>
        </w:rPr>
        <w:t>40．中标公告</w:t>
      </w:r>
    </w:p>
    <w:p w14:paraId="3A6B6806">
      <w:pPr>
        <w:ind w:firstLine="411" w:firstLineChars="196"/>
        <w:rPr>
          <w:rFonts w:ascii="宋体" w:hAnsi="宋体"/>
          <w:szCs w:val="21"/>
        </w:rPr>
      </w:pPr>
      <w:r>
        <w:rPr>
          <w:rFonts w:hint="eastAsia" w:ascii="宋体" w:hAnsi="宋体"/>
          <w:szCs w:val="21"/>
        </w:rPr>
        <w:t>40.1</w:t>
      </w:r>
      <w:bookmarkStart w:id="75" w:name="_Hlk72438709"/>
      <w:r>
        <w:rPr>
          <w:rFonts w:hint="eastAsia" w:ascii="宋体" w:hAnsi="宋体"/>
          <w:szCs w:val="21"/>
        </w:rPr>
        <w:t>为体现“公开、公平、公正”的原则，评审结束后经采购人确认（确定）评审结果，政府集中采购机构将在</w:t>
      </w:r>
      <w:r>
        <w:rPr>
          <w:rFonts w:hint="eastAsia" w:ascii="宋体" w:hAnsi="宋体"/>
          <w:b/>
          <w:bCs/>
          <w:szCs w:val="21"/>
        </w:rPr>
        <w:t>深圳公共资源交易网（https://szggzy.com/）</w:t>
      </w:r>
      <w:r>
        <w:rPr>
          <w:rFonts w:hint="eastAsia" w:ascii="宋体" w:hAnsi="宋体"/>
          <w:szCs w:val="21"/>
        </w:rPr>
        <w:t>上发布中标结果公告。</w:t>
      </w:r>
      <w:bookmarkEnd w:id="75"/>
      <w:bookmarkStart w:id="76" w:name="_Hlk72438751"/>
      <w:r>
        <w:rPr>
          <w:rFonts w:hint="eastAsia" w:ascii="宋体" w:hAnsi="宋体"/>
          <w:szCs w:val="21"/>
        </w:rPr>
        <w:t>供应商如对评审结果有异议，</w:t>
      </w:r>
      <w:r>
        <w:rPr>
          <w:rFonts w:ascii="宋体" w:hAnsi="宋体"/>
          <w:szCs w:val="21"/>
        </w:rPr>
        <w:t>可在发布公示日期起</w:t>
      </w:r>
      <w:r>
        <w:rPr>
          <w:rFonts w:hint="eastAsia" w:ascii="宋体" w:hAnsi="宋体"/>
          <w:szCs w:val="21"/>
        </w:rPr>
        <w:t>七</w:t>
      </w:r>
      <w:r>
        <w:rPr>
          <w:rFonts w:ascii="宋体" w:hAnsi="宋体"/>
          <w:szCs w:val="21"/>
        </w:rPr>
        <w:t>个工作日内向</w:t>
      </w:r>
      <w:r>
        <w:rPr>
          <w:rFonts w:hint="eastAsia" w:ascii="宋体" w:hAnsi="宋体"/>
          <w:szCs w:val="21"/>
        </w:rPr>
        <w:t>政府集中采购机构</w:t>
      </w:r>
      <w:r>
        <w:rPr>
          <w:rFonts w:ascii="宋体" w:hAnsi="宋体"/>
          <w:szCs w:val="21"/>
        </w:rPr>
        <w:t>提出。 监督电话：0755-83948143。</w:t>
      </w:r>
      <w:r>
        <w:rPr>
          <w:rFonts w:hint="eastAsia" w:ascii="宋体" w:hAnsi="宋体"/>
          <w:szCs w:val="21"/>
        </w:rPr>
        <w:t>若在公示期内未提出质疑，则视为认同该评审结果。</w:t>
      </w:r>
    </w:p>
    <w:bookmarkEnd w:id="76"/>
    <w:p w14:paraId="73CCE962">
      <w:pPr>
        <w:ind w:firstLine="411" w:firstLineChars="196"/>
        <w:rPr>
          <w:rFonts w:ascii="宋体" w:hAnsi="宋体"/>
          <w:szCs w:val="21"/>
        </w:rPr>
      </w:pPr>
      <w:r>
        <w:rPr>
          <w:rFonts w:hint="eastAsia" w:ascii="宋体" w:hAnsi="宋体"/>
          <w:szCs w:val="21"/>
        </w:rPr>
        <w:t>40.2质疑、投诉供应商应保证质疑、投诉内容的真实性和可靠性，并承担相应的法律责任。</w:t>
      </w:r>
    </w:p>
    <w:p w14:paraId="44F83FFB">
      <w:pPr>
        <w:rPr>
          <w:rFonts w:ascii="黑体" w:hAnsi="宋体" w:eastAsia="黑体"/>
          <w:sz w:val="24"/>
        </w:rPr>
      </w:pPr>
      <w:r>
        <w:rPr>
          <w:rFonts w:hint="eastAsia" w:ascii="黑体" w:hAnsi="宋体" w:eastAsia="黑体"/>
          <w:sz w:val="24"/>
        </w:rPr>
        <w:t>41．中标通知书</w:t>
      </w:r>
    </w:p>
    <w:p w14:paraId="4505DE93">
      <w:pPr>
        <w:ind w:firstLine="411" w:firstLineChars="196"/>
        <w:rPr>
          <w:rFonts w:ascii="宋体" w:hAnsi="宋体"/>
          <w:szCs w:val="21"/>
        </w:rPr>
      </w:pPr>
      <w:r>
        <w:rPr>
          <w:rFonts w:hint="eastAsia" w:ascii="宋体" w:hAnsi="宋体"/>
          <w:szCs w:val="21"/>
        </w:rPr>
        <w:t>41</w:t>
      </w:r>
      <w:r>
        <w:rPr>
          <w:rFonts w:ascii="宋体" w:hAnsi="宋体"/>
          <w:szCs w:val="21"/>
        </w:rPr>
        <w:t>.</w:t>
      </w:r>
      <w:r>
        <w:rPr>
          <w:rFonts w:hint="eastAsia" w:ascii="宋体" w:hAnsi="宋体"/>
          <w:szCs w:val="21"/>
        </w:rPr>
        <w:t>1</w:t>
      </w:r>
      <w:bookmarkStart w:id="77" w:name="_Hlk72438863"/>
      <w:r>
        <w:rPr>
          <w:rFonts w:hint="eastAsia" w:ascii="宋体" w:hAnsi="宋体"/>
          <w:szCs w:val="21"/>
        </w:rPr>
        <w:t>中标公告公布以后无异常的情况下,中标供应商和采购人可自行在</w:t>
      </w:r>
      <w:r>
        <w:rPr>
          <w:rFonts w:hint="eastAsia" w:ascii="宋体" w:hAnsi="宋体"/>
          <w:b/>
          <w:bCs/>
          <w:szCs w:val="21"/>
        </w:rPr>
        <w:t>“</w:t>
      </w:r>
      <w:r>
        <w:rPr>
          <w:rFonts w:hint="eastAsia" w:ascii="宋体" w:hAnsi="宋体"/>
          <w:b/>
          <w:bCs/>
          <w:szCs w:val="21"/>
          <w:lang w:val="en-US" w:eastAsia="zh-CN"/>
        </w:rPr>
        <w:t>深圳市自行采购系统</w:t>
      </w:r>
      <w:r>
        <w:rPr>
          <w:rFonts w:hint="eastAsia" w:ascii="宋体" w:hAnsi="宋体"/>
          <w:b/>
          <w:bCs/>
          <w:szCs w:val="21"/>
        </w:rPr>
        <w:t>”</w:t>
      </w:r>
      <w:r>
        <w:rPr>
          <w:rFonts w:hint="eastAsia" w:ascii="宋体" w:hAnsi="宋体"/>
          <w:szCs w:val="21"/>
        </w:rPr>
        <w:t>上打印</w:t>
      </w:r>
      <w:r>
        <w:rPr>
          <w:rFonts w:hint="eastAsia" w:ascii="宋体" w:hAnsi="宋体"/>
          <w:b/>
          <w:szCs w:val="21"/>
        </w:rPr>
        <w:t>《数字中标通知书》</w:t>
      </w:r>
      <w:r>
        <w:rPr>
          <w:rFonts w:hint="eastAsia" w:ascii="宋体" w:hAnsi="宋体"/>
          <w:szCs w:val="21"/>
        </w:rPr>
        <w:t>。</w:t>
      </w:r>
      <w:bookmarkEnd w:id="77"/>
    </w:p>
    <w:p w14:paraId="5C24AFAC">
      <w:pPr>
        <w:ind w:firstLine="411" w:firstLineChars="196"/>
        <w:rPr>
          <w:rFonts w:ascii="宋体" w:hAnsi="宋体"/>
          <w:szCs w:val="21"/>
        </w:rPr>
      </w:pPr>
      <w:r>
        <w:rPr>
          <w:rFonts w:hint="eastAsia" w:ascii="宋体" w:hAnsi="宋体"/>
          <w:szCs w:val="21"/>
        </w:rPr>
        <w:t>41</w:t>
      </w:r>
      <w:r>
        <w:rPr>
          <w:rFonts w:ascii="宋体" w:hAnsi="宋体"/>
          <w:szCs w:val="21"/>
        </w:rPr>
        <w:t>.2</w:t>
      </w:r>
      <w:r>
        <w:rPr>
          <w:rFonts w:hint="eastAsia" w:ascii="宋体" w:hAnsi="宋体"/>
          <w:szCs w:val="21"/>
        </w:rPr>
        <w:t>中标通知书是合同的重要组成部分。</w:t>
      </w:r>
    </w:p>
    <w:p w14:paraId="4016FA89">
      <w:pPr>
        <w:ind w:firstLine="411" w:firstLineChars="196"/>
        <w:rPr>
          <w:rFonts w:ascii="宋体" w:hAnsi="宋体"/>
          <w:szCs w:val="21"/>
        </w:rPr>
      </w:pPr>
      <w:bookmarkStart w:id="78" w:name="_Hlk71407340"/>
      <w:r>
        <w:rPr>
          <w:rFonts w:hint="eastAsia" w:ascii="宋体" w:hAnsi="宋体"/>
          <w:szCs w:val="21"/>
        </w:rPr>
        <w:t>41.3因质疑投诉或其它原因导致项目结果变更或采购终止的，政府集中采购机构有权吊销中标通知书。</w:t>
      </w:r>
    </w:p>
    <w:bookmarkEnd w:id="78"/>
    <w:p w14:paraId="7F31375D">
      <w:pPr>
        <w:ind w:firstLine="411" w:firstLineChars="196"/>
        <w:rPr>
          <w:rFonts w:ascii="宋体" w:hAnsi="宋体"/>
          <w:szCs w:val="21"/>
        </w:rPr>
      </w:pPr>
    </w:p>
    <w:p w14:paraId="4EEDA217">
      <w:pPr>
        <w:pStyle w:val="7"/>
        <w:numPr>
          <w:ilvl w:val="0"/>
          <w:numId w:val="11"/>
        </w:numPr>
        <w:spacing w:before="120" w:beforeLines="50" w:after="120" w:afterLines="50"/>
        <w:ind w:left="562" w:hanging="562"/>
        <w:rPr>
          <w:sz w:val="28"/>
          <w:szCs w:val="28"/>
        </w:rPr>
      </w:pPr>
      <w:r>
        <w:rPr>
          <w:rFonts w:hint="eastAsia"/>
          <w:sz w:val="28"/>
          <w:szCs w:val="28"/>
        </w:rPr>
        <w:t>公开招标失败的后续处理</w:t>
      </w:r>
    </w:p>
    <w:p w14:paraId="792E4C23">
      <w:pPr>
        <w:rPr>
          <w:rFonts w:ascii="黑体" w:hAnsi="宋体" w:eastAsia="黑体"/>
          <w:sz w:val="24"/>
        </w:rPr>
      </w:pPr>
      <w:r>
        <w:rPr>
          <w:rFonts w:hint="eastAsia" w:ascii="黑体" w:hAnsi="宋体" w:eastAsia="黑体"/>
          <w:sz w:val="24"/>
        </w:rPr>
        <w:t>42．公开招标失败的处理</w:t>
      </w:r>
    </w:p>
    <w:p w14:paraId="141CAB69">
      <w:pPr>
        <w:ind w:firstLine="411" w:firstLineChars="196"/>
        <w:rPr>
          <w:rFonts w:ascii="宋体" w:hAnsi="宋体"/>
        </w:rPr>
      </w:pPr>
      <w:r>
        <w:rPr>
          <w:rFonts w:hint="eastAsia" w:ascii="宋体" w:hAnsi="宋体"/>
          <w:szCs w:val="21"/>
        </w:rPr>
        <w:t>42.1本项目公开招标过程中若由于投标截止后</w:t>
      </w:r>
      <w:r>
        <w:rPr>
          <w:rFonts w:hint="eastAsia" w:ascii="宋体" w:hAnsi="宋体"/>
        </w:rPr>
        <w:t>实际递交</w:t>
      </w:r>
      <w:r>
        <w:rPr>
          <w:rFonts w:ascii="宋体" w:hAnsi="宋体"/>
        </w:rPr>
        <w:t>投标</w:t>
      </w:r>
      <w:r>
        <w:rPr>
          <w:rFonts w:hint="eastAsia" w:ascii="宋体" w:hAnsi="宋体"/>
        </w:rPr>
        <w:t>文件的供应商数量不足、经</w:t>
      </w:r>
      <w:r>
        <w:rPr>
          <w:rFonts w:hint="eastAsia" w:ascii="宋体" w:hAnsi="宋体"/>
          <w:szCs w:val="21"/>
        </w:rPr>
        <w:t>评审委员会</w:t>
      </w:r>
      <w:r>
        <w:rPr>
          <w:rFonts w:hint="eastAsia" w:ascii="宋体" w:hAnsi="宋体"/>
        </w:rPr>
        <w:t>评审对招标文件作实质响应的供应商不足等原因造成公开招标失败，可由</w:t>
      </w:r>
      <w:r>
        <w:rPr>
          <w:rFonts w:hint="eastAsia" w:ascii="宋体" w:hAnsi="宋体" w:cs="宋体"/>
        </w:rPr>
        <w:t>政府集中采购机构</w:t>
      </w:r>
      <w:r>
        <w:rPr>
          <w:rFonts w:hint="eastAsia" w:ascii="宋体" w:hAnsi="宋体"/>
        </w:rPr>
        <w:t>重新组织采购。</w:t>
      </w:r>
    </w:p>
    <w:p w14:paraId="6ACD7D9B">
      <w:pPr>
        <w:ind w:firstLine="411" w:firstLineChars="196"/>
        <w:rPr>
          <w:rFonts w:ascii="宋体" w:hAnsi="宋体"/>
          <w:szCs w:val="21"/>
        </w:rPr>
      </w:pPr>
      <w:r>
        <w:rPr>
          <w:rFonts w:hint="eastAsia" w:ascii="宋体" w:hAnsi="宋体"/>
          <w:szCs w:val="21"/>
        </w:rPr>
        <w:t>42.2对公开招标失败的项目，评审委员会在出具该项目招标失败结论的同时，可以提出重新采购组织形式的建议，以及进一步完善招标文件的资格、技术、商务要求的修改建议。</w:t>
      </w:r>
    </w:p>
    <w:p w14:paraId="1D26273A">
      <w:pPr>
        <w:ind w:firstLine="411" w:firstLineChars="196"/>
        <w:rPr>
          <w:rFonts w:ascii="宋体" w:hAnsi="宋体"/>
          <w:szCs w:val="21"/>
        </w:rPr>
      </w:pPr>
      <w:r>
        <w:rPr>
          <w:rFonts w:hint="eastAsia" w:ascii="宋体" w:hAnsi="宋体"/>
          <w:szCs w:val="21"/>
        </w:rPr>
        <w:t>42.3重新组织采购有以下两种组织形式：</w:t>
      </w:r>
    </w:p>
    <w:p w14:paraId="414C12B6">
      <w:pPr>
        <w:ind w:firstLine="411" w:firstLineChars="196"/>
        <w:rPr>
          <w:rFonts w:ascii="宋体" w:hAnsi="宋体"/>
        </w:rPr>
      </w:pPr>
      <w:r>
        <w:rPr>
          <w:rFonts w:hint="eastAsia" w:ascii="宋体" w:hAnsi="宋体"/>
        </w:rPr>
        <w:t>（1）由政府集中采购机构重新组织公开招标；</w:t>
      </w:r>
    </w:p>
    <w:p w14:paraId="5EE762FE">
      <w:pPr>
        <w:ind w:firstLine="411" w:firstLineChars="196"/>
        <w:rPr>
          <w:rFonts w:ascii="宋体" w:hAnsi="宋体"/>
        </w:rPr>
      </w:pPr>
      <w:r>
        <w:rPr>
          <w:rFonts w:hint="eastAsia" w:ascii="宋体" w:hAnsi="宋体"/>
        </w:rPr>
        <w:t>（2）根据实际情况需要向同级财政部门提出非公开招标方式申请，经同级财政部门批准，公开招标失败采购项目可转为竞争性谈判或单一来源谈判方式采购。</w:t>
      </w:r>
    </w:p>
    <w:p w14:paraId="44AA56A9">
      <w:pPr>
        <w:ind w:firstLine="411" w:firstLineChars="196"/>
        <w:rPr>
          <w:rFonts w:ascii="宋体" w:hAnsi="宋体"/>
        </w:rPr>
      </w:pPr>
      <w:r>
        <w:rPr>
          <w:rFonts w:hint="eastAsia" w:ascii="宋体" w:hAnsi="宋体"/>
        </w:rPr>
        <w:t>42.4公开招标失败的采购项目重新组织公开招标，由政府集中采购机构重新按公开招标流程组织采购活动。</w:t>
      </w:r>
    </w:p>
    <w:p w14:paraId="213DF943">
      <w:pPr>
        <w:rPr>
          <w:rFonts w:ascii="宋体" w:hAnsi="宋体"/>
        </w:rPr>
      </w:pPr>
      <w:r>
        <w:rPr>
          <w:rFonts w:hint="eastAsia" w:ascii="黑体" w:hAnsi="宋体" w:eastAsia="黑体"/>
          <w:sz w:val="24"/>
        </w:rPr>
        <w:t xml:space="preserve">    </w:t>
      </w:r>
      <w:r>
        <w:rPr>
          <w:rFonts w:hint="eastAsia" w:ascii="宋体" w:hAnsi="宋体"/>
        </w:rPr>
        <w:t>42.5公开招标失败的采购项目经同级财政部门批准转为竞争性谈判或单一来源谈判方式采购的，按规定要求组织政府采购工作。</w:t>
      </w:r>
    </w:p>
    <w:p w14:paraId="5EECD721">
      <w:pPr>
        <w:rPr>
          <w:rFonts w:ascii="黑体" w:hAnsi="宋体" w:eastAsia="黑体"/>
          <w:sz w:val="24"/>
        </w:rPr>
      </w:pPr>
    </w:p>
    <w:p w14:paraId="01F03DD6">
      <w:pPr>
        <w:pStyle w:val="7"/>
        <w:numPr>
          <w:ilvl w:val="0"/>
          <w:numId w:val="11"/>
        </w:numPr>
        <w:spacing w:before="120" w:beforeLines="50" w:after="120" w:afterLines="50"/>
        <w:ind w:left="562" w:hanging="562"/>
        <w:rPr>
          <w:sz w:val="28"/>
          <w:szCs w:val="28"/>
        </w:rPr>
      </w:pPr>
      <w:bookmarkStart w:id="79" w:name="_Hlk72439043"/>
      <w:r>
        <w:rPr>
          <w:rFonts w:hint="eastAsia"/>
          <w:sz w:val="28"/>
          <w:szCs w:val="28"/>
        </w:rPr>
        <w:t>合同的授予与备案</w:t>
      </w:r>
      <w:bookmarkEnd w:id="79"/>
    </w:p>
    <w:p w14:paraId="7779E483">
      <w:pPr>
        <w:rPr>
          <w:rFonts w:ascii="黑体" w:hAnsi="宋体" w:eastAsia="黑体"/>
          <w:sz w:val="24"/>
        </w:rPr>
      </w:pPr>
      <w:bookmarkStart w:id="80" w:name="_Toc100052408"/>
      <w:bookmarkStart w:id="81" w:name="_Toc73521586"/>
      <w:bookmarkStart w:id="82" w:name="_Toc73517679"/>
      <w:bookmarkStart w:id="83" w:name="_Toc73521674"/>
      <w:bookmarkStart w:id="84" w:name="_Toc73518157"/>
      <w:bookmarkStart w:id="85" w:name="_Hlk72439088"/>
      <w:r>
        <w:rPr>
          <w:rFonts w:hint="eastAsia" w:ascii="黑体" w:hAnsi="宋体" w:eastAsia="黑体"/>
          <w:sz w:val="24"/>
        </w:rPr>
        <w:t>43．合同授予标准</w:t>
      </w:r>
      <w:bookmarkEnd w:id="80"/>
      <w:bookmarkEnd w:id="81"/>
      <w:bookmarkEnd w:id="82"/>
      <w:bookmarkEnd w:id="83"/>
      <w:bookmarkEnd w:id="84"/>
    </w:p>
    <w:p w14:paraId="6DCBF513">
      <w:pPr>
        <w:ind w:firstLine="411" w:firstLineChars="196"/>
        <w:rPr>
          <w:rFonts w:ascii="宋体" w:hAnsi="宋体"/>
          <w:szCs w:val="21"/>
        </w:rPr>
      </w:pPr>
      <w:r>
        <w:rPr>
          <w:rFonts w:hint="eastAsia" w:ascii="宋体" w:hAnsi="宋体"/>
          <w:szCs w:val="21"/>
        </w:rPr>
        <w:t>本项目的合同将授予经本招标文件规定评审确定的中标供应商。</w:t>
      </w:r>
    </w:p>
    <w:p w14:paraId="60C73F59">
      <w:pPr>
        <w:rPr>
          <w:rFonts w:ascii="黑体" w:hAnsi="宋体" w:eastAsia="黑体"/>
          <w:sz w:val="24"/>
        </w:rPr>
      </w:pPr>
      <w:bookmarkStart w:id="86" w:name="_Toc73521587"/>
      <w:bookmarkStart w:id="87" w:name="_Toc100052409"/>
      <w:bookmarkStart w:id="88" w:name="_Toc73521675"/>
      <w:bookmarkStart w:id="89" w:name="_Toc73518158"/>
      <w:bookmarkStart w:id="90" w:name="_Toc73517680"/>
      <w:r>
        <w:rPr>
          <w:rFonts w:hint="eastAsia" w:ascii="黑体" w:hAnsi="宋体" w:eastAsia="黑体"/>
          <w:sz w:val="24"/>
        </w:rPr>
        <w:t>44．</w:t>
      </w:r>
      <w:bookmarkEnd w:id="86"/>
      <w:bookmarkEnd w:id="87"/>
      <w:bookmarkEnd w:id="88"/>
      <w:bookmarkEnd w:id="89"/>
      <w:bookmarkEnd w:id="90"/>
      <w:r>
        <w:rPr>
          <w:rFonts w:hint="eastAsia" w:ascii="黑体" w:hAnsi="宋体" w:eastAsia="黑体"/>
          <w:sz w:val="24"/>
        </w:rPr>
        <w:t>接受和拒绝任何或所有投标的权力</w:t>
      </w:r>
    </w:p>
    <w:p w14:paraId="0F8B4F09">
      <w:pPr>
        <w:ind w:firstLine="411" w:firstLineChars="196"/>
        <w:rPr>
          <w:rFonts w:ascii="宋体" w:hAnsi="宋体"/>
          <w:szCs w:val="21"/>
        </w:rPr>
      </w:pPr>
      <w:r>
        <w:rPr>
          <w:rFonts w:hint="eastAsia" w:ascii="宋体" w:hAnsi="宋体"/>
          <w:szCs w:val="21"/>
        </w:rPr>
        <w:t>政府集中采购机构和采购人保留在投标之前任何时候接受或拒绝任何投标或所有投标，以及宣布招标无效的权力，对受影响的投标人不承担任何责任，也无义务向受影响的投标人解释采取这一行动的理由。</w:t>
      </w:r>
    </w:p>
    <w:p w14:paraId="6EBC2F5C">
      <w:pPr>
        <w:rPr>
          <w:rFonts w:ascii="黑体" w:hAnsi="宋体" w:eastAsia="黑体"/>
          <w:sz w:val="24"/>
        </w:rPr>
      </w:pPr>
      <w:bookmarkStart w:id="91" w:name="_Toc73517682"/>
      <w:bookmarkStart w:id="92" w:name="_Toc73518160"/>
      <w:bookmarkStart w:id="93" w:name="_Toc100052410"/>
      <w:bookmarkStart w:id="94" w:name="_Toc73521589"/>
      <w:bookmarkStart w:id="95" w:name="_Toc73521677"/>
      <w:r>
        <w:rPr>
          <w:rFonts w:hint="eastAsia" w:ascii="黑体" w:hAnsi="宋体" w:eastAsia="黑体"/>
          <w:sz w:val="24"/>
        </w:rPr>
        <w:t>45．合同的签订</w:t>
      </w:r>
      <w:bookmarkEnd w:id="91"/>
      <w:bookmarkEnd w:id="92"/>
      <w:bookmarkEnd w:id="93"/>
      <w:bookmarkEnd w:id="94"/>
      <w:bookmarkEnd w:id="95"/>
    </w:p>
    <w:p w14:paraId="19169F35">
      <w:pPr>
        <w:ind w:firstLine="411" w:firstLineChars="196"/>
        <w:rPr>
          <w:rFonts w:ascii="宋体" w:hAnsi="宋体"/>
          <w:szCs w:val="21"/>
        </w:rPr>
      </w:pPr>
      <w:r>
        <w:rPr>
          <w:rFonts w:hint="eastAsia" w:ascii="宋体" w:hAnsi="宋体"/>
          <w:szCs w:val="21"/>
        </w:rPr>
        <w:t>45.1中标人将于中标通知书发出之日起十个工作日内，按照采购文件（招标文件和投标文件等）内容与采购人签订政府采购合同；合同的实质性内容应当符合招标文件的规定；</w:t>
      </w:r>
    </w:p>
    <w:p w14:paraId="60940780">
      <w:pPr>
        <w:ind w:firstLine="411" w:firstLineChars="196"/>
        <w:rPr>
          <w:rFonts w:ascii="宋体" w:hAnsi="宋体"/>
          <w:szCs w:val="21"/>
        </w:rPr>
      </w:pPr>
      <w:r>
        <w:rPr>
          <w:rFonts w:hint="eastAsia" w:ascii="宋体" w:hAnsi="宋体"/>
          <w:szCs w:val="21"/>
        </w:rPr>
        <w:t>45.2中标人如不按本通用条款第45</w:t>
      </w:r>
      <w:r>
        <w:rPr>
          <w:rFonts w:ascii="宋体" w:hAnsi="宋体"/>
          <w:szCs w:val="21"/>
        </w:rPr>
        <w:t>.1</w:t>
      </w:r>
      <w:r>
        <w:rPr>
          <w:rFonts w:hint="eastAsia" w:ascii="宋体" w:hAnsi="宋体"/>
          <w:szCs w:val="21"/>
        </w:rPr>
        <w:t>款的规定与采购人签订合同，</w:t>
      </w:r>
      <w:r>
        <w:rPr>
          <w:rFonts w:ascii="宋体" w:hAnsi="宋体" w:cs="宋体"/>
          <w:kern w:val="0"/>
          <w:szCs w:val="21"/>
        </w:rPr>
        <w:t>情节严重的，由</w:t>
      </w:r>
      <w:r>
        <w:rPr>
          <w:rFonts w:hint="eastAsia" w:ascii="宋体" w:hAnsi="宋体" w:cs="宋体"/>
          <w:kern w:val="0"/>
          <w:szCs w:val="21"/>
        </w:rPr>
        <w:t>同级财政</w:t>
      </w:r>
      <w:r>
        <w:rPr>
          <w:rFonts w:ascii="宋体" w:hAnsi="宋体" w:cs="宋体"/>
          <w:kern w:val="0"/>
          <w:szCs w:val="21"/>
        </w:rPr>
        <w:t>部门记入供应商诚信档案，予以通报</w:t>
      </w:r>
      <w:r>
        <w:rPr>
          <w:rFonts w:hint="eastAsia" w:ascii="宋体" w:hAnsi="宋体"/>
          <w:szCs w:val="21"/>
        </w:rPr>
        <w:t>；</w:t>
      </w:r>
    </w:p>
    <w:p w14:paraId="76F60251">
      <w:pPr>
        <w:ind w:firstLine="411" w:firstLineChars="196"/>
        <w:rPr>
          <w:rFonts w:ascii="宋体" w:hAnsi="宋体"/>
          <w:szCs w:val="21"/>
        </w:rPr>
      </w:pPr>
      <w:r>
        <w:rPr>
          <w:rFonts w:hint="eastAsia" w:ascii="宋体" w:hAnsi="宋体"/>
          <w:szCs w:val="21"/>
        </w:rPr>
        <w:t>45.3中标人应当按照合同约定履行义务，完成中标项目，不得将中标项目转让（转包）给他人。</w:t>
      </w:r>
    </w:p>
    <w:p w14:paraId="2DCF5A86">
      <w:pPr>
        <w:rPr>
          <w:rFonts w:ascii="黑体" w:hAnsi="宋体" w:eastAsia="黑体"/>
          <w:sz w:val="24"/>
        </w:rPr>
      </w:pPr>
      <w:bookmarkStart w:id="96" w:name="_Toc73518161"/>
      <w:bookmarkStart w:id="97" w:name="_Toc73521590"/>
      <w:bookmarkStart w:id="98" w:name="_Toc100052411"/>
      <w:bookmarkStart w:id="99" w:name="_Toc73521678"/>
      <w:bookmarkStart w:id="100" w:name="_Toc73517683"/>
      <w:r>
        <w:rPr>
          <w:rFonts w:hint="eastAsia" w:ascii="黑体" w:hAnsi="宋体" w:eastAsia="黑体"/>
          <w:sz w:val="24"/>
        </w:rPr>
        <w:t>46．履约担保</w:t>
      </w:r>
      <w:bookmarkEnd w:id="96"/>
      <w:bookmarkEnd w:id="97"/>
      <w:bookmarkEnd w:id="98"/>
      <w:bookmarkEnd w:id="99"/>
      <w:bookmarkEnd w:id="100"/>
    </w:p>
    <w:p w14:paraId="322B344B">
      <w:pPr>
        <w:ind w:firstLine="411" w:firstLineChars="196"/>
        <w:rPr>
          <w:rFonts w:ascii="宋体" w:hAnsi="宋体"/>
          <w:szCs w:val="21"/>
        </w:rPr>
      </w:pPr>
      <w:r>
        <w:rPr>
          <w:rFonts w:hint="eastAsia" w:ascii="宋体" w:hAnsi="宋体"/>
          <w:szCs w:val="21"/>
        </w:rPr>
        <w:t>46.1在签订项目合同的同时，中标人应按“对通用条款的补充内容”中规定的金额向采购人提交履约担保；</w:t>
      </w:r>
    </w:p>
    <w:p w14:paraId="00A5EAB9">
      <w:pPr>
        <w:ind w:firstLine="411" w:firstLineChars="196"/>
        <w:rPr>
          <w:rFonts w:ascii="宋体" w:hAnsi="宋体"/>
          <w:szCs w:val="21"/>
        </w:rPr>
      </w:pPr>
      <w:r>
        <w:rPr>
          <w:rFonts w:hint="eastAsia" w:ascii="宋体" w:hAnsi="宋体"/>
          <w:szCs w:val="21"/>
        </w:rPr>
        <w:t>46.2，允许供应商自主选择以支票、汇票、本票、保函等非现金方式提交履约担保；</w:t>
      </w:r>
      <w:r>
        <w:t>中标</w:t>
      </w:r>
      <w:r>
        <w:rPr>
          <w:rFonts w:hint="eastAsia"/>
        </w:rPr>
        <w:t>人</w:t>
      </w:r>
      <w:r>
        <w:t>提交履约</w:t>
      </w:r>
      <w:r>
        <w:rPr>
          <w:rFonts w:hint="eastAsia"/>
        </w:rPr>
        <w:t>担保不是</w:t>
      </w:r>
      <w:r>
        <w:t>合同签订的</w:t>
      </w:r>
      <w:r>
        <w:rPr>
          <w:rFonts w:hint="eastAsia"/>
        </w:rPr>
        <w:t>前提</w:t>
      </w:r>
      <w:r>
        <w:t>条件，不要求中标</w:t>
      </w:r>
      <w:r>
        <w:rPr>
          <w:rFonts w:hint="eastAsia"/>
        </w:rPr>
        <w:t>人</w:t>
      </w:r>
      <w:r>
        <w:t>提供除法律、法规明确规定外的其他担保</w:t>
      </w:r>
      <w:r>
        <w:rPr>
          <w:rFonts w:hint="eastAsia"/>
        </w:rPr>
        <w:t>。</w:t>
      </w:r>
    </w:p>
    <w:p w14:paraId="1E130951">
      <w:pPr>
        <w:rPr>
          <w:rFonts w:ascii="黑体" w:hAnsi="宋体" w:eastAsia="黑体"/>
          <w:sz w:val="24"/>
        </w:rPr>
      </w:pPr>
      <w:r>
        <w:rPr>
          <w:rFonts w:hint="eastAsia" w:ascii="黑体" w:hAnsi="宋体" w:eastAsia="黑体"/>
          <w:sz w:val="24"/>
        </w:rPr>
        <w:t>47. 合同备案</w:t>
      </w:r>
    </w:p>
    <w:p w14:paraId="3B66E39F">
      <w:pPr>
        <w:ind w:firstLine="420" w:firstLineChars="200"/>
        <w:rPr>
          <w:rFonts w:hint="eastAsia" w:ascii="宋体" w:hAnsi="宋体" w:eastAsia="宋体" w:cs="Times New Roman"/>
          <w:kern w:val="2"/>
          <w:sz w:val="21"/>
          <w:szCs w:val="21"/>
          <w:lang w:val="en-US" w:eastAsia="zh-CN"/>
        </w:rPr>
      </w:pPr>
      <w:r>
        <w:rPr>
          <w:rFonts w:hint="eastAsia" w:ascii="宋体" w:hAnsi="宋体" w:eastAsia="宋体" w:cs="Times New Roman"/>
          <w:kern w:val="2"/>
          <w:sz w:val="21"/>
          <w:szCs w:val="21"/>
          <w:lang w:val="en-US" w:eastAsia="zh-CN"/>
        </w:rPr>
        <w:t>按</w:t>
      </w:r>
      <w:r>
        <w:rPr>
          <w:rFonts w:hint="eastAsia" w:ascii="宋体" w:hAnsi="宋体" w:cs="Times New Roman"/>
          <w:kern w:val="2"/>
          <w:sz w:val="21"/>
          <w:szCs w:val="21"/>
          <w:lang w:val="en-US" w:eastAsia="zh-CN"/>
        </w:rPr>
        <w:t>采购单位内控</w:t>
      </w:r>
      <w:r>
        <w:rPr>
          <w:rFonts w:hint="eastAsia" w:ascii="宋体" w:hAnsi="宋体" w:eastAsia="宋体" w:cs="Times New Roman"/>
          <w:kern w:val="2"/>
          <w:sz w:val="21"/>
          <w:szCs w:val="21"/>
          <w:lang w:val="en-US" w:eastAsia="zh-CN"/>
        </w:rPr>
        <w:t>规定备案。</w:t>
      </w:r>
    </w:p>
    <w:p w14:paraId="53F8C46A">
      <w:pPr>
        <w:rPr>
          <w:rFonts w:ascii="黑体" w:hAnsi="宋体" w:eastAsia="黑体"/>
          <w:sz w:val="24"/>
        </w:rPr>
      </w:pPr>
      <w:r>
        <w:rPr>
          <w:rFonts w:hint="eastAsia" w:ascii="黑体" w:hAnsi="宋体" w:eastAsia="黑体"/>
          <w:sz w:val="24"/>
        </w:rPr>
        <w:t>48. 合同变更</w:t>
      </w:r>
    </w:p>
    <w:p w14:paraId="5A6AA51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szCs w:val="21"/>
        </w:rPr>
      </w:pPr>
      <w:r>
        <w:rPr>
          <w:rFonts w:hint="eastAsia" w:ascii="宋体" w:hAnsi="宋体"/>
          <w:szCs w:val="21"/>
        </w:rPr>
        <w:t>合同变更事宜</w:t>
      </w:r>
      <w:r>
        <w:rPr>
          <w:rFonts w:hint="eastAsia" w:ascii="宋体" w:hAnsi="宋体" w:eastAsia="宋体" w:cs="Times New Roman"/>
          <w:kern w:val="2"/>
          <w:sz w:val="21"/>
          <w:szCs w:val="21"/>
          <w:lang w:val="en-US" w:eastAsia="zh-CN"/>
        </w:rPr>
        <w:t>按</w:t>
      </w:r>
      <w:r>
        <w:rPr>
          <w:rFonts w:hint="eastAsia" w:ascii="宋体" w:hAnsi="宋体" w:cs="Times New Roman"/>
          <w:kern w:val="2"/>
          <w:sz w:val="21"/>
          <w:szCs w:val="21"/>
          <w:lang w:val="en-US" w:eastAsia="zh-CN"/>
        </w:rPr>
        <w:t>采购单位内控</w:t>
      </w:r>
      <w:r>
        <w:rPr>
          <w:rFonts w:hint="eastAsia" w:ascii="宋体" w:hAnsi="宋体" w:eastAsia="宋体" w:cs="Times New Roman"/>
          <w:kern w:val="2"/>
          <w:sz w:val="21"/>
          <w:szCs w:val="21"/>
          <w:lang w:val="en-US" w:eastAsia="zh-CN"/>
        </w:rPr>
        <w:t>规定</w:t>
      </w:r>
      <w:r>
        <w:rPr>
          <w:rFonts w:hint="eastAsia" w:ascii="宋体" w:hAnsi="宋体"/>
          <w:szCs w:val="21"/>
        </w:rPr>
        <w:t>执行。</w:t>
      </w:r>
    </w:p>
    <w:p w14:paraId="41839341">
      <w:pPr>
        <w:rPr>
          <w:rFonts w:ascii="黑体" w:hAnsi="宋体" w:eastAsia="黑体"/>
          <w:sz w:val="24"/>
        </w:rPr>
      </w:pPr>
      <w:r>
        <w:rPr>
          <w:rFonts w:hint="eastAsia" w:ascii="黑体" w:hAnsi="宋体" w:eastAsia="黑体"/>
          <w:sz w:val="24"/>
        </w:rPr>
        <w:t>49. 项目验收</w:t>
      </w:r>
    </w:p>
    <w:p w14:paraId="40A47359">
      <w:pPr>
        <w:widowControl/>
        <w:ind w:right="176" w:firstLine="420"/>
        <w:jc w:val="left"/>
        <w:rPr>
          <w:rFonts w:ascii="宋体" w:hAnsi="宋体"/>
        </w:rPr>
      </w:pPr>
      <w:r>
        <w:rPr>
          <w:rFonts w:hint="eastAsia" w:ascii="宋体" w:hAnsi="宋体"/>
        </w:rPr>
        <w:t>49.1采购人应当按照招标文件和合同规定的标准和方法，及时组织验收。</w:t>
      </w:r>
      <w:r>
        <w:rPr>
          <w:rFonts w:ascii="宋体" w:hAnsi="宋体"/>
        </w:rPr>
        <w:t xml:space="preserve"> </w:t>
      </w:r>
    </w:p>
    <w:p w14:paraId="6906D836">
      <w:pPr>
        <w:rPr>
          <w:rFonts w:ascii="黑体" w:hAnsi="宋体" w:eastAsia="黑体"/>
          <w:sz w:val="24"/>
        </w:rPr>
      </w:pPr>
      <w:r>
        <w:rPr>
          <w:rFonts w:hint="eastAsia" w:ascii="黑体" w:hAnsi="宋体" w:eastAsia="黑体"/>
          <w:sz w:val="24"/>
        </w:rPr>
        <w:t>50. 宣传</w:t>
      </w:r>
    </w:p>
    <w:p w14:paraId="224C12CF">
      <w:pPr>
        <w:ind w:left="210" w:leftChars="100" w:firstLine="411" w:firstLineChars="196"/>
        <w:rPr>
          <w:rFonts w:ascii="宋体" w:hAnsi="宋体"/>
        </w:rPr>
      </w:pPr>
      <w:r>
        <w:rPr>
          <w:rFonts w:hint="eastAsia" w:ascii="宋体" w:hAnsi="宋体"/>
        </w:rPr>
        <w:t>凡与政府采购活动有关的宣传或广告，若当中提及政府采购，</w:t>
      </w:r>
      <w:r>
        <w:rPr>
          <w:rFonts w:ascii="宋体" w:hAnsi="宋体"/>
        </w:rPr>
        <w:t>必须事先将具体对外宣传方案报</w:t>
      </w:r>
      <w:r>
        <w:rPr>
          <w:rFonts w:hint="eastAsia" w:ascii="宋体" w:hAnsi="宋体"/>
        </w:rPr>
        <w:t>同级财政部门</w:t>
      </w:r>
      <w:r>
        <w:rPr>
          <w:rFonts w:ascii="宋体" w:hAnsi="宋体"/>
        </w:rPr>
        <w:t>和</w:t>
      </w:r>
      <w:r>
        <w:rPr>
          <w:rFonts w:hint="eastAsia" w:ascii="宋体" w:hAnsi="宋体"/>
        </w:rPr>
        <w:t>政府集中采购机构</w:t>
      </w:r>
      <w:r>
        <w:rPr>
          <w:rFonts w:ascii="宋体" w:hAnsi="宋体"/>
        </w:rPr>
        <w:t>，并征得其同意。对外市场宣传包括但不限于以下形式：</w:t>
      </w:r>
    </w:p>
    <w:p w14:paraId="58375DA4">
      <w:pPr>
        <w:ind w:left="210" w:leftChars="100" w:firstLine="411" w:firstLineChars="196"/>
        <w:rPr>
          <w:rFonts w:ascii="宋体" w:hAnsi="宋体"/>
        </w:rPr>
      </w:pPr>
      <w:r>
        <w:rPr>
          <w:rFonts w:ascii="宋体" w:hAnsi="宋体"/>
        </w:rPr>
        <w:t>a.名片、宣传册、广告标语等；</w:t>
      </w:r>
    </w:p>
    <w:p w14:paraId="5A14C494">
      <w:pPr>
        <w:ind w:left="210" w:leftChars="100" w:firstLine="411" w:firstLineChars="196"/>
        <w:rPr>
          <w:rFonts w:ascii="宋体" w:hAnsi="宋体"/>
        </w:rPr>
      </w:pPr>
      <w:r>
        <w:rPr>
          <w:rFonts w:ascii="宋体" w:hAnsi="宋体"/>
        </w:rPr>
        <w:t>b.案例介绍、推广等；</w:t>
      </w:r>
    </w:p>
    <w:p w14:paraId="0B388051">
      <w:pPr>
        <w:ind w:left="210" w:leftChars="100" w:firstLine="411" w:firstLineChars="196"/>
        <w:rPr>
          <w:rFonts w:ascii="宋体" w:hAnsi="宋体"/>
        </w:rPr>
      </w:pPr>
      <w:r>
        <w:rPr>
          <w:rFonts w:hint="eastAsia" w:ascii="宋体" w:hAnsi="宋体"/>
        </w:rPr>
        <w:t>c.工作</w:t>
      </w:r>
      <w:r>
        <w:rPr>
          <w:rFonts w:ascii="宋体" w:hAnsi="宋体"/>
        </w:rPr>
        <w:t>人员向其他消费群体宣传。</w:t>
      </w:r>
    </w:p>
    <w:p w14:paraId="01A8D3BD">
      <w:pPr>
        <w:rPr>
          <w:rFonts w:ascii="黑体" w:hAnsi="宋体" w:eastAsia="黑体"/>
          <w:sz w:val="24"/>
        </w:rPr>
      </w:pPr>
      <w:r>
        <w:rPr>
          <w:rFonts w:hint="eastAsia" w:ascii="黑体" w:hAnsi="宋体" w:eastAsia="黑体"/>
          <w:sz w:val="24"/>
        </w:rPr>
        <w:t>51. 供应商违法责任</w:t>
      </w:r>
    </w:p>
    <w:p w14:paraId="6E928989">
      <w:pPr>
        <w:ind w:firstLine="411" w:firstLineChars="196"/>
        <w:rPr>
          <w:rFonts w:ascii="宋体" w:hAnsi="宋体"/>
          <w:szCs w:val="21"/>
        </w:rPr>
      </w:pPr>
      <w:r>
        <w:rPr>
          <w:rFonts w:hint="eastAsia" w:ascii="宋体" w:hAnsi="宋体"/>
          <w:szCs w:val="21"/>
        </w:rPr>
        <w:t>5</w:t>
      </w:r>
      <w:r>
        <w:rPr>
          <w:rFonts w:ascii="宋体" w:hAnsi="宋体"/>
          <w:szCs w:val="21"/>
        </w:rPr>
        <w:t>1.1</w:t>
      </w:r>
      <w:r>
        <w:rPr>
          <w:rFonts w:hint="eastAsia" w:ascii="宋体" w:hAnsi="宋体"/>
          <w:szCs w:val="21"/>
        </w:rPr>
        <w:t>《深圳经济特区政府采购条例》第五十七条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14:paraId="6A576D8C">
      <w:pPr>
        <w:ind w:firstLine="411" w:firstLineChars="196"/>
        <w:rPr>
          <w:rFonts w:ascii="宋体" w:hAnsi="宋体"/>
          <w:szCs w:val="21"/>
        </w:rPr>
      </w:pPr>
      <w:r>
        <w:rPr>
          <w:rFonts w:hint="eastAsia" w:ascii="宋体" w:hAnsi="宋体"/>
          <w:szCs w:val="21"/>
        </w:rPr>
        <w:t>（1）在采购活动中应当回避而未回避的；</w:t>
      </w:r>
    </w:p>
    <w:p w14:paraId="251EE5EE">
      <w:pPr>
        <w:ind w:firstLine="411" w:firstLineChars="196"/>
        <w:rPr>
          <w:rFonts w:ascii="宋体" w:hAnsi="宋体"/>
          <w:szCs w:val="21"/>
        </w:rPr>
      </w:pPr>
      <w:r>
        <w:rPr>
          <w:rFonts w:hint="eastAsia" w:ascii="宋体" w:hAnsi="宋体"/>
          <w:szCs w:val="21"/>
        </w:rPr>
        <w:t>（2）未按本条例规定签订、履行采购合同，造成严重后果的；</w:t>
      </w:r>
    </w:p>
    <w:p w14:paraId="6C2F5B17">
      <w:pPr>
        <w:ind w:firstLine="411" w:firstLineChars="196"/>
        <w:rPr>
          <w:rFonts w:ascii="宋体" w:hAnsi="宋体"/>
          <w:szCs w:val="21"/>
        </w:rPr>
      </w:pPr>
      <w:r>
        <w:rPr>
          <w:rFonts w:hint="eastAsia" w:ascii="宋体" w:hAnsi="宋体"/>
          <w:szCs w:val="21"/>
        </w:rPr>
        <w:t>（3）隐瞒真实情况，提供虚假资料的；</w:t>
      </w:r>
    </w:p>
    <w:p w14:paraId="44802501">
      <w:pPr>
        <w:ind w:firstLine="411" w:firstLineChars="196"/>
        <w:rPr>
          <w:rFonts w:ascii="宋体" w:hAnsi="宋体"/>
          <w:szCs w:val="21"/>
        </w:rPr>
      </w:pPr>
      <w:r>
        <w:rPr>
          <w:rFonts w:hint="eastAsia" w:ascii="宋体" w:hAnsi="宋体"/>
          <w:szCs w:val="21"/>
        </w:rPr>
        <w:t>（4）以非法手段排斥其他供应商参与竞争的；</w:t>
      </w:r>
    </w:p>
    <w:p w14:paraId="558C5CF3">
      <w:pPr>
        <w:ind w:firstLine="411" w:firstLineChars="196"/>
        <w:rPr>
          <w:rFonts w:ascii="宋体" w:hAnsi="宋体"/>
          <w:szCs w:val="21"/>
        </w:rPr>
      </w:pPr>
      <w:r>
        <w:rPr>
          <w:rFonts w:hint="eastAsia" w:ascii="宋体" w:hAnsi="宋体"/>
          <w:szCs w:val="21"/>
        </w:rPr>
        <w:t>（5）与其他采购参加人串通投标的；</w:t>
      </w:r>
    </w:p>
    <w:p w14:paraId="7F778CE3">
      <w:pPr>
        <w:ind w:firstLine="411" w:firstLineChars="196"/>
        <w:rPr>
          <w:rFonts w:ascii="宋体" w:hAnsi="宋体"/>
          <w:szCs w:val="21"/>
        </w:rPr>
      </w:pPr>
      <w:r>
        <w:rPr>
          <w:rFonts w:hint="eastAsia" w:ascii="宋体" w:hAnsi="宋体"/>
          <w:szCs w:val="21"/>
        </w:rPr>
        <w:t>（6）恶意投诉的；</w:t>
      </w:r>
    </w:p>
    <w:p w14:paraId="7A72DFFD">
      <w:pPr>
        <w:ind w:firstLine="411" w:firstLineChars="196"/>
        <w:rPr>
          <w:rFonts w:ascii="宋体" w:hAnsi="宋体"/>
          <w:szCs w:val="21"/>
        </w:rPr>
      </w:pPr>
      <w:r>
        <w:rPr>
          <w:rFonts w:hint="eastAsia" w:ascii="宋体" w:hAnsi="宋体"/>
          <w:szCs w:val="21"/>
        </w:rPr>
        <w:t>（7）向采购项目相关人行贿或者提供其他不当利益的；</w:t>
      </w:r>
    </w:p>
    <w:p w14:paraId="2F6B7824">
      <w:pPr>
        <w:ind w:firstLine="411" w:firstLineChars="196"/>
        <w:rPr>
          <w:rFonts w:ascii="宋体" w:hAnsi="宋体"/>
          <w:szCs w:val="21"/>
        </w:rPr>
      </w:pPr>
      <w:r>
        <w:rPr>
          <w:rFonts w:hint="eastAsia" w:ascii="宋体" w:hAnsi="宋体"/>
          <w:szCs w:val="21"/>
        </w:rPr>
        <w:t>（8）阻碍、抗拒主管部门监督检查的；</w:t>
      </w:r>
    </w:p>
    <w:p w14:paraId="639EB3E5">
      <w:pPr>
        <w:ind w:firstLine="411" w:firstLineChars="196"/>
        <w:rPr>
          <w:rFonts w:ascii="宋体" w:hAnsi="宋体"/>
          <w:szCs w:val="21"/>
        </w:rPr>
      </w:pPr>
      <w:r>
        <w:rPr>
          <w:rFonts w:hint="eastAsia" w:ascii="宋体" w:hAnsi="宋体"/>
          <w:szCs w:val="21"/>
        </w:rPr>
        <w:t>（9）其他违反本条例规定的行为。</w:t>
      </w:r>
    </w:p>
    <w:p w14:paraId="1AA39C3A">
      <w:pPr>
        <w:ind w:firstLine="411" w:firstLineChars="196"/>
        <w:rPr>
          <w:rFonts w:ascii="宋体" w:hAnsi="宋体"/>
          <w:szCs w:val="21"/>
        </w:rPr>
      </w:pPr>
      <w:r>
        <w:rPr>
          <w:rFonts w:hint="eastAsia" w:ascii="宋体" w:hAnsi="宋体"/>
          <w:szCs w:val="21"/>
        </w:rPr>
        <w:t>5</w:t>
      </w:r>
      <w:r>
        <w:rPr>
          <w:rFonts w:ascii="宋体" w:hAnsi="宋体"/>
          <w:szCs w:val="21"/>
        </w:rPr>
        <w:t xml:space="preserve">1.2 </w:t>
      </w:r>
      <w:r>
        <w:rPr>
          <w:rFonts w:hint="eastAsia" w:ascii="宋体" w:hAnsi="宋体"/>
          <w:szCs w:val="21"/>
        </w:rPr>
        <w:t>根据《深圳市财政局关于调整政府采购投标（响应）保证金管理政策的通知 》（深财购〔2021〕51 号）的要求，供应商在政府采购活动中出现《深圳经济特区政府采购条例实施细则》第八十条所列情形的，</w:t>
      </w:r>
      <w:bookmarkStart w:id="101" w:name="_Hlk72440769"/>
      <w:r>
        <w:rPr>
          <w:rFonts w:hint="eastAsia" w:ascii="宋体" w:hAnsi="宋体"/>
          <w:szCs w:val="21"/>
        </w:rPr>
        <w:t>政府集中采购机构或采购人不予退还其交纳的谈判保证金，情节严重的，并由主管部门</w:t>
      </w:r>
      <w:bookmarkEnd w:id="101"/>
      <w:r>
        <w:rPr>
          <w:rFonts w:hint="eastAsia" w:ascii="宋体" w:hAnsi="宋体"/>
          <w:szCs w:val="21"/>
        </w:rPr>
        <w:t>记入供应商诚信档案，予以通报：</w:t>
      </w:r>
    </w:p>
    <w:p w14:paraId="6AA7FF38">
      <w:pPr>
        <w:ind w:firstLine="411" w:firstLineChars="196"/>
        <w:rPr>
          <w:rFonts w:ascii="宋体" w:hAnsi="宋体"/>
          <w:szCs w:val="21"/>
        </w:rPr>
      </w:pPr>
      <w:r>
        <w:rPr>
          <w:rFonts w:hint="eastAsia" w:ascii="宋体" w:hAnsi="宋体"/>
          <w:szCs w:val="21"/>
        </w:rPr>
        <w:t>（1</w:t>
      </w:r>
      <w:r>
        <w:rPr>
          <w:rFonts w:ascii="宋体" w:hAnsi="宋体"/>
          <w:szCs w:val="21"/>
        </w:rPr>
        <w:t>）投标截止后，撤销投标的；</w:t>
      </w:r>
    </w:p>
    <w:p w14:paraId="585E7A92">
      <w:pPr>
        <w:ind w:firstLine="411" w:firstLineChars="196"/>
        <w:rPr>
          <w:rFonts w:ascii="宋体" w:hAnsi="宋体"/>
          <w:szCs w:val="21"/>
        </w:rPr>
      </w:pPr>
      <w:r>
        <w:rPr>
          <w:rFonts w:ascii="宋体" w:hAnsi="宋体"/>
          <w:szCs w:val="21"/>
        </w:rPr>
        <w:t>（</w:t>
      </w:r>
      <w:r>
        <w:rPr>
          <w:rFonts w:hint="eastAsia" w:ascii="宋体" w:hAnsi="宋体"/>
          <w:szCs w:val="21"/>
        </w:rPr>
        <w:t>2</w:t>
      </w:r>
      <w:r>
        <w:rPr>
          <w:rFonts w:ascii="宋体" w:hAnsi="宋体"/>
          <w:szCs w:val="21"/>
        </w:rPr>
        <w:t>）中标后无正当理由未在规定期限内签订合同的；</w:t>
      </w:r>
    </w:p>
    <w:p w14:paraId="647A991F">
      <w:pPr>
        <w:ind w:firstLine="411" w:firstLineChars="196"/>
        <w:rPr>
          <w:rFonts w:ascii="宋体" w:hAnsi="宋体"/>
          <w:szCs w:val="21"/>
        </w:rPr>
      </w:pPr>
      <w:r>
        <w:rPr>
          <w:rFonts w:ascii="宋体" w:hAnsi="宋体"/>
          <w:szCs w:val="21"/>
        </w:rPr>
        <w:t>（</w:t>
      </w:r>
      <w:r>
        <w:rPr>
          <w:rFonts w:hint="eastAsia" w:ascii="宋体" w:hAnsi="宋体"/>
          <w:szCs w:val="21"/>
        </w:rPr>
        <w:t>3</w:t>
      </w:r>
      <w:r>
        <w:rPr>
          <w:rFonts w:ascii="宋体" w:hAnsi="宋体"/>
          <w:szCs w:val="21"/>
        </w:rPr>
        <w:t>）将中标项目转让给他人、或者在投标文件中未说明且未经采购人、采购招标机构同意，将中标项目分包给他人的；</w:t>
      </w:r>
    </w:p>
    <w:p w14:paraId="60E48EAA">
      <w:pPr>
        <w:ind w:firstLine="411" w:firstLineChars="196"/>
        <w:rPr>
          <w:rFonts w:ascii="宋体" w:hAnsi="宋体"/>
          <w:szCs w:val="21"/>
        </w:rPr>
      </w:pPr>
      <w:r>
        <w:rPr>
          <w:rFonts w:ascii="宋体" w:hAnsi="宋体"/>
          <w:szCs w:val="21"/>
        </w:rPr>
        <w:t>（</w:t>
      </w:r>
      <w:r>
        <w:rPr>
          <w:rFonts w:hint="eastAsia" w:ascii="宋体" w:hAnsi="宋体"/>
          <w:szCs w:val="21"/>
        </w:rPr>
        <w:t>4</w:t>
      </w:r>
      <w:r>
        <w:rPr>
          <w:rFonts w:ascii="宋体" w:hAnsi="宋体"/>
          <w:szCs w:val="21"/>
        </w:rPr>
        <w:t>）拒绝履行合同义务的</w:t>
      </w:r>
      <w:r>
        <w:rPr>
          <w:rFonts w:hint="eastAsia" w:ascii="宋体" w:hAnsi="宋体"/>
          <w:szCs w:val="21"/>
        </w:rPr>
        <w:t>。</w:t>
      </w:r>
    </w:p>
    <w:bookmarkEnd w:id="85"/>
    <w:p w14:paraId="7DE93544">
      <w:pPr>
        <w:pStyle w:val="7"/>
        <w:numPr>
          <w:ilvl w:val="0"/>
          <w:numId w:val="11"/>
        </w:numPr>
        <w:spacing w:before="120" w:beforeLines="50" w:after="120" w:afterLines="50"/>
        <w:ind w:left="562" w:hanging="562"/>
        <w:rPr>
          <w:sz w:val="28"/>
          <w:szCs w:val="28"/>
        </w:rPr>
      </w:pPr>
      <w:r>
        <w:rPr>
          <w:rFonts w:hint="eastAsia"/>
          <w:sz w:val="28"/>
          <w:szCs w:val="28"/>
        </w:rPr>
        <w:t>质疑处理</w:t>
      </w:r>
    </w:p>
    <w:p w14:paraId="7DA124CA">
      <w:pPr>
        <w:rPr>
          <w:rFonts w:ascii="黑体" w:hAnsi="宋体" w:eastAsia="黑体"/>
          <w:sz w:val="24"/>
        </w:rPr>
      </w:pPr>
      <w:bookmarkStart w:id="102" w:name="_Hlk72439706"/>
      <w:r>
        <w:rPr>
          <w:rFonts w:hint="eastAsia" w:ascii="黑体" w:hAnsi="宋体" w:eastAsia="黑体"/>
          <w:sz w:val="24"/>
        </w:rPr>
        <w:t>52.质疑提出与答复</w:t>
      </w:r>
    </w:p>
    <w:p w14:paraId="2E3499B9">
      <w:pPr>
        <w:rPr>
          <w:rFonts w:ascii="宋体" w:hAnsi="宋体"/>
          <w:szCs w:val="21"/>
        </w:rPr>
      </w:pPr>
      <w:r>
        <w:rPr>
          <w:rFonts w:hint="eastAsia" w:ascii="宋体" w:hAnsi="宋体"/>
          <w:szCs w:val="21"/>
        </w:rPr>
        <w:t xml:space="preserve">    52.1提出质疑</w:t>
      </w:r>
    </w:p>
    <w:p w14:paraId="219E8B21">
      <w:pPr>
        <w:rPr>
          <w:rFonts w:ascii="宋体" w:hAnsi="宋体"/>
          <w:szCs w:val="21"/>
        </w:rPr>
      </w:pPr>
      <w:r>
        <w:rPr>
          <w:rFonts w:hint="eastAsia" w:ascii="宋体" w:hAnsi="宋体"/>
          <w:szCs w:val="21"/>
        </w:rPr>
        <w:t xml:space="preserve">    参与政府采购活动的供应商认为自己的权益在采购活动中受到损害的，应当自知道或者应当知道其权益受到损害之日起七个工作日内向采购人、政府集中采购机构以书面形式提出质疑。</w:t>
      </w:r>
    </w:p>
    <w:p w14:paraId="2D18B2CB">
      <w:pPr>
        <w:rPr>
          <w:rFonts w:ascii="宋体" w:hAnsi="宋体"/>
          <w:szCs w:val="21"/>
        </w:rPr>
      </w:pPr>
      <w:r>
        <w:rPr>
          <w:rFonts w:hint="eastAsia" w:ascii="宋体" w:hAnsi="宋体"/>
          <w:szCs w:val="21"/>
        </w:rPr>
        <w:t xml:space="preserve">    52.2</w:t>
      </w:r>
      <w:r>
        <w:rPr>
          <w:rFonts w:ascii="宋体" w:hAnsi="宋体"/>
          <w:szCs w:val="21"/>
        </w:rPr>
        <w:t>法律依据</w:t>
      </w:r>
    </w:p>
    <w:p w14:paraId="38BDF6BA">
      <w:pPr>
        <w:rPr>
          <w:rFonts w:ascii="宋体" w:hAnsi="宋体"/>
          <w:szCs w:val="21"/>
        </w:rPr>
      </w:pPr>
      <w:r>
        <w:rPr>
          <w:rFonts w:hint="eastAsia" w:ascii="宋体" w:hAnsi="宋体"/>
          <w:szCs w:val="21"/>
        </w:rPr>
        <w:t xml:space="preserve">    《中华人民共和国政府采购法》、《中华人民共和国政府采购法实施条例》、</w:t>
      </w:r>
      <w:r>
        <w:rPr>
          <w:rFonts w:ascii="宋体" w:hAnsi="宋体"/>
          <w:szCs w:val="21"/>
        </w:rPr>
        <w:t>《</w:t>
      </w:r>
      <w:r>
        <w:rPr>
          <w:rFonts w:hint="eastAsia" w:ascii="宋体" w:hAnsi="宋体"/>
          <w:szCs w:val="21"/>
        </w:rPr>
        <w:t>深圳经济特区政府采购</w:t>
      </w:r>
      <w:r>
        <w:rPr>
          <w:rFonts w:ascii="宋体" w:hAnsi="宋体"/>
          <w:szCs w:val="21"/>
        </w:rPr>
        <w:t>条例</w:t>
      </w:r>
      <w:r>
        <w:rPr>
          <w:rFonts w:hint="eastAsia" w:ascii="宋体" w:hAnsi="宋体"/>
          <w:szCs w:val="21"/>
        </w:rPr>
        <w:t>》、《深圳经济特区政府采购条例实施细则》、《政府采购质疑和投诉办法》（财政部令第94号）和其他有关法律法规规定。</w:t>
      </w:r>
    </w:p>
    <w:p w14:paraId="3B8984B0">
      <w:pPr>
        <w:rPr>
          <w:rFonts w:ascii="宋体" w:hAnsi="宋体"/>
          <w:szCs w:val="21"/>
        </w:rPr>
      </w:pPr>
      <w:r>
        <w:rPr>
          <w:rFonts w:hint="eastAsia" w:ascii="宋体" w:hAnsi="宋体"/>
          <w:szCs w:val="21"/>
        </w:rPr>
        <w:t xml:space="preserve">  </w:t>
      </w:r>
      <w:r>
        <w:rPr>
          <w:rFonts w:hint="eastAsia" w:ascii="宋体" w:hAnsi="宋体"/>
          <w:color w:val="FF0000"/>
          <w:szCs w:val="21"/>
        </w:rPr>
        <w:t xml:space="preserve">  </w:t>
      </w:r>
      <w:r>
        <w:rPr>
          <w:rFonts w:hint="eastAsia" w:ascii="宋体" w:hAnsi="宋体"/>
          <w:szCs w:val="21"/>
        </w:rPr>
        <w:t>52.3质疑条件</w:t>
      </w:r>
    </w:p>
    <w:p w14:paraId="168924D1">
      <w:pPr>
        <w:rPr>
          <w:rFonts w:ascii="宋体" w:hAnsi="宋体"/>
          <w:szCs w:val="21"/>
        </w:rPr>
      </w:pPr>
      <w:r>
        <w:rPr>
          <w:rFonts w:hint="eastAsia" w:ascii="宋体" w:hAnsi="宋体"/>
          <w:szCs w:val="21"/>
        </w:rPr>
        <w:t xml:space="preserve">    52.3.1提出质疑的供应商应当是参与所质疑项目采购活动的供应商；</w:t>
      </w:r>
      <w:bookmarkStart w:id="103" w:name="_Hlk75374941"/>
      <w:r>
        <w:rPr>
          <w:rFonts w:hint="eastAsia" w:ascii="宋体" w:hAnsi="宋体"/>
          <w:szCs w:val="21"/>
        </w:rPr>
        <w:t>以联合体形式参与的，质疑应当由组成联合体的所有成员共同提出</w:t>
      </w:r>
      <w:bookmarkEnd w:id="103"/>
      <w:r>
        <w:rPr>
          <w:rFonts w:hint="eastAsia" w:ascii="宋体" w:hAnsi="宋体"/>
          <w:szCs w:val="21"/>
        </w:rPr>
        <w:t>；</w:t>
      </w:r>
    </w:p>
    <w:p w14:paraId="7377316B">
      <w:pPr>
        <w:rPr>
          <w:rFonts w:ascii="宋体" w:hAnsi="宋体"/>
          <w:szCs w:val="21"/>
        </w:rPr>
      </w:pPr>
      <w:r>
        <w:rPr>
          <w:rFonts w:hint="eastAsia" w:ascii="宋体" w:hAnsi="宋体"/>
          <w:szCs w:val="21"/>
        </w:rPr>
        <w:t xml:space="preserve">    52.3.2应当在法定质疑期内一次性提出针对同一采购程序环节的质疑，法定质疑期为自知道或应当知道权益受到损害之日起7个工作日内。应当知道其权益受到损害之日是指：对招标文件的质疑，为招标文件公布之日；对采购过程的质疑，为各采购程序环节结束之日；对中标结果以及评审委员会组成人员的质疑，为中标结果公示之日；</w:t>
      </w:r>
    </w:p>
    <w:p w14:paraId="53B5DE88">
      <w:pPr>
        <w:ind w:firstLine="420"/>
        <w:rPr>
          <w:rFonts w:ascii="宋体" w:hAnsi="宋体"/>
          <w:szCs w:val="21"/>
        </w:rPr>
      </w:pPr>
      <w:r>
        <w:rPr>
          <w:rFonts w:hint="eastAsia" w:ascii="宋体" w:hAnsi="宋体"/>
          <w:szCs w:val="21"/>
        </w:rPr>
        <w:t>52.3.3应提交书面质疑函，质疑函应当包括以下内容：</w:t>
      </w:r>
      <w:r>
        <w:rPr>
          <w:rFonts w:ascii="宋体" w:hAnsi="宋体"/>
          <w:szCs w:val="21"/>
        </w:rPr>
        <w:t xml:space="preserve"> </w:t>
      </w:r>
    </w:p>
    <w:p w14:paraId="71CF59CD">
      <w:pPr>
        <w:ind w:firstLine="420"/>
        <w:rPr>
          <w:rFonts w:ascii="宋体" w:hAnsi="宋体"/>
          <w:szCs w:val="21"/>
        </w:rPr>
      </w:pPr>
      <w:r>
        <w:rPr>
          <w:rFonts w:hint="eastAsia" w:ascii="宋体" w:hAnsi="宋体"/>
          <w:szCs w:val="21"/>
        </w:rPr>
        <w:t>（1）供应商的名称（或者姓名）、地址、邮编、邮箱、联系人及联系电话；</w:t>
      </w:r>
    </w:p>
    <w:p w14:paraId="5DB1F5A1">
      <w:pPr>
        <w:ind w:firstLine="420" w:firstLineChars="200"/>
        <w:rPr>
          <w:rFonts w:ascii="宋体" w:hAnsi="宋体"/>
          <w:szCs w:val="21"/>
        </w:rPr>
      </w:pPr>
      <w:r>
        <w:rPr>
          <w:rFonts w:hint="eastAsia" w:ascii="宋体" w:hAnsi="宋体"/>
          <w:szCs w:val="21"/>
        </w:rPr>
        <w:t>（2）质疑项目的名称、编号；</w:t>
      </w:r>
    </w:p>
    <w:p w14:paraId="22F1412A">
      <w:pPr>
        <w:ind w:firstLine="420" w:firstLineChars="200"/>
        <w:rPr>
          <w:rFonts w:ascii="宋体" w:hAnsi="宋体"/>
          <w:szCs w:val="21"/>
        </w:rPr>
      </w:pPr>
      <w:r>
        <w:rPr>
          <w:rFonts w:hint="eastAsia" w:ascii="宋体" w:hAnsi="宋体"/>
          <w:szCs w:val="21"/>
        </w:rPr>
        <w:t>（3）具体、明确的质疑对象、质疑事项和质疑请求；</w:t>
      </w:r>
    </w:p>
    <w:p w14:paraId="36A3A4BD">
      <w:pPr>
        <w:ind w:firstLine="420" w:firstLineChars="200"/>
        <w:rPr>
          <w:rFonts w:ascii="宋体" w:hAnsi="宋体"/>
          <w:szCs w:val="21"/>
        </w:rPr>
      </w:pPr>
      <w:r>
        <w:rPr>
          <w:rFonts w:hint="eastAsia" w:ascii="宋体" w:hAnsi="宋体"/>
          <w:szCs w:val="21"/>
        </w:rPr>
        <w:t>（4）因质疑事项而受损害的权益；</w:t>
      </w:r>
    </w:p>
    <w:p w14:paraId="5B7303D5">
      <w:pPr>
        <w:ind w:firstLine="420" w:firstLineChars="200"/>
        <w:rPr>
          <w:rFonts w:ascii="宋体" w:hAnsi="宋体"/>
          <w:szCs w:val="21"/>
        </w:rPr>
      </w:pPr>
      <w:r>
        <w:rPr>
          <w:rFonts w:hint="eastAsia" w:ascii="宋体" w:hAnsi="宋体"/>
          <w:szCs w:val="21"/>
        </w:rPr>
        <w:t>（5）事实依据；</w:t>
      </w:r>
    </w:p>
    <w:p w14:paraId="03E50F0F">
      <w:pPr>
        <w:ind w:firstLine="420" w:firstLineChars="200"/>
        <w:rPr>
          <w:rFonts w:ascii="宋体" w:hAnsi="宋体"/>
          <w:szCs w:val="21"/>
        </w:rPr>
      </w:pPr>
      <w:r>
        <w:rPr>
          <w:rFonts w:hint="eastAsia" w:ascii="宋体" w:hAnsi="宋体"/>
          <w:szCs w:val="21"/>
        </w:rPr>
        <w:t>（6）必要的法律依据；</w:t>
      </w:r>
    </w:p>
    <w:p w14:paraId="3649BEAB">
      <w:pPr>
        <w:ind w:firstLine="420" w:firstLineChars="200"/>
        <w:rPr>
          <w:rFonts w:ascii="宋体" w:hAnsi="宋体"/>
          <w:szCs w:val="21"/>
        </w:rPr>
      </w:pPr>
      <w:r>
        <w:rPr>
          <w:rFonts w:hint="eastAsia" w:ascii="宋体" w:hAnsi="宋体"/>
          <w:szCs w:val="21"/>
        </w:rPr>
        <w:t>（7）提出质疑的日期。</w:t>
      </w:r>
    </w:p>
    <w:p w14:paraId="112092C5">
      <w:pPr>
        <w:ind w:firstLine="420" w:firstLineChars="200"/>
        <w:rPr>
          <w:rFonts w:ascii="宋体" w:hAnsi="宋体"/>
          <w:szCs w:val="21"/>
        </w:rPr>
      </w:pPr>
      <w:r>
        <w:rPr>
          <w:rFonts w:hint="eastAsia" w:ascii="宋体" w:hAnsi="宋体"/>
          <w:szCs w:val="21"/>
        </w:rPr>
        <w:t>供应商为自然人的，应当由本人签字；供应商为法人或者其他组织的，应当由法定代表人（负责人），或者其授权代理人签字或者盖章，并加盖公章。</w:t>
      </w:r>
    </w:p>
    <w:p w14:paraId="446A2686">
      <w:pPr>
        <w:ind w:firstLine="420" w:firstLineChars="200"/>
        <w:rPr>
          <w:rFonts w:ascii="宋体" w:hAnsi="宋体"/>
          <w:szCs w:val="21"/>
        </w:rPr>
      </w:pPr>
      <w:r>
        <w:rPr>
          <w:rFonts w:hint="eastAsia" w:ascii="宋体" w:hAnsi="宋体"/>
          <w:szCs w:val="21"/>
        </w:rPr>
        <w:t>52.4提交</w:t>
      </w:r>
      <w:r>
        <w:rPr>
          <w:rFonts w:ascii="宋体" w:hAnsi="宋体"/>
          <w:szCs w:val="21"/>
        </w:rPr>
        <w:t>材料</w:t>
      </w:r>
    </w:p>
    <w:p w14:paraId="4B6121E3">
      <w:pPr>
        <w:ind w:firstLine="420" w:firstLineChars="200"/>
        <w:rPr>
          <w:rFonts w:ascii="宋体" w:hAnsi="宋体"/>
          <w:szCs w:val="21"/>
        </w:rPr>
      </w:pPr>
      <w:r>
        <w:rPr>
          <w:rFonts w:hint="eastAsia" w:ascii="宋体" w:hAnsi="宋体"/>
          <w:szCs w:val="21"/>
        </w:rPr>
        <w:t>供应商质疑实行实名制。供应商为自然人的，应当提交本人身份证复印件；供应商为法人或者其他组织的，应当根据自身性质提交营业执照复印件或者其他证明文件（如事业单位法人证书等）复印件。</w:t>
      </w:r>
    </w:p>
    <w:p w14:paraId="261FC65A">
      <w:pPr>
        <w:ind w:firstLine="420" w:firstLineChars="200"/>
        <w:rPr>
          <w:rFonts w:ascii="宋体" w:hAnsi="宋体"/>
          <w:szCs w:val="21"/>
        </w:rPr>
      </w:pPr>
      <w:r>
        <w:rPr>
          <w:rFonts w:hint="eastAsia" w:ascii="宋体" w:hAnsi="宋体"/>
          <w:szCs w:val="21"/>
        </w:rPr>
        <w:t>供应商可以委托代理人进行质疑。</w:t>
      </w:r>
      <w:r>
        <w:rPr>
          <w:rFonts w:ascii="宋体" w:hAnsi="宋体"/>
          <w:szCs w:val="21"/>
        </w:rPr>
        <w:t>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3A63EF54">
      <w:pPr>
        <w:ind w:firstLine="420" w:firstLineChars="200"/>
        <w:rPr>
          <w:rFonts w:ascii="宋体" w:hAnsi="宋体"/>
          <w:szCs w:val="21"/>
        </w:rPr>
      </w:pPr>
      <w:r>
        <w:rPr>
          <w:rFonts w:hint="eastAsia" w:ascii="宋体" w:hAnsi="宋体"/>
          <w:szCs w:val="21"/>
        </w:rPr>
        <w:t>52.5收文地点</w:t>
      </w:r>
    </w:p>
    <w:p w14:paraId="35F4DDD6">
      <w:pPr>
        <w:ind w:firstLine="422" w:firstLineChars="200"/>
        <w:rPr>
          <w:rFonts w:ascii="宋体" w:hAnsi="宋体"/>
          <w:b/>
          <w:bCs/>
          <w:szCs w:val="21"/>
        </w:rPr>
      </w:pPr>
      <w:r>
        <w:rPr>
          <w:rFonts w:hint="eastAsia" w:ascii="宋体" w:hAnsi="宋体"/>
          <w:b/>
          <w:bCs/>
          <w:szCs w:val="21"/>
        </w:rPr>
        <w:t>地址：深圳公共资源交易中心（深圳交易集团有限公司</w:t>
      </w:r>
      <w:r>
        <w:rPr>
          <w:rFonts w:hint="eastAsia" w:ascii="宋体" w:hAnsi="宋体"/>
          <w:b/>
          <w:bCs/>
          <w:szCs w:val="21"/>
          <w:lang w:val="en-US" w:eastAsia="zh-CN"/>
        </w:rPr>
        <w:t>龙岗</w:t>
      </w:r>
      <w:r>
        <w:rPr>
          <w:rFonts w:hint="eastAsia" w:ascii="宋体" w:hAnsi="宋体"/>
          <w:b/>
          <w:bCs/>
          <w:szCs w:val="21"/>
        </w:rPr>
        <w:t>分公司）</w:t>
      </w:r>
      <w:r>
        <w:rPr>
          <w:rFonts w:hint="eastAsia" w:ascii="宋体" w:hAnsi="宋体"/>
          <w:b/>
          <w:bCs/>
          <w:szCs w:val="21"/>
          <w:lang w:eastAsia="zh-CN"/>
        </w:rPr>
        <w:t>。</w:t>
      </w:r>
      <w:r>
        <w:rPr>
          <w:rFonts w:hint="eastAsia" w:ascii="宋体" w:hAnsi="宋体" w:eastAsia="宋体" w:cs="Times New Roman"/>
          <w:b/>
          <w:bCs/>
          <w:szCs w:val="21"/>
        </w:rPr>
        <w:t>质疑咨询电话：0755-</w:t>
      </w:r>
      <w:r>
        <w:rPr>
          <w:rFonts w:hint="eastAsia" w:ascii="宋体" w:hAnsi="宋体" w:eastAsia="宋体" w:cs="Times New Roman"/>
          <w:b/>
          <w:bCs/>
          <w:szCs w:val="21"/>
          <w:lang w:val="en-US" w:eastAsia="zh-CN"/>
        </w:rPr>
        <w:t>28413245</w:t>
      </w:r>
      <w:r>
        <w:rPr>
          <w:rFonts w:hint="eastAsia" w:ascii="宋体" w:hAnsi="宋体"/>
          <w:b/>
          <w:bCs/>
          <w:szCs w:val="21"/>
        </w:rPr>
        <w:t>。</w:t>
      </w:r>
    </w:p>
    <w:p w14:paraId="440711F5">
      <w:pPr>
        <w:ind w:firstLine="420" w:firstLineChars="200"/>
        <w:rPr>
          <w:rFonts w:ascii="宋体" w:hAnsi="宋体"/>
          <w:szCs w:val="21"/>
        </w:rPr>
      </w:pPr>
      <w:r>
        <w:rPr>
          <w:rFonts w:hint="eastAsia" w:ascii="宋体" w:hAnsi="宋体"/>
          <w:szCs w:val="21"/>
        </w:rPr>
        <w:t>52.6收文办理</w:t>
      </w:r>
      <w:r>
        <w:rPr>
          <w:rFonts w:ascii="宋体" w:hAnsi="宋体"/>
          <w:szCs w:val="21"/>
        </w:rPr>
        <w:t>程序</w:t>
      </w:r>
    </w:p>
    <w:p w14:paraId="12EEDFFC">
      <w:pPr>
        <w:ind w:firstLine="420" w:firstLineChars="200"/>
        <w:rPr>
          <w:rFonts w:ascii="宋体" w:hAnsi="宋体"/>
          <w:szCs w:val="21"/>
        </w:rPr>
      </w:pPr>
      <w:r>
        <w:rPr>
          <w:rFonts w:hint="eastAsia" w:ascii="宋体" w:hAnsi="宋体"/>
          <w:szCs w:val="21"/>
        </w:rPr>
        <w:t>52.6.1供应商提交的质疑符合受理条件的，政府集中采购机构自收到质疑材料之日起即为受理，应当向供应商出具质疑函收文回执并可以要求其递交质疑的法定代表人（负责人）或者授权代理人签署质疑文书送达地址确认书。</w:t>
      </w:r>
    </w:p>
    <w:p w14:paraId="03AC5A28">
      <w:pPr>
        <w:ind w:firstLine="420" w:firstLineChars="200"/>
        <w:rPr>
          <w:rFonts w:ascii="仿宋" w:hAnsi="仿宋" w:eastAsia="仿宋"/>
          <w:sz w:val="28"/>
          <w:szCs w:val="28"/>
        </w:rPr>
      </w:pPr>
      <w:r>
        <w:rPr>
          <w:rFonts w:hint="eastAsia" w:ascii="宋体" w:hAnsi="宋体"/>
          <w:szCs w:val="21"/>
        </w:rPr>
        <w:t>52.6.2供应商提交的质疑材料不符合质疑条件的，视情况处理：</w:t>
      </w:r>
    </w:p>
    <w:p w14:paraId="1CE425EA">
      <w:pPr>
        <w:ind w:firstLine="420" w:firstLineChars="200"/>
        <w:rPr>
          <w:rFonts w:ascii="宋体" w:hAnsi="宋体"/>
          <w:szCs w:val="21"/>
        </w:rPr>
      </w:pPr>
      <w:r>
        <w:rPr>
          <w:rFonts w:hint="eastAsia" w:ascii="宋体" w:hAnsi="宋体"/>
          <w:szCs w:val="21"/>
        </w:rPr>
        <w:t>供应商提交的质疑材料不全或者未按要求签字或者盖章的，政府集中采购机构应当一次性告知供应商需补正的内容和补正期限。</w:t>
      </w:r>
    </w:p>
    <w:p w14:paraId="2FE58D23">
      <w:pPr>
        <w:ind w:firstLine="420" w:firstLineChars="200"/>
        <w:rPr>
          <w:rFonts w:ascii="宋体" w:hAnsi="宋体"/>
          <w:szCs w:val="21"/>
        </w:rPr>
      </w:pPr>
      <w:r>
        <w:rPr>
          <w:rFonts w:hint="eastAsia" w:ascii="宋体" w:hAnsi="宋体"/>
          <w:szCs w:val="21"/>
        </w:rPr>
        <w:t>供应商提交的质疑存在下列情形之一的，不予受理：</w:t>
      </w:r>
    </w:p>
    <w:p w14:paraId="22221470">
      <w:pPr>
        <w:ind w:firstLine="420" w:firstLineChars="200"/>
        <w:rPr>
          <w:rFonts w:ascii="宋体" w:hAnsi="宋体"/>
          <w:szCs w:val="21"/>
        </w:rPr>
      </w:pPr>
      <w:r>
        <w:rPr>
          <w:rFonts w:hint="eastAsia" w:ascii="宋体" w:hAnsi="宋体"/>
          <w:szCs w:val="21"/>
        </w:rPr>
        <w:t>（1）质疑主体不满足要求的；</w:t>
      </w:r>
    </w:p>
    <w:p w14:paraId="0D9AC18D">
      <w:pPr>
        <w:ind w:firstLine="420" w:firstLineChars="200"/>
        <w:rPr>
          <w:rFonts w:ascii="宋体" w:hAnsi="宋体"/>
          <w:szCs w:val="21"/>
        </w:rPr>
      </w:pPr>
      <w:r>
        <w:rPr>
          <w:rFonts w:hint="eastAsia" w:ascii="宋体" w:hAnsi="宋体"/>
          <w:szCs w:val="21"/>
        </w:rPr>
        <w:t>（2）供应商自身权益未受到损害的；</w:t>
      </w:r>
    </w:p>
    <w:p w14:paraId="697CF50F">
      <w:pPr>
        <w:ind w:firstLine="420" w:firstLineChars="200"/>
        <w:rPr>
          <w:rFonts w:ascii="宋体" w:hAnsi="宋体"/>
          <w:szCs w:val="21"/>
        </w:rPr>
      </w:pPr>
      <w:r>
        <w:rPr>
          <w:rFonts w:hint="eastAsia" w:ascii="宋体" w:hAnsi="宋体"/>
          <w:szCs w:val="21"/>
        </w:rPr>
        <w:t>（3）供应商未在法定质疑期限内提出质疑的；</w:t>
      </w:r>
    </w:p>
    <w:p w14:paraId="4CBF3EB3">
      <w:pPr>
        <w:ind w:firstLine="420" w:firstLineChars="200"/>
        <w:rPr>
          <w:rFonts w:ascii="宋体" w:hAnsi="宋体"/>
          <w:szCs w:val="21"/>
        </w:rPr>
      </w:pPr>
      <w:r>
        <w:rPr>
          <w:rFonts w:hint="eastAsia" w:ascii="宋体" w:hAnsi="宋体"/>
          <w:szCs w:val="21"/>
        </w:rPr>
        <w:t>（4）质疑材料不全或者未按要求签字或者盖章的情况下，要求补正后，逾期未补正或者补正后仍不符合规定的；</w:t>
      </w:r>
    </w:p>
    <w:p w14:paraId="3ADA68BD">
      <w:pPr>
        <w:ind w:firstLine="420" w:firstLineChars="200"/>
        <w:rPr>
          <w:rFonts w:ascii="宋体" w:hAnsi="宋体"/>
          <w:szCs w:val="21"/>
        </w:rPr>
      </w:pPr>
      <w:r>
        <w:rPr>
          <w:rFonts w:hint="eastAsia" w:ascii="宋体" w:hAnsi="宋体"/>
          <w:szCs w:val="21"/>
        </w:rPr>
        <w:t>（5）其他不符合受理条件情形的。</w:t>
      </w:r>
    </w:p>
    <w:p w14:paraId="290DDD56">
      <w:pPr>
        <w:ind w:firstLine="420" w:firstLineChars="200"/>
        <w:rPr>
          <w:rFonts w:ascii="宋体" w:hAnsi="宋体"/>
          <w:szCs w:val="21"/>
        </w:rPr>
      </w:pPr>
      <w:r>
        <w:rPr>
          <w:rFonts w:hint="eastAsia" w:ascii="宋体" w:hAnsi="宋体"/>
          <w:szCs w:val="21"/>
        </w:rPr>
        <w:t>质疑事项不予受理的，政府集中采购机构应当向供应商出具不符合质疑条件告知书。</w:t>
      </w:r>
    </w:p>
    <w:p w14:paraId="0C23C34D">
      <w:pPr>
        <w:rPr>
          <w:rFonts w:ascii="宋体" w:hAnsi="宋体"/>
          <w:szCs w:val="21"/>
        </w:rPr>
      </w:pPr>
      <w:r>
        <w:rPr>
          <w:rFonts w:hint="eastAsia" w:ascii="宋体" w:hAnsi="宋体"/>
          <w:color w:val="FF0000"/>
          <w:szCs w:val="21"/>
        </w:rPr>
        <w:t xml:space="preserve">  </w:t>
      </w:r>
      <w:r>
        <w:rPr>
          <w:rFonts w:hint="eastAsia" w:ascii="宋体" w:hAnsi="宋体"/>
          <w:szCs w:val="21"/>
        </w:rPr>
        <w:t xml:space="preserve">  52.7质疑答复时限</w:t>
      </w:r>
    </w:p>
    <w:p w14:paraId="7C5A9876">
      <w:pPr>
        <w:rPr>
          <w:rFonts w:ascii="宋体" w:hAnsi="宋体"/>
          <w:szCs w:val="21"/>
        </w:rPr>
      </w:pPr>
      <w:r>
        <w:rPr>
          <w:rFonts w:hint="eastAsia" w:ascii="宋体" w:hAnsi="宋体"/>
          <w:szCs w:val="21"/>
        </w:rPr>
        <w:t xml:space="preserve">    自收文之日起七个工作日内。</w:t>
      </w:r>
    </w:p>
    <w:p w14:paraId="5A75EDEA">
      <w:pPr>
        <w:rPr>
          <w:rFonts w:ascii="宋体" w:hAnsi="宋体"/>
          <w:szCs w:val="21"/>
        </w:rPr>
      </w:pPr>
      <w:r>
        <w:rPr>
          <w:rFonts w:hint="eastAsia" w:ascii="宋体" w:hAnsi="宋体"/>
          <w:szCs w:val="21"/>
        </w:rPr>
        <w:t xml:space="preserve">    52.8投诉</w:t>
      </w:r>
    </w:p>
    <w:p w14:paraId="3BC5F9A4">
      <w:pPr>
        <w:rPr>
          <w:rFonts w:ascii="宋体" w:hAnsi="宋体"/>
          <w:szCs w:val="21"/>
        </w:rPr>
      </w:pPr>
      <w:r>
        <w:rPr>
          <w:rFonts w:hint="eastAsia" w:ascii="宋体" w:hAnsi="宋体"/>
          <w:szCs w:val="21"/>
        </w:rPr>
        <w:t xml:space="preserve">    对质疑答复不满意或者未在规定时间内答复的，提出质疑的供应商可以在答复期满后15日内向</w:t>
      </w:r>
      <w:r>
        <w:rPr>
          <w:rFonts w:hint="eastAsia" w:ascii="宋体" w:hAnsi="宋体"/>
          <w:szCs w:val="21"/>
          <w:highlight w:val="yellow"/>
          <w:lang w:val="en-US" w:eastAsia="zh-CN"/>
        </w:rPr>
        <w:t>采购人</w:t>
      </w:r>
      <w:r>
        <w:rPr>
          <w:rFonts w:hint="eastAsia" w:ascii="宋体" w:hAnsi="宋体"/>
          <w:szCs w:val="21"/>
        </w:rPr>
        <w:t>投诉。</w:t>
      </w:r>
    </w:p>
    <w:p w14:paraId="0618C3BA">
      <w:pPr>
        <w:rPr>
          <w:rFonts w:ascii="黑体" w:hAnsi="宋体" w:eastAsia="黑体"/>
          <w:sz w:val="24"/>
        </w:rPr>
      </w:pPr>
      <w:r>
        <w:rPr>
          <w:rFonts w:hint="eastAsia" w:ascii="黑体" w:hAnsi="宋体" w:eastAsia="黑体"/>
          <w:sz w:val="24"/>
        </w:rPr>
        <w:t>53. 质疑后续处理</w:t>
      </w:r>
    </w:p>
    <w:p w14:paraId="7AB00C11">
      <w:pPr>
        <w:jc w:val="both"/>
        <w:rPr>
          <w:rFonts w:ascii="宋体" w:hAnsi="宋体"/>
          <w:szCs w:val="21"/>
        </w:rPr>
      </w:pPr>
      <w:r>
        <w:rPr>
          <w:rFonts w:hint="eastAsia" w:ascii="宋体" w:hAnsi="宋体"/>
          <w:szCs w:val="21"/>
        </w:rPr>
        <w:t xml:space="preserve">    53.1供应商质疑不成立，或者成立但未对中标、成交结果构成影响的，继续开展采购活动。</w:t>
      </w:r>
    </w:p>
    <w:p w14:paraId="2F507674">
      <w:pPr>
        <w:ind w:firstLine="420"/>
        <w:jc w:val="both"/>
        <w:rPr>
          <w:rFonts w:hint="eastAsia" w:ascii="宋体" w:hAnsi="宋体"/>
          <w:szCs w:val="21"/>
        </w:rPr>
      </w:pPr>
      <w:r>
        <w:rPr>
          <w:rFonts w:hint="eastAsia" w:ascii="宋体" w:hAnsi="宋体"/>
          <w:szCs w:val="21"/>
        </w:rPr>
        <w:t>53.2供应商质疑成立且影响或者可能影响中标、成交结果的，按照下列情况处理：（1）对采购文件提出的质疑，依法通过澄清或者修改可以继续开展采购活动的，澄清或者修改采购文件后继续开展采购活动；否则应当修改采购文件后重新开展采购活动。（2）对采购过程、中标或者成交结果提出的质疑，合格供应商符合法定数量时，可以从合格的中标或者成交候选人中另行确定中标、成交供应商的，应当依法另行确定中标、成交供应商；否则应当重新开展采购活动。</w:t>
      </w:r>
    </w:p>
    <w:p w14:paraId="7E53D4E3">
      <w:pPr>
        <w:jc w:val="both"/>
      </w:pPr>
      <w:r>
        <w:t>---- END ----</w:t>
      </w:r>
      <w:bookmarkEnd w:id="102"/>
    </w:p>
    <w:p w14:paraId="183EE40A">
      <w:pPr>
        <w:ind w:firstLine="420" w:firstLineChars="200"/>
        <w:rPr>
          <w:rFonts w:ascii="宋体" w:hAnsi="宋体"/>
          <w:szCs w:val="21"/>
        </w:rPr>
      </w:pPr>
    </w:p>
    <w:sectPr>
      <w:footerReference r:id="rId6" w:type="default"/>
      <w:pgSz w:w="11907" w:h="16840"/>
      <w:pgMar w:top="1440" w:right="1797" w:bottom="1440" w:left="1797" w:header="851" w:footer="992" w:gutter="0"/>
      <w:cols w:space="425"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隶书">
    <w:panose1 w:val="0201050906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auto"/>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Helvetica">
    <w:altName w:val="Arial"/>
    <w:panose1 w:val="020B0504020202030204"/>
    <w:charset w:val="00"/>
    <w:family w:val="swiss"/>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文鼎粗黑">
    <w:altName w:val="黑体"/>
    <w:panose1 w:val="00000000000000000000"/>
    <w:charset w:val="86"/>
    <w:family w:val="modern"/>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ˎ̥">
    <w:altName w:val="微软雅黑"/>
    <w:panose1 w:val="00000000000000000000"/>
    <w:charset w:val="00"/>
    <w:family w:val="auto"/>
    <w:pitch w:val="default"/>
    <w:sig w:usb0="00000000" w:usb1="00000000" w:usb2="00000000" w:usb3="00000000" w:csb0="00040001" w:csb1="00000000"/>
  </w:font>
  <w:font w:name="??">
    <w:altName w:val="微软雅黑"/>
    <w:panose1 w:val="00000000000000000000"/>
    <w:charset w:val="01"/>
    <w:family w:val="auto"/>
    <w:pitch w:val="default"/>
    <w:sig w:usb0="00000000" w:usb1="00000000" w:usb2="00000000" w:usb3="00000000" w:csb0="00040001" w:csb1="00000000"/>
  </w:font>
  <w:font w:name="汉仪细等线简">
    <w:altName w:val="宋体"/>
    <w:panose1 w:val="00000000000000000000"/>
    <w:charset w:val="86"/>
    <w:family w:val="modern"/>
    <w:pitch w:val="default"/>
    <w:sig w:usb0="00000000" w:usb1="00000000" w:usb2="00000012" w:usb3="00000000" w:csb0="00040000" w:csb1="00000000"/>
  </w:font>
  <w:font w:name="H Yb 2gj">
    <w:altName w:val="宋体"/>
    <w:panose1 w:val="00000000000000000000"/>
    <w:charset w:val="86"/>
    <w:family w:val="auto"/>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FZSSK--GBK1-0">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7BA0B">
    <w:pPr>
      <w:pStyle w:val="28"/>
      <w:framePr w:wrap="around" w:vAnchor="text" w:hAnchor="margin" w:xAlign="center" w:y="1"/>
      <w:rPr>
        <w:rStyle w:val="47"/>
      </w:rPr>
    </w:pPr>
    <w:r>
      <w:t xml:space="preserve">- </w:t>
    </w:r>
    <w:r>
      <w:fldChar w:fldCharType="begin"/>
    </w:r>
    <w:r>
      <w:instrText xml:space="preserve"> PAGE </w:instrText>
    </w:r>
    <w:r>
      <w:fldChar w:fldCharType="separate"/>
    </w:r>
    <w:r>
      <w:t>29</w:t>
    </w:r>
    <w:r>
      <w:fldChar w:fldCharType="end"/>
    </w:r>
    <w:r>
      <w:t xml:space="preserve"> -</w:t>
    </w:r>
  </w:p>
  <w:p w14:paraId="6D6CF040">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FF082">
    <w:pPr>
      <w:pStyle w:val="28"/>
      <w:framePr w:wrap="around" w:vAnchor="text" w:hAnchor="margin" w:xAlign="center" w:y="1"/>
      <w:rPr>
        <w:rStyle w:val="47"/>
      </w:rPr>
    </w:pPr>
    <w:r>
      <w:rPr>
        <w:rStyle w:val="47"/>
      </w:rPr>
      <w:fldChar w:fldCharType="begin"/>
    </w:r>
    <w:r>
      <w:rPr>
        <w:rStyle w:val="47"/>
      </w:rPr>
      <w:instrText xml:space="preserve">PAGE  </w:instrText>
    </w:r>
    <w:r>
      <w:rPr>
        <w:rStyle w:val="47"/>
      </w:rPr>
      <w:fldChar w:fldCharType="end"/>
    </w:r>
  </w:p>
  <w:p w14:paraId="4F86CD14">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5AF4C">
    <w:pPr>
      <w:pStyle w:val="28"/>
      <w:jc w:val="center"/>
      <w:rPr>
        <w:rFonts w:hint="eastAsia"/>
        <w:sz w:val="20"/>
        <w:szCs w:val="20"/>
      </w:rPr>
    </w:pPr>
    <w:r>
      <w:rPr>
        <w:sz w:val="20"/>
        <w:szCs w:val="20"/>
        <w:lang w:val="zh-CN"/>
      </w:rPr>
      <w:t xml:space="preserve"> </w:t>
    </w:r>
    <w:r>
      <w:rPr>
        <w:b/>
        <w:sz w:val="20"/>
        <w:szCs w:val="20"/>
      </w:rPr>
      <w:fldChar w:fldCharType="begin"/>
    </w:r>
    <w:r>
      <w:rPr>
        <w:b/>
        <w:sz w:val="20"/>
        <w:szCs w:val="20"/>
      </w:rPr>
      <w:instrText xml:space="preserve">PAGE</w:instrText>
    </w:r>
    <w:r>
      <w:rPr>
        <w:b/>
        <w:sz w:val="20"/>
        <w:szCs w:val="20"/>
      </w:rPr>
      <w:fldChar w:fldCharType="separate"/>
    </w:r>
    <w:r>
      <w:rPr>
        <w:b/>
        <w:sz w:val="20"/>
        <w:szCs w:val="20"/>
      </w:rPr>
      <w:t>2</w:t>
    </w:r>
    <w:r>
      <w:rPr>
        <w:b/>
        <w:sz w:val="20"/>
        <w:szCs w:val="20"/>
      </w:rPr>
      <w:fldChar w:fldCharType="end"/>
    </w:r>
    <w:r>
      <w:rPr>
        <w:sz w:val="20"/>
        <w:szCs w:val="20"/>
        <w:lang w:val="zh-CN"/>
      </w:rPr>
      <w:t xml:space="preserve"> / </w:t>
    </w:r>
    <w:r>
      <w:rPr>
        <w:rFonts w:hint="eastAsia"/>
        <w:b/>
        <w:sz w:val="20"/>
        <w:szCs w:val="20"/>
      </w:rPr>
      <w:t>6</w:t>
    </w:r>
  </w:p>
  <w:p w14:paraId="441D8B2F">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5F5971">
    <w:pPr>
      <w:pStyle w:val="29"/>
      <w:pBdr>
        <w:top w:val="none" w:color="auto" w:sz="0" w:space="0"/>
        <w:left w:val="none" w:color="auto" w:sz="0" w:space="0"/>
        <w:bottom w:val="none" w:color="auto" w:sz="0" w:space="1"/>
        <w:right w:val="none" w:color="auto" w:sz="0" w:space="0"/>
        <w:between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58C2E"/>
    <w:multiLevelType w:val="singleLevel"/>
    <w:tmpl w:val="B9358C2E"/>
    <w:lvl w:ilvl="0" w:tentative="0">
      <w:start w:val="2"/>
      <w:numFmt w:val="decimal"/>
      <w:suff w:val="nothing"/>
      <w:lvlText w:val="%1、"/>
      <w:lvlJc w:val="left"/>
    </w:lvl>
  </w:abstractNum>
  <w:abstractNum w:abstractNumId="1">
    <w:nsid w:val="FFFFFF7C"/>
    <w:multiLevelType w:val="singleLevel"/>
    <w:tmpl w:val="FFFFFF7C"/>
    <w:lvl w:ilvl="0" w:tentative="0">
      <w:start w:val="1"/>
      <w:numFmt w:val="decimal"/>
      <w:pStyle w:val="67"/>
      <w:lvlText w:val="%1."/>
      <w:lvlJc w:val="left"/>
      <w:pPr>
        <w:tabs>
          <w:tab w:val="left" w:pos="2040"/>
        </w:tabs>
        <w:ind w:left="2040" w:leftChars="800" w:hanging="360" w:hangingChars="200"/>
      </w:pPr>
    </w:lvl>
  </w:abstractNum>
  <w:abstractNum w:abstractNumId="2">
    <w:nsid w:val="FFFFFF89"/>
    <w:multiLevelType w:val="singleLevel"/>
    <w:tmpl w:val="FFFFFF89"/>
    <w:lvl w:ilvl="0" w:tentative="0">
      <w:start w:val="1"/>
      <w:numFmt w:val="bullet"/>
      <w:pStyle w:val="16"/>
      <w:lvlText w:val=""/>
      <w:lvlJc w:val="left"/>
      <w:pPr>
        <w:tabs>
          <w:tab w:val="left" w:pos="360"/>
        </w:tabs>
        <w:ind w:left="360" w:hanging="360" w:hangingChars="200"/>
      </w:pPr>
      <w:rPr>
        <w:rFonts w:hint="default" w:ascii="Wingdings" w:hAnsi="Wingdings"/>
      </w:rPr>
    </w:lvl>
  </w:abstractNum>
  <w:abstractNum w:abstractNumId="3">
    <w:nsid w:val="09F81FD3"/>
    <w:multiLevelType w:val="multilevel"/>
    <w:tmpl w:val="09F81FD3"/>
    <w:lvl w:ilvl="0" w:tentative="0">
      <w:start w:val="1"/>
      <w:numFmt w:val="japaneseCounting"/>
      <w:lvlText w:val="第%1章"/>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12503483"/>
    <w:multiLevelType w:val="multilevel"/>
    <w:tmpl w:val="12503483"/>
    <w:lvl w:ilvl="0" w:tentative="0">
      <w:start w:val="1"/>
      <w:numFmt w:val="bullet"/>
      <w:pStyle w:val="115"/>
      <w:lvlText w:val=""/>
      <w:lvlJc w:val="left"/>
      <w:pPr>
        <w:tabs>
          <w:tab w:val="left" w:pos="420"/>
        </w:tabs>
        <w:ind w:left="420" w:hanging="420"/>
      </w:pPr>
      <w:rPr>
        <w:rFonts w:hint="default" w:ascii="Wingdings" w:hAnsi="Wingdings"/>
      </w:rPr>
    </w:lvl>
    <w:lvl w:ilvl="1" w:tentative="0">
      <w:start w:val="1"/>
      <w:numFmt w:val="bullet"/>
      <w:pStyle w:val="114"/>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160D20D0"/>
    <w:multiLevelType w:val="multilevel"/>
    <w:tmpl w:val="160D20D0"/>
    <w:lvl w:ilvl="0" w:tentative="0">
      <w:start w:val="1"/>
      <w:numFmt w:val="bullet"/>
      <w:pStyle w:val="83"/>
      <w:lvlText w:val=""/>
      <w:lvlJc w:val="left"/>
      <w:pPr>
        <w:tabs>
          <w:tab w:val="left" w:pos="840"/>
        </w:tabs>
        <w:ind w:left="840" w:hanging="420"/>
      </w:pPr>
      <w:rPr>
        <w:rFonts w:hint="default" w:ascii="Wingdings" w:hAnsi="Wingdings"/>
      </w:rPr>
    </w:lvl>
    <w:lvl w:ilvl="1" w:tentative="0">
      <w:start w:val="1"/>
      <w:numFmt w:val="bullet"/>
      <w:pStyle w:val="84"/>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6">
    <w:nsid w:val="2B8D6112"/>
    <w:multiLevelType w:val="singleLevel"/>
    <w:tmpl w:val="2B8D6112"/>
    <w:lvl w:ilvl="0" w:tentative="0">
      <w:start w:val="13"/>
      <w:numFmt w:val="chineseCounting"/>
      <w:suff w:val="nothing"/>
      <w:lvlText w:val="%1、"/>
      <w:lvlJc w:val="left"/>
      <w:rPr>
        <w:rFonts w:hint="eastAsia"/>
      </w:rPr>
    </w:lvl>
  </w:abstractNum>
  <w:abstractNum w:abstractNumId="7">
    <w:nsid w:val="2F395B7B"/>
    <w:multiLevelType w:val="multilevel"/>
    <w:tmpl w:val="2F395B7B"/>
    <w:lvl w:ilvl="0" w:tentative="0">
      <w:start w:val="1"/>
      <w:numFmt w:val="bullet"/>
      <w:pStyle w:val="175"/>
      <w:lvlText w:val=""/>
      <w:lvlJc w:val="left"/>
      <w:pPr>
        <w:tabs>
          <w:tab w:val="left" w:pos="360"/>
        </w:tabs>
        <w:ind w:left="360" w:hanging="360"/>
      </w:pPr>
      <w:rPr>
        <w:rFonts w:hint="default" w:ascii="Symbol" w:hAnsi="Symbol"/>
      </w:rPr>
    </w:lvl>
    <w:lvl w:ilvl="1" w:tentative="0">
      <w:start w:val="1"/>
      <w:numFmt w:val="bullet"/>
      <w:lvlText w:val=""/>
      <w:lvlJc w:val="left"/>
      <w:pPr>
        <w:tabs>
          <w:tab w:val="left" w:pos="1140"/>
        </w:tabs>
        <w:ind w:left="1140" w:hanging="420"/>
      </w:pPr>
      <w:rPr>
        <w:rFonts w:hint="default" w:ascii="Wingdings" w:hAnsi="Wingdings"/>
      </w:rPr>
    </w:lvl>
    <w:lvl w:ilvl="2" w:tentative="0">
      <w:start w:val="1"/>
      <w:numFmt w:val="bullet"/>
      <w:lvlText w:val=""/>
      <w:lvlJc w:val="left"/>
      <w:pPr>
        <w:tabs>
          <w:tab w:val="left" w:pos="1800"/>
        </w:tabs>
        <w:ind w:left="1800" w:hanging="360"/>
      </w:pPr>
      <w:rPr>
        <w:rFonts w:hint="default" w:ascii="Wingdings" w:hAnsi="Wingdings"/>
      </w:rPr>
    </w:lvl>
    <w:lvl w:ilvl="3" w:tentative="0">
      <w:start w:val="1"/>
      <w:numFmt w:val="bullet"/>
      <w:lvlText w:val=""/>
      <w:lvlJc w:val="left"/>
      <w:pPr>
        <w:tabs>
          <w:tab w:val="left" w:pos="2520"/>
        </w:tabs>
        <w:ind w:left="2520" w:hanging="360"/>
      </w:pPr>
      <w:rPr>
        <w:rFonts w:hint="default" w:ascii="Symbol" w:hAnsi="Symbol"/>
      </w:rPr>
    </w:lvl>
    <w:lvl w:ilvl="4" w:tentative="0">
      <w:start w:val="1"/>
      <w:numFmt w:val="bullet"/>
      <w:lvlText w:val="o"/>
      <w:lvlJc w:val="left"/>
      <w:pPr>
        <w:tabs>
          <w:tab w:val="left" w:pos="3240"/>
        </w:tabs>
        <w:ind w:left="3240" w:hanging="360"/>
      </w:pPr>
      <w:rPr>
        <w:rFonts w:hint="default" w:ascii="Courier New" w:hAnsi="Courier New" w:cs="Courier New"/>
      </w:rPr>
    </w:lvl>
    <w:lvl w:ilvl="5" w:tentative="0">
      <w:start w:val="1"/>
      <w:numFmt w:val="bullet"/>
      <w:lvlText w:val=""/>
      <w:lvlJc w:val="left"/>
      <w:pPr>
        <w:tabs>
          <w:tab w:val="left" w:pos="3960"/>
        </w:tabs>
        <w:ind w:left="3960" w:hanging="360"/>
      </w:pPr>
      <w:rPr>
        <w:rFonts w:hint="default" w:ascii="Wingdings" w:hAnsi="Wingdings"/>
      </w:rPr>
    </w:lvl>
    <w:lvl w:ilvl="6" w:tentative="0">
      <w:start w:val="1"/>
      <w:numFmt w:val="bullet"/>
      <w:lvlText w:val=""/>
      <w:lvlJc w:val="left"/>
      <w:pPr>
        <w:tabs>
          <w:tab w:val="left" w:pos="4680"/>
        </w:tabs>
        <w:ind w:left="4680" w:hanging="360"/>
      </w:pPr>
      <w:rPr>
        <w:rFonts w:hint="default" w:ascii="Symbol" w:hAnsi="Symbol"/>
      </w:rPr>
    </w:lvl>
    <w:lvl w:ilvl="7" w:tentative="0">
      <w:start w:val="1"/>
      <w:numFmt w:val="bullet"/>
      <w:lvlText w:val="o"/>
      <w:lvlJc w:val="left"/>
      <w:pPr>
        <w:tabs>
          <w:tab w:val="left" w:pos="5400"/>
        </w:tabs>
        <w:ind w:left="5400" w:hanging="360"/>
      </w:pPr>
      <w:rPr>
        <w:rFonts w:hint="default" w:ascii="Courier New" w:hAnsi="Courier New" w:cs="Courier New"/>
      </w:rPr>
    </w:lvl>
    <w:lvl w:ilvl="8" w:tentative="0">
      <w:start w:val="1"/>
      <w:numFmt w:val="bullet"/>
      <w:lvlText w:val=""/>
      <w:lvlJc w:val="left"/>
      <w:pPr>
        <w:tabs>
          <w:tab w:val="left" w:pos="6120"/>
        </w:tabs>
        <w:ind w:left="6120" w:hanging="360"/>
      </w:pPr>
      <w:rPr>
        <w:rFonts w:hint="default" w:ascii="Wingdings" w:hAnsi="Wingdings"/>
      </w:rPr>
    </w:lvl>
  </w:abstractNum>
  <w:abstractNum w:abstractNumId="8">
    <w:nsid w:val="3C8A54EC"/>
    <w:multiLevelType w:val="singleLevel"/>
    <w:tmpl w:val="3C8A54EC"/>
    <w:lvl w:ilvl="0" w:tentative="0">
      <w:start w:val="1"/>
      <w:numFmt w:val="decimal"/>
      <w:suff w:val="nothing"/>
      <w:lvlText w:val="（%1）"/>
      <w:lvlJc w:val="left"/>
    </w:lvl>
  </w:abstractNum>
  <w:abstractNum w:abstractNumId="9">
    <w:nsid w:val="74102BEF"/>
    <w:multiLevelType w:val="singleLevel"/>
    <w:tmpl w:val="74102BEF"/>
    <w:lvl w:ilvl="0" w:tentative="0">
      <w:start w:val="4"/>
      <w:numFmt w:val="chineseCounting"/>
      <w:suff w:val="nothing"/>
      <w:lvlText w:val="%1、"/>
      <w:lvlJc w:val="left"/>
      <w:rPr>
        <w:rFonts w:hint="eastAsia"/>
      </w:rPr>
    </w:lvl>
  </w:abstractNum>
  <w:abstractNum w:abstractNumId="10">
    <w:nsid w:val="7AEF7716"/>
    <w:multiLevelType w:val="multilevel"/>
    <w:tmpl w:val="7AEF7716"/>
    <w:lvl w:ilvl="0" w:tentative="0">
      <w:start w:val="1"/>
      <w:numFmt w:val="chineseCountingThousand"/>
      <w:pStyle w:val="128"/>
      <w:lvlText w:val="%1"/>
      <w:lvlJc w:val="left"/>
      <w:pPr>
        <w:tabs>
          <w:tab w:val="left" w:pos="1290"/>
        </w:tabs>
        <w:ind w:left="630" w:hanging="420"/>
      </w:pPr>
      <w:rPr>
        <w:rFonts w:hint="eastAsia"/>
        <w:sz w:val="32"/>
        <w:szCs w:val="32"/>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5"/>
  </w:num>
  <w:num w:numId="4">
    <w:abstractNumId w:val="4"/>
  </w:num>
  <w:num w:numId="5">
    <w:abstractNumId w:val="10"/>
  </w:num>
  <w:num w:numId="6">
    <w:abstractNumId w:val="7"/>
  </w:num>
  <w:num w:numId="7">
    <w:abstractNumId w:val="8"/>
  </w:num>
  <w:num w:numId="8">
    <w:abstractNumId w:val="9"/>
  </w:num>
  <w:num w:numId="9">
    <w:abstractNumId w:val="0"/>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M0OWI4MDU3YTJhYzdmNGM4MWU3MmRkYjBiZmM3MjgifQ=="/>
  </w:docVars>
  <w:rsids>
    <w:rsidRoot w:val="006C5683"/>
    <w:rsid w:val="00000AD9"/>
    <w:rsid w:val="000041AD"/>
    <w:rsid w:val="000043C0"/>
    <w:rsid w:val="000050CA"/>
    <w:rsid w:val="000051C6"/>
    <w:rsid w:val="00005215"/>
    <w:rsid w:val="00005A10"/>
    <w:rsid w:val="00005D3D"/>
    <w:rsid w:val="00006F7B"/>
    <w:rsid w:val="00007355"/>
    <w:rsid w:val="00007951"/>
    <w:rsid w:val="00007DB0"/>
    <w:rsid w:val="00010063"/>
    <w:rsid w:val="00010102"/>
    <w:rsid w:val="00011EA6"/>
    <w:rsid w:val="00012B21"/>
    <w:rsid w:val="0001300F"/>
    <w:rsid w:val="00013262"/>
    <w:rsid w:val="0001480D"/>
    <w:rsid w:val="00014A5C"/>
    <w:rsid w:val="00015388"/>
    <w:rsid w:val="00015BDD"/>
    <w:rsid w:val="00015C88"/>
    <w:rsid w:val="00016D97"/>
    <w:rsid w:val="0001716B"/>
    <w:rsid w:val="00017F81"/>
    <w:rsid w:val="00020691"/>
    <w:rsid w:val="000211EA"/>
    <w:rsid w:val="000234B2"/>
    <w:rsid w:val="00025AE4"/>
    <w:rsid w:val="0002684B"/>
    <w:rsid w:val="00027645"/>
    <w:rsid w:val="00027DAC"/>
    <w:rsid w:val="000300AE"/>
    <w:rsid w:val="000300EE"/>
    <w:rsid w:val="000302B6"/>
    <w:rsid w:val="0003106D"/>
    <w:rsid w:val="00031700"/>
    <w:rsid w:val="00031F6E"/>
    <w:rsid w:val="0003277F"/>
    <w:rsid w:val="00032948"/>
    <w:rsid w:val="00032ACA"/>
    <w:rsid w:val="00032B0A"/>
    <w:rsid w:val="0003315D"/>
    <w:rsid w:val="00033DE7"/>
    <w:rsid w:val="0003541F"/>
    <w:rsid w:val="00035CD1"/>
    <w:rsid w:val="00036A2B"/>
    <w:rsid w:val="000377D2"/>
    <w:rsid w:val="00040D3C"/>
    <w:rsid w:val="00040E5A"/>
    <w:rsid w:val="00042897"/>
    <w:rsid w:val="00042C84"/>
    <w:rsid w:val="00043739"/>
    <w:rsid w:val="00043A89"/>
    <w:rsid w:val="00045739"/>
    <w:rsid w:val="00046D30"/>
    <w:rsid w:val="000510B6"/>
    <w:rsid w:val="00051133"/>
    <w:rsid w:val="00051F3F"/>
    <w:rsid w:val="000521D8"/>
    <w:rsid w:val="00052BC1"/>
    <w:rsid w:val="00053A89"/>
    <w:rsid w:val="00054D1F"/>
    <w:rsid w:val="0005582B"/>
    <w:rsid w:val="00056247"/>
    <w:rsid w:val="00056292"/>
    <w:rsid w:val="00056C11"/>
    <w:rsid w:val="00057302"/>
    <w:rsid w:val="00057332"/>
    <w:rsid w:val="0005785A"/>
    <w:rsid w:val="00057D00"/>
    <w:rsid w:val="00057DC0"/>
    <w:rsid w:val="00060B1F"/>
    <w:rsid w:val="0006267A"/>
    <w:rsid w:val="0006335B"/>
    <w:rsid w:val="00063C25"/>
    <w:rsid w:val="00064231"/>
    <w:rsid w:val="00064892"/>
    <w:rsid w:val="00064C7A"/>
    <w:rsid w:val="00066026"/>
    <w:rsid w:val="000661FF"/>
    <w:rsid w:val="00066537"/>
    <w:rsid w:val="0006660A"/>
    <w:rsid w:val="0006670C"/>
    <w:rsid w:val="00067960"/>
    <w:rsid w:val="0007003A"/>
    <w:rsid w:val="00070210"/>
    <w:rsid w:val="000707BF"/>
    <w:rsid w:val="0007277D"/>
    <w:rsid w:val="000734CD"/>
    <w:rsid w:val="00074403"/>
    <w:rsid w:val="00074CF0"/>
    <w:rsid w:val="000750DC"/>
    <w:rsid w:val="0007583C"/>
    <w:rsid w:val="00076057"/>
    <w:rsid w:val="000770EC"/>
    <w:rsid w:val="00081E95"/>
    <w:rsid w:val="00082667"/>
    <w:rsid w:val="00082AD2"/>
    <w:rsid w:val="00083DC6"/>
    <w:rsid w:val="000840D4"/>
    <w:rsid w:val="00084857"/>
    <w:rsid w:val="00084F26"/>
    <w:rsid w:val="0008503C"/>
    <w:rsid w:val="000850AF"/>
    <w:rsid w:val="000852EB"/>
    <w:rsid w:val="00086539"/>
    <w:rsid w:val="000869D8"/>
    <w:rsid w:val="00086CA6"/>
    <w:rsid w:val="00090213"/>
    <w:rsid w:val="000903AC"/>
    <w:rsid w:val="00092FC7"/>
    <w:rsid w:val="00093133"/>
    <w:rsid w:val="0009395E"/>
    <w:rsid w:val="00094603"/>
    <w:rsid w:val="000954D5"/>
    <w:rsid w:val="00095723"/>
    <w:rsid w:val="0009618D"/>
    <w:rsid w:val="0009709B"/>
    <w:rsid w:val="000975E3"/>
    <w:rsid w:val="00097DDA"/>
    <w:rsid w:val="000A1DD1"/>
    <w:rsid w:val="000A21A5"/>
    <w:rsid w:val="000A3908"/>
    <w:rsid w:val="000A4C29"/>
    <w:rsid w:val="000A5EA4"/>
    <w:rsid w:val="000A6E2B"/>
    <w:rsid w:val="000A79D3"/>
    <w:rsid w:val="000B05E2"/>
    <w:rsid w:val="000B0C99"/>
    <w:rsid w:val="000B0F8B"/>
    <w:rsid w:val="000B2213"/>
    <w:rsid w:val="000B2568"/>
    <w:rsid w:val="000B41BB"/>
    <w:rsid w:val="000B5357"/>
    <w:rsid w:val="000B5853"/>
    <w:rsid w:val="000B597F"/>
    <w:rsid w:val="000B634D"/>
    <w:rsid w:val="000B7465"/>
    <w:rsid w:val="000C14CB"/>
    <w:rsid w:val="000C18BC"/>
    <w:rsid w:val="000C1EE4"/>
    <w:rsid w:val="000C1FF9"/>
    <w:rsid w:val="000C21C4"/>
    <w:rsid w:val="000C4151"/>
    <w:rsid w:val="000C4425"/>
    <w:rsid w:val="000C4B12"/>
    <w:rsid w:val="000C4FCB"/>
    <w:rsid w:val="000C5EA0"/>
    <w:rsid w:val="000C5FA7"/>
    <w:rsid w:val="000C7E71"/>
    <w:rsid w:val="000D16AA"/>
    <w:rsid w:val="000D1A7D"/>
    <w:rsid w:val="000D2309"/>
    <w:rsid w:val="000D2CCA"/>
    <w:rsid w:val="000D366B"/>
    <w:rsid w:val="000D38F9"/>
    <w:rsid w:val="000D5D6B"/>
    <w:rsid w:val="000D62C8"/>
    <w:rsid w:val="000D7A20"/>
    <w:rsid w:val="000E0BFC"/>
    <w:rsid w:val="000E161C"/>
    <w:rsid w:val="000E266E"/>
    <w:rsid w:val="000E2B61"/>
    <w:rsid w:val="000E470B"/>
    <w:rsid w:val="000E4DE8"/>
    <w:rsid w:val="000E50F5"/>
    <w:rsid w:val="000E5906"/>
    <w:rsid w:val="000E5E99"/>
    <w:rsid w:val="000E73D9"/>
    <w:rsid w:val="000F0C3B"/>
    <w:rsid w:val="000F0E9F"/>
    <w:rsid w:val="000F1540"/>
    <w:rsid w:val="000F2065"/>
    <w:rsid w:val="000F256D"/>
    <w:rsid w:val="000F2A88"/>
    <w:rsid w:val="000F2C23"/>
    <w:rsid w:val="000F2D1B"/>
    <w:rsid w:val="000F3658"/>
    <w:rsid w:val="000F3697"/>
    <w:rsid w:val="000F3B37"/>
    <w:rsid w:val="000F3F12"/>
    <w:rsid w:val="000F4478"/>
    <w:rsid w:val="000F565B"/>
    <w:rsid w:val="000F5C6C"/>
    <w:rsid w:val="000F5F3F"/>
    <w:rsid w:val="00100425"/>
    <w:rsid w:val="00100570"/>
    <w:rsid w:val="0010184B"/>
    <w:rsid w:val="00101CE5"/>
    <w:rsid w:val="00101DD0"/>
    <w:rsid w:val="00102555"/>
    <w:rsid w:val="001029C0"/>
    <w:rsid w:val="00102B4B"/>
    <w:rsid w:val="00103AB9"/>
    <w:rsid w:val="00103E80"/>
    <w:rsid w:val="00104CC6"/>
    <w:rsid w:val="001061A4"/>
    <w:rsid w:val="00107187"/>
    <w:rsid w:val="00107272"/>
    <w:rsid w:val="00107D54"/>
    <w:rsid w:val="00110B62"/>
    <w:rsid w:val="001110F0"/>
    <w:rsid w:val="00111581"/>
    <w:rsid w:val="00111CEB"/>
    <w:rsid w:val="00111F8F"/>
    <w:rsid w:val="0011245C"/>
    <w:rsid w:val="00114BCB"/>
    <w:rsid w:val="0011500F"/>
    <w:rsid w:val="00115A55"/>
    <w:rsid w:val="0011665D"/>
    <w:rsid w:val="00116AAC"/>
    <w:rsid w:val="0011754F"/>
    <w:rsid w:val="00117D55"/>
    <w:rsid w:val="001204B2"/>
    <w:rsid w:val="001212EF"/>
    <w:rsid w:val="001217DC"/>
    <w:rsid w:val="00121F81"/>
    <w:rsid w:val="0012203F"/>
    <w:rsid w:val="00123CC6"/>
    <w:rsid w:val="00125689"/>
    <w:rsid w:val="00125C8A"/>
    <w:rsid w:val="001261FC"/>
    <w:rsid w:val="00126CD7"/>
    <w:rsid w:val="001306FE"/>
    <w:rsid w:val="00130827"/>
    <w:rsid w:val="001308A2"/>
    <w:rsid w:val="00131140"/>
    <w:rsid w:val="00132FD3"/>
    <w:rsid w:val="00133A61"/>
    <w:rsid w:val="001341E8"/>
    <w:rsid w:val="001362BD"/>
    <w:rsid w:val="0013673A"/>
    <w:rsid w:val="00137F86"/>
    <w:rsid w:val="001410EB"/>
    <w:rsid w:val="00141B41"/>
    <w:rsid w:val="00143554"/>
    <w:rsid w:val="00143653"/>
    <w:rsid w:val="00143934"/>
    <w:rsid w:val="00143B3A"/>
    <w:rsid w:val="00143E43"/>
    <w:rsid w:val="00143FFC"/>
    <w:rsid w:val="001453B3"/>
    <w:rsid w:val="00146ABB"/>
    <w:rsid w:val="00147338"/>
    <w:rsid w:val="00147A48"/>
    <w:rsid w:val="00150143"/>
    <w:rsid w:val="001509AB"/>
    <w:rsid w:val="00152E91"/>
    <w:rsid w:val="00153C18"/>
    <w:rsid w:val="0015460B"/>
    <w:rsid w:val="001566E7"/>
    <w:rsid w:val="00156CA9"/>
    <w:rsid w:val="00157465"/>
    <w:rsid w:val="0015771E"/>
    <w:rsid w:val="00157E23"/>
    <w:rsid w:val="00157FC3"/>
    <w:rsid w:val="00160ACE"/>
    <w:rsid w:val="00161C4F"/>
    <w:rsid w:val="00161C84"/>
    <w:rsid w:val="00161F2A"/>
    <w:rsid w:val="00161FDF"/>
    <w:rsid w:val="001626BD"/>
    <w:rsid w:val="00162C33"/>
    <w:rsid w:val="0016340E"/>
    <w:rsid w:val="001645C4"/>
    <w:rsid w:val="00164E23"/>
    <w:rsid w:val="0016595F"/>
    <w:rsid w:val="00166A2C"/>
    <w:rsid w:val="00166BF2"/>
    <w:rsid w:val="00166CC3"/>
    <w:rsid w:val="00166F71"/>
    <w:rsid w:val="00170A9E"/>
    <w:rsid w:val="0017121A"/>
    <w:rsid w:val="00171401"/>
    <w:rsid w:val="00171777"/>
    <w:rsid w:val="001719FB"/>
    <w:rsid w:val="00172664"/>
    <w:rsid w:val="0017270B"/>
    <w:rsid w:val="00172B65"/>
    <w:rsid w:val="00172EF5"/>
    <w:rsid w:val="001732E1"/>
    <w:rsid w:val="00175189"/>
    <w:rsid w:val="00175D12"/>
    <w:rsid w:val="0017613E"/>
    <w:rsid w:val="00177167"/>
    <w:rsid w:val="00177F97"/>
    <w:rsid w:val="00181A71"/>
    <w:rsid w:val="0018261B"/>
    <w:rsid w:val="001834A7"/>
    <w:rsid w:val="0018373B"/>
    <w:rsid w:val="00183B40"/>
    <w:rsid w:val="00183C79"/>
    <w:rsid w:val="00183C8B"/>
    <w:rsid w:val="00183E75"/>
    <w:rsid w:val="001845CF"/>
    <w:rsid w:val="00185A98"/>
    <w:rsid w:val="001865BB"/>
    <w:rsid w:val="00187518"/>
    <w:rsid w:val="00187743"/>
    <w:rsid w:val="00187CEC"/>
    <w:rsid w:val="0019096C"/>
    <w:rsid w:val="00191EA7"/>
    <w:rsid w:val="00192164"/>
    <w:rsid w:val="00193EB7"/>
    <w:rsid w:val="00194ACA"/>
    <w:rsid w:val="00194C98"/>
    <w:rsid w:val="00194FB7"/>
    <w:rsid w:val="00196B4E"/>
    <w:rsid w:val="001975A1"/>
    <w:rsid w:val="001A027A"/>
    <w:rsid w:val="001A08E4"/>
    <w:rsid w:val="001A0D2C"/>
    <w:rsid w:val="001A11D8"/>
    <w:rsid w:val="001A12B5"/>
    <w:rsid w:val="001A174B"/>
    <w:rsid w:val="001A1C72"/>
    <w:rsid w:val="001A2976"/>
    <w:rsid w:val="001A3980"/>
    <w:rsid w:val="001A422B"/>
    <w:rsid w:val="001A440A"/>
    <w:rsid w:val="001A47C6"/>
    <w:rsid w:val="001A4A55"/>
    <w:rsid w:val="001A5C6F"/>
    <w:rsid w:val="001A6A4F"/>
    <w:rsid w:val="001A76B7"/>
    <w:rsid w:val="001B015C"/>
    <w:rsid w:val="001B1339"/>
    <w:rsid w:val="001B1B58"/>
    <w:rsid w:val="001B1F55"/>
    <w:rsid w:val="001B2049"/>
    <w:rsid w:val="001B2934"/>
    <w:rsid w:val="001B4A37"/>
    <w:rsid w:val="001B4BB2"/>
    <w:rsid w:val="001B6FAD"/>
    <w:rsid w:val="001C04B2"/>
    <w:rsid w:val="001C1FDE"/>
    <w:rsid w:val="001C2063"/>
    <w:rsid w:val="001C21E1"/>
    <w:rsid w:val="001C3426"/>
    <w:rsid w:val="001C4768"/>
    <w:rsid w:val="001C5839"/>
    <w:rsid w:val="001C6431"/>
    <w:rsid w:val="001C6AF6"/>
    <w:rsid w:val="001C7129"/>
    <w:rsid w:val="001C77E1"/>
    <w:rsid w:val="001C7ADA"/>
    <w:rsid w:val="001D0FD3"/>
    <w:rsid w:val="001D121D"/>
    <w:rsid w:val="001D1C29"/>
    <w:rsid w:val="001D3543"/>
    <w:rsid w:val="001D35FD"/>
    <w:rsid w:val="001D3B85"/>
    <w:rsid w:val="001D3DF1"/>
    <w:rsid w:val="001D4151"/>
    <w:rsid w:val="001D4BB9"/>
    <w:rsid w:val="001D501B"/>
    <w:rsid w:val="001D58E5"/>
    <w:rsid w:val="001D5EAE"/>
    <w:rsid w:val="001E07AA"/>
    <w:rsid w:val="001E0FAB"/>
    <w:rsid w:val="001E2502"/>
    <w:rsid w:val="001E292F"/>
    <w:rsid w:val="001E351C"/>
    <w:rsid w:val="001E38F8"/>
    <w:rsid w:val="001E474D"/>
    <w:rsid w:val="001E506D"/>
    <w:rsid w:val="001E5194"/>
    <w:rsid w:val="001E5A81"/>
    <w:rsid w:val="001E62FB"/>
    <w:rsid w:val="001E6A0B"/>
    <w:rsid w:val="001E6B23"/>
    <w:rsid w:val="001E77DA"/>
    <w:rsid w:val="001E7A2F"/>
    <w:rsid w:val="001E7AB0"/>
    <w:rsid w:val="001E7DD0"/>
    <w:rsid w:val="001F0349"/>
    <w:rsid w:val="001F077B"/>
    <w:rsid w:val="001F0B74"/>
    <w:rsid w:val="001F2648"/>
    <w:rsid w:val="001F41B9"/>
    <w:rsid w:val="001F4BE8"/>
    <w:rsid w:val="001F4EB8"/>
    <w:rsid w:val="001F560A"/>
    <w:rsid w:val="001F6318"/>
    <w:rsid w:val="001F65B1"/>
    <w:rsid w:val="001F6B83"/>
    <w:rsid w:val="001F6F6A"/>
    <w:rsid w:val="001F7595"/>
    <w:rsid w:val="001F7FE7"/>
    <w:rsid w:val="002000B8"/>
    <w:rsid w:val="00200B4C"/>
    <w:rsid w:val="0020303B"/>
    <w:rsid w:val="00203267"/>
    <w:rsid w:val="00203897"/>
    <w:rsid w:val="0020391D"/>
    <w:rsid w:val="00205CDC"/>
    <w:rsid w:val="00205F9C"/>
    <w:rsid w:val="002060F7"/>
    <w:rsid w:val="00207BC6"/>
    <w:rsid w:val="00210771"/>
    <w:rsid w:val="00210C22"/>
    <w:rsid w:val="00211885"/>
    <w:rsid w:val="00212ADF"/>
    <w:rsid w:val="00212B9E"/>
    <w:rsid w:val="002134CF"/>
    <w:rsid w:val="00213A60"/>
    <w:rsid w:val="0021429B"/>
    <w:rsid w:val="00215699"/>
    <w:rsid w:val="002159DE"/>
    <w:rsid w:val="00215B1C"/>
    <w:rsid w:val="00215E99"/>
    <w:rsid w:val="0021667D"/>
    <w:rsid w:val="002166A1"/>
    <w:rsid w:val="002166A6"/>
    <w:rsid w:val="00216BB6"/>
    <w:rsid w:val="0022048B"/>
    <w:rsid w:val="0022175C"/>
    <w:rsid w:val="00221D76"/>
    <w:rsid w:val="00222261"/>
    <w:rsid w:val="00223AB6"/>
    <w:rsid w:val="00223AC8"/>
    <w:rsid w:val="00223C96"/>
    <w:rsid w:val="00224852"/>
    <w:rsid w:val="00225935"/>
    <w:rsid w:val="0022634D"/>
    <w:rsid w:val="00226437"/>
    <w:rsid w:val="0022711A"/>
    <w:rsid w:val="00227512"/>
    <w:rsid w:val="0022766E"/>
    <w:rsid w:val="002278D5"/>
    <w:rsid w:val="00227C13"/>
    <w:rsid w:val="00227D49"/>
    <w:rsid w:val="00227FC7"/>
    <w:rsid w:val="00230C3C"/>
    <w:rsid w:val="00230F66"/>
    <w:rsid w:val="00233A54"/>
    <w:rsid w:val="00234440"/>
    <w:rsid w:val="002347C9"/>
    <w:rsid w:val="00235A73"/>
    <w:rsid w:val="00236E72"/>
    <w:rsid w:val="002411BD"/>
    <w:rsid w:val="00244711"/>
    <w:rsid w:val="00244AE4"/>
    <w:rsid w:val="00245EBE"/>
    <w:rsid w:val="00246C63"/>
    <w:rsid w:val="002472C1"/>
    <w:rsid w:val="002473F4"/>
    <w:rsid w:val="00250600"/>
    <w:rsid w:val="002506E1"/>
    <w:rsid w:val="00250F42"/>
    <w:rsid w:val="00252934"/>
    <w:rsid w:val="00252EBA"/>
    <w:rsid w:val="0025361A"/>
    <w:rsid w:val="002545EF"/>
    <w:rsid w:val="00254B44"/>
    <w:rsid w:val="00254E99"/>
    <w:rsid w:val="00255B9B"/>
    <w:rsid w:val="002562E9"/>
    <w:rsid w:val="00256596"/>
    <w:rsid w:val="0026027A"/>
    <w:rsid w:val="00260533"/>
    <w:rsid w:val="002605CE"/>
    <w:rsid w:val="00261367"/>
    <w:rsid w:val="00261A54"/>
    <w:rsid w:val="00261C21"/>
    <w:rsid w:val="00261D37"/>
    <w:rsid w:val="00262D6B"/>
    <w:rsid w:val="00262ED0"/>
    <w:rsid w:val="00263607"/>
    <w:rsid w:val="002638EE"/>
    <w:rsid w:val="00264965"/>
    <w:rsid w:val="002656E1"/>
    <w:rsid w:val="00265CFF"/>
    <w:rsid w:val="002662AC"/>
    <w:rsid w:val="002707F2"/>
    <w:rsid w:val="00270B4E"/>
    <w:rsid w:val="00271500"/>
    <w:rsid w:val="00272E57"/>
    <w:rsid w:val="002734A9"/>
    <w:rsid w:val="00274663"/>
    <w:rsid w:val="00275641"/>
    <w:rsid w:val="0027569A"/>
    <w:rsid w:val="002767D9"/>
    <w:rsid w:val="0027757E"/>
    <w:rsid w:val="00280184"/>
    <w:rsid w:val="00280F4B"/>
    <w:rsid w:val="00281152"/>
    <w:rsid w:val="002821E9"/>
    <w:rsid w:val="002827D2"/>
    <w:rsid w:val="00283488"/>
    <w:rsid w:val="002835B7"/>
    <w:rsid w:val="0028361E"/>
    <w:rsid w:val="00284B7C"/>
    <w:rsid w:val="00284C1F"/>
    <w:rsid w:val="002851AF"/>
    <w:rsid w:val="00286129"/>
    <w:rsid w:val="0028787B"/>
    <w:rsid w:val="00287E1B"/>
    <w:rsid w:val="00290263"/>
    <w:rsid w:val="002908A7"/>
    <w:rsid w:val="00291768"/>
    <w:rsid w:val="00291796"/>
    <w:rsid w:val="00292C52"/>
    <w:rsid w:val="00292F66"/>
    <w:rsid w:val="0029315D"/>
    <w:rsid w:val="00293A33"/>
    <w:rsid w:val="0029449E"/>
    <w:rsid w:val="0029488D"/>
    <w:rsid w:val="00294E82"/>
    <w:rsid w:val="002951FD"/>
    <w:rsid w:val="0029530C"/>
    <w:rsid w:val="00296020"/>
    <w:rsid w:val="0029693F"/>
    <w:rsid w:val="002969C6"/>
    <w:rsid w:val="00296F46"/>
    <w:rsid w:val="00296F8A"/>
    <w:rsid w:val="00297AD1"/>
    <w:rsid w:val="00297CCD"/>
    <w:rsid w:val="002A11CE"/>
    <w:rsid w:val="002A13E2"/>
    <w:rsid w:val="002A180F"/>
    <w:rsid w:val="002A199B"/>
    <w:rsid w:val="002A1B36"/>
    <w:rsid w:val="002A2BC2"/>
    <w:rsid w:val="002A37E6"/>
    <w:rsid w:val="002A409A"/>
    <w:rsid w:val="002A4BFA"/>
    <w:rsid w:val="002A4D7B"/>
    <w:rsid w:val="002A4DFC"/>
    <w:rsid w:val="002B0660"/>
    <w:rsid w:val="002B1286"/>
    <w:rsid w:val="002B18D6"/>
    <w:rsid w:val="002B1B98"/>
    <w:rsid w:val="002B22D4"/>
    <w:rsid w:val="002B3259"/>
    <w:rsid w:val="002B3984"/>
    <w:rsid w:val="002B4595"/>
    <w:rsid w:val="002B45EE"/>
    <w:rsid w:val="002B4BF3"/>
    <w:rsid w:val="002B55C8"/>
    <w:rsid w:val="002B5E4B"/>
    <w:rsid w:val="002B660D"/>
    <w:rsid w:val="002B7969"/>
    <w:rsid w:val="002C0031"/>
    <w:rsid w:val="002C0485"/>
    <w:rsid w:val="002C0762"/>
    <w:rsid w:val="002C0C86"/>
    <w:rsid w:val="002C1397"/>
    <w:rsid w:val="002C257A"/>
    <w:rsid w:val="002C2BEC"/>
    <w:rsid w:val="002C30C0"/>
    <w:rsid w:val="002C4F4B"/>
    <w:rsid w:val="002C6EC0"/>
    <w:rsid w:val="002C7A58"/>
    <w:rsid w:val="002D0356"/>
    <w:rsid w:val="002D07C0"/>
    <w:rsid w:val="002D0F98"/>
    <w:rsid w:val="002D1DFB"/>
    <w:rsid w:val="002D45BF"/>
    <w:rsid w:val="002D4A85"/>
    <w:rsid w:val="002D4B65"/>
    <w:rsid w:val="002D6162"/>
    <w:rsid w:val="002D64DF"/>
    <w:rsid w:val="002D71EF"/>
    <w:rsid w:val="002E00F3"/>
    <w:rsid w:val="002E242E"/>
    <w:rsid w:val="002E255F"/>
    <w:rsid w:val="002E2CED"/>
    <w:rsid w:val="002E2FEC"/>
    <w:rsid w:val="002E38DB"/>
    <w:rsid w:val="002E4AB1"/>
    <w:rsid w:val="002E4F8A"/>
    <w:rsid w:val="002E505D"/>
    <w:rsid w:val="002E73B8"/>
    <w:rsid w:val="002F0823"/>
    <w:rsid w:val="002F0F0F"/>
    <w:rsid w:val="002F113B"/>
    <w:rsid w:val="002F2471"/>
    <w:rsid w:val="002F2B7A"/>
    <w:rsid w:val="002F3105"/>
    <w:rsid w:val="002F4864"/>
    <w:rsid w:val="002F5E6C"/>
    <w:rsid w:val="002F6DD7"/>
    <w:rsid w:val="002F72FF"/>
    <w:rsid w:val="002F7987"/>
    <w:rsid w:val="002F79D4"/>
    <w:rsid w:val="003005C9"/>
    <w:rsid w:val="00300BF3"/>
    <w:rsid w:val="0030143F"/>
    <w:rsid w:val="00301BCD"/>
    <w:rsid w:val="003024C7"/>
    <w:rsid w:val="00303636"/>
    <w:rsid w:val="00303ACF"/>
    <w:rsid w:val="0030463E"/>
    <w:rsid w:val="003047AB"/>
    <w:rsid w:val="00304ED6"/>
    <w:rsid w:val="0030661C"/>
    <w:rsid w:val="00306D5D"/>
    <w:rsid w:val="00306FF4"/>
    <w:rsid w:val="003074C6"/>
    <w:rsid w:val="00307A08"/>
    <w:rsid w:val="0031060A"/>
    <w:rsid w:val="00310EE1"/>
    <w:rsid w:val="003122B0"/>
    <w:rsid w:val="00312390"/>
    <w:rsid w:val="003138EB"/>
    <w:rsid w:val="003139DD"/>
    <w:rsid w:val="0031450D"/>
    <w:rsid w:val="00315880"/>
    <w:rsid w:val="00315A06"/>
    <w:rsid w:val="0031678B"/>
    <w:rsid w:val="0031683C"/>
    <w:rsid w:val="00317146"/>
    <w:rsid w:val="003176EA"/>
    <w:rsid w:val="00317D36"/>
    <w:rsid w:val="00321473"/>
    <w:rsid w:val="003225FB"/>
    <w:rsid w:val="00323A7C"/>
    <w:rsid w:val="00323BE9"/>
    <w:rsid w:val="00323C32"/>
    <w:rsid w:val="00323CC7"/>
    <w:rsid w:val="003241C6"/>
    <w:rsid w:val="003242A8"/>
    <w:rsid w:val="00324827"/>
    <w:rsid w:val="00324A1D"/>
    <w:rsid w:val="00324C55"/>
    <w:rsid w:val="003250B4"/>
    <w:rsid w:val="00325607"/>
    <w:rsid w:val="00325742"/>
    <w:rsid w:val="0032631C"/>
    <w:rsid w:val="00327AB3"/>
    <w:rsid w:val="00327F9E"/>
    <w:rsid w:val="00330527"/>
    <w:rsid w:val="003318A6"/>
    <w:rsid w:val="00331D51"/>
    <w:rsid w:val="003321A8"/>
    <w:rsid w:val="00332EB1"/>
    <w:rsid w:val="003331BB"/>
    <w:rsid w:val="00333E63"/>
    <w:rsid w:val="00334044"/>
    <w:rsid w:val="0033497C"/>
    <w:rsid w:val="00334C1F"/>
    <w:rsid w:val="00334FA0"/>
    <w:rsid w:val="00335188"/>
    <w:rsid w:val="00335234"/>
    <w:rsid w:val="003373B8"/>
    <w:rsid w:val="00340402"/>
    <w:rsid w:val="003413F4"/>
    <w:rsid w:val="00342DC1"/>
    <w:rsid w:val="00342EF7"/>
    <w:rsid w:val="003432B6"/>
    <w:rsid w:val="00343F41"/>
    <w:rsid w:val="0034427F"/>
    <w:rsid w:val="00344BF3"/>
    <w:rsid w:val="00345CC1"/>
    <w:rsid w:val="00345EA7"/>
    <w:rsid w:val="0034629D"/>
    <w:rsid w:val="0034652C"/>
    <w:rsid w:val="00346606"/>
    <w:rsid w:val="00346B62"/>
    <w:rsid w:val="00346E73"/>
    <w:rsid w:val="00350219"/>
    <w:rsid w:val="00350368"/>
    <w:rsid w:val="0035067B"/>
    <w:rsid w:val="00350B6E"/>
    <w:rsid w:val="00351A4A"/>
    <w:rsid w:val="00351D95"/>
    <w:rsid w:val="00351E32"/>
    <w:rsid w:val="00351FB4"/>
    <w:rsid w:val="00352E52"/>
    <w:rsid w:val="00353860"/>
    <w:rsid w:val="00353C7B"/>
    <w:rsid w:val="00354CD9"/>
    <w:rsid w:val="003556C1"/>
    <w:rsid w:val="00355EEE"/>
    <w:rsid w:val="00356B23"/>
    <w:rsid w:val="00360494"/>
    <w:rsid w:val="00360C00"/>
    <w:rsid w:val="00360E7E"/>
    <w:rsid w:val="00361935"/>
    <w:rsid w:val="003626AE"/>
    <w:rsid w:val="003632AA"/>
    <w:rsid w:val="0036508D"/>
    <w:rsid w:val="003651C8"/>
    <w:rsid w:val="0036548D"/>
    <w:rsid w:val="00366321"/>
    <w:rsid w:val="003669F1"/>
    <w:rsid w:val="00366F10"/>
    <w:rsid w:val="003700A3"/>
    <w:rsid w:val="003706AA"/>
    <w:rsid w:val="00370B40"/>
    <w:rsid w:val="00371C15"/>
    <w:rsid w:val="003720AD"/>
    <w:rsid w:val="00372CDF"/>
    <w:rsid w:val="0037330D"/>
    <w:rsid w:val="00373411"/>
    <w:rsid w:val="00373D40"/>
    <w:rsid w:val="00373F52"/>
    <w:rsid w:val="003741F6"/>
    <w:rsid w:val="00374A29"/>
    <w:rsid w:val="00374FA4"/>
    <w:rsid w:val="003756C6"/>
    <w:rsid w:val="00375EFF"/>
    <w:rsid w:val="00376E35"/>
    <w:rsid w:val="003773E4"/>
    <w:rsid w:val="00377F6C"/>
    <w:rsid w:val="00380094"/>
    <w:rsid w:val="00380256"/>
    <w:rsid w:val="0038165D"/>
    <w:rsid w:val="00381812"/>
    <w:rsid w:val="00383071"/>
    <w:rsid w:val="00383BBC"/>
    <w:rsid w:val="0038418D"/>
    <w:rsid w:val="003849DF"/>
    <w:rsid w:val="00385444"/>
    <w:rsid w:val="00385717"/>
    <w:rsid w:val="00385C8D"/>
    <w:rsid w:val="00385F39"/>
    <w:rsid w:val="00386070"/>
    <w:rsid w:val="003900A5"/>
    <w:rsid w:val="00390941"/>
    <w:rsid w:val="003917AD"/>
    <w:rsid w:val="00391FAB"/>
    <w:rsid w:val="00392539"/>
    <w:rsid w:val="00392677"/>
    <w:rsid w:val="00393431"/>
    <w:rsid w:val="00393633"/>
    <w:rsid w:val="00393B41"/>
    <w:rsid w:val="003945E2"/>
    <w:rsid w:val="00394981"/>
    <w:rsid w:val="003953A8"/>
    <w:rsid w:val="003958E6"/>
    <w:rsid w:val="00395D76"/>
    <w:rsid w:val="00396F7B"/>
    <w:rsid w:val="00396FA3"/>
    <w:rsid w:val="00397077"/>
    <w:rsid w:val="0039788E"/>
    <w:rsid w:val="00397BCF"/>
    <w:rsid w:val="00397F0D"/>
    <w:rsid w:val="003A0DC3"/>
    <w:rsid w:val="003A1CF5"/>
    <w:rsid w:val="003A2812"/>
    <w:rsid w:val="003A2D0C"/>
    <w:rsid w:val="003A3298"/>
    <w:rsid w:val="003A3304"/>
    <w:rsid w:val="003A3551"/>
    <w:rsid w:val="003A38F0"/>
    <w:rsid w:val="003A443D"/>
    <w:rsid w:val="003A4708"/>
    <w:rsid w:val="003A4BAB"/>
    <w:rsid w:val="003A6A5A"/>
    <w:rsid w:val="003A72E9"/>
    <w:rsid w:val="003B06AD"/>
    <w:rsid w:val="003B06B9"/>
    <w:rsid w:val="003B0979"/>
    <w:rsid w:val="003B15E9"/>
    <w:rsid w:val="003B175A"/>
    <w:rsid w:val="003B3231"/>
    <w:rsid w:val="003B357A"/>
    <w:rsid w:val="003B4714"/>
    <w:rsid w:val="003B499C"/>
    <w:rsid w:val="003B4CCD"/>
    <w:rsid w:val="003B53D4"/>
    <w:rsid w:val="003B7298"/>
    <w:rsid w:val="003C0036"/>
    <w:rsid w:val="003C0FF8"/>
    <w:rsid w:val="003C43DA"/>
    <w:rsid w:val="003C4FD5"/>
    <w:rsid w:val="003C5585"/>
    <w:rsid w:val="003C57DD"/>
    <w:rsid w:val="003C582B"/>
    <w:rsid w:val="003C614D"/>
    <w:rsid w:val="003C77E9"/>
    <w:rsid w:val="003D152F"/>
    <w:rsid w:val="003D19EE"/>
    <w:rsid w:val="003D2333"/>
    <w:rsid w:val="003D2374"/>
    <w:rsid w:val="003D2B3A"/>
    <w:rsid w:val="003D3241"/>
    <w:rsid w:val="003D4804"/>
    <w:rsid w:val="003D5413"/>
    <w:rsid w:val="003D73E4"/>
    <w:rsid w:val="003D7685"/>
    <w:rsid w:val="003D7E9A"/>
    <w:rsid w:val="003E0366"/>
    <w:rsid w:val="003E100C"/>
    <w:rsid w:val="003E1678"/>
    <w:rsid w:val="003E2FFE"/>
    <w:rsid w:val="003E37AA"/>
    <w:rsid w:val="003E37BB"/>
    <w:rsid w:val="003E3871"/>
    <w:rsid w:val="003E411A"/>
    <w:rsid w:val="003E4310"/>
    <w:rsid w:val="003E47DE"/>
    <w:rsid w:val="003E4FFA"/>
    <w:rsid w:val="003E6E11"/>
    <w:rsid w:val="003E7BA8"/>
    <w:rsid w:val="003F0536"/>
    <w:rsid w:val="003F10D3"/>
    <w:rsid w:val="003F1548"/>
    <w:rsid w:val="003F2B3D"/>
    <w:rsid w:val="003F2EDF"/>
    <w:rsid w:val="003F3105"/>
    <w:rsid w:val="003F3BBA"/>
    <w:rsid w:val="003F3C44"/>
    <w:rsid w:val="003F4172"/>
    <w:rsid w:val="003F4249"/>
    <w:rsid w:val="003F4E3B"/>
    <w:rsid w:val="003F5086"/>
    <w:rsid w:val="003F5108"/>
    <w:rsid w:val="003F5D2C"/>
    <w:rsid w:val="003F64BC"/>
    <w:rsid w:val="003F6CAF"/>
    <w:rsid w:val="003F7679"/>
    <w:rsid w:val="004001D3"/>
    <w:rsid w:val="00400C13"/>
    <w:rsid w:val="00401A86"/>
    <w:rsid w:val="00401E65"/>
    <w:rsid w:val="00402311"/>
    <w:rsid w:val="0040239F"/>
    <w:rsid w:val="00402C97"/>
    <w:rsid w:val="00403364"/>
    <w:rsid w:val="00403411"/>
    <w:rsid w:val="004038BE"/>
    <w:rsid w:val="0040415C"/>
    <w:rsid w:val="00404AA4"/>
    <w:rsid w:val="00404C61"/>
    <w:rsid w:val="004050C9"/>
    <w:rsid w:val="004051F0"/>
    <w:rsid w:val="00406314"/>
    <w:rsid w:val="00406376"/>
    <w:rsid w:val="00406389"/>
    <w:rsid w:val="004063C0"/>
    <w:rsid w:val="00406896"/>
    <w:rsid w:val="00411B37"/>
    <w:rsid w:val="004125ED"/>
    <w:rsid w:val="00412B4D"/>
    <w:rsid w:val="00413B39"/>
    <w:rsid w:val="00413D4D"/>
    <w:rsid w:val="0041450E"/>
    <w:rsid w:val="0041456E"/>
    <w:rsid w:val="00414BE5"/>
    <w:rsid w:val="00415370"/>
    <w:rsid w:val="00415781"/>
    <w:rsid w:val="00416485"/>
    <w:rsid w:val="00416F40"/>
    <w:rsid w:val="00417769"/>
    <w:rsid w:val="00417F0D"/>
    <w:rsid w:val="00421795"/>
    <w:rsid w:val="00421EF2"/>
    <w:rsid w:val="00422668"/>
    <w:rsid w:val="004252CD"/>
    <w:rsid w:val="0042602D"/>
    <w:rsid w:val="00427004"/>
    <w:rsid w:val="0042772E"/>
    <w:rsid w:val="00430CF3"/>
    <w:rsid w:val="00431AC1"/>
    <w:rsid w:val="00431DE1"/>
    <w:rsid w:val="004329C9"/>
    <w:rsid w:val="00432CD5"/>
    <w:rsid w:val="00433CDB"/>
    <w:rsid w:val="00435D29"/>
    <w:rsid w:val="00435E5A"/>
    <w:rsid w:val="004363FA"/>
    <w:rsid w:val="004364CC"/>
    <w:rsid w:val="00436829"/>
    <w:rsid w:val="00436C29"/>
    <w:rsid w:val="00437141"/>
    <w:rsid w:val="004405B0"/>
    <w:rsid w:val="00441905"/>
    <w:rsid w:val="00441FF9"/>
    <w:rsid w:val="0044382F"/>
    <w:rsid w:val="00443B96"/>
    <w:rsid w:val="00443E1D"/>
    <w:rsid w:val="004442EB"/>
    <w:rsid w:val="00444FA3"/>
    <w:rsid w:val="00446553"/>
    <w:rsid w:val="004466DA"/>
    <w:rsid w:val="00446A92"/>
    <w:rsid w:val="00446CEB"/>
    <w:rsid w:val="00447664"/>
    <w:rsid w:val="004501B4"/>
    <w:rsid w:val="0045082F"/>
    <w:rsid w:val="00450C00"/>
    <w:rsid w:val="0045135E"/>
    <w:rsid w:val="004522E5"/>
    <w:rsid w:val="00452434"/>
    <w:rsid w:val="00452C53"/>
    <w:rsid w:val="004539C7"/>
    <w:rsid w:val="00453F8A"/>
    <w:rsid w:val="00454597"/>
    <w:rsid w:val="004548E6"/>
    <w:rsid w:val="0045543A"/>
    <w:rsid w:val="00455880"/>
    <w:rsid w:val="00455D1D"/>
    <w:rsid w:val="004561F9"/>
    <w:rsid w:val="0045637C"/>
    <w:rsid w:val="004569A3"/>
    <w:rsid w:val="00456A7F"/>
    <w:rsid w:val="004578ED"/>
    <w:rsid w:val="004611B6"/>
    <w:rsid w:val="00461997"/>
    <w:rsid w:val="00463F8B"/>
    <w:rsid w:val="004649AD"/>
    <w:rsid w:val="004650E7"/>
    <w:rsid w:val="0046687B"/>
    <w:rsid w:val="004674FB"/>
    <w:rsid w:val="00470418"/>
    <w:rsid w:val="004704DA"/>
    <w:rsid w:val="004704EA"/>
    <w:rsid w:val="0047056A"/>
    <w:rsid w:val="0047071D"/>
    <w:rsid w:val="00471464"/>
    <w:rsid w:val="004727C4"/>
    <w:rsid w:val="00473579"/>
    <w:rsid w:val="00474E5A"/>
    <w:rsid w:val="004754AE"/>
    <w:rsid w:val="0047558F"/>
    <w:rsid w:val="0047561A"/>
    <w:rsid w:val="00475FD5"/>
    <w:rsid w:val="0047770B"/>
    <w:rsid w:val="00477AFC"/>
    <w:rsid w:val="004812F4"/>
    <w:rsid w:val="0048231B"/>
    <w:rsid w:val="00482BD9"/>
    <w:rsid w:val="004838D4"/>
    <w:rsid w:val="004845AC"/>
    <w:rsid w:val="00484C31"/>
    <w:rsid w:val="00485E3C"/>
    <w:rsid w:val="00486F09"/>
    <w:rsid w:val="004877FB"/>
    <w:rsid w:val="004906DB"/>
    <w:rsid w:val="00490C0F"/>
    <w:rsid w:val="00491FF2"/>
    <w:rsid w:val="004925EE"/>
    <w:rsid w:val="00492735"/>
    <w:rsid w:val="004945E8"/>
    <w:rsid w:val="004946D8"/>
    <w:rsid w:val="00494FC9"/>
    <w:rsid w:val="00495228"/>
    <w:rsid w:val="004963B6"/>
    <w:rsid w:val="00497252"/>
    <w:rsid w:val="0049795E"/>
    <w:rsid w:val="004A1808"/>
    <w:rsid w:val="004A2013"/>
    <w:rsid w:val="004A201B"/>
    <w:rsid w:val="004A2B7A"/>
    <w:rsid w:val="004A3EB3"/>
    <w:rsid w:val="004A4377"/>
    <w:rsid w:val="004A4A51"/>
    <w:rsid w:val="004A57EB"/>
    <w:rsid w:val="004A5824"/>
    <w:rsid w:val="004A59D3"/>
    <w:rsid w:val="004A6D7C"/>
    <w:rsid w:val="004A6F11"/>
    <w:rsid w:val="004A74DD"/>
    <w:rsid w:val="004A7855"/>
    <w:rsid w:val="004B00D1"/>
    <w:rsid w:val="004B0B57"/>
    <w:rsid w:val="004B1278"/>
    <w:rsid w:val="004B1CAB"/>
    <w:rsid w:val="004B2FF9"/>
    <w:rsid w:val="004B3506"/>
    <w:rsid w:val="004B36ED"/>
    <w:rsid w:val="004B3D73"/>
    <w:rsid w:val="004B40DB"/>
    <w:rsid w:val="004B4EF6"/>
    <w:rsid w:val="004B612E"/>
    <w:rsid w:val="004B623B"/>
    <w:rsid w:val="004B6554"/>
    <w:rsid w:val="004B6B22"/>
    <w:rsid w:val="004B6C50"/>
    <w:rsid w:val="004B77CB"/>
    <w:rsid w:val="004C0DA0"/>
    <w:rsid w:val="004C38BA"/>
    <w:rsid w:val="004C3E02"/>
    <w:rsid w:val="004C422D"/>
    <w:rsid w:val="004C4CEB"/>
    <w:rsid w:val="004C5CBA"/>
    <w:rsid w:val="004C60AC"/>
    <w:rsid w:val="004C6C09"/>
    <w:rsid w:val="004C6EA3"/>
    <w:rsid w:val="004C7C1E"/>
    <w:rsid w:val="004D000F"/>
    <w:rsid w:val="004D055D"/>
    <w:rsid w:val="004D1240"/>
    <w:rsid w:val="004D133B"/>
    <w:rsid w:val="004D49EE"/>
    <w:rsid w:val="004D4AE0"/>
    <w:rsid w:val="004D4C0B"/>
    <w:rsid w:val="004D512D"/>
    <w:rsid w:val="004D6042"/>
    <w:rsid w:val="004D62C0"/>
    <w:rsid w:val="004D69FC"/>
    <w:rsid w:val="004D77BD"/>
    <w:rsid w:val="004D77DE"/>
    <w:rsid w:val="004D7BF4"/>
    <w:rsid w:val="004D7C92"/>
    <w:rsid w:val="004E0D46"/>
    <w:rsid w:val="004E295C"/>
    <w:rsid w:val="004E38B2"/>
    <w:rsid w:val="004E3936"/>
    <w:rsid w:val="004E4277"/>
    <w:rsid w:val="004E490B"/>
    <w:rsid w:val="004E57F7"/>
    <w:rsid w:val="004E5D9C"/>
    <w:rsid w:val="004E6707"/>
    <w:rsid w:val="004E6985"/>
    <w:rsid w:val="004E6B8E"/>
    <w:rsid w:val="004F0543"/>
    <w:rsid w:val="004F126D"/>
    <w:rsid w:val="004F2385"/>
    <w:rsid w:val="004F3A97"/>
    <w:rsid w:val="004F486D"/>
    <w:rsid w:val="004F5591"/>
    <w:rsid w:val="004F5D14"/>
    <w:rsid w:val="004F68DC"/>
    <w:rsid w:val="004F7FAD"/>
    <w:rsid w:val="00500F7A"/>
    <w:rsid w:val="005012AD"/>
    <w:rsid w:val="005016E5"/>
    <w:rsid w:val="00501A56"/>
    <w:rsid w:val="00501ACA"/>
    <w:rsid w:val="00502317"/>
    <w:rsid w:val="005027BB"/>
    <w:rsid w:val="00503415"/>
    <w:rsid w:val="005037E1"/>
    <w:rsid w:val="00503B5C"/>
    <w:rsid w:val="0050456A"/>
    <w:rsid w:val="005068E1"/>
    <w:rsid w:val="005077C5"/>
    <w:rsid w:val="00507F3A"/>
    <w:rsid w:val="0051168A"/>
    <w:rsid w:val="005117D2"/>
    <w:rsid w:val="005118A6"/>
    <w:rsid w:val="005122F4"/>
    <w:rsid w:val="0051292D"/>
    <w:rsid w:val="005131DC"/>
    <w:rsid w:val="0051405F"/>
    <w:rsid w:val="0051444F"/>
    <w:rsid w:val="005156A6"/>
    <w:rsid w:val="00516393"/>
    <w:rsid w:val="005179A5"/>
    <w:rsid w:val="00520B4F"/>
    <w:rsid w:val="00524AD7"/>
    <w:rsid w:val="005254FD"/>
    <w:rsid w:val="005268A9"/>
    <w:rsid w:val="0052720F"/>
    <w:rsid w:val="00527421"/>
    <w:rsid w:val="005275C4"/>
    <w:rsid w:val="00527D36"/>
    <w:rsid w:val="00531076"/>
    <w:rsid w:val="00531393"/>
    <w:rsid w:val="00531D28"/>
    <w:rsid w:val="005328A8"/>
    <w:rsid w:val="0053385A"/>
    <w:rsid w:val="00533920"/>
    <w:rsid w:val="00534F16"/>
    <w:rsid w:val="00535141"/>
    <w:rsid w:val="00535324"/>
    <w:rsid w:val="005363B4"/>
    <w:rsid w:val="0053712D"/>
    <w:rsid w:val="00537DA5"/>
    <w:rsid w:val="005403F4"/>
    <w:rsid w:val="00541136"/>
    <w:rsid w:val="00541C39"/>
    <w:rsid w:val="0054216F"/>
    <w:rsid w:val="00542F18"/>
    <w:rsid w:val="00544853"/>
    <w:rsid w:val="00544CA5"/>
    <w:rsid w:val="005450E2"/>
    <w:rsid w:val="00545B19"/>
    <w:rsid w:val="005470DD"/>
    <w:rsid w:val="005476CE"/>
    <w:rsid w:val="0055035F"/>
    <w:rsid w:val="005507FD"/>
    <w:rsid w:val="005511C0"/>
    <w:rsid w:val="0055232C"/>
    <w:rsid w:val="0055278E"/>
    <w:rsid w:val="005533E8"/>
    <w:rsid w:val="00553C8A"/>
    <w:rsid w:val="00555488"/>
    <w:rsid w:val="0055549A"/>
    <w:rsid w:val="00555B18"/>
    <w:rsid w:val="00555C9C"/>
    <w:rsid w:val="0055641F"/>
    <w:rsid w:val="00556A4D"/>
    <w:rsid w:val="00556B00"/>
    <w:rsid w:val="00556E87"/>
    <w:rsid w:val="00557319"/>
    <w:rsid w:val="0055764E"/>
    <w:rsid w:val="00560528"/>
    <w:rsid w:val="00561923"/>
    <w:rsid w:val="005622F8"/>
    <w:rsid w:val="0056310A"/>
    <w:rsid w:val="00563236"/>
    <w:rsid w:val="0056336F"/>
    <w:rsid w:val="005636C6"/>
    <w:rsid w:val="00565366"/>
    <w:rsid w:val="00565AF7"/>
    <w:rsid w:val="00570C34"/>
    <w:rsid w:val="00571020"/>
    <w:rsid w:val="0057189C"/>
    <w:rsid w:val="00571BD2"/>
    <w:rsid w:val="00571CD7"/>
    <w:rsid w:val="00571D59"/>
    <w:rsid w:val="00572E3E"/>
    <w:rsid w:val="005732E0"/>
    <w:rsid w:val="005738F7"/>
    <w:rsid w:val="0057420B"/>
    <w:rsid w:val="005756C1"/>
    <w:rsid w:val="0057593B"/>
    <w:rsid w:val="0057799B"/>
    <w:rsid w:val="00580280"/>
    <w:rsid w:val="00580B9E"/>
    <w:rsid w:val="0058135A"/>
    <w:rsid w:val="00583358"/>
    <w:rsid w:val="005839BF"/>
    <w:rsid w:val="00584058"/>
    <w:rsid w:val="005844A5"/>
    <w:rsid w:val="005846B4"/>
    <w:rsid w:val="005850E5"/>
    <w:rsid w:val="005851E0"/>
    <w:rsid w:val="00585571"/>
    <w:rsid w:val="005856F9"/>
    <w:rsid w:val="00585B91"/>
    <w:rsid w:val="00586BF1"/>
    <w:rsid w:val="00587DC4"/>
    <w:rsid w:val="005903E4"/>
    <w:rsid w:val="005907D5"/>
    <w:rsid w:val="005913EE"/>
    <w:rsid w:val="00592461"/>
    <w:rsid w:val="00592F2B"/>
    <w:rsid w:val="005950D6"/>
    <w:rsid w:val="0059519C"/>
    <w:rsid w:val="00595524"/>
    <w:rsid w:val="00597221"/>
    <w:rsid w:val="005974F3"/>
    <w:rsid w:val="0059751C"/>
    <w:rsid w:val="00597919"/>
    <w:rsid w:val="005A034E"/>
    <w:rsid w:val="005A0A5B"/>
    <w:rsid w:val="005A0B9F"/>
    <w:rsid w:val="005A0EFC"/>
    <w:rsid w:val="005A1692"/>
    <w:rsid w:val="005A286E"/>
    <w:rsid w:val="005A28BD"/>
    <w:rsid w:val="005A3DC0"/>
    <w:rsid w:val="005A44E7"/>
    <w:rsid w:val="005A5337"/>
    <w:rsid w:val="005A5D8E"/>
    <w:rsid w:val="005A63D8"/>
    <w:rsid w:val="005A6CC1"/>
    <w:rsid w:val="005A7C14"/>
    <w:rsid w:val="005A7C48"/>
    <w:rsid w:val="005A7DBE"/>
    <w:rsid w:val="005A7E1A"/>
    <w:rsid w:val="005B0476"/>
    <w:rsid w:val="005B1482"/>
    <w:rsid w:val="005B152C"/>
    <w:rsid w:val="005B1C64"/>
    <w:rsid w:val="005B1DE8"/>
    <w:rsid w:val="005B2590"/>
    <w:rsid w:val="005B25BC"/>
    <w:rsid w:val="005B2807"/>
    <w:rsid w:val="005B3606"/>
    <w:rsid w:val="005B3BFF"/>
    <w:rsid w:val="005B3E08"/>
    <w:rsid w:val="005B49B6"/>
    <w:rsid w:val="005B56EE"/>
    <w:rsid w:val="005B672C"/>
    <w:rsid w:val="005B747D"/>
    <w:rsid w:val="005B7733"/>
    <w:rsid w:val="005B7A22"/>
    <w:rsid w:val="005C0602"/>
    <w:rsid w:val="005C0D5D"/>
    <w:rsid w:val="005C0D70"/>
    <w:rsid w:val="005C191A"/>
    <w:rsid w:val="005C2AA9"/>
    <w:rsid w:val="005C330D"/>
    <w:rsid w:val="005C40C7"/>
    <w:rsid w:val="005C4114"/>
    <w:rsid w:val="005C4B98"/>
    <w:rsid w:val="005C4EFF"/>
    <w:rsid w:val="005C4F43"/>
    <w:rsid w:val="005D0B55"/>
    <w:rsid w:val="005D160D"/>
    <w:rsid w:val="005D356C"/>
    <w:rsid w:val="005D4A04"/>
    <w:rsid w:val="005D4CF7"/>
    <w:rsid w:val="005D5347"/>
    <w:rsid w:val="005D5CC5"/>
    <w:rsid w:val="005D5FE6"/>
    <w:rsid w:val="005D61EA"/>
    <w:rsid w:val="005D787B"/>
    <w:rsid w:val="005E031D"/>
    <w:rsid w:val="005E03AC"/>
    <w:rsid w:val="005E04B5"/>
    <w:rsid w:val="005E0D5C"/>
    <w:rsid w:val="005E12BE"/>
    <w:rsid w:val="005E191A"/>
    <w:rsid w:val="005E2C81"/>
    <w:rsid w:val="005E384C"/>
    <w:rsid w:val="005E4D3C"/>
    <w:rsid w:val="005E7158"/>
    <w:rsid w:val="005E7ECB"/>
    <w:rsid w:val="005E7F63"/>
    <w:rsid w:val="005F0C00"/>
    <w:rsid w:val="005F1037"/>
    <w:rsid w:val="005F2BF8"/>
    <w:rsid w:val="005F2EA8"/>
    <w:rsid w:val="005F5573"/>
    <w:rsid w:val="005F5D1D"/>
    <w:rsid w:val="005F60C9"/>
    <w:rsid w:val="005F64C6"/>
    <w:rsid w:val="005F6F05"/>
    <w:rsid w:val="006008F1"/>
    <w:rsid w:val="00601714"/>
    <w:rsid w:val="00601735"/>
    <w:rsid w:val="00602BD2"/>
    <w:rsid w:val="00604980"/>
    <w:rsid w:val="00605BDB"/>
    <w:rsid w:val="0060614D"/>
    <w:rsid w:val="0061005A"/>
    <w:rsid w:val="006101C5"/>
    <w:rsid w:val="00610871"/>
    <w:rsid w:val="00610E48"/>
    <w:rsid w:val="0061160D"/>
    <w:rsid w:val="0061286C"/>
    <w:rsid w:val="00612E83"/>
    <w:rsid w:val="00613C47"/>
    <w:rsid w:val="00615086"/>
    <w:rsid w:val="00615B0A"/>
    <w:rsid w:val="00616201"/>
    <w:rsid w:val="00616225"/>
    <w:rsid w:val="00616917"/>
    <w:rsid w:val="0061705E"/>
    <w:rsid w:val="00617A8B"/>
    <w:rsid w:val="00621904"/>
    <w:rsid w:val="00622248"/>
    <w:rsid w:val="00622FEA"/>
    <w:rsid w:val="00623CDF"/>
    <w:rsid w:val="00623DB1"/>
    <w:rsid w:val="006245F3"/>
    <w:rsid w:val="00624DBE"/>
    <w:rsid w:val="00625450"/>
    <w:rsid w:val="0062624F"/>
    <w:rsid w:val="006319C1"/>
    <w:rsid w:val="006319CA"/>
    <w:rsid w:val="00632D91"/>
    <w:rsid w:val="00633B3E"/>
    <w:rsid w:val="00634B64"/>
    <w:rsid w:val="00634EC0"/>
    <w:rsid w:val="006351C3"/>
    <w:rsid w:val="0063627F"/>
    <w:rsid w:val="0063642A"/>
    <w:rsid w:val="006376C4"/>
    <w:rsid w:val="006403E7"/>
    <w:rsid w:val="00642D72"/>
    <w:rsid w:val="006443CB"/>
    <w:rsid w:val="006448B8"/>
    <w:rsid w:val="00644F80"/>
    <w:rsid w:val="00645874"/>
    <w:rsid w:val="006458E5"/>
    <w:rsid w:val="00650F81"/>
    <w:rsid w:val="00650FC7"/>
    <w:rsid w:val="006531B0"/>
    <w:rsid w:val="00653C24"/>
    <w:rsid w:val="00653D68"/>
    <w:rsid w:val="00654275"/>
    <w:rsid w:val="0065446D"/>
    <w:rsid w:val="00654894"/>
    <w:rsid w:val="00656067"/>
    <w:rsid w:val="00657381"/>
    <w:rsid w:val="0065746B"/>
    <w:rsid w:val="00660693"/>
    <w:rsid w:val="00660D86"/>
    <w:rsid w:val="006611D6"/>
    <w:rsid w:val="00661918"/>
    <w:rsid w:val="00662A5A"/>
    <w:rsid w:val="0066335C"/>
    <w:rsid w:val="006636D0"/>
    <w:rsid w:val="00663834"/>
    <w:rsid w:val="006647D7"/>
    <w:rsid w:val="00664F1B"/>
    <w:rsid w:val="006653D7"/>
    <w:rsid w:val="00665BFF"/>
    <w:rsid w:val="006665BA"/>
    <w:rsid w:val="00666A4F"/>
    <w:rsid w:val="00666B7F"/>
    <w:rsid w:val="00666DEC"/>
    <w:rsid w:val="00667477"/>
    <w:rsid w:val="006703D9"/>
    <w:rsid w:val="00670ADE"/>
    <w:rsid w:val="00672DFC"/>
    <w:rsid w:val="00672F5B"/>
    <w:rsid w:val="00673BD7"/>
    <w:rsid w:val="00673DEE"/>
    <w:rsid w:val="00674E69"/>
    <w:rsid w:val="00675A33"/>
    <w:rsid w:val="0067602A"/>
    <w:rsid w:val="006763ED"/>
    <w:rsid w:val="00676433"/>
    <w:rsid w:val="006767FD"/>
    <w:rsid w:val="0067720F"/>
    <w:rsid w:val="0067738E"/>
    <w:rsid w:val="00677F23"/>
    <w:rsid w:val="00680936"/>
    <w:rsid w:val="00680BBE"/>
    <w:rsid w:val="00680D8C"/>
    <w:rsid w:val="00680D99"/>
    <w:rsid w:val="006821B2"/>
    <w:rsid w:val="00682725"/>
    <w:rsid w:val="00682A1B"/>
    <w:rsid w:val="00682D73"/>
    <w:rsid w:val="00682ED3"/>
    <w:rsid w:val="006846E8"/>
    <w:rsid w:val="0068541E"/>
    <w:rsid w:val="00685E9D"/>
    <w:rsid w:val="00685EBD"/>
    <w:rsid w:val="0068605C"/>
    <w:rsid w:val="006861C3"/>
    <w:rsid w:val="00686AF3"/>
    <w:rsid w:val="00690F1F"/>
    <w:rsid w:val="006915BD"/>
    <w:rsid w:val="00691A6B"/>
    <w:rsid w:val="00692582"/>
    <w:rsid w:val="00692592"/>
    <w:rsid w:val="00692A2F"/>
    <w:rsid w:val="0069322C"/>
    <w:rsid w:val="00693652"/>
    <w:rsid w:val="006939E7"/>
    <w:rsid w:val="00693D3E"/>
    <w:rsid w:val="006942F7"/>
    <w:rsid w:val="006956FB"/>
    <w:rsid w:val="00695BC7"/>
    <w:rsid w:val="006969AD"/>
    <w:rsid w:val="00696F7B"/>
    <w:rsid w:val="006A01FB"/>
    <w:rsid w:val="006A07DF"/>
    <w:rsid w:val="006A1093"/>
    <w:rsid w:val="006A1D3D"/>
    <w:rsid w:val="006A2150"/>
    <w:rsid w:val="006A2216"/>
    <w:rsid w:val="006A241D"/>
    <w:rsid w:val="006A3288"/>
    <w:rsid w:val="006A43E6"/>
    <w:rsid w:val="006A4AEE"/>
    <w:rsid w:val="006A526F"/>
    <w:rsid w:val="006A70BE"/>
    <w:rsid w:val="006A7934"/>
    <w:rsid w:val="006B0001"/>
    <w:rsid w:val="006B04AF"/>
    <w:rsid w:val="006B059F"/>
    <w:rsid w:val="006B0A56"/>
    <w:rsid w:val="006B2048"/>
    <w:rsid w:val="006B20A6"/>
    <w:rsid w:val="006B32D5"/>
    <w:rsid w:val="006B342E"/>
    <w:rsid w:val="006B3812"/>
    <w:rsid w:val="006B3B80"/>
    <w:rsid w:val="006B6870"/>
    <w:rsid w:val="006B6F32"/>
    <w:rsid w:val="006B7130"/>
    <w:rsid w:val="006B73CC"/>
    <w:rsid w:val="006B7695"/>
    <w:rsid w:val="006C0176"/>
    <w:rsid w:val="006C2994"/>
    <w:rsid w:val="006C35EC"/>
    <w:rsid w:val="006C4150"/>
    <w:rsid w:val="006C4382"/>
    <w:rsid w:val="006C5683"/>
    <w:rsid w:val="006C5E33"/>
    <w:rsid w:val="006C5E48"/>
    <w:rsid w:val="006C6434"/>
    <w:rsid w:val="006C6984"/>
    <w:rsid w:val="006C6CD8"/>
    <w:rsid w:val="006C70BB"/>
    <w:rsid w:val="006C7528"/>
    <w:rsid w:val="006C7EB1"/>
    <w:rsid w:val="006D013F"/>
    <w:rsid w:val="006D017F"/>
    <w:rsid w:val="006D08BD"/>
    <w:rsid w:val="006D0F8E"/>
    <w:rsid w:val="006D1416"/>
    <w:rsid w:val="006D1D3F"/>
    <w:rsid w:val="006D253B"/>
    <w:rsid w:val="006D325A"/>
    <w:rsid w:val="006D407B"/>
    <w:rsid w:val="006D4242"/>
    <w:rsid w:val="006D44E6"/>
    <w:rsid w:val="006D45F0"/>
    <w:rsid w:val="006D4C8F"/>
    <w:rsid w:val="006D52A0"/>
    <w:rsid w:val="006D57CB"/>
    <w:rsid w:val="006D5819"/>
    <w:rsid w:val="006D5E6F"/>
    <w:rsid w:val="006D693F"/>
    <w:rsid w:val="006D6CDD"/>
    <w:rsid w:val="006D7604"/>
    <w:rsid w:val="006D765E"/>
    <w:rsid w:val="006E03D1"/>
    <w:rsid w:val="006E0455"/>
    <w:rsid w:val="006E150D"/>
    <w:rsid w:val="006E3289"/>
    <w:rsid w:val="006E33E4"/>
    <w:rsid w:val="006E4238"/>
    <w:rsid w:val="006E5F01"/>
    <w:rsid w:val="006E5F88"/>
    <w:rsid w:val="006E7404"/>
    <w:rsid w:val="006E7B97"/>
    <w:rsid w:val="006F1DE7"/>
    <w:rsid w:val="006F1EA3"/>
    <w:rsid w:val="006F2627"/>
    <w:rsid w:val="006F2BF8"/>
    <w:rsid w:val="006F3568"/>
    <w:rsid w:val="006F40AD"/>
    <w:rsid w:val="006F4A5F"/>
    <w:rsid w:val="006F4D7B"/>
    <w:rsid w:val="006F6360"/>
    <w:rsid w:val="006F6436"/>
    <w:rsid w:val="006F65C5"/>
    <w:rsid w:val="006F687A"/>
    <w:rsid w:val="006F68EF"/>
    <w:rsid w:val="006F6D38"/>
    <w:rsid w:val="006F6D4C"/>
    <w:rsid w:val="006F6E67"/>
    <w:rsid w:val="006F7157"/>
    <w:rsid w:val="006F78E0"/>
    <w:rsid w:val="00702B1B"/>
    <w:rsid w:val="00702ED6"/>
    <w:rsid w:val="007032B3"/>
    <w:rsid w:val="00704164"/>
    <w:rsid w:val="007044BF"/>
    <w:rsid w:val="00706A58"/>
    <w:rsid w:val="00707517"/>
    <w:rsid w:val="007078ED"/>
    <w:rsid w:val="00710187"/>
    <w:rsid w:val="007110E1"/>
    <w:rsid w:val="00711B18"/>
    <w:rsid w:val="00714394"/>
    <w:rsid w:val="00714ED6"/>
    <w:rsid w:val="007151B7"/>
    <w:rsid w:val="00715E8D"/>
    <w:rsid w:val="00716D8A"/>
    <w:rsid w:val="00717854"/>
    <w:rsid w:val="00721C26"/>
    <w:rsid w:val="00721F7E"/>
    <w:rsid w:val="00722C0F"/>
    <w:rsid w:val="00722E29"/>
    <w:rsid w:val="00723ECB"/>
    <w:rsid w:val="00724606"/>
    <w:rsid w:val="00724A36"/>
    <w:rsid w:val="00724A60"/>
    <w:rsid w:val="00724E85"/>
    <w:rsid w:val="00725113"/>
    <w:rsid w:val="0072525D"/>
    <w:rsid w:val="00725A26"/>
    <w:rsid w:val="00726E8A"/>
    <w:rsid w:val="00727047"/>
    <w:rsid w:val="00734510"/>
    <w:rsid w:val="00734887"/>
    <w:rsid w:val="007365B6"/>
    <w:rsid w:val="007373C8"/>
    <w:rsid w:val="007401E2"/>
    <w:rsid w:val="00740205"/>
    <w:rsid w:val="00740D67"/>
    <w:rsid w:val="007411E5"/>
    <w:rsid w:val="00741605"/>
    <w:rsid w:val="00742AD3"/>
    <w:rsid w:val="00742F72"/>
    <w:rsid w:val="007436F2"/>
    <w:rsid w:val="0074436D"/>
    <w:rsid w:val="007446DA"/>
    <w:rsid w:val="007462C2"/>
    <w:rsid w:val="00746772"/>
    <w:rsid w:val="00746951"/>
    <w:rsid w:val="00746F65"/>
    <w:rsid w:val="007472C3"/>
    <w:rsid w:val="0074791E"/>
    <w:rsid w:val="0075028E"/>
    <w:rsid w:val="00750948"/>
    <w:rsid w:val="0075115D"/>
    <w:rsid w:val="00751A33"/>
    <w:rsid w:val="00751F77"/>
    <w:rsid w:val="00753890"/>
    <w:rsid w:val="007555DF"/>
    <w:rsid w:val="007569DC"/>
    <w:rsid w:val="0075711E"/>
    <w:rsid w:val="007579F2"/>
    <w:rsid w:val="007602CB"/>
    <w:rsid w:val="00761434"/>
    <w:rsid w:val="00761FD5"/>
    <w:rsid w:val="007620C9"/>
    <w:rsid w:val="00762BB6"/>
    <w:rsid w:val="0076341D"/>
    <w:rsid w:val="0076446D"/>
    <w:rsid w:val="007647EF"/>
    <w:rsid w:val="0076542B"/>
    <w:rsid w:val="00765DD8"/>
    <w:rsid w:val="00766B33"/>
    <w:rsid w:val="00766D36"/>
    <w:rsid w:val="007671DC"/>
    <w:rsid w:val="00767607"/>
    <w:rsid w:val="00767ACD"/>
    <w:rsid w:val="00767C0D"/>
    <w:rsid w:val="00767E70"/>
    <w:rsid w:val="007705B5"/>
    <w:rsid w:val="00770B08"/>
    <w:rsid w:val="007720B8"/>
    <w:rsid w:val="0077270D"/>
    <w:rsid w:val="00773874"/>
    <w:rsid w:val="00774B47"/>
    <w:rsid w:val="00775D3B"/>
    <w:rsid w:val="0077615A"/>
    <w:rsid w:val="00777483"/>
    <w:rsid w:val="007806A0"/>
    <w:rsid w:val="00782346"/>
    <w:rsid w:val="007828DB"/>
    <w:rsid w:val="007838CD"/>
    <w:rsid w:val="007840F3"/>
    <w:rsid w:val="00784EC7"/>
    <w:rsid w:val="00785491"/>
    <w:rsid w:val="007858C0"/>
    <w:rsid w:val="00785C4E"/>
    <w:rsid w:val="0078679A"/>
    <w:rsid w:val="007871FE"/>
    <w:rsid w:val="007902AD"/>
    <w:rsid w:val="00790606"/>
    <w:rsid w:val="007908ED"/>
    <w:rsid w:val="00790F74"/>
    <w:rsid w:val="007912E8"/>
    <w:rsid w:val="00792288"/>
    <w:rsid w:val="00792447"/>
    <w:rsid w:val="007928C6"/>
    <w:rsid w:val="007929C0"/>
    <w:rsid w:val="00794F7C"/>
    <w:rsid w:val="007951F4"/>
    <w:rsid w:val="0079694C"/>
    <w:rsid w:val="00797AF9"/>
    <w:rsid w:val="00797FBD"/>
    <w:rsid w:val="007A0187"/>
    <w:rsid w:val="007A19AC"/>
    <w:rsid w:val="007A2640"/>
    <w:rsid w:val="007A268F"/>
    <w:rsid w:val="007A4A53"/>
    <w:rsid w:val="007A4C93"/>
    <w:rsid w:val="007A4E17"/>
    <w:rsid w:val="007A5AC6"/>
    <w:rsid w:val="007A6A01"/>
    <w:rsid w:val="007A7D0A"/>
    <w:rsid w:val="007A7F6D"/>
    <w:rsid w:val="007B0799"/>
    <w:rsid w:val="007B0FBD"/>
    <w:rsid w:val="007B1BAF"/>
    <w:rsid w:val="007B2393"/>
    <w:rsid w:val="007B2FE8"/>
    <w:rsid w:val="007B30DB"/>
    <w:rsid w:val="007B35F7"/>
    <w:rsid w:val="007B4DD5"/>
    <w:rsid w:val="007B4F72"/>
    <w:rsid w:val="007B5148"/>
    <w:rsid w:val="007B5A16"/>
    <w:rsid w:val="007B660D"/>
    <w:rsid w:val="007B7219"/>
    <w:rsid w:val="007C03FE"/>
    <w:rsid w:val="007C0E04"/>
    <w:rsid w:val="007C17D3"/>
    <w:rsid w:val="007C1E98"/>
    <w:rsid w:val="007C1FA2"/>
    <w:rsid w:val="007C2827"/>
    <w:rsid w:val="007C3A26"/>
    <w:rsid w:val="007C4032"/>
    <w:rsid w:val="007C4CE1"/>
    <w:rsid w:val="007C537A"/>
    <w:rsid w:val="007C57D1"/>
    <w:rsid w:val="007C6B3E"/>
    <w:rsid w:val="007C6F13"/>
    <w:rsid w:val="007C7130"/>
    <w:rsid w:val="007C74E5"/>
    <w:rsid w:val="007C7DAB"/>
    <w:rsid w:val="007C7F57"/>
    <w:rsid w:val="007D0348"/>
    <w:rsid w:val="007D0E43"/>
    <w:rsid w:val="007D13E7"/>
    <w:rsid w:val="007D153B"/>
    <w:rsid w:val="007D1E37"/>
    <w:rsid w:val="007D2256"/>
    <w:rsid w:val="007D358B"/>
    <w:rsid w:val="007D4624"/>
    <w:rsid w:val="007D563E"/>
    <w:rsid w:val="007D5A49"/>
    <w:rsid w:val="007D5FC1"/>
    <w:rsid w:val="007D6E81"/>
    <w:rsid w:val="007D6EB6"/>
    <w:rsid w:val="007D715A"/>
    <w:rsid w:val="007D789C"/>
    <w:rsid w:val="007E0161"/>
    <w:rsid w:val="007E08DB"/>
    <w:rsid w:val="007E0B17"/>
    <w:rsid w:val="007E0D90"/>
    <w:rsid w:val="007E0E9E"/>
    <w:rsid w:val="007E0EBF"/>
    <w:rsid w:val="007E12DC"/>
    <w:rsid w:val="007E1760"/>
    <w:rsid w:val="007E21FB"/>
    <w:rsid w:val="007E3B9D"/>
    <w:rsid w:val="007E420B"/>
    <w:rsid w:val="007E46BC"/>
    <w:rsid w:val="007E4932"/>
    <w:rsid w:val="007E4CAD"/>
    <w:rsid w:val="007E502C"/>
    <w:rsid w:val="007E516A"/>
    <w:rsid w:val="007E5BD7"/>
    <w:rsid w:val="007E6761"/>
    <w:rsid w:val="007E75F0"/>
    <w:rsid w:val="007E7968"/>
    <w:rsid w:val="007E7992"/>
    <w:rsid w:val="007E79C4"/>
    <w:rsid w:val="007F013A"/>
    <w:rsid w:val="007F0730"/>
    <w:rsid w:val="007F1D54"/>
    <w:rsid w:val="007F20A0"/>
    <w:rsid w:val="007F2D90"/>
    <w:rsid w:val="007F3D9B"/>
    <w:rsid w:val="007F3F6F"/>
    <w:rsid w:val="007F48A9"/>
    <w:rsid w:val="007F4A1F"/>
    <w:rsid w:val="007F4E28"/>
    <w:rsid w:val="007F4E6E"/>
    <w:rsid w:val="007F4F82"/>
    <w:rsid w:val="007F6D96"/>
    <w:rsid w:val="007F7CFA"/>
    <w:rsid w:val="00801D7A"/>
    <w:rsid w:val="008020F2"/>
    <w:rsid w:val="00802462"/>
    <w:rsid w:val="008036FC"/>
    <w:rsid w:val="00803F74"/>
    <w:rsid w:val="00804653"/>
    <w:rsid w:val="00804C48"/>
    <w:rsid w:val="0080505A"/>
    <w:rsid w:val="00805478"/>
    <w:rsid w:val="00806639"/>
    <w:rsid w:val="00806A84"/>
    <w:rsid w:val="008073A4"/>
    <w:rsid w:val="00807C6C"/>
    <w:rsid w:val="00807C7A"/>
    <w:rsid w:val="008115ED"/>
    <w:rsid w:val="00811A42"/>
    <w:rsid w:val="0081254B"/>
    <w:rsid w:val="008132BB"/>
    <w:rsid w:val="0081340B"/>
    <w:rsid w:val="00813788"/>
    <w:rsid w:val="00813F40"/>
    <w:rsid w:val="00814FED"/>
    <w:rsid w:val="00815822"/>
    <w:rsid w:val="00815B93"/>
    <w:rsid w:val="00815BA2"/>
    <w:rsid w:val="00816585"/>
    <w:rsid w:val="00817364"/>
    <w:rsid w:val="00817BB4"/>
    <w:rsid w:val="00817E4F"/>
    <w:rsid w:val="00820F5B"/>
    <w:rsid w:val="00821021"/>
    <w:rsid w:val="008214BB"/>
    <w:rsid w:val="00821B58"/>
    <w:rsid w:val="00822136"/>
    <w:rsid w:val="00822D4E"/>
    <w:rsid w:val="00822FBA"/>
    <w:rsid w:val="0082398C"/>
    <w:rsid w:val="00824FAD"/>
    <w:rsid w:val="00824FF1"/>
    <w:rsid w:val="00825196"/>
    <w:rsid w:val="00826F4C"/>
    <w:rsid w:val="00831573"/>
    <w:rsid w:val="00833C51"/>
    <w:rsid w:val="008349A6"/>
    <w:rsid w:val="00835271"/>
    <w:rsid w:val="00835679"/>
    <w:rsid w:val="008360DF"/>
    <w:rsid w:val="0083731C"/>
    <w:rsid w:val="008377DA"/>
    <w:rsid w:val="00837BD7"/>
    <w:rsid w:val="00840591"/>
    <w:rsid w:val="00841F21"/>
    <w:rsid w:val="00842991"/>
    <w:rsid w:val="008429B0"/>
    <w:rsid w:val="00843900"/>
    <w:rsid w:val="00844C5B"/>
    <w:rsid w:val="0084581F"/>
    <w:rsid w:val="00845898"/>
    <w:rsid w:val="00845A15"/>
    <w:rsid w:val="0084632F"/>
    <w:rsid w:val="00852528"/>
    <w:rsid w:val="008541F1"/>
    <w:rsid w:val="008543F7"/>
    <w:rsid w:val="008545DC"/>
    <w:rsid w:val="00854A7E"/>
    <w:rsid w:val="00854A98"/>
    <w:rsid w:val="00855209"/>
    <w:rsid w:val="00855B06"/>
    <w:rsid w:val="00856B95"/>
    <w:rsid w:val="00856D1A"/>
    <w:rsid w:val="00857D29"/>
    <w:rsid w:val="0086161C"/>
    <w:rsid w:val="0086225C"/>
    <w:rsid w:val="008629A8"/>
    <w:rsid w:val="00863225"/>
    <w:rsid w:val="00863ADA"/>
    <w:rsid w:val="00864BF6"/>
    <w:rsid w:val="00865266"/>
    <w:rsid w:val="00865BAA"/>
    <w:rsid w:val="008677CB"/>
    <w:rsid w:val="0087056E"/>
    <w:rsid w:val="00870CB6"/>
    <w:rsid w:val="00870CC5"/>
    <w:rsid w:val="00870DD7"/>
    <w:rsid w:val="008737AE"/>
    <w:rsid w:val="00873F17"/>
    <w:rsid w:val="00873FEA"/>
    <w:rsid w:val="0087419B"/>
    <w:rsid w:val="00874592"/>
    <w:rsid w:val="008751C1"/>
    <w:rsid w:val="00876C1B"/>
    <w:rsid w:val="00876E70"/>
    <w:rsid w:val="008804E1"/>
    <w:rsid w:val="00880E30"/>
    <w:rsid w:val="008815B6"/>
    <w:rsid w:val="008818F6"/>
    <w:rsid w:val="00881D45"/>
    <w:rsid w:val="008829F8"/>
    <w:rsid w:val="0088398E"/>
    <w:rsid w:val="00885182"/>
    <w:rsid w:val="0088647E"/>
    <w:rsid w:val="00887E02"/>
    <w:rsid w:val="00890382"/>
    <w:rsid w:val="0089046A"/>
    <w:rsid w:val="00891106"/>
    <w:rsid w:val="00892833"/>
    <w:rsid w:val="00893479"/>
    <w:rsid w:val="0089375D"/>
    <w:rsid w:val="008943CB"/>
    <w:rsid w:val="008946B9"/>
    <w:rsid w:val="008960A2"/>
    <w:rsid w:val="008979BC"/>
    <w:rsid w:val="008A056E"/>
    <w:rsid w:val="008A0882"/>
    <w:rsid w:val="008A10C1"/>
    <w:rsid w:val="008A181A"/>
    <w:rsid w:val="008A1C47"/>
    <w:rsid w:val="008A2289"/>
    <w:rsid w:val="008A3766"/>
    <w:rsid w:val="008A4F66"/>
    <w:rsid w:val="008A5290"/>
    <w:rsid w:val="008A593A"/>
    <w:rsid w:val="008A6A60"/>
    <w:rsid w:val="008A6C5A"/>
    <w:rsid w:val="008A6CCA"/>
    <w:rsid w:val="008B1B85"/>
    <w:rsid w:val="008B1B8C"/>
    <w:rsid w:val="008B25B1"/>
    <w:rsid w:val="008B2C59"/>
    <w:rsid w:val="008B2DF3"/>
    <w:rsid w:val="008B353B"/>
    <w:rsid w:val="008B376A"/>
    <w:rsid w:val="008B444E"/>
    <w:rsid w:val="008B569F"/>
    <w:rsid w:val="008B7220"/>
    <w:rsid w:val="008C0669"/>
    <w:rsid w:val="008C08A5"/>
    <w:rsid w:val="008C1DD7"/>
    <w:rsid w:val="008C26FA"/>
    <w:rsid w:val="008C36BB"/>
    <w:rsid w:val="008C4566"/>
    <w:rsid w:val="008C46B6"/>
    <w:rsid w:val="008C46C3"/>
    <w:rsid w:val="008C522A"/>
    <w:rsid w:val="008C5E71"/>
    <w:rsid w:val="008C64E3"/>
    <w:rsid w:val="008C6A8B"/>
    <w:rsid w:val="008C77F7"/>
    <w:rsid w:val="008D00EA"/>
    <w:rsid w:val="008D0D1E"/>
    <w:rsid w:val="008D1175"/>
    <w:rsid w:val="008D13C7"/>
    <w:rsid w:val="008D1627"/>
    <w:rsid w:val="008D1DA0"/>
    <w:rsid w:val="008D284E"/>
    <w:rsid w:val="008D4D90"/>
    <w:rsid w:val="008D4ED3"/>
    <w:rsid w:val="008D54BF"/>
    <w:rsid w:val="008D5DC6"/>
    <w:rsid w:val="008D6A11"/>
    <w:rsid w:val="008E0D4B"/>
    <w:rsid w:val="008E1A5C"/>
    <w:rsid w:val="008E1C27"/>
    <w:rsid w:val="008E1E54"/>
    <w:rsid w:val="008E2057"/>
    <w:rsid w:val="008E264D"/>
    <w:rsid w:val="008E2DA6"/>
    <w:rsid w:val="008E31EC"/>
    <w:rsid w:val="008E3512"/>
    <w:rsid w:val="008E3C88"/>
    <w:rsid w:val="008E4E17"/>
    <w:rsid w:val="008E5337"/>
    <w:rsid w:val="008E610D"/>
    <w:rsid w:val="008E6F8D"/>
    <w:rsid w:val="008E78F2"/>
    <w:rsid w:val="008E7B12"/>
    <w:rsid w:val="008F022C"/>
    <w:rsid w:val="008F2A60"/>
    <w:rsid w:val="008F310D"/>
    <w:rsid w:val="008F3888"/>
    <w:rsid w:val="008F3A90"/>
    <w:rsid w:val="008F3B22"/>
    <w:rsid w:val="008F43C7"/>
    <w:rsid w:val="008F4823"/>
    <w:rsid w:val="008F551B"/>
    <w:rsid w:val="008F606D"/>
    <w:rsid w:val="008F6597"/>
    <w:rsid w:val="008F7150"/>
    <w:rsid w:val="008F71CC"/>
    <w:rsid w:val="008F721C"/>
    <w:rsid w:val="008F757D"/>
    <w:rsid w:val="00900662"/>
    <w:rsid w:val="00901953"/>
    <w:rsid w:val="00901DF8"/>
    <w:rsid w:val="00902166"/>
    <w:rsid w:val="00902A0C"/>
    <w:rsid w:val="009040A1"/>
    <w:rsid w:val="009043AA"/>
    <w:rsid w:val="0090473B"/>
    <w:rsid w:val="0090487F"/>
    <w:rsid w:val="00905282"/>
    <w:rsid w:val="00905908"/>
    <w:rsid w:val="00906C96"/>
    <w:rsid w:val="009075A4"/>
    <w:rsid w:val="009101AF"/>
    <w:rsid w:val="00910400"/>
    <w:rsid w:val="00911808"/>
    <w:rsid w:val="00912F37"/>
    <w:rsid w:val="009131C8"/>
    <w:rsid w:val="009145FB"/>
    <w:rsid w:val="00914811"/>
    <w:rsid w:val="00915283"/>
    <w:rsid w:val="00915786"/>
    <w:rsid w:val="00917141"/>
    <w:rsid w:val="0091746C"/>
    <w:rsid w:val="00917D06"/>
    <w:rsid w:val="009207DB"/>
    <w:rsid w:val="00921879"/>
    <w:rsid w:val="00922024"/>
    <w:rsid w:val="009233CE"/>
    <w:rsid w:val="00923C3F"/>
    <w:rsid w:val="00924853"/>
    <w:rsid w:val="009252E0"/>
    <w:rsid w:val="00925501"/>
    <w:rsid w:val="00926982"/>
    <w:rsid w:val="00926B5A"/>
    <w:rsid w:val="00926D4C"/>
    <w:rsid w:val="009270C4"/>
    <w:rsid w:val="00931743"/>
    <w:rsid w:val="009325F7"/>
    <w:rsid w:val="00932BCF"/>
    <w:rsid w:val="00933396"/>
    <w:rsid w:val="00933761"/>
    <w:rsid w:val="00934D73"/>
    <w:rsid w:val="00935042"/>
    <w:rsid w:val="00936CC6"/>
    <w:rsid w:val="0093740F"/>
    <w:rsid w:val="00937B4A"/>
    <w:rsid w:val="00937BE9"/>
    <w:rsid w:val="00937C1D"/>
    <w:rsid w:val="00940804"/>
    <w:rsid w:val="00940E9B"/>
    <w:rsid w:val="00940FC3"/>
    <w:rsid w:val="009410B3"/>
    <w:rsid w:val="0094131D"/>
    <w:rsid w:val="0094166C"/>
    <w:rsid w:val="00942120"/>
    <w:rsid w:val="009425F7"/>
    <w:rsid w:val="00943827"/>
    <w:rsid w:val="00943BC0"/>
    <w:rsid w:val="00944BF0"/>
    <w:rsid w:val="00946136"/>
    <w:rsid w:val="00946CD9"/>
    <w:rsid w:val="00947046"/>
    <w:rsid w:val="00947A00"/>
    <w:rsid w:val="009505F4"/>
    <w:rsid w:val="00951216"/>
    <w:rsid w:val="0095279B"/>
    <w:rsid w:val="0095316C"/>
    <w:rsid w:val="00954282"/>
    <w:rsid w:val="00954427"/>
    <w:rsid w:val="009545B9"/>
    <w:rsid w:val="009564ED"/>
    <w:rsid w:val="00956CA2"/>
    <w:rsid w:val="00960385"/>
    <w:rsid w:val="0096079B"/>
    <w:rsid w:val="00960CA9"/>
    <w:rsid w:val="0096218D"/>
    <w:rsid w:val="00964509"/>
    <w:rsid w:val="00964525"/>
    <w:rsid w:val="0096501B"/>
    <w:rsid w:val="0096662B"/>
    <w:rsid w:val="009666AF"/>
    <w:rsid w:val="00967180"/>
    <w:rsid w:val="0096797D"/>
    <w:rsid w:val="00967B7F"/>
    <w:rsid w:val="00970704"/>
    <w:rsid w:val="00970B65"/>
    <w:rsid w:val="00971127"/>
    <w:rsid w:val="0097119E"/>
    <w:rsid w:val="00971EB0"/>
    <w:rsid w:val="0097272C"/>
    <w:rsid w:val="009734B8"/>
    <w:rsid w:val="00973514"/>
    <w:rsid w:val="009741E7"/>
    <w:rsid w:val="00975C75"/>
    <w:rsid w:val="00977506"/>
    <w:rsid w:val="0098177A"/>
    <w:rsid w:val="00982633"/>
    <w:rsid w:val="00983583"/>
    <w:rsid w:val="00983EFD"/>
    <w:rsid w:val="009855B0"/>
    <w:rsid w:val="009859A8"/>
    <w:rsid w:val="00985A7D"/>
    <w:rsid w:val="00986257"/>
    <w:rsid w:val="0098658A"/>
    <w:rsid w:val="00986861"/>
    <w:rsid w:val="00987CBC"/>
    <w:rsid w:val="00990E34"/>
    <w:rsid w:val="00991EB0"/>
    <w:rsid w:val="0099212B"/>
    <w:rsid w:val="0099245F"/>
    <w:rsid w:val="009928FA"/>
    <w:rsid w:val="009937B4"/>
    <w:rsid w:val="00994B5F"/>
    <w:rsid w:val="00995768"/>
    <w:rsid w:val="00996326"/>
    <w:rsid w:val="00996B7D"/>
    <w:rsid w:val="00996F95"/>
    <w:rsid w:val="00997745"/>
    <w:rsid w:val="00997EA5"/>
    <w:rsid w:val="009A07D5"/>
    <w:rsid w:val="009A1303"/>
    <w:rsid w:val="009A1BC9"/>
    <w:rsid w:val="009A1FE7"/>
    <w:rsid w:val="009A2967"/>
    <w:rsid w:val="009A36B7"/>
    <w:rsid w:val="009A3720"/>
    <w:rsid w:val="009A42CF"/>
    <w:rsid w:val="009A44E8"/>
    <w:rsid w:val="009A4A49"/>
    <w:rsid w:val="009A581E"/>
    <w:rsid w:val="009A679E"/>
    <w:rsid w:val="009B0460"/>
    <w:rsid w:val="009B13AF"/>
    <w:rsid w:val="009B1DA5"/>
    <w:rsid w:val="009B1E1D"/>
    <w:rsid w:val="009B2602"/>
    <w:rsid w:val="009B28FD"/>
    <w:rsid w:val="009B2AD6"/>
    <w:rsid w:val="009B3172"/>
    <w:rsid w:val="009B4575"/>
    <w:rsid w:val="009B461D"/>
    <w:rsid w:val="009B5594"/>
    <w:rsid w:val="009B59ED"/>
    <w:rsid w:val="009B6EE8"/>
    <w:rsid w:val="009B729E"/>
    <w:rsid w:val="009B7498"/>
    <w:rsid w:val="009C264B"/>
    <w:rsid w:val="009C34F1"/>
    <w:rsid w:val="009C381A"/>
    <w:rsid w:val="009C3B80"/>
    <w:rsid w:val="009C3D84"/>
    <w:rsid w:val="009C48C6"/>
    <w:rsid w:val="009C5D76"/>
    <w:rsid w:val="009C5DFB"/>
    <w:rsid w:val="009C5FDE"/>
    <w:rsid w:val="009C7B1D"/>
    <w:rsid w:val="009C7F10"/>
    <w:rsid w:val="009C7FF8"/>
    <w:rsid w:val="009D03F1"/>
    <w:rsid w:val="009D07CE"/>
    <w:rsid w:val="009D0921"/>
    <w:rsid w:val="009D101B"/>
    <w:rsid w:val="009D118E"/>
    <w:rsid w:val="009D1CF4"/>
    <w:rsid w:val="009D2A26"/>
    <w:rsid w:val="009D2C21"/>
    <w:rsid w:val="009D380F"/>
    <w:rsid w:val="009D57A7"/>
    <w:rsid w:val="009D6546"/>
    <w:rsid w:val="009D65EE"/>
    <w:rsid w:val="009D6FE7"/>
    <w:rsid w:val="009E04BB"/>
    <w:rsid w:val="009E0525"/>
    <w:rsid w:val="009E05A9"/>
    <w:rsid w:val="009E1370"/>
    <w:rsid w:val="009E20A6"/>
    <w:rsid w:val="009E233F"/>
    <w:rsid w:val="009E2F30"/>
    <w:rsid w:val="009E323A"/>
    <w:rsid w:val="009E328B"/>
    <w:rsid w:val="009E4130"/>
    <w:rsid w:val="009E6122"/>
    <w:rsid w:val="009E6DD0"/>
    <w:rsid w:val="009E6DEE"/>
    <w:rsid w:val="009E6E87"/>
    <w:rsid w:val="009E700C"/>
    <w:rsid w:val="009E7F79"/>
    <w:rsid w:val="009F082A"/>
    <w:rsid w:val="009F0BD9"/>
    <w:rsid w:val="009F12B4"/>
    <w:rsid w:val="009F33FA"/>
    <w:rsid w:val="009F347C"/>
    <w:rsid w:val="009F4D19"/>
    <w:rsid w:val="009F54D7"/>
    <w:rsid w:val="009F6619"/>
    <w:rsid w:val="009F68FF"/>
    <w:rsid w:val="009F6FEE"/>
    <w:rsid w:val="009F768E"/>
    <w:rsid w:val="009F7F88"/>
    <w:rsid w:val="00A00E77"/>
    <w:rsid w:val="00A01A4C"/>
    <w:rsid w:val="00A01C1F"/>
    <w:rsid w:val="00A01C98"/>
    <w:rsid w:val="00A04B6F"/>
    <w:rsid w:val="00A054CB"/>
    <w:rsid w:val="00A05E8F"/>
    <w:rsid w:val="00A0690B"/>
    <w:rsid w:val="00A06A54"/>
    <w:rsid w:val="00A0787D"/>
    <w:rsid w:val="00A10423"/>
    <w:rsid w:val="00A10498"/>
    <w:rsid w:val="00A10A6F"/>
    <w:rsid w:val="00A118B4"/>
    <w:rsid w:val="00A129C6"/>
    <w:rsid w:val="00A14BDD"/>
    <w:rsid w:val="00A15A52"/>
    <w:rsid w:val="00A16698"/>
    <w:rsid w:val="00A1706F"/>
    <w:rsid w:val="00A1721D"/>
    <w:rsid w:val="00A17791"/>
    <w:rsid w:val="00A17A42"/>
    <w:rsid w:val="00A17F01"/>
    <w:rsid w:val="00A20EDD"/>
    <w:rsid w:val="00A210DB"/>
    <w:rsid w:val="00A21667"/>
    <w:rsid w:val="00A220FB"/>
    <w:rsid w:val="00A223A5"/>
    <w:rsid w:val="00A22536"/>
    <w:rsid w:val="00A244A1"/>
    <w:rsid w:val="00A24BC5"/>
    <w:rsid w:val="00A2504C"/>
    <w:rsid w:val="00A26E5D"/>
    <w:rsid w:val="00A276A6"/>
    <w:rsid w:val="00A276FF"/>
    <w:rsid w:val="00A30C82"/>
    <w:rsid w:val="00A31A01"/>
    <w:rsid w:val="00A32211"/>
    <w:rsid w:val="00A3287C"/>
    <w:rsid w:val="00A33758"/>
    <w:rsid w:val="00A33FDC"/>
    <w:rsid w:val="00A34114"/>
    <w:rsid w:val="00A34C81"/>
    <w:rsid w:val="00A34E19"/>
    <w:rsid w:val="00A34FF0"/>
    <w:rsid w:val="00A35165"/>
    <w:rsid w:val="00A35BE0"/>
    <w:rsid w:val="00A35C90"/>
    <w:rsid w:val="00A362F9"/>
    <w:rsid w:val="00A36F35"/>
    <w:rsid w:val="00A373CC"/>
    <w:rsid w:val="00A3760C"/>
    <w:rsid w:val="00A37704"/>
    <w:rsid w:val="00A37E59"/>
    <w:rsid w:val="00A40108"/>
    <w:rsid w:val="00A40D0C"/>
    <w:rsid w:val="00A41302"/>
    <w:rsid w:val="00A41C59"/>
    <w:rsid w:val="00A4350C"/>
    <w:rsid w:val="00A43644"/>
    <w:rsid w:val="00A4383B"/>
    <w:rsid w:val="00A44BB6"/>
    <w:rsid w:val="00A45734"/>
    <w:rsid w:val="00A45B90"/>
    <w:rsid w:val="00A462F7"/>
    <w:rsid w:val="00A46659"/>
    <w:rsid w:val="00A46F1A"/>
    <w:rsid w:val="00A47029"/>
    <w:rsid w:val="00A477C3"/>
    <w:rsid w:val="00A50299"/>
    <w:rsid w:val="00A5067A"/>
    <w:rsid w:val="00A533D5"/>
    <w:rsid w:val="00A53A31"/>
    <w:rsid w:val="00A53C68"/>
    <w:rsid w:val="00A5510E"/>
    <w:rsid w:val="00A559F4"/>
    <w:rsid w:val="00A56308"/>
    <w:rsid w:val="00A56547"/>
    <w:rsid w:val="00A57079"/>
    <w:rsid w:val="00A570E0"/>
    <w:rsid w:val="00A606A0"/>
    <w:rsid w:val="00A6077B"/>
    <w:rsid w:val="00A60A60"/>
    <w:rsid w:val="00A61263"/>
    <w:rsid w:val="00A614AD"/>
    <w:rsid w:val="00A61886"/>
    <w:rsid w:val="00A61E92"/>
    <w:rsid w:val="00A62757"/>
    <w:rsid w:val="00A639E0"/>
    <w:rsid w:val="00A63D89"/>
    <w:rsid w:val="00A64393"/>
    <w:rsid w:val="00A6526E"/>
    <w:rsid w:val="00A65DA4"/>
    <w:rsid w:val="00A66E04"/>
    <w:rsid w:val="00A67194"/>
    <w:rsid w:val="00A671B3"/>
    <w:rsid w:val="00A676F1"/>
    <w:rsid w:val="00A67968"/>
    <w:rsid w:val="00A7040E"/>
    <w:rsid w:val="00A70D5A"/>
    <w:rsid w:val="00A734F2"/>
    <w:rsid w:val="00A73DEE"/>
    <w:rsid w:val="00A74678"/>
    <w:rsid w:val="00A75AEA"/>
    <w:rsid w:val="00A75EA3"/>
    <w:rsid w:val="00A76063"/>
    <w:rsid w:val="00A767EB"/>
    <w:rsid w:val="00A771BF"/>
    <w:rsid w:val="00A77299"/>
    <w:rsid w:val="00A803C1"/>
    <w:rsid w:val="00A805F1"/>
    <w:rsid w:val="00A815B6"/>
    <w:rsid w:val="00A81953"/>
    <w:rsid w:val="00A827C9"/>
    <w:rsid w:val="00A83BF3"/>
    <w:rsid w:val="00A85B31"/>
    <w:rsid w:val="00A860FD"/>
    <w:rsid w:val="00A861F3"/>
    <w:rsid w:val="00A86C48"/>
    <w:rsid w:val="00A90DB1"/>
    <w:rsid w:val="00A9147B"/>
    <w:rsid w:val="00A9177F"/>
    <w:rsid w:val="00A91BA8"/>
    <w:rsid w:val="00A91EF1"/>
    <w:rsid w:val="00A91EF2"/>
    <w:rsid w:val="00A9325C"/>
    <w:rsid w:val="00A93680"/>
    <w:rsid w:val="00A9430B"/>
    <w:rsid w:val="00A94483"/>
    <w:rsid w:val="00A94529"/>
    <w:rsid w:val="00A94C42"/>
    <w:rsid w:val="00A959CA"/>
    <w:rsid w:val="00A96FC6"/>
    <w:rsid w:val="00A97A16"/>
    <w:rsid w:val="00A97B61"/>
    <w:rsid w:val="00A97C2E"/>
    <w:rsid w:val="00A97CE3"/>
    <w:rsid w:val="00A97E0C"/>
    <w:rsid w:val="00AA01DA"/>
    <w:rsid w:val="00AA11BA"/>
    <w:rsid w:val="00AA182B"/>
    <w:rsid w:val="00AA2394"/>
    <w:rsid w:val="00AA2D62"/>
    <w:rsid w:val="00AA2E2C"/>
    <w:rsid w:val="00AA2E90"/>
    <w:rsid w:val="00AA3077"/>
    <w:rsid w:val="00AA375B"/>
    <w:rsid w:val="00AA38AF"/>
    <w:rsid w:val="00AA41DE"/>
    <w:rsid w:val="00AA450C"/>
    <w:rsid w:val="00AA4B62"/>
    <w:rsid w:val="00AA571A"/>
    <w:rsid w:val="00AA5EB3"/>
    <w:rsid w:val="00AA5F1A"/>
    <w:rsid w:val="00AA6916"/>
    <w:rsid w:val="00AB022F"/>
    <w:rsid w:val="00AB110E"/>
    <w:rsid w:val="00AB11CF"/>
    <w:rsid w:val="00AB1287"/>
    <w:rsid w:val="00AB1CE8"/>
    <w:rsid w:val="00AB2470"/>
    <w:rsid w:val="00AB3FCD"/>
    <w:rsid w:val="00AB4506"/>
    <w:rsid w:val="00AB5190"/>
    <w:rsid w:val="00AB5513"/>
    <w:rsid w:val="00AB6DFC"/>
    <w:rsid w:val="00AB6E0F"/>
    <w:rsid w:val="00AB7354"/>
    <w:rsid w:val="00AB75DD"/>
    <w:rsid w:val="00AB7C46"/>
    <w:rsid w:val="00AC071C"/>
    <w:rsid w:val="00AC2076"/>
    <w:rsid w:val="00AC3637"/>
    <w:rsid w:val="00AC3D4F"/>
    <w:rsid w:val="00AC3DB7"/>
    <w:rsid w:val="00AC4699"/>
    <w:rsid w:val="00AC57CD"/>
    <w:rsid w:val="00AC59DF"/>
    <w:rsid w:val="00AC72C7"/>
    <w:rsid w:val="00AC7899"/>
    <w:rsid w:val="00AD13D6"/>
    <w:rsid w:val="00AD2C42"/>
    <w:rsid w:val="00AD4087"/>
    <w:rsid w:val="00AD5BEE"/>
    <w:rsid w:val="00AD6466"/>
    <w:rsid w:val="00AD6A21"/>
    <w:rsid w:val="00AD6BE0"/>
    <w:rsid w:val="00AD752F"/>
    <w:rsid w:val="00AE05DD"/>
    <w:rsid w:val="00AE0C8D"/>
    <w:rsid w:val="00AE0E2A"/>
    <w:rsid w:val="00AE1131"/>
    <w:rsid w:val="00AE1411"/>
    <w:rsid w:val="00AE2330"/>
    <w:rsid w:val="00AE27D6"/>
    <w:rsid w:val="00AE55BC"/>
    <w:rsid w:val="00AE5A99"/>
    <w:rsid w:val="00AE62E7"/>
    <w:rsid w:val="00AE686D"/>
    <w:rsid w:val="00AE6B27"/>
    <w:rsid w:val="00AE77AC"/>
    <w:rsid w:val="00AF0DC0"/>
    <w:rsid w:val="00AF0F96"/>
    <w:rsid w:val="00AF17E4"/>
    <w:rsid w:val="00AF21D7"/>
    <w:rsid w:val="00AF282C"/>
    <w:rsid w:val="00AF28EB"/>
    <w:rsid w:val="00AF31BA"/>
    <w:rsid w:val="00AF36B6"/>
    <w:rsid w:val="00AF4803"/>
    <w:rsid w:val="00AF4D10"/>
    <w:rsid w:val="00AF58CB"/>
    <w:rsid w:val="00AF7217"/>
    <w:rsid w:val="00AF726F"/>
    <w:rsid w:val="00AF783F"/>
    <w:rsid w:val="00B00506"/>
    <w:rsid w:val="00B00673"/>
    <w:rsid w:val="00B00ED5"/>
    <w:rsid w:val="00B02315"/>
    <w:rsid w:val="00B02BF0"/>
    <w:rsid w:val="00B034DD"/>
    <w:rsid w:val="00B03AB4"/>
    <w:rsid w:val="00B04C3C"/>
    <w:rsid w:val="00B05B91"/>
    <w:rsid w:val="00B06ED4"/>
    <w:rsid w:val="00B077CC"/>
    <w:rsid w:val="00B07A28"/>
    <w:rsid w:val="00B1123F"/>
    <w:rsid w:val="00B13397"/>
    <w:rsid w:val="00B1400D"/>
    <w:rsid w:val="00B144AA"/>
    <w:rsid w:val="00B147C9"/>
    <w:rsid w:val="00B15BB2"/>
    <w:rsid w:val="00B1666B"/>
    <w:rsid w:val="00B16EBE"/>
    <w:rsid w:val="00B20655"/>
    <w:rsid w:val="00B21443"/>
    <w:rsid w:val="00B21D0E"/>
    <w:rsid w:val="00B22C57"/>
    <w:rsid w:val="00B23C76"/>
    <w:rsid w:val="00B23EEE"/>
    <w:rsid w:val="00B25E1E"/>
    <w:rsid w:val="00B27298"/>
    <w:rsid w:val="00B27384"/>
    <w:rsid w:val="00B276E4"/>
    <w:rsid w:val="00B27A6D"/>
    <w:rsid w:val="00B309F9"/>
    <w:rsid w:val="00B30DAD"/>
    <w:rsid w:val="00B31593"/>
    <w:rsid w:val="00B31782"/>
    <w:rsid w:val="00B34709"/>
    <w:rsid w:val="00B34F80"/>
    <w:rsid w:val="00B36928"/>
    <w:rsid w:val="00B37293"/>
    <w:rsid w:val="00B4076A"/>
    <w:rsid w:val="00B413EB"/>
    <w:rsid w:val="00B426B6"/>
    <w:rsid w:val="00B42C20"/>
    <w:rsid w:val="00B43AD9"/>
    <w:rsid w:val="00B443D5"/>
    <w:rsid w:val="00B44482"/>
    <w:rsid w:val="00B45012"/>
    <w:rsid w:val="00B450D9"/>
    <w:rsid w:val="00B45D36"/>
    <w:rsid w:val="00B46FF2"/>
    <w:rsid w:val="00B539EB"/>
    <w:rsid w:val="00B54B76"/>
    <w:rsid w:val="00B55AE3"/>
    <w:rsid w:val="00B560E5"/>
    <w:rsid w:val="00B576E1"/>
    <w:rsid w:val="00B6088D"/>
    <w:rsid w:val="00B608F1"/>
    <w:rsid w:val="00B60A96"/>
    <w:rsid w:val="00B60F79"/>
    <w:rsid w:val="00B617E2"/>
    <w:rsid w:val="00B6252C"/>
    <w:rsid w:val="00B62653"/>
    <w:rsid w:val="00B62CBE"/>
    <w:rsid w:val="00B62EFD"/>
    <w:rsid w:val="00B63999"/>
    <w:rsid w:val="00B63B4A"/>
    <w:rsid w:val="00B63DA0"/>
    <w:rsid w:val="00B64F8D"/>
    <w:rsid w:val="00B6533C"/>
    <w:rsid w:val="00B6731A"/>
    <w:rsid w:val="00B673CA"/>
    <w:rsid w:val="00B678A4"/>
    <w:rsid w:val="00B70316"/>
    <w:rsid w:val="00B70903"/>
    <w:rsid w:val="00B70930"/>
    <w:rsid w:val="00B7108D"/>
    <w:rsid w:val="00B7117A"/>
    <w:rsid w:val="00B7128A"/>
    <w:rsid w:val="00B713F0"/>
    <w:rsid w:val="00B71BD7"/>
    <w:rsid w:val="00B72053"/>
    <w:rsid w:val="00B73D1E"/>
    <w:rsid w:val="00B74530"/>
    <w:rsid w:val="00B74E4D"/>
    <w:rsid w:val="00B75D3F"/>
    <w:rsid w:val="00B75D4C"/>
    <w:rsid w:val="00B76F2C"/>
    <w:rsid w:val="00B774EE"/>
    <w:rsid w:val="00B77723"/>
    <w:rsid w:val="00B77863"/>
    <w:rsid w:val="00B80008"/>
    <w:rsid w:val="00B801AC"/>
    <w:rsid w:val="00B809E2"/>
    <w:rsid w:val="00B815D3"/>
    <w:rsid w:val="00B8270D"/>
    <w:rsid w:val="00B82B33"/>
    <w:rsid w:val="00B8384C"/>
    <w:rsid w:val="00B84030"/>
    <w:rsid w:val="00B843A1"/>
    <w:rsid w:val="00B854BE"/>
    <w:rsid w:val="00B85704"/>
    <w:rsid w:val="00B868D6"/>
    <w:rsid w:val="00B86965"/>
    <w:rsid w:val="00B86D0A"/>
    <w:rsid w:val="00B8748B"/>
    <w:rsid w:val="00B87B3F"/>
    <w:rsid w:val="00B91818"/>
    <w:rsid w:val="00B922D6"/>
    <w:rsid w:val="00B93E18"/>
    <w:rsid w:val="00B93E2C"/>
    <w:rsid w:val="00B94BE5"/>
    <w:rsid w:val="00B9556B"/>
    <w:rsid w:val="00B96069"/>
    <w:rsid w:val="00B968F3"/>
    <w:rsid w:val="00BA0A76"/>
    <w:rsid w:val="00BA11A9"/>
    <w:rsid w:val="00BA30C2"/>
    <w:rsid w:val="00BA31C6"/>
    <w:rsid w:val="00BA4B0A"/>
    <w:rsid w:val="00BA699B"/>
    <w:rsid w:val="00BA76AB"/>
    <w:rsid w:val="00BB0225"/>
    <w:rsid w:val="00BB0423"/>
    <w:rsid w:val="00BB0F8B"/>
    <w:rsid w:val="00BB1D73"/>
    <w:rsid w:val="00BB2CE4"/>
    <w:rsid w:val="00BB3C27"/>
    <w:rsid w:val="00BB4008"/>
    <w:rsid w:val="00BB42D2"/>
    <w:rsid w:val="00BB5449"/>
    <w:rsid w:val="00BB5C00"/>
    <w:rsid w:val="00BB6ECF"/>
    <w:rsid w:val="00BB74B3"/>
    <w:rsid w:val="00BB777A"/>
    <w:rsid w:val="00BB7E0B"/>
    <w:rsid w:val="00BC06FE"/>
    <w:rsid w:val="00BC1221"/>
    <w:rsid w:val="00BC1765"/>
    <w:rsid w:val="00BC1FD6"/>
    <w:rsid w:val="00BC25D7"/>
    <w:rsid w:val="00BC320C"/>
    <w:rsid w:val="00BC43C2"/>
    <w:rsid w:val="00BC464D"/>
    <w:rsid w:val="00BC4883"/>
    <w:rsid w:val="00BC5454"/>
    <w:rsid w:val="00BC5F7F"/>
    <w:rsid w:val="00BC72BA"/>
    <w:rsid w:val="00BC74EE"/>
    <w:rsid w:val="00BC777E"/>
    <w:rsid w:val="00BC7E23"/>
    <w:rsid w:val="00BD219A"/>
    <w:rsid w:val="00BD2C42"/>
    <w:rsid w:val="00BD2EF9"/>
    <w:rsid w:val="00BD2F1D"/>
    <w:rsid w:val="00BD3997"/>
    <w:rsid w:val="00BD5D7E"/>
    <w:rsid w:val="00BD62E5"/>
    <w:rsid w:val="00BD68BB"/>
    <w:rsid w:val="00BD6EF9"/>
    <w:rsid w:val="00BD754C"/>
    <w:rsid w:val="00BD78C6"/>
    <w:rsid w:val="00BD7F54"/>
    <w:rsid w:val="00BE01E1"/>
    <w:rsid w:val="00BE0849"/>
    <w:rsid w:val="00BE15DA"/>
    <w:rsid w:val="00BE19AD"/>
    <w:rsid w:val="00BE1B2F"/>
    <w:rsid w:val="00BE369C"/>
    <w:rsid w:val="00BE4FBC"/>
    <w:rsid w:val="00BE5338"/>
    <w:rsid w:val="00BE5A5B"/>
    <w:rsid w:val="00BE5B7C"/>
    <w:rsid w:val="00BE61C4"/>
    <w:rsid w:val="00BE72FD"/>
    <w:rsid w:val="00BE733C"/>
    <w:rsid w:val="00BE73D4"/>
    <w:rsid w:val="00BE791F"/>
    <w:rsid w:val="00BE7AF2"/>
    <w:rsid w:val="00BF1EF8"/>
    <w:rsid w:val="00BF25A9"/>
    <w:rsid w:val="00BF2DE5"/>
    <w:rsid w:val="00BF39B7"/>
    <w:rsid w:val="00BF486D"/>
    <w:rsid w:val="00BF4C49"/>
    <w:rsid w:val="00BF4D1A"/>
    <w:rsid w:val="00BF5168"/>
    <w:rsid w:val="00BF5A5B"/>
    <w:rsid w:val="00BF6338"/>
    <w:rsid w:val="00BF6D56"/>
    <w:rsid w:val="00BF7CE1"/>
    <w:rsid w:val="00C00D03"/>
    <w:rsid w:val="00C00D9C"/>
    <w:rsid w:val="00C01DFC"/>
    <w:rsid w:val="00C02513"/>
    <w:rsid w:val="00C0270E"/>
    <w:rsid w:val="00C0282B"/>
    <w:rsid w:val="00C044E4"/>
    <w:rsid w:val="00C047A4"/>
    <w:rsid w:val="00C05013"/>
    <w:rsid w:val="00C053B5"/>
    <w:rsid w:val="00C067E0"/>
    <w:rsid w:val="00C071C7"/>
    <w:rsid w:val="00C0773D"/>
    <w:rsid w:val="00C1025D"/>
    <w:rsid w:val="00C110C7"/>
    <w:rsid w:val="00C11733"/>
    <w:rsid w:val="00C12CC1"/>
    <w:rsid w:val="00C12D93"/>
    <w:rsid w:val="00C12EE2"/>
    <w:rsid w:val="00C13103"/>
    <w:rsid w:val="00C139DE"/>
    <w:rsid w:val="00C13B55"/>
    <w:rsid w:val="00C13CB8"/>
    <w:rsid w:val="00C14CD4"/>
    <w:rsid w:val="00C151CE"/>
    <w:rsid w:val="00C15BBB"/>
    <w:rsid w:val="00C16439"/>
    <w:rsid w:val="00C2092E"/>
    <w:rsid w:val="00C20F37"/>
    <w:rsid w:val="00C211AE"/>
    <w:rsid w:val="00C213FD"/>
    <w:rsid w:val="00C21C42"/>
    <w:rsid w:val="00C23520"/>
    <w:rsid w:val="00C23FE1"/>
    <w:rsid w:val="00C24AE3"/>
    <w:rsid w:val="00C25082"/>
    <w:rsid w:val="00C2570A"/>
    <w:rsid w:val="00C25B91"/>
    <w:rsid w:val="00C265D4"/>
    <w:rsid w:val="00C26DC6"/>
    <w:rsid w:val="00C27447"/>
    <w:rsid w:val="00C275FC"/>
    <w:rsid w:val="00C2772B"/>
    <w:rsid w:val="00C30615"/>
    <w:rsid w:val="00C30715"/>
    <w:rsid w:val="00C30D84"/>
    <w:rsid w:val="00C3131B"/>
    <w:rsid w:val="00C317A7"/>
    <w:rsid w:val="00C33383"/>
    <w:rsid w:val="00C33614"/>
    <w:rsid w:val="00C33AEC"/>
    <w:rsid w:val="00C35493"/>
    <w:rsid w:val="00C35C8E"/>
    <w:rsid w:val="00C361E9"/>
    <w:rsid w:val="00C3671E"/>
    <w:rsid w:val="00C36B1D"/>
    <w:rsid w:val="00C3742C"/>
    <w:rsid w:val="00C410D2"/>
    <w:rsid w:val="00C41363"/>
    <w:rsid w:val="00C42209"/>
    <w:rsid w:val="00C429D5"/>
    <w:rsid w:val="00C42A78"/>
    <w:rsid w:val="00C42DC9"/>
    <w:rsid w:val="00C437D6"/>
    <w:rsid w:val="00C45897"/>
    <w:rsid w:val="00C4601D"/>
    <w:rsid w:val="00C470F6"/>
    <w:rsid w:val="00C47B1C"/>
    <w:rsid w:val="00C504EF"/>
    <w:rsid w:val="00C509D2"/>
    <w:rsid w:val="00C51CCA"/>
    <w:rsid w:val="00C53131"/>
    <w:rsid w:val="00C54473"/>
    <w:rsid w:val="00C55945"/>
    <w:rsid w:val="00C55D94"/>
    <w:rsid w:val="00C55DCB"/>
    <w:rsid w:val="00C55FBB"/>
    <w:rsid w:val="00C57582"/>
    <w:rsid w:val="00C608EF"/>
    <w:rsid w:val="00C60E9C"/>
    <w:rsid w:val="00C612BB"/>
    <w:rsid w:val="00C612BF"/>
    <w:rsid w:val="00C61338"/>
    <w:rsid w:val="00C6207E"/>
    <w:rsid w:val="00C6324D"/>
    <w:rsid w:val="00C64773"/>
    <w:rsid w:val="00C64FAE"/>
    <w:rsid w:val="00C653CC"/>
    <w:rsid w:val="00C66344"/>
    <w:rsid w:val="00C66EDC"/>
    <w:rsid w:val="00C674F7"/>
    <w:rsid w:val="00C67D05"/>
    <w:rsid w:val="00C714EE"/>
    <w:rsid w:val="00C731E1"/>
    <w:rsid w:val="00C7335A"/>
    <w:rsid w:val="00C741A7"/>
    <w:rsid w:val="00C745D7"/>
    <w:rsid w:val="00C74F7C"/>
    <w:rsid w:val="00C75F87"/>
    <w:rsid w:val="00C7702A"/>
    <w:rsid w:val="00C773C8"/>
    <w:rsid w:val="00C806B8"/>
    <w:rsid w:val="00C80A25"/>
    <w:rsid w:val="00C80E5E"/>
    <w:rsid w:val="00C82930"/>
    <w:rsid w:val="00C82C9E"/>
    <w:rsid w:val="00C83945"/>
    <w:rsid w:val="00C841BF"/>
    <w:rsid w:val="00C84BF3"/>
    <w:rsid w:val="00C8531E"/>
    <w:rsid w:val="00C85560"/>
    <w:rsid w:val="00C85A50"/>
    <w:rsid w:val="00C85B6C"/>
    <w:rsid w:val="00C85ECE"/>
    <w:rsid w:val="00C85F1C"/>
    <w:rsid w:val="00C86BFE"/>
    <w:rsid w:val="00C86D8A"/>
    <w:rsid w:val="00C86FF3"/>
    <w:rsid w:val="00C87E2F"/>
    <w:rsid w:val="00C900B0"/>
    <w:rsid w:val="00C9080B"/>
    <w:rsid w:val="00C90EA7"/>
    <w:rsid w:val="00C90EF9"/>
    <w:rsid w:val="00C9146C"/>
    <w:rsid w:val="00C9164E"/>
    <w:rsid w:val="00C92931"/>
    <w:rsid w:val="00C92949"/>
    <w:rsid w:val="00C9312F"/>
    <w:rsid w:val="00C93A97"/>
    <w:rsid w:val="00C94499"/>
    <w:rsid w:val="00C9491A"/>
    <w:rsid w:val="00C94BE9"/>
    <w:rsid w:val="00C95DD7"/>
    <w:rsid w:val="00C95ED6"/>
    <w:rsid w:val="00C965B2"/>
    <w:rsid w:val="00C96BBB"/>
    <w:rsid w:val="00CA04D5"/>
    <w:rsid w:val="00CA1AC8"/>
    <w:rsid w:val="00CA1FB0"/>
    <w:rsid w:val="00CA24D1"/>
    <w:rsid w:val="00CA381C"/>
    <w:rsid w:val="00CA39CC"/>
    <w:rsid w:val="00CA403D"/>
    <w:rsid w:val="00CA4743"/>
    <w:rsid w:val="00CA4818"/>
    <w:rsid w:val="00CA57FE"/>
    <w:rsid w:val="00CA5FF6"/>
    <w:rsid w:val="00CA6F32"/>
    <w:rsid w:val="00CA735E"/>
    <w:rsid w:val="00CA7BEE"/>
    <w:rsid w:val="00CB01B1"/>
    <w:rsid w:val="00CB0B34"/>
    <w:rsid w:val="00CB0EE0"/>
    <w:rsid w:val="00CB138F"/>
    <w:rsid w:val="00CB13CF"/>
    <w:rsid w:val="00CB13E0"/>
    <w:rsid w:val="00CB2343"/>
    <w:rsid w:val="00CB2F02"/>
    <w:rsid w:val="00CB387F"/>
    <w:rsid w:val="00CB44CC"/>
    <w:rsid w:val="00CB4506"/>
    <w:rsid w:val="00CB4522"/>
    <w:rsid w:val="00CB4741"/>
    <w:rsid w:val="00CB7145"/>
    <w:rsid w:val="00CB76B8"/>
    <w:rsid w:val="00CB7703"/>
    <w:rsid w:val="00CB77EE"/>
    <w:rsid w:val="00CB783B"/>
    <w:rsid w:val="00CB7AE2"/>
    <w:rsid w:val="00CC1C1E"/>
    <w:rsid w:val="00CC2611"/>
    <w:rsid w:val="00CC2803"/>
    <w:rsid w:val="00CC2813"/>
    <w:rsid w:val="00CC295E"/>
    <w:rsid w:val="00CC48D6"/>
    <w:rsid w:val="00CC544C"/>
    <w:rsid w:val="00CC559E"/>
    <w:rsid w:val="00CC707F"/>
    <w:rsid w:val="00CC708A"/>
    <w:rsid w:val="00CC79CD"/>
    <w:rsid w:val="00CD0E5B"/>
    <w:rsid w:val="00CD1841"/>
    <w:rsid w:val="00CD1BF1"/>
    <w:rsid w:val="00CD27CD"/>
    <w:rsid w:val="00CD34A5"/>
    <w:rsid w:val="00CD42CF"/>
    <w:rsid w:val="00CD4BF8"/>
    <w:rsid w:val="00CD52CD"/>
    <w:rsid w:val="00CD58F5"/>
    <w:rsid w:val="00CD644F"/>
    <w:rsid w:val="00CD6525"/>
    <w:rsid w:val="00CD652E"/>
    <w:rsid w:val="00CD68DD"/>
    <w:rsid w:val="00CD6A0A"/>
    <w:rsid w:val="00CD6EF2"/>
    <w:rsid w:val="00CD786B"/>
    <w:rsid w:val="00CD7B8B"/>
    <w:rsid w:val="00CE01F8"/>
    <w:rsid w:val="00CE08BB"/>
    <w:rsid w:val="00CE24B9"/>
    <w:rsid w:val="00CE2ADD"/>
    <w:rsid w:val="00CE2B04"/>
    <w:rsid w:val="00CE2C27"/>
    <w:rsid w:val="00CE3E8B"/>
    <w:rsid w:val="00CE47DC"/>
    <w:rsid w:val="00CE5298"/>
    <w:rsid w:val="00CE5322"/>
    <w:rsid w:val="00CE58EB"/>
    <w:rsid w:val="00CE69E4"/>
    <w:rsid w:val="00CF0041"/>
    <w:rsid w:val="00CF02F9"/>
    <w:rsid w:val="00CF0D4B"/>
    <w:rsid w:val="00CF2605"/>
    <w:rsid w:val="00CF2804"/>
    <w:rsid w:val="00CF35B2"/>
    <w:rsid w:val="00CF38D4"/>
    <w:rsid w:val="00CF3D4C"/>
    <w:rsid w:val="00CF5C07"/>
    <w:rsid w:val="00CF5CFC"/>
    <w:rsid w:val="00D00655"/>
    <w:rsid w:val="00D00AF5"/>
    <w:rsid w:val="00D00E75"/>
    <w:rsid w:val="00D01917"/>
    <w:rsid w:val="00D01EBC"/>
    <w:rsid w:val="00D03DE1"/>
    <w:rsid w:val="00D03EDD"/>
    <w:rsid w:val="00D03EEF"/>
    <w:rsid w:val="00D03F69"/>
    <w:rsid w:val="00D04F08"/>
    <w:rsid w:val="00D050BB"/>
    <w:rsid w:val="00D07087"/>
    <w:rsid w:val="00D07A1B"/>
    <w:rsid w:val="00D07ACD"/>
    <w:rsid w:val="00D07E2A"/>
    <w:rsid w:val="00D07EA6"/>
    <w:rsid w:val="00D11582"/>
    <w:rsid w:val="00D11666"/>
    <w:rsid w:val="00D11D07"/>
    <w:rsid w:val="00D124D3"/>
    <w:rsid w:val="00D138F2"/>
    <w:rsid w:val="00D1489F"/>
    <w:rsid w:val="00D1491B"/>
    <w:rsid w:val="00D159F8"/>
    <w:rsid w:val="00D15DD2"/>
    <w:rsid w:val="00D16E55"/>
    <w:rsid w:val="00D16ECF"/>
    <w:rsid w:val="00D17C04"/>
    <w:rsid w:val="00D17CFB"/>
    <w:rsid w:val="00D17E3E"/>
    <w:rsid w:val="00D2046D"/>
    <w:rsid w:val="00D21820"/>
    <w:rsid w:val="00D2255E"/>
    <w:rsid w:val="00D226B9"/>
    <w:rsid w:val="00D23437"/>
    <w:rsid w:val="00D2372E"/>
    <w:rsid w:val="00D2373E"/>
    <w:rsid w:val="00D239F4"/>
    <w:rsid w:val="00D2459A"/>
    <w:rsid w:val="00D248D9"/>
    <w:rsid w:val="00D24CD7"/>
    <w:rsid w:val="00D259E0"/>
    <w:rsid w:val="00D27131"/>
    <w:rsid w:val="00D31AD0"/>
    <w:rsid w:val="00D31B9E"/>
    <w:rsid w:val="00D31BBD"/>
    <w:rsid w:val="00D32658"/>
    <w:rsid w:val="00D34E83"/>
    <w:rsid w:val="00D35189"/>
    <w:rsid w:val="00D352D0"/>
    <w:rsid w:val="00D3701D"/>
    <w:rsid w:val="00D37354"/>
    <w:rsid w:val="00D404B1"/>
    <w:rsid w:val="00D40C33"/>
    <w:rsid w:val="00D4104F"/>
    <w:rsid w:val="00D4313E"/>
    <w:rsid w:val="00D43988"/>
    <w:rsid w:val="00D4707E"/>
    <w:rsid w:val="00D47238"/>
    <w:rsid w:val="00D4762C"/>
    <w:rsid w:val="00D47867"/>
    <w:rsid w:val="00D47EAF"/>
    <w:rsid w:val="00D50B2A"/>
    <w:rsid w:val="00D5132A"/>
    <w:rsid w:val="00D51517"/>
    <w:rsid w:val="00D52D7F"/>
    <w:rsid w:val="00D53034"/>
    <w:rsid w:val="00D53103"/>
    <w:rsid w:val="00D541A8"/>
    <w:rsid w:val="00D54E13"/>
    <w:rsid w:val="00D54F79"/>
    <w:rsid w:val="00D55A05"/>
    <w:rsid w:val="00D562A8"/>
    <w:rsid w:val="00D56D22"/>
    <w:rsid w:val="00D5724E"/>
    <w:rsid w:val="00D60210"/>
    <w:rsid w:val="00D61A9F"/>
    <w:rsid w:val="00D61EDD"/>
    <w:rsid w:val="00D628AF"/>
    <w:rsid w:val="00D6294B"/>
    <w:rsid w:val="00D62A4A"/>
    <w:rsid w:val="00D654F8"/>
    <w:rsid w:val="00D66697"/>
    <w:rsid w:val="00D676B3"/>
    <w:rsid w:val="00D6787A"/>
    <w:rsid w:val="00D67ACA"/>
    <w:rsid w:val="00D67F69"/>
    <w:rsid w:val="00D71103"/>
    <w:rsid w:val="00D71213"/>
    <w:rsid w:val="00D713E4"/>
    <w:rsid w:val="00D72FAD"/>
    <w:rsid w:val="00D7314F"/>
    <w:rsid w:val="00D73259"/>
    <w:rsid w:val="00D73AF1"/>
    <w:rsid w:val="00D73E64"/>
    <w:rsid w:val="00D74504"/>
    <w:rsid w:val="00D74639"/>
    <w:rsid w:val="00D74926"/>
    <w:rsid w:val="00D74E38"/>
    <w:rsid w:val="00D75449"/>
    <w:rsid w:val="00D770D5"/>
    <w:rsid w:val="00D809B7"/>
    <w:rsid w:val="00D812A9"/>
    <w:rsid w:val="00D813B0"/>
    <w:rsid w:val="00D8141C"/>
    <w:rsid w:val="00D81A57"/>
    <w:rsid w:val="00D82664"/>
    <w:rsid w:val="00D8269A"/>
    <w:rsid w:val="00D82962"/>
    <w:rsid w:val="00D82A4C"/>
    <w:rsid w:val="00D83A65"/>
    <w:rsid w:val="00D846CF"/>
    <w:rsid w:val="00D85683"/>
    <w:rsid w:val="00D86320"/>
    <w:rsid w:val="00D86D21"/>
    <w:rsid w:val="00D86D72"/>
    <w:rsid w:val="00D8772B"/>
    <w:rsid w:val="00D90114"/>
    <w:rsid w:val="00D90679"/>
    <w:rsid w:val="00D90F8A"/>
    <w:rsid w:val="00D91621"/>
    <w:rsid w:val="00D9180B"/>
    <w:rsid w:val="00D925BC"/>
    <w:rsid w:val="00D929B7"/>
    <w:rsid w:val="00D9330D"/>
    <w:rsid w:val="00D94EB6"/>
    <w:rsid w:val="00D95111"/>
    <w:rsid w:val="00D954B6"/>
    <w:rsid w:val="00D9553A"/>
    <w:rsid w:val="00D958D2"/>
    <w:rsid w:val="00D95A4C"/>
    <w:rsid w:val="00D95C5C"/>
    <w:rsid w:val="00D9623F"/>
    <w:rsid w:val="00D964B0"/>
    <w:rsid w:val="00D96B91"/>
    <w:rsid w:val="00D9740F"/>
    <w:rsid w:val="00D97545"/>
    <w:rsid w:val="00D9770C"/>
    <w:rsid w:val="00D9787B"/>
    <w:rsid w:val="00D97BA1"/>
    <w:rsid w:val="00D97F28"/>
    <w:rsid w:val="00DA09FC"/>
    <w:rsid w:val="00DA28A7"/>
    <w:rsid w:val="00DA2BB0"/>
    <w:rsid w:val="00DA2BCC"/>
    <w:rsid w:val="00DA2FCA"/>
    <w:rsid w:val="00DA348E"/>
    <w:rsid w:val="00DA373A"/>
    <w:rsid w:val="00DA5162"/>
    <w:rsid w:val="00DA59D2"/>
    <w:rsid w:val="00DA5A9C"/>
    <w:rsid w:val="00DA5F60"/>
    <w:rsid w:val="00DA6E9D"/>
    <w:rsid w:val="00DA6FF3"/>
    <w:rsid w:val="00DB1595"/>
    <w:rsid w:val="00DB297D"/>
    <w:rsid w:val="00DB2B7E"/>
    <w:rsid w:val="00DB2BA7"/>
    <w:rsid w:val="00DB2F6C"/>
    <w:rsid w:val="00DB345D"/>
    <w:rsid w:val="00DB53A2"/>
    <w:rsid w:val="00DB5719"/>
    <w:rsid w:val="00DB624E"/>
    <w:rsid w:val="00DB7C6B"/>
    <w:rsid w:val="00DC02EA"/>
    <w:rsid w:val="00DC0860"/>
    <w:rsid w:val="00DC1309"/>
    <w:rsid w:val="00DC16F9"/>
    <w:rsid w:val="00DC1CA6"/>
    <w:rsid w:val="00DC20CF"/>
    <w:rsid w:val="00DC27E3"/>
    <w:rsid w:val="00DC3472"/>
    <w:rsid w:val="00DC4B44"/>
    <w:rsid w:val="00DC5C38"/>
    <w:rsid w:val="00DC5C39"/>
    <w:rsid w:val="00DC61A3"/>
    <w:rsid w:val="00DC6EB6"/>
    <w:rsid w:val="00DC7E69"/>
    <w:rsid w:val="00DD0467"/>
    <w:rsid w:val="00DD15EF"/>
    <w:rsid w:val="00DD1738"/>
    <w:rsid w:val="00DD190E"/>
    <w:rsid w:val="00DD2547"/>
    <w:rsid w:val="00DD3316"/>
    <w:rsid w:val="00DD3E02"/>
    <w:rsid w:val="00DD5654"/>
    <w:rsid w:val="00DD594C"/>
    <w:rsid w:val="00DD5E57"/>
    <w:rsid w:val="00DD5F57"/>
    <w:rsid w:val="00DD60E3"/>
    <w:rsid w:val="00DD7F9B"/>
    <w:rsid w:val="00DE3385"/>
    <w:rsid w:val="00DE3503"/>
    <w:rsid w:val="00DE3CA1"/>
    <w:rsid w:val="00DE4007"/>
    <w:rsid w:val="00DE4638"/>
    <w:rsid w:val="00DE4651"/>
    <w:rsid w:val="00DE534A"/>
    <w:rsid w:val="00DE55FD"/>
    <w:rsid w:val="00DE7265"/>
    <w:rsid w:val="00DE7525"/>
    <w:rsid w:val="00DF2247"/>
    <w:rsid w:val="00DF2353"/>
    <w:rsid w:val="00DF3AB2"/>
    <w:rsid w:val="00DF5784"/>
    <w:rsid w:val="00DF58B8"/>
    <w:rsid w:val="00DF5FF8"/>
    <w:rsid w:val="00DF6EE5"/>
    <w:rsid w:val="00E0077B"/>
    <w:rsid w:val="00E00898"/>
    <w:rsid w:val="00E029E1"/>
    <w:rsid w:val="00E03634"/>
    <w:rsid w:val="00E050B6"/>
    <w:rsid w:val="00E0557E"/>
    <w:rsid w:val="00E05D14"/>
    <w:rsid w:val="00E0628E"/>
    <w:rsid w:val="00E06460"/>
    <w:rsid w:val="00E073CF"/>
    <w:rsid w:val="00E074A3"/>
    <w:rsid w:val="00E07997"/>
    <w:rsid w:val="00E07A6A"/>
    <w:rsid w:val="00E07EB8"/>
    <w:rsid w:val="00E10388"/>
    <w:rsid w:val="00E107B2"/>
    <w:rsid w:val="00E10EB1"/>
    <w:rsid w:val="00E114CF"/>
    <w:rsid w:val="00E115E0"/>
    <w:rsid w:val="00E1200C"/>
    <w:rsid w:val="00E120E4"/>
    <w:rsid w:val="00E12928"/>
    <w:rsid w:val="00E13636"/>
    <w:rsid w:val="00E13D02"/>
    <w:rsid w:val="00E149F4"/>
    <w:rsid w:val="00E17ECD"/>
    <w:rsid w:val="00E17F53"/>
    <w:rsid w:val="00E20354"/>
    <w:rsid w:val="00E207DB"/>
    <w:rsid w:val="00E21F5A"/>
    <w:rsid w:val="00E234C7"/>
    <w:rsid w:val="00E24EC1"/>
    <w:rsid w:val="00E25124"/>
    <w:rsid w:val="00E25A4F"/>
    <w:rsid w:val="00E261F8"/>
    <w:rsid w:val="00E26B25"/>
    <w:rsid w:val="00E26BD5"/>
    <w:rsid w:val="00E26E25"/>
    <w:rsid w:val="00E27DF3"/>
    <w:rsid w:val="00E3110A"/>
    <w:rsid w:val="00E319CB"/>
    <w:rsid w:val="00E319DC"/>
    <w:rsid w:val="00E324AD"/>
    <w:rsid w:val="00E3342D"/>
    <w:rsid w:val="00E33683"/>
    <w:rsid w:val="00E33734"/>
    <w:rsid w:val="00E34AA9"/>
    <w:rsid w:val="00E368F3"/>
    <w:rsid w:val="00E36A4F"/>
    <w:rsid w:val="00E37D5F"/>
    <w:rsid w:val="00E40942"/>
    <w:rsid w:val="00E4125E"/>
    <w:rsid w:val="00E41E22"/>
    <w:rsid w:val="00E4239D"/>
    <w:rsid w:val="00E429A0"/>
    <w:rsid w:val="00E42D39"/>
    <w:rsid w:val="00E4337B"/>
    <w:rsid w:val="00E44CD4"/>
    <w:rsid w:val="00E45B91"/>
    <w:rsid w:val="00E46804"/>
    <w:rsid w:val="00E46C57"/>
    <w:rsid w:val="00E470BF"/>
    <w:rsid w:val="00E47A7B"/>
    <w:rsid w:val="00E513EE"/>
    <w:rsid w:val="00E5176B"/>
    <w:rsid w:val="00E51813"/>
    <w:rsid w:val="00E527C9"/>
    <w:rsid w:val="00E528BA"/>
    <w:rsid w:val="00E53497"/>
    <w:rsid w:val="00E534DF"/>
    <w:rsid w:val="00E537A9"/>
    <w:rsid w:val="00E55A50"/>
    <w:rsid w:val="00E565C2"/>
    <w:rsid w:val="00E56D70"/>
    <w:rsid w:val="00E56E1E"/>
    <w:rsid w:val="00E60269"/>
    <w:rsid w:val="00E60887"/>
    <w:rsid w:val="00E60C32"/>
    <w:rsid w:val="00E61582"/>
    <w:rsid w:val="00E61619"/>
    <w:rsid w:val="00E61E25"/>
    <w:rsid w:val="00E6272B"/>
    <w:rsid w:val="00E627F6"/>
    <w:rsid w:val="00E62CF0"/>
    <w:rsid w:val="00E62F1A"/>
    <w:rsid w:val="00E63F1D"/>
    <w:rsid w:val="00E63FA5"/>
    <w:rsid w:val="00E646D5"/>
    <w:rsid w:val="00E64964"/>
    <w:rsid w:val="00E64EEE"/>
    <w:rsid w:val="00E66F49"/>
    <w:rsid w:val="00E67F4F"/>
    <w:rsid w:val="00E721A9"/>
    <w:rsid w:val="00E72ABF"/>
    <w:rsid w:val="00E73549"/>
    <w:rsid w:val="00E74861"/>
    <w:rsid w:val="00E748DD"/>
    <w:rsid w:val="00E74EC9"/>
    <w:rsid w:val="00E750A5"/>
    <w:rsid w:val="00E75733"/>
    <w:rsid w:val="00E75A9D"/>
    <w:rsid w:val="00E76B19"/>
    <w:rsid w:val="00E80CF7"/>
    <w:rsid w:val="00E81B8E"/>
    <w:rsid w:val="00E81ED7"/>
    <w:rsid w:val="00E82FC0"/>
    <w:rsid w:val="00E8369B"/>
    <w:rsid w:val="00E8377F"/>
    <w:rsid w:val="00E83850"/>
    <w:rsid w:val="00E85244"/>
    <w:rsid w:val="00E86159"/>
    <w:rsid w:val="00E86741"/>
    <w:rsid w:val="00E87AE4"/>
    <w:rsid w:val="00E90C1F"/>
    <w:rsid w:val="00E9124A"/>
    <w:rsid w:val="00E91A8F"/>
    <w:rsid w:val="00E9222C"/>
    <w:rsid w:val="00E92AA5"/>
    <w:rsid w:val="00E9314A"/>
    <w:rsid w:val="00E9558B"/>
    <w:rsid w:val="00E95D1B"/>
    <w:rsid w:val="00E9735C"/>
    <w:rsid w:val="00EA234B"/>
    <w:rsid w:val="00EA274B"/>
    <w:rsid w:val="00EA2EFA"/>
    <w:rsid w:val="00EA3184"/>
    <w:rsid w:val="00EA3732"/>
    <w:rsid w:val="00EA3CDD"/>
    <w:rsid w:val="00EA415C"/>
    <w:rsid w:val="00EA5028"/>
    <w:rsid w:val="00EA50D6"/>
    <w:rsid w:val="00EA5714"/>
    <w:rsid w:val="00EA60EF"/>
    <w:rsid w:val="00EA6A30"/>
    <w:rsid w:val="00EA6A41"/>
    <w:rsid w:val="00EA7662"/>
    <w:rsid w:val="00EA7CC3"/>
    <w:rsid w:val="00EB016F"/>
    <w:rsid w:val="00EB04F4"/>
    <w:rsid w:val="00EB1EAC"/>
    <w:rsid w:val="00EB2216"/>
    <w:rsid w:val="00EB27D1"/>
    <w:rsid w:val="00EB33F4"/>
    <w:rsid w:val="00EB3B9C"/>
    <w:rsid w:val="00EB3CFC"/>
    <w:rsid w:val="00EB4C04"/>
    <w:rsid w:val="00EB55AF"/>
    <w:rsid w:val="00EB57BD"/>
    <w:rsid w:val="00EB623E"/>
    <w:rsid w:val="00EB6502"/>
    <w:rsid w:val="00EB7D9C"/>
    <w:rsid w:val="00EC1076"/>
    <w:rsid w:val="00EC1406"/>
    <w:rsid w:val="00EC1526"/>
    <w:rsid w:val="00EC16C0"/>
    <w:rsid w:val="00EC23F3"/>
    <w:rsid w:val="00EC2677"/>
    <w:rsid w:val="00EC2AB5"/>
    <w:rsid w:val="00EC36F2"/>
    <w:rsid w:val="00EC46CC"/>
    <w:rsid w:val="00EC4856"/>
    <w:rsid w:val="00EC4B79"/>
    <w:rsid w:val="00EC4F33"/>
    <w:rsid w:val="00EC5115"/>
    <w:rsid w:val="00EC7E82"/>
    <w:rsid w:val="00EC7E91"/>
    <w:rsid w:val="00ED0B81"/>
    <w:rsid w:val="00ED166B"/>
    <w:rsid w:val="00ED1A64"/>
    <w:rsid w:val="00ED28DD"/>
    <w:rsid w:val="00ED2E31"/>
    <w:rsid w:val="00ED3133"/>
    <w:rsid w:val="00ED35A0"/>
    <w:rsid w:val="00ED43A6"/>
    <w:rsid w:val="00ED69B3"/>
    <w:rsid w:val="00ED6FB9"/>
    <w:rsid w:val="00ED7371"/>
    <w:rsid w:val="00ED7E2F"/>
    <w:rsid w:val="00ED7EA8"/>
    <w:rsid w:val="00EE02A3"/>
    <w:rsid w:val="00EE0650"/>
    <w:rsid w:val="00EE1313"/>
    <w:rsid w:val="00EE1F82"/>
    <w:rsid w:val="00EE2126"/>
    <w:rsid w:val="00EE3363"/>
    <w:rsid w:val="00EE4C7E"/>
    <w:rsid w:val="00EE556D"/>
    <w:rsid w:val="00EE6184"/>
    <w:rsid w:val="00EE641E"/>
    <w:rsid w:val="00EE7A2C"/>
    <w:rsid w:val="00EF09D3"/>
    <w:rsid w:val="00EF108A"/>
    <w:rsid w:val="00EF1240"/>
    <w:rsid w:val="00EF1F75"/>
    <w:rsid w:val="00EF2240"/>
    <w:rsid w:val="00EF3069"/>
    <w:rsid w:val="00EF31A5"/>
    <w:rsid w:val="00EF3700"/>
    <w:rsid w:val="00EF3EB5"/>
    <w:rsid w:val="00EF4939"/>
    <w:rsid w:val="00EF57B9"/>
    <w:rsid w:val="00EF57DF"/>
    <w:rsid w:val="00EF6556"/>
    <w:rsid w:val="00EF71DF"/>
    <w:rsid w:val="00F0252E"/>
    <w:rsid w:val="00F02BAD"/>
    <w:rsid w:val="00F0319D"/>
    <w:rsid w:val="00F07063"/>
    <w:rsid w:val="00F11635"/>
    <w:rsid w:val="00F12D86"/>
    <w:rsid w:val="00F131AA"/>
    <w:rsid w:val="00F131FD"/>
    <w:rsid w:val="00F1350B"/>
    <w:rsid w:val="00F13B05"/>
    <w:rsid w:val="00F13B5A"/>
    <w:rsid w:val="00F13EA5"/>
    <w:rsid w:val="00F13EED"/>
    <w:rsid w:val="00F14263"/>
    <w:rsid w:val="00F15AF2"/>
    <w:rsid w:val="00F1673D"/>
    <w:rsid w:val="00F21290"/>
    <w:rsid w:val="00F220D3"/>
    <w:rsid w:val="00F2299F"/>
    <w:rsid w:val="00F231F0"/>
    <w:rsid w:val="00F24787"/>
    <w:rsid w:val="00F24D39"/>
    <w:rsid w:val="00F251E2"/>
    <w:rsid w:val="00F2586D"/>
    <w:rsid w:val="00F259A5"/>
    <w:rsid w:val="00F25EF1"/>
    <w:rsid w:val="00F263E5"/>
    <w:rsid w:val="00F301E0"/>
    <w:rsid w:val="00F307CC"/>
    <w:rsid w:val="00F30BBA"/>
    <w:rsid w:val="00F31630"/>
    <w:rsid w:val="00F31A8F"/>
    <w:rsid w:val="00F320C0"/>
    <w:rsid w:val="00F32D63"/>
    <w:rsid w:val="00F34012"/>
    <w:rsid w:val="00F343A3"/>
    <w:rsid w:val="00F34C99"/>
    <w:rsid w:val="00F3531A"/>
    <w:rsid w:val="00F36350"/>
    <w:rsid w:val="00F36E97"/>
    <w:rsid w:val="00F4173F"/>
    <w:rsid w:val="00F41DB0"/>
    <w:rsid w:val="00F42D15"/>
    <w:rsid w:val="00F439BB"/>
    <w:rsid w:val="00F43CEB"/>
    <w:rsid w:val="00F449D7"/>
    <w:rsid w:val="00F461AE"/>
    <w:rsid w:val="00F467F9"/>
    <w:rsid w:val="00F4703C"/>
    <w:rsid w:val="00F50A96"/>
    <w:rsid w:val="00F5184D"/>
    <w:rsid w:val="00F51B88"/>
    <w:rsid w:val="00F51CB2"/>
    <w:rsid w:val="00F526F5"/>
    <w:rsid w:val="00F534D3"/>
    <w:rsid w:val="00F5421D"/>
    <w:rsid w:val="00F55022"/>
    <w:rsid w:val="00F55184"/>
    <w:rsid w:val="00F560C9"/>
    <w:rsid w:val="00F56A91"/>
    <w:rsid w:val="00F5704A"/>
    <w:rsid w:val="00F57FA7"/>
    <w:rsid w:val="00F60DF3"/>
    <w:rsid w:val="00F62057"/>
    <w:rsid w:val="00F6264B"/>
    <w:rsid w:val="00F62837"/>
    <w:rsid w:val="00F6290C"/>
    <w:rsid w:val="00F64433"/>
    <w:rsid w:val="00F646C8"/>
    <w:rsid w:val="00F66721"/>
    <w:rsid w:val="00F6773C"/>
    <w:rsid w:val="00F67988"/>
    <w:rsid w:val="00F67C01"/>
    <w:rsid w:val="00F70909"/>
    <w:rsid w:val="00F70D66"/>
    <w:rsid w:val="00F7114B"/>
    <w:rsid w:val="00F714BE"/>
    <w:rsid w:val="00F721EF"/>
    <w:rsid w:val="00F72AAF"/>
    <w:rsid w:val="00F72AC2"/>
    <w:rsid w:val="00F72F17"/>
    <w:rsid w:val="00F73923"/>
    <w:rsid w:val="00F73D91"/>
    <w:rsid w:val="00F74168"/>
    <w:rsid w:val="00F742F1"/>
    <w:rsid w:val="00F7470C"/>
    <w:rsid w:val="00F74942"/>
    <w:rsid w:val="00F76037"/>
    <w:rsid w:val="00F76171"/>
    <w:rsid w:val="00F761E0"/>
    <w:rsid w:val="00F76832"/>
    <w:rsid w:val="00F76B53"/>
    <w:rsid w:val="00F7761D"/>
    <w:rsid w:val="00F77724"/>
    <w:rsid w:val="00F77839"/>
    <w:rsid w:val="00F77AF3"/>
    <w:rsid w:val="00F77CE6"/>
    <w:rsid w:val="00F77DD1"/>
    <w:rsid w:val="00F77E8E"/>
    <w:rsid w:val="00F8023F"/>
    <w:rsid w:val="00F82021"/>
    <w:rsid w:val="00F82080"/>
    <w:rsid w:val="00F82566"/>
    <w:rsid w:val="00F82A7B"/>
    <w:rsid w:val="00F8476C"/>
    <w:rsid w:val="00F850A1"/>
    <w:rsid w:val="00F855B8"/>
    <w:rsid w:val="00F85CBD"/>
    <w:rsid w:val="00F86B84"/>
    <w:rsid w:val="00F905B8"/>
    <w:rsid w:val="00F91164"/>
    <w:rsid w:val="00F91D47"/>
    <w:rsid w:val="00F92B0F"/>
    <w:rsid w:val="00F9354E"/>
    <w:rsid w:val="00F941FC"/>
    <w:rsid w:val="00F96D24"/>
    <w:rsid w:val="00F97093"/>
    <w:rsid w:val="00F97FF3"/>
    <w:rsid w:val="00FA0091"/>
    <w:rsid w:val="00FA0426"/>
    <w:rsid w:val="00FA1AA9"/>
    <w:rsid w:val="00FA2C8B"/>
    <w:rsid w:val="00FA2CE3"/>
    <w:rsid w:val="00FA3E0C"/>
    <w:rsid w:val="00FA4F9B"/>
    <w:rsid w:val="00FA4FBA"/>
    <w:rsid w:val="00FA5580"/>
    <w:rsid w:val="00FA655A"/>
    <w:rsid w:val="00FA69C3"/>
    <w:rsid w:val="00FA6AAC"/>
    <w:rsid w:val="00FA6CBC"/>
    <w:rsid w:val="00FA6D48"/>
    <w:rsid w:val="00FA7027"/>
    <w:rsid w:val="00FA7206"/>
    <w:rsid w:val="00FA7EC0"/>
    <w:rsid w:val="00FB1729"/>
    <w:rsid w:val="00FB2DB8"/>
    <w:rsid w:val="00FB30A2"/>
    <w:rsid w:val="00FB429B"/>
    <w:rsid w:val="00FB6970"/>
    <w:rsid w:val="00FC072E"/>
    <w:rsid w:val="00FC3497"/>
    <w:rsid w:val="00FC4323"/>
    <w:rsid w:val="00FC51AE"/>
    <w:rsid w:val="00FC550A"/>
    <w:rsid w:val="00FC551E"/>
    <w:rsid w:val="00FC5790"/>
    <w:rsid w:val="00FC6275"/>
    <w:rsid w:val="00FD039F"/>
    <w:rsid w:val="00FD053B"/>
    <w:rsid w:val="00FD0AF0"/>
    <w:rsid w:val="00FD1234"/>
    <w:rsid w:val="00FD18F3"/>
    <w:rsid w:val="00FD194F"/>
    <w:rsid w:val="00FD1995"/>
    <w:rsid w:val="00FD2333"/>
    <w:rsid w:val="00FD25E1"/>
    <w:rsid w:val="00FD31B5"/>
    <w:rsid w:val="00FD5688"/>
    <w:rsid w:val="00FD5725"/>
    <w:rsid w:val="00FD5E1C"/>
    <w:rsid w:val="00FD5F36"/>
    <w:rsid w:val="00FD7F6B"/>
    <w:rsid w:val="00FE0948"/>
    <w:rsid w:val="00FE0E33"/>
    <w:rsid w:val="00FE1880"/>
    <w:rsid w:val="00FE2B7B"/>
    <w:rsid w:val="00FE3256"/>
    <w:rsid w:val="00FE3B9B"/>
    <w:rsid w:val="00FE3F8E"/>
    <w:rsid w:val="00FE47ED"/>
    <w:rsid w:val="00FE5101"/>
    <w:rsid w:val="00FE61DC"/>
    <w:rsid w:val="00FE67D0"/>
    <w:rsid w:val="00FE689B"/>
    <w:rsid w:val="00FE79CE"/>
    <w:rsid w:val="00FF02D0"/>
    <w:rsid w:val="00FF081E"/>
    <w:rsid w:val="00FF1406"/>
    <w:rsid w:val="00FF145C"/>
    <w:rsid w:val="00FF26EE"/>
    <w:rsid w:val="00FF28EC"/>
    <w:rsid w:val="00FF47A3"/>
    <w:rsid w:val="00FF4B3F"/>
    <w:rsid w:val="00FF4B43"/>
    <w:rsid w:val="00FF574F"/>
    <w:rsid w:val="00FF6146"/>
    <w:rsid w:val="00FF7956"/>
    <w:rsid w:val="01501C5B"/>
    <w:rsid w:val="018F4DD0"/>
    <w:rsid w:val="01952310"/>
    <w:rsid w:val="02034A18"/>
    <w:rsid w:val="03613039"/>
    <w:rsid w:val="036202D4"/>
    <w:rsid w:val="03D07714"/>
    <w:rsid w:val="044A30F0"/>
    <w:rsid w:val="04AC7907"/>
    <w:rsid w:val="04B94B88"/>
    <w:rsid w:val="05262D76"/>
    <w:rsid w:val="054538C8"/>
    <w:rsid w:val="056F462F"/>
    <w:rsid w:val="06027DE8"/>
    <w:rsid w:val="06270849"/>
    <w:rsid w:val="06552DE0"/>
    <w:rsid w:val="067D4F9E"/>
    <w:rsid w:val="06D71535"/>
    <w:rsid w:val="06E15F8D"/>
    <w:rsid w:val="06E61A4D"/>
    <w:rsid w:val="06F061D0"/>
    <w:rsid w:val="07477F33"/>
    <w:rsid w:val="07515FD1"/>
    <w:rsid w:val="07991A83"/>
    <w:rsid w:val="07D05070"/>
    <w:rsid w:val="089B1385"/>
    <w:rsid w:val="08CA370B"/>
    <w:rsid w:val="08DD444E"/>
    <w:rsid w:val="09446CC3"/>
    <w:rsid w:val="09F07824"/>
    <w:rsid w:val="0A0932C7"/>
    <w:rsid w:val="0A506477"/>
    <w:rsid w:val="0A8A4C86"/>
    <w:rsid w:val="0A987280"/>
    <w:rsid w:val="0AC2492E"/>
    <w:rsid w:val="0AD13A5D"/>
    <w:rsid w:val="0AF12857"/>
    <w:rsid w:val="0B754EF6"/>
    <w:rsid w:val="0C4D7C21"/>
    <w:rsid w:val="0C8D726E"/>
    <w:rsid w:val="0CE05750"/>
    <w:rsid w:val="0D1077DD"/>
    <w:rsid w:val="0DB22498"/>
    <w:rsid w:val="0DE46363"/>
    <w:rsid w:val="0DEE0F90"/>
    <w:rsid w:val="0E0662D9"/>
    <w:rsid w:val="0E835B06"/>
    <w:rsid w:val="0EA162F1"/>
    <w:rsid w:val="0F4F55B5"/>
    <w:rsid w:val="0F523385"/>
    <w:rsid w:val="0FB33E62"/>
    <w:rsid w:val="0FD85A54"/>
    <w:rsid w:val="104D4694"/>
    <w:rsid w:val="10907D14"/>
    <w:rsid w:val="10EF07A7"/>
    <w:rsid w:val="110658A6"/>
    <w:rsid w:val="11360C84"/>
    <w:rsid w:val="114A387E"/>
    <w:rsid w:val="11A5684D"/>
    <w:rsid w:val="120E7E09"/>
    <w:rsid w:val="123D4E07"/>
    <w:rsid w:val="12562AA0"/>
    <w:rsid w:val="13A12B06"/>
    <w:rsid w:val="13A66595"/>
    <w:rsid w:val="13EB3FA7"/>
    <w:rsid w:val="14D0319D"/>
    <w:rsid w:val="14D54011"/>
    <w:rsid w:val="156B7273"/>
    <w:rsid w:val="159B504D"/>
    <w:rsid w:val="15F66C34"/>
    <w:rsid w:val="167F40D4"/>
    <w:rsid w:val="169B65A7"/>
    <w:rsid w:val="16CB4F50"/>
    <w:rsid w:val="17853B61"/>
    <w:rsid w:val="17CB121D"/>
    <w:rsid w:val="17D64F6F"/>
    <w:rsid w:val="183A1C0C"/>
    <w:rsid w:val="18D84347"/>
    <w:rsid w:val="19301E8F"/>
    <w:rsid w:val="199E5A21"/>
    <w:rsid w:val="19CF5704"/>
    <w:rsid w:val="1A0A53A3"/>
    <w:rsid w:val="1A7F5B09"/>
    <w:rsid w:val="1AF50249"/>
    <w:rsid w:val="1B2B737F"/>
    <w:rsid w:val="1B942A09"/>
    <w:rsid w:val="1BB61013"/>
    <w:rsid w:val="1BCE272A"/>
    <w:rsid w:val="1BD1484F"/>
    <w:rsid w:val="1BDF7E16"/>
    <w:rsid w:val="1BFED106"/>
    <w:rsid w:val="1C243C3B"/>
    <w:rsid w:val="1C4C11C0"/>
    <w:rsid w:val="1C8B27CB"/>
    <w:rsid w:val="1CA90EA4"/>
    <w:rsid w:val="1D035455"/>
    <w:rsid w:val="1D2B1804"/>
    <w:rsid w:val="1D2D465B"/>
    <w:rsid w:val="1D7F015C"/>
    <w:rsid w:val="1DB6649A"/>
    <w:rsid w:val="1DBDFD64"/>
    <w:rsid w:val="1DD63414"/>
    <w:rsid w:val="1DEC1BCF"/>
    <w:rsid w:val="1DFBEB65"/>
    <w:rsid w:val="1E3950C5"/>
    <w:rsid w:val="1E4808ED"/>
    <w:rsid w:val="1E5353D8"/>
    <w:rsid w:val="1E903EA3"/>
    <w:rsid w:val="1EFB0B17"/>
    <w:rsid w:val="1FAEA145"/>
    <w:rsid w:val="1FD96F9C"/>
    <w:rsid w:val="20913CBA"/>
    <w:rsid w:val="20971013"/>
    <w:rsid w:val="20DB5404"/>
    <w:rsid w:val="210118AD"/>
    <w:rsid w:val="21EB17C9"/>
    <w:rsid w:val="227C6712"/>
    <w:rsid w:val="22DE6C23"/>
    <w:rsid w:val="231132FF"/>
    <w:rsid w:val="239857CE"/>
    <w:rsid w:val="23F35EB1"/>
    <w:rsid w:val="23FA48D6"/>
    <w:rsid w:val="250A6A7C"/>
    <w:rsid w:val="25336597"/>
    <w:rsid w:val="25AB19FF"/>
    <w:rsid w:val="25B12A01"/>
    <w:rsid w:val="260B672B"/>
    <w:rsid w:val="267FDB60"/>
    <w:rsid w:val="26BA71D8"/>
    <w:rsid w:val="27034AD1"/>
    <w:rsid w:val="27800A53"/>
    <w:rsid w:val="27FD86FD"/>
    <w:rsid w:val="280C250B"/>
    <w:rsid w:val="28610884"/>
    <w:rsid w:val="28CF69C0"/>
    <w:rsid w:val="28DD6E23"/>
    <w:rsid w:val="295201CD"/>
    <w:rsid w:val="29763EBB"/>
    <w:rsid w:val="2A4F0167"/>
    <w:rsid w:val="2A9072A5"/>
    <w:rsid w:val="2ADE7026"/>
    <w:rsid w:val="2B1F61D5"/>
    <w:rsid w:val="2B373B1E"/>
    <w:rsid w:val="2BF66FEB"/>
    <w:rsid w:val="2BFB2590"/>
    <w:rsid w:val="2C0F6147"/>
    <w:rsid w:val="2C7F49FF"/>
    <w:rsid w:val="2CD72B23"/>
    <w:rsid w:val="2CDD21EA"/>
    <w:rsid w:val="2D8206C8"/>
    <w:rsid w:val="2D856DC3"/>
    <w:rsid w:val="2DA3629D"/>
    <w:rsid w:val="2E393636"/>
    <w:rsid w:val="2EEC40A0"/>
    <w:rsid w:val="2EF732F9"/>
    <w:rsid w:val="2F2936DE"/>
    <w:rsid w:val="2F6F2311"/>
    <w:rsid w:val="2FD74BE1"/>
    <w:rsid w:val="2FDC57EE"/>
    <w:rsid w:val="2FFFA222"/>
    <w:rsid w:val="300B2F21"/>
    <w:rsid w:val="305B1B49"/>
    <w:rsid w:val="307410C2"/>
    <w:rsid w:val="308D0856"/>
    <w:rsid w:val="31121EF5"/>
    <w:rsid w:val="31EF7704"/>
    <w:rsid w:val="321150C9"/>
    <w:rsid w:val="32FB0C79"/>
    <w:rsid w:val="33305B83"/>
    <w:rsid w:val="33358A3D"/>
    <w:rsid w:val="338B6C3E"/>
    <w:rsid w:val="33A35962"/>
    <w:rsid w:val="33C71E7E"/>
    <w:rsid w:val="33D77C4D"/>
    <w:rsid w:val="33FADF32"/>
    <w:rsid w:val="342310E4"/>
    <w:rsid w:val="342A7389"/>
    <w:rsid w:val="35014AE2"/>
    <w:rsid w:val="35AF558A"/>
    <w:rsid w:val="35B00755"/>
    <w:rsid w:val="35C403C8"/>
    <w:rsid w:val="361F0B44"/>
    <w:rsid w:val="36916E73"/>
    <w:rsid w:val="37BA9BF1"/>
    <w:rsid w:val="37F30AB8"/>
    <w:rsid w:val="38E01BC7"/>
    <w:rsid w:val="397F6DBC"/>
    <w:rsid w:val="39BA18E6"/>
    <w:rsid w:val="39E14173"/>
    <w:rsid w:val="3A575643"/>
    <w:rsid w:val="3A660185"/>
    <w:rsid w:val="3ADB9AA4"/>
    <w:rsid w:val="3BCF9FF7"/>
    <w:rsid w:val="3BDD4E74"/>
    <w:rsid w:val="3BDF8A09"/>
    <w:rsid w:val="3C56451A"/>
    <w:rsid w:val="3C7E4EDD"/>
    <w:rsid w:val="3CC94A4B"/>
    <w:rsid w:val="3CFC8339"/>
    <w:rsid w:val="3DBB72F1"/>
    <w:rsid w:val="3E3A5BE6"/>
    <w:rsid w:val="3E824310"/>
    <w:rsid w:val="3EB53DB8"/>
    <w:rsid w:val="3EDC080D"/>
    <w:rsid w:val="3EE37DED"/>
    <w:rsid w:val="3EFBC741"/>
    <w:rsid w:val="3F2415CF"/>
    <w:rsid w:val="3F2D59B0"/>
    <w:rsid w:val="3F6525B0"/>
    <w:rsid w:val="3F7F799C"/>
    <w:rsid w:val="3F7FD4F4"/>
    <w:rsid w:val="3FDEB10F"/>
    <w:rsid w:val="40426239"/>
    <w:rsid w:val="405C2C22"/>
    <w:rsid w:val="40B97C69"/>
    <w:rsid w:val="41103AB3"/>
    <w:rsid w:val="411A2A57"/>
    <w:rsid w:val="41230975"/>
    <w:rsid w:val="4185067D"/>
    <w:rsid w:val="419378A9"/>
    <w:rsid w:val="41A2641C"/>
    <w:rsid w:val="42415A41"/>
    <w:rsid w:val="426828AB"/>
    <w:rsid w:val="4283791D"/>
    <w:rsid w:val="42A11473"/>
    <w:rsid w:val="42D24149"/>
    <w:rsid w:val="42E51F94"/>
    <w:rsid w:val="43BC64B3"/>
    <w:rsid w:val="43D8313F"/>
    <w:rsid w:val="444C01E3"/>
    <w:rsid w:val="44502E5B"/>
    <w:rsid w:val="44C558EE"/>
    <w:rsid w:val="44FC9B39"/>
    <w:rsid w:val="45042991"/>
    <w:rsid w:val="45140D01"/>
    <w:rsid w:val="45883D2E"/>
    <w:rsid w:val="45E17242"/>
    <w:rsid w:val="467B9654"/>
    <w:rsid w:val="46CF4FC2"/>
    <w:rsid w:val="46EC288D"/>
    <w:rsid w:val="46FD7735"/>
    <w:rsid w:val="47635A50"/>
    <w:rsid w:val="47B6656B"/>
    <w:rsid w:val="48C170B3"/>
    <w:rsid w:val="48EE3617"/>
    <w:rsid w:val="49026076"/>
    <w:rsid w:val="49311755"/>
    <w:rsid w:val="49574862"/>
    <w:rsid w:val="4A5406A2"/>
    <w:rsid w:val="4A9F72BE"/>
    <w:rsid w:val="4AC519F6"/>
    <w:rsid w:val="4AF94C30"/>
    <w:rsid w:val="4B110B90"/>
    <w:rsid w:val="4BBF3209"/>
    <w:rsid w:val="4C6D0CF6"/>
    <w:rsid w:val="4CA47D70"/>
    <w:rsid w:val="4D4B1098"/>
    <w:rsid w:val="4D624570"/>
    <w:rsid w:val="4E444B87"/>
    <w:rsid w:val="4E7D6EC4"/>
    <w:rsid w:val="4ECE1A58"/>
    <w:rsid w:val="4FB83208"/>
    <w:rsid w:val="4FEED71F"/>
    <w:rsid w:val="4FEF918E"/>
    <w:rsid w:val="4FFF020E"/>
    <w:rsid w:val="5080549C"/>
    <w:rsid w:val="50FD07E1"/>
    <w:rsid w:val="517D2A77"/>
    <w:rsid w:val="51A8455D"/>
    <w:rsid w:val="521850C1"/>
    <w:rsid w:val="526D4228"/>
    <w:rsid w:val="53083749"/>
    <w:rsid w:val="5355411C"/>
    <w:rsid w:val="53590226"/>
    <w:rsid w:val="54803EF9"/>
    <w:rsid w:val="55004DFD"/>
    <w:rsid w:val="55BB1922"/>
    <w:rsid w:val="55EE29FC"/>
    <w:rsid w:val="55FD133D"/>
    <w:rsid w:val="561244DD"/>
    <w:rsid w:val="562B3B54"/>
    <w:rsid w:val="563A27AE"/>
    <w:rsid w:val="56A78FEB"/>
    <w:rsid w:val="56F15429"/>
    <w:rsid w:val="56FFF7E2"/>
    <w:rsid w:val="573F362D"/>
    <w:rsid w:val="577E200A"/>
    <w:rsid w:val="57EFED15"/>
    <w:rsid w:val="58705DF6"/>
    <w:rsid w:val="58B205DA"/>
    <w:rsid w:val="58ED4B25"/>
    <w:rsid w:val="594A5D4D"/>
    <w:rsid w:val="59562254"/>
    <w:rsid w:val="59705493"/>
    <w:rsid w:val="5AB92201"/>
    <w:rsid w:val="5AC54FD9"/>
    <w:rsid w:val="5B386973"/>
    <w:rsid w:val="5B4BD856"/>
    <w:rsid w:val="5B847B74"/>
    <w:rsid w:val="5BF40AEC"/>
    <w:rsid w:val="5C2677D4"/>
    <w:rsid w:val="5CC79C6D"/>
    <w:rsid w:val="5CED3FF9"/>
    <w:rsid w:val="5D2F1D8F"/>
    <w:rsid w:val="5D4476FB"/>
    <w:rsid w:val="5D4930BA"/>
    <w:rsid w:val="5D746389"/>
    <w:rsid w:val="5D7F26DA"/>
    <w:rsid w:val="5D884924"/>
    <w:rsid w:val="5DDD67BC"/>
    <w:rsid w:val="5DF3F032"/>
    <w:rsid w:val="5DF7D207"/>
    <w:rsid w:val="5E8B3C4B"/>
    <w:rsid w:val="5ED8763C"/>
    <w:rsid w:val="5F206BE1"/>
    <w:rsid w:val="5F2DE342"/>
    <w:rsid w:val="5F6CF4AE"/>
    <w:rsid w:val="5FA655B7"/>
    <w:rsid w:val="5FC96642"/>
    <w:rsid w:val="5FED2422"/>
    <w:rsid w:val="5FED4636"/>
    <w:rsid w:val="5FEF0906"/>
    <w:rsid w:val="5FFF6A4E"/>
    <w:rsid w:val="5FFF70B6"/>
    <w:rsid w:val="60032513"/>
    <w:rsid w:val="601574AE"/>
    <w:rsid w:val="60257F58"/>
    <w:rsid w:val="609C6787"/>
    <w:rsid w:val="60B82A30"/>
    <w:rsid w:val="61072D49"/>
    <w:rsid w:val="61250170"/>
    <w:rsid w:val="614B2DC9"/>
    <w:rsid w:val="61882A97"/>
    <w:rsid w:val="62111B39"/>
    <w:rsid w:val="62FCA80C"/>
    <w:rsid w:val="63043D0B"/>
    <w:rsid w:val="63087C07"/>
    <w:rsid w:val="632F7707"/>
    <w:rsid w:val="633F1920"/>
    <w:rsid w:val="634925E3"/>
    <w:rsid w:val="63554596"/>
    <w:rsid w:val="63FD5C43"/>
    <w:rsid w:val="640B2E77"/>
    <w:rsid w:val="650F4BE9"/>
    <w:rsid w:val="654114CF"/>
    <w:rsid w:val="65735661"/>
    <w:rsid w:val="665E5750"/>
    <w:rsid w:val="66B76B45"/>
    <w:rsid w:val="66F52B2E"/>
    <w:rsid w:val="67133F4A"/>
    <w:rsid w:val="673D26A9"/>
    <w:rsid w:val="678877B3"/>
    <w:rsid w:val="67AE4F80"/>
    <w:rsid w:val="67E1648C"/>
    <w:rsid w:val="684352D5"/>
    <w:rsid w:val="68460921"/>
    <w:rsid w:val="688E3CF0"/>
    <w:rsid w:val="68B66FE5"/>
    <w:rsid w:val="68C6019C"/>
    <w:rsid w:val="68DA5D31"/>
    <w:rsid w:val="68E17E52"/>
    <w:rsid w:val="69085BD7"/>
    <w:rsid w:val="690B56C7"/>
    <w:rsid w:val="690C3919"/>
    <w:rsid w:val="69387EF0"/>
    <w:rsid w:val="69A9410F"/>
    <w:rsid w:val="69C61FB2"/>
    <w:rsid w:val="69DF05DA"/>
    <w:rsid w:val="6AA95198"/>
    <w:rsid w:val="6ADD5A98"/>
    <w:rsid w:val="6B0D6C97"/>
    <w:rsid w:val="6B100175"/>
    <w:rsid w:val="6B2B5B7E"/>
    <w:rsid w:val="6B6FD00C"/>
    <w:rsid w:val="6C390E1B"/>
    <w:rsid w:val="6C3EAD68"/>
    <w:rsid w:val="6C9E6F7E"/>
    <w:rsid w:val="6CA420BB"/>
    <w:rsid w:val="6D0E2679"/>
    <w:rsid w:val="6D3A1E40"/>
    <w:rsid w:val="6D451295"/>
    <w:rsid w:val="6D4621DE"/>
    <w:rsid w:val="6DE55656"/>
    <w:rsid w:val="6E261BA7"/>
    <w:rsid w:val="6E3E2758"/>
    <w:rsid w:val="6E660432"/>
    <w:rsid w:val="6E681C31"/>
    <w:rsid w:val="6E8D3E82"/>
    <w:rsid w:val="6ED7625C"/>
    <w:rsid w:val="6EFCBDAC"/>
    <w:rsid w:val="6EFEF18C"/>
    <w:rsid w:val="6F135292"/>
    <w:rsid w:val="6F75C84B"/>
    <w:rsid w:val="6F7ED869"/>
    <w:rsid w:val="6F7F2756"/>
    <w:rsid w:val="6FBFBEEA"/>
    <w:rsid w:val="6FC9F181"/>
    <w:rsid w:val="6FCA008A"/>
    <w:rsid w:val="6FE61870"/>
    <w:rsid w:val="6FF42F8B"/>
    <w:rsid w:val="6FFB2984"/>
    <w:rsid w:val="701F2FC3"/>
    <w:rsid w:val="70546B13"/>
    <w:rsid w:val="70B12B86"/>
    <w:rsid w:val="70C53B3E"/>
    <w:rsid w:val="70F50EBA"/>
    <w:rsid w:val="71266569"/>
    <w:rsid w:val="717C6A58"/>
    <w:rsid w:val="71AED6E3"/>
    <w:rsid w:val="71D60130"/>
    <w:rsid w:val="71EA75DE"/>
    <w:rsid w:val="71FF51F6"/>
    <w:rsid w:val="72BD3ED6"/>
    <w:rsid w:val="72FD21E3"/>
    <w:rsid w:val="737FFDAC"/>
    <w:rsid w:val="73CD1EF7"/>
    <w:rsid w:val="73FA5E27"/>
    <w:rsid w:val="741E4FC3"/>
    <w:rsid w:val="7447637A"/>
    <w:rsid w:val="74746816"/>
    <w:rsid w:val="74C667AB"/>
    <w:rsid w:val="74C876B4"/>
    <w:rsid w:val="74CF6C36"/>
    <w:rsid w:val="74D3353D"/>
    <w:rsid w:val="75655470"/>
    <w:rsid w:val="757440A2"/>
    <w:rsid w:val="75BFDE02"/>
    <w:rsid w:val="75EF6065"/>
    <w:rsid w:val="75F73A2A"/>
    <w:rsid w:val="75FC7405"/>
    <w:rsid w:val="76892865"/>
    <w:rsid w:val="768A40CF"/>
    <w:rsid w:val="769958F2"/>
    <w:rsid w:val="76E96805"/>
    <w:rsid w:val="770266B0"/>
    <w:rsid w:val="77724617"/>
    <w:rsid w:val="7776DAAE"/>
    <w:rsid w:val="777B5F4F"/>
    <w:rsid w:val="779F317B"/>
    <w:rsid w:val="77C718A7"/>
    <w:rsid w:val="77D7B054"/>
    <w:rsid w:val="77E577FB"/>
    <w:rsid w:val="77EBFC66"/>
    <w:rsid w:val="77ED304C"/>
    <w:rsid w:val="77FDAB6E"/>
    <w:rsid w:val="784576F8"/>
    <w:rsid w:val="78767A5E"/>
    <w:rsid w:val="787C529A"/>
    <w:rsid w:val="78B268F7"/>
    <w:rsid w:val="78F06777"/>
    <w:rsid w:val="79197E78"/>
    <w:rsid w:val="793D0B51"/>
    <w:rsid w:val="797F3D46"/>
    <w:rsid w:val="799576AA"/>
    <w:rsid w:val="79BF884D"/>
    <w:rsid w:val="79FEA81B"/>
    <w:rsid w:val="7A7D7339"/>
    <w:rsid w:val="7B394C6E"/>
    <w:rsid w:val="7B471C92"/>
    <w:rsid w:val="7B5F98A3"/>
    <w:rsid w:val="7B80350F"/>
    <w:rsid w:val="7BAA4093"/>
    <w:rsid w:val="7BBE5A1E"/>
    <w:rsid w:val="7BE6201D"/>
    <w:rsid w:val="7BF1C439"/>
    <w:rsid w:val="7BFAC3AE"/>
    <w:rsid w:val="7BFDC6A5"/>
    <w:rsid w:val="7BFDF213"/>
    <w:rsid w:val="7BFF9B6D"/>
    <w:rsid w:val="7C322A86"/>
    <w:rsid w:val="7C485A5C"/>
    <w:rsid w:val="7CC16371"/>
    <w:rsid w:val="7CFE3D1B"/>
    <w:rsid w:val="7D853842"/>
    <w:rsid w:val="7DAF6285"/>
    <w:rsid w:val="7DCAF2F6"/>
    <w:rsid w:val="7DEB27D3"/>
    <w:rsid w:val="7DF1E761"/>
    <w:rsid w:val="7E6B7442"/>
    <w:rsid w:val="7E76F263"/>
    <w:rsid w:val="7E7A93D7"/>
    <w:rsid w:val="7E816BC7"/>
    <w:rsid w:val="7EBD8423"/>
    <w:rsid w:val="7EE23F19"/>
    <w:rsid w:val="7EF402AF"/>
    <w:rsid w:val="7EF927A8"/>
    <w:rsid w:val="7EFD150F"/>
    <w:rsid w:val="7EFEA699"/>
    <w:rsid w:val="7F2257ED"/>
    <w:rsid w:val="7F2E3DC9"/>
    <w:rsid w:val="7F351F23"/>
    <w:rsid w:val="7F67CFA3"/>
    <w:rsid w:val="7F7DA834"/>
    <w:rsid w:val="7FAF2BC6"/>
    <w:rsid w:val="7FAF35A2"/>
    <w:rsid w:val="7FB21DB6"/>
    <w:rsid w:val="7FBA870D"/>
    <w:rsid w:val="7FBF9663"/>
    <w:rsid w:val="7FC7AF38"/>
    <w:rsid w:val="7FDF1B98"/>
    <w:rsid w:val="7FF0375A"/>
    <w:rsid w:val="7FF3B5EB"/>
    <w:rsid w:val="7FF7AB92"/>
    <w:rsid w:val="7FF7D9C1"/>
    <w:rsid w:val="7FFF0A43"/>
    <w:rsid w:val="7FFF21F6"/>
    <w:rsid w:val="7FFFED93"/>
    <w:rsid w:val="97B886A6"/>
    <w:rsid w:val="99FB050E"/>
    <w:rsid w:val="9BFFF0FA"/>
    <w:rsid w:val="9EBE662D"/>
    <w:rsid w:val="9FE6FE91"/>
    <w:rsid w:val="9FFFE5A7"/>
    <w:rsid w:val="A99E005E"/>
    <w:rsid w:val="A9A91D1A"/>
    <w:rsid w:val="AD0C402F"/>
    <w:rsid w:val="AF27C3F6"/>
    <w:rsid w:val="B6DF82D0"/>
    <w:rsid w:val="B6FBE925"/>
    <w:rsid w:val="B75DC3B9"/>
    <w:rsid w:val="B8BE47A9"/>
    <w:rsid w:val="BB959EC9"/>
    <w:rsid w:val="BCFFD2DE"/>
    <w:rsid w:val="BE3D54DC"/>
    <w:rsid w:val="BEFD8511"/>
    <w:rsid w:val="BF3ED411"/>
    <w:rsid w:val="BF79244C"/>
    <w:rsid w:val="BFEC0EBD"/>
    <w:rsid w:val="BFFB7174"/>
    <w:rsid w:val="CD1D747B"/>
    <w:rsid w:val="CDDBD555"/>
    <w:rsid w:val="D571595E"/>
    <w:rsid w:val="D6BB7B5F"/>
    <w:rsid w:val="D7D32AD8"/>
    <w:rsid w:val="D9FB5412"/>
    <w:rsid w:val="DB5E4DE2"/>
    <w:rsid w:val="DB6D533A"/>
    <w:rsid w:val="DBBD4D57"/>
    <w:rsid w:val="DCBD5EDD"/>
    <w:rsid w:val="DEBEDCD8"/>
    <w:rsid w:val="DF5F0A85"/>
    <w:rsid w:val="DF90D852"/>
    <w:rsid w:val="DFEAD0E9"/>
    <w:rsid w:val="DFFE4F03"/>
    <w:rsid w:val="E17E7AF3"/>
    <w:rsid w:val="E317CCB6"/>
    <w:rsid w:val="E7B3E6AC"/>
    <w:rsid w:val="E7D9F7A4"/>
    <w:rsid w:val="E9966C64"/>
    <w:rsid w:val="ECE30C19"/>
    <w:rsid w:val="EDFEE2A9"/>
    <w:rsid w:val="EE6A1B9C"/>
    <w:rsid w:val="EE6D098A"/>
    <w:rsid w:val="EEF7C81B"/>
    <w:rsid w:val="EFA4DE3B"/>
    <w:rsid w:val="EFDC13A6"/>
    <w:rsid w:val="EFEF3C9F"/>
    <w:rsid w:val="EFF1E380"/>
    <w:rsid w:val="F377F2EF"/>
    <w:rsid w:val="F38E03A5"/>
    <w:rsid w:val="F395C226"/>
    <w:rsid w:val="F4EFAB8E"/>
    <w:rsid w:val="F5DF9AB7"/>
    <w:rsid w:val="F75AFC25"/>
    <w:rsid w:val="F7B9F6D6"/>
    <w:rsid w:val="F7FB8819"/>
    <w:rsid w:val="F7FEA343"/>
    <w:rsid w:val="F9EFEC11"/>
    <w:rsid w:val="F9F5A0FD"/>
    <w:rsid w:val="F9FCF706"/>
    <w:rsid w:val="FAB3C58E"/>
    <w:rsid w:val="FB7FC171"/>
    <w:rsid w:val="FBDEBA41"/>
    <w:rsid w:val="FBFE3000"/>
    <w:rsid w:val="FC257EB7"/>
    <w:rsid w:val="FCEE66BA"/>
    <w:rsid w:val="FCFB2AC6"/>
    <w:rsid w:val="FCFD0974"/>
    <w:rsid w:val="FD3F4AD0"/>
    <w:rsid w:val="FD5CDC53"/>
    <w:rsid w:val="FD776BB3"/>
    <w:rsid w:val="FDEC952D"/>
    <w:rsid w:val="FEE5C3D9"/>
    <w:rsid w:val="FEEF2ACF"/>
    <w:rsid w:val="FEFF0DAD"/>
    <w:rsid w:val="FF6B54BE"/>
    <w:rsid w:val="FF7BA012"/>
    <w:rsid w:val="FFBB060F"/>
    <w:rsid w:val="FFBFFED3"/>
    <w:rsid w:val="FFCF680A"/>
    <w:rsid w:val="FFD74CAD"/>
    <w:rsid w:val="FFDF4C03"/>
    <w:rsid w:val="FFDFD909"/>
    <w:rsid w:val="FFEFCA22"/>
    <w:rsid w:val="FFFA0377"/>
    <w:rsid w:val="FFFA659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qFormat="1" w:unhideWhenUsed="0" w:uiPriority="0" w:semiHidden="0" w:name="List Bullet"/>
    <w:lsdException w:uiPriority="0" w:name="List Number"/>
    <w:lsdException w:uiPriority="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99" w:semiHidden="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qFormat="1" w:unhideWhenUsed="0" w:uiPriority="0" w:semiHidden="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5"/>
    <w:next w:val="1"/>
    <w:link w:val="65"/>
    <w:qFormat/>
    <w:uiPriority w:val="0"/>
    <w:pPr>
      <w:spacing w:before="340" w:after="330" w:line="360" w:lineRule="auto"/>
      <w:jc w:val="center"/>
      <w:outlineLvl w:val="0"/>
    </w:pPr>
    <w:rPr>
      <w:rFonts w:eastAsia="黑体"/>
      <w:kern w:val="44"/>
      <w:szCs w:val="44"/>
    </w:rPr>
  </w:style>
  <w:style w:type="paragraph" w:styleId="7">
    <w:name w:val="heading 2"/>
    <w:basedOn w:val="5"/>
    <w:next w:val="6"/>
    <w:link w:val="79"/>
    <w:qFormat/>
    <w:uiPriority w:val="0"/>
    <w:pPr>
      <w:adjustRightInd w:val="0"/>
      <w:jc w:val="center"/>
      <w:textAlignment w:val="baseline"/>
      <w:outlineLvl w:val="1"/>
    </w:pPr>
    <w:rPr>
      <w:kern w:val="0"/>
      <w:sz w:val="24"/>
      <w:szCs w:val="20"/>
    </w:rPr>
  </w:style>
  <w:style w:type="paragraph" w:styleId="5">
    <w:name w:val="heading 3"/>
    <w:basedOn w:val="6"/>
    <w:next w:val="1"/>
    <w:link w:val="64"/>
    <w:qFormat/>
    <w:uiPriority w:val="9"/>
    <w:pPr>
      <w:spacing w:before="260" w:after="260" w:line="240" w:lineRule="auto"/>
      <w:outlineLvl w:val="2"/>
    </w:pPr>
    <w:rPr>
      <w:rFonts w:ascii="宋体" w:hAnsi="宋体" w:eastAsia="宋体"/>
      <w:szCs w:val="32"/>
    </w:rPr>
  </w:style>
  <w:style w:type="paragraph" w:styleId="6">
    <w:name w:val="heading 4"/>
    <w:basedOn w:val="1"/>
    <w:next w:val="1"/>
    <w:link w:val="62"/>
    <w:qFormat/>
    <w:uiPriority w:val="9"/>
    <w:pPr>
      <w:keepNext/>
      <w:keepLines/>
      <w:spacing w:before="280" w:after="290" w:line="376" w:lineRule="auto"/>
      <w:outlineLvl w:val="3"/>
    </w:pPr>
    <w:rPr>
      <w:rFonts w:ascii="Arial" w:hAnsi="Arial" w:eastAsia="黑体"/>
      <w:b/>
      <w:bCs/>
      <w:sz w:val="28"/>
      <w:szCs w:val="28"/>
    </w:rPr>
  </w:style>
  <w:style w:type="paragraph" w:styleId="8">
    <w:name w:val="heading 5"/>
    <w:basedOn w:val="1"/>
    <w:next w:val="9"/>
    <w:link w:val="88"/>
    <w:qFormat/>
    <w:uiPriority w:val="0"/>
    <w:pPr>
      <w:keepNext/>
      <w:keepLines/>
      <w:spacing w:before="280" w:after="290" w:line="376" w:lineRule="auto"/>
      <w:outlineLvl w:val="4"/>
    </w:pPr>
    <w:rPr>
      <w:b/>
      <w:sz w:val="28"/>
      <w:szCs w:val="20"/>
    </w:rPr>
  </w:style>
  <w:style w:type="paragraph" w:styleId="10">
    <w:name w:val="heading 6"/>
    <w:basedOn w:val="1"/>
    <w:next w:val="9"/>
    <w:link w:val="91"/>
    <w:qFormat/>
    <w:uiPriority w:val="0"/>
    <w:pPr>
      <w:keepNext/>
      <w:keepLines/>
      <w:spacing w:before="240" w:after="64" w:line="320" w:lineRule="auto"/>
      <w:outlineLvl w:val="5"/>
    </w:pPr>
    <w:rPr>
      <w:rFonts w:ascii="Arial" w:hAnsi="Arial" w:eastAsia="黑体"/>
      <w:b/>
      <w:sz w:val="24"/>
      <w:szCs w:val="20"/>
    </w:rPr>
  </w:style>
  <w:style w:type="paragraph" w:styleId="11">
    <w:name w:val="heading 7"/>
    <w:basedOn w:val="1"/>
    <w:next w:val="9"/>
    <w:link w:val="92"/>
    <w:qFormat/>
    <w:uiPriority w:val="0"/>
    <w:pPr>
      <w:keepNext/>
      <w:keepLines/>
      <w:spacing w:before="240" w:after="64" w:line="320" w:lineRule="auto"/>
      <w:outlineLvl w:val="6"/>
    </w:pPr>
    <w:rPr>
      <w:b/>
      <w:sz w:val="24"/>
      <w:szCs w:val="20"/>
    </w:rPr>
  </w:style>
  <w:style w:type="paragraph" w:styleId="12">
    <w:name w:val="heading 8"/>
    <w:basedOn w:val="1"/>
    <w:next w:val="9"/>
    <w:link w:val="93"/>
    <w:qFormat/>
    <w:uiPriority w:val="0"/>
    <w:pPr>
      <w:keepNext/>
      <w:keepLines/>
      <w:spacing w:before="240" w:after="64" w:line="320" w:lineRule="auto"/>
      <w:outlineLvl w:val="7"/>
    </w:pPr>
    <w:rPr>
      <w:rFonts w:ascii="Arial" w:hAnsi="Arial" w:eastAsia="黑体"/>
      <w:sz w:val="24"/>
      <w:szCs w:val="20"/>
    </w:rPr>
  </w:style>
  <w:style w:type="paragraph" w:styleId="13">
    <w:name w:val="heading 9"/>
    <w:basedOn w:val="1"/>
    <w:next w:val="9"/>
    <w:link w:val="94"/>
    <w:qFormat/>
    <w:uiPriority w:val="0"/>
    <w:pPr>
      <w:keepNext/>
      <w:keepLines/>
      <w:spacing w:before="240" w:after="64" w:line="320" w:lineRule="auto"/>
      <w:outlineLvl w:val="8"/>
    </w:pPr>
    <w:rPr>
      <w:rFonts w:ascii="Arial" w:hAnsi="Arial" w:eastAsia="黑体"/>
      <w:szCs w:val="20"/>
    </w:rPr>
  </w:style>
  <w:style w:type="character" w:default="1" w:styleId="45">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00"/>
    <w:qFormat/>
    <w:uiPriority w:val="0"/>
    <w:pPr>
      <w:spacing w:line="360" w:lineRule="auto"/>
    </w:pPr>
    <w:rPr>
      <w:b/>
      <w:bCs/>
      <w:sz w:val="24"/>
    </w:rPr>
  </w:style>
  <w:style w:type="paragraph" w:styleId="3">
    <w:name w:val="Body Text 2"/>
    <w:basedOn w:val="1"/>
    <w:link w:val="104"/>
    <w:qFormat/>
    <w:uiPriority w:val="0"/>
    <w:pPr>
      <w:spacing w:line="360" w:lineRule="auto"/>
    </w:pPr>
    <w:rPr>
      <w:sz w:val="24"/>
    </w:rPr>
  </w:style>
  <w:style w:type="paragraph" w:styleId="9">
    <w:name w:val="Normal Indent"/>
    <w:basedOn w:val="1"/>
    <w:next w:val="2"/>
    <w:link w:val="66"/>
    <w:qFormat/>
    <w:uiPriority w:val="0"/>
    <w:pPr>
      <w:ind w:firstLine="420"/>
    </w:pPr>
    <w:rPr>
      <w:szCs w:val="20"/>
    </w:rPr>
  </w:style>
  <w:style w:type="paragraph" w:styleId="14">
    <w:name w:val="toc 7"/>
    <w:basedOn w:val="1"/>
    <w:next w:val="1"/>
    <w:semiHidden/>
    <w:qFormat/>
    <w:uiPriority w:val="0"/>
    <w:pPr>
      <w:ind w:left="1260"/>
      <w:jc w:val="left"/>
    </w:pPr>
    <w:rPr>
      <w:szCs w:val="21"/>
    </w:rPr>
  </w:style>
  <w:style w:type="paragraph" w:styleId="15">
    <w:name w:val="caption"/>
    <w:basedOn w:val="1"/>
    <w:next w:val="1"/>
    <w:qFormat/>
    <w:uiPriority w:val="0"/>
    <w:pPr>
      <w:widowControl/>
      <w:spacing w:line="360" w:lineRule="auto"/>
      <w:ind w:firstLine="1940" w:firstLineChars="920"/>
      <w:jc w:val="left"/>
    </w:pPr>
    <w:rPr>
      <w:rFonts w:ascii="宋体" w:hAnsi="宋体"/>
      <w:b/>
      <w:bCs/>
      <w:kern w:val="0"/>
      <w:sz w:val="20"/>
      <w:szCs w:val="20"/>
    </w:rPr>
  </w:style>
  <w:style w:type="paragraph" w:styleId="16">
    <w:name w:val="List Bullet"/>
    <w:basedOn w:val="1"/>
    <w:qFormat/>
    <w:uiPriority w:val="0"/>
    <w:pPr>
      <w:numPr>
        <w:ilvl w:val="0"/>
        <w:numId w:val="1"/>
      </w:numPr>
    </w:pPr>
    <w:rPr>
      <w:szCs w:val="20"/>
    </w:rPr>
  </w:style>
  <w:style w:type="paragraph" w:styleId="17">
    <w:name w:val="Document Map"/>
    <w:basedOn w:val="1"/>
    <w:semiHidden/>
    <w:qFormat/>
    <w:uiPriority w:val="0"/>
    <w:pPr>
      <w:shd w:val="clear" w:color="auto" w:fill="000080"/>
    </w:pPr>
  </w:style>
  <w:style w:type="paragraph" w:styleId="18">
    <w:name w:val="annotation text"/>
    <w:basedOn w:val="1"/>
    <w:link w:val="192"/>
    <w:qFormat/>
    <w:uiPriority w:val="99"/>
    <w:pPr>
      <w:autoSpaceDE w:val="0"/>
      <w:autoSpaceDN w:val="0"/>
      <w:adjustRightInd w:val="0"/>
      <w:jc w:val="left"/>
      <w:textAlignment w:val="baseline"/>
    </w:pPr>
    <w:rPr>
      <w:rFonts w:ascii="宋体"/>
      <w:kern w:val="0"/>
      <w:sz w:val="34"/>
      <w:szCs w:val="20"/>
    </w:rPr>
  </w:style>
  <w:style w:type="paragraph" w:styleId="19">
    <w:name w:val="Body Text 3"/>
    <w:basedOn w:val="1"/>
    <w:link w:val="106"/>
    <w:qFormat/>
    <w:uiPriority w:val="0"/>
    <w:pPr>
      <w:spacing w:after="120"/>
    </w:pPr>
    <w:rPr>
      <w:sz w:val="16"/>
      <w:szCs w:val="16"/>
    </w:rPr>
  </w:style>
  <w:style w:type="paragraph" w:styleId="20">
    <w:name w:val="Body Text Indent"/>
    <w:basedOn w:val="1"/>
    <w:link w:val="87"/>
    <w:qFormat/>
    <w:uiPriority w:val="0"/>
    <w:pPr>
      <w:spacing w:line="360" w:lineRule="auto"/>
      <w:ind w:firstLine="420" w:firstLineChars="200"/>
    </w:pPr>
  </w:style>
  <w:style w:type="paragraph" w:styleId="21">
    <w:name w:val="toc 5"/>
    <w:basedOn w:val="1"/>
    <w:next w:val="1"/>
    <w:semiHidden/>
    <w:qFormat/>
    <w:uiPriority w:val="0"/>
    <w:pPr>
      <w:ind w:left="840"/>
      <w:jc w:val="left"/>
    </w:pPr>
    <w:rPr>
      <w:szCs w:val="21"/>
    </w:rPr>
  </w:style>
  <w:style w:type="paragraph" w:styleId="22">
    <w:name w:val="toc 3"/>
    <w:basedOn w:val="1"/>
    <w:next w:val="1"/>
    <w:semiHidden/>
    <w:qFormat/>
    <w:uiPriority w:val="0"/>
    <w:pPr>
      <w:ind w:left="420"/>
      <w:jc w:val="left"/>
    </w:pPr>
    <w:rPr>
      <w:i/>
      <w:iCs/>
    </w:rPr>
  </w:style>
  <w:style w:type="paragraph" w:styleId="23">
    <w:name w:val="Plain Text"/>
    <w:basedOn w:val="1"/>
    <w:link w:val="98"/>
    <w:qFormat/>
    <w:uiPriority w:val="0"/>
    <w:rPr>
      <w:rFonts w:ascii="宋体" w:hAnsi="Courier New"/>
      <w:szCs w:val="20"/>
    </w:rPr>
  </w:style>
  <w:style w:type="paragraph" w:styleId="24">
    <w:name w:val="toc 8"/>
    <w:basedOn w:val="1"/>
    <w:next w:val="1"/>
    <w:semiHidden/>
    <w:qFormat/>
    <w:uiPriority w:val="0"/>
    <w:pPr>
      <w:ind w:left="1470"/>
      <w:jc w:val="left"/>
    </w:pPr>
    <w:rPr>
      <w:szCs w:val="21"/>
    </w:rPr>
  </w:style>
  <w:style w:type="paragraph" w:styleId="25">
    <w:name w:val="Date"/>
    <w:basedOn w:val="1"/>
    <w:next w:val="1"/>
    <w:link w:val="96"/>
    <w:qFormat/>
    <w:uiPriority w:val="0"/>
    <w:rPr>
      <w:rFonts w:ascii="宋体" w:hAnsi="Courier New"/>
      <w:sz w:val="32"/>
      <w:szCs w:val="20"/>
    </w:rPr>
  </w:style>
  <w:style w:type="paragraph" w:styleId="26">
    <w:name w:val="Body Text Indent 2"/>
    <w:basedOn w:val="1"/>
    <w:link w:val="101"/>
    <w:qFormat/>
    <w:uiPriority w:val="0"/>
    <w:pPr>
      <w:spacing w:beforeLines="50" w:afterLines="50" w:line="120" w:lineRule="auto"/>
      <w:ind w:firstLine="840" w:firstLineChars="400"/>
      <w:jc w:val="left"/>
    </w:pPr>
    <w:rPr>
      <w:rFonts w:ascii="宋体" w:hAnsi="宋体"/>
    </w:rPr>
  </w:style>
  <w:style w:type="paragraph" w:styleId="27">
    <w:name w:val="Balloon Text"/>
    <w:basedOn w:val="1"/>
    <w:link w:val="107"/>
    <w:semiHidden/>
    <w:qFormat/>
    <w:uiPriority w:val="99"/>
    <w:rPr>
      <w:sz w:val="18"/>
      <w:szCs w:val="18"/>
    </w:rPr>
  </w:style>
  <w:style w:type="paragraph" w:styleId="28">
    <w:name w:val="footer"/>
    <w:basedOn w:val="1"/>
    <w:link w:val="105"/>
    <w:qFormat/>
    <w:uiPriority w:val="0"/>
    <w:pPr>
      <w:tabs>
        <w:tab w:val="center" w:pos="4153"/>
        <w:tab w:val="right" w:pos="8306"/>
      </w:tabs>
      <w:snapToGrid w:val="0"/>
      <w:jc w:val="left"/>
    </w:pPr>
    <w:rPr>
      <w:sz w:val="18"/>
      <w:szCs w:val="18"/>
    </w:rPr>
  </w:style>
  <w:style w:type="paragraph" w:styleId="29">
    <w:name w:val="header"/>
    <w:basedOn w:val="1"/>
    <w:link w:val="102"/>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semiHidden/>
    <w:qFormat/>
    <w:uiPriority w:val="0"/>
    <w:pPr>
      <w:spacing w:before="120" w:after="120"/>
      <w:jc w:val="left"/>
    </w:pPr>
    <w:rPr>
      <w:b/>
      <w:bCs/>
      <w:caps/>
    </w:rPr>
  </w:style>
  <w:style w:type="paragraph" w:styleId="31">
    <w:name w:val="toc 4"/>
    <w:basedOn w:val="1"/>
    <w:next w:val="1"/>
    <w:semiHidden/>
    <w:qFormat/>
    <w:uiPriority w:val="0"/>
    <w:pPr>
      <w:ind w:left="630"/>
      <w:jc w:val="left"/>
    </w:pPr>
    <w:rPr>
      <w:szCs w:val="21"/>
    </w:rPr>
  </w:style>
  <w:style w:type="paragraph" w:styleId="32">
    <w:name w:val="toc 6"/>
    <w:basedOn w:val="1"/>
    <w:next w:val="1"/>
    <w:semiHidden/>
    <w:qFormat/>
    <w:uiPriority w:val="0"/>
    <w:pPr>
      <w:ind w:left="1050"/>
      <w:jc w:val="left"/>
    </w:pPr>
    <w:rPr>
      <w:szCs w:val="21"/>
    </w:rPr>
  </w:style>
  <w:style w:type="paragraph" w:styleId="33">
    <w:name w:val="List 5"/>
    <w:basedOn w:val="1"/>
    <w:qFormat/>
    <w:uiPriority w:val="0"/>
    <w:pPr>
      <w:ind w:left="100" w:leftChars="800" w:hanging="200" w:hangingChars="200"/>
    </w:pPr>
  </w:style>
  <w:style w:type="paragraph" w:styleId="34">
    <w:name w:val="Body Text Indent 3"/>
    <w:basedOn w:val="1"/>
    <w:link w:val="103"/>
    <w:qFormat/>
    <w:uiPriority w:val="0"/>
    <w:pPr>
      <w:spacing w:line="360" w:lineRule="auto"/>
      <w:ind w:firstLine="482" w:firstLineChars="200"/>
    </w:pPr>
    <w:rPr>
      <w:rFonts w:ascii="宋体"/>
      <w:b/>
      <w:bCs/>
      <w:sz w:val="24"/>
    </w:rPr>
  </w:style>
  <w:style w:type="paragraph" w:styleId="35">
    <w:name w:val="toc 2"/>
    <w:basedOn w:val="1"/>
    <w:next w:val="1"/>
    <w:semiHidden/>
    <w:qFormat/>
    <w:uiPriority w:val="0"/>
    <w:pPr>
      <w:tabs>
        <w:tab w:val="right" w:leader="dot" w:pos="8296"/>
      </w:tabs>
      <w:ind w:left="210"/>
      <w:jc w:val="left"/>
    </w:pPr>
    <w:rPr>
      <w:smallCaps/>
    </w:rPr>
  </w:style>
  <w:style w:type="paragraph" w:styleId="36">
    <w:name w:val="toc 9"/>
    <w:basedOn w:val="1"/>
    <w:next w:val="1"/>
    <w:semiHidden/>
    <w:qFormat/>
    <w:uiPriority w:val="0"/>
    <w:pPr>
      <w:ind w:left="1680"/>
      <w:jc w:val="left"/>
    </w:pPr>
    <w:rPr>
      <w:szCs w:val="21"/>
    </w:rPr>
  </w:style>
  <w:style w:type="paragraph" w:styleId="37">
    <w:name w:val="HTML Preformatted"/>
    <w:basedOn w:val="1"/>
    <w:link w:val="9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olor w:val="000000"/>
      <w:kern w:val="0"/>
      <w:sz w:val="20"/>
      <w:szCs w:val="20"/>
    </w:rPr>
  </w:style>
  <w:style w:type="paragraph" w:styleId="38">
    <w:name w:val="Normal (Web)"/>
    <w:basedOn w:val="1"/>
    <w:link w:val="198"/>
    <w:qFormat/>
    <w:uiPriority w:val="99"/>
    <w:rPr>
      <w:sz w:val="24"/>
    </w:rPr>
  </w:style>
  <w:style w:type="paragraph" w:styleId="39">
    <w:name w:val="index 1"/>
    <w:basedOn w:val="1"/>
    <w:next w:val="1"/>
    <w:semiHidden/>
    <w:qFormat/>
    <w:uiPriority w:val="0"/>
    <w:pPr>
      <w:tabs>
        <w:tab w:val="left" w:pos="3360"/>
      </w:tabs>
      <w:spacing w:line="520" w:lineRule="exact"/>
      <w:ind w:left="419" w:leftChars="50" w:hanging="314" w:hangingChars="131"/>
      <w:jc w:val="center"/>
      <w:outlineLvl w:val="3"/>
    </w:pPr>
    <w:rPr>
      <w:rFonts w:ascii="宋体" w:hAnsi="宋体"/>
      <w:sz w:val="24"/>
    </w:rPr>
  </w:style>
  <w:style w:type="paragraph" w:styleId="40">
    <w:name w:val="Title"/>
    <w:basedOn w:val="1"/>
    <w:link w:val="95"/>
    <w:qFormat/>
    <w:uiPriority w:val="0"/>
    <w:pPr>
      <w:spacing w:before="240" w:after="60"/>
      <w:jc w:val="center"/>
      <w:outlineLvl w:val="0"/>
    </w:pPr>
    <w:rPr>
      <w:rFonts w:ascii="Arial" w:hAnsi="Arial" w:eastAsia="隶书" w:cs="Arial"/>
      <w:b/>
      <w:bCs/>
      <w:sz w:val="32"/>
      <w:szCs w:val="32"/>
    </w:rPr>
  </w:style>
  <w:style w:type="paragraph" w:styleId="41">
    <w:name w:val="annotation subject"/>
    <w:basedOn w:val="18"/>
    <w:next w:val="18"/>
    <w:link w:val="193"/>
    <w:qFormat/>
    <w:uiPriority w:val="99"/>
    <w:pPr>
      <w:autoSpaceDE/>
      <w:autoSpaceDN/>
      <w:adjustRightInd/>
      <w:textAlignment w:val="auto"/>
    </w:pPr>
    <w:rPr>
      <w:rFonts w:ascii="Times New Roman"/>
      <w:b/>
      <w:bCs/>
      <w:kern w:val="2"/>
      <w:sz w:val="21"/>
      <w:szCs w:val="24"/>
    </w:rPr>
  </w:style>
  <w:style w:type="paragraph" w:styleId="42">
    <w:name w:val="Body Text First Indent"/>
    <w:basedOn w:val="2"/>
    <w:link w:val="138"/>
    <w:qFormat/>
    <w:uiPriority w:val="0"/>
    <w:pPr>
      <w:spacing w:after="120" w:line="240" w:lineRule="auto"/>
      <w:ind w:firstLine="420" w:firstLineChars="100"/>
    </w:pPr>
    <w:rPr>
      <w:sz w:val="21"/>
    </w:rPr>
  </w:style>
  <w:style w:type="table" w:styleId="44">
    <w:name w:val="Table Grid"/>
    <w:basedOn w:val="4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basedOn w:val="45"/>
    <w:qFormat/>
    <w:uiPriority w:val="0"/>
    <w:rPr>
      <w:b/>
      <w:bCs/>
    </w:rPr>
  </w:style>
  <w:style w:type="character" w:styleId="50">
    <w:name w:val="HTML Definition"/>
    <w:basedOn w:val="45"/>
    <w:semiHidden/>
    <w:unhideWhenUsed/>
    <w:qFormat/>
    <w:uiPriority w:val="0"/>
  </w:style>
  <w:style w:type="character" w:styleId="51">
    <w:name w:val="HTML Typewriter"/>
    <w:basedOn w:val="45"/>
    <w:semiHidden/>
    <w:unhideWhenUsed/>
    <w:qFormat/>
    <w:uiPriority w:val="0"/>
    <w:rPr>
      <w:rFonts w:ascii="monospace" w:hAnsi="monospace" w:eastAsia="monospace" w:cs="monospace"/>
      <w:sz w:val="20"/>
    </w:rPr>
  </w:style>
  <w:style w:type="character" w:styleId="52">
    <w:name w:val="HTML Acronym"/>
    <w:basedOn w:val="45"/>
    <w:semiHidden/>
    <w:unhideWhenUsed/>
    <w:qFormat/>
    <w:uiPriority w:val="0"/>
  </w:style>
  <w:style w:type="character" w:styleId="53">
    <w:name w:val="HTML Variable"/>
    <w:basedOn w:val="45"/>
    <w:semiHidden/>
    <w:unhideWhenUsed/>
    <w:qFormat/>
    <w:uiPriority w:val="0"/>
  </w:style>
  <w:style w:type="character" w:styleId="54">
    <w:name w:val="Hyperlink"/>
    <w:qFormat/>
    <w:uiPriority w:val="0"/>
    <w:rPr>
      <w:color w:val="0000FF"/>
      <w:u w:val="single"/>
    </w:rPr>
  </w:style>
  <w:style w:type="character" w:styleId="55">
    <w:name w:val="HTML Code"/>
    <w:basedOn w:val="45"/>
    <w:semiHidden/>
    <w:unhideWhenUsed/>
    <w:qFormat/>
    <w:uiPriority w:val="0"/>
    <w:rPr>
      <w:rFonts w:hint="default" w:ascii="monospace" w:hAnsi="monospace" w:eastAsia="monospace" w:cs="monospace"/>
      <w:sz w:val="20"/>
    </w:rPr>
  </w:style>
  <w:style w:type="character" w:styleId="56">
    <w:name w:val="annotation reference"/>
    <w:basedOn w:val="45"/>
    <w:qFormat/>
    <w:uiPriority w:val="99"/>
    <w:rPr>
      <w:sz w:val="21"/>
      <w:szCs w:val="21"/>
    </w:rPr>
  </w:style>
  <w:style w:type="character" w:styleId="57">
    <w:name w:val="HTML Cite"/>
    <w:basedOn w:val="45"/>
    <w:semiHidden/>
    <w:unhideWhenUsed/>
    <w:qFormat/>
    <w:uiPriority w:val="0"/>
  </w:style>
  <w:style w:type="character" w:styleId="58">
    <w:name w:val="HTML Keyboard"/>
    <w:basedOn w:val="45"/>
    <w:semiHidden/>
    <w:unhideWhenUsed/>
    <w:qFormat/>
    <w:uiPriority w:val="0"/>
    <w:rPr>
      <w:rFonts w:hint="default" w:ascii="monospace" w:hAnsi="monospace" w:eastAsia="monospace" w:cs="monospace"/>
      <w:sz w:val="20"/>
    </w:rPr>
  </w:style>
  <w:style w:type="character" w:styleId="59">
    <w:name w:val="HTML Sample"/>
    <w:basedOn w:val="45"/>
    <w:semiHidden/>
    <w:unhideWhenUsed/>
    <w:qFormat/>
    <w:uiPriority w:val="0"/>
    <w:rPr>
      <w:rFonts w:hint="default" w:ascii="monospace" w:hAnsi="monospace" w:eastAsia="monospace" w:cs="monospace"/>
    </w:rPr>
  </w:style>
  <w:style w:type="paragraph" w:styleId="60">
    <w:name w:val="Quote"/>
    <w:basedOn w:val="1"/>
    <w:next w:val="1"/>
    <w:qFormat/>
    <w:uiPriority w:val="99"/>
    <w:rPr>
      <w:rFonts w:ascii="Calibri" w:hAnsi="Calibri" w:cs="Calibri"/>
      <w:i/>
      <w:iCs/>
      <w:color w:val="000000"/>
      <w:sz w:val="22"/>
      <w:szCs w:val="22"/>
    </w:rPr>
  </w:style>
  <w:style w:type="character" w:customStyle="1" w:styleId="61">
    <w:name w:val="标题 3 Char"/>
    <w:qFormat/>
    <w:uiPriority w:val="0"/>
    <w:rPr>
      <w:rFonts w:ascii="黑体" w:eastAsia="黑体"/>
      <w:bCs/>
      <w:sz w:val="30"/>
    </w:rPr>
  </w:style>
  <w:style w:type="character" w:customStyle="1" w:styleId="62">
    <w:name w:val="标题 4 Char"/>
    <w:link w:val="6"/>
    <w:qFormat/>
    <w:uiPriority w:val="9"/>
    <w:rPr>
      <w:rFonts w:ascii="Arial" w:hAnsi="Arial" w:eastAsia="黑体"/>
      <w:b/>
      <w:bCs/>
      <w:kern w:val="2"/>
      <w:sz w:val="28"/>
      <w:szCs w:val="28"/>
      <w:lang w:val="en-US" w:eastAsia="zh-CN" w:bidi="ar-SA"/>
    </w:rPr>
  </w:style>
  <w:style w:type="paragraph" w:customStyle="1" w:styleId="63">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64">
    <w:name w:val="标题 3 Char1"/>
    <w:link w:val="5"/>
    <w:qFormat/>
    <w:uiPriority w:val="9"/>
    <w:rPr>
      <w:rFonts w:ascii="宋体" w:hAnsi="宋体" w:eastAsia="宋体"/>
      <w:b/>
      <w:bCs/>
      <w:kern w:val="2"/>
      <w:sz w:val="28"/>
      <w:szCs w:val="32"/>
      <w:lang w:val="en-US" w:eastAsia="zh-CN" w:bidi="ar-SA"/>
    </w:rPr>
  </w:style>
  <w:style w:type="character" w:customStyle="1" w:styleId="65">
    <w:name w:val="标题 1 Char"/>
    <w:link w:val="4"/>
    <w:qFormat/>
    <w:uiPriority w:val="0"/>
    <w:rPr>
      <w:rFonts w:ascii="宋体" w:hAnsi="宋体" w:eastAsia="黑体"/>
      <w:b/>
      <w:bCs/>
      <w:kern w:val="44"/>
      <w:sz w:val="28"/>
      <w:szCs w:val="44"/>
      <w:lang w:val="en-US" w:eastAsia="zh-CN" w:bidi="ar-SA"/>
    </w:rPr>
  </w:style>
  <w:style w:type="character" w:customStyle="1" w:styleId="66">
    <w:name w:val="正文缩进 Char"/>
    <w:link w:val="9"/>
    <w:qFormat/>
    <w:uiPriority w:val="0"/>
    <w:rPr>
      <w:rFonts w:eastAsia="宋体"/>
      <w:kern w:val="2"/>
      <w:sz w:val="21"/>
      <w:lang w:val="en-US" w:eastAsia="zh-CN" w:bidi="ar-SA"/>
    </w:rPr>
  </w:style>
  <w:style w:type="paragraph" w:customStyle="1" w:styleId="67">
    <w:name w:val="样式41"/>
    <w:basedOn w:val="1"/>
    <w:qFormat/>
    <w:uiPriority w:val="0"/>
    <w:pPr>
      <w:numPr>
        <w:ilvl w:val="0"/>
        <w:numId w:val="2"/>
      </w:numPr>
      <w:tabs>
        <w:tab w:val="left" w:pos="945"/>
      </w:tabs>
      <w:spacing w:line="360" w:lineRule="auto"/>
    </w:pPr>
    <w:rPr>
      <w:b/>
      <w:color w:val="000000"/>
      <w:sz w:val="24"/>
      <w:szCs w:val="20"/>
    </w:rPr>
  </w:style>
  <w:style w:type="paragraph" w:customStyle="1" w:styleId="68">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9">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70">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1">
    <w:name w:val="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2">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74">
    <w:name w:val="自定义正文"/>
    <w:basedOn w:val="1"/>
    <w:qFormat/>
    <w:uiPriority w:val="0"/>
    <w:pPr>
      <w:spacing w:afterLines="50"/>
      <w:ind w:left="600" w:leftChars="600"/>
    </w:pPr>
  </w:style>
  <w:style w:type="paragraph" w:customStyle="1" w:styleId="75">
    <w:name w:val="Char Char Char Char Char"/>
    <w:basedOn w:val="1"/>
    <w:qFormat/>
    <w:uiPriority w:val="0"/>
    <w:rPr>
      <w:rFonts w:ascii="Tahoma" w:hAnsi="Tahoma"/>
      <w:sz w:val="24"/>
      <w:szCs w:val="20"/>
    </w:rPr>
  </w:style>
  <w:style w:type="paragraph" w:customStyle="1" w:styleId="76">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77">
    <w:name w:val="Char Char"/>
    <w:basedOn w:val="1"/>
    <w:qFormat/>
    <w:uiPriority w:val="0"/>
    <w:rPr>
      <w:rFonts w:ascii="Tahoma" w:hAnsi="Tahoma"/>
      <w:sz w:val="24"/>
      <w:szCs w:val="20"/>
    </w:rPr>
  </w:style>
  <w:style w:type="paragraph" w:customStyle="1" w:styleId="78">
    <w:name w:val="È±Ê¡ÎÄ±¾"/>
    <w:basedOn w:val="1"/>
    <w:qFormat/>
    <w:uiPriority w:val="0"/>
    <w:pPr>
      <w:widowControl/>
      <w:overflowPunct w:val="0"/>
      <w:autoSpaceDE w:val="0"/>
      <w:autoSpaceDN w:val="0"/>
      <w:adjustRightInd w:val="0"/>
      <w:jc w:val="left"/>
      <w:textAlignment w:val="baseline"/>
    </w:pPr>
    <w:rPr>
      <w:kern w:val="0"/>
      <w:sz w:val="24"/>
      <w:szCs w:val="20"/>
    </w:rPr>
  </w:style>
  <w:style w:type="character" w:customStyle="1" w:styleId="79">
    <w:name w:val="标题 2 Char"/>
    <w:link w:val="7"/>
    <w:qFormat/>
    <w:uiPriority w:val="0"/>
    <w:rPr>
      <w:rFonts w:ascii="宋体" w:hAnsi="宋体" w:eastAsia="宋体"/>
      <w:b/>
      <w:bCs/>
      <w:sz w:val="24"/>
      <w:lang w:val="en-US" w:eastAsia="zh-CN" w:bidi="ar-SA"/>
    </w:rPr>
  </w:style>
  <w:style w:type="paragraph" w:customStyle="1" w:styleId="8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styleId="81">
    <w:name w:val="List Paragraph"/>
    <w:basedOn w:val="1"/>
    <w:qFormat/>
    <w:uiPriority w:val="34"/>
    <w:pPr>
      <w:ind w:firstLine="420" w:firstLineChars="200"/>
    </w:pPr>
    <w:rPr>
      <w:rFonts w:ascii="Calibri" w:hAnsi="Calibri"/>
      <w:szCs w:val="22"/>
    </w:rPr>
  </w:style>
  <w:style w:type="paragraph" w:customStyle="1" w:styleId="82">
    <w:name w:val="USE 1"/>
    <w:basedOn w:val="1"/>
    <w:qFormat/>
    <w:uiPriority w:val="0"/>
    <w:pPr>
      <w:spacing w:line="200" w:lineRule="atLeast"/>
      <w:jc w:val="left"/>
    </w:pPr>
    <w:rPr>
      <w:rFonts w:ascii="宋体" w:hAnsi="宋体"/>
      <w:b/>
      <w:sz w:val="24"/>
      <w:szCs w:val="28"/>
    </w:rPr>
  </w:style>
  <w:style w:type="paragraph" w:customStyle="1" w:styleId="83">
    <w:name w:val="RFI text from 3rd Level"/>
    <w:basedOn w:val="1"/>
    <w:qFormat/>
    <w:uiPriority w:val="0"/>
    <w:pPr>
      <w:widowControl/>
      <w:numPr>
        <w:ilvl w:val="0"/>
        <w:numId w:val="3"/>
      </w:numPr>
      <w:tabs>
        <w:tab w:val="left" w:pos="1080"/>
        <w:tab w:val="clear" w:pos="840"/>
      </w:tabs>
      <w:spacing w:beforeLines="50" w:line="360" w:lineRule="auto"/>
      <w:ind w:left="0" w:firstLine="0"/>
    </w:pPr>
    <w:rPr>
      <w:rFonts w:ascii="Arial (W1)" w:hAnsi="Arial (W1)"/>
      <w:bCs/>
      <w:kern w:val="0"/>
      <w:sz w:val="24"/>
      <w:lang w:val="en-GB"/>
    </w:rPr>
  </w:style>
  <w:style w:type="paragraph" w:customStyle="1" w:styleId="84">
    <w:name w:val="正文文字缩进项目"/>
    <w:basedOn w:val="20"/>
    <w:qFormat/>
    <w:uiPriority w:val="0"/>
    <w:pPr>
      <w:numPr>
        <w:ilvl w:val="1"/>
        <w:numId w:val="3"/>
      </w:numPr>
      <w:tabs>
        <w:tab w:val="left" w:pos="840"/>
        <w:tab w:val="clear" w:pos="1260"/>
      </w:tabs>
      <w:spacing w:after="120" w:line="240" w:lineRule="auto"/>
      <w:ind w:left="840" w:firstLine="0" w:firstLineChars="0"/>
    </w:pPr>
    <w:rPr>
      <w:rFonts w:ascii="Tahoma" w:hAnsi="Tahoma"/>
      <w:sz w:val="22"/>
      <w:szCs w:val="20"/>
    </w:rPr>
  </w:style>
  <w:style w:type="paragraph" w:customStyle="1" w:styleId="85">
    <w:name w:val="样式 标题 2 + 段前: 13 磅 段后: 13 磅 行距: 单倍行距"/>
    <w:basedOn w:val="7"/>
    <w:qFormat/>
    <w:uiPriority w:val="0"/>
    <w:pPr>
      <w:adjustRightInd/>
      <w:spacing w:before="0" w:after="0"/>
      <w:jc w:val="both"/>
      <w:textAlignment w:val="auto"/>
    </w:pPr>
    <w:rPr>
      <w:rFonts w:ascii="Cambria" w:hAnsi="Cambria" w:cs="宋体"/>
      <w:kern w:val="2"/>
      <w:sz w:val="32"/>
    </w:rPr>
  </w:style>
  <w:style w:type="character" w:customStyle="1" w:styleId="86">
    <w:name w:val="H4 Char2"/>
    <w:qFormat/>
    <w:uiPriority w:val="0"/>
    <w:rPr>
      <w:rFonts w:ascii="Arial" w:hAnsi="Arial" w:eastAsia="黑体"/>
      <w:b/>
      <w:bCs/>
      <w:kern w:val="2"/>
      <w:sz w:val="28"/>
      <w:szCs w:val="28"/>
      <w:lang w:val="en-US" w:eastAsia="zh-CN" w:bidi="ar-SA"/>
    </w:rPr>
  </w:style>
  <w:style w:type="character" w:customStyle="1" w:styleId="87">
    <w:name w:val="正文文本缩进 Char"/>
    <w:link w:val="20"/>
    <w:qFormat/>
    <w:uiPriority w:val="0"/>
    <w:rPr>
      <w:rFonts w:eastAsia="宋体"/>
      <w:kern w:val="2"/>
      <w:sz w:val="21"/>
      <w:szCs w:val="24"/>
      <w:lang w:val="en-US" w:eastAsia="zh-CN" w:bidi="ar-SA"/>
    </w:rPr>
  </w:style>
  <w:style w:type="character" w:customStyle="1" w:styleId="88">
    <w:name w:val="标题 5 Char"/>
    <w:link w:val="8"/>
    <w:qFormat/>
    <w:uiPriority w:val="0"/>
    <w:rPr>
      <w:rFonts w:eastAsia="宋体"/>
      <w:b/>
      <w:kern w:val="2"/>
      <w:sz w:val="28"/>
      <w:lang w:val="en-US" w:eastAsia="zh-CN" w:bidi="ar-SA"/>
    </w:rPr>
  </w:style>
  <w:style w:type="character" w:customStyle="1" w:styleId="89">
    <w:name w:val="第*章 Char"/>
    <w:qFormat/>
    <w:uiPriority w:val="0"/>
    <w:rPr>
      <w:rFonts w:ascii="Arial" w:hAnsi="Arial" w:eastAsia="黑体"/>
      <w:b/>
      <w:bCs/>
      <w:kern w:val="2"/>
      <w:sz w:val="32"/>
      <w:szCs w:val="32"/>
    </w:rPr>
  </w:style>
  <w:style w:type="character" w:customStyle="1" w:styleId="90">
    <w:name w:val="章标题1 Char"/>
    <w:qFormat/>
    <w:uiPriority w:val="0"/>
    <w:rPr>
      <w:rFonts w:eastAsia="宋体"/>
      <w:b/>
      <w:bCs/>
      <w:kern w:val="2"/>
      <w:sz w:val="32"/>
      <w:szCs w:val="32"/>
      <w:lang w:val="en-US" w:eastAsia="zh-CN" w:bidi="ar-SA"/>
    </w:rPr>
  </w:style>
  <w:style w:type="character" w:customStyle="1" w:styleId="91">
    <w:name w:val="标题 6 Char"/>
    <w:link w:val="10"/>
    <w:qFormat/>
    <w:uiPriority w:val="0"/>
    <w:rPr>
      <w:rFonts w:ascii="Arial" w:hAnsi="Arial" w:eastAsia="黑体"/>
      <w:b/>
      <w:kern w:val="2"/>
      <w:sz w:val="24"/>
      <w:lang w:val="en-US" w:eastAsia="zh-CN" w:bidi="ar-SA"/>
    </w:rPr>
  </w:style>
  <w:style w:type="character" w:customStyle="1" w:styleId="92">
    <w:name w:val="标题 7 Char"/>
    <w:link w:val="11"/>
    <w:qFormat/>
    <w:uiPriority w:val="0"/>
    <w:rPr>
      <w:rFonts w:eastAsia="宋体"/>
      <w:b/>
      <w:kern w:val="2"/>
      <w:sz w:val="24"/>
      <w:lang w:val="en-US" w:eastAsia="zh-CN" w:bidi="ar-SA"/>
    </w:rPr>
  </w:style>
  <w:style w:type="character" w:customStyle="1" w:styleId="93">
    <w:name w:val="标题 8 Char"/>
    <w:link w:val="12"/>
    <w:qFormat/>
    <w:uiPriority w:val="0"/>
    <w:rPr>
      <w:rFonts w:ascii="Arial" w:hAnsi="Arial" w:eastAsia="黑体"/>
      <w:kern w:val="2"/>
      <w:sz w:val="24"/>
      <w:lang w:val="en-US" w:eastAsia="zh-CN" w:bidi="ar-SA"/>
    </w:rPr>
  </w:style>
  <w:style w:type="character" w:customStyle="1" w:styleId="94">
    <w:name w:val="标题 9 Char"/>
    <w:link w:val="13"/>
    <w:qFormat/>
    <w:uiPriority w:val="0"/>
    <w:rPr>
      <w:rFonts w:ascii="Arial" w:hAnsi="Arial" w:eastAsia="黑体"/>
      <w:kern w:val="2"/>
      <w:sz w:val="21"/>
      <w:lang w:val="en-US" w:eastAsia="zh-CN" w:bidi="ar-SA"/>
    </w:rPr>
  </w:style>
  <w:style w:type="character" w:customStyle="1" w:styleId="95">
    <w:name w:val="标题 Char"/>
    <w:link w:val="40"/>
    <w:qFormat/>
    <w:uiPriority w:val="0"/>
    <w:rPr>
      <w:rFonts w:ascii="Arial" w:hAnsi="Arial" w:eastAsia="隶书" w:cs="Arial"/>
      <w:b/>
      <w:bCs/>
      <w:kern w:val="2"/>
      <w:sz w:val="32"/>
      <w:szCs w:val="32"/>
      <w:lang w:val="en-US" w:eastAsia="zh-CN" w:bidi="ar-SA"/>
    </w:rPr>
  </w:style>
  <w:style w:type="character" w:customStyle="1" w:styleId="96">
    <w:name w:val="日期 Char"/>
    <w:link w:val="25"/>
    <w:qFormat/>
    <w:uiPriority w:val="0"/>
    <w:rPr>
      <w:rFonts w:ascii="宋体" w:hAnsi="Courier New" w:eastAsia="宋体"/>
      <w:kern w:val="2"/>
      <w:sz w:val="32"/>
      <w:lang w:val="en-US" w:eastAsia="zh-CN" w:bidi="ar-SA"/>
    </w:rPr>
  </w:style>
  <w:style w:type="character" w:customStyle="1" w:styleId="97">
    <w:name w:val="HTML 预设格式 Char"/>
    <w:link w:val="37"/>
    <w:qFormat/>
    <w:uiPriority w:val="0"/>
    <w:rPr>
      <w:rFonts w:ascii="Arial Unicode MS" w:hAnsi="Arial Unicode MS" w:eastAsia="Arial Unicode MS"/>
      <w:color w:val="000000"/>
      <w:lang w:val="en-US" w:eastAsia="zh-CN" w:bidi="ar-SA"/>
    </w:rPr>
  </w:style>
  <w:style w:type="character" w:customStyle="1" w:styleId="98">
    <w:name w:val="纯文本 Char"/>
    <w:link w:val="23"/>
    <w:qFormat/>
    <w:uiPriority w:val="0"/>
    <w:rPr>
      <w:rFonts w:ascii="宋体" w:hAnsi="Courier New" w:eastAsia="宋体"/>
      <w:kern w:val="2"/>
      <w:sz w:val="21"/>
      <w:lang w:val="en-US" w:eastAsia="zh-CN" w:bidi="ar-SA"/>
    </w:rPr>
  </w:style>
  <w:style w:type="character" w:customStyle="1" w:styleId="99">
    <w:name w:val="正文文字首行缩进 Char"/>
    <w:qFormat/>
    <w:uiPriority w:val="0"/>
    <w:rPr>
      <w:kern w:val="2"/>
      <w:sz w:val="21"/>
      <w:szCs w:val="24"/>
    </w:rPr>
  </w:style>
  <w:style w:type="character" w:customStyle="1" w:styleId="100">
    <w:name w:val="正文文本 Char"/>
    <w:link w:val="2"/>
    <w:qFormat/>
    <w:uiPriority w:val="0"/>
    <w:rPr>
      <w:rFonts w:eastAsia="宋体"/>
      <w:b/>
      <w:bCs/>
      <w:kern w:val="2"/>
      <w:sz w:val="24"/>
      <w:szCs w:val="24"/>
      <w:lang w:val="en-US" w:eastAsia="zh-CN" w:bidi="ar-SA"/>
    </w:rPr>
  </w:style>
  <w:style w:type="character" w:customStyle="1" w:styleId="101">
    <w:name w:val="正文文本缩进 2 Char"/>
    <w:link w:val="26"/>
    <w:qFormat/>
    <w:uiPriority w:val="0"/>
    <w:rPr>
      <w:rFonts w:ascii="宋体" w:hAnsi="宋体" w:eastAsia="宋体"/>
      <w:kern w:val="2"/>
      <w:sz w:val="21"/>
      <w:szCs w:val="24"/>
      <w:lang w:val="en-US" w:eastAsia="zh-CN" w:bidi="ar-SA"/>
    </w:rPr>
  </w:style>
  <w:style w:type="character" w:customStyle="1" w:styleId="102">
    <w:name w:val="页眉 Char"/>
    <w:link w:val="29"/>
    <w:qFormat/>
    <w:uiPriority w:val="99"/>
    <w:rPr>
      <w:rFonts w:eastAsia="宋体"/>
      <w:kern w:val="2"/>
      <w:sz w:val="18"/>
      <w:szCs w:val="18"/>
      <w:lang w:val="en-US" w:eastAsia="zh-CN" w:bidi="ar-SA"/>
    </w:rPr>
  </w:style>
  <w:style w:type="character" w:customStyle="1" w:styleId="103">
    <w:name w:val="正文文本缩进 3 Char"/>
    <w:link w:val="34"/>
    <w:qFormat/>
    <w:uiPriority w:val="0"/>
    <w:rPr>
      <w:rFonts w:ascii="宋体" w:eastAsia="宋体"/>
      <w:b/>
      <w:bCs/>
      <w:kern w:val="2"/>
      <w:sz w:val="24"/>
      <w:szCs w:val="24"/>
      <w:lang w:val="en-US" w:eastAsia="zh-CN" w:bidi="ar-SA"/>
    </w:rPr>
  </w:style>
  <w:style w:type="character" w:customStyle="1" w:styleId="104">
    <w:name w:val="正文文本 2 Char"/>
    <w:link w:val="3"/>
    <w:qFormat/>
    <w:uiPriority w:val="0"/>
    <w:rPr>
      <w:rFonts w:eastAsia="宋体"/>
      <w:kern w:val="2"/>
      <w:sz w:val="24"/>
      <w:szCs w:val="24"/>
      <w:lang w:val="en-US" w:eastAsia="zh-CN" w:bidi="ar-SA"/>
    </w:rPr>
  </w:style>
  <w:style w:type="character" w:customStyle="1" w:styleId="105">
    <w:name w:val="页脚 Char"/>
    <w:link w:val="28"/>
    <w:qFormat/>
    <w:uiPriority w:val="0"/>
    <w:rPr>
      <w:rFonts w:eastAsia="宋体"/>
      <w:kern w:val="2"/>
      <w:sz w:val="18"/>
      <w:szCs w:val="18"/>
      <w:lang w:val="en-US" w:eastAsia="zh-CN" w:bidi="ar-SA"/>
    </w:rPr>
  </w:style>
  <w:style w:type="character" w:customStyle="1" w:styleId="106">
    <w:name w:val="正文文本 3 Char"/>
    <w:link w:val="19"/>
    <w:qFormat/>
    <w:uiPriority w:val="0"/>
    <w:rPr>
      <w:rFonts w:eastAsia="宋体"/>
      <w:kern w:val="2"/>
      <w:sz w:val="16"/>
      <w:szCs w:val="16"/>
      <w:lang w:val="en-US" w:eastAsia="zh-CN" w:bidi="ar-SA"/>
    </w:rPr>
  </w:style>
  <w:style w:type="character" w:customStyle="1" w:styleId="107">
    <w:name w:val="批注框文本 Char"/>
    <w:link w:val="27"/>
    <w:semiHidden/>
    <w:qFormat/>
    <w:uiPriority w:val="99"/>
    <w:rPr>
      <w:rFonts w:eastAsia="宋体"/>
      <w:kern w:val="2"/>
      <w:sz w:val="18"/>
      <w:szCs w:val="18"/>
      <w:lang w:val="en-US" w:eastAsia="zh-CN" w:bidi="ar-SA"/>
    </w:rPr>
  </w:style>
  <w:style w:type="paragraph" w:customStyle="1" w:styleId="108">
    <w:name w:val="样式1"/>
    <w:basedOn w:val="40"/>
    <w:qFormat/>
    <w:uiPriority w:val="0"/>
    <w:pPr>
      <w:spacing w:before="120" w:after="120"/>
    </w:pPr>
    <w:rPr>
      <w:rFonts w:eastAsia="黑体"/>
      <w:b w:val="0"/>
      <w:sz w:val="30"/>
      <w:szCs w:val="21"/>
    </w:rPr>
  </w:style>
  <w:style w:type="paragraph" w:customStyle="1" w:styleId="109">
    <w:name w:val="样式2"/>
    <w:basedOn w:val="40"/>
    <w:next w:val="108"/>
    <w:qFormat/>
    <w:uiPriority w:val="0"/>
    <w:pPr>
      <w:spacing w:before="120" w:after="120"/>
    </w:pPr>
    <w:rPr>
      <w:rFonts w:eastAsia="黑体"/>
      <w:b w:val="0"/>
      <w:sz w:val="30"/>
      <w:szCs w:val="30"/>
    </w:rPr>
  </w:style>
  <w:style w:type="character" w:customStyle="1" w:styleId="110">
    <w:name w:val="标题 3 Char Char"/>
    <w:qFormat/>
    <w:uiPriority w:val="0"/>
    <w:rPr>
      <w:rFonts w:eastAsia="宋体"/>
      <w:b/>
      <w:bCs/>
      <w:kern w:val="2"/>
      <w:sz w:val="32"/>
      <w:szCs w:val="32"/>
      <w:lang w:val="en-US" w:eastAsia="zh-CN" w:bidi="ar-SA"/>
    </w:rPr>
  </w:style>
  <w:style w:type="paragraph" w:customStyle="1" w:styleId="111">
    <w:name w:val="Char Char Char Char Char Char1 Char Char Char Char Char Char Char Char Char Char Char Char Char"/>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112">
    <w:name w:val="cont"/>
    <w:basedOn w:val="1"/>
    <w:qFormat/>
    <w:uiPriority w:val="0"/>
    <w:pPr>
      <w:adjustRightInd w:val="0"/>
      <w:spacing w:before="100" w:after="100" w:line="360" w:lineRule="auto"/>
      <w:ind w:firstLine="200" w:firstLineChars="200"/>
      <w:jc w:val="left"/>
      <w:textAlignment w:val="baseline"/>
    </w:pPr>
    <w:rPr>
      <w:rFonts w:ascii="Arial" w:hAnsi="Arial"/>
      <w:kern w:val="0"/>
      <w:sz w:val="24"/>
      <w:szCs w:val="20"/>
    </w:rPr>
  </w:style>
  <w:style w:type="paragraph" w:customStyle="1" w:styleId="113">
    <w:name w:val="--规划正文"/>
    <w:basedOn w:val="1"/>
    <w:qFormat/>
    <w:uiPriority w:val="0"/>
    <w:pPr>
      <w:spacing w:line="360" w:lineRule="auto"/>
      <w:ind w:firstLine="200" w:firstLineChars="200"/>
    </w:pPr>
    <w:rPr>
      <w:szCs w:val="20"/>
    </w:rPr>
  </w:style>
  <w:style w:type="paragraph" w:customStyle="1" w:styleId="114">
    <w:name w:val="设计依据"/>
    <w:basedOn w:val="2"/>
    <w:qFormat/>
    <w:uiPriority w:val="0"/>
    <w:pPr>
      <w:numPr>
        <w:ilvl w:val="1"/>
        <w:numId w:val="4"/>
      </w:numPr>
      <w:tabs>
        <w:tab w:val="left" w:pos="1440"/>
        <w:tab w:val="clear" w:pos="840"/>
      </w:tabs>
      <w:adjustRightInd w:val="0"/>
      <w:ind w:left="1440"/>
      <w:textAlignment w:val="baseline"/>
    </w:pPr>
    <w:rPr>
      <w:rFonts w:ascii="宋体" w:hAnsi="宋体"/>
      <w:b w:val="0"/>
      <w:kern w:val="0"/>
      <w:sz w:val="28"/>
      <w:szCs w:val="18"/>
    </w:rPr>
  </w:style>
  <w:style w:type="paragraph" w:customStyle="1" w:styleId="115">
    <w:name w:val="方案要点"/>
    <w:basedOn w:val="1"/>
    <w:qFormat/>
    <w:uiPriority w:val="0"/>
    <w:pPr>
      <w:numPr>
        <w:ilvl w:val="0"/>
        <w:numId w:val="4"/>
      </w:numPr>
      <w:spacing w:line="360" w:lineRule="auto"/>
    </w:pPr>
    <w:rPr>
      <w:rFonts w:ascii="仿宋_GB2312" w:hAnsi="宋体" w:eastAsia="仿宋_GB2312"/>
      <w:color w:val="000000"/>
      <w:sz w:val="28"/>
      <w:szCs w:val="28"/>
    </w:rPr>
  </w:style>
  <w:style w:type="paragraph" w:customStyle="1" w:styleId="116">
    <w:name w:val="样式4"/>
    <w:basedOn w:val="1"/>
    <w:qFormat/>
    <w:uiPriority w:val="0"/>
    <w:pPr>
      <w:tabs>
        <w:tab w:val="left" w:pos="842"/>
      </w:tabs>
      <w:spacing w:line="360" w:lineRule="auto"/>
      <w:ind w:left="842" w:hanging="420"/>
    </w:pPr>
    <w:rPr>
      <w:sz w:val="24"/>
    </w:rPr>
  </w:style>
  <w:style w:type="paragraph" w:customStyle="1" w:styleId="117">
    <w:name w:val="文字"/>
    <w:basedOn w:val="1"/>
    <w:qFormat/>
    <w:uiPriority w:val="0"/>
    <w:pPr>
      <w:tabs>
        <w:tab w:val="left" w:pos="8520"/>
      </w:tabs>
      <w:spacing w:line="312" w:lineRule="auto"/>
      <w:ind w:right="-210" w:firstLine="556"/>
    </w:pPr>
    <w:rPr>
      <w:rFonts w:ascii="宋体"/>
      <w:sz w:val="28"/>
      <w:szCs w:val="20"/>
    </w:rPr>
  </w:style>
  <w:style w:type="paragraph" w:customStyle="1" w:styleId="118">
    <w:name w:val="--规划-表格-居左"/>
    <w:basedOn w:val="113"/>
    <w:qFormat/>
    <w:uiPriority w:val="0"/>
    <w:pPr>
      <w:spacing w:line="240" w:lineRule="auto"/>
      <w:ind w:firstLine="0" w:firstLineChars="0"/>
    </w:pPr>
    <w:rPr>
      <w:sz w:val="20"/>
    </w:rPr>
  </w:style>
  <w:style w:type="paragraph" w:customStyle="1" w:styleId="119">
    <w:name w:val="--规划-表格-居中"/>
    <w:basedOn w:val="113"/>
    <w:qFormat/>
    <w:uiPriority w:val="0"/>
    <w:pPr>
      <w:spacing w:line="240" w:lineRule="auto"/>
      <w:ind w:firstLine="0" w:firstLineChars="0"/>
      <w:jc w:val="center"/>
    </w:pPr>
    <w:rPr>
      <w:sz w:val="20"/>
    </w:rPr>
  </w:style>
  <w:style w:type="paragraph" w:customStyle="1" w:styleId="120">
    <w:name w:val="--编号内缩进"/>
    <w:basedOn w:val="1"/>
    <w:qFormat/>
    <w:uiPriority w:val="0"/>
    <w:pPr>
      <w:spacing w:line="360" w:lineRule="auto"/>
      <w:ind w:left="420" w:firstLine="200" w:firstLineChars="200"/>
    </w:pPr>
    <w:rPr>
      <w:szCs w:val="21"/>
    </w:rPr>
  </w:style>
  <w:style w:type="paragraph" w:customStyle="1" w:styleId="121">
    <w:name w:val="--规划-题注"/>
    <w:basedOn w:val="1"/>
    <w:next w:val="113"/>
    <w:qFormat/>
    <w:uiPriority w:val="0"/>
    <w:pPr>
      <w:spacing w:line="360" w:lineRule="auto"/>
      <w:jc w:val="center"/>
    </w:pPr>
    <w:rPr>
      <w:rFonts w:eastAsia="黑体"/>
    </w:rPr>
  </w:style>
  <w:style w:type="paragraph" w:customStyle="1" w:styleId="122">
    <w:name w:val="--规划-图和表"/>
    <w:next w:val="113"/>
    <w:qFormat/>
    <w:uiPriority w:val="0"/>
    <w:pPr>
      <w:jc w:val="center"/>
    </w:pPr>
    <w:rPr>
      <w:rFonts w:ascii="Times New Roman" w:hAnsi="Times New Roman" w:eastAsia="宋体" w:cs="Times New Roman"/>
      <w:kern w:val="2"/>
      <w:sz w:val="21"/>
      <w:lang w:val="en-US" w:eastAsia="zh-CN" w:bidi="ar-SA"/>
    </w:rPr>
  </w:style>
  <w:style w:type="paragraph" w:customStyle="1" w:styleId="123">
    <w:name w:val="--规划-小标题"/>
    <w:basedOn w:val="1"/>
    <w:next w:val="113"/>
    <w:qFormat/>
    <w:uiPriority w:val="0"/>
    <w:pPr>
      <w:keepNext/>
      <w:keepLines/>
      <w:spacing w:line="360" w:lineRule="auto"/>
      <w:outlineLvl w:val="4"/>
    </w:pPr>
    <w:rPr>
      <w:rFonts w:eastAsia="黑体"/>
    </w:rPr>
  </w:style>
  <w:style w:type="paragraph" w:customStyle="1" w:styleId="124">
    <w:name w:val="--规划正文 Char"/>
    <w:basedOn w:val="1"/>
    <w:qFormat/>
    <w:uiPriority w:val="0"/>
    <w:pPr>
      <w:spacing w:line="360" w:lineRule="auto"/>
      <w:ind w:firstLine="200" w:firstLineChars="200"/>
    </w:pPr>
    <w:rPr>
      <w:sz w:val="24"/>
    </w:rPr>
  </w:style>
  <w:style w:type="paragraph" w:customStyle="1" w:styleId="125">
    <w:name w:val="缺省文本"/>
    <w:basedOn w:val="1"/>
    <w:qFormat/>
    <w:uiPriority w:val="0"/>
    <w:pPr>
      <w:autoSpaceDE w:val="0"/>
      <w:autoSpaceDN w:val="0"/>
      <w:adjustRightInd w:val="0"/>
      <w:jc w:val="left"/>
    </w:pPr>
    <w:rPr>
      <w:kern w:val="0"/>
    </w:rPr>
  </w:style>
  <w:style w:type="paragraph" w:customStyle="1" w:styleId="126">
    <w:name w:val="封面文档标题"/>
    <w:basedOn w:val="1"/>
    <w:qFormat/>
    <w:uiPriority w:val="0"/>
    <w:pPr>
      <w:autoSpaceDE w:val="0"/>
      <w:autoSpaceDN w:val="0"/>
      <w:adjustRightInd w:val="0"/>
      <w:spacing w:line="360" w:lineRule="auto"/>
      <w:jc w:val="center"/>
    </w:pPr>
    <w:rPr>
      <w:rFonts w:ascii="Arial" w:hAnsi="Arial"/>
      <w:b/>
      <w:kern w:val="0"/>
      <w:sz w:val="56"/>
    </w:rPr>
  </w:style>
  <w:style w:type="character" w:customStyle="1" w:styleId="127">
    <w:name w:val="--规划正文 Char Char"/>
    <w:qFormat/>
    <w:uiPriority w:val="0"/>
    <w:rPr>
      <w:rFonts w:eastAsia="宋体"/>
      <w:kern w:val="2"/>
      <w:sz w:val="24"/>
      <w:szCs w:val="24"/>
      <w:lang w:val="en-US" w:eastAsia="zh-CN" w:bidi="ar-SA"/>
    </w:rPr>
  </w:style>
  <w:style w:type="paragraph" w:customStyle="1" w:styleId="128">
    <w:name w:val="样式3"/>
    <w:basedOn w:val="4"/>
    <w:qFormat/>
    <w:uiPriority w:val="0"/>
    <w:pPr>
      <w:numPr>
        <w:ilvl w:val="0"/>
        <w:numId w:val="5"/>
      </w:numPr>
      <w:spacing w:before="240" w:after="240" w:line="480" w:lineRule="auto"/>
      <w:ind w:right="210" w:rightChars="100"/>
      <w:jc w:val="left"/>
    </w:pPr>
    <w:rPr>
      <w:rFonts w:ascii="Times New Roman" w:hAnsi="Times New Roman"/>
      <w:sz w:val="32"/>
    </w:rPr>
  </w:style>
  <w:style w:type="character" w:customStyle="1" w:styleId="129">
    <w:name w:val="--规划正文 Char1"/>
    <w:qFormat/>
    <w:uiPriority w:val="0"/>
    <w:rPr>
      <w:rFonts w:eastAsia="宋体"/>
      <w:kern w:val="2"/>
      <w:sz w:val="21"/>
      <w:lang w:val="en-US" w:eastAsia="zh-CN" w:bidi="ar-SA"/>
    </w:rPr>
  </w:style>
  <w:style w:type="paragraph" w:customStyle="1" w:styleId="130">
    <w:name w:val="word"/>
    <w:basedOn w:val="1"/>
    <w:qFormat/>
    <w:uiPriority w:val="0"/>
    <w:pPr>
      <w:widowControl/>
      <w:spacing w:before="100" w:beforeAutospacing="1" w:after="100" w:afterAutospacing="1" w:line="301" w:lineRule="atLeast"/>
      <w:jc w:val="left"/>
    </w:pPr>
    <w:rPr>
      <w:rFonts w:ascii="ˎ̥" w:hAnsi="ˎ̥"/>
      <w:color w:val="000000"/>
      <w:kern w:val="0"/>
      <w:sz w:val="20"/>
      <w:szCs w:val="20"/>
    </w:rPr>
  </w:style>
  <w:style w:type="paragraph" w:customStyle="1" w:styleId="131">
    <w:name w:val="列表项目"/>
    <w:basedOn w:val="1"/>
    <w:qFormat/>
    <w:uiPriority w:val="0"/>
    <w:pPr>
      <w:tabs>
        <w:tab w:val="left" w:pos="420"/>
        <w:tab w:val="left" w:pos="1080"/>
      </w:tabs>
      <w:spacing w:line="288" w:lineRule="auto"/>
      <w:ind w:left="1080" w:hanging="360"/>
    </w:pPr>
    <w:rPr>
      <w:sz w:val="24"/>
      <w:szCs w:val="20"/>
    </w:rPr>
  </w:style>
  <w:style w:type="character" w:customStyle="1" w:styleId="132">
    <w:name w:val="content1"/>
    <w:qFormat/>
    <w:uiPriority w:val="0"/>
    <w:rPr>
      <w:rFonts w:hint="default" w:ascii="??" w:hAnsi="??"/>
      <w:sz w:val="16"/>
      <w:szCs w:val="16"/>
      <w:u w:val="none"/>
    </w:rPr>
  </w:style>
  <w:style w:type="character" w:customStyle="1" w:styleId="133">
    <w:name w:val="unnamed4"/>
    <w:basedOn w:val="45"/>
    <w:qFormat/>
    <w:uiPriority w:val="0"/>
  </w:style>
  <w:style w:type="character" w:customStyle="1" w:styleId="134">
    <w:name w:val="font2"/>
    <w:basedOn w:val="45"/>
    <w:qFormat/>
    <w:uiPriority w:val="0"/>
  </w:style>
  <w:style w:type="character" w:customStyle="1" w:styleId="135">
    <w:name w:val="font41"/>
    <w:qFormat/>
    <w:uiPriority w:val="0"/>
    <w:rPr>
      <w:color w:val="000000"/>
      <w:spacing w:val="260"/>
      <w:sz w:val="18"/>
      <w:szCs w:val="18"/>
      <w:u w:val="none"/>
    </w:rPr>
  </w:style>
  <w:style w:type="paragraph" w:customStyle="1" w:styleId="136">
    <w:name w:val="正文(首行缩进)"/>
    <w:qFormat/>
    <w:uiPriority w:val="0"/>
    <w:pPr>
      <w:spacing w:line="360" w:lineRule="auto"/>
      <w:ind w:firstLine="488" w:firstLineChars="200"/>
      <w:jc w:val="both"/>
    </w:pPr>
    <w:rPr>
      <w:rFonts w:ascii="Times New Roman" w:hAnsi="Times New Roman" w:eastAsia="仿宋_GB2312" w:cs="Times New Roman"/>
      <w:spacing w:val="2"/>
      <w:sz w:val="24"/>
      <w:szCs w:val="24"/>
      <w:lang w:val="en-US" w:eastAsia="zh-CN" w:bidi="ar-SA"/>
    </w:rPr>
  </w:style>
  <w:style w:type="paragraph" w:customStyle="1" w:styleId="137">
    <w:name w:val="xl72"/>
    <w:basedOn w:val="1"/>
    <w:qFormat/>
    <w:uiPriority w:val="0"/>
    <w:pPr>
      <w:widowControl/>
      <w:spacing w:before="100" w:beforeAutospacing="1" w:after="100" w:afterAutospacing="1"/>
      <w:jc w:val="left"/>
    </w:pPr>
    <w:rPr>
      <w:rFonts w:ascii="宋体" w:hAnsi="宋体"/>
      <w:b/>
      <w:bCs/>
      <w:kern w:val="0"/>
      <w:sz w:val="28"/>
      <w:szCs w:val="28"/>
    </w:rPr>
  </w:style>
  <w:style w:type="character" w:customStyle="1" w:styleId="138">
    <w:name w:val="正文首行缩进 Char"/>
    <w:link w:val="42"/>
    <w:qFormat/>
    <w:uiPriority w:val="0"/>
    <w:rPr>
      <w:rFonts w:eastAsia="宋体"/>
      <w:b/>
      <w:bCs/>
      <w:kern w:val="2"/>
      <w:sz w:val="21"/>
      <w:szCs w:val="24"/>
      <w:lang w:val="en-US" w:eastAsia="zh-CN" w:bidi="ar-SA"/>
    </w:rPr>
  </w:style>
  <w:style w:type="paragraph" w:customStyle="1" w:styleId="139">
    <w:name w:val="正文(首行缩进) Char"/>
    <w:qFormat/>
    <w:uiPriority w:val="0"/>
    <w:pPr>
      <w:spacing w:before="120" w:after="60" w:line="360" w:lineRule="auto"/>
      <w:ind w:firstLine="200" w:firstLineChars="200"/>
    </w:pPr>
    <w:rPr>
      <w:rFonts w:ascii="Times New Roman" w:hAnsi="Times New Roman" w:eastAsia="仿宋_GB2312" w:cs="Times New Roman"/>
      <w:spacing w:val="2"/>
      <w:kern w:val="24"/>
      <w:sz w:val="24"/>
      <w:szCs w:val="24"/>
      <w:lang w:val="en-US" w:eastAsia="zh-CN" w:bidi="ar-SA"/>
    </w:rPr>
  </w:style>
  <w:style w:type="paragraph" w:customStyle="1" w:styleId="140">
    <w:name w:val="汉议细等线简8"/>
    <w:qFormat/>
    <w:uiPriority w:val="0"/>
    <w:pPr>
      <w:widowControl w:val="0"/>
      <w:autoSpaceDE w:val="0"/>
      <w:autoSpaceDN w:val="0"/>
      <w:adjustRightInd w:val="0"/>
      <w:spacing w:line="260" w:lineRule="atLeast"/>
      <w:jc w:val="both"/>
    </w:pPr>
    <w:rPr>
      <w:rFonts w:ascii="汉仪细等线简" w:hAnsi="Times New Roman" w:eastAsia="汉仪细等线简" w:cs="Times New Roman"/>
      <w:color w:val="000000"/>
      <w:sz w:val="16"/>
      <w:szCs w:val="16"/>
      <w:lang w:val="en-US" w:eastAsia="zh-CN" w:bidi="ar-SA"/>
    </w:rPr>
  </w:style>
  <w:style w:type="paragraph" w:customStyle="1" w:styleId="141">
    <w:name w:val="汉仪细等线简9BOLD"/>
    <w:basedOn w:val="1"/>
    <w:qFormat/>
    <w:uiPriority w:val="0"/>
    <w:pPr>
      <w:autoSpaceDE w:val="0"/>
      <w:autoSpaceDN w:val="0"/>
      <w:adjustRightInd w:val="0"/>
      <w:spacing w:line="240" w:lineRule="atLeast"/>
    </w:pPr>
    <w:rPr>
      <w:rFonts w:ascii="汉仪细等线简" w:eastAsia="汉仪细等线简"/>
      <w:b/>
      <w:bCs/>
      <w:kern w:val="0"/>
      <w:sz w:val="18"/>
      <w:szCs w:val="18"/>
    </w:rPr>
  </w:style>
  <w:style w:type="character" w:customStyle="1" w:styleId="142">
    <w:name w:val="mode"/>
    <w:basedOn w:val="45"/>
    <w:qFormat/>
    <w:uiPriority w:val="0"/>
  </w:style>
  <w:style w:type="paragraph" w:customStyle="1" w:styleId="143">
    <w:name w:val="9"/>
    <w:basedOn w:val="1"/>
    <w:next w:val="9"/>
    <w:qFormat/>
    <w:uiPriority w:val="0"/>
    <w:pPr>
      <w:autoSpaceDE w:val="0"/>
      <w:autoSpaceDN w:val="0"/>
      <w:adjustRightInd w:val="0"/>
      <w:ind w:firstLine="420"/>
      <w:jc w:val="left"/>
      <w:textAlignment w:val="baseline"/>
    </w:pPr>
    <w:rPr>
      <w:rFonts w:ascii="宋体"/>
      <w:kern w:val="0"/>
      <w:sz w:val="34"/>
      <w:szCs w:val="20"/>
    </w:rPr>
  </w:style>
  <w:style w:type="character" w:customStyle="1" w:styleId="144">
    <w:name w:val="unnamed3"/>
    <w:basedOn w:val="45"/>
    <w:qFormat/>
    <w:uiPriority w:val="0"/>
  </w:style>
  <w:style w:type="paragraph" w:customStyle="1" w:styleId="145">
    <w:name w:val="8"/>
    <w:basedOn w:val="1"/>
    <w:next w:val="20"/>
    <w:qFormat/>
    <w:uiPriority w:val="0"/>
    <w:pPr>
      <w:spacing w:after="120"/>
      <w:ind w:left="420" w:leftChars="200"/>
    </w:pPr>
  </w:style>
  <w:style w:type="paragraph" w:customStyle="1" w:styleId="146">
    <w:name w:val="7"/>
    <w:basedOn w:val="1"/>
    <w:qFormat/>
    <w:uiPriority w:val="0"/>
    <w:pPr>
      <w:autoSpaceDE w:val="0"/>
      <w:autoSpaceDN w:val="0"/>
      <w:adjustRightInd w:val="0"/>
      <w:spacing w:line="270" w:lineRule="atLeast"/>
      <w:jc w:val="left"/>
    </w:pPr>
    <w:rPr>
      <w:rFonts w:ascii="宋体"/>
      <w:kern w:val="0"/>
      <w:sz w:val="18"/>
      <w:szCs w:val="18"/>
    </w:rPr>
  </w:style>
  <w:style w:type="paragraph" w:customStyle="1" w:styleId="147">
    <w:name w:val="00"/>
    <w:basedOn w:val="1"/>
    <w:qFormat/>
    <w:uiPriority w:val="0"/>
    <w:pPr>
      <w:autoSpaceDE w:val="0"/>
      <w:autoSpaceDN w:val="0"/>
      <w:adjustRightInd w:val="0"/>
      <w:jc w:val="left"/>
    </w:pPr>
    <w:rPr>
      <w:rFonts w:ascii="黑体" w:eastAsia="黑体"/>
      <w:b/>
      <w:bCs/>
      <w:kern w:val="0"/>
      <w:sz w:val="20"/>
      <w:szCs w:val="20"/>
    </w:rPr>
  </w:style>
  <w:style w:type="paragraph" w:customStyle="1" w:styleId="148">
    <w:name w:val="5"/>
    <w:basedOn w:val="1"/>
    <w:qFormat/>
    <w:uiPriority w:val="0"/>
    <w:pPr>
      <w:autoSpaceDE w:val="0"/>
      <w:autoSpaceDN w:val="0"/>
      <w:adjustRightInd w:val="0"/>
      <w:jc w:val="left"/>
    </w:pPr>
    <w:rPr>
      <w:rFonts w:ascii="宋体"/>
      <w:b/>
      <w:bCs/>
      <w:kern w:val="0"/>
      <w:sz w:val="18"/>
      <w:szCs w:val="18"/>
    </w:rPr>
  </w:style>
  <w:style w:type="paragraph" w:customStyle="1" w:styleId="149">
    <w:name w:val="6"/>
    <w:basedOn w:val="148"/>
    <w:qFormat/>
    <w:uiPriority w:val="0"/>
    <w:pPr>
      <w:spacing w:line="270" w:lineRule="atLeast"/>
      <w:jc w:val="both"/>
    </w:pPr>
    <w:rPr>
      <w:b w:val="0"/>
      <w:bCs w:val="0"/>
    </w:rPr>
  </w:style>
  <w:style w:type="paragraph" w:customStyle="1" w:styleId="150">
    <w:name w:val="产品描述"/>
    <w:qFormat/>
    <w:uiPriority w:val="0"/>
    <w:pPr>
      <w:widowControl w:val="0"/>
      <w:autoSpaceDE w:val="0"/>
      <w:autoSpaceDN w:val="0"/>
      <w:adjustRightInd w:val="0"/>
      <w:spacing w:line="270" w:lineRule="atLeast"/>
      <w:ind w:firstLine="397"/>
      <w:jc w:val="both"/>
    </w:pPr>
    <w:rPr>
      <w:rFonts w:ascii="宋体" w:hAnsi="Times New Roman" w:eastAsia="宋体" w:cs="Times New Roman"/>
      <w:sz w:val="18"/>
      <w:szCs w:val="18"/>
      <w:lang w:val="en-US" w:eastAsia="zh-CN" w:bidi="ar-SA"/>
    </w:rPr>
  </w:style>
  <w:style w:type="paragraph" w:customStyle="1" w:styleId="151">
    <w:name w:val="姜文清定义的正文"/>
    <w:basedOn w:val="1"/>
    <w:qFormat/>
    <w:uiPriority w:val="0"/>
    <w:pPr>
      <w:spacing w:line="240" w:lineRule="atLeast"/>
      <w:ind w:firstLine="567"/>
    </w:pPr>
    <w:rPr>
      <w:szCs w:val="20"/>
    </w:rPr>
  </w:style>
  <w:style w:type="paragraph" w:customStyle="1" w:styleId="152">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paragraph" w:customStyle="1" w:styleId="153">
    <w:name w:val="CM2"/>
    <w:basedOn w:val="152"/>
    <w:next w:val="152"/>
    <w:qFormat/>
    <w:uiPriority w:val="0"/>
    <w:pPr>
      <w:spacing w:line="200" w:lineRule="atLeast"/>
    </w:pPr>
    <w:rPr>
      <w:rFonts w:ascii="Arial" w:hAnsi="Arial" w:eastAsia="宋体" w:cs="Times New Roman"/>
      <w:color w:val="auto"/>
    </w:rPr>
  </w:style>
  <w:style w:type="paragraph" w:customStyle="1" w:styleId="154">
    <w:name w:val="Normal Paragraph"/>
    <w:basedOn w:val="1"/>
    <w:qFormat/>
    <w:uiPriority w:val="0"/>
    <w:pPr>
      <w:widowControl/>
      <w:spacing w:before="120" w:line="360" w:lineRule="auto"/>
      <w:ind w:firstLine="425"/>
    </w:pPr>
    <w:rPr>
      <w:kern w:val="0"/>
      <w:sz w:val="24"/>
    </w:rPr>
  </w:style>
  <w:style w:type="character" w:customStyle="1" w:styleId="155">
    <w:name w:val="blue"/>
    <w:basedOn w:val="45"/>
    <w:qFormat/>
    <w:uiPriority w:val="0"/>
  </w:style>
  <w:style w:type="paragraph" w:customStyle="1" w:styleId="156">
    <w:name w:val="blue1"/>
    <w:basedOn w:val="1"/>
    <w:qFormat/>
    <w:uiPriority w:val="0"/>
    <w:pPr>
      <w:widowControl/>
      <w:spacing w:before="100" w:beforeAutospacing="1" w:after="100" w:afterAutospacing="1"/>
      <w:jc w:val="left"/>
    </w:pPr>
    <w:rPr>
      <w:rFonts w:ascii="宋体" w:hAnsi="宋体" w:cs="宋体"/>
      <w:kern w:val="0"/>
      <w:sz w:val="24"/>
    </w:rPr>
  </w:style>
  <w:style w:type="character" w:customStyle="1" w:styleId="157">
    <w:name w:val="font"/>
    <w:basedOn w:val="45"/>
    <w:qFormat/>
    <w:uiPriority w:val="0"/>
  </w:style>
  <w:style w:type="character" w:customStyle="1" w:styleId="158">
    <w:name w:val="font11"/>
    <w:qFormat/>
    <w:uiPriority w:val="0"/>
    <w:rPr>
      <w:rFonts w:hint="default" w:ascii="ˎ̥" w:hAnsi="ˎ̥"/>
    </w:rPr>
  </w:style>
  <w:style w:type="paragraph" w:customStyle="1" w:styleId="159">
    <w:name w:val="a14"/>
    <w:basedOn w:val="1"/>
    <w:qFormat/>
    <w:uiPriority w:val="0"/>
    <w:pPr>
      <w:widowControl/>
      <w:spacing w:before="100" w:beforeAutospacing="1" w:after="100" w:afterAutospacing="1" w:line="300" w:lineRule="atLeast"/>
      <w:ind w:firstLine="375"/>
      <w:jc w:val="left"/>
    </w:pPr>
    <w:rPr>
      <w:rFonts w:ascii="宋体" w:hAnsi="宋体" w:cs="宋体"/>
      <w:kern w:val="0"/>
      <w:szCs w:val="21"/>
    </w:rPr>
  </w:style>
  <w:style w:type="character" w:customStyle="1" w:styleId="160">
    <w:name w:val="proddescription"/>
    <w:basedOn w:val="45"/>
    <w:qFormat/>
    <w:uiPriority w:val="0"/>
  </w:style>
  <w:style w:type="character" w:customStyle="1" w:styleId="161">
    <w:name w:val="prodheadlines"/>
    <w:basedOn w:val="45"/>
    <w:qFormat/>
    <w:uiPriority w:val="0"/>
  </w:style>
  <w:style w:type="character" w:customStyle="1" w:styleId="162">
    <w:name w:val="text"/>
    <w:basedOn w:val="45"/>
    <w:qFormat/>
    <w:uiPriority w:val="0"/>
  </w:style>
  <w:style w:type="paragraph" w:customStyle="1" w:styleId="163">
    <w:name w:val="text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4">
    <w:name w:val="z-窗体顶端1"/>
    <w:basedOn w:val="1"/>
    <w:next w:val="1"/>
    <w:hidden/>
    <w:qFormat/>
    <w:uiPriority w:val="0"/>
    <w:pPr>
      <w:widowControl/>
      <w:pBdr>
        <w:bottom w:val="single" w:color="auto" w:sz="6" w:space="1"/>
      </w:pBdr>
      <w:jc w:val="center"/>
    </w:pPr>
    <w:rPr>
      <w:rFonts w:ascii="Arial" w:hAnsi="Arial" w:cs="Arial"/>
      <w:vanish/>
      <w:kern w:val="0"/>
      <w:sz w:val="16"/>
      <w:szCs w:val="16"/>
    </w:rPr>
  </w:style>
  <w:style w:type="paragraph" w:customStyle="1" w:styleId="165">
    <w:name w:val="z-窗体底端1"/>
    <w:basedOn w:val="1"/>
    <w:next w:val="1"/>
    <w:hidden/>
    <w:qFormat/>
    <w:uiPriority w:val="0"/>
    <w:pPr>
      <w:widowControl/>
      <w:pBdr>
        <w:top w:val="single" w:color="auto" w:sz="6" w:space="1"/>
      </w:pBdr>
      <w:jc w:val="center"/>
    </w:pPr>
    <w:rPr>
      <w:rFonts w:ascii="Arial" w:hAnsi="Arial" w:cs="Arial"/>
      <w:vanish/>
      <w:kern w:val="0"/>
      <w:sz w:val="16"/>
      <w:szCs w:val="16"/>
    </w:rPr>
  </w:style>
  <w:style w:type="paragraph" w:customStyle="1" w:styleId="166">
    <w:name w:val="正文样式"/>
    <w:basedOn w:val="1"/>
    <w:qFormat/>
    <w:uiPriority w:val="0"/>
    <w:pPr>
      <w:adjustRightInd w:val="0"/>
      <w:spacing w:line="400" w:lineRule="atLeast"/>
      <w:ind w:firstLine="570" w:firstLineChars="203"/>
      <w:textAlignment w:val="baseline"/>
    </w:pPr>
    <w:rPr>
      <w:rFonts w:eastAsia="仿宋_GB2312"/>
      <w:kern w:val="0"/>
      <w:sz w:val="28"/>
      <w:szCs w:val="20"/>
    </w:rPr>
  </w:style>
  <w:style w:type="paragraph" w:customStyle="1" w:styleId="167">
    <w:name w:val="xl34"/>
    <w:basedOn w:val="1"/>
    <w:qFormat/>
    <w:uiPriority w:val="0"/>
    <w:pPr>
      <w:widowControl/>
      <w:pBdr>
        <w:left w:val="single" w:color="auto" w:sz="4" w:space="0"/>
      </w:pBdr>
      <w:spacing w:before="100" w:beforeAutospacing="1" w:after="100" w:afterAutospacing="1"/>
      <w:jc w:val="center"/>
      <w:textAlignment w:val="center"/>
    </w:pPr>
    <w:rPr>
      <w:rFonts w:ascii="宋体" w:hAnsi="宋体"/>
      <w:kern w:val="0"/>
      <w:sz w:val="24"/>
    </w:rPr>
  </w:style>
  <w:style w:type="paragraph" w:customStyle="1" w:styleId="168">
    <w:name w:val="段落正文"/>
    <w:basedOn w:val="23"/>
    <w:qFormat/>
    <w:uiPriority w:val="0"/>
    <w:pPr>
      <w:ind w:firstLine="560" w:firstLineChars="200"/>
    </w:pPr>
    <w:rPr>
      <w:sz w:val="28"/>
    </w:rPr>
  </w:style>
  <w:style w:type="character" w:customStyle="1" w:styleId="169">
    <w:name w:val="gray6"/>
    <w:basedOn w:val="45"/>
    <w:qFormat/>
    <w:uiPriority w:val="0"/>
  </w:style>
  <w:style w:type="character" w:customStyle="1" w:styleId="170">
    <w:name w:val="style9"/>
    <w:basedOn w:val="45"/>
    <w:qFormat/>
    <w:uiPriority w:val="0"/>
  </w:style>
  <w:style w:type="paragraph" w:customStyle="1" w:styleId="171">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character" w:customStyle="1" w:styleId="172">
    <w:name w:val="grame"/>
    <w:basedOn w:val="45"/>
    <w:qFormat/>
    <w:uiPriority w:val="0"/>
  </w:style>
  <w:style w:type="paragraph" w:customStyle="1" w:styleId="173">
    <w:name w:val="style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74">
    <w:name w:val="Char1"/>
    <w:basedOn w:val="1"/>
    <w:qFormat/>
    <w:uiPriority w:val="0"/>
    <w:pPr>
      <w:jc w:val="left"/>
    </w:pPr>
    <w:rPr>
      <w:rFonts w:ascii="Tahoma" w:hAnsi="Tahoma"/>
      <w:sz w:val="24"/>
      <w:szCs w:val="20"/>
    </w:rPr>
  </w:style>
  <w:style w:type="paragraph" w:customStyle="1" w:styleId="175">
    <w:name w:val="编号1"/>
    <w:basedOn w:val="1"/>
    <w:qFormat/>
    <w:uiPriority w:val="0"/>
    <w:pPr>
      <w:numPr>
        <w:ilvl w:val="0"/>
        <w:numId w:val="6"/>
      </w:numPr>
      <w:adjustRightInd w:val="0"/>
      <w:spacing w:line="300" w:lineRule="auto"/>
      <w:ind w:right="210"/>
      <w:textAlignment w:val="center"/>
    </w:pPr>
    <w:rPr>
      <w:rFonts w:ascii="宋体" w:hAnsi="宋体"/>
      <w:snapToGrid w:val="0"/>
      <w:spacing w:val="10"/>
      <w:kern w:val="24"/>
    </w:rPr>
  </w:style>
  <w:style w:type="paragraph" w:customStyle="1" w:styleId="176">
    <w:name w:val="Char Char Char Char Char Char Char Char Char Char Char Char Char 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177">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178">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9">
    <w:name w:val="font6"/>
    <w:basedOn w:val="1"/>
    <w:qFormat/>
    <w:uiPriority w:val="0"/>
    <w:pPr>
      <w:widowControl/>
      <w:spacing w:before="100" w:beforeAutospacing="1" w:after="100" w:afterAutospacing="1"/>
      <w:jc w:val="left"/>
    </w:pPr>
    <w:rPr>
      <w:kern w:val="0"/>
      <w:sz w:val="24"/>
    </w:rPr>
  </w:style>
  <w:style w:type="paragraph" w:customStyle="1" w:styleId="18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182">
    <w:name w:val="表格字"/>
    <w:basedOn w:val="1"/>
    <w:qFormat/>
    <w:uiPriority w:val="0"/>
    <w:pPr>
      <w:adjustRightInd w:val="0"/>
      <w:jc w:val="center"/>
    </w:pPr>
    <w:rPr>
      <w:rFonts w:ascii="宋体"/>
      <w:sz w:val="24"/>
      <w:szCs w:val="20"/>
    </w:rPr>
  </w:style>
  <w:style w:type="character" w:customStyle="1" w:styleId="183">
    <w:name w:val="样式 小三 加粗"/>
    <w:qFormat/>
    <w:uiPriority w:val="0"/>
    <w:rPr>
      <w:rFonts w:eastAsia="宋体"/>
      <w:b/>
      <w:bCs/>
      <w:sz w:val="32"/>
    </w:rPr>
  </w:style>
  <w:style w:type="paragraph" w:customStyle="1" w:styleId="18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5">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86">
    <w:name w:val="Char Char Char"/>
    <w:basedOn w:val="1"/>
    <w:qFormat/>
    <w:uiPriority w:val="0"/>
    <w:rPr>
      <w:rFonts w:ascii="Tahoma" w:hAnsi="Tahoma"/>
      <w:sz w:val="24"/>
      <w:szCs w:val="20"/>
    </w:rPr>
  </w:style>
  <w:style w:type="paragraph" w:customStyle="1" w:styleId="187">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188">
    <w:name w:val="info4"/>
    <w:basedOn w:val="45"/>
    <w:qFormat/>
    <w:uiPriority w:val="0"/>
  </w:style>
  <w:style w:type="paragraph" w:customStyle="1" w:styleId="189">
    <w:name w:val="缩进正文"/>
    <w:basedOn w:val="1"/>
    <w:link w:val="190"/>
    <w:qFormat/>
    <w:uiPriority w:val="0"/>
    <w:pPr>
      <w:ind w:firstLine="560" w:firstLineChars="200"/>
    </w:pPr>
    <w:rPr>
      <w:rFonts w:eastAsia="仿宋_GB2312" w:cs="宋体"/>
      <w:sz w:val="28"/>
      <w:szCs w:val="20"/>
    </w:rPr>
  </w:style>
  <w:style w:type="character" w:customStyle="1" w:styleId="190">
    <w:name w:val="缩进正文 Char"/>
    <w:link w:val="189"/>
    <w:qFormat/>
    <w:uiPriority w:val="0"/>
    <w:rPr>
      <w:rFonts w:eastAsia="仿宋_GB2312" w:cs="宋体"/>
      <w:kern w:val="2"/>
      <w:sz w:val="28"/>
      <w:lang w:val="en-US" w:eastAsia="zh-CN" w:bidi="ar-SA"/>
    </w:rPr>
  </w:style>
  <w:style w:type="paragraph" w:customStyle="1" w:styleId="191">
    <w:name w:val="列出段落1"/>
    <w:basedOn w:val="1"/>
    <w:qFormat/>
    <w:uiPriority w:val="0"/>
    <w:pPr>
      <w:ind w:firstLine="420" w:firstLineChars="200"/>
    </w:pPr>
    <w:rPr>
      <w:rFonts w:ascii="Calibri" w:hAnsi="Calibri" w:cs="Calibri"/>
      <w:szCs w:val="21"/>
    </w:rPr>
  </w:style>
  <w:style w:type="character" w:customStyle="1" w:styleId="192">
    <w:name w:val="批注文字 Char"/>
    <w:basedOn w:val="45"/>
    <w:link w:val="18"/>
    <w:qFormat/>
    <w:uiPriority w:val="99"/>
    <w:rPr>
      <w:rFonts w:ascii="宋体"/>
      <w:sz w:val="34"/>
    </w:rPr>
  </w:style>
  <w:style w:type="character" w:customStyle="1" w:styleId="193">
    <w:name w:val="批注主题 Char"/>
    <w:basedOn w:val="192"/>
    <w:link w:val="41"/>
    <w:qFormat/>
    <w:uiPriority w:val="99"/>
    <w:rPr>
      <w:rFonts w:ascii="宋体"/>
      <w:sz w:val="34"/>
    </w:rPr>
  </w:style>
  <w:style w:type="paragraph" w:customStyle="1" w:styleId="194">
    <w:name w:val="评价"/>
    <w:basedOn w:val="1"/>
    <w:qFormat/>
    <w:uiPriority w:val="0"/>
    <w:pPr>
      <w:spacing w:afterLines="20"/>
      <w:ind w:firstLine="1446" w:firstLineChars="200"/>
    </w:pPr>
    <w:rPr>
      <w:rFonts w:ascii="Calibri" w:hAnsi="Calibri"/>
      <w:sz w:val="24"/>
    </w:rPr>
  </w:style>
  <w:style w:type="paragraph" w:customStyle="1" w:styleId="195">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96">
    <w:name w:val="alt-edited1"/>
    <w:qFormat/>
    <w:uiPriority w:val="0"/>
    <w:rPr>
      <w:color w:val="4D90F0"/>
    </w:rPr>
  </w:style>
  <w:style w:type="character" w:customStyle="1" w:styleId="197">
    <w:name w:val="body text Char1"/>
    <w:qFormat/>
    <w:uiPriority w:val="0"/>
    <w:rPr>
      <w:rFonts w:eastAsia="宋体"/>
      <w:kern w:val="2"/>
      <w:sz w:val="21"/>
      <w:lang w:val="en-US" w:eastAsia="zh-CN" w:bidi="ar-SA"/>
    </w:rPr>
  </w:style>
  <w:style w:type="character" w:customStyle="1" w:styleId="198">
    <w:name w:val="普通(网站) Char"/>
    <w:link w:val="38"/>
    <w:qFormat/>
    <w:uiPriority w:val="0"/>
    <w:rPr>
      <w:kern w:val="2"/>
      <w:sz w:val="24"/>
      <w:szCs w:val="24"/>
    </w:rPr>
  </w:style>
  <w:style w:type="character" w:customStyle="1" w:styleId="199">
    <w:name w:val="批注文字 Char1"/>
    <w:qFormat/>
    <w:uiPriority w:val="99"/>
    <w:rPr>
      <w:rFonts w:ascii="宋体"/>
      <w:sz w:val="34"/>
    </w:rPr>
  </w:style>
  <w:style w:type="character" w:customStyle="1" w:styleId="200">
    <w:name w:val="正文缩进 Char1"/>
    <w:qFormat/>
    <w:uiPriority w:val="0"/>
    <w:rPr>
      <w:rFonts w:eastAsia="宋体"/>
      <w:kern w:val="2"/>
      <w:sz w:val="21"/>
      <w:lang w:val="en-US" w:eastAsia="zh-CN" w:bidi="ar-SA"/>
    </w:rPr>
  </w:style>
  <w:style w:type="table" w:customStyle="1" w:styleId="201">
    <w:name w:val="网格型1"/>
    <w:basedOn w:val="43"/>
    <w:qFormat/>
    <w:uiPriority w:val="0"/>
    <w:pPr>
      <w:widowControl w:val="0"/>
      <w:jc w:val="both"/>
    </w:pPr>
    <w:rPr>
      <w:rFonts w:eastAsiaTheme="minorEastAs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2">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03">
    <w:name w:val="null3"/>
    <w:qFormat/>
    <w:uiPriority w:val="0"/>
    <w:rPr>
      <w:rFonts w:hint="eastAsia" w:ascii="Calibri" w:hAnsi="Calibri" w:eastAsia="宋体" w:cs="Times New Roman"/>
      <w:lang w:val="en-US" w:eastAsia="zh-Hans"/>
    </w:rPr>
  </w:style>
  <w:style w:type="paragraph" w:styleId="204">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05">
    <w:name w:val="0五号正文"/>
    <w:basedOn w:val="1"/>
    <w:qFormat/>
    <w:uiPriority w:val="0"/>
    <w:pPr>
      <w:widowControl w:val="0"/>
      <w:shd w:val="clear" w:color="auto" w:fill="auto"/>
      <w:spacing w:line="300" w:lineRule="auto"/>
      <w:ind w:firstLine="420" w:firstLineChars="200"/>
    </w:pPr>
    <w:rPr>
      <w:rFonts w:cs="Times New Roman"/>
      <w:kern w:val="2"/>
      <w:szCs w:val="21"/>
    </w:rPr>
  </w:style>
  <w:style w:type="paragraph" w:customStyle="1" w:styleId="206">
    <w:name w:val="BodyText"/>
    <w:basedOn w:val="1"/>
    <w:next w:val="1"/>
    <w:qFormat/>
    <w:uiPriority w:val="0"/>
    <w:pPr>
      <w:spacing w:line="360" w:lineRule="auto"/>
      <w:jc w:val="both"/>
      <w:textAlignment w:val="baseline"/>
    </w:pPr>
    <w:rPr>
      <w:rFonts w:ascii="Verdana" w:hAnsi="Verdana" w:eastAsia="仿宋_GB2312" w:cs="Times New Roman"/>
      <w:b/>
      <w:bCs/>
      <w:kern w:val="2"/>
      <w:sz w:val="24"/>
      <w:szCs w:val="24"/>
      <w:lang w:val="en-US" w:eastAsia="en-US" w:bidi="ar-SA"/>
    </w:rPr>
  </w:style>
  <w:style w:type="character" w:customStyle="1" w:styleId="207">
    <w:name w:val="hover"/>
    <w:basedOn w:val="45"/>
    <w:qFormat/>
    <w:uiPriority w:val="0"/>
    <w:rPr>
      <w:color w:val="2590EB"/>
    </w:rPr>
  </w:style>
  <w:style w:type="character" w:customStyle="1" w:styleId="208">
    <w:name w:val="hover1"/>
    <w:basedOn w:val="45"/>
    <w:qFormat/>
    <w:uiPriority w:val="0"/>
    <w:rPr>
      <w:color w:val="2590EB"/>
    </w:rPr>
  </w:style>
  <w:style w:type="character" w:customStyle="1" w:styleId="209">
    <w:name w:val="hover2"/>
    <w:basedOn w:val="45"/>
    <w:qFormat/>
    <w:uiPriority w:val="0"/>
  </w:style>
  <w:style w:type="character" w:customStyle="1" w:styleId="210">
    <w:name w:val="hover3"/>
    <w:basedOn w:val="45"/>
    <w:qFormat/>
    <w:uiPriority w:val="0"/>
    <w:rPr>
      <w:color w:val="2590EB"/>
      <w:shd w:val="clear" w:fill="E9F4FD"/>
    </w:rPr>
  </w:style>
  <w:style w:type="character" w:customStyle="1" w:styleId="211">
    <w:name w:val="fontstyle01"/>
    <w:basedOn w:val="45"/>
    <w:qFormat/>
    <w:uiPriority w:val="0"/>
    <w:rPr>
      <w:rFonts w:ascii="FZSSK--GBK1-0" w:hAnsi="FZSSK--GBK1-0" w:eastAsia="FZSSK--GBK1-0" w:cs="FZSSK--GBK1-0"/>
      <w:color w:val="000000"/>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50</Pages>
  <Words>42970</Words>
  <Characters>44766</Characters>
  <Lines>332</Lines>
  <Paragraphs>93</Paragraphs>
  <TotalTime>43</TotalTime>
  <ScaleCrop>false</ScaleCrop>
  <LinksUpToDate>false</LinksUpToDate>
  <CharactersWithSpaces>46136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2021-05-01T08:29:00Z</dcterms:created>
  <dc:creator>thsware</dc:creator>
  <cp:lastModifiedBy>lan</cp:lastModifiedBy>
  <cp:lastPrinted>2025-03-16T02:07:00Z</cp:lastPrinted>
  <dcterms:modified xsi:type="dcterms:W3CDTF">2025-11-20T09:37:11Z</dcterms:modified>
  <dc:title>招  标　文　件</dc:title>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D116924FC76846F4883BE702A571E9A7_13</vt:lpwstr>
  </property>
  <property fmtid="{D5CDD505-2E9C-101B-9397-08002B2CF9AE}" pid="4" name="KSOTemplateDocerSaveRecord">
    <vt:lpwstr>eyJoZGlkIjoiMDM0NGY0NDBmODc1YThhYTg4NzJhY2VhYWI1NTQwZTUiLCJ1c2VySWQiOiI1MTYzMzQ1MjUifQ==</vt:lpwstr>
  </property>
</Properties>
</file>