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FE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黑体" w:hAnsi="黑体" w:eastAsia="黑体" w:cs="黑体"/>
          <w:color w:val="000000"/>
          <w:kern w:val="0"/>
          <w:sz w:val="44"/>
          <w:szCs w:val="44"/>
          <w:lang w:val="en-US" w:eastAsia="zh-CN" w:bidi="ar"/>
        </w:rPr>
      </w:pPr>
      <w:r>
        <w:rPr>
          <w:rFonts w:hint="eastAsia" w:ascii="黑体" w:hAnsi="黑体" w:eastAsia="黑体" w:cs="黑体"/>
          <w:color w:val="000000"/>
          <w:kern w:val="0"/>
          <w:sz w:val="44"/>
          <w:szCs w:val="44"/>
          <w:lang w:val="en-US" w:eastAsia="zh-CN" w:bidi="ar"/>
        </w:rPr>
        <w:t>深圳市面粉有限公司品牌视觉设计</w:t>
      </w:r>
    </w:p>
    <w:p w14:paraId="02CEC0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黑体" w:hAnsi="黑体" w:eastAsia="黑体" w:cs="黑体"/>
          <w:bCs/>
          <w:color w:val="000000"/>
          <w:sz w:val="44"/>
          <w:szCs w:val="44"/>
        </w:rPr>
      </w:pPr>
      <w:r>
        <w:rPr>
          <w:rFonts w:hint="eastAsia" w:ascii="黑体" w:hAnsi="黑体" w:eastAsia="黑体" w:cs="黑体"/>
          <w:color w:val="000000"/>
          <w:kern w:val="0"/>
          <w:sz w:val="44"/>
          <w:szCs w:val="44"/>
          <w:lang w:val="en-US" w:eastAsia="zh-CN" w:bidi="ar"/>
        </w:rPr>
        <w:t>常态化合作服务项目</w:t>
      </w:r>
      <w:r>
        <w:rPr>
          <w:rFonts w:hint="eastAsia" w:ascii="黑体" w:hAnsi="黑体" w:eastAsia="黑体" w:cs="黑体"/>
          <w:sz w:val="44"/>
          <w:szCs w:val="44"/>
        </w:rPr>
        <w:t>采购文件</w:t>
      </w:r>
    </w:p>
    <w:p w14:paraId="53C0F2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kern w:val="0"/>
          <w:sz w:val="32"/>
          <w:szCs w:val="32"/>
          <w:lang w:val="en-US" w:eastAsia="zh-CN" w:bidi="ar"/>
        </w:rPr>
      </w:pPr>
    </w:p>
    <w:p w14:paraId="57D2A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深圳市面粉有限公司就采购</w:t>
      </w:r>
      <w:r>
        <w:rPr>
          <w:rStyle w:val="9"/>
          <w:rFonts w:hint="eastAsia" w:ascii="仿宋_GB2312" w:hAnsi="仿宋_GB2312" w:eastAsia="仿宋_GB2312" w:cs="仿宋_GB2312"/>
          <w:color w:val="000000"/>
          <w:kern w:val="0"/>
          <w:sz w:val="32"/>
          <w:szCs w:val="32"/>
          <w:lang w:val="en-US" w:eastAsia="zh-CN" w:bidi="ar"/>
        </w:rPr>
        <w:t>品牌视觉设计常态化合作服务</w:t>
      </w:r>
      <w:r>
        <w:rPr>
          <w:rFonts w:hint="eastAsia" w:ascii="仿宋_GB2312" w:hAnsi="仿宋_GB2312" w:eastAsia="仿宋_GB2312" w:cs="仿宋_GB2312"/>
          <w:color w:val="000000"/>
          <w:kern w:val="0"/>
          <w:sz w:val="32"/>
          <w:szCs w:val="32"/>
          <w:lang w:val="en-US" w:eastAsia="zh-CN" w:bidi="ar"/>
        </w:rPr>
        <w:t>采用</w:t>
      </w:r>
      <w:r>
        <w:rPr>
          <w:rStyle w:val="9"/>
          <w:rFonts w:hint="eastAsia" w:ascii="仿宋_GB2312" w:hAnsi="仿宋_GB2312" w:eastAsia="仿宋_GB2312" w:cs="仿宋_GB2312"/>
          <w:color w:val="000000"/>
          <w:kern w:val="0"/>
          <w:sz w:val="32"/>
          <w:szCs w:val="32"/>
          <w:lang w:val="en-US" w:eastAsia="zh-CN" w:bidi="ar"/>
        </w:rPr>
        <w:t>询价</w:t>
      </w:r>
      <w:r>
        <w:rPr>
          <w:rFonts w:hint="eastAsia" w:ascii="仿宋_GB2312" w:hAnsi="仿宋_GB2312" w:eastAsia="仿宋_GB2312" w:cs="仿宋_GB2312"/>
          <w:color w:val="000000"/>
          <w:kern w:val="0"/>
          <w:sz w:val="32"/>
          <w:szCs w:val="32"/>
          <w:lang w:val="en-US" w:eastAsia="zh-CN" w:bidi="ar"/>
        </w:rPr>
        <w:t>方式选取供应商，欢迎符合资质并有意向的供应商提交报价文件，有关事项如下：</w:t>
      </w:r>
    </w:p>
    <w:p w14:paraId="60E5B4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一、项目名称</w:t>
      </w:r>
    </w:p>
    <w:p w14:paraId="34D3E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深圳市面粉有限公司品牌视觉设计常态化合作服务项目</w:t>
      </w:r>
    </w:p>
    <w:p w14:paraId="3BAB9A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733395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二、项目内容</w:t>
      </w:r>
    </w:p>
    <w:p w14:paraId="370D0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选聘外部专业设计团队，为采购人提供全维度品牌视觉常态化外包服务，涵盖新品包装设计、展会配套物料设计、线下宣传物料设计、线上宣传视觉延展、AI 短视频制作宣发等全流程视觉设计服务，保障品牌物料输出统一、高效落地。</w:t>
      </w:r>
    </w:p>
    <w:p w14:paraId="602854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532FB5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三、项目预算</w:t>
      </w:r>
    </w:p>
    <w:p w14:paraId="30B41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总预算：人民币</w:t>
      </w:r>
      <w:r>
        <w:rPr>
          <w:rStyle w:val="9"/>
          <w:rFonts w:hint="eastAsia" w:ascii="仿宋_GB2312" w:hAnsi="仿宋_GB2312" w:eastAsia="仿宋_GB2312" w:cs="仿宋_GB2312"/>
          <w:color w:val="000000"/>
          <w:kern w:val="0"/>
          <w:sz w:val="32"/>
          <w:szCs w:val="32"/>
          <w:lang w:val="en-US" w:eastAsia="zh-CN" w:bidi="ar"/>
        </w:rPr>
        <w:t>45000 元</w:t>
      </w:r>
      <w:r>
        <w:rPr>
          <w:rFonts w:hint="eastAsia" w:ascii="仿宋_GB2312" w:hAnsi="仿宋_GB2312" w:eastAsia="仿宋_GB2312" w:cs="仿宋_GB2312"/>
          <w:color w:val="000000"/>
          <w:kern w:val="0"/>
          <w:sz w:val="32"/>
          <w:szCs w:val="32"/>
          <w:lang w:val="en-US" w:eastAsia="zh-CN" w:bidi="ar"/>
        </w:rPr>
        <w:t>（大写：</w:t>
      </w:r>
      <w:r>
        <w:rPr>
          <w:rStyle w:val="9"/>
          <w:rFonts w:hint="eastAsia" w:ascii="仿宋_GB2312" w:hAnsi="仿宋_GB2312" w:eastAsia="仿宋_GB2312" w:cs="仿宋_GB2312"/>
          <w:color w:val="000000"/>
          <w:kern w:val="0"/>
          <w:sz w:val="32"/>
          <w:szCs w:val="32"/>
          <w:lang w:val="en-US" w:eastAsia="zh-CN" w:bidi="ar"/>
        </w:rPr>
        <w:t>人民币肆万伍仟元整</w:t>
      </w:r>
      <w:r>
        <w:rPr>
          <w:rFonts w:hint="eastAsia" w:ascii="仿宋_GB2312" w:hAnsi="仿宋_GB2312" w:eastAsia="仿宋_GB2312" w:cs="仿宋_GB2312"/>
          <w:color w:val="000000"/>
          <w:kern w:val="0"/>
          <w:sz w:val="32"/>
          <w:szCs w:val="32"/>
          <w:lang w:val="en-US" w:eastAsia="zh-CN" w:bidi="ar"/>
        </w:rPr>
        <w:t>），为</w:t>
      </w:r>
      <w:r>
        <w:rPr>
          <w:rStyle w:val="9"/>
          <w:rFonts w:hint="eastAsia" w:ascii="仿宋_GB2312" w:hAnsi="仿宋_GB2312" w:eastAsia="仿宋_GB2312" w:cs="仿宋_GB2312"/>
          <w:color w:val="000000"/>
          <w:kern w:val="0"/>
          <w:sz w:val="32"/>
          <w:szCs w:val="32"/>
          <w:lang w:val="en-US" w:eastAsia="zh-CN" w:bidi="ar"/>
        </w:rPr>
        <w:t>总价包干</w:t>
      </w:r>
      <w:r>
        <w:rPr>
          <w:rFonts w:hint="eastAsia" w:ascii="仿宋_GB2312" w:hAnsi="仿宋_GB2312" w:eastAsia="仿宋_GB2312" w:cs="仿宋_GB2312"/>
          <w:color w:val="000000"/>
          <w:kern w:val="0"/>
          <w:sz w:val="32"/>
          <w:szCs w:val="32"/>
          <w:lang w:val="en-US" w:eastAsia="zh-CN" w:bidi="ar"/>
        </w:rPr>
        <w:t>模式。 最高限价：人民币 45000 元，供应商报价超过本限价视为无效响应。</w:t>
      </w:r>
    </w:p>
    <w:p w14:paraId="1F2D28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6B035B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四、服务时间</w:t>
      </w:r>
    </w:p>
    <w:p w14:paraId="51F1D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服务响应要求：服务期限为期6个月，服务团队建立全时段响应机制，工作日开展设计作业，非工作日同步提供业务支撑，实现</w:t>
      </w:r>
      <w:r>
        <w:rPr>
          <w:rStyle w:val="9"/>
          <w:rFonts w:hint="eastAsia" w:ascii="仿宋_GB2312" w:hAnsi="仿宋_GB2312" w:eastAsia="仿宋_GB2312" w:cs="仿宋_GB2312"/>
          <w:color w:val="000000"/>
          <w:kern w:val="0"/>
          <w:sz w:val="32"/>
          <w:szCs w:val="32"/>
          <w:lang w:val="en-US" w:eastAsia="zh-CN" w:bidi="ar"/>
        </w:rPr>
        <w:t>24 小时业务需求响应</w:t>
      </w:r>
      <w:r>
        <w:rPr>
          <w:rFonts w:hint="eastAsia" w:ascii="仿宋_GB2312" w:hAnsi="仿宋_GB2312" w:eastAsia="仿宋_GB2312" w:cs="仿宋_GB2312"/>
          <w:color w:val="000000"/>
          <w:kern w:val="0"/>
          <w:sz w:val="32"/>
          <w:szCs w:val="32"/>
          <w:lang w:val="en-US" w:eastAsia="zh-CN" w:bidi="ar"/>
        </w:rPr>
        <w:t>。</w:t>
      </w:r>
    </w:p>
    <w:p w14:paraId="6802240B">
      <w:pPr>
        <w:pStyle w:val="2"/>
        <w:rPr>
          <w:rFonts w:hint="eastAsia"/>
        </w:rPr>
      </w:pPr>
    </w:p>
    <w:p w14:paraId="5736B9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16F87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五、服务范围与要求</w:t>
      </w:r>
    </w:p>
    <w:p w14:paraId="038052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 服务明细</w:t>
      </w:r>
    </w:p>
    <w:p w14:paraId="7A4D0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（1）新品包装设计：承接采购人各类新品的整体包装设计、版式优化、视觉升级，贴合产品定位与品牌调性，保障包装的美观性、实用性与市场适配性； </w:t>
      </w:r>
    </w:p>
    <w:p w14:paraId="536C2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（2）展会配套物料设计：针对采购人各类行业展会、线下参展活动，配套完成展会海报、展架、展板、展台氛围物料、参展手册等全套视觉物料，适配展会会场宣传需求； </w:t>
      </w:r>
    </w:p>
    <w:p w14:paraId="5373E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（3）线下宣传物料设计：标准化完成企业宣传手册、产品宣传单页、折页、海报、企业文化物料、线下门店 / 办公场景视觉物料等设计，统一线下品牌输出形象； </w:t>
      </w:r>
    </w:p>
    <w:p w14:paraId="145AB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（4）线上宣传视觉延展：完成小程序、电商平台详情页基础版式设计与优化、线上推广广告图、banner 图、产品主图、新媒体宣传配图等线上视觉物料制作，适配电商运营、线上推广常态化需求；</w:t>
      </w:r>
    </w:p>
    <w:p w14:paraId="0C1419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（5）视频制作宣发：每月提供总时长不低于 200s 的专业 AI 视频制作支持，产出产品宣传短片、品牌推广短视频，丰富品牌动态传播内容。</w:t>
      </w:r>
    </w:p>
    <w:p w14:paraId="42E1CE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 服务标准与验收要求</w:t>
      </w:r>
    </w:p>
    <w:p w14:paraId="1C836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（1）所有输出物料需符合采购人品牌 VI 体系，满足采购人业务使用场景，交付源文件及可用成品文件； </w:t>
      </w:r>
    </w:p>
    <w:p w14:paraId="74A5F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（2）严格落实 24 小时需求响应，按采购人确认的排期完成交付；</w:t>
      </w:r>
    </w:p>
    <w:p w14:paraId="68033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（3）项目交付成果经采购人审核确认后方视为验收通过，若成果不符合要求，供应商需按采购人意见无偿修改直至达标。</w:t>
      </w:r>
    </w:p>
    <w:p w14:paraId="690A1C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 付款方式</w:t>
      </w:r>
    </w:p>
    <w:p w14:paraId="52392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合同签订后按合同约定节点办理付款，供应商按采购人要求开具合法有效发票，采购人完成验收后办理款项支付（具体条款以签订合同为准）。</w:t>
      </w:r>
    </w:p>
    <w:p w14:paraId="4FB151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255636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六、供应商资格要求</w:t>
      </w:r>
    </w:p>
    <w:p w14:paraId="7F195B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（一）基本资格</w:t>
      </w:r>
    </w:p>
    <w:p w14:paraId="456672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具有独立承担民事责任的能力，提供营业执照等合法主体资格证明文件；</w:t>
      </w:r>
    </w:p>
    <w:p w14:paraId="0C89D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 具有履行合同所必需的专业技术能力、人员配置，提供相关证明材料；</w:t>
      </w:r>
    </w:p>
    <w:p w14:paraId="0C585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 xml:space="preserve"> 3. 参加采购活动前三年内，在经营活动中无重大违法记录，提供书面声明； 4. 未被列入 “信用中国” 网站（</w:t>
      </w:r>
      <w:r>
        <w:rPr>
          <w:rFonts w:hint="eastAsia" w:ascii="仿宋_GB2312" w:hAnsi="仿宋_GB2312" w:eastAsia="仿宋_GB2312" w:cs="仿宋_GB2312"/>
          <w:color w:val="0057FF"/>
          <w:kern w:val="0"/>
          <w:sz w:val="32"/>
          <w:szCs w:val="32"/>
          <w:lang w:val="en-US" w:eastAsia="zh-CN" w:bidi="ar"/>
        </w:rPr>
        <w:fldChar w:fldCharType="begin"/>
      </w:r>
      <w:r>
        <w:rPr>
          <w:rFonts w:hint="eastAsia" w:ascii="仿宋_GB2312" w:hAnsi="仿宋_GB2312" w:eastAsia="仿宋_GB2312" w:cs="仿宋_GB2312"/>
          <w:color w:val="0057FF"/>
          <w:kern w:val="0"/>
          <w:sz w:val="32"/>
          <w:szCs w:val="32"/>
          <w:lang w:val="en-US" w:eastAsia="zh-CN" w:bidi="ar"/>
        </w:rPr>
        <w:instrText xml:space="preserve"> HYPERLINK "https://www.creditchina.gov.cn/" \o "autolink" \t "_blank" </w:instrText>
      </w:r>
      <w:r>
        <w:rPr>
          <w:rFonts w:hint="eastAsia" w:ascii="仿宋_GB2312" w:hAnsi="仿宋_GB2312" w:eastAsia="仿宋_GB2312" w:cs="仿宋_GB2312"/>
          <w:color w:val="0057FF"/>
          <w:kern w:val="0"/>
          <w:sz w:val="32"/>
          <w:szCs w:val="32"/>
          <w:lang w:val="en-US" w:eastAsia="zh-CN" w:bidi="ar"/>
        </w:rPr>
        <w:fldChar w:fldCharType="separate"/>
      </w:r>
      <w:r>
        <w:rPr>
          <w:rStyle w:val="10"/>
          <w:rFonts w:hint="eastAsia" w:ascii="仿宋_GB2312" w:hAnsi="仿宋_GB2312" w:eastAsia="仿宋_GB2312" w:cs="仿宋_GB2312"/>
          <w:color w:val="0057FF"/>
          <w:sz w:val="32"/>
          <w:szCs w:val="32"/>
        </w:rPr>
        <w:t>https://www.creditchina.gov.cn/</w:t>
      </w:r>
      <w:r>
        <w:rPr>
          <w:rFonts w:hint="eastAsia" w:ascii="仿宋_GB2312" w:hAnsi="仿宋_GB2312" w:eastAsia="仿宋_GB2312" w:cs="仿宋_GB2312"/>
          <w:color w:val="0057FF"/>
          <w:kern w:val="0"/>
          <w:sz w:val="32"/>
          <w:szCs w:val="32"/>
          <w:lang w:val="en-US" w:eastAsia="zh-CN" w:bidi="ar"/>
        </w:rPr>
        <w:fldChar w:fldCharType="end"/>
      </w:r>
      <w:r>
        <w:rPr>
          <w:rFonts w:hint="eastAsia" w:ascii="仿宋_GB2312" w:hAnsi="仿宋_GB2312" w:eastAsia="仿宋_GB2312" w:cs="仿宋_GB2312"/>
          <w:color w:val="000000"/>
          <w:kern w:val="0"/>
          <w:sz w:val="32"/>
          <w:szCs w:val="32"/>
          <w:lang w:val="en-US" w:eastAsia="zh-CN" w:bidi="ar"/>
        </w:rPr>
        <w:t>）“严重失信主体名单”“失信被执行人”“重大税收违法失信主体名单”，相关信息以报价评审当日采购人查询结果为准。</w:t>
      </w:r>
    </w:p>
    <w:p w14:paraId="49AB3D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（二）项目特定资格</w:t>
      </w:r>
    </w:p>
    <w:p w14:paraId="51609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供应商须具备品牌视觉设计、包装设计、宣传物料设计相关服务实施经验；</w:t>
      </w:r>
    </w:p>
    <w:p w14:paraId="1A4F8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 本项目不接受联合体报价，不允许转包、分包。</w:t>
      </w:r>
    </w:p>
    <w:p w14:paraId="02B92A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4586A6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七、中选原则（适用询价方式）</w:t>
      </w:r>
    </w:p>
    <w:p w14:paraId="2A440B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采购人组建采购小组在报价截止后组织评审，符合资格条件、投标报价在上限价以内、满足不可偏离条款的报价人为有效投标人。本项目采用</w:t>
      </w:r>
      <w:r>
        <w:rPr>
          <w:rStyle w:val="9"/>
          <w:rFonts w:hint="eastAsia" w:ascii="仿宋_GB2312" w:hAnsi="仿宋_GB2312" w:eastAsia="仿宋_GB2312" w:cs="仿宋_GB2312"/>
          <w:color w:val="000000"/>
          <w:kern w:val="0"/>
          <w:sz w:val="32"/>
          <w:szCs w:val="32"/>
          <w:lang w:val="en-US" w:eastAsia="zh-CN" w:bidi="ar"/>
        </w:rPr>
        <w:t>票决法</w:t>
      </w:r>
      <w:r>
        <w:rPr>
          <w:rFonts w:hint="eastAsia" w:ascii="仿宋_GB2312" w:hAnsi="仿宋_GB2312" w:eastAsia="仿宋_GB2312" w:cs="仿宋_GB2312"/>
          <w:color w:val="000000"/>
          <w:kern w:val="0"/>
          <w:sz w:val="32"/>
          <w:szCs w:val="32"/>
          <w:lang w:val="en-US" w:eastAsia="zh-CN" w:bidi="ar"/>
        </w:rPr>
        <w:t>确定中选供应商：采购小组根据供应商综合实力、服务方案响应度、同类项目业绩经验、团队配置等维度开展评审，评委投票总数最高者确定为中选人。</w:t>
      </w:r>
    </w:p>
    <w:p w14:paraId="299DE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评审说明：若出现最高票数相同情况，采购小组可针对并列供应商进行二次投票确定中选单位</w:t>
      </w:r>
    </w:p>
    <w:p w14:paraId="1A8DC7AA">
      <w:pPr>
        <w:pStyle w:val="2"/>
        <w:rPr>
          <w:rFonts w:hint="eastAsia"/>
        </w:rPr>
      </w:pPr>
    </w:p>
    <w:p w14:paraId="13BDE0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八、投标（报价）文件要求</w:t>
      </w:r>
    </w:p>
    <w:p w14:paraId="6349F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法定代表人授权委托书：需注明授权范围、有效期，附法定代表人及被委托人身份证复印件，加盖公章；</w:t>
      </w:r>
    </w:p>
    <w:p w14:paraId="355DF7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 报价表：需列明序号、服务名称、服务周期、服务内容、总价、备注，加盖公章并由授权代表签字；本项目为总价包干报价，报价包含人员、设计、素材、视频制作、修改、交付、税费等全部费用； </w:t>
      </w:r>
    </w:p>
    <w:p w14:paraId="4E740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 技术参数响应表：逐条响应本采购文件全部服务要求，注明 “无偏离 / 正偏离 / 负偏离” 并说明原因；出现关键条款负偏离做无效响应处理； </w:t>
      </w:r>
    </w:p>
    <w:p w14:paraId="6FA02B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4. 资格证明文件清单：营业执照、同类项目业绩证明材料、信用查询记录、无重大违法记录声明等，全部资料需加盖公章； </w:t>
      </w:r>
    </w:p>
    <w:p w14:paraId="4C707F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5. 服务实施方案：提供针对本项目的完整服务方案，包含人员配置、工作流程、响应保障、交付管控、风险应对等内容，加盖公章； </w:t>
      </w:r>
    </w:p>
    <w:p w14:paraId="4D549E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 其他补充材料。</w:t>
      </w:r>
    </w:p>
    <w:p w14:paraId="13650E6F">
      <w:pPr>
        <w:pStyle w:val="2"/>
        <w:rPr>
          <w:rFonts w:hint="eastAsia" w:ascii="仿宋_GB2312" w:hAnsi="仿宋_GB2312" w:eastAsia="仿宋_GB2312" w:cs="仿宋_GB2312"/>
          <w:color w:val="000000"/>
          <w:kern w:val="0"/>
          <w:sz w:val="32"/>
          <w:szCs w:val="32"/>
          <w:lang w:val="en-US" w:eastAsia="zh-CN" w:bidi="ar"/>
        </w:rPr>
      </w:pPr>
    </w:p>
    <w:p w14:paraId="41E04FFC">
      <w:pPr>
        <w:pStyle w:val="2"/>
        <w:numPr>
          <w:ilvl w:val="0"/>
          <w:numId w:val="1"/>
        </w:numPr>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公示信息</w:t>
      </w:r>
    </w:p>
    <w:p w14:paraId="719F74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采购人：深圳市面粉有限公司 </w:t>
      </w:r>
    </w:p>
    <w:p w14:paraId="77FE5F1C">
      <w:pPr>
        <w:pStyle w:val="2"/>
        <w:numPr>
          <w:ilvl w:val="0"/>
          <w:numId w:val="0"/>
        </w:numP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项目公示时间：2026年8月26日18：00-8月31日18：00</w:t>
      </w:r>
    </w:p>
    <w:p w14:paraId="2ED7BC1B">
      <w:pPr>
        <w:pStyle w:val="2"/>
        <w:numPr>
          <w:ilvl w:val="0"/>
          <w:numId w:val="0"/>
        </w:numP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文件递交截止时间：2026年8月31</w:t>
      </w:r>
      <w:bookmarkStart w:id="0" w:name="_GoBack"/>
      <w:bookmarkEnd w:id="0"/>
      <w:r>
        <w:rPr>
          <w:rFonts w:hint="eastAsia" w:ascii="仿宋_GB2312" w:hAnsi="仿宋_GB2312" w:eastAsia="仿宋_GB2312" w:cs="仿宋_GB2312"/>
          <w:color w:val="000000"/>
          <w:kern w:val="0"/>
          <w:sz w:val="32"/>
          <w:szCs w:val="32"/>
          <w:lang w:val="en-US" w:eastAsia="zh-CN" w:bidi="ar"/>
        </w:rPr>
        <w:t>日18：00</w:t>
      </w:r>
    </w:p>
    <w:p w14:paraId="69D60B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0E2EAD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联系人：邓畅</w:t>
      </w:r>
    </w:p>
    <w:p w14:paraId="430C2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联系电话：13641494626 </w:t>
      </w:r>
    </w:p>
    <w:p w14:paraId="56926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邮箱：350996590 @qq.com </w:t>
      </w:r>
    </w:p>
    <w:p w14:paraId="6F177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邮寄地址：深圳市南山区北环大道9106号深圳市面粉有限公司</w:t>
      </w:r>
    </w:p>
    <w:p w14:paraId="33808B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65D7A9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0F2FC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773D72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3F5BA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7E5D8D4E">
      <w:pPr>
        <w:pStyle w:val="2"/>
        <w:rPr>
          <w:rFonts w:hint="eastAsia" w:ascii="仿宋_GB2312" w:hAnsi="仿宋_GB2312" w:eastAsia="仿宋_GB2312" w:cs="仿宋_GB2312"/>
          <w:color w:val="000000"/>
          <w:kern w:val="0"/>
          <w:sz w:val="32"/>
          <w:szCs w:val="32"/>
          <w:lang w:val="en-US" w:eastAsia="zh-CN" w:bidi="ar"/>
        </w:rPr>
      </w:pPr>
    </w:p>
    <w:p w14:paraId="5EE38003">
      <w:pPr>
        <w:pStyle w:val="2"/>
        <w:rPr>
          <w:rFonts w:hint="eastAsia" w:ascii="仿宋_GB2312" w:hAnsi="仿宋_GB2312" w:eastAsia="仿宋_GB2312" w:cs="仿宋_GB2312"/>
          <w:color w:val="000000"/>
          <w:kern w:val="0"/>
          <w:sz w:val="32"/>
          <w:szCs w:val="32"/>
          <w:lang w:val="en-US" w:eastAsia="zh-CN" w:bidi="ar"/>
        </w:rPr>
      </w:pPr>
    </w:p>
    <w:p w14:paraId="0280DF04">
      <w:pPr>
        <w:pStyle w:val="2"/>
        <w:rPr>
          <w:rFonts w:hint="eastAsia" w:ascii="仿宋_GB2312" w:hAnsi="仿宋_GB2312" w:eastAsia="仿宋_GB2312" w:cs="仿宋_GB2312"/>
          <w:color w:val="000000"/>
          <w:kern w:val="0"/>
          <w:sz w:val="32"/>
          <w:szCs w:val="32"/>
          <w:lang w:val="en-US" w:eastAsia="zh-CN" w:bidi="ar"/>
        </w:rPr>
      </w:pPr>
    </w:p>
    <w:p w14:paraId="4B4DBC37">
      <w:pPr>
        <w:pStyle w:val="2"/>
        <w:rPr>
          <w:rFonts w:hint="eastAsia" w:ascii="仿宋_GB2312" w:hAnsi="仿宋_GB2312" w:eastAsia="仿宋_GB2312" w:cs="仿宋_GB2312"/>
          <w:color w:val="000000"/>
          <w:kern w:val="0"/>
          <w:sz w:val="32"/>
          <w:szCs w:val="32"/>
          <w:lang w:val="en-US" w:eastAsia="zh-CN" w:bidi="ar"/>
        </w:rPr>
      </w:pPr>
    </w:p>
    <w:p w14:paraId="205E2880">
      <w:pPr>
        <w:pStyle w:val="2"/>
        <w:rPr>
          <w:rFonts w:hint="eastAsia" w:ascii="仿宋_GB2312" w:hAnsi="仿宋_GB2312" w:eastAsia="仿宋_GB2312" w:cs="仿宋_GB2312"/>
          <w:color w:val="000000"/>
          <w:kern w:val="0"/>
          <w:sz w:val="32"/>
          <w:szCs w:val="32"/>
          <w:lang w:val="en-US" w:eastAsia="zh-CN" w:bidi="ar"/>
        </w:rPr>
      </w:pPr>
    </w:p>
    <w:p w14:paraId="0DCEC9E2">
      <w:pPr>
        <w:pStyle w:val="2"/>
        <w:rPr>
          <w:rFonts w:hint="eastAsia" w:ascii="仿宋_GB2312" w:hAnsi="仿宋_GB2312" w:eastAsia="仿宋_GB2312" w:cs="仿宋_GB2312"/>
          <w:color w:val="000000"/>
          <w:kern w:val="0"/>
          <w:sz w:val="32"/>
          <w:szCs w:val="32"/>
          <w:lang w:val="en-US" w:eastAsia="zh-CN" w:bidi="ar"/>
        </w:rPr>
      </w:pPr>
    </w:p>
    <w:p w14:paraId="41241A08">
      <w:pPr>
        <w:pStyle w:val="2"/>
        <w:rPr>
          <w:rFonts w:hint="eastAsia" w:ascii="仿宋_GB2312" w:hAnsi="仿宋_GB2312" w:eastAsia="仿宋_GB2312" w:cs="仿宋_GB2312"/>
          <w:color w:val="000000"/>
          <w:kern w:val="0"/>
          <w:sz w:val="32"/>
          <w:szCs w:val="32"/>
          <w:lang w:val="en-US" w:eastAsia="zh-CN" w:bidi="ar"/>
        </w:rPr>
      </w:pPr>
    </w:p>
    <w:p w14:paraId="51E0899F">
      <w:pPr>
        <w:pStyle w:val="2"/>
        <w:rPr>
          <w:rFonts w:hint="eastAsia" w:ascii="仿宋_GB2312" w:hAnsi="仿宋_GB2312" w:eastAsia="仿宋_GB2312" w:cs="仿宋_GB2312"/>
          <w:color w:val="000000"/>
          <w:kern w:val="0"/>
          <w:sz w:val="32"/>
          <w:szCs w:val="32"/>
          <w:lang w:val="en-US" w:eastAsia="zh-CN" w:bidi="ar"/>
        </w:rPr>
      </w:pPr>
    </w:p>
    <w:p w14:paraId="435FD253">
      <w:pPr>
        <w:pStyle w:val="2"/>
        <w:rPr>
          <w:rFonts w:hint="eastAsia" w:ascii="仿宋_GB2312" w:hAnsi="仿宋_GB2312" w:eastAsia="仿宋_GB2312" w:cs="仿宋_GB2312"/>
          <w:color w:val="000000"/>
          <w:kern w:val="0"/>
          <w:sz w:val="32"/>
          <w:szCs w:val="32"/>
          <w:lang w:val="en-US" w:eastAsia="zh-CN" w:bidi="ar"/>
        </w:rPr>
      </w:pPr>
    </w:p>
    <w:p w14:paraId="3AB826F3">
      <w:pPr>
        <w:pStyle w:val="2"/>
        <w:rPr>
          <w:rFonts w:hint="eastAsia" w:ascii="仿宋_GB2312" w:hAnsi="仿宋_GB2312" w:eastAsia="仿宋_GB2312" w:cs="仿宋_GB2312"/>
          <w:color w:val="000000"/>
          <w:kern w:val="0"/>
          <w:sz w:val="32"/>
          <w:szCs w:val="32"/>
          <w:lang w:val="en-US" w:eastAsia="zh-CN" w:bidi="ar"/>
        </w:rPr>
      </w:pPr>
    </w:p>
    <w:p w14:paraId="04BCB327">
      <w:pPr>
        <w:pStyle w:val="2"/>
        <w:rPr>
          <w:rFonts w:hint="eastAsia" w:ascii="仿宋_GB2312" w:hAnsi="仿宋_GB2312" w:eastAsia="仿宋_GB2312" w:cs="仿宋_GB2312"/>
          <w:color w:val="000000"/>
          <w:kern w:val="0"/>
          <w:sz w:val="32"/>
          <w:szCs w:val="32"/>
          <w:lang w:val="en-US" w:eastAsia="zh-CN" w:bidi="ar"/>
        </w:rPr>
      </w:pPr>
    </w:p>
    <w:p w14:paraId="0FDDAEA6">
      <w:pPr>
        <w:pStyle w:val="2"/>
        <w:rPr>
          <w:rFonts w:hint="eastAsia" w:ascii="仿宋_GB2312" w:hAnsi="仿宋_GB2312" w:eastAsia="仿宋_GB2312" w:cs="仿宋_GB2312"/>
          <w:color w:val="000000"/>
          <w:kern w:val="0"/>
          <w:sz w:val="32"/>
          <w:szCs w:val="32"/>
          <w:lang w:val="en-US" w:eastAsia="zh-CN" w:bidi="ar"/>
        </w:rPr>
      </w:pPr>
    </w:p>
    <w:p w14:paraId="52CB3CEE">
      <w:pPr>
        <w:pStyle w:val="2"/>
        <w:rPr>
          <w:rFonts w:hint="eastAsia" w:ascii="仿宋_GB2312" w:hAnsi="仿宋_GB2312" w:eastAsia="仿宋_GB2312" w:cs="仿宋_GB2312"/>
          <w:color w:val="000000"/>
          <w:kern w:val="0"/>
          <w:sz w:val="32"/>
          <w:szCs w:val="32"/>
          <w:lang w:val="en-US" w:eastAsia="zh-CN" w:bidi="ar"/>
        </w:rPr>
      </w:pPr>
    </w:p>
    <w:p w14:paraId="2605CF40">
      <w:pPr>
        <w:pStyle w:val="2"/>
        <w:rPr>
          <w:rFonts w:hint="eastAsia" w:ascii="仿宋_GB2312" w:hAnsi="仿宋_GB2312" w:eastAsia="仿宋_GB2312" w:cs="仿宋_GB2312"/>
          <w:color w:val="000000"/>
          <w:kern w:val="0"/>
          <w:sz w:val="32"/>
          <w:szCs w:val="32"/>
          <w:lang w:val="en-US" w:eastAsia="zh-CN" w:bidi="ar"/>
        </w:rPr>
      </w:pPr>
    </w:p>
    <w:p w14:paraId="34386ED9">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542FE98B">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717C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663" w:type="dxa"/>
            <w:gridSpan w:val="3"/>
            <w:vAlign w:val="center"/>
          </w:tcPr>
          <w:p w14:paraId="7EECC6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3399E8D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E01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5EB3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48791F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7B61C0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09546E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5F5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2"/>
            <w:vAlign w:val="center"/>
          </w:tcPr>
          <w:p w14:paraId="3E3EA3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335E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7B008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2FD7A8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077398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0755C2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41819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464385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3EB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E296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2F55E23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34E9C9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7B7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07ED97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D623F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940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372E6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5934A52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270B5E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836AE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0552E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0CCDB1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0A5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B135D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8FE07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AFAF3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247B6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02477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2F0050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57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72AFF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43A2C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587226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D1736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4E54F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CB65D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BA9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5C7BF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1DA584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4DFD9D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18BD8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CB2D5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F34CC3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83C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657092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3D2C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7720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7D3A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AB5BC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6B1665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1F8C790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5A6A66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75CB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564C0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677C11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1A84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2D6325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92C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B84AD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571A6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607885E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7D883DF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25B9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257E28A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3006622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注：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F03D511">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投标（响应）供应商声明：</w:t>
      </w:r>
    </w:p>
    <w:p w14:paraId="4DBE884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w:t>
      </w: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、投标（响应）供应商填写内容与事实不符的，招标人有权取消其投标资格、否决投标或解除合同，并依法追究其法律责任。</w:t>
      </w:r>
    </w:p>
    <w:p w14:paraId="05CBBF2F">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2、投标（响应）供应商存在围标串标行为的，将被列入招标人采购失信名单。</w:t>
      </w:r>
    </w:p>
    <w:p w14:paraId="60239560">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3、本情况表自签署之日起生效，适用于本次招采活动及后续合同履行阶段。</w:t>
      </w:r>
    </w:p>
    <w:p w14:paraId="2C337C5D">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231F9C32">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216BF95C">
      <w:pPr>
        <w:ind w:left="5760" w:hanging="5760" w:hangingChars="1800"/>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color w:val="auto"/>
          <w:sz w:val="32"/>
          <w:szCs w:val="32"/>
        </w:rPr>
        <w:t>填表单位：（加盖单位公章）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207BB3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78DE13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927512-134A-40D5-B342-A82FE11FDA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9D9D51C-D04F-497A-9A78-A298B71E28FE}"/>
  </w:font>
  <w:font w:name="仿宋">
    <w:panose1 w:val="02010609060101010101"/>
    <w:charset w:val="86"/>
    <w:family w:val="auto"/>
    <w:pitch w:val="default"/>
    <w:sig w:usb0="800002BF" w:usb1="38CF7CFA" w:usb2="00000016" w:usb3="00000000" w:csb0="00040001" w:csb1="00000000"/>
    <w:embedRegular r:id="rId3" w:fontKey="{2B7C7CA5-30A3-4512-A242-22C999416AD0}"/>
  </w:font>
  <w:font w:name="方正小标宋_GBK">
    <w:panose1 w:val="02000000000000000000"/>
    <w:charset w:val="86"/>
    <w:family w:val="auto"/>
    <w:pitch w:val="default"/>
    <w:sig w:usb0="A00002BF" w:usb1="38CF7CFA" w:usb2="00082016" w:usb3="00000000" w:csb0="00040001" w:csb1="00000000"/>
    <w:embedRegular r:id="rId4" w:fontKey="{8095D92B-37F0-4A21-8AF3-1B4152A925B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F9E505"/>
    <w:multiLevelType w:val="singleLevel"/>
    <w:tmpl w:val="70F9E505"/>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C2159"/>
    <w:rsid w:val="0C346579"/>
    <w:rsid w:val="101047B1"/>
    <w:rsid w:val="1AF30046"/>
    <w:rsid w:val="1F3778C0"/>
    <w:rsid w:val="20FC2159"/>
    <w:rsid w:val="25180A0B"/>
    <w:rsid w:val="417C69CE"/>
    <w:rsid w:val="63971FBD"/>
    <w:rsid w:val="6ED84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Lines="50" w:afterLines="50" w:line="360" w:lineRule="auto"/>
      <w:outlineLvl w:val="0"/>
    </w:pPr>
    <w:rPr>
      <w:rFonts w:ascii="Times New Roman" w:eastAsia="宋体"/>
      <w:kern w:val="0"/>
      <w:sz w:val="24"/>
      <w:szCs w:val="20"/>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9</Pages>
  <Words>2482</Words>
  <Characters>2592</Characters>
  <Lines>0</Lines>
  <Paragraphs>0</Paragraphs>
  <TotalTime>119</TotalTime>
  <ScaleCrop>false</ScaleCrop>
  <LinksUpToDate>false</LinksUpToDate>
  <CharactersWithSpaces>2687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2026-08-21T06:33:00Z</dcterms:created>
  <dc:creator>叶恩彤</dc:creator>
  <cp:lastModifiedBy>iluyer</cp:lastModifiedBy>
  <dcterms:modified xsi:type="dcterms:W3CDTF">2026-08-26T08:57:34Z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963D7772FA5C45C79B6826A40D870617_13</vt:lpwstr>
  </property>
  <property fmtid="{D5CDD505-2E9C-101B-9397-08002B2CF9AE}" pid="4" name="KSOTemplateDocerSaveRecord">
    <vt:lpwstr>eyJoZGlkIjoiMTI4ZmJiMzAxODQ1Mjg2NDUzYWVlZjg1NGMxNTE1YmUiLCJ1c2VySWQiOiIzNzk5NTQ1NzAifQ==</vt:lpwstr>
  </property>
</Properties>
</file>