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3C7D5">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合同编号：</w:t>
      </w:r>
    </w:p>
    <w:p w14:paraId="4C160787">
      <w:pPr>
        <w:spacing w:line="360" w:lineRule="auto"/>
        <w:rPr>
          <w:rFonts w:hint="eastAsia" w:asciiTheme="minorEastAsia" w:hAnsiTheme="minorEastAsia" w:eastAsiaTheme="minorEastAsia" w:cstheme="minorEastAsia"/>
          <w:sz w:val="24"/>
          <w:szCs w:val="24"/>
          <w:highlight w:val="none"/>
          <w:lang w:eastAsia="zh-CN"/>
        </w:rPr>
      </w:pPr>
    </w:p>
    <w:p w14:paraId="042B9505">
      <w:pPr>
        <w:pStyle w:val="8"/>
        <w:kinsoku/>
        <w:autoSpaceDE/>
        <w:autoSpaceDN/>
        <w:adjustRightInd/>
        <w:snapToGrid/>
        <w:spacing w:before="0" w:beforeAutospacing="0" w:after="0" w:afterAutospacing="0" w:line="300" w:lineRule="auto"/>
        <w:ind w:firstLine="420"/>
        <w:jc w:val="center"/>
        <w:textAlignment w:val="auto"/>
        <w:rPr>
          <w:rFonts w:hint="eastAsia" w:asciiTheme="majorEastAsia" w:hAnsiTheme="majorEastAsia" w:eastAsiaTheme="majorEastAsia" w:cstheme="majorEastAsia"/>
          <w:b/>
          <w:snapToGrid/>
          <w:sz w:val="30"/>
          <w:szCs w:val="30"/>
          <w:highlight w:val="none"/>
          <w:lang w:eastAsia="zh-CN"/>
        </w:rPr>
      </w:pPr>
      <w:r>
        <w:rPr>
          <w:rFonts w:hint="eastAsia" w:asciiTheme="majorEastAsia" w:hAnsiTheme="majorEastAsia" w:eastAsiaTheme="majorEastAsia" w:cstheme="majorEastAsia"/>
          <w:b/>
          <w:snapToGrid/>
          <w:sz w:val="30"/>
          <w:szCs w:val="30"/>
          <w:highlight w:val="none"/>
          <w:lang w:eastAsia="zh-CN"/>
        </w:rPr>
        <w:t>园博园运改维一体化改革试点项目（2025年）</w:t>
      </w:r>
    </w:p>
    <w:p w14:paraId="1700A587">
      <w:pPr>
        <w:pStyle w:val="8"/>
        <w:kinsoku/>
        <w:autoSpaceDE/>
        <w:autoSpaceDN/>
        <w:adjustRightInd/>
        <w:snapToGrid/>
        <w:spacing w:before="0" w:beforeAutospacing="0" w:after="0" w:afterAutospacing="0" w:line="300" w:lineRule="auto"/>
        <w:ind w:firstLine="420"/>
        <w:jc w:val="center"/>
        <w:textAlignment w:val="auto"/>
        <w:rPr>
          <w:rFonts w:hint="eastAsia" w:asciiTheme="majorEastAsia" w:hAnsiTheme="majorEastAsia" w:eastAsiaTheme="majorEastAsia" w:cstheme="majorEastAsia"/>
          <w:b/>
          <w:snapToGrid/>
          <w:sz w:val="30"/>
          <w:szCs w:val="30"/>
          <w:highlight w:val="none"/>
          <w:lang w:eastAsia="zh-CN"/>
        </w:rPr>
      </w:pPr>
      <w:r>
        <w:rPr>
          <w:rFonts w:hint="eastAsia" w:asciiTheme="majorEastAsia" w:hAnsiTheme="majorEastAsia" w:eastAsiaTheme="majorEastAsia" w:cstheme="majorEastAsia"/>
          <w:b/>
          <w:snapToGrid/>
          <w:sz w:val="30"/>
          <w:szCs w:val="30"/>
          <w:highlight w:val="none"/>
          <w:lang w:eastAsia="zh-CN"/>
        </w:rPr>
        <w:t>自助现磨咖啡机服务协议</w:t>
      </w:r>
    </w:p>
    <w:p w14:paraId="0EDAF52D">
      <w:pPr>
        <w:pStyle w:val="8"/>
        <w:spacing w:before="0" w:beforeAutospacing="0" w:after="0" w:afterAutospacing="0" w:line="300" w:lineRule="auto"/>
        <w:ind w:firstLine="420"/>
        <w:jc w:val="center"/>
        <w:rPr>
          <w:rFonts w:hint="eastAsia" w:asciiTheme="minorEastAsia" w:hAnsiTheme="minorEastAsia" w:eastAsiaTheme="minorEastAsia" w:cstheme="minorEastAsia"/>
          <w:b/>
          <w:szCs w:val="24"/>
          <w:highlight w:val="none"/>
          <w:lang w:eastAsia="zh-CN"/>
        </w:rPr>
      </w:pPr>
    </w:p>
    <w:p w14:paraId="00FC7D9E">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甲方：</w:t>
      </w:r>
      <w:r>
        <w:rPr>
          <w:rFonts w:hint="eastAsia" w:asciiTheme="minorEastAsia" w:hAnsiTheme="minorEastAsia" w:eastAsiaTheme="minorEastAsia" w:cstheme="minorEastAsia"/>
          <w:kern w:val="2"/>
          <w:szCs w:val="24"/>
          <w:highlight w:val="none"/>
          <w:u w:val="single"/>
          <w:lang w:eastAsia="zh-CN"/>
        </w:rPr>
        <w:t>（委托方）深圳市特区建工园林生态科技集团有限公司</w:t>
      </w:r>
    </w:p>
    <w:p w14:paraId="716BC7B3">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统一社会信用代码：</w:t>
      </w:r>
      <w:r>
        <w:rPr>
          <w:rFonts w:hint="eastAsia" w:asciiTheme="minorEastAsia" w:hAnsiTheme="minorEastAsia" w:eastAsiaTheme="minorEastAsia" w:cstheme="minorEastAsia"/>
          <w:kern w:val="2"/>
          <w:szCs w:val="24"/>
          <w:highlight w:val="none"/>
          <w:u w:val="single"/>
          <w:lang w:eastAsia="zh-CN"/>
        </w:rPr>
        <w:t>91440300MA5H67KD7C</w:t>
      </w:r>
    </w:p>
    <w:p w14:paraId="4ED90BCC">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地址：</w:t>
      </w:r>
      <w:r>
        <w:rPr>
          <w:rFonts w:hint="eastAsia" w:asciiTheme="minorEastAsia" w:hAnsiTheme="minorEastAsia" w:eastAsiaTheme="minorEastAsia" w:cstheme="minorEastAsia"/>
          <w:kern w:val="2"/>
          <w:szCs w:val="24"/>
          <w:highlight w:val="none"/>
          <w:u w:val="single"/>
          <w:lang w:eastAsia="zh-CN"/>
        </w:rPr>
        <w:t>深圳市光明区凤凰街道塘家社区光明高新产业园邦凯科技工业园(一期) 1#办公楼四层</w:t>
      </w:r>
    </w:p>
    <w:p w14:paraId="77A67A88">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法定代表人：</w:t>
      </w:r>
      <w:r>
        <w:rPr>
          <w:rFonts w:hint="eastAsia" w:asciiTheme="minorEastAsia" w:hAnsiTheme="minorEastAsia" w:eastAsiaTheme="minorEastAsia" w:cstheme="minorEastAsia"/>
          <w:kern w:val="2"/>
          <w:szCs w:val="24"/>
          <w:highlight w:val="none"/>
          <w:u w:val="single"/>
          <w:lang w:eastAsia="zh-CN"/>
        </w:rPr>
        <w:t>于晗</w:t>
      </w:r>
    </w:p>
    <w:p w14:paraId="48B7A30D">
      <w:pPr>
        <w:pStyle w:val="8"/>
        <w:spacing w:before="0" w:beforeAutospacing="0" w:after="0" w:afterAutospacing="0" w:line="300" w:lineRule="auto"/>
        <w:jc w:val="both"/>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联系人:</w:t>
      </w:r>
      <w:r>
        <w:rPr>
          <w:rFonts w:hint="eastAsia" w:asciiTheme="minorEastAsia" w:hAnsiTheme="minorEastAsia" w:eastAsiaTheme="minorEastAsia" w:cstheme="minorEastAsia"/>
          <w:kern w:val="2"/>
          <w:szCs w:val="24"/>
          <w:highlight w:val="none"/>
          <w:u w:val="single"/>
          <w:lang w:eastAsia="zh-CN"/>
        </w:rPr>
        <w:t>吴奇</w:t>
      </w:r>
    </w:p>
    <w:p w14:paraId="47F6F613">
      <w:pPr>
        <w:pStyle w:val="8"/>
        <w:spacing w:before="0" w:beforeAutospacing="0" w:after="0" w:afterAutospacing="0" w:line="300" w:lineRule="auto"/>
        <w:jc w:val="both"/>
        <w:rPr>
          <w:rFonts w:hint="eastAsia" w:asciiTheme="minorEastAsia" w:hAnsiTheme="minorEastAsia" w:eastAsiaTheme="minorEastAsia" w:cstheme="minorEastAsia"/>
          <w:kern w:val="2"/>
          <w:szCs w:val="24"/>
          <w:highlight w:val="none"/>
          <w:u w:val="single"/>
          <w:lang w:eastAsia="zh-CN"/>
        </w:rPr>
      </w:pPr>
      <w:r>
        <w:rPr>
          <w:rFonts w:hint="eastAsia" w:asciiTheme="minorEastAsia" w:hAnsiTheme="minorEastAsia" w:eastAsiaTheme="minorEastAsia" w:cstheme="minorEastAsia"/>
          <w:kern w:val="2"/>
          <w:szCs w:val="24"/>
          <w:highlight w:val="none"/>
          <w:lang w:eastAsia="zh-CN"/>
        </w:rPr>
        <w:t>电  话：</w:t>
      </w:r>
      <w:r>
        <w:rPr>
          <w:rFonts w:hint="eastAsia" w:asciiTheme="minorEastAsia" w:hAnsiTheme="minorEastAsia" w:eastAsiaTheme="minorEastAsia" w:cstheme="minorEastAsia"/>
          <w:kern w:val="2"/>
          <w:szCs w:val="24"/>
          <w:highlight w:val="none"/>
          <w:u w:val="single"/>
          <w:lang w:eastAsia="zh-CN"/>
        </w:rPr>
        <w:t>18664988042</w:t>
      </w:r>
    </w:p>
    <w:p w14:paraId="684B1443">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电子邮件：</w:t>
      </w:r>
      <w:r>
        <w:rPr>
          <w:rFonts w:hint="eastAsia" w:asciiTheme="minorEastAsia" w:hAnsiTheme="minorEastAsia" w:eastAsiaTheme="minorEastAsia" w:cstheme="minorEastAsia"/>
          <w:kern w:val="2"/>
          <w:szCs w:val="24"/>
          <w:highlight w:val="none"/>
          <w:u w:val="single"/>
          <w:lang w:eastAsia="zh-CN"/>
        </w:rPr>
        <w:t>1366277712@qq.com</w:t>
      </w:r>
    </w:p>
    <w:p w14:paraId="2355349E">
      <w:pPr>
        <w:pStyle w:val="8"/>
        <w:spacing w:before="0" w:beforeAutospacing="0" w:after="0" w:afterAutospacing="0" w:line="300" w:lineRule="auto"/>
        <w:jc w:val="both"/>
        <w:rPr>
          <w:rFonts w:hint="eastAsia" w:asciiTheme="minorEastAsia" w:hAnsiTheme="minorEastAsia" w:eastAsiaTheme="minorEastAsia" w:cstheme="minorEastAsia"/>
          <w:kern w:val="2"/>
          <w:szCs w:val="24"/>
          <w:highlight w:val="none"/>
          <w:u w:val="single"/>
          <w:lang w:eastAsia="zh-CN"/>
        </w:rPr>
      </w:pPr>
    </w:p>
    <w:p w14:paraId="16D068EB">
      <w:pPr>
        <w:pStyle w:val="2"/>
        <w:spacing w:before="62" w:line="228" w:lineRule="auto"/>
        <w:ind w:left="41"/>
        <w:rPr>
          <w:rFonts w:hint="eastAsia" w:asciiTheme="minorEastAsia" w:hAnsiTheme="minorEastAsia" w:eastAsiaTheme="minorEastAsia" w:cstheme="minorEastAsia"/>
          <w:b/>
          <w:bCs/>
          <w:spacing w:val="6"/>
          <w:sz w:val="24"/>
          <w:szCs w:val="24"/>
          <w:highlight w:val="none"/>
          <w:lang w:eastAsia="zh-CN"/>
        </w:rPr>
      </w:pPr>
    </w:p>
    <w:p w14:paraId="5455B8D7">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u w:val="single"/>
          <w:lang w:eastAsia="zh-CN"/>
        </w:rPr>
      </w:pPr>
      <w:r>
        <w:rPr>
          <w:rFonts w:hint="eastAsia" w:asciiTheme="minorEastAsia" w:hAnsiTheme="minorEastAsia" w:eastAsiaTheme="minorEastAsia" w:cstheme="minorEastAsia"/>
          <w:kern w:val="2"/>
          <w:szCs w:val="24"/>
          <w:highlight w:val="none"/>
          <w:lang w:eastAsia="zh-CN"/>
        </w:rPr>
        <w:t>乙方：</w:t>
      </w:r>
    </w:p>
    <w:p w14:paraId="77A0F628">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统一社会信用代码：</w:t>
      </w:r>
    </w:p>
    <w:p w14:paraId="75104581">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通讯地址：</w:t>
      </w:r>
    </w:p>
    <w:p w14:paraId="0C475223">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法定代表人/授权代表：</w:t>
      </w:r>
    </w:p>
    <w:p w14:paraId="2726CE53">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联系人：</w:t>
      </w:r>
    </w:p>
    <w:p w14:paraId="16C6162E">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联系电话：</w:t>
      </w:r>
    </w:p>
    <w:p w14:paraId="484D95E3">
      <w:pPr>
        <w:pStyle w:val="8"/>
        <w:spacing w:before="0" w:beforeAutospacing="0" w:after="0" w:afterAutospacing="0" w:line="300" w:lineRule="auto"/>
        <w:rPr>
          <w:rFonts w:hint="eastAsia" w:asciiTheme="minorEastAsia" w:hAnsiTheme="minorEastAsia" w:eastAsiaTheme="minorEastAsia" w:cstheme="minorEastAsia"/>
          <w:kern w:val="2"/>
          <w:szCs w:val="24"/>
          <w:highlight w:val="none"/>
          <w:lang w:eastAsia="zh-CN"/>
        </w:rPr>
      </w:pPr>
      <w:r>
        <w:rPr>
          <w:rFonts w:hint="eastAsia" w:asciiTheme="minorEastAsia" w:hAnsiTheme="minorEastAsia" w:eastAsiaTheme="minorEastAsia" w:cstheme="minorEastAsia"/>
          <w:kern w:val="2"/>
          <w:szCs w:val="24"/>
          <w:highlight w:val="none"/>
          <w:lang w:eastAsia="zh-CN"/>
        </w:rPr>
        <w:t>电子邮件：</w:t>
      </w:r>
    </w:p>
    <w:p w14:paraId="637C01A0">
      <w:pPr>
        <w:spacing w:line="473" w:lineRule="auto"/>
        <w:rPr>
          <w:rFonts w:hint="eastAsia" w:asciiTheme="minorEastAsia" w:hAnsiTheme="minorEastAsia" w:eastAsiaTheme="minorEastAsia" w:cstheme="minorEastAsia"/>
          <w:sz w:val="24"/>
          <w:szCs w:val="24"/>
          <w:highlight w:val="none"/>
          <w:lang w:eastAsia="zh-CN"/>
        </w:rPr>
      </w:pPr>
    </w:p>
    <w:p w14:paraId="596569BA">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为进一步提升管理区域的服务质量，择优引进满足客户使用人美好生活的优质服务运营商，提供便利资源，根据《中华人民共和国民法典》及相关法律、法规，经甲乙双方经友好协商，就甲方提供给乙方深圳市</w:t>
      </w:r>
      <w:r>
        <w:rPr>
          <w:rFonts w:hint="eastAsia" w:asciiTheme="minorEastAsia" w:hAnsiTheme="minorEastAsia" w:eastAsiaTheme="minorEastAsia" w:cstheme="minorEastAsia"/>
          <w:sz w:val="24"/>
          <w:szCs w:val="24"/>
          <w:highlight w:val="none"/>
          <w:u w:val="single"/>
          <w:lang w:eastAsia="zh-CN"/>
        </w:rPr>
        <w:t xml:space="preserve">      深圳国际园林花卉博览园    </w:t>
      </w:r>
      <w:r>
        <w:rPr>
          <w:rFonts w:hint="eastAsia" w:asciiTheme="minorEastAsia" w:hAnsiTheme="minorEastAsia" w:eastAsiaTheme="minorEastAsia" w:cstheme="minorEastAsia"/>
          <w:sz w:val="24"/>
          <w:szCs w:val="24"/>
          <w:highlight w:val="none"/>
          <w:lang w:eastAsia="zh-CN"/>
        </w:rPr>
        <w:t>（以下简称“园博园”）的闲置空间供乙方摆放</w:t>
      </w:r>
      <w:r>
        <w:rPr>
          <w:rFonts w:hint="eastAsia" w:asciiTheme="minorEastAsia" w:hAnsiTheme="minorEastAsia" w:eastAsiaTheme="minorEastAsia" w:cstheme="minorEastAsia"/>
          <w:sz w:val="24"/>
          <w:szCs w:val="24"/>
          <w:highlight w:val="none"/>
          <w:u w:val="single"/>
          <w:lang w:eastAsia="zh-CN"/>
        </w:rPr>
        <w:t xml:space="preserve">                  （填写设备名称）（以下简称“设备”） </w:t>
      </w:r>
      <w:r>
        <w:rPr>
          <w:rFonts w:hint="eastAsia" w:asciiTheme="minorEastAsia" w:hAnsiTheme="minorEastAsia" w:eastAsiaTheme="minorEastAsia" w:cstheme="minorEastAsia"/>
          <w:sz w:val="24"/>
          <w:szCs w:val="24"/>
          <w:highlight w:val="none"/>
          <w:lang w:eastAsia="zh-CN"/>
        </w:rPr>
        <w:t>的相关事宜达成一致。为明确双方权利义务，特制定以下条款：</w:t>
      </w:r>
    </w:p>
    <w:p w14:paraId="2295DE69">
      <w:pPr>
        <w:pStyle w:val="2"/>
        <w:spacing w:before="61" w:line="228" w:lineRule="auto"/>
        <w:ind w:left="25"/>
        <w:outlineLvl w:val="1"/>
        <w:rPr>
          <w:rFonts w:hint="eastAsia" w:asciiTheme="minorEastAsia" w:hAnsiTheme="minorEastAsia" w:eastAsiaTheme="minorEastAsia" w:cstheme="minorEastAsia"/>
          <w:b/>
          <w:bCs/>
          <w:spacing w:val="6"/>
          <w:sz w:val="24"/>
          <w:szCs w:val="24"/>
          <w:highlight w:val="none"/>
          <w:lang w:eastAsia="zh-CN"/>
        </w:rPr>
      </w:pPr>
      <w:r>
        <w:rPr>
          <w:rFonts w:hint="eastAsia" w:asciiTheme="minorEastAsia" w:hAnsiTheme="minorEastAsia" w:eastAsiaTheme="minorEastAsia" w:cstheme="minorEastAsia"/>
          <w:b/>
          <w:bCs/>
          <w:spacing w:val="6"/>
          <w:sz w:val="24"/>
          <w:szCs w:val="24"/>
          <w:highlight w:val="none"/>
          <w:lang w:eastAsia="zh-CN"/>
        </w:rPr>
        <w:t>一、场地情况</w:t>
      </w:r>
    </w:p>
    <w:p w14:paraId="6A8233D0">
      <w:pPr>
        <w:numPr>
          <w:ilvl w:val="0"/>
          <w:numId w:val="1"/>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乙方拟使用园博园公园</w:t>
      </w:r>
      <w:r>
        <w:rPr>
          <w:rFonts w:hint="eastAsia" w:asciiTheme="minorEastAsia" w:hAnsiTheme="minorEastAsia" w:eastAsiaTheme="minorEastAsia" w:cstheme="minorEastAsia"/>
          <w:sz w:val="24"/>
          <w:szCs w:val="24"/>
          <w:highlight w:val="none"/>
          <w:u w:val="single"/>
          <w:lang w:eastAsia="zh-CN"/>
        </w:rPr>
        <w:t xml:space="preserve"> 4 </w:t>
      </w:r>
      <w:r>
        <w:rPr>
          <w:rFonts w:hint="eastAsia" w:asciiTheme="minorEastAsia" w:hAnsiTheme="minorEastAsia" w:eastAsiaTheme="minorEastAsia" w:cstheme="minorEastAsia"/>
          <w:sz w:val="24"/>
          <w:szCs w:val="24"/>
          <w:highlight w:val="none"/>
          <w:lang w:eastAsia="zh-CN"/>
        </w:rPr>
        <w:t>处场地, 用于【</w:t>
      </w:r>
      <w:r>
        <w:rPr>
          <w:rFonts w:hint="eastAsia" w:asciiTheme="minorEastAsia" w:hAnsiTheme="minorEastAsia" w:eastAsiaTheme="minorEastAsia" w:cstheme="minorEastAsia"/>
          <w:sz w:val="24"/>
          <w:szCs w:val="24"/>
          <w:highlight w:val="none"/>
          <w:u w:val="single"/>
          <w:lang w:eastAsia="zh-CN"/>
        </w:rPr>
        <w:t>自助现磨咖啡机</w:t>
      </w:r>
      <w:r>
        <w:rPr>
          <w:rFonts w:hint="eastAsia" w:asciiTheme="minorEastAsia" w:hAnsiTheme="minorEastAsia" w:eastAsiaTheme="minorEastAsia" w:cstheme="minorEastAsia"/>
          <w:sz w:val="24"/>
          <w:szCs w:val="24"/>
          <w:highlight w:val="none"/>
          <w:lang w:eastAsia="zh-CN"/>
        </w:rPr>
        <w:t>】商品的短期经营。</w:t>
      </w:r>
    </w:p>
    <w:p w14:paraId="200AB251">
      <w:pPr>
        <w:numPr>
          <w:ilvl w:val="0"/>
          <w:numId w:val="1"/>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该场地位置以实际交付面积为准，乙方对该场地的位置、现状及使用性质均已知悉、确认无异议，并同意按</w:t>
      </w:r>
      <w:bookmarkStart w:id="4" w:name="_GoBack"/>
      <w:bookmarkEnd w:id="4"/>
      <w:r>
        <w:rPr>
          <w:rFonts w:hint="eastAsia" w:asciiTheme="minorEastAsia" w:hAnsiTheme="minorEastAsia" w:eastAsiaTheme="minorEastAsia" w:cstheme="minorEastAsia"/>
          <w:sz w:val="24"/>
          <w:szCs w:val="24"/>
          <w:highlight w:val="none"/>
          <w:lang w:eastAsia="zh-CN"/>
        </w:rPr>
        <w:t>甲方交付该场地时的现状接收场地。</w:t>
      </w:r>
    </w:p>
    <w:p w14:paraId="55679BA6">
      <w:pPr>
        <w:numPr>
          <w:ilvl w:val="0"/>
          <w:numId w:val="1"/>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乙方确认并承诺是该品牌持有人，该授权在使用期内持续有效。</w:t>
      </w:r>
    </w:p>
    <w:p w14:paraId="02CB216D">
      <w:pPr>
        <w:pStyle w:val="2"/>
        <w:spacing w:before="61" w:line="228" w:lineRule="auto"/>
        <w:ind w:left="25"/>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6"/>
          <w:sz w:val="24"/>
          <w:szCs w:val="24"/>
          <w:highlight w:val="none"/>
        </w:rPr>
        <w:t>二、乙方承诺</w:t>
      </w:r>
    </w:p>
    <w:p w14:paraId="45CDF836">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保证本合同标的自助现磨咖啡机服务，是为了满足广大市民游客游园需求而设立的。乙方提供自助现磨咖啡机服务的前提，必须是符合绝大部分市民游客的诉求，且满足公园管理需要。若因商品售价或乙方提供的其他咖啡机相关服务引起市民游客强烈投诉，甲方有权单方面解除合同。</w:t>
      </w:r>
    </w:p>
    <w:p w14:paraId="09B81081">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保证乙方在甲方拥有所有权或使用权以及管理权的场地区域投放自助现磨咖啡机，自助现磨咖啡机在公园内的位置，可根据公园接电条件、安全条件、卫生条件、游客需求、现场景观以及园内开展特定活动需要，进行动态调整，具体位置以甲方意见为准。</w:t>
      </w:r>
    </w:p>
    <w:p w14:paraId="755DEA05">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保证其销售的商品及/或提供的服务/活动符合《中华人民共和国产品质量法》及其它相关法律法规的规定。乙方在该场地内不得销售违法违规、假冒、伪劣商品或其它任何不符合公园项目水准的商品或提供违法违规、与公园项目水准不符的服务或活动，或销售或提供侵犯第三人权利及任何知识产权的商品或服务或活动。</w:t>
      </w:r>
    </w:p>
    <w:p w14:paraId="2EE7B4C2">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保证安装前由乙方与甲方确认安装位置，双方确定无异议情况，甲方协调配合乙方安装工作，以实现项目的顺利进行，但安装施工过程中的安全责任（含第三方责任）及施工后因乙方的设施设备造成的一切安全事故等损失，均由乙方负责。乙方作为产品的销售者或经营者，应当为自身产品的质量及安全购买商业意外保险。</w:t>
      </w:r>
    </w:p>
    <w:p w14:paraId="0A0E4288">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乙方保证不会令甲方因乙方在该场地内销售的商品或提供的服务或活动而受到任何行政处罚或第三方的投诉或索赔，也不会因乙方的任何行为而令该项目的商誉受到影响，否则将承担由此给甲方造成的全部损失。</w:t>
      </w:r>
    </w:p>
    <w:p w14:paraId="601B1CE4">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保证，在该场地内不对草地、路面及其他任何公园设施设备造成损坏，因乙方原因造成损坏的，乙方应自行积极承担维修、复原责任及费用，未及时维修复原的应承担不少于相应维修复原费用金额的赔偿责任。</w:t>
      </w:r>
    </w:p>
    <w:p w14:paraId="0B304D98">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若乙方违反本合同的规定，甲方有权提前终止本协议，且乙方应赔偿因此给甲方及/或任何第三方造成的全部损失。</w:t>
      </w:r>
    </w:p>
    <w:p w14:paraId="571D6FDF">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乙方须每周星期一当天提供前一周的税前营收总额数据给甲方，并在</w:t>
      </w:r>
      <w:r>
        <w:rPr>
          <w:rFonts w:hint="eastAsia" w:asciiTheme="minorEastAsia" w:hAnsiTheme="minorEastAsia" w:eastAsiaTheme="minorEastAsia" w:cstheme="minorEastAsia"/>
          <w:sz w:val="24"/>
          <w:szCs w:val="24"/>
          <w:highlight w:val="none"/>
          <w:u w:val="single"/>
          <w:lang w:eastAsia="zh-CN"/>
        </w:rPr>
        <w:t xml:space="preserve">每月 5 </w:t>
      </w:r>
      <w:r>
        <w:rPr>
          <w:rFonts w:hint="eastAsia" w:asciiTheme="minorEastAsia" w:hAnsiTheme="minorEastAsia" w:eastAsiaTheme="minorEastAsia" w:cstheme="minorEastAsia"/>
          <w:sz w:val="24"/>
          <w:szCs w:val="24"/>
          <w:highlight w:val="none"/>
          <w:lang w:eastAsia="zh-CN"/>
        </w:rPr>
        <w:t>日前提供上一自然月期间内完整、准确和真实的总营业额记录给甲方，总营业额包含该场地一切经营活动和收入来源中所有应收账单和已收讫款项的总金额，包括任何经许可在该场地里经营的特许权人、受让人或被许可人所有的应收账单和已收讫款项及与该场地有关的一切业务收入。</w:t>
      </w:r>
    </w:p>
    <w:p w14:paraId="1F59ABEF">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乙方承诺按照本合同约定的用途接受场地服务，自觉遵守国家、地方相关法律法规及项目各项管理规定，并服从甲方的监督管理。</w:t>
      </w:r>
    </w:p>
    <w:p w14:paraId="4E25B535">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负责设备的日常维护管理，确保牢固安全，并承担全部责任。若乙方未按时派人维修或无法及时修复排除隐患，甲方有权拆除，由此产生的费用及甲方的各项损失全部由乙方承担。因乙方的原因，导致第三方或甲方全部损失由乙方承担；乙方保证在使用场地所从事的事务不违反国家相关法律、法规，不得涉及任何房地产类、医疗类经营事务，不得涉及与小区文明氛围有影响的事务等。</w:t>
      </w:r>
    </w:p>
    <w:p w14:paraId="17A593BD">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应选择具有资质的设计、施工等单位进行设备的设计与施工安装、维护、拆卸，必须按照抗风抗震等标准设计、制作柜体设备；安装的设备外观完整、美观，安装过程应遵守相应的安全标准；施工期间发生一切安全事故责任均由乙方承担，甲方不承担任何责任。乙方在作业过程中，因施工或人为等原因，造成其他公园及配套损坏的，乙方须在损害发生之日起10个工作日内恢复原状或照价赔偿。</w:t>
      </w:r>
    </w:p>
    <w:p w14:paraId="46217933">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乙方作为设备经营主体，因设备经营造成工商、税务、卫生、城建等部门行政处罚时，由乙方承担经济责任和行政责任。</w:t>
      </w:r>
    </w:p>
    <w:p w14:paraId="0D337492">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设备投放使用前，乙方应当向甲方提交产品使用说明书、产品质量合格证、应急预案以及产品保险单等材料复印件。</w:t>
      </w:r>
    </w:p>
    <w:p w14:paraId="0A0BACC1">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乙方承诺不在设备上开展“预充值服务，不得通过“预充值”服务收取甲方业主、公园使用人的资金。</w:t>
      </w:r>
    </w:p>
    <w:p w14:paraId="7CEF25ED">
      <w:pPr>
        <w:numPr>
          <w:ilvl w:val="0"/>
          <w:numId w:val="2"/>
        </w:numPr>
        <w:kinsoku/>
        <w:autoSpaceDE/>
        <w:autoSpaceDN/>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乙方负责提供咖啡机设备，咖啡机日常使用桶装水和咖啡机的日常运维工作，并保证产品质量符合标准，咖啡机为乙方资产；</w:t>
      </w:r>
    </w:p>
    <w:p w14:paraId="7D8EEFAD">
      <w:pPr>
        <w:numPr>
          <w:ilvl w:val="0"/>
          <w:numId w:val="2"/>
        </w:numPr>
        <w:kinsoku/>
        <w:autoSpaceDE/>
        <w:autoSpaceDN/>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乙方负责咖啡机设备的选型、调试、（原料包含咖啡豆、奶、白砂糖、可可、红茶等）配方调制、接口协议开发对接。甲方如有异议，有权通知乙方更换设备或进行整改，乙方应予配合；</w:t>
      </w:r>
    </w:p>
    <w:p w14:paraId="6F8DC657">
      <w:pPr>
        <w:numPr>
          <w:ilvl w:val="0"/>
          <w:numId w:val="2"/>
        </w:numPr>
        <w:kinsoku/>
        <w:autoSpaceDE/>
        <w:autoSpaceDN/>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乙方负责提供云服务平台，实现和咖啡机的对接，并实现设备管理、设备监控、销售监控、分成管理、统计分析等支撑和管理功能；</w:t>
      </w:r>
    </w:p>
    <w:p w14:paraId="2CFEF99C">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乙方提供的咖啡豆、奶、白砂糖、可可、红茶等一切原材料为正规厂家生产，并履行全部食品安全职责。</w:t>
      </w:r>
    </w:p>
    <w:p w14:paraId="4CBA8ED7">
      <w:pPr>
        <w:numPr>
          <w:ilvl w:val="0"/>
          <w:numId w:val="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本合同称乙方对甲方的赔偿损失范围，是指包括但不限于诉讼费、执行费、律师费、保全费、保费、差旅费、公证费、对第三人承担的赔偿责任、行政处罚等全部损失。</w:t>
      </w:r>
    </w:p>
    <w:p w14:paraId="2C06BEA6">
      <w:pPr>
        <w:pStyle w:val="2"/>
        <w:spacing w:before="62" w:line="228" w:lineRule="auto"/>
        <w:ind w:left="21"/>
        <w:outlineLvl w:val="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pacing w:val="7"/>
          <w:sz w:val="24"/>
          <w:szCs w:val="24"/>
          <w:highlight w:val="none"/>
          <w:lang w:eastAsia="zh-CN"/>
        </w:rPr>
        <w:t>三、使用期限</w:t>
      </w:r>
    </w:p>
    <w:p w14:paraId="19CCB967">
      <w:pPr>
        <w:numPr>
          <w:ilvl w:val="255"/>
          <w:numId w:val="0"/>
        </w:numPr>
        <w:spacing w:line="360" w:lineRule="auto"/>
        <w:ind w:firstLine="5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甲方向乙方提供该场地使用期限为【2025】年【】月【】 日至【】年【】月【】 日，其中，装修期为</w:t>
      </w:r>
      <w:r>
        <w:rPr>
          <w:rFonts w:hint="eastAsia" w:asciiTheme="minorEastAsia" w:hAnsiTheme="minorEastAsia" w:eastAsiaTheme="minorEastAsia" w:cstheme="minorEastAsia"/>
          <w:sz w:val="24"/>
          <w:szCs w:val="24"/>
          <w:highlight w:val="none"/>
          <w:lang w:val="en-US" w:eastAsia="zh-CN"/>
        </w:rPr>
        <w:t>不超过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lang w:eastAsia="zh-CN"/>
        </w:rPr>
        <w:t>】 日，乙方应确保在【】年【】月【】 日前（含当日）外开张营业，并遵守该场地统一营业时间。</w:t>
      </w:r>
    </w:p>
    <w:p w14:paraId="5DF168C0">
      <w:pPr>
        <w:pStyle w:val="2"/>
        <w:spacing w:before="62" w:line="228" w:lineRule="auto"/>
        <w:ind w:left="40"/>
        <w:outlineLvl w:val="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pacing w:val="6"/>
          <w:sz w:val="24"/>
          <w:szCs w:val="24"/>
          <w:highlight w:val="none"/>
          <w:lang w:eastAsia="zh-CN"/>
        </w:rPr>
        <w:t>四、场地管理费及其他费用</w:t>
      </w:r>
    </w:p>
    <w:p w14:paraId="114C80C5">
      <w:pPr>
        <w:numPr>
          <w:ilvl w:val="255"/>
          <w:numId w:val="0"/>
        </w:numPr>
        <w:spacing w:line="360" w:lineRule="auto"/>
        <w:ind w:firstLine="482"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u w:val="single"/>
          <w:lang w:eastAsia="zh-CN"/>
        </w:rPr>
        <w:t>1. 租赁履约保证金：</w:t>
      </w:r>
      <w:r>
        <w:rPr>
          <w:rFonts w:hint="eastAsia" w:asciiTheme="minorEastAsia" w:hAnsiTheme="minorEastAsia" w:eastAsiaTheme="minorEastAsia" w:cstheme="minorEastAsia"/>
          <w:sz w:val="24"/>
          <w:szCs w:val="24"/>
          <w:highlight w:val="none"/>
          <w:lang w:eastAsia="zh-CN"/>
        </w:rPr>
        <w:t>人民币</w:t>
      </w:r>
      <w:r>
        <w:rPr>
          <w:rFonts w:hint="eastAsia" w:asciiTheme="minorEastAsia" w:hAnsiTheme="minorEastAsia" w:eastAsiaTheme="minorEastAsia" w:cstheme="minorEastAsia"/>
          <w:bCs/>
          <w:sz w:val="24"/>
          <w:szCs w:val="24"/>
          <w:highlight w:val="none"/>
          <w:u w:val="single"/>
          <w:lang w:eastAsia="zh-CN"/>
        </w:rPr>
        <w:t xml:space="preserve">      </w:t>
      </w:r>
      <w:r>
        <w:rPr>
          <w:rFonts w:hint="eastAsia" w:asciiTheme="minorEastAsia" w:hAnsiTheme="minorEastAsia" w:eastAsiaTheme="minorEastAsia" w:cstheme="minorEastAsia"/>
          <w:sz w:val="24"/>
          <w:szCs w:val="24"/>
          <w:highlight w:val="none"/>
          <w:lang w:eastAsia="zh-CN"/>
        </w:rPr>
        <w:t>整 (¥</w:t>
      </w:r>
      <w:r>
        <w:rPr>
          <w:rFonts w:hint="eastAsia" w:asciiTheme="minorEastAsia" w:hAnsiTheme="minorEastAsia" w:eastAsiaTheme="minorEastAsia" w:cstheme="minorEastAsia"/>
          <w:bCs/>
          <w:sz w:val="24"/>
          <w:szCs w:val="24"/>
          <w:highlight w:val="none"/>
          <w:u w:val="single"/>
          <w:lang w:eastAsia="zh-CN"/>
        </w:rPr>
        <w:t xml:space="preserve">      </w:t>
      </w:r>
      <w:r>
        <w:rPr>
          <w:rFonts w:hint="eastAsia" w:asciiTheme="minorEastAsia" w:hAnsiTheme="minorEastAsia" w:eastAsiaTheme="minorEastAsia" w:cstheme="minorEastAsia"/>
          <w:sz w:val="24"/>
          <w:szCs w:val="24"/>
          <w:highlight w:val="none"/>
          <w:lang w:eastAsia="zh-CN"/>
        </w:rPr>
        <w:t>），乙方应在本合同签署后 5 个工作日内或使用期限起始日之前一日（以二者时间较早到达的为准）向甲方支付租赁履约保证金， 以确保乙方全面履行及承担其在本合同项下的全部义务及责任。租赁保证金额度为乙方中标金额租金的</w:t>
      </w:r>
      <w:r>
        <w:rPr>
          <w:rFonts w:asciiTheme="minorEastAsia" w:hAnsiTheme="minorEastAsia" w:eastAsiaTheme="minorEastAsia" w:cstheme="minorEastAsia"/>
          <w:sz w:val="24"/>
          <w:szCs w:val="24"/>
          <w:highlight w:val="none"/>
          <w:lang w:eastAsia="zh-CN"/>
        </w:rPr>
        <w:t>3</w:t>
      </w:r>
      <w:r>
        <w:rPr>
          <w:rFonts w:hint="eastAsia" w:asciiTheme="minorEastAsia" w:hAnsiTheme="minorEastAsia" w:eastAsiaTheme="minorEastAsia" w:cstheme="minorEastAsia"/>
          <w:sz w:val="24"/>
          <w:szCs w:val="24"/>
          <w:highlight w:val="none"/>
          <w:lang w:eastAsia="zh-CN"/>
        </w:rPr>
        <w:t>倍。</w:t>
      </w:r>
    </w:p>
    <w:p w14:paraId="3EF4B213">
      <w:pPr>
        <w:numPr>
          <w:ilvl w:val="255"/>
          <w:numId w:val="0"/>
        </w:numPr>
        <w:spacing w:line="360" w:lineRule="auto"/>
        <w:ind w:firstLine="482" w:firstLineChars="200"/>
        <w:rPr>
          <w:rFonts w:hint="eastAsia" w:asciiTheme="minorEastAsia" w:hAnsiTheme="minorEastAsia" w:eastAsiaTheme="minorEastAsia" w:cstheme="minorEastAsia"/>
          <w:sz w:val="24"/>
          <w:szCs w:val="24"/>
          <w:highlight w:val="none"/>
          <w:u w:val="single"/>
          <w:lang w:eastAsia="zh-CN"/>
        </w:rPr>
      </w:pPr>
      <w:r>
        <w:rPr>
          <w:rFonts w:asciiTheme="minorEastAsia" w:hAnsiTheme="minorEastAsia" w:eastAsiaTheme="minorEastAsia" w:cstheme="minorEastAsia"/>
          <w:b/>
          <w:bCs/>
          <w:sz w:val="24"/>
          <w:szCs w:val="24"/>
          <w:highlight w:val="none"/>
          <w:u w:val="single"/>
          <w:lang w:eastAsia="zh-CN"/>
        </w:rPr>
        <w:t>2</w:t>
      </w:r>
      <w:r>
        <w:rPr>
          <w:rFonts w:hint="eastAsia" w:asciiTheme="minorEastAsia" w:hAnsiTheme="minorEastAsia" w:eastAsiaTheme="minorEastAsia" w:cstheme="minorEastAsia"/>
          <w:b/>
          <w:bCs/>
          <w:sz w:val="24"/>
          <w:szCs w:val="24"/>
          <w:highlight w:val="none"/>
          <w:u w:val="single"/>
          <w:lang w:eastAsia="zh-CN"/>
        </w:rPr>
        <w:t>. 场地管理费：</w:t>
      </w:r>
      <w:r>
        <w:rPr>
          <w:rFonts w:hint="eastAsia" w:asciiTheme="minorEastAsia" w:hAnsiTheme="minorEastAsia" w:eastAsiaTheme="minorEastAsia" w:cstheme="minorEastAsia"/>
          <w:sz w:val="24"/>
          <w:szCs w:val="24"/>
          <w:highlight w:val="none"/>
          <w:u w:val="single"/>
          <w:lang w:eastAsia="zh-CN"/>
        </w:rPr>
        <w:t>按基本管理费作为每月场地管理费金额，具体如下:</w:t>
      </w:r>
    </w:p>
    <w:p w14:paraId="4C6058B2">
      <w:pPr>
        <w:numPr>
          <w:ilvl w:val="255"/>
          <w:numId w:val="0"/>
        </w:numPr>
        <w:spacing w:line="360" w:lineRule="auto"/>
        <w:ind w:firstLine="480" w:firstLineChars="200"/>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highlight w:val="none"/>
          <w:u w:val="single"/>
          <w:lang w:eastAsia="zh-CN"/>
        </w:rPr>
        <w:t>基本管理费:人民币</w:t>
      </w:r>
      <w:r>
        <w:rPr>
          <w:rFonts w:hint="eastAsia" w:asciiTheme="minorEastAsia" w:hAnsiTheme="minorEastAsia" w:eastAsiaTheme="minorEastAsia" w:cstheme="minorEastAsia"/>
          <w:bCs/>
          <w:sz w:val="24"/>
          <w:szCs w:val="24"/>
          <w:highlight w:val="none"/>
          <w:u w:val="single"/>
          <w:lang w:eastAsia="zh-CN"/>
        </w:rPr>
        <w:t xml:space="preserve">      </w:t>
      </w:r>
      <w:r>
        <w:rPr>
          <w:rFonts w:hint="eastAsia" w:asciiTheme="minorEastAsia" w:hAnsiTheme="minorEastAsia" w:eastAsiaTheme="minorEastAsia" w:cstheme="minorEastAsia"/>
          <w:sz w:val="24"/>
          <w:szCs w:val="24"/>
          <w:highlight w:val="none"/>
          <w:u w:val="single"/>
          <w:lang w:eastAsia="zh-CN"/>
        </w:rPr>
        <w:t>整(¥</w:t>
      </w:r>
      <w:r>
        <w:rPr>
          <w:rFonts w:hint="eastAsia" w:asciiTheme="minorEastAsia" w:hAnsiTheme="minorEastAsia" w:eastAsiaTheme="minorEastAsia" w:cstheme="minorEastAsia"/>
          <w:bCs/>
          <w:sz w:val="24"/>
          <w:szCs w:val="24"/>
          <w:highlight w:val="none"/>
          <w:u w:val="single"/>
          <w:lang w:eastAsia="zh-CN"/>
        </w:rPr>
        <w:t xml:space="preserve">      </w:t>
      </w:r>
      <w:r>
        <w:rPr>
          <w:rFonts w:hint="eastAsia" w:asciiTheme="minorEastAsia" w:hAnsiTheme="minorEastAsia" w:eastAsiaTheme="minorEastAsia" w:cstheme="minorEastAsia"/>
          <w:sz w:val="24"/>
          <w:szCs w:val="24"/>
          <w:highlight w:val="none"/>
          <w:u w:val="single"/>
          <w:lang w:eastAsia="zh-CN"/>
        </w:rPr>
        <w:t>)/月/台；投入共【4】台，每月基本管理费共为人民币</w:t>
      </w:r>
      <w:r>
        <w:rPr>
          <w:rFonts w:hint="eastAsia" w:asciiTheme="minorEastAsia" w:hAnsiTheme="minorEastAsia" w:eastAsiaTheme="minorEastAsia" w:cstheme="minorEastAsia"/>
          <w:bCs/>
          <w:sz w:val="24"/>
          <w:szCs w:val="24"/>
          <w:highlight w:val="none"/>
          <w:u w:val="single"/>
          <w:lang w:eastAsia="zh-CN"/>
        </w:rPr>
        <w:t xml:space="preserve">      </w:t>
      </w:r>
      <w:r>
        <w:rPr>
          <w:rFonts w:hint="eastAsia" w:asciiTheme="minorEastAsia" w:hAnsiTheme="minorEastAsia" w:eastAsiaTheme="minorEastAsia" w:cstheme="minorEastAsia"/>
          <w:sz w:val="24"/>
          <w:szCs w:val="24"/>
          <w:highlight w:val="none"/>
          <w:u w:val="single"/>
          <w:lang w:eastAsia="zh-CN"/>
        </w:rPr>
        <w:t>整(¥</w:t>
      </w:r>
      <w:r>
        <w:rPr>
          <w:rFonts w:hint="eastAsia" w:asciiTheme="minorEastAsia" w:hAnsiTheme="minorEastAsia" w:eastAsiaTheme="minorEastAsia" w:cstheme="minorEastAsia"/>
          <w:bCs/>
          <w:sz w:val="24"/>
          <w:szCs w:val="24"/>
          <w:highlight w:val="none"/>
          <w:u w:val="single"/>
          <w:lang w:eastAsia="zh-CN"/>
        </w:rPr>
        <w:t xml:space="preserve">      </w:t>
      </w:r>
      <w:r>
        <w:rPr>
          <w:rFonts w:hint="eastAsia" w:asciiTheme="minorEastAsia" w:hAnsiTheme="minorEastAsia" w:eastAsiaTheme="minorEastAsia" w:cstheme="minorEastAsia"/>
          <w:sz w:val="24"/>
          <w:szCs w:val="24"/>
          <w:highlight w:val="none"/>
          <w:u w:val="single"/>
          <w:lang w:eastAsia="zh-CN"/>
        </w:rPr>
        <w:t>)。</w:t>
      </w:r>
    </w:p>
    <w:p w14:paraId="27377DAE">
      <w:pPr>
        <w:numPr>
          <w:ilvl w:val="255"/>
          <w:numId w:val="0"/>
        </w:numPr>
        <w:spacing w:line="360" w:lineRule="auto"/>
        <w:ind w:firstLine="480" w:firstLineChars="200"/>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highlight w:val="none"/>
          <w:u w:val="single"/>
          <w:lang w:eastAsia="zh-CN"/>
        </w:rPr>
        <w:t>如乙方于使用期内增加或减少台数，应提前30日与甲方协商，经甲方同意后执行。第一个公历月的基本管理费须按甲方届时发出的书面通知所载明的时间缴交。使用期不满一月的，按天折算实际管理费；除第一个公历月外，每个公历月的基本管理费须在每月5日前向甲方支付。</w:t>
      </w:r>
    </w:p>
    <w:p w14:paraId="16DD4DF6">
      <w:pPr>
        <w:numPr>
          <w:ilvl w:val="-1"/>
          <w:numId w:val="0"/>
        </w:numPr>
        <w:spacing w:line="360" w:lineRule="auto"/>
        <w:ind w:leftChars="200" w:firstLine="0" w:firstLineChars="0"/>
        <w:rPr>
          <w:rFonts w:hint="eastAsia" w:asciiTheme="minorEastAsia" w:hAnsiTheme="minorEastAsia" w:eastAsiaTheme="minorEastAsia" w:cstheme="minorEastAsia"/>
          <w:b/>
          <w:bCs/>
          <w:sz w:val="24"/>
          <w:szCs w:val="24"/>
          <w:highlight w:val="none"/>
          <w:u w:val="single"/>
          <w:lang w:eastAsia="zh-CN"/>
        </w:rPr>
      </w:pPr>
      <w:r>
        <w:rPr>
          <w:rFonts w:hint="eastAsia" w:asciiTheme="minorEastAsia" w:hAnsiTheme="minorEastAsia" w:eastAsiaTheme="minorEastAsia" w:cstheme="minorEastAsia"/>
          <w:b/>
          <w:bCs/>
          <w:sz w:val="24"/>
          <w:szCs w:val="24"/>
          <w:highlight w:val="none"/>
          <w:u w:val="single"/>
          <w:lang w:val="en-US" w:eastAsia="zh-CN"/>
        </w:rPr>
        <w:t>3.</w:t>
      </w:r>
      <w:r>
        <w:rPr>
          <w:rFonts w:hint="eastAsia" w:asciiTheme="minorEastAsia" w:hAnsiTheme="minorEastAsia" w:eastAsiaTheme="minorEastAsia" w:cstheme="minorEastAsia"/>
          <w:b/>
          <w:bCs/>
          <w:sz w:val="24"/>
          <w:szCs w:val="24"/>
          <w:highlight w:val="none"/>
          <w:u w:val="single"/>
          <w:lang w:eastAsia="zh-CN"/>
        </w:rPr>
        <w:t>其他费用：</w:t>
      </w:r>
    </w:p>
    <w:p w14:paraId="37F0CC46">
      <w:pPr>
        <w:pStyle w:val="2"/>
        <w:spacing w:before="106" w:line="316" w:lineRule="auto"/>
        <w:ind w:left="1058" w:right="87" w:firstLine="530" w:firstLineChars="200"/>
        <w:rPr>
          <w:rFonts w:hint="eastAsia" w:asciiTheme="minorEastAsia" w:hAnsiTheme="minorEastAsia" w:eastAsiaTheme="minorEastAsia" w:cstheme="minorEastAsia"/>
          <w:b/>
          <w:bCs/>
          <w:sz w:val="24"/>
          <w:szCs w:val="24"/>
          <w:highlight w:val="none"/>
          <w:u w:val="single"/>
          <w:lang w:eastAsia="zh-CN"/>
        </w:rPr>
      </w:pPr>
      <w:r>
        <w:rPr>
          <w:rFonts w:hint="eastAsia" w:asciiTheme="minorEastAsia" w:hAnsiTheme="minorEastAsia" w:eastAsiaTheme="minorEastAsia" w:cstheme="minorEastAsia"/>
          <w:b/>
          <w:bCs/>
          <w:spacing w:val="12"/>
          <w:sz w:val="24"/>
          <w:szCs w:val="24"/>
          <w:highlight w:val="none"/>
        </w:rPr>
        <w:t>水费：</w:t>
      </w:r>
      <w:r>
        <w:rPr>
          <w:rFonts w:hint="eastAsia" w:asciiTheme="minorEastAsia" w:hAnsiTheme="minorEastAsia" w:eastAsiaTheme="minorEastAsia" w:cstheme="minorEastAsia"/>
          <w:spacing w:val="12"/>
          <w:sz w:val="24"/>
          <w:szCs w:val="24"/>
          <w:highlight w:val="none"/>
        </w:rPr>
        <w:t>每月水费按乙方实际使用计量（及每月水表读数）收取</w:t>
      </w:r>
      <w:r>
        <w:rPr>
          <w:rFonts w:hint="eastAsia" w:asciiTheme="minorEastAsia" w:hAnsiTheme="minorEastAsia" w:eastAsiaTheme="minorEastAsia" w:cstheme="minorEastAsia"/>
          <w:spacing w:val="11"/>
          <w:sz w:val="24"/>
          <w:szCs w:val="24"/>
          <w:highlight w:val="none"/>
        </w:rPr>
        <w:t>。</w:t>
      </w:r>
      <w:r>
        <w:rPr>
          <w:rFonts w:hint="eastAsia" w:asciiTheme="minorEastAsia" w:hAnsiTheme="minorEastAsia" w:eastAsiaTheme="minorEastAsia" w:cstheme="minorEastAsia"/>
          <w:kern w:val="0"/>
          <w:sz w:val="24"/>
          <w:szCs w:val="24"/>
          <w:highlight w:val="none"/>
        </w:rPr>
        <w:t>水费 5.58 元/</w:t>
      </w:r>
      <w:r>
        <w:rPr>
          <w:rFonts w:hint="eastAsia" w:asciiTheme="minorEastAsia" w:hAnsiTheme="minorEastAsia" w:eastAsiaTheme="minorEastAsia" w:cstheme="minorEastAsia"/>
          <w:kern w:val="0"/>
          <w:sz w:val="24"/>
          <w:szCs w:val="24"/>
          <w:highlight w:val="none"/>
          <w:lang w:val="en-US" w:eastAsia="zh-CN"/>
        </w:rPr>
        <w:t>m³，</w:t>
      </w:r>
      <w:r>
        <w:rPr>
          <w:rFonts w:hint="eastAsia" w:asciiTheme="minorEastAsia" w:hAnsiTheme="minorEastAsia" w:eastAsiaTheme="minorEastAsia" w:cstheme="minorEastAsia"/>
          <w:kern w:val="0"/>
          <w:sz w:val="24"/>
          <w:szCs w:val="24"/>
          <w:highlight w:val="none"/>
        </w:rPr>
        <w:t>如遇国家水价格上调，适时另</w:t>
      </w:r>
      <w:r>
        <w:rPr>
          <w:rFonts w:hint="eastAsia" w:asciiTheme="minorEastAsia" w:hAnsiTheme="minorEastAsia" w:eastAsiaTheme="minorEastAsia" w:cstheme="minorEastAsia"/>
          <w:kern w:val="0"/>
          <w:sz w:val="24"/>
          <w:szCs w:val="24"/>
          <w:highlight w:val="none"/>
          <w:lang w:eastAsia="zh-CN"/>
        </w:rPr>
        <w:t>作调整。</w:t>
      </w:r>
      <w:r>
        <w:rPr>
          <w:rFonts w:hint="eastAsia" w:asciiTheme="minorEastAsia" w:hAnsiTheme="minorEastAsia" w:eastAsiaTheme="minorEastAsia" w:cstheme="minorEastAsia"/>
          <w:spacing w:val="11"/>
          <w:sz w:val="24"/>
          <w:szCs w:val="24"/>
          <w:highlight w:val="none"/>
        </w:rPr>
        <w:t>每月水费在乙方收到甲方</w:t>
      </w:r>
      <w:r>
        <w:rPr>
          <w:rFonts w:hint="eastAsia" w:asciiTheme="minorEastAsia" w:hAnsiTheme="minorEastAsia" w:eastAsiaTheme="minorEastAsia" w:cstheme="minorEastAsia"/>
          <w:spacing w:val="3"/>
          <w:sz w:val="24"/>
          <w:szCs w:val="24"/>
          <w:highlight w:val="none"/>
        </w:rPr>
        <w:t>出具的相关账单后在当月</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pacing w:val="3"/>
          <w:sz w:val="24"/>
          <w:szCs w:val="24"/>
          <w:highlight w:val="none"/>
        </w:rPr>
        <w:t>10 日内缴纳。</w:t>
      </w:r>
    </w:p>
    <w:p w14:paraId="4304905D">
      <w:pPr>
        <w:pStyle w:val="2"/>
        <w:spacing w:before="29" w:line="316" w:lineRule="auto"/>
        <w:ind w:left="1052" w:right="87" w:hanging="58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pacing w:val="11"/>
          <w:sz w:val="24"/>
          <w:szCs w:val="24"/>
          <w:highlight w:val="none"/>
          <w:lang w:eastAsia="zh-CN"/>
        </w:rPr>
        <w:t>电费：每</w:t>
      </w:r>
      <w:r>
        <w:rPr>
          <w:rFonts w:hint="eastAsia" w:asciiTheme="minorEastAsia" w:hAnsiTheme="minorEastAsia" w:eastAsiaTheme="minorEastAsia" w:cstheme="minorEastAsia"/>
          <w:spacing w:val="12"/>
          <w:sz w:val="24"/>
          <w:szCs w:val="24"/>
          <w:highlight w:val="none"/>
          <w:lang w:eastAsia="zh-CN"/>
        </w:rPr>
        <w:t>月电费按乙方实际使用计量（及每月电表读数）收取</w:t>
      </w:r>
      <w:r>
        <w:rPr>
          <w:rFonts w:hint="eastAsia" w:asciiTheme="minorEastAsia" w:hAnsiTheme="minorEastAsia" w:eastAsiaTheme="minorEastAsia" w:cstheme="minorEastAsia"/>
          <w:spacing w:val="11"/>
          <w:sz w:val="24"/>
          <w:szCs w:val="24"/>
          <w:highlight w:val="none"/>
          <w:lang w:eastAsia="zh-CN"/>
        </w:rPr>
        <w:t>。</w:t>
      </w:r>
      <w:r>
        <w:rPr>
          <w:rFonts w:hint="eastAsia" w:asciiTheme="minorEastAsia" w:hAnsiTheme="minorEastAsia" w:eastAsiaTheme="minorEastAsia" w:cstheme="minorEastAsia"/>
          <w:sz w:val="24"/>
          <w:szCs w:val="24"/>
          <w:highlight w:val="none"/>
          <w:lang w:eastAsia="zh-CN"/>
        </w:rPr>
        <w:t>电费 1.4 元/千瓦时，如遇国家电价格上调，适时另做调整</w:t>
      </w:r>
      <w:r>
        <w:rPr>
          <w:rFonts w:hint="eastAsia" w:asciiTheme="minorEastAsia" w:hAnsiTheme="minorEastAsia" w:eastAsiaTheme="minorEastAsia" w:cstheme="minorEastAsia"/>
          <w:spacing w:val="11"/>
          <w:sz w:val="24"/>
          <w:szCs w:val="24"/>
          <w:highlight w:val="none"/>
          <w:lang w:eastAsia="zh-CN"/>
        </w:rPr>
        <w:t>。每月电</w:t>
      </w:r>
      <w:r>
        <w:rPr>
          <w:rFonts w:hint="eastAsia" w:asciiTheme="minorEastAsia" w:hAnsiTheme="minorEastAsia" w:eastAsiaTheme="minorEastAsia" w:cstheme="minorEastAsia"/>
          <w:spacing w:val="5"/>
          <w:sz w:val="24"/>
          <w:szCs w:val="24"/>
          <w:highlight w:val="none"/>
          <w:lang w:eastAsia="zh-CN"/>
        </w:rPr>
        <w:t>费在乙方收到甲方出具的相关账单后在当月</w:t>
      </w:r>
      <w:r>
        <w:rPr>
          <w:rFonts w:hint="eastAsia" w:asciiTheme="minorEastAsia" w:hAnsiTheme="minorEastAsia" w:eastAsiaTheme="minorEastAsia" w:cstheme="minorEastAsia"/>
          <w:spacing w:val="-7"/>
          <w:sz w:val="24"/>
          <w:szCs w:val="24"/>
          <w:highlight w:val="none"/>
          <w:lang w:eastAsia="zh-CN"/>
        </w:rPr>
        <w:t xml:space="preserve"> </w:t>
      </w:r>
      <w:r>
        <w:rPr>
          <w:rFonts w:hint="eastAsia" w:asciiTheme="minorEastAsia" w:hAnsiTheme="minorEastAsia" w:eastAsiaTheme="minorEastAsia" w:cstheme="minorEastAsia"/>
          <w:spacing w:val="5"/>
          <w:sz w:val="24"/>
          <w:szCs w:val="24"/>
          <w:highlight w:val="none"/>
          <w:lang w:eastAsia="zh-CN"/>
        </w:rPr>
        <w:t>10 日内缴纳，未按时缴纳的，乙方应当承担滞纳金等相应责任，甲方有权解除本合同。</w:t>
      </w:r>
    </w:p>
    <w:p w14:paraId="212309E4">
      <w:pPr>
        <w:pStyle w:val="2"/>
        <w:spacing w:before="62" w:line="228" w:lineRule="auto"/>
        <w:ind w:left="25"/>
        <w:outlineLvl w:val="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pacing w:val="7"/>
          <w:sz w:val="24"/>
          <w:szCs w:val="24"/>
          <w:highlight w:val="none"/>
          <w:lang w:eastAsia="zh-CN"/>
        </w:rPr>
        <w:t>五、账户信息及开票信息</w:t>
      </w:r>
    </w:p>
    <w:p w14:paraId="583F3BF4">
      <w:pPr>
        <w:numPr>
          <w:ilvl w:val="0"/>
          <w:numId w:val="3"/>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乙方在本协议项下的全部应付费用(包括但不限于场地保证金、场地使用费及其他费用等) 应按时支付至甲方指定账户，甲方应在收到乙方支付的足额款项后开具合法票据给乙方。</w:t>
      </w:r>
    </w:p>
    <w:p w14:paraId="0CEBEE77">
      <w:pPr>
        <w:numPr>
          <w:ilvl w:val="0"/>
          <w:numId w:val="3"/>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甲方收款账户信息如下：</w:t>
      </w:r>
    </w:p>
    <w:p w14:paraId="5227F125">
      <w:pPr>
        <w:numPr>
          <w:ilvl w:val="0"/>
          <w:numId w:val="0"/>
        </w:numPr>
        <w:spacing w:line="360" w:lineRule="auto"/>
        <w:ind w:left="480" w:firstLine="0" w:firstLineChars="0"/>
        <w:jc w:val="left"/>
        <w:rPr>
          <w:rFonts w:hint="eastAsia" w:asciiTheme="minorEastAsia" w:hAnsiTheme="minorEastAsia" w:eastAsiaTheme="minorEastAsia" w:cstheme="minorEastAsia"/>
          <w:b w:val="0"/>
          <w:spacing w:val="0"/>
          <w:sz w:val="24"/>
          <w:szCs w:val="24"/>
          <w:highlight w:val="none"/>
          <w:lang w:eastAsia="zh-CN"/>
        </w:rPr>
      </w:pPr>
      <w:r>
        <w:rPr>
          <w:rFonts w:hint="eastAsia" w:asciiTheme="minorEastAsia" w:hAnsiTheme="minorEastAsia" w:eastAsiaTheme="minorEastAsia" w:cstheme="minorEastAsia"/>
          <w:b w:val="0"/>
          <w:spacing w:val="0"/>
          <w:sz w:val="24"/>
          <w:szCs w:val="24"/>
          <w:highlight w:val="none"/>
          <w:lang w:eastAsia="zh-CN"/>
        </w:rPr>
        <w:t>甲方名称： 深圳市特区建工园林生态科技集团有限公司</w:t>
      </w:r>
    </w:p>
    <w:p w14:paraId="615AEED5">
      <w:pPr>
        <w:numPr>
          <w:ilvl w:val="0"/>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纳税人识别号：91440300MA5H67KD7C</w:t>
      </w:r>
    </w:p>
    <w:p w14:paraId="78894BC6">
      <w:pPr>
        <w:numPr>
          <w:ilvl w:val="0"/>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户    名： 深圳市特区建工园林生态科技集团有限公司</w:t>
      </w:r>
    </w:p>
    <w:p w14:paraId="462CE86F">
      <w:pPr>
        <w:numPr>
          <w:ilvl w:val="0"/>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 xml:space="preserve">开 户 行：招商银行深圳光明分行  </w:t>
      </w:r>
    </w:p>
    <w:p w14:paraId="43DDCDC1">
      <w:pPr>
        <w:numPr>
          <w:ilvl w:val="0"/>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帐    号：755970834810005</w:t>
      </w:r>
    </w:p>
    <w:p w14:paraId="2F2B4061">
      <w:pPr>
        <w:numPr>
          <w:ilvl w:val="0"/>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 xml:space="preserve">地    址：深圳市光明区凤凰街道塘家社区光明高新产业园邦凯科技工业园 (一期) 1#办公楼四层 </w:t>
      </w:r>
    </w:p>
    <w:p w14:paraId="295185DB">
      <w:pPr>
        <w:numPr>
          <w:ilvl w:val="0"/>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 xml:space="preserve">联系电话：0755-27108605 </w:t>
      </w:r>
    </w:p>
    <w:p w14:paraId="3788FA60">
      <w:pPr>
        <w:pStyle w:val="2"/>
        <w:ind w:firstLine="380" w:firstLineChars="200"/>
        <w:rPr>
          <w:rFonts w:hint="eastAsia"/>
          <w:highlight w:val="none"/>
        </w:rPr>
      </w:pPr>
    </w:p>
    <w:p w14:paraId="1CFA0A39">
      <w:pPr>
        <w:numPr>
          <w:ilvl w:val="0"/>
          <w:numId w:val="3"/>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乙方的增值税发票开票信息：</w:t>
      </w:r>
    </w:p>
    <w:p w14:paraId="3F66DBEA">
      <w:pPr>
        <w:numPr>
          <w:ilvl w:val="-1"/>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 xml:space="preserve">企  业 名 称： </w:t>
      </w:r>
    </w:p>
    <w:p w14:paraId="680F641E">
      <w:pPr>
        <w:numPr>
          <w:ilvl w:val="-1"/>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纳税人识别号：</w:t>
      </w:r>
    </w:p>
    <w:p w14:paraId="3180B102">
      <w:pPr>
        <w:numPr>
          <w:ilvl w:val="-1"/>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税务登记地址：</w:t>
      </w:r>
    </w:p>
    <w:p w14:paraId="311378F6">
      <w:pPr>
        <w:numPr>
          <w:ilvl w:val="-1"/>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电 话 号 码：</w:t>
      </w:r>
    </w:p>
    <w:p w14:paraId="53144A09">
      <w:pPr>
        <w:numPr>
          <w:ilvl w:val="-1"/>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开 户 银 行：</w:t>
      </w:r>
    </w:p>
    <w:p w14:paraId="4C691ED9">
      <w:pPr>
        <w:numPr>
          <w:ilvl w:val="-1"/>
          <w:numId w:val="0"/>
        </w:numPr>
        <w:spacing w:line="360" w:lineRule="auto"/>
        <w:ind w:left="480" w:firstLine="0" w:firstLineChars="0"/>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银 行 账 号：</w:t>
      </w:r>
    </w:p>
    <w:p w14:paraId="77D15407">
      <w:pPr>
        <w:spacing w:line="416" w:lineRule="auto"/>
        <w:rPr>
          <w:rFonts w:hint="eastAsia" w:asciiTheme="minorEastAsia" w:hAnsiTheme="minorEastAsia" w:eastAsiaTheme="minorEastAsia" w:cstheme="minorEastAsia"/>
          <w:sz w:val="24"/>
          <w:szCs w:val="24"/>
          <w:highlight w:val="none"/>
          <w:lang w:eastAsia="zh-CN"/>
        </w:rPr>
      </w:pPr>
    </w:p>
    <w:p w14:paraId="349191A5">
      <w:pPr>
        <w:pStyle w:val="2"/>
        <w:spacing w:before="63" w:line="228" w:lineRule="auto"/>
        <w:ind w:left="23"/>
        <w:outlineLvl w:val="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六、乙方应遵守园林集团及公园相关管理规定，并承诺按以下规则使用该场地</w:t>
      </w:r>
    </w:p>
    <w:p w14:paraId="1FFE0976">
      <w:pPr>
        <w:numPr>
          <w:ilvl w:val="0"/>
          <w:numId w:val="4"/>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乙方应在使用期限之前根据公园及甲方的管理规定以及自身的使用需求完成场地搭建，乙方的搭建方案应在开始搭建前五个工作日书面提交甲方审核。</w:t>
      </w:r>
    </w:p>
    <w:p w14:paraId="4F8D3F95">
      <w:pPr>
        <w:numPr>
          <w:ilvl w:val="0"/>
          <w:numId w:val="4"/>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场地中涉及到装修布置时间或筹备时间不得超过</w:t>
      </w:r>
      <w:r>
        <w:rPr>
          <w:rFonts w:hint="eastAsia" w:asciiTheme="minorEastAsia" w:hAnsiTheme="minorEastAsia" w:eastAsiaTheme="minorEastAsia" w:cstheme="minorEastAsia"/>
          <w:color w:val="000000"/>
          <w:sz w:val="24"/>
          <w:szCs w:val="24"/>
          <w:highlight w:val="none"/>
          <w:lang w:eastAsia="zh-CN"/>
        </w:rPr>
        <w:t>1</w:t>
      </w:r>
      <w:r>
        <w:rPr>
          <w:rFonts w:hint="eastAsia" w:asciiTheme="minorEastAsia" w:hAnsiTheme="minorEastAsia" w:eastAsiaTheme="minorEastAsia" w:cstheme="minorEastAsia"/>
          <w:color w:val="000000"/>
          <w:sz w:val="24"/>
          <w:szCs w:val="24"/>
          <w:highlight w:val="none"/>
          <w:lang w:val="en-US" w:eastAsia="zh-CN"/>
        </w:rPr>
        <w:t>5天</w:t>
      </w:r>
      <w:r>
        <w:rPr>
          <w:rFonts w:hint="eastAsia" w:asciiTheme="minorEastAsia" w:hAnsiTheme="minorEastAsia" w:eastAsiaTheme="minorEastAsia" w:cstheme="minorEastAsia"/>
          <w:sz w:val="24"/>
          <w:szCs w:val="24"/>
          <w:highlight w:val="none"/>
          <w:lang w:eastAsia="zh-CN"/>
        </w:rPr>
        <w:t>。若超过上述时间，则每逾期一天从租赁保证金中扣除500元/天。装修期间或筹备期间如有免租，若逾期则需按时交租。若因地质灾害、极端天气等不可抗力导致延迟装修，则此延迟时间不计入装修工期。</w:t>
      </w:r>
    </w:p>
    <w:p w14:paraId="78CD0C65">
      <w:pPr>
        <w:numPr>
          <w:ilvl w:val="0"/>
          <w:numId w:val="4"/>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应确保遵守法律法规和社会公序良俗，包括但不限于：1）不妨碍社会治安、危害公共安全、影响社会秩序；2）遵守现场治安、消防等安全管理制度，自觉接受公园及甲方的安全检查；3）不得携带和展示侮辱性标语、条幅等物品；4）遵守安全注意事项，服从公园或甲方现场工作人员管理；5）公园区域内不得使用明火；6）不可携带宠物入内；7）严格遵守市场监督管理局的相关规定，包括但不限于食品安全、商品定价等；8）不得制造噪声干扰公园正常游玩秩序，未经甲方事先书面同意，不得在使用场地外派发传单、营销拉客等。</w:t>
      </w:r>
    </w:p>
    <w:p w14:paraId="6D6173A7">
      <w:pPr>
        <w:numPr>
          <w:ilvl w:val="0"/>
          <w:numId w:val="4"/>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须保持该场地设施（无论是甲方提供的还是乙方自行配备的）完好，不能随意破坏；乙方须自行负责该场地之日常维护保养与疏通；若因乙方管理不善，造成任何设施损坏或导致任何第三者责任事故的，由乙方自行承担维修及由此产生的一切责任。</w:t>
      </w:r>
    </w:p>
    <w:p w14:paraId="4E9EBC56">
      <w:pPr>
        <w:numPr>
          <w:ilvl w:val="0"/>
          <w:numId w:val="4"/>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应保证该场地内所有入场销售的商品或提供的服务或活动须符合《中华人民共和国产品质量法》《中华人民共和国食品安全法》《食品标识管理规定》及其他相关法律法规的规定，不得销售违法违规、假冒、伪劣、有毒有害、侵犯第三人权利的商品或提供侵犯第三人权利的服务，销售价格应与连锁普通店面同店面售价统一，不得加价。</w:t>
      </w:r>
    </w:p>
    <w:p w14:paraId="3AAC1405">
      <w:pPr>
        <w:numPr>
          <w:ilvl w:val="0"/>
          <w:numId w:val="4"/>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应严格遵守公园及甲方的相关管理规定，做好绿地维护和场地内的卫生保洁、消防安全等工作，对场地运营做好台账记录和日常档案整理，并按月向甲方备案。公园管理方有权对项目运营的各项活动进行日常监督管理，届时乙方应按公园管理方的要求披露相关文件。对于公园管理方发出的整改通知，乙方应及时整改并纠正后向甲方报备，确保项目运营符合公园管理方的要求。</w:t>
      </w:r>
    </w:p>
    <w:p w14:paraId="7688E96B">
      <w:pPr>
        <w:numPr>
          <w:ilvl w:val="0"/>
          <w:numId w:val="4"/>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甲方可随时进入该场地进行巡视监督，提醒乙方及时纠正其违约行为。</w:t>
      </w:r>
    </w:p>
    <w:p w14:paraId="05E9291A">
      <w:pPr>
        <w:spacing w:line="416" w:lineRule="auto"/>
        <w:rPr>
          <w:rFonts w:hint="eastAsia" w:asciiTheme="minorEastAsia" w:hAnsiTheme="minorEastAsia" w:eastAsiaTheme="minorEastAsia" w:cstheme="minorEastAsia"/>
          <w:sz w:val="24"/>
          <w:szCs w:val="24"/>
          <w:highlight w:val="none"/>
          <w:lang w:eastAsia="zh-CN"/>
        </w:rPr>
      </w:pPr>
    </w:p>
    <w:p w14:paraId="435B608B">
      <w:pPr>
        <w:pStyle w:val="2"/>
        <w:spacing w:before="63" w:line="228" w:lineRule="auto"/>
        <w:ind w:left="23" w:firstLineChars="200"/>
        <w:outlineLvl w:val="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pacing w:val="8"/>
          <w:sz w:val="24"/>
          <w:szCs w:val="24"/>
          <w:highlight w:val="none"/>
          <w:lang w:val="en-US" w:eastAsia="zh-CN"/>
        </w:rPr>
        <w:t>七</w:t>
      </w:r>
      <w:r>
        <w:rPr>
          <w:rFonts w:hint="eastAsia" w:asciiTheme="minorEastAsia" w:hAnsiTheme="minorEastAsia" w:eastAsiaTheme="minorEastAsia" w:cstheme="minorEastAsia"/>
          <w:b/>
          <w:bCs/>
          <w:spacing w:val="8"/>
          <w:sz w:val="24"/>
          <w:szCs w:val="24"/>
          <w:highlight w:val="none"/>
          <w:lang w:eastAsia="zh-CN"/>
        </w:rPr>
        <w:t>、承租管理内容及要求</w:t>
      </w:r>
    </w:p>
    <w:p w14:paraId="182B8558">
      <w:pPr>
        <w:numPr>
          <w:ilvl w:val="0"/>
          <w:numId w:val="5"/>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本合同签订之日起【5】日内支付首个租赁年度一个月的租金，此后每月租金应于当月【5】日前支付。</w:t>
      </w:r>
    </w:p>
    <w:p w14:paraId="4B2C72F1">
      <w:pPr>
        <w:numPr>
          <w:ilvl w:val="0"/>
          <w:numId w:val="5"/>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项目承租期间招租方有权根据项目实际情况和监管需要制定和更新项目履约监管考核办法，发现管理人员缺位、卫生不达标、存在安全隐患或被市民游客投诉等情况，有权要求乙方限期整改。乙方接到通知后，应立即进行整改，逾期不整改或整改不到位，招租方有权视情节轻重每次对乙方处以月租金10%至100%的违约金。违约金直接从租赁保证金中扣除后，乙方应在5个工作日内补齐租赁保证金，逾期不补齐的视为租金逾期。</w:t>
      </w:r>
    </w:p>
    <w:p w14:paraId="31460C66">
      <w:pPr>
        <w:numPr>
          <w:ilvl w:val="0"/>
          <w:numId w:val="5"/>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租赁期间，应当于其对外经营前的15日内，自费购买租赁期限内的雇主责任险、公众责任险、第三者责任险及工程一切险等，食品安全责任险及该租赁房屋内乙方的自有财产的财产一切险（如盗窃险、现金险、营业中断险等）。</w:t>
      </w:r>
    </w:p>
    <w:p w14:paraId="31B36B5D">
      <w:pPr>
        <w:numPr>
          <w:ilvl w:val="0"/>
          <w:numId w:val="5"/>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乙方须指定专人负责管理，对接招租方，定期向招租方汇报承租情况，作为管理乙方履约评估的依据之一，并无条件配合政府部门的监督检查，对存在的问题及时进行整改。</w:t>
      </w:r>
    </w:p>
    <w:p w14:paraId="57B14B5D">
      <w:pPr>
        <w:numPr>
          <w:ilvl w:val="0"/>
          <w:numId w:val="5"/>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乙方承租期间若出现经营问题，管理不善或自身原因导致无法继续履约，则招租方有权重新组织采购。</w:t>
      </w:r>
    </w:p>
    <w:p w14:paraId="083A19D9">
      <w:pPr>
        <w:numPr>
          <w:ilvl w:val="0"/>
          <w:numId w:val="5"/>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乙方经营期间，因经营过失被顾客投诉三次以上（含三次），经核实投诉符合实际情况并造成不良后果的，每再超出一次，招租方有权要求乙方按照每次500元支付违约金。</w:t>
      </w:r>
    </w:p>
    <w:p w14:paraId="07957F52">
      <w:pPr>
        <w:numPr>
          <w:ilvl w:val="0"/>
          <w:numId w:val="5"/>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在承租期间决定退出，可以书面通知招租方放弃承租权，提前60天以上书面申请，在扣罚其他承租责任款项后可退回全部租赁保证金。提前30天及以上书面申请，招租方有权扣罚乙方的一个月租金金额的租赁保证金。若提前不足30天申请，招租方有权扣罚乙方1.5个月租金金额的租赁保证金。未能提前通知招租方，招租方有权扣罚乙方两个月租金金额的租赁保证金。如租赁保证金在扣除前述违约金后不足以覆盖其他承租责任款项，乙方应当予以补缴。</w:t>
      </w:r>
    </w:p>
    <w:p w14:paraId="1351E0A8">
      <w:pPr>
        <w:numPr>
          <w:ilvl w:val="0"/>
          <w:numId w:val="5"/>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乙方在承租期间内申请退出或因违约等情况退出，退出交接期间不得干扰招租方重新寻找新乙方以及后续进场工作。承租期限满</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年，乙方在期满前60天，应积极配合招租方进行工作交接和后续采购工作。</w:t>
      </w:r>
    </w:p>
    <w:p w14:paraId="7D6F9365">
      <w:pPr>
        <w:pStyle w:val="2"/>
        <w:spacing w:before="61" w:line="229" w:lineRule="auto"/>
        <w:ind w:left="21"/>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八</w:t>
      </w:r>
      <w:r>
        <w:rPr>
          <w:rFonts w:hint="eastAsia" w:asciiTheme="minorEastAsia" w:hAnsiTheme="minorEastAsia" w:eastAsiaTheme="minorEastAsia" w:cstheme="minorEastAsia"/>
          <w:b/>
          <w:bCs/>
          <w:spacing w:val="2"/>
          <w:sz w:val="24"/>
          <w:szCs w:val="24"/>
          <w:highlight w:val="none"/>
        </w:rPr>
        <w:t>、</w:t>
      </w:r>
      <w:r>
        <w:rPr>
          <w:rFonts w:hint="eastAsia" w:asciiTheme="minorEastAsia" w:hAnsiTheme="minorEastAsia" w:eastAsiaTheme="minorEastAsia" w:cstheme="minorEastAsia"/>
          <w:spacing w:val="23"/>
          <w:sz w:val="24"/>
          <w:szCs w:val="24"/>
          <w:highlight w:val="none"/>
        </w:rPr>
        <w:t xml:space="preserve"> </w:t>
      </w:r>
      <w:r>
        <w:rPr>
          <w:rFonts w:hint="eastAsia" w:asciiTheme="minorEastAsia" w:hAnsiTheme="minorEastAsia" w:eastAsiaTheme="minorEastAsia" w:cstheme="minorEastAsia"/>
          <w:b/>
          <w:bCs/>
          <w:spacing w:val="2"/>
          <w:sz w:val="24"/>
          <w:szCs w:val="24"/>
          <w:highlight w:val="none"/>
        </w:rPr>
        <w:t>保险</w:t>
      </w:r>
    </w:p>
    <w:p w14:paraId="3C768EB1">
      <w:pPr>
        <w:numPr>
          <w:ilvl w:val="0"/>
          <w:numId w:val="6"/>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乙方须保证对该场地进行搭建工程前自费为在搭建期间可能遇到的风险购买保险，将甲方列为共同受益人。</w:t>
      </w:r>
    </w:p>
    <w:p w14:paraId="2B4CDFAA">
      <w:pPr>
        <w:numPr>
          <w:ilvl w:val="0"/>
          <w:numId w:val="6"/>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乙方还必须在该场地自费按照甲方要求的保险类别就该场地经营的各种风险购买保险（包括但不限于公众责任险），并在保单中将甲方列为被保险人。</w:t>
      </w:r>
    </w:p>
    <w:p w14:paraId="3F2D3B8C">
      <w:pPr>
        <w:numPr>
          <w:ilvl w:val="0"/>
          <w:numId w:val="6"/>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乙方购买上述条款所要求的保险，并将保险单副本或保险证明文件在开始搭建或乙方开业之前交予甲方备案。</w:t>
      </w:r>
    </w:p>
    <w:p w14:paraId="45524BF1">
      <w:pPr>
        <w:pStyle w:val="2"/>
        <w:spacing w:before="62" w:line="228" w:lineRule="auto"/>
        <w:ind w:left="25"/>
        <w:outlineLvl w:val="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pacing w:val="7"/>
          <w:sz w:val="24"/>
          <w:szCs w:val="24"/>
          <w:highlight w:val="none"/>
          <w:lang w:val="en-US" w:eastAsia="zh-CN"/>
        </w:rPr>
        <w:t>九</w:t>
      </w:r>
      <w:r>
        <w:rPr>
          <w:rFonts w:hint="eastAsia" w:asciiTheme="minorEastAsia" w:hAnsiTheme="minorEastAsia" w:eastAsiaTheme="minorEastAsia" w:cstheme="minorEastAsia"/>
          <w:b/>
          <w:bCs/>
          <w:spacing w:val="7"/>
          <w:sz w:val="24"/>
          <w:szCs w:val="24"/>
          <w:highlight w:val="none"/>
          <w:lang w:eastAsia="zh-CN"/>
        </w:rPr>
        <w:t>、场地使用协议的提前解除</w:t>
      </w:r>
    </w:p>
    <w:p w14:paraId="01382D7A">
      <w:pPr>
        <w:numPr>
          <w:ilvl w:val="0"/>
          <w:numId w:val="7"/>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该场地使用期内，甲方有权提前 15 日书面通知乙方终止本使用协议并要求乙方在通知期限内交还该场地，甲方无需承担任何责任，且乙方同意不因此向甲方要求任何赔偿及/或补偿。本协议因此而提前终止时，该场地的返还按照本协议第十一条执行。</w:t>
      </w:r>
    </w:p>
    <w:p w14:paraId="63355B63">
      <w:pPr>
        <w:numPr>
          <w:ilvl w:val="0"/>
          <w:numId w:val="7"/>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该场地使用期内，甲方有权基于公园整体管理需求对该场地区域整体规划予以调整，如该等调整需要乙方配合移位调整的，乙方同意无条件接受并移位。但甲方须提前 15 日书面通知乙方，并确保乙方移位后可持续经营。乙方同意不因此向甲方要求任何赔偿及/或补偿。</w:t>
      </w:r>
    </w:p>
    <w:p w14:paraId="10FFDC68">
      <w:pPr>
        <w:numPr>
          <w:ilvl w:val="0"/>
          <w:numId w:val="7"/>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经双方协商一致，可终止本协议。</w:t>
      </w:r>
    </w:p>
    <w:p w14:paraId="42B72EE3">
      <w:pPr>
        <w:numPr>
          <w:ilvl w:val="0"/>
          <w:numId w:val="7"/>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若公园管理方提前终止与甲方签订的相关协议或提前终止甲方对该场地的经营权，本协议同时自动终止。乙方承诺不因此向甲方主张任何赔偿及/或补偿。</w:t>
      </w:r>
    </w:p>
    <w:p w14:paraId="088EA1A5">
      <w:pPr>
        <w:pStyle w:val="2"/>
        <w:spacing w:before="62" w:line="228" w:lineRule="auto"/>
        <w:ind w:left="26"/>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6"/>
          <w:sz w:val="24"/>
          <w:szCs w:val="24"/>
          <w:highlight w:val="none"/>
          <w:lang w:val="en-US" w:eastAsia="zh-CN"/>
        </w:rPr>
        <w:t>十</w:t>
      </w:r>
      <w:r>
        <w:rPr>
          <w:rFonts w:hint="eastAsia" w:asciiTheme="minorEastAsia" w:hAnsiTheme="minorEastAsia" w:eastAsiaTheme="minorEastAsia" w:cstheme="minorEastAsia"/>
          <w:b/>
          <w:bCs/>
          <w:spacing w:val="6"/>
          <w:sz w:val="24"/>
          <w:szCs w:val="24"/>
          <w:highlight w:val="none"/>
        </w:rPr>
        <w:t>、乙方违约责任</w:t>
      </w:r>
    </w:p>
    <w:p w14:paraId="62DBEEFC">
      <w:pPr>
        <w:numPr>
          <w:ilvl w:val="0"/>
          <w:numId w:val="8"/>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未按本协议规定的时间或金额向甲方缴纳场地使用费、水电费及其他相关费用的，每逾期一日，按应付款项每日万分之五的金额向甲方缴纳逾期支付违约金，该违约金自应付之日起逐日计算至甲方实际收到该应付款项之日止；逾期超过 15 日的，视为乙方根本违约，甲方有权终止向乙方提供的各项服务、解除本协议、没收场地保证金、收回该场地并追究乙方的违约责任。</w:t>
      </w:r>
    </w:p>
    <w:p w14:paraId="2A6C34A8">
      <w:pPr>
        <w:numPr>
          <w:ilvl w:val="0"/>
          <w:numId w:val="8"/>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乙方若在使用期内中断、停止经营持续达 5 日，或一个月内累计停止经营日期达5日，甲方有权向乙方发出书面通知提前终止本协议，没收场地保证金、收回该场地，并追究乙方的违约责任。</w:t>
      </w:r>
    </w:p>
    <w:p w14:paraId="142CD538">
      <w:pPr>
        <w:numPr>
          <w:ilvl w:val="0"/>
          <w:numId w:val="8"/>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乙方未按本协议的约定足额支付场地保证金的，且经甲方催缴后仍未在限定期限内足额支付的，甲方可随时解除本协议。</w:t>
      </w:r>
    </w:p>
    <w:p w14:paraId="16FC8410">
      <w:pPr>
        <w:numPr>
          <w:ilvl w:val="0"/>
          <w:numId w:val="8"/>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未经甲方书面同意，若乙方擅自转让或许可他人全部或部分使用该场地的，乙方即被视为严重违约，甲方有权解除本协议，没收场地保证金、收回场地，并追究乙方的违约责任。</w:t>
      </w:r>
    </w:p>
    <w:p w14:paraId="70630E8F">
      <w:pPr>
        <w:pStyle w:val="2"/>
        <w:spacing w:before="62" w:line="228" w:lineRule="auto"/>
        <w:ind w:left="22"/>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7"/>
          <w:sz w:val="24"/>
          <w:szCs w:val="24"/>
          <w:highlight w:val="none"/>
        </w:rPr>
        <w:t>十</w:t>
      </w:r>
      <w:r>
        <w:rPr>
          <w:rFonts w:hint="eastAsia" w:asciiTheme="minorEastAsia" w:hAnsiTheme="minorEastAsia" w:eastAsiaTheme="minorEastAsia" w:cstheme="minorEastAsia"/>
          <w:b/>
          <w:bCs/>
          <w:spacing w:val="7"/>
          <w:sz w:val="24"/>
          <w:szCs w:val="24"/>
          <w:highlight w:val="none"/>
          <w:lang w:val="en-US" w:eastAsia="zh-CN"/>
        </w:rPr>
        <w:t>一</w:t>
      </w:r>
      <w:r>
        <w:rPr>
          <w:rFonts w:hint="eastAsia" w:asciiTheme="minorEastAsia" w:hAnsiTheme="minorEastAsia" w:eastAsiaTheme="minorEastAsia" w:cstheme="minorEastAsia"/>
          <w:b/>
          <w:bCs/>
          <w:spacing w:val="7"/>
          <w:sz w:val="24"/>
          <w:szCs w:val="24"/>
          <w:highlight w:val="none"/>
        </w:rPr>
        <w:t>、维修及保养</w:t>
      </w:r>
    </w:p>
    <w:p w14:paraId="23327F5C">
      <w:pPr>
        <w:numPr>
          <w:ilvl w:val="0"/>
          <w:numId w:val="9"/>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如需对该场地进行任何装修或改造的，必须经甲方事先书面同意，并遵守甲方和公园方的装修守则或相关规定进行。装修或改造的设计与图纸必须取得甲方或公园方事先书面同意，并在开始工程前应自费及自行办理相关报备报批手续。一切乙方装修或改造后的场地或设施，维修及保养工程均由乙方自行承担，但需将委托的承包商事先报甲方备案。本协议无论因何种原因终止的， 乙方均应自费及自行拆除相关装修并将场地恢复原状，甲方或公园方无需对装修 和改造予以任何费用补偿。</w:t>
      </w:r>
    </w:p>
    <w:p w14:paraId="634CA631">
      <w:pPr>
        <w:numPr>
          <w:ilvl w:val="0"/>
          <w:numId w:val="9"/>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一切有关甲方提供设施及场地(属乙方专用，因甲方原因造成或甲方提供的场地或设施、供应项目存在质量问题除外)的维修及保养工程须由甲方的指定保养承包商进行施工，有关费用应由乙方承担并支付。如因乙方不及时报修或未及时向甲方上报而延误维修，造成损失扩大的部分应由乙方自行承担，若因此造成甲方或任何第三方的损失，亦由乙方承担赔偿责任。</w:t>
      </w:r>
    </w:p>
    <w:p w14:paraId="0E90815E">
      <w:pPr>
        <w:numPr>
          <w:ilvl w:val="0"/>
          <w:numId w:val="9"/>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FF"/>
          <w:sz w:val="24"/>
          <w:szCs w:val="24"/>
          <w:highlight w:val="none"/>
          <w:lang w:eastAsia="zh-CN"/>
        </w:rPr>
        <w:t>乙方应安排专门的工作人员及时为</w:t>
      </w:r>
      <w:r>
        <w:rPr>
          <w:rFonts w:hint="eastAsia" w:asciiTheme="minorEastAsia" w:hAnsiTheme="minorEastAsia" w:eastAsiaTheme="minorEastAsia" w:cstheme="minorEastAsia"/>
          <w:sz w:val="24"/>
          <w:szCs w:val="24"/>
          <w:highlight w:val="none"/>
          <w:u w:val="single"/>
          <w:lang w:eastAsia="zh-CN"/>
        </w:rPr>
        <w:t>咖啡机</w:t>
      </w:r>
      <w:r>
        <w:rPr>
          <w:rFonts w:hint="eastAsia" w:asciiTheme="minorEastAsia" w:hAnsiTheme="minorEastAsia" w:eastAsiaTheme="minorEastAsia" w:cstheme="minorEastAsia"/>
          <w:color w:val="0000FF"/>
          <w:sz w:val="24"/>
          <w:szCs w:val="24"/>
          <w:highlight w:val="none"/>
          <w:lang w:eastAsia="zh-CN"/>
        </w:rPr>
        <w:t>补货，保证</w:t>
      </w:r>
      <w:r>
        <w:rPr>
          <w:rFonts w:hint="eastAsia" w:asciiTheme="minorEastAsia" w:hAnsiTheme="minorEastAsia" w:eastAsiaTheme="minorEastAsia" w:cstheme="minorEastAsia"/>
          <w:sz w:val="24"/>
          <w:szCs w:val="24"/>
          <w:highlight w:val="none"/>
          <w:u w:val="single"/>
          <w:lang w:eastAsia="zh-CN"/>
        </w:rPr>
        <w:t>咖啡机</w:t>
      </w:r>
      <w:r>
        <w:rPr>
          <w:rFonts w:hint="eastAsia" w:asciiTheme="minorEastAsia" w:hAnsiTheme="minorEastAsia" w:eastAsiaTheme="minorEastAsia" w:cstheme="minorEastAsia"/>
          <w:color w:val="0000FF"/>
          <w:sz w:val="24"/>
          <w:szCs w:val="24"/>
          <w:highlight w:val="none"/>
          <w:lang w:eastAsia="zh-CN"/>
        </w:rPr>
        <w:t>内的商品充足。乙方定期实施</w:t>
      </w:r>
      <w:r>
        <w:rPr>
          <w:rFonts w:hint="eastAsia" w:asciiTheme="minorEastAsia" w:hAnsiTheme="minorEastAsia" w:eastAsiaTheme="minorEastAsia" w:cstheme="minorEastAsia"/>
          <w:sz w:val="24"/>
          <w:szCs w:val="24"/>
          <w:highlight w:val="none"/>
          <w:u w:val="single"/>
          <w:lang w:eastAsia="zh-CN"/>
        </w:rPr>
        <w:t>咖啡机</w:t>
      </w:r>
      <w:r>
        <w:rPr>
          <w:rFonts w:hint="eastAsia" w:asciiTheme="minorEastAsia" w:hAnsiTheme="minorEastAsia" w:eastAsiaTheme="minorEastAsia" w:cstheme="minorEastAsia"/>
          <w:color w:val="0000FF"/>
          <w:sz w:val="24"/>
          <w:szCs w:val="24"/>
          <w:highlight w:val="none"/>
          <w:lang w:eastAsia="zh-CN"/>
        </w:rPr>
        <w:t>的巡回检查、维修、保养，保证所售商品的食品卫生安全和机器正常运转。当出现卫生不达标问题（如出货口的蚊虫堆积、柜体脏污等）或机器发生故障时（如卡货等），乙方应在24小时免费进行维修处理。如未在规定时间内进行处理，每次处违约金500元，从场地保证金中扣除。</w:t>
      </w:r>
    </w:p>
    <w:p w14:paraId="58BFA546">
      <w:pPr>
        <w:pStyle w:val="2"/>
        <w:spacing w:before="109" w:line="229" w:lineRule="auto"/>
        <w:ind w:left="22"/>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7"/>
          <w:sz w:val="24"/>
          <w:szCs w:val="24"/>
          <w:highlight w:val="none"/>
        </w:rPr>
        <w:t>十</w:t>
      </w:r>
      <w:r>
        <w:rPr>
          <w:rFonts w:hint="eastAsia" w:asciiTheme="minorEastAsia" w:hAnsiTheme="minorEastAsia" w:eastAsiaTheme="minorEastAsia" w:cstheme="minorEastAsia"/>
          <w:b/>
          <w:bCs/>
          <w:spacing w:val="7"/>
          <w:sz w:val="24"/>
          <w:szCs w:val="24"/>
          <w:highlight w:val="none"/>
          <w:lang w:val="en-US" w:eastAsia="zh-CN"/>
        </w:rPr>
        <w:t>二</w:t>
      </w:r>
      <w:r>
        <w:rPr>
          <w:rFonts w:hint="eastAsia" w:asciiTheme="minorEastAsia" w:hAnsiTheme="minorEastAsia" w:eastAsiaTheme="minorEastAsia" w:cstheme="minorEastAsia"/>
          <w:b/>
          <w:bCs/>
          <w:spacing w:val="7"/>
          <w:sz w:val="24"/>
          <w:szCs w:val="24"/>
          <w:highlight w:val="none"/>
        </w:rPr>
        <w:t>、场地的返还</w:t>
      </w:r>
    </w:p>
    <w:p w14:paraId="4B345C20">
      <w:pPr>
        <w:numPr>
          <w:ilvl w:val="0"/>
          <w:numId w:val="10"/>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除本协议另有约定，乙方须在场地使用期限届满后按公园管理方及甲方的要求及时将该场地恢复至甲方向乙方实际交付日的交付状态或公园管理方及甲方书面认可的状态，并返还给甲方。</w:t>
      </w:r>
    </w:p>
    <w:p w14:paraId="32BF0E78">
      <w:pPr>
        <w:numPr>
          <w:ilvl w:val="0"/>
          <w:numId w:val="10"/>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在按本协议或甲方要求恢复原状或对相关部位进行移除或维修等行为时，仍应保证该等行为不得影响该场地的正常营业，并且该等行为不得对该场地的任何部分（或为该场地服务的水、电或其他设施）造成任何影响，否则乙方须承担全部责任，因此导致甲方损失的，应予以全额赔偿。</w:t>
      </w:r>
    </w:p>
    <w:p w14:paraId="669AD913">
      <w:pPr>
        <w:numPr>
          <w:ilvl w:val="0"/>
          <w:numId w:val="10"/>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若乙方未按本条前述规定的时间将场地返还予甲方，则自应归还之日起，乙方应向甲方支付场地占用费，占用费标准按解除日所在月日平均管理费按日计算；若超过 10 日仍未归还的，则乙方除需支付占用费外，还应向甲方支付违约金，违约金的标准为当月日平均场地使用费的三倍按日计算。若因此使甲方遭受的损失超出前述违约金金额，乙方应赔偿甲方超出部分的损失；甲方收取场地占用费不得视为协议期限的延长。自应归还之日起第 11 日，甲方有权自行收回场地并进入场地。</w:t>
      </w:r>
    </w:p>
    <w:p w14:paraId="5D8692AE">
      <w:pPr>
        <w:numPr>
          <w:ilvl w:val="0"/>
          <w:numId w:val="10"/>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若乙方未按本条前述规定的状态将场地返还予甲方，甲方有权自收回场地之日起：（1）自行对场地作出合适的修缮，因此而引起的一切开支及费用由乙方承担。（2）若在本协议终止或提前终止当日，乙方不履行相关的交接手续，及/或经甲方发出书面通知后 3 日内仍不搬走场地内可移动物品，则甲方除有权采取前述的自行对场地的修缮外，甲方及乙方双方同意，甲方还有权进入场地并对场地内的物品以任何方式自行处置，其后有权将场地重新租给其他使用人。如因甲方处置场地内的物品产生任何费用，均应由乙方承担。乙方承诺，因甲方处置场地内的物品给乙方造成的任何损失，均由乙方自行承担且不得以任何理由向甲方索赔。</w:t>
      </w:r>
    </w:p>
    <w:p w14:paraId="0EB602D1">
      <w:pPr>
        <w:numPr>
          <w:ilvl w:val="0"/>
          <w:numId w:val="10"/>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除甲方书面同意外，乙方返还该场地时不得以任何理由要求甲方购买乙方自置的任何装修或设施。</w:t>
      </w:r>
    </w:p>
    <w:p w14:paraId="7796CB16">
      <w:pPr>
        <w:pStyle w:val="2"/>
        <w:spacing w:before="62" w:line="229" w:lineRule="auto"/>
        <w:ind w:left="22"/>
        <w:outlineLvl w:val="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pacing w:val="8"/>
          <w:sz w:val="24"/>
          <w:szCs w:val="24"/>
          <w:highlight w:val="none"/>
          <w:lang w:eastAsia="zh-CN"/>
        </w:rPr>
        <w:t>十</w:t>
      </w:r>
      <w:r>
        <w:rPr>
          <w:rFonts w:hint="eastAsia" w:asciiTheme="minorEastAsia" w:hAnsiTheme="minorEastAsia" w:eastAsiaTheme="minorEastAsia" w:cstheme="minorEastAsia"/>
          <w:b/>
          <w:bCs/>
          <w:spacing w:val="8"/>
          <w:sz w:val="24"/>
          <w:szCs w:val="24"/>
          <w:highlight w:val="none"/>
          <w:lang w:val="en-US" w:eastAsia="zh-CN"/>
        </w:rPr>
        <w:t>三</w:t>
      </w:r>
      <w:r>
        <w:rPr>
          <w:rFonts w:hint="eastAsia" w:asciiTheme="minorEastAsia" w:hAnsiTheme="minorEastAsia" w:eastAsiaTheme="minorEastAsia" w:cstheme="minorEastAsia"/>
          <w:b/>
          <w:bCs/>
          <w:spacing w:val="8"/>
          <w:sz w:val="24"/>
          <w:szCs w:val="24"/>
          <w:highlight w:val="none"/>
          <w:lang w:eastAsia="zh-CN"/>
        </w:rPr>
        <w:t>、场地保证金的抵扣及返还</w:t>
      </w:r>
    </w:p>
    <w:p w14:paraId="6EFA0FEA">
      <w:pPr>
        <w:numPr>
          <w:ilvl w:val="0"/>
          <w:numId w:val="11"/>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场地保证金用以保证乙方遵守在本协议项下其必须遵守的一切规定。根据本协议，如乙方应向甲方支付赔偿金或违约金或任何应付而未付的费用，甲方有权从场地保证金中直接扣除相应金额。如果场地保证金不足以赔偿或弥补甲方的全部损失，乙方仍有义务赔偿甲方的损失。抵扣后，乙方应根据甲方的通知及时补足场地保证金。</w:t>
      </w:r>
    </w:p>
    <w:p w14:paraId="0A4166D8">
      <w:pPr>
        <w:numPr>
          <w:ilvl w:val="0"/>
          <w:numId w:val="11"/>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乙方根据本协议的约定撤出场地或将场地返还给甲方、与甲方结清所有本协议项下的费用并赔偿了甲方的全部损失（如有）后的 30 日内，甲方应将场地保证金余额（如有）无息退还给乙方。</w:t>
      </w:r>
    </w:p>
    <w:p w14:paraId="0A131010">
      <w:pPr>
        <w:pStyle w:val="2"/>
        <w:spacing w:before="61" w:line="230" w:lineRule="auto"/>
        <w:ind w:left="22"/>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7"/>
          <w:sz w:val="24"/>
          <w:szCs w:val="24"/>
          <w:highlight w:val="none"/>
        </w:rPr>
        <w:t>十</w:t>
      </w:r>
      <w:r>
        <w:rPr>
          <w:rFonts w:hint="eastAsia" w:asciiTheme="minorEastAsia" w:hAnsiTheme="minorEastAsia" w:eastAsiaTheme="minorEastAsia" w:cstheme="minorEastAsia"/>
          <w:b/>
          <w:bCs/>
          <w:spacing w:val="7"/>
          <w:sz w:val="24"/>
          <w:szCs w:val="24"/>
          <w:highlight w:val="none"/>
          <w:lang w:val="en-US" w:eastAsia="zh-CN"/>
        </w:rPr>
        <w:t>四</w:t>
      </w:r>
      <w:r>
        <w:rPr>
          <w:rFonts w:hint="eastAsia" w:asciiTheme="minorEastAsia" w:hAnsiTheme="minorEastAsia" w:eastAsiaTheme="minorEastAsia" w:cstheme="minorEastAsia"/>
          <w:b/>
          <w:bCs/>
          <w:spacing w:val="7"/>
          <w:sz w:val="24"/>
          <w:szCs w:val="24"/>
          <w:highlight w:val="none"/>
        </w:rPr>
        <w:t>、通知与送达</w:t>
      </w:r>
    </w:p>
    <w:p w14:paraId="185BF401">
      <w:pPr>
        <w:numPr>
          <w:ilvl w:val="0"/>
          <w:numId w:val="1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因日常承租事务，一方需发给本协议另一方的一切通知等，任何一方可选择电子邮件、短信等形式向对方送达，收件人收到后应予以及时回复。</w:t>
      </w:r>
    </w:p>
    <w:p w14:paraId="1AAC9B10">
      <w:pPr>
        <w:numPr>
          <w:ilvl w:val="0"/>
          <w:numId w:val="1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如收件人拒绝回复，或一方需向另一方发出对对方权利义务有重大影响的文件（如解除合同通知、违约通知书等），发件方应以EMS 特快专递方式将通知等文件邮寄至对方在本协议首页所列的通讯地址或为此指定的其他地址。如双方在同一城市,邮件寄出之日起第二日即视为送达；如双方在中国不同城市, 邮件寄出之日起第三日即视为送达；如一方在不同的国家, 邮件寄出之日起第五日即视为送达。无论该邮件是否被签收或拒签或代签或未接收到或被退回，只要发件方按对方在本协议首页所列的通讯地址或为此指定的其它地址寄出邮件的，均从寄出之日起分别按前述方法认定视为送达日期，实际签收之日并不影响前述约定送达的效力。</w:t>
      </w:r>
    </w:p>
    <w:p w14:paraId="6AC58057">
      <w:pPr>
        <w:numPr>
          <w:ilvl w:val="0"/>
          <w:numId w:val="12"/>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一方变更联系人及联系方式，须在变更之日起 3 日内以书面形式通知另一方。未及时书面通知变更联系人、联系方式或提供联系方式错误的一方，应承担由此产生的后果和责任。</w:t>
      </w:r>
    </w:p>
    <w:p w14:paraId="35D9670B">
      <w:pPr>
        <w:pStyle w:val="2"/>
        <w:spacing w:before="62" w:line="228" w:lineRule="auto"/>
        <w:ind w:left="22"/>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7"/>
          <w:sz w:val="24"/>
          <w:szCs w:val="24"/>
          <w:highlight w:val="none"/>
        </w:rPr>
        <w:t>十</w:t>
      </w:r>
      <w:r>
        <w:rPr>
          <w:rFonts w:hint="eastAsia" w:asciiTheme="minorEastAsia" w:hAnsiTheme="minorEastAsia" w:eastAsiaTheme="minorEastAsia" w:cstheme="minorEastAsia"/>
          <w:b/>
          <w:bCs/>
          <w:spacing w:val="7"/>
          <w:sz w:val="24"/>
          <w:szCs w:val="24"/>
          <w:highlight w:val="none"/>
          <w:lang w:val="en-US" w:eastAsia="zh-CN"/>
        </w:rPr>
        <w:t>五</w:t>
      </w:r>
      <w:r>
        <w:rPr>
          <w:rFonts w:hint="eastAsia" w:asciiTheme="minorEastAsia" w:hAnsiTheme="minorEastAsia" w:eastAsiaTheme="minorEastAsia" w:cstheme="minorEastAsia"/>
          <w:b/>
          <w:bCs/>
          <w:spacing w:val="7"/>
          <w:sz w:val="24"/>
          <w:szCs w:val="24"/>
          <w:highlight w:val="none"/>
        </w:rPr>
        <w:t>、反商业贿赂条款</w:t>
      </w:r>
    </w:p>
    <w:p w14:paraId="7052D7F3">
      <w:pPr>
        <w:numPr>
          <w:ilvl w:val="0"/>
          <w:numId w:val="13"/>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甲方与乙方双方在此承诺严格遵守中华人民共和国反商业贿赂的相关法律、法规，双方知悉并了解，任何形式的贿赂和贪渎行为都将触犯法律，并将依法承担法律责任。</w:t>
      </w:r>
    </w:p>
    <w:p w14:paraId="35338601">
      <w:pPr>
        <w:numPr>
          <w:ilvl w:val="0"/>
          <w:numId w:val="13"/>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及其雇员、代理人不得以任何理由向甲方、甲方经办人或其他相关人员索要、收受、提供、给予合同约定外的任何利益，包括但不限于回扣、现金(包括借款)、购物卡、实物、有价证券、娱乐活动、旅游或其他非物质性利益等。</w:t>
      </w:r>
    </w:p>
    <w:p w14:paraId="14A8B09A">
      <w:pPr>
        <w:numPr>
          <w:ilvl w:val="0"/>
          <w:numId w:val="13"/>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乙方及其雇员、代理人不得以任何理由向甲方、甲方经办人或其他相关人员报销应由甲方、甲方经办人或其他相关人员个人支付的任何费用。</w:t>
      </w:r>
    </w:p>
    <w:p w14:paraId="268BCE6D">
      <w:pPr>
        <w:numPr>
          <w:ilvl w:val="0"/>
          <w:numId w:val="13"/>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乙方及其雇员、代理人不得以任何理由单独宴请甲方、甲方经办人或其他相关人员。</w:t>
      </w:r>
    </w:p>
    <w:p w14:paraId="5C7AF434">
      <w:pPr>
        <w:numPr>
          <w:ilvl w:val="0"/>
          <w:numId w:val="13"/>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如因乙方、乙方雇员或代理人违反上述之规定，给甲方造成损失的，乙方应承担损害赔偿责任。</w:t>
      </w:r>
    </w:p>
    <w:p w14:paraId="73F7491A">
      <w:pPr>
        <w:numPr>
          <w:ilvl w:val="0"/>
          <w:numId w:val="13"/>
        </w:num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本条所称“其他相关人员 ”是指甲方、甲方经办人以外的与本协议有直接或间接利益关系的人员，包括但不限于甲方经办人的亲友。</w:t>
      </w:r>
    </w:p>
    <w:p w14:paraId="70BC5EF5">
      <w:pPr>
        <w:pStyle w:val="2"/>
        <w:spacing w:before="63" w:line="228" w:lineRule="auto"/>
        <w:ind w:left="22"/>
        <w:outlineLvl w:val="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pacing w:val="7"/>
          <w:sz w:val="24"/>
          <w:szCs w:val="24"/>
          <w:highlight w:val="none"/>
          <w:lang w:eastAsia="zh-CN"/>
        </w:rPr>
        <w:t>十</w:t>
      </w:r>
      <w:r>
        <w:rPr>
          <w:rFonts w:hint="eastAsia" w:asciiTheme="minorEastAsia" w:hAnsiTheme="minorEastAsia" w:eastAsiaTheme="minorEastAsia" w:cstheme="minorEastAsia"/>
          <w:b/>
          <w:bCs/>
          <w:spacing w:val="7"/>
          <w:sz w:val="24"/>
          <w:szCs w:val="24"/>
          <w:highlight w:val="none"/>
          <w:lang w:val="en-US" w:eastAsia="zh-CN"/>
        </w:rPr>
        <w:t>六</w:t>
      </w:r>
      <w:r>
        <w:rPr>
          <w:rFonts w:hint="eastAsia" w:asciiTheme="minorEastAsia" w:hAnsiTheme="minorEastAsia" w:eastAsiaTheme="minorEastAsia" w:cstheme="minorEastAsia"/>
          <w:b/>
          <w:bCs/>
          <w:spacing w:val="7"/>
          <w:sz w:val="24"/>
          <w:szCs w:val="24"/>
          <w:highlight w:val="none"/>
          <w:lang w:eastAsia="zh-CN"/>
        </w:rPr>
        <w:t>、保密条款</w:t>
      </w:r>
    </w:p>
    <w:p w14:paraId="0593C83B">
      <w:pPr>
        <w:spacing w:line="360" w:lineRule="auto"/>
        <w:ind w:left="420" w:leftChars="20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双方就本协议的签订和具体条款条件、因本协议履行而获取的全部信息和资料负有严格的保密义务，除因向司法机关、政府行政部门及相关机构报批报备所需的必要披露外，未经对方书面同意，不得向任何第三方披露、泄露。一方违反本保密条款的，应向对方赔偿违约金人民币【壹万元】，并赔偿由此给对方造成的损失。</w:t>
      </w:r>
    </w:p>
    <w:p w14:paraId="11753037">
      <w:pPr>
        <w:pStyle w:val="2"/>
        <w:spacing w:before="62" w:line="296" w:lineRule="auto"/>
        <w:ind w:left="620" w:right="86" w:hanging="598"/>
        <w:rPr>
          <w:rFonts w:hint="eastAsia"/>
          <w:highlight w:val="none"/>
          <w:lang w:eastAsia="zh-CN"/>
        </w:rPr>
      </w:pPr>
      <w:r>
        <w:rPr>
          <w:rFonts w:hint="eastAsia" w:asciiTheme="minorEastAsia" w:hAnsiTheme="minorEastAsia" w:eastAsiaTheme="minorEastAsia" w:cstheme="minorEastAsia"/>
          <w:spacing w:val="12"/>
          <w:sz w:val="24"/>
          <w:szCs w:val="24"/>
          <w:highlight w:val="none"/>
          <w:lang w:eastAsia="zh-CN"/>
        </w:rPr>
        <w:t>十</w:t>
      </w:r>
      <w:r>
        <w:rPr>
          <w:rFonts w:hint="eastAsia" w:asciiTheme="minorEastAsia" w:hAnsiTheme="minorEastAsia" w:eastAsiaTheme="minorEastAsia" w:cstheme="minorEastAsia"/>
          <w:spacing w:val="12"/>
          <w:sz w:val="24"/>
          <w:szCs w:val="24"/>
          <w:highlight w:val="none"/>
          <w:lang w:val="en-US" w:eastAsia="zh-CN"/>
        </w:rPr>
        <w:t>七</w:t>
      </w:r>
      <w:r>
        <w:rPr>
          <w:rFonts w:hint="eastAsia" w:asciiTheme="minorEastAsia" w:hAnsiTheme="minorEastAsia" w:eastAsiaTheme="minorEastAsia" w:cstheme="minorEastAsia"/>
          <w:spacing w:val="12"/>
          <w:sz w:val="24"/>
          <w:szCs w:val="24"/>
          <w:highlight w:val="none"/>
          <w:lang w:eastAsia="zh-CN"/>
        </w:rPr>
        <w:t>、本协议受中华人民共和国法律管辖并据此阐释。如就本协议或与本协议履行有关发生任</w:t>
      </w:r>
      <w:r>
        <w:rPr>
          <w:rFonts w:hint="eastAsia" w:asciiTheme="minorEastAsia" w:hAnsiTheme="minorEastAsia" w:eastAsiaTheme="minorEastAsia" w:cstheme="minorEastAsia"/>
          <w:spacing w:val="13"/>
          <w:sz w:val="24"/>
          <w:szCs w:val="24"/>
          <w:highlight w:val="none"/>
          <w:lang w:eastAsia="zh-CN"/>
        </w:rPr>
        <w:t>何争议，双方应先友好协商解决。经协商后</w:t>
      </w:r>
      <w:r>
        <w:rPr>
          <w:rFonts w:hint="eastAsia" w:asciiTheme="minorEastAsia" w:hAnsiTheme="minorEastAsia" w:eastAsiaTheme="minorEastAsia" w:cstheme="minorEastAsia"/>
          <w:spacing w:val="12"/>
          <w:sz w:val="24"/>
          <w:szCs w:val="24"/>
          <w:highlight w:val="none"/>
          <w:lang w:eastAsia="zh-CN"/>
        </w:rPr>
        <w:t>仍无法解决的，任何一方均有权向甲方所</w:t>
      </w:r>
      <w:r>
        <w:rPr>
          <w:rFonts w:hint="eastAsia" w:asciiTheme="minorEastAsia" w:hAnsiTheme="minorEastAsia" w:eastAsiaTheme="minorEastAsia" w:cstheme="minorEastAsia"/>
          <w:spacing w:val="8"/>
          <w:sz w:val="24"/>
          <w:szCs w:val="24"/>
          <w:highlight w:val="none"/>
          <w:lang w:eastAsia="zh-CN"/>
        </w:rPr>
        <w:t>在地的人民法院提起诉讼。</w:t>
      </w:r>
    </w:p>
    <w:p w14:paraId="57C76AF9">
      <w:pPr>
        <w:pStyle w:val="2"/>
        <w:spacing w:before="62" w:line="227" w:lineRule="auto"/>
        <w:ind w:left="22"/>
        <w:rPr>
          <w:rFonts w:hint="eastAsia"/>
          <w:highlight w:val="none"/>
          <w:lang w:eastAsia="zh-CN"/>
        </w:rPr>
      </w:pPr>
      <w:r>
        <w:rPr>
          <w:rFonts w:hint="eastAsia" w:asciiTheme="minorEastAsia" w:hAnsiTheme="minorEastAsia" w:eastAsiaTheme="minorEastAsia" w:cstheme="minorEastAsia"/>
          <w:spacing w:val="12"/>
          <w:sz w:val="24"/>
          <w:szCs w:val="24"/>
          <w:highlight w:val="none"/>
          <w:lang w:eastAsia="zh-CN"/>
        </w:rPr>
        <w:t>十</w:t>
      </w:r>
      <w:r>
        <w:rPr>
          <w:rFonts w:hint="eastAsia" w:asciiTheme="minorEastAsia" w:hAnsiTheme="minorEastAsia" w:eastAsiaTheme="minorEastAsia" w:cstheme="minorEastAsia"/>
          <w:spacing w:val="12"/>
          <w:sz w:val="24"/>
          <w:szCs w:val="24"/>
          <w:highlight w:val="none"/>
          <w:lang w:val="en-US" w:eastAsia="zh-CN"/>
        </w:rPr>
        <w:t>八</w:t>
      </w:r>
      <w:r>
        <w:rPr>
          <w:rFonts w:hint="eastAsia" w:asciiTheme="minorEastAsia" w:hAnsiTheme="minorEastAsia" w:eastAsiaTheme="minorEastAsia" w:cstheme="minorEastAsia"/>
          <w:spacing w:val="12"/>
          <w:sz w:val="24"/>
          <w:szCs w:val="24"/>
          <w:highlight w:val="none"/>
          <w:lang w:eastAsia="zh-CN"/>
        </w:rPr>
        <w:t>、本协议自甲乙双方法定代表人或授权代表签名并加盖公章之日起生效。</w:t>
      </w:r>
    </w:p>
    <w:p w14:paraId="185FA6C1">
      <w:pPr>
        <w:pStyle w:val="2"/>
        <w:spacing w:before="62" w:line="227" w:lineRule="auto"/>
        <w:rPr>
          <w:rFonts w:hint="eastAsia" w:asciiTheme="minorEastAsia" w:hAnsiTheme="minorEastAsia" w:eastAsiaTheme="minorEastAsia" w:cstheme="minorEastAsia"/>
          <w:spacing w:val="12"/>
          <w:sz w:val="24"/>
          <w:szCs w:val="24"/>
          <w:highlight w:val="none"/>
          <w:lang w:eastAsia="zh-CN"/>
        </w:rPr>
      </w:pPr>
      <w:r>
        <w:rPr>
          <w:rFonts w:hint="eastAsia" w:asciiTheme="minorEastAsia" w:hAnsiTheme="minorEastAsia" w:eastAsiaTheme="minorEastAsia" w:cstheme="minorEastAsia"/>
          <w:spacing w:val="12"/>
          <w:sz w:val="24"/>
          <w:szCs w:val="24"/>
          <w:highlight w:val="none"/>
          <w:lang w:eastAsia="zh-CN"/>
        </w:rPr>
        <w:t>十</w:t>
      </w:r>
      <w:r>
        <w:rPr>
          <w:rFonts w:hint="eastAsia" w:asciiTheme="minorEastAsia" w:hAnsiTheme="minorEastAsia" w:eastAsiaTheme="minorEastAsia" w:cstheme="minorEastAsia"/>
          <w:spacing w:val="12"/>
          <w:sz w:val="24"/>
          <w:szCs w:val="24"/>
          <w:highlight w:val="none"/>
          <w:lang w:val="en-US" w:eastAsia="zh-CN"/>
        </w:rPr>
        <w:t>九</w:t>
      </w:r>
      <w:r>
        <w:rPr>
          <w:rFonts w:hint="eastAsia" w:asciiTheme="minorEastAsia" w:hAnsiTheme="minorEastAsia" w:eastAsiaTheme="minorEastAsia" w:cstheme="minorEastAsia"/>
          <w:spacing w:val="12"/>
          <w:sz w:val="24"/>
          <w:szCs w:val="24"/>
          <w:highlight w:val="none"/>
          <w:lang w:eastAsia="zh-CN"/>
        </w:rPr>
        <w:t>、本协议一式</w:t>
      </w:r>
      <w:r>
        <w:rPr>
          <w:rFonts w:hint="eastAsia" w:asciiTheme="minorEastAsia" w:hAnsiTheme="minorEastAsia" w:eastAsiaTheme="minorEastAsia" w:cstheme="minorEastAsia"/>
          <w:spacing w:val="12"/>
          <w:sz w:val="24"/>
          <w:szCs w:val="24"/>
          <w:highlight w:val="none"/>
          <w:u w:val="single"/>
          <w:lang w:eastAsia="zh-CN"/>
        </w:rPr>
        <w:t>陆</w:t>
      </w:r>
      <w:r>
        <w:rPr>
          <w:rFonts w:hint="eastAsia" w:asciiTheme="minorEastAsia" w:hAnsiTheme="minorEastAsia" w:eastAsiaTheme="minorEastAsia" w:cstheme="minorEastAsia"/>
          <w:spacing w:val="12"/>
          <w:sz w:val="24"/>
          <w:szCs w:val="24"/>
          <w:highlight w:val="none"/>
          <w:lang w:eastAsia="zh-CN"/>
        </w:rPr>
        <w:t>份， 甲方执</w:t>
      </w:r>
      <w:r>
        <w:rPr>
          <w:rFonts w:hint="eastAsia" w:asciiTheme="minorEastAsia" w:hAnsiTheme="minorEastAsia" w:eastAsiaTheme="minorEastAsia" w:cstheme="minorEastAsia"/>
          <w:spacing w:val="12"/>
          <w:sz w:val="24"/>
          <w:szCs w:val="24"/>
          <w:highlight w:val="none"/>
          <w:u w:val="single"/>
          <w:lang w:eastAsia="zh-CN"/>
        </w:rPr>
        <w:t>肆</w:t>
      </w:r>
      <w:r>
        <w:rPr>
          <w:rFonts w:hint="eastAsia" w:asciiTheme="minorEastAsia" w:hAnsiTheme="minorEastAsia" w:eastAsiaTheme="minorEastAsia" w:cstheme="minorEastAsia"/>
          <w:spacing w:val="12"/>
          <w:sz w:val="24"/>
          <w:szCs w:val="24"/>
          <w:highlight w:val="none"/>
          <w:lang w:eastAsia="zh-CN"/>
        </w:rPr>
        <w:t>份，乙方执</w:t>
      </w:r>
      <w:r>
        <w:rPr>
          <w:rFonts w:hint="eastAsia" w:asciiTheme="minorEastAsia" w:hAnsiTheme="minorEastAsia" w:eastAsiaTheme="minorEastAsia" w:cstheme="minorEastAsia"/>
          <w:spacing w:val="12"/>
          <w:sz w:val="24"/>
          <w:szCs w:val="24"/>
          <w:highlight w:val="none"/>
          <w:u w:val="single"/>
          <w:lang w:eastAsia="zh-CN"/>
        </w:rPr>
        <w:t>贰</w:t>
      </w:r>
      <w:r>
        <w:rPr>
          <w:rFonts w:hint="eastAsia" w:asciiTheme="minorEastAsia" w:hAnsiTheme="minorEastAsia" w:eastAsiaTheme="minorEastAsia" w:cstheme="minorEastAsia"/>
          <w:spacing w:val="12"/>
          <w:sz w:val="24"/>
          <w:szCs w:val="24"/>
          <w:highlight w:val="none"/>
          <w:lang w:eastAsia="zh-CN"/>
        </w:rPr>
        <w:t>份，均具有同等法律效力。</w:t>
      </w:r>
    </w:p>
    <w:p w14:paraId="288CFADA">
      <w:pPr>
        <w:pStyle w:val="2"/>
        <w:spacing w:before="63" w:line="228" w:lineRule="auto"/>
        <w:ind w:left="22"/>
        <w:outlineLvl w:val="1"/>
        <w:rPr>
          <w:rFonts w:hint="eastAsia" w:asciiTheme="minorEastAsia" w:hAnsiTheme="minorEastAsia" w:eastAsiaTheme="minorEastAsia" w:cstheme="minorEastAsia"/>
          <w:b/>
          <w:bCs/>
          <w:spacing w:val="7"/>
          <w:sz w:val="24"/>
          <w:szCs w:val="24"/>
          <w:highlight w:val="none"/>
          <w:lang w:eastAsia="zh-CN"/>
        </w:rPr>
      </w:pPr>
      <w:r>
        <w:rPr>
          <w:rFonts w:hint="eastAsia" w:asciiTheme="minorEastAsia" w:hAnsiTheme="minorEastAsia" w:eastAsiaTheme="minorEastAsia" w:cstheme="minorEastAsia"/>
          <w:b/>
          <w:bCs/>
          <w:spacing w:val="7"/>
          <w:sz w:val="24"/>
          <w:szCs w:val="24"/>
          <w:highlight w:val="none"/>
          <w:lang w:val="en-US" w:eastAsia="zh-CN"/>
        </w:rPr>
        <w:t>二十</w:t>
      </w:r>
      <w:r>
        <w:rPr>
          <w:rFonts w:hint="eastAsia" w:asciiTheme="minorEastAsia" w:hAnsiTheme="minorEastAsia" w:eastAsiaTheme="minorEastAsia" w:cstheme="minorEastAsia"/>
          <w:b/>
          <w:bCs/>
          <w:spacing w:val="7"/>
          <w:sz w:val="24"/>
          <w:szCs w:val="24"/>
          <w:highlight w:val="none"/>
          <w:lang w:eastAsia="zh-CN"/>
        </w:rPr>
        <w:t>、本合同附件</w:t>
      </w:r>
    </w:p>
    <w:p w14:paraId="438054A3">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本合同附件是本合同不可分割的组成部分，本合同附件如下：</w:t>
      </w:r>
    </w:p>
    <w:p w14:paraId="69C44B70">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附件</w:t>
      </w:r>
      <w:r>
        <w:rPr>
          <w:rFonts w:hint="eastAsia" w:asciiTheme="minorEastAsia" w:hAnsiTheme="minorEastAsia" w:eastAsia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eastAsia="zh-CN"/>
        </w:rPr>
        <w:t>：入场验收单</w:t>
      </w:r>
    </w:p>
    <w:p w14:paraId="2A8EF04A">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附件</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lang w:eastAsia="zh-CN"/>
        </w:rPr>
        <w:t>：撤机确认书</w:t>
      </w:r>
    </w:p>
    <w:p w14:paraId="48A5103D">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附件</w:t>
      </w: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lang w:eastAsia="zh-CN"/>
        </w:rPr>
        <w:t>：供应商十不准</w:t>
      </w:r>
    </w:p>
    <w:p w14:paraId="7F6CC754">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附件</w:t>
      </w: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lang w:eastAsia="zh-CN"/>
        </w:rPr>
        <w:t>：“树优良家风，建幸福家园”助廉倡议书</w:t>
      </w:r>
    </w:p>
    <w:p w14:paraId="0B27D32F">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附件</w:t>
      </w:r>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lang w:eastAsia="zh-CN"/>
        </w:rPr>
        <w:t>：供应商廉洁自律承诺书</w:t>
      </w:r>
    </w:p>
    <w:p w14:paraId="11DD7AAF">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附件</w:t>
      </w: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lang w:eastAsia="zh-CN"/>
        </w:rPr>
        <w:t>：廉洁自律协议</w:t>
      </w:r>
    </w:p>
    <w:p w14:paraId="78B83F6C">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附件</w:t>
      </w:r>
      <w:r>
        <w:rPr>
          <w:rFonts w:hint="eastAsia" w:asciiTheme="minorEastAsia" w:hAnsiTheme="minorEastAsia" w:eastAsiaTheme="minorEastAsia" w:cstheme="minorEastAsia"/>
          <w:sz w:val="24"/>
          <w:szCs w:val="24"/>
          <w:highlight w:val="none"/>
          <w:lang w:val="en-US" w:eastAsia="zh-CN"/>
        </w:rPr>
        <w:t>七</w:t>
      </w:r>
      <w:r>
        <w:rPr>
          <w:rFonts w:hint="eastAsia" w:asciiTheme="minorEastAsia" w:hAnsiTheme="minorEastAsia" w:eastAsiaTheme="minorEastAsia" w:cstheme="minorEastAsia"/>
          <w:sz w:val="24"/>
          <w:szCs w:val="24"/>
          <w:highlight w:val="none"/>
          <w:lang w:eastAsia="zh-CN"/>
        </w:rPr>
        <w:t>：纪检监察信访举报指南</w:t>
      </w:r>
    </w:p>
    <w:p w14:paraId="4F6606BF">
      <w:pPr>
        <w:pStyle w:val="2"/>
        <w:numPr>
          <w:ilvl w:val="255"/>
          <w:numId w:val="0"/>
        </w:numPr>
        <w:spacing w:before="62" w:line="279" w:lineRule="auto"/>
        <w:ind w:left="22" w:right="1824"/>
        <w:rPr>
          <w:rFonts w:hint="eastAsia" w:asciiTheme="minorEastAsia" w:hAnsiTheme="minorEastAsia" w:eastAsiaTheme="minorEastAsia" w:cstheme="minorEastAsia"/>
          <w:spacing w:val="5"/>
          <w:sz w:val="24"/>
          <w:szCs w:val="24"/>
          <w:highlight w:val="none"/>
          <w:lang w:eastAsia="zh-CN"/>
        </w:rPr>
      </w:pPr>
      <w:r>
        <w:rPr>
          <w:rFonts w:hint="eastAsia" w:asciiTheme="minorEastAsia" w:hAnsiTheme="minorEastAsia" w:eastAsiaTheme="minorEastAsia" w:cstheme="minorEastAsia"/>
          <w:spacing w:val="5"/>
          <w:sz w:val="24"/>
          <w:szCs w:val="24"/>
          <w:highlight w:val="none"/>
          <w:lang w:eastAsia="zh-CN"/>
        </w:rPr>
        <w:t>（以下无正文）</w:t>
      </w:r>
    </w:p>
    <w:p w14:paraId="5C760605">
      <w:pPr>
        <w:spacing w:before="62" w:beforeLines="20" w:line="360" w:lineRule="auto"/>
        <w:ind w:right="-50"/>
        <w:rPr>
          <w:rFonts w:hint="eastAsia" w:ascii="宋体" w:hAnsi="宋体" w:cs="宋体"/>
          <w:sz w:val="24"/>
          <w:highlight w:val="none"/>
          <w:lang w:eastAsia="zh-CN"/>
        </w:rPr>
      </w:pPr>
    </w:p>
    <w:p w14:paraId="363037ED">
      <w:pPr>
        <w:spacing w:before="62" w:beforeLines="20" w:line="360" w:lineRule="auto"/>
        <w:ind w:right="-50"/>
        <w:rPr>
          <w:rFonts w:hint="eastAsia" w:ascii="宋体" w:hAnsi="宋体" w:cs="宋体"/>
          <w:sz w:val="24"/>
          <w:highlight w:val="none"/>
          <w:lang w:eastAsia="zh-CN"/>
        </w:rPr>
      </w:pPr>
    </w:p>
    <w:p w14:paraId="4A10160D">
      <w:pPr>
        <w:spacing w:before="62" w:beforeLines="20" w:line="360" w:lineRule="auto"/>
        <w:ind w:right="-50"/>
        <w:rPr>
          <w:rFonts w:hint="eastAsia" w:ascii="宋体" w:hAnsi="宋体" w:cs="宋体"/>
          <w:sz w:val="24"/>
          <w:highlight w:val="none"/>
          <w:lang w:eastAsia="zh-CN"/>
        </w:rPr>
      </w:pPr>
    </w:p>
    <w:p w14:paraId="556DBF6A">
      <w:pPr>
        <w:spacing w:before="62" w:beforeLines="20" w:line="360" w:lineRule="auto"/>
        <w:ind w:right="-50"/>
        <w:rPr>
          <w:rFonts w:hint="eastAsia" w:ascii="宋体" w:hAnsi="宋体" w:cs="宋体"/>
          <w:sz w:val="24"/>
          <w:highlight w:val="none"/>
          <w:lang w:eastAsia="zh-CN"/>
        </w:rPr>
      </w:pPr>
    </w:p>
    <w:p w14:paraId="3A4FD8C0">
      <w:pPr>
        <w:spacing w:before="62" w:beforeLines="20" w:line="360" w:lineRule="auto"/>
        <w:ind w:right="-50"/>
        <w:rPr>
          <w:rFonts w:hint="eastAsia" w:ascii="宋体" w:hAnsi="宋体" w:cs="宋体"/>
          <w:sz w:val="24"/>
          <w:highlight w:val="none"/>
          <w:lang w:eastAsia="zh-CN"/>
        </w:rPr>
      </w:pPr>
    </w:p>
    <w:p w14:paraId="166F1A64">
      <w:pPr>
        <w:spacing w:before="62" w:beforeLines="20" w:line="360" w:lineRule="auto"/>
        <w:ind w:right="-50"/>
        <w:rPr>
          <w:rFonts w:hint="eastAsia" w:ascii="宋体" w:hAnsi="宋体" w:cs="宋体"/>
          <w:sz w:val="24"/>
          <w:highlight w:val="none"/>
          <w:lang w:eastAsia="zh-CN"/>
        </w:rPr>
      </w:pPr>
    </w:p>
    <w:p w14:paraId="3B5B4A07">
      <w:pPr>
        <w:spacing w:before="62" w:beforeLines="20" w:line="360" w:lineRule="auto"/>
        <w:ind w:right="-50"/>
        <w:rPr>
          <w:rFonts w:hint="eastAsia" w:ascii="宋体" w:hAnsi="宋体" w:cs="宋体"/>
          <w:sz w:val="24"/>
          <w:highlight w:val="none"/>
          <w:lang w:eastAsia="zh-CN"/>
        </w:rPr>
      </w:pPr>
    </w:p>
    <w:p w14:paraId="11F9D2E6">
      <w:pPr>
        <w:spacing w:before="62" w:beforeLines="20" w:line="360" w:lineRule="auto"/>
        <w:ind w:right="-50"/>
        <w:rPr>
          <w:rFonts w:hint="eastAsia" w:ascii="宋体" w:hAnsi="宋体" w:cs="宋体"/>
          <w:sz w:val="24"/>
          <w:highlight w:val="none"/>
          <w:lang w:eastAsia="zh-CN"/>
        </w:rPr>
      </w:pPr>
    </w:p>
    <w:p w14:paraId="1F5ED67D">
      <w:pPr>
        <w:spacing w:before="62" w:beforeLines="20" w:line="360" w:lineRule="auto"/>
        <w:ind w:right="-50"/>
        <w:rPr>
          <w:rFonts w:hint="eastAsia" w:ascii="宋体" w:hAnsi="宋体" w:cs="宋体"/>
          <w:sz w:val="24"/>
          <w:highlight w:val="none"/>
          <w:lang w:eastAsia="zh-CN"/>
        </w:rPr>
      </w:pPr>
    </w:p>
    <w:p w14:paraId="2BA2B718">
      <w:pPr>
        <w:spacing w:before="62" w:beforeLines="20" w:line="360" w:lineRule="auto"/>
        <w:ind w:right="-50"/>
        <w:rPr>
          <w:rFonts w:hint="eastAsia" w:ascii="宋体" w:hAnsi="宋体" w:cs="宋体"/>
          <w:sz w:val="24"/>
          <w:highlight w:val="none"/>
          <w:lang w:eastAsia="zh-CN"/>
        </w:rPr>
      </w:pPr>
    </w:p>
    <w:p w14:paraId="47400FBD">
      <w:pPr>
        <w:spacing w:before="62" w:beforeLines="20" w:line="360" w:lineRule="auto"/>
        <w:ind w:right="-50"/>
        <w:rPr>
          <w:rFonts w:ascii="宋体" w:hAnsi="宋体" w:cs="宋体"/>
          <w:sz w:val="24"/>
          <w:highlight w:val="none"/>
          <w:lang w:eastAsia="zh-CN"/>
        </w:rPr>
      </w:pPr>
      <w:r>
        <w:rPr>
          <w:rFonts w:hint="eastAsia" w:ascii="宋体" w:hAnsi="宋体" w:cs="宋体"/>
          <w:sz w:val="24"/>
          <w:highlight w:val="none"/>
          <w:lang w:eastAsia="zh-CN"/>
        </w:rPr>
        <w:t>（以下无正文，为签署页）</w:t>
      </w:r>
    </w:p>
    <w:p w14:paraId="7FA8A20B">
      <w:pPr>
        <w:pStyle w:val="10"/>
        <w:spacing w:line="480" w:lineRule="auto"/>
        <w:ind w:left="0" w:firstLine="0" w:firstLineChars="0"/>
        <w:rPr>
          <w:rFonts w:ascii="宋体" w:hAnsi="宋体" w:cs="宋体"/>
          <w:bCs/>
          <w:sz w:val="24"/>
          <w:highlight w:val="none"/>
          <w:lang w:eastAsia="zh-CN"/>
        </w:rPr>
      </w:pPr>
    </w:p>
    <w:p w14:paraId="035D7EC7">
      <w:pPr>
        <w:spacing w:line="480" w:lineRule="auto"/>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sz w:val="24"/>
          <w:highlight w:val="none"/>
          <w:lang w:eastAsia="zh-CN"/>
        </w:rPr>
        <w:t>甲方（盖章）：深圳市特区建工园林生态科技集团有限公司</w:t>
      </w:r>
      <w:r>
        <w:rPr>
          <w:rFonts w:asciiTheme="majorEastAsia" w:hAnsiTheme="majorEastAsia" w:eastAsiaTheme="majorEastAsia" w:cstheme="majorEastAsia"/>
          <w:sz w:val="24"/>
          <w:highlight w:val="none"/>
          <w:lang w:eastAsia="zh-CN"/>
        </w:rPr>
        <w:t xml:space="preserve">             </w:t>
      </w:r>
      <w:r>
        <w:rPr>
          <w:rFonts w:hint="eastAsia" w:asciiTheme="majorEastAsia" w:hAnsiTheme="majorEastAsia" w:eastAsiaTheme="majorEastAsia" w:cstheme="majorEastAsia"/>
          <w:sz w:val="24"/>
          <w:highlight w:val="none"/>
          <w:lang w:eastAsia="zh-CN"/>
        </w:rPr>
        <w:t xml:space="preserve">   </w:t>
      </w:r>
    </w:p>
    <w:p w14:paraId="34D558A8">
      <w:pPr>
        <w:spacing w:line="480" w:lineRule="auto"/>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sz w:val="24"/>
          <w:highlight w:val="none"/>
          <w:lang w:eastAsia="zh-CN"/>
        </w:rPr>
        <w:t xml:space="preserve">法定代表人或授权代理人（签字）：                   </w:t>
      </w:r>
    </w:p>
    <w:p w14:paraId="77B6FFFE">
      <w:pPr>
        <w:spacing w:line="480" w:lineRule="auto"/>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sz w:val="24"/>
          <w:highlight w:val="none"/>
          <w:lang w:eastAsia="zh-CN"/>
        </w:rPr>
        <w:t xml:space="preserve">日期：      </w:t>
      </w:r>
      <w:r>
        <w:rPr>
          <w:rFonts w:asciiTheme="majorEastAsia" w:hAnsiTheme="majorEastAsia" w:eastAsiaTheme="majorEastAsia" w:cstheme="majorEastAsia"/>
          <w:sz w:val="24"/>
          <w:highlight w:val="none"/>
          <w:lang w:eastAsia="zh-CN"/>
        </w:rPr>
        <w:t xml:space="preserve">年  </w:t>
      </w:r>
      <w:r>
        <w:rPr>
          <w:rFonts w:hint="eastAsia" w:asciiTheme="majorEastAsia" w:hAnsiTheme="majorEastAsia" w:eastAsiaTheme="majorEastAsia" w:cstheme="majorEastAsia"/>
          <w:sz w:val="24"/>
          <w:highlight w:val="none"/>
          <w:lang w:eastAsia="zh-CN"/>
        </w:rPr>
        <w:t xml:space="preserve"> </w:t>
      </w:r>
      <w:r>
        <w:rPr>
          <w:rFonts w:asciiTheme="majorEastAsia" w:hAnsiTheme="majorEastAsia" w:eastAsiaTheme="majorEastAsia" w:cstheme="majorEastAsia"/>
          <w:sz w:val="24"/>
          <w:highlight w:val="none"/>
          <w:lang w:eastAsia="zh-CN"/>
        </w:rPr>
        <w:t xml:space="preserve">月   日             </w:t>
      </w:r>
      <w:r>
        <w:rPr>
          <w:rFonts w:hint="eastAsia" w:asciiTheme="majorEastAsia" w:hAnsiTheme="majorEastAsia" w:eastAsiaTheme="majorEastAsia" w:cstheme="majorEastAsia"/>
          <w:sz w:val="24"/>
          <w:highlight w:val="none"/>
          <w:lang w:eastAsia="zh-CN"/>
        </w:rPr>
        <w:t xml:space="preserve">  </w:t>
      </w:r>
    </w:p>
    <w:p w14:paraId="4287A0BE">
      <w:pPr>
        <w:rPr>
          <w:rFonts w:hint="eastAsia" w:asciiTheme="minorEastAsia" w:hAnsiTheme="minorEastAsia" w:eastAsiaTheme="minorEastAsia" w:cstheme="minorEastAsia"/>
          <w:sz w:val="24"/>
          <w:szCs w:val="24"/>
          <w:highlight w:val="none"/>
          <w:lang w:eastAsia="zh-CN"/>
        </w:rPr>
      </w:pPr>
    </w:p>
    <w:p w14:paraId="682E8165">
      <w:pPr>
        <w:rPr>
          <w:rFonts w:hint="eastAsia" w:asciiTheme="minorEastAsia" w:hAnsiTheme="minorEastAsia" w:eastAsiaTheme="minorEastAsia" w:cstheme="minorEastAsia"/>
          <w:sz w:val="24"/>
          <w:szCs w:val="24"/>
          <w:highlight w:val="none"/>
          <w:lang w:eastAsia="zh-CN"/>
        </w:rPr>
      </w:pPr>
    </w:p>
    <w:p w14:paraId="5B2700DE">
      <w:pPr>
        <w:rPr>
          <w:rFonts w:hint="eastAsia" w:asciiTheme="minorEastAsia" w:hAnsiTheme="minorEastAsia" w:eastAsiaTheme="minorEastAsia" w:cstheme="minorEastAsia"/>
          <w:sz w:val="24"/>
          <w:szCs w:val="24"/>
          <w:highlight w:val="none"/>
          <w:lang w:eastAsia="zh-CN"/>
        </w:rPr>
      </w:pPr>
    </w:p>
    <w:p w14:paraId="02592430">
      <w:pPr>
        <w:pStyle w:val="10"/>
        <w:spacing w:line="480" w:lineRule="auto"/>
        <w:ind w:left="480" w:hanging="480"/>
        <w:rPr>
          <w:rFonts w:ascii="宋体" w:hAnsi="宋体" w:cs="宋体"/>
          <w:bCs/>
          <w:sz w:val="24"/>
          <w:highlight w:val="none"/>
          <w:lang w:eastAsia="zh-CN"/>
        </w:rPr>
      </w:pPr>
      <w:r>
        <w:rPr>
          <w:rFonts w:ascii="宋体" w:hAnsi="宋体" w:cs="宋体"/>
          <w:bCs/>
          <w:sz w:val="24"/>
          <w:highlight w:val="none"/>
          <w:lang w:eastAsia="zh-CN"/>
        </w:rPr>
        <w:t>乙方（盖章）：</w:t>
      </w:r>
    </w:p>
    <w:p w14:paraId="30CDE941">
      <w:pPr>
        <w:pStyle w:val="10"/>
        <w:spacing w:line="480" w:lineRule="auto"/>
        <w:ind w:left="480" w:hanging="480"/>
        <w:rPr>
          <w:rFonts w:ascii="宋体" w:hAnsi="宋体" w:cs="宋体"/>
          <w:bCs/>
          <w:sz w:val="24"/>
          <w:highlight w:val="none"/>
          <w:lang w:eastAsia="zh-CN"/>
        </w:rPr>
      </w:pPr>
      <w:r>
        <w:rPr>
          <w:rFonts w:ascii="宋体" w:hAnsi="宋体" w:cs="宋体"/>
          <w:bCs/>
          <w:sz w:val="24"/>
          <w:highlight w:val="none"/>
          <w:lang w:eastAsia="zh-CN"/>
        </w:rPr>
        <w:t xml:space="preserve">法定代表人或授权代理人（签字）：                   </w:t>
      </w:r>
    </w:p>
    <w:p w14:paraId="667A35B6">
      <w:pPr>
        <w:pStyle w:val="10"/>
        <w:spacing w:line="480" w:lineRule="auto"/>
        <w:ind w:left="480" w:hanging="480"/>
        <w:rPr>
          <w:rFonts w:hint="eastAsia" w:asciiTheme="majorEastAsia" w:hAnsiTheme="majorEastAsia" w:eastAsiaTheme="majorEastAsia" w:cstheme="majorEastAsia"/>
          <w:sz w:val="24"/>
          <w:highlight w:val="none"/>
          <w:lang w:eastAsia="zh-CN"/>
        </w:rPr>
      </w:pPr>
      <w:r>
        <w:rPr>
          <w:rFonts w:ascii="宋体" w:hAnsi="宋体" w:cs="宋体"/>
          <w:bCs/>
          <w:sz w:val="24"/>
          <w:highlight w:val="none"/>
          <w:lang w:eastAsia="zh-CN"/>
        </w:rPr>
        <w:t xml:space="preserve">日期：      年   月   日  </w:t>
      </w:r>
      <w:r>
        <w:rPr>
          <w:rFonts w:asciiTheme="majorEastAsia" w:hAnsiTheme="majorEastAsia" w:eastAsiaTheme="majorEastAsia" w:cstheme="majorEastAsia"/>
          <w:sz w:val="24"/>
          <w:highlight w:val="none"/>
          <w:lang w:eastAsia="zh-CN"/>
        </w:rPr>
        <w:t xml:space="preserve"> </w:t>
      </w:r>
    </w:p>
    <w:p w14:paraId="796B6274">
      <w:pPr>
        <w:pStyle w:val="10"/>
        <w:spacing w:line="480" w:lineRule="auto"/>
        <w:ind w:left="480" w:hanging="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br w:type="page"/>
      </w:r>
    </w:p>
    <w:p w14:paraId="290BB1CB">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附件</w:t>
      </w:r>
      <w:r>
        <w:rPr>
          <w:rFonts w:hint="eastAsia" w:asciiTheme="minorEastAsia" w:hAnsiTheme="minorEastAsia" w:eastAsiaTheme="minorEastAsia" w:cstheme="minorEastAsia"/>
          <w:b/>
          <w:bCs/>
          <w:sz w:val="24"/>
          <w:szCs w:val="24"/>
          <w:highlight w:val="none"/>
          <w:lang w:val="en-US" w:eastAsia="zh-CN"/>
        </w:rPr>
        <w:t>一</w:t>
      </w:r>
      <w:r>
        <w:rPr>
          <w:rFonts w:hint="eastAsia" w:asciiTheme="minorEastAsia" w:hAnsiTheme="minorEastAsia" w:eastAsiaTheme="minorEastAsia" w:cstheme="minorEastAsia"/>
          <w:b/>
          <w:bCs/>
          <w:sz w:val="24"/>
          <w:szCs w:val="24"/>
          <w:highlight w:val="none"/>
        </w:rPr>
        <w:t>：</w:t>
      </w:r>
    </w:p>
    <w:p w14:paraId="40B08121">
      <w:pPr>
        <w:jc w:val="center"/>
        <w:rPr>
          <w:rFonts w:hint="eastAsia" w:asciiTheme="minorEastAsia" w:hAnsiTheme="minorEastAsia" w:eastAsiaTheme="minorEastAsia" w:cstheme="minorEastAsia"/>
          <w:b/>
          <w:bCs/>
          <w:sz w:val="40"/>
          <w:szCs w:val="40"/>
          <w:highlight w:val="none"/>
        </w:rPr>
      </w:pPr>
      <w:r>
        <w:rPr>
          <w:rFonts w:hint="eastAsia" w:asciiTheme="minorEastAsia" w:hAnsiTheme="minorEastAsia" w:eastAsiaTheme="minorEastAsia" w:cstheme="minorEastAsia"/>
          <w:b/>
          <w:bCs/>
          <w:sz w:val="40"/>
          <w:szCs w:val="40"/>
          <w:highlight w:val="none"/>
        </w:rPr>
        <w:t>入场验收单</w:t>
      </w:r>
    </w:p>
    <w:p w14:paraId="4E56944C">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3303270</wp:posOffset>
                </wp:positionH>
                <wp:positionV relativeFrom="paragraph">
                  <wp:posOffset>58420</wp:posOffset>
                </wp:positionV>
                <wp:extent cx="2137410" cy="465455"/>
                <wp:effectExtent l="5080" t="4445" r="10160" b="6350"/>
                <wp:wrapNone/>
                <wp:docPr id="4" name="文本框 4"/>
                <wp:cNvGraphicFramePr/>
                <a:graphic xmlns:a="http://schemas.openxmlformats.org/drawingml/2006/main">
                  <a:graphicData uri="http://schemas.microsoft.com/office/word/2010/wordprocessingShape">
                    <wps:wsp>
                      <wps:cNvSpPr txBox="1"/>
                      <wps:spPr>
                        <a:xfrm>
                          <a:off x="4311650" y="1372870"/>
                          <a:ext cx="2137410" cy="465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054D74">
                            <w:r>
                              <w:rPr>
                                <w:rFonts w:hint="eastAsia"/>
                              </w:rPr>
                              <w:t>签发日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1pt;margin-top:4.6pt;height:36.65pt;width:168.3pt;z-index:251659264;mso-width-relative:page;mso-height-relative:page;" fillcolor="#FFFFFF [3201]" filled="t" stroked="t" coordsize="21600,21600" o:gfxdata="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R&#10;SsIJ1QAAAAgBAAAPAAAAAAAAAAEAIAAAACIAAABkcnMvZG93bnJldi54bWxQSwECFAAUAAAACACH&#10;TuJAK1FzaWACAADDBAAADgAAAAAAAAABACAAAAAkAQAAZHJzL2Uyb0RvYy54bWxQSwUGAAAAAAYA&#10;BgBZAQAA9gUAAAAA&#10;">
                <v:fill on="t" focussize="0,0"/>
                <v:stroke weight="0.5pt" color="#000000 [3204]" joinstyle="round"/>
                <v:imagedata o:title=""/>
                <o:lock v:ext="edit" aspectratio="f"/>
                <v:textbox>
                  <w:txbxContent>
                    <w:p w14:paraId="46054D74">
                      <w:r>
                        <w:rPr>
                          <w:rFonts w:hint="eastAsia"/>
                        </w:rPr>
                        <w:t>签发日     年      月     日</w:t>
                      </w:r>
                    </w:p>
                  </w:txbxContent>
                </v:textbox>
              </v:shape>
            </w:pict>
          </mc:Fallback>
        </mc:AlternateContent>
      </w:r>
    </w:p>
    <w:p w14:paraId="6A84021F">
      <w:pPr>
        <w:spacing w:line="360" w:lineRule="auto"/>
        <w:ind w:firstLine="480" w:firstLineChars="200"/>
        <w:rPr>
          <w:rFonts w:hint="eastAsia" w:asciiTheme="minorEastAsia" w:hAnsiTheme="minorEastAsia" w:eastAsiaTheme="minorEastAsia" w:cstheme="minorEastAsia"/>
          <w:sz w:val="24"/>
          <w:szCs w:val="24"/>
          <w:highlight w:val="none"/>
        </w:rPr>
      </w:pPr>
    </w:p>
    <w:p w14:paraId="65524949">
      <w:pPr>
        <w:spacing w:line="360" w:lineRule="auto"/>
        <w:rPr>
          <w:rFonts w:hint="eastAsia" w:asciiTheme="minorEastAsia" w:hAnsiTheme="minorEastAsia" w:eastAsiaTheme="minorEastAsia" w:cstheme="minorEastAsia"/>
          <w:sz w:val="24"/>
          <w:szCs w:val="24"/>
          <w:highlight w:val="none"/>
        </w:rPr>
      </w:pPr>
    </w:p>
    <w:p w14:paraId="20D2502F">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至 深圳市特区建工园林生态科技集团有限公司</w:t>
      </w:r>
    </w:p>
    <w:p w14:paraId="3F5AECAC">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根据       年       月       日语贵单位签订的《园博园运改维一体化改革试点项目（202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年）自助现磨咖啡机服务协议》，下列物件自本验收单记载签发日期起已验收完毕，标的物完好且不存在瑕疵。</w:t>
      </w:r>
      <w:r>
        <w:rPr>
          <w:rFonts w:hint="eastAsia" w:asciiTheme="minorEastAsia" w:hAnsiTheme="minorEastAsia" w:eastAsiaTheme="minorEastAsia" w:cstheme="minorEastAsia"/>
          <w:sz w:val="24"/>
          <w:szCs w:val="24"/>
          <w:highlight w:val="none"/>
        </w:rPr>
        <w:t>本单据一式六份。</w:t>
      </w:r>
    </w:p>
    <w:p w14:paraId="1E3654E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（标的物详细内容）</w:t>
      </w:r>
    </w:p>
    <w:p w14:paraId="25641AA1">
      <w:pPr>
        <w:spacing w:line="360" w:lineRule="auto"/>
        <w:ind w:firstLine="480" w:firstLineChars="200"/>
        <w:rPr>
          <w:rFonts w:hint="eastAsia" w:asciiTheme="minorEastAsia" w:hAnsiTheme="minorEastAsia" w:eastAsiaTheme="minorEastAsia" w:cstheme="minorEastAsia"/>
          <w:sz w:val="24"/>
          <w:szCs w:val="24"/>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62"/>
        <w:gridCol w:w="1463"/>
        <w:gridCol w:w="1463"/>
        <w:gridCol w:w="1463"/>
        <w:gridCol w:w="1463"/>
      </w:tblGrid>
      <w:tr w14:paraId="060E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0C5E5DDF">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462" w:type="dxa"/>
          </w:tcPr>
          <w:p w14:paraId="1B43DD26">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物件名称</w:t>
            </w:r>
          </w:p>
        </w:tc>
        <w:tc>
          <w:tcPr>
            <w:tcW w:w="1463" w:type="dxa"/>
          </w:tcPr>
          <w:p w14:paraId="1587C9EF">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w:t>
            </w:r>
          </w:p>
        </w:tc>
        <w:tc>
          <w:tcPr>
            <w:tcW w:w="1463" w:type="dxa"/>
          </w:tcPr>
          <w:p w14:paraId="155A821C">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安装地点</w:t>
            </w:r>
          </w:p>
        </w:tc>
        <w:tc>
          <w:tcPr>
            <w:tcW w:w="1463" w:type="dxa"/>
          </w:tcPr>
          <w:p w14:paraId="4C3E2D0F">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数量（台）</w:t>
            </w:r>
          </w:p>
        </w:tc>
        <w:tc>
          <w:tcPr>
            <w:tcW w:w="1463" w:type="dxa"/>
          </w:tcPr>
          <w:p w14:paraId="08537DD5">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出厂编号</w:t>
            </w:r>
          </w:p>
        </w:tc>
      </w:tr>
      <w:tr w14:paraId="6C90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084B9E24">
            <w:pPr>
              <w:widowControl w:val="0"/>
              <w:jc w:val="both"/>
              <w:rPr>
                <w:rFonts w:hint="eastAsia" w:asciiTheme="minorEastAsia" w:hAnsiTheme="minorEastAsia" w:eastAsiaTheme="minorEastAsia" w:cstheme="minorEastAsia"/>
                <w:sz w:val="24"/>
                <w:szCs w:val="24"/>
                <w:highlight w:val="none"/>
              </w:rPr>
            </w:pPr>
          </w:p>
        </w:tc>
        <w:tc>
          <w:tcPr>
            <w:tcW w:w="1462" w:type="dxa"/>
          </w:tcPr>
          <w:p w14:paraId="57FE8645">
            <w:pPr>
              <w:widowControl w:val="0"/>
              <w:jc w:val="both"/>
              <w:rPr>
                <w:rFonts w:hint="eastAsia" w:asciiTheme="minorEastAsia" w:hAnsiTheme="minorEastAsia" w:eastAsiaTheme="minorEastAsia" w:cstheme="minorEastAsia"/>
                <w:sz w:val="24"/>
                <w:szCs w:val="24"/>
                <w:highlight w:val="none"/>
              </w:rPr>
            </w:pPr>
          </w:p>
        </w:tc>
        <w:tc>
          <w:tcPr>
            <w:tcW w:w="1463" w:type="dxa"/>
          </w:tcPr>
          <w:p w14:paraId="5A71F1F0">
            <w:pPr>
              <w:widowControl w:val="0"/>
              <w:jc w:val="both"/>
              <w:rPr>
                <w:rFonts w:hint="eastAsia" w:asciiTheme="minorEastAsia" w:hAnsiTheme="minorEastAsia" w:eastAsiaTheme="minorEastAsia" w:cstheme="minorEastAsia"/>
                <w:sz w:val="24"/>
                <w:szCs w:val="24"/>
                <w:highlight w:val="none"/>
              </w:rPr>
            </w:pPr>
          </w:p>
        </w:tc>
        <w:tc>
          <w:tcPr>
            <w:tcW w:w="1463" w:type="dxa"/>
          </w:tcPr>
          <w:p w14:paraId="605B5B1A">
            <w:pPr>
              <w:widowControl w:val="0"/>
              <w:jc w:val="both"/>
              <w:rPr>
                <w:rFonts w:hint="eastAsia" w:asciiTheme="minorEastAsia" w:hAnsiTheme="minorEastAsia" w:eastAsiaTheme="minorEastAsia" w:cstheme="minorEastAsia"/>
                <w:sz w:val="24"/>
                <w:szCs w:val="24"/>
                <w:highlight w:val="none"/>
              </w:rPr>
            </w:pPr>
          </w:p>
        </w:tc>
        <w:tc>
          <w:tcPr>
            <w:tcW w:w="1463" w:type="dxa"/>
          </w:tcPr>
          <w:p w14:paraId="2BC2E943">
            <w:pPr>
              <w:widowControl w:val="0"/>
              <w:jc w:val="both"/>
              <w:rPr>
                <w:rFonts w:hint="eastAsia" w:asciiTheme="minorEastAsia" w:hAnsiTheme="minorEastAsia" w:eastAsiaTheme="minorEastAsia" w:cstheme="minorEastAsia"/>
                <w:sz w:val="24"/>
                <w:szCs w:val="24"/>
                <w:highlight w:val="none"/>
              </w:rPr>
            </w:pPr>
          </w:p>
        </w:tc>
        <w:tc>
          <w:tcPr>
            <w:tcW w:w="1463" w:type="dxa"/>
          </w:tcPr>
          <w:p w14:paraId="6F7B69A2">
            <w:pPr>
              <w:widowControl w:val="0"/>
              <w:jc w:val="both"/>
              <w:rPr>
                <w:rFonts w:hint="eastAsia" w:asciiTheme="minorEastAsia" w:hAnsiTheme="minorEastAsia" w:eastAsiaTheme="minorEastAsia" w:cstheme="minorEastAsia"/>
                <w:sz w:val="24"/>
                <w:szCs w:val="24"/>
                <w:highlight w:val="none"/>
              </w:rPr>
            </w:pPr>
          </w:p>
        </w:tc>
      </w:tr>
      <w:tr w14:paraId="42CE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77A01418">
            <w:pPr>
              <w:widowControl w:val="0"/>
              <w:jc w:val="both"/>
              <w:rPr>
                <w:rFonts w:hint="eastAsia" w:asciiTheme="minorEastAsia" w:hAnsiTheme="minorEastAsia" w:eastAsiaTheme="minorEastAsia" w:cstheme="minorEastAsia"/>
                <w:sz w:val="24"/>
                <w:szCs w:val="24"/>
                <w:highlight w:val="none"/>
              </w:rPr>
            </w:pPr>
          </w:p>
        </w:tc>
        <w:tc>
          <w:tcPr>
            <w:tcW w:w="1462" w:type="dxa"/>
          </w:tcPr>
          <w:p w14:paraId="532FD414">
            <w:pPr>
              <w:widowControl w:val="0"/>
              <w:jc w:val="both"/>
              <w:rPr>
                <w:rFonts w:hint="eastAsia" w:asciiTheme="minorEastAsia" w:hAnsiTheme="minorEastAsia" w:eastAsiaTheme="minorEastAsia" w:cstheme="minorEastAsia"/>
                <w:sz w:val="24"/>
                <w:szCs w:val="24"/>
                <w:highlight w:val="none"/>
              </w:rPr>
            </w:pPr>
          </w:p>
        </w:tc>
        <w:tc>
          <w:tcPr>
            <w:tcW w:w="1463" w:type="dxa"/>
          </w:tcPr>
          <w:p w14:paraId="6CE7EABD">
            <w:pPr>
              <w:widowControl w:val="0"/>
              <w:jc w:val="both"/>
              <w:rPr>
                <w:rFonts w:hint="eastAsia" w:asciiTheme="minorEastAsia" w:hAnsiTheme="minorEastAsia" w:eastAsiaTheme="minorEastAsia" w:cstheme="minorEastAsia"/>
                <w:sz w:val="24"/>
                <w:szCs w:val="24"/>
                <w:highlight w:val="none"/>
              </w:rPr>
            </w:pPr>
          </w:p>
        </w:tc>
        <w:tc>
          <w:tcPr>
            <w:tcW w:w="1463" w:type="dxa"/>
          </w:tcPr>
          <w:p w14:paraId="18254EF2">
            <w:pPr>
              <w:widowControl w:val="0"/>
              <w:jc w:val="both"/>
              <w:rPr>
                <w:rFonts w:hint="eastAsia" w:asciiTheme="minorEastAsia" w:hAnsiTheme="minorEastAsia" w:eastAsiaTheme="minorEastAsia" w:cstheme="minorEastAsia"/>
                <w:sz w:val="24"/>
                <w:szCs w:val="24"/>
                <w:highlight w:val="none"/>
              </w:rPr>
            </w:pPr>
          </w:p>
        </w:tc>
        <w:tc>
          <w:tcPr>
            <w:tcW w:w="1463" w:type="dxa"/>
          </w:tcPr>
          <w:p w14:paraId="6A525E2C">
            <w:pPr>
              <w:widowControl w:val="0"/>
              <w:jc w:val="both"/>
              <w:rPr>
                <w:rFonts w:hint="eastAsia" w:asciiTheme="minorEastAsia" w:hAnsiTheme="minorEastAsia" w:eastAsiaTheme="minorEastAsia" w:cstheme="minorEastAsia"/>
                <w:sz w:val="24"/>
                <w:szCs w:val="24"/>
                <w:highlight w:val="none"/>
              </w:rPr>
            </w:pPr>
          </w:p>
        </w:tc>
        <w:tc>
          <w:tcPr>
            <w:tcW w:w="1463" w:type="dxa"/>
          </w:tcPr>
          <w:p w14:paraId="74F3AA07">
            <w:pPr>
              <w:widowControl w:val="0"/>
              <w:jc w:val="both"/>
              <w:rPr>
                <w:rFonts w:hint="eastAsia" w:asciiTheme="minorEastAsia" w:hAnsiTheme="minorEastAsia" w:eastAsiaTheme="minorEastAsia" w:cstheme="minorEastAsia"/>
                <w:sz w:val="24"/>
                <w:szCs w:val="24"/>
                <w:highlight w:val="none"/>
              </w:rPr>
            </w:pPr>
          </w:p>
        </w:tc>
      </w:tr>
      <w:tr w14:paraId="7767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12710C0D">
            <w:pPr>
              <w:widowControl w:val="0"/>
              <w:jc w:val="both"/>
              <w:rPr>
                <w:rFonts w:hint="eastAsia" w:asciiTheme="minorEastAsia" w:hAnsiTheme="minorEastAsia" w:eastAsiaTheme="minorEastAsia" w:cstheme="minorEastAsia"/>
                <w:sz w:val="24"/>
                <w:szCs w:val="24"/>
                <w:highlight w:val="none"/>
              </w:rPr>
            </w:pPr>
          </w:p>
        </w:tc>
        <w:tc>
          <w:tcPr>
            <w:tcW w:w="1462" w:type="dxa"/>
          </w:tcPr>
          <w:p w14:paraId="15E80BDE">
            <w:pPr>
              <w:widowControl w:val="0"/>
              <w:jc w:val="both"/>
              <w:rPr>
                <w:rFonts w:hint="eastAsia" w:asciiTheme="minorEastAsia" w:hAnsiTheme="minorEastAsia" w:eastAsiaTheme="minorEastAsia" w:cstheme="minorEastAsia"/>
                <w:sz w:val="24"/>
                <w:szCs w:val="24"/>
                <w:highlight w:val="none"/>
              </w:rPr>
            </w:pPr>
          </w:p>
        </w:tc>
        <w:tc>
          <w:tcPr>
            <w:tcW w:w="1463" w:type="dxa"/>
          </w:tcPr>
          <w:p w14:paraId="021BFF85">
            <w:pPr>
              <w:widowControl w:val="0"/>
              <w:jc w:val="both"/>
              <w:rPr>
                <w:rFonts w:hint="eastAsia" w:asciiTheme="minorEastAsia" w:hAnsiTheme="minorEastAsia" w:eastAsiaTheme="minorEastAsia" w:cstheme="minorEastAsia"/>
                <w:sz w:val="24"/>
                <w:szCs w:val="24"/>
                <w:highlight w:val="none"/>
              </w:rPr>
            </w:pPr>
          </w:p>
        </w:tc>
        <w:tc>
          <w:tcPr>
            <w:tcW w:w="1463" w:type="dxa"/>
          </w:tcPr>
          <w:p w14:paraId="072649D1">
            <w:pPr>
              <w:widowControl w:val="0"/>
              <w:jc w:val="both"/>
              <w:rPr>
                <w:rFonts w:hint="eastAsia" w:asciiTheme="minorEastAsia" w:hAnsiTheme="minorEastAsia" w:eastAsiaTheme="minorEastAsia" w:cstheme="minorEastAsia"/>
                <w:sz w:val="24"/>
                <w:szCs w:val="24"/>
                <w:highlight w:val="none"/>
              </w:rPr>
            </w:pPr>
          </w:p>
        </w:tc>
        <w:tc>
          <w:tcPr>
            <w:tcW w:w="1463" w:type="dxa"/>
          </w:tcPr>
          <w:p w14:paraId="62EA88C1">
            <w:pPr>
              <w:widowControl w:val="0"/>
              <w:jc w:val="both"/>
              <w:rPr>
                <w:rFonts w:hint="eastAsia" w:asciiTheme="minorEastAsia" w:hAnsiTheme="minorEastAsia" w:eastAsiaTheme="minorEastAsia" w:cstheme="minorEastAsia"/>
                <w:sz w:val="24"/>
                <w:szCs w:val="24"/>
                <w:highlight w:val="none"/>
              </w:rPr>
            </w:pPr>
          </w:p>
        </w:tc>
        <w:tc>
          <w:tcPr>
            <w:tcW w:w="1463" w:type="dxa"/>
          </w:tcPr>
          <w:p w14:paraId="5A8D3CED">
            <w:pPr>
              <w:widowControl w:val="0"/>
              <w:jc w:val="both"/>
              <w:rPr>
                <w:rFonts w:hint="eastAsia" w:asciiTheme="minorEastAsia" w:hAnsiTheme="minorEastAsia" w:eastAsiaTheme="minorEastAsia" w:cstheme="minorEastAsia"/>
                <w:sz w:val="24"/>
                <w:szCs w:val="24"/>
                <w:highlight w:val="none"/>
              </w:rPr>
            </w:pPr>
          </w:p>
        </w:tc>
      </w:tr>
      <w:tr w14:paraId="4736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4FDF9E65">
            <w:pPr>
              <w:widowControl w:val="0"/>
              <w:jc w:val="both"/>
              <w:rPr>
                <w:rFonts w:hint="eastAsia" w:asciiTheme="minorEastAsia" w:hAnsiTheme="minorEastAsia" w:eastAsiaTheme="minorEastAsia" w:cstheme="minorEastAsia"/>
                <w:sz w:val="24"/>
                <w:szCs w:val="24"/>
                <w:highlight w:val="none"/>
              </w:rPr>
            </w:pPr>
          </w:p>
        </w:tc>
        <w:tc>
          <w:tcPr>
            <w:tcW w:w="1462" w:type="dxa"/>
          </w:tcPr>
          <w:p w14:paraId="50CC7842">
            <w:pPr>
              <w:widowControl w:val="0"/>
              <w:jc w:val="both"/>
              <w:rPr>
                <w:rFonts w:hint="eastAsia" w:asciiTheme="minorEastAsia" w:hAnsiTheme="minorEastAsia" w:eastAsiaTheme="minorEastAsia" w:cstheme="minorEastAsia"/>
                <w:sz w:val="24"/>
                <w:szCs w:val="24"/>
                <w:highlight w:val="none"/>
              </w:rPr>
            </w:pPr>
          </w:p>
        </w:tc>
        <w:tc>
          <w:tcPr>
            <w:tcW w:w="1463" w:type="dxa"/>
          </w:tcPr>
          <w:p w14:paraId="4F2E6793">
            <w:pPr>
              <w:widowControl w:val="0"/>
              <w:jc w:val="both"/>
              <w:rPr>
                <w:rFonts w:hint="eastAsia" w:asciiTheme="minorEastAsia" w:hAnsiTheme="minorEastAsia" w:eastAsiaTheme="minorEastAsia" w:cstheme="minorEastAsia"/>
                <w:sz w:val="24"/>
                <w:szCs w:val="24"/>
                <w:highlight w:val="none"/>
              </w:rPr>
            </w:pPr>
          </w:p>
        </w:tc>
        <w:tc>
          <w:tcPr>
            <w:tcW w:w="1463" w:type="dxa"/>
          </w:tcPr>
          <w:p w14:paraId="424845F3">
            <w:pPr>
              <w:widowControl w:val="0"/>
              <w:jc w:val="both"/>
              <w:rPr>
                <w:rFonts w:hint="eastAsia" w:asciiTheme="minorEastAsia" w:hAnsiTheme="minorEastAsia" w:eastAsiaTheme="minorEastAsia" w:cstheme="minorEastAsia"/>
                <w:sz w:val="24"/>
                <w:szCs w:val="24"/>
                <w:highlight w:val="none"/>
              </w:rPr>
            </w:pPr>
          </w:p>
        </w:tc>
        <w:tc>
          <w:tcPr>
            <w:tcW w:w="1463" w:type="dxa"/>
          </w:tcPr>
          <w:p w14:paraId="69B0430E">
            <w:pPr>
              <w:widowControl w:val="0"/>
              <w:jc w:val="both"/>
              <w:rPr>
                <w:rFonts w:hint="eastAsia" w:asciiTheme="minorEastAsia" w:hAnsiTheme="minorEastAsia" w:eastAsiaTheme="minorEastAsia" w:cstheme="minorEastAsia"/>
                <w:sz w:val="24"/>
                <w:szCs w:val="24"/>
                <w:highlight w:val="none"/>
              </w:rPr>
            </w:pPr>
          </w:p>
        </w:tc>
        <w:tc>
          <w:tcPr>
            <w:tcW w:w="1463" w:type="dxa"/>
          </w:tcPr>
          <w:p w14:paraId="2A0970BD">
            <w:pPr>
              <w:widowControl w:val="0"/>
              <w:jc w:val="both"/>
              <w:rPr>
                <w:rFonts w:hint="eastAsia" w:asciiTheme="minorEastAsia" w:hAnsiTheme="minorEastAsia" w:eastAsiaTheme="minorEastAsia" w:cstheme="minorEastAsia"/>
                <w:sz w:val="24"/>
                <w:szCs w:val="24"/>
                <w:highlight w:val="none"/>
              </w:rPr>
            </w:pPr>
          </w:p>
        </w:tc>
      </w:tr>
      <w:tr w14:paraId="66A0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1E00D452">
            <w:pPr>
              <w:widowControl w:val="0"/>
              <w:jc w:val="both"/>
              <w:rPr>
                <w:rFonts w:hint="eastAsia" w:asciiTheme="minorEastAsia" w:hAnsiTheme="minorEastAsia" w:eastAsiaTheme="minorEastAsia" w:cstheme="minorEastAsia"/>
                <w:sz w:val="24"/>
                <w:szCs w:val="24"/>
                <w:highlight w:val="none"/>
              </w:rPr>
            </w:pPr>
          </w:p>
        </w:tc>
        <w:tc>
          <w:tcPr>
            <w:tcW w:w="1462" w:type="dxa"/>
          </w:tcPr>
          <w:p w14:paraId="20DE1E44">
            <w:pPr>
              <w:widowControl w:val="0"/>
              <w:jc w:val="both"/>
              <w:rPr>
                <w:rFonts w:hint="eastAsia" w:asciiTheme="minorEastAsia" w:hAnsiTheme="minorEastAsia" w:eastAsiaTheme="minorEastAsia" w:cstheme="minorEastAsia"/>
                <w:sz w:val="24"/>
                <w:szCs w:val="24"/>
                <w:highlight w:val="none"/>
              </w:rPr>
            </w:pPr>
          </w:p>
        </w:tc>
        <w:tc>
          <w:tcPr>
            <w:tcW w:w="1463" w:type="dxa"/>
          </w:tcPr>
          <w:p w14:paraId="043BCD54">
            <w:pPr>
              <w:widowControl w:val="0"/>
              <w:jc w:val="both"/>
              <w:rPr>
                <w:rFonts w:hint="eastAsia" w:asciiTheme="minorEastAsia" w:hAnsiTheme="minorEastAsia" w:eastAsiaTheme="minorEastAsia" w:cstheme="minorEastAsia"/>
                <w:sz w:val="24"/>
                <w:szCs w:val="24"/>
                <w:highlight w:val="none"/>
              </w:rPr>
            </w:pPr>
          </w:p>
        </w:tc>
        <w:tc>
          <w:tcPr>
            <w:tcW w:w="1463" w:type="dxa"/>
          </w:tcPr>
          <w:p w14:paraId="0540D2F4">
            <w:pPr>
              <w:widowControl w:val="0"/>
              <w:jc w:val="both"/>
              <w:rPr>
                <w:rFonts w:hint="eastAsia" w:asciiTheme="minorEastAsia" w:hAnsiTheme="minorEastAsia" w:eastAsiaTheme="minorEastAsia" w:cstheme="minorEastAsia"/>
                <w:sz w:val="24"/>
                <w:szCs w:val="24"/>
                <w:highlight w:val="none"/>
              </w:rPr>
            </w:pPr>
          </w:p>
        </w:tc>
        <w:tc>
          <w:tcPr>
            <w:tcW w:w="1463" w:type="dxa"/>
          </w:tcPr>
          <w:p w14:paraId="22E9A067">
            <w:pPr>
              <w:widowControl w:val="0"/>
              <w:jc w:val="both"/>
              <w:rPr>
                <w:rFonts w:hint="eastAsia" w:asciiTheme="minorEastAsia" w:hAnsiTheme="minorEastAsia" w:eastAsiaTheme="minorEastAsia" w:cstheme="minorEastAsia"/>
                <w:sz w:val="24"/>
                <w:szCs w:val="24"/>
                <w:highlight w:val="none"/>
              </w:rPr>
            </w:pPr>
          </w:p>
        </w:tc>
        <w:tc>
          <w:tcPr>
            <w:tcW w:w="1463" w:type="dxa"/>
          </w:tcPr>
          <w:p w14:paraId="77BB4703">
            <w:pPr>
              <w:widowControl w:val="0"/>
              <w:jc w:val="both"/>
              <w:rPr>
                <w:rFonts w:hint="eastAsia" w:asciiTheme="minorEastAsia" w:hAnsiTheme="minorEastAsia" w:eastAsiaTheme="minorEastAsia" w:cstheme="minorEastAsia"/>
                <w:sz w:val="24"/>
                <w:szCs w:val="24"/>
                <w:highlight w:val="none"/>
              </w:rPr>
            </w:pPr>
          </w:p>
        </w:tc>
      </w:tr>
    </w:tbl>
    <w:p w14:paraId="2B3AE3BD">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0D3F8D19">
      <w:pPr>
        <w:jc w:val="center"/>
        <w:rPr>
          <w:rFonts w:hint="eastAsia" w:asciiTheme="minorEastAsia" w:hAnsiTheme="minorEastAsia" w:eastAsiaTheme="minorEastAsia" w:cstheme="minorEastAsia"/>
          <w:b/>
          <w:bCs/>
          <w:sz w:val="24"/>
          <w:szCs w:val="24"/>
          <w:highlight w:val="none"/>
        </w:rPr>
      </w:pPr>
    </w:p>
    <w:p w14:paraId="5A14BDD7">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 xml:space="preserve">                      </w:t>
      </w:r>
      <w:r>
        <w:rPr>
          <w:rFonts w:hint="eastAsia" w:asciiTheme="minorEastAsia" w:hAnsiTheme="minorEastAsia" w:eastAsiaTheme="minorEastAsia" w:cstheme="minorEastAsia"/>
          <w:sz w:val="24"/>
          <w:szCs w:val="24"/>
          <w:highlight w:val="none"/>
        </w:rPr>
        <w:t>验收负责人：</w:t>
      </w:r>
    </w:p>
    <w:p w14:paraId="68C3BF10">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日  期：   年    月    日</w:t>
      </w:r>
    </w:p>
    <w:p w14:paraId="3885C079">
      <w:pPr>
        <w:jc w:val="center"/>
        <w:rPr>
          <w:rFonts w:hint="eastAsia" w:asciiTheme="minorEastAsia" w:hAnsiTheme="minorEastAsia" w:eastAsiaTheme="minorEastAsia" w:cstheme="minorEastAsia"/>
          <w:sz w:val="24"/>
          <w:szCs w:val="24"/>
          <w:highlight w:val="none"/>
        </w:rPr>
      </w:pPr>
    </w:p>
    <w:p w14:paraId="7E35BEDD">
      <w:pPr>
        <w:pStyle w:val="2"/>
        <w:rPr>
          <w:rFonts w:hint="eastAsia" w:asciiTheme="minorEastAsia" w:hAnsiTheme="minorEastAsia" w:eastAsiaTheme="minorEastAsia" w:cstheme="minorEastAsia"/>
          <w:sz w:val="24"/>
          <w:szCs w:val="24"/>
          <w:highlight w:val="none"/>
        </w:rPr>
      </w:pPr>
    </w:p>
    <w:p w14:paraId="6EE82D7A">
      <w:pPr>
        <w:pStyle w:val="3"/>
        <w:rPr>
          <w:rFonts w:hint="eastAsia" w:asciiTheme="minorEastAsia" w:hAnsiTheme="minorEastAsia" w:eastAsiaTheme="minorEastAsia" w:cstheme="minorEastAsia"/>
          <w:sz w:val="24"/>
          <w:szCs w:val="24"/>
          <w:highlight w:val="none"/>
        </w:rPr>
      </w:pPr>
    </w:p>
    <w:p w14:paraId="5C2591A3">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设备</w:t>
      </w:r>
      <w:r>
        <w:rPr>
          <w:rFonts w:hint="eastAsia" w:asciiTheme="minorEastAsia" w:hAnsiTheme="minorEastAsia" w:eastAsiaTheme="minorEastAsia" w:cstheme="minorEastAsia"/>
          <w:sz w:val="24"/>
          <w:szCs w:val="24"/>
          <w:highlight w:val="none"/>
        </w:rPr>
        <w:t>安装负责人：</w:t>
      </w:r>
    </w:p>
    <w:p w14:paraId="2850FED8">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日  期：   年    月    日</w:t>
      </w:r>
    </w:p>
    <w:p w14:paraId="464D7C2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25A01220">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附件</w:t>
      </w:r>
      <w:r>
        <w:rPr>
          <w:rFonts w:hint="eastAsia" w:asciiTheme="minorEastAsia" w:hAnsiTheme="minorEastAsia" w:eastAsiaTheme="minorEastAsia" w:cstheme="minorEastAsia"/>
          <w:b/>
          <w:bCs/>
          <w:sz w:val="24"/>
          <w:szCs w:val="24"/>
          <w:highlight w:val="none"/>
          <w:lang w:val="en-US" w:eastAsia="zh-CN"/>
        </w:rPr>
        <w:t>二</w:t>
      </w:r>
      <w:r>
        <w:rPr>
          <w:rFonts w:hint="eastAsia" w:asciiTheme="minorEastAsia" w:hAnsiTheme="minorEastAsia" w:eastAsiaTheme="minorEastAsia" w:cstheme="minorEastAsia"/>
          <w:b/>
          <w:bCs/>
          <w:sz w:val="24"/>
          <w:szCs w:val="24"/>
          <w:highlight w:val="none"/>
        </w:rPr>
        <w:t>：</w:t>
      </w:r>
    </w:p>
    <w:p w14:paraId="08E40D13">
      <w:pPr>
        <w:jc w:val="center"/>
        <w:rPr>
          <w:rFonts w:hint="eastAsia" w:asciiTheme="minorEastAsia" w:hAnsiTheme="minorEastAsia" w:eastAsiaTheme="minorEastAsia" w:cstheme="minorEastAsia"/>
          <w:b/>
          <w:bCs/>
          <w:sz w:val="40"/>
          <w:szCs w:val="40"/>
          <w:highlight w:val="none"/>
        </w:rPr>
      </w:pPr>
      <w:r>
        <w:rPr>
          <w:rFonts w:hint="eastAsia" w:asciiTheme="minorEastAsia" w:hAnsiTheme="minorEastAsia" w:eastAsiaTheme="minorEastAsia" w:cstheme="minorEastAsia"/>
          <w:b/>
          <w:bCs/>
          <w:sz w:val="40"/>
          <w:szCs w:val="40"/>
          <w:highlight w:val="none"/>
        </w:rPr>
        <w:t>撤机确认书</w:t>
      </w:r>
    </w:p>
    <w:p w14:paraId="2FD65544">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3303270</wp:posOffset>
                </wp:positionH>
                <wp:positionV relativeFrom="paragraph">
                  <wp:posOffset>58420</wp:posOffset>
                </wp:positionV>
                <wp:extent cx="2137410" cy="465455"/>
                <wp:effectExtent l="5080" t="4445" r="10160" b="6350"/>
                <wp:wrapNone/>
                <wp:docPr id="5" name="文本框 5"/>
                <wp:cNvGraphicFramePr/>
                <a:graphic xmlns:a="http://schemas.openxmlformats.org/drawingml/2006/main">
                  <a:graphicData uri="http://schemas.microsoft.com/office/word/2010/wordprocessingShape">
                    <wps:wsp>
                      <wps:cNvSpPr txBox="1"/>
                      <wps:spPr>
                        <a:xfrm>
                          <a:off x="4311650" y="1372870"/>
                          <a:ext cx="2137410" cy="465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B2EA31">
                            <w:r>
                              <w:rPr>
                                <w:rFonts w:hint="eastAsia"/>
                              </w:rPr>
                              <w:t>签发日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1pt;margin-top:4.6pt;height:36.65pt;width:168.3pt;z-index:251660288;mso-width-relative:page;mso-height-relative:page;" fillcolor="#FFFFFF [3201]" filled="t" stroked="t" coordsize="21600,21600" o:gfxdata="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FKwgnVAAAACAEAAA8AAAAAAAAAAQAgAAAAIgAAAGRycy9kb3ducmV2LnhtbFBLAQIUABQAAAAI&#10;AIdO4kB/+lx8YgIAAMMEAAAOAAAAAAAAAAEAIAAAACQBAABkcnMvZTJvRG9jLnhtbFBLBQYAAAAA&#10;BgAGAFkBAAD4BQAAAAA=&#10;">
                <v:fill on="t" focussize="0,0"/>
                <v:stroke weight="0.5pt" color="#000000 [3204]" joinstyle="round"/>
                <v:imagedata o:title=""/>
                <o:lock v:ext="edit" aspectratio="f"/>
                <v:textbox>
                  <w:txbxContent>
                    <w:p w14:paraId="49B2EA31">
                      <w:r>
                        <w:rPr>
                          <w:rFonts w:hint="eastAsia"/>
                        </w:rPr>
                        <w:t>签发日     年      月     日</w:t>
                      </w:r>
                    </w:p>
                  </w:txbxContent>
                </v:textbox>
              </v:shape>
            </w:pict>
          </mc:Fallback>
        </mc:AlternateContent>
      </w:r>
    </w:p>
    <w:p w14:paraId="4C91D07E">
      <w:pPr>
        <w:spacing w:line="360" w:lineRule="auto"/>
        <w:ind w:firstLine="480" w:firstLineChars="200"/>
        <w:rPr>
          <w:rFonts w:hint="eastAsia" w:asciiTheme="minorEastAsia" w:hAnsiTheme="minorEastAsia" w:eastAsiaTheme="minorEastAsia" w:cstheme="minorEastAsia"/>
          <w:sz w:val="24"/>
          <w:szCs w:val="24"/>
          <w:highlight w:val="none"/>
        </w:rPr>
      </w:pPr>
    </w:p>
    <w:p w14:paraId="10F853DC">
      <w:pPr>
        <w:spacing w:line="360" w:lineRule="auto"/>
        <w:rPr>
          <w:rFonts w:hint="eastAsia" w:asciiTheme="minorEastAsia" w:hAnsiTheme="minorEastAsia" w:eastAsiaTheme="minorEastAsia" w:cstheme="minorEastAsia"/>
          <w:sz w:val="24"/>
          <w:szCs w:val="24"/>
          <w:highlight w:val="none"/>
        </w:rPr>
      </w:pPr>
    </w:p>
    <w:p w14:paraId="21B5C97C">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至 深圳市特区建工园林生态科技集团有限公司</w:t>
      </w:r>
    </w:p>
    <w:p w14:paraId="55FF541E">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根据       年       月       日语贵单位签订的《园博园运改维一体化改革试点项目（202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年）自助现磨咖啡机服务协议》，下列物件自本验收单记载签发日期起确认撤机。</w:t>
      </w:r>
      <w:r>
        <w:rPr>
          <w:rFonts w:hint="eastAsia" w:asciiTheme="minorEastAsia" w:hAnsiTheme="minorEastAsia" w:eastAsiaTheme="minorEastAsia" w:cstheme="minorEastAsia"/>
          <w:sz w:val="24"/>
          <w:szCs w:val="24"/>
          <w:highlight w:val="none"/>
        </w:rPr>
        <w:t>本单据一式六份。</w:t>
      </w:r>
    </w:p>
    <w:p w14:paraId="3F4AD3F9">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（标的物详细内容）</w:t>
      </w:r>
    </w:p>
    <w:p w14:paraId="34B2BF77">
      <w:pPr>
        <w:spacing w:line="360" w:lineRule="auto"/>
        <w:ind w:firstLine="480" w:firstLineChars="200"/>
        <w:rPr>
          <w:rFonts w:hint="eastAsia" w:asciiTheme="minorEastAsia" w:hAnsiTheme="minorEastAsia" w:eastAsiaTheme="minorEastAsia" w:cstheme="minorEastAsia"/>
          <w:sz w:val="24"/>
          <w:szCs w:val="24"/>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62"/>
        <w:gridCol w:w="1463"/>
        <w:gridCol w:w="1463"/>
        <w:gridCol w:w="1463"/>
        <w:gridCol w:w="1463"/>
      </w:tblGrid>
      <w:tr w14:paraId="649F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48680110">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462" w:type="dxa"/>
          </w:tcPr>
          <w:p w14:paraId="58FD8B91">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物件名称</w:t>
            </w:r>
          </w:p>
        </w:tc>
        <w:tc>
          <w:tcPr>
            <w:tcW w:w="1463" w:type="dxa"/>
          </w:tcPr>
          <w:p w14:paraId="11E021D4">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w:t>
            </w:r>
          </w:p>
        </w:tc>
        <w:tc>
          <w:tcPr>
            <w:tcW w:w="1463" w:type="dxa"/>
          </w:tcPr>
          <w:p w14:paraId="5E7E87EC">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安装地点</w:t>
            </w:r>
          </w:p>
        </w:tc>
        <w:tc>
          <w:tcPr>
            <w:tcW w:w="1463" w:type="dxa"/>
          </w:tcPr>
          <w:p w14:paraId="373154A2">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数量（台）</w:t>
            </w:r>
          </w:p>
        </w:tc>
        <w:tc>
          <w:tcPr>
            <w:tcW w:w="1463" w:type="dxa"/>
          </w:tcPr>
          <w:p w14:paraId="7A8893E7">
            <w:pPr>
              <w:widowControl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出厂编号</w:t>
            </w:r>
          </w:p>
        </w:tc>
      </w:tr>
      <w:tr w14:paraId="1E59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4426E17D">
            <w:pPr>
              <w:widowControl w:val="0"/>
              <w:jc w:val="both"/>
              <w:rPr>
                <w:rFonts w:hint="eastAsia" w:asciiTheme="minorEastAsia" w:hAnsiTheme="minorEastAsia" w:eastAsiaTheme="minorEastAsia" w:cstheme="minorEastAsia"/>
                <w:sz w:val="24"/>
                <w:szCs w:val="24"/>
                <w:highlight w:val="none"/>
              </w:rPr>
            </w:pPr>
          </w:p>
        </w:tc>
        <w:tc>
          <w:tcPr>
            <w:tcW w:w="1462" w:type="dxa"/>
          </w:tcPr>
          <w:p w14:paraId="22A54D62">
            <w:pPr>
              <w:widowControl w:val="0"/>
              <w:jc w:val="both"/>
              <w:rPr>
                <w:rFonts w:hint="eastAsia" w:asciiTheme="minorEastAsia" w:hAnsiTheme="minorEastAsia" w:eastAsiaTheme="minorEastAsia" w:cstheme="minorEastAsia"/>
                <w:sz w:val="24"/>
                <w:szCs w:val="24"/>
                <w:highlight w:val="none"/>
              </w:rPr>
            </w:pPr>
          </w:p>
        </w:tc>
        <w:tc>
          <w:tcPr>
            <w:tcW w:w="1463" w:type="dxa"/>
          </w:tcPr>
          <w:p w14:paraId="3A965B54">
            <w:pPr>
              <w:widowControl w:val="0"/>
              <w:jc w:val="both"/>
              <w:rPr>
                <w:rFonts w:hint="eastAsia" w:asciiTheme="minorEastAsia" w:hAnsiTheme="minorEastAsia" w:eastAsiaTheme="minorEastAsia" w:cstheme="minorEastAsia"/>
                <w:sz w:val="24"/>
                <w:szCs w:val="24"/>
                <w:highlight w:val="none"/>
              </w:rPr>
            </w:pPr>
          </w:p>
        </w:tc>
        <w:tc>
          <w:tcPr>
            <w:tcW w:w="1463" w:type="dxa"/>
          </w:tcPr>
          <w:p w14:paraId="353A7E3B">
            <w:pPr>
              <w:widowControl w:val="0"/>
              <w:jc w:val="both"/>
              <w:rPr>
                <w:rFonts w:hint="eastAsia" w:asciiTheme="minorEastAsia" w:hAnsiTheme="minorEastAsia" w:eastAsiaTheme="minorEastAsia" w:cstheme="minorEastAsia"/>
                <w:sz w:val="24"/>
                <w:szCs w:val="24"/>
                <w:highlight w:val="none"/>
              </w:rPr>
            </w:pPr>
          </w:p>
        </w:tc>
        <w:tc>
          <w:tcPr>
            <w:tcW w:w="1463" w:type="dxa"/>
          </w:tcPr>
          <w:p w14:paraId="200979AC">
            <w:pPr>
              <w:widowControl w:val="0"/>
              <w:jc w:val="both"/>
              <w:rPr>
                <w:rFonts w:hint="eastAsia" w:asciiTheme="minorEastAsia" w:hAnsiTheme="minorEastAsia" w:eastAsiaTheme="minorEastAsia" w:cstheme="minorEastAsia"/>
                <w:sz w:val="24"/>
                <w:szCs w:val="24"/>
                <w:highlight w:val="none"/>
              </w:rPr>
            </w:pPr>
          </w:p>
        </w:tc>
        <w:tc>
          <w:tcPr>
            <w:tcW w:w="1463" w:type="dxa"/>
          </w:tcPr>
          <w:p w14:paraId="268D85F7">
            <w:pPr>
              <w:widowControl w:val="0"/>
              <w:jc w:val="both"/>
              <w:rPr>
                <w:rFonts w:hint="eastAsia" w:asciiTheme="minorEastAsia" w:hAnsiTheme="minorEastAsia" w:eastAsiaTheme="minorEastAsia" w:cstheme="minorEastAsia"/>
                <w:sz w:val="24"/>
                <w:szCs w:val="24"/>
                <w:highlight w:val="none"/>
              </w:rPr>
            </w:pPr>
          </w:p>
        </w:tc>
      </w:tr>
      <w:tr w14:paraId="178A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5BC74674">
            <w:pPr>
              <w:widowControl w:val="0"/>
              <w:jc w:val="both"/>
              <w:rPr>
                <w:rFonts w:hint="eastAsia" w:asciiTheme="minorEastAsia" w:hAnsiTheme="minorEastAsia" w:eastAsiaTheme="minorEastAsia" w:cstheme="minorEastAsia"/>
                <w:sz w:val="24"/>
                <w:szCs w:val="24"/>
                <w:highlight w:val="none"/>
              </w:rPr>
            </w:pPr>
          </w:p>
        </w:tc>
        <w:tc>
          <w:tcPr>
            <w:tcW w:w="1462" w:type="dxa"/>
          </w:tcPr>
          <w:p w14:paraId="06E6C4A8">
            <w:pPr>
              <w:widowControl w:val="0"/>
              <w:jc w:val="both"/>
              <w:rPr>
                <w:rFonts w:hint="eastAsia" w:asciiTheme="minorEastAsia" w:hAnsiTheme="minorEastAsia" w:eastAsiaTheme="minorEastAsia" w:cstheme="minorEastAsia"/>
                <w:sz w:val="24"/>
                <w:szCs w:val="24"/>
                <w:highlight w:val="none"/>
              </w:rPr>
            </w:pPr>
          </w:p>
        </w:tc>
        <w:tc>
          <w:tcPr>
            <w:tcW w:w="1463" w:type="dxa"/>
          </w:tcPr>
          <w:p w14:paraId="5E1325D0">
            <w:pPr>
              <w:widowControl w:val="0"/>
              <w:jc w:val="both"/>
              <w:rPr>
                <w:rFonts w:hint="eastAsia" w:asciiTheme="minorEastAsia" w:hAnsiTheme="minorEastAsia" w:eastAsiaTheme="minorEastAsia" w:cstheme="minorEastAsia"/>
                <w:sz w:val="24"/>
                <w:szCs w:val="24"/>
                <w:highlight w:val="none"/>
              </w:rPr>
            </w:pPr>
          </w:p>
        </w:tc>
        <w:tc>
          <w:tcPr>
            <w:tcW w:w="1463" w:type="dxa"/>
          </w:tcPr>
          <w:p w14:paraId="1F9E9307">
            <w:pPr>
              <w:widowControl w:val="0"/>
              <w:jc w:val="both"/>
              <w:rPr>
                <w:rFonts w:hint="eastAsia" w:asciiTheme="minorEastAsia" w:hAnsiTheme="minorEastAsia" w:eastAsiaTheme="minorEastAsia" w:cstheme="minorEastAsia"/>
                <w:sz w:val="24"/>
                <w:szCs w:val="24"/>
                <w:highlight w:val="none"/>
              </w:rPr>
            </w:pPr>
          </w:p>
        </w:tc>
        <w:tc>
          <w:tcPr>
            <w:tcW w:w="1463" w:type="dxa"/>
          </w:tcPr>
          <w:p w14:paraId="217B2DB1">
            <w:pPr>
              <w:widowControl w:val="0"/>
              <w:jc w:val="both"/>
              <w:rPr>
                <w:rFonts w:hint="eastAsia" w:asciiTheme="minorEastAsia" w:hAnsiTheme="minorEastAsia" w:eastAsiaTheme="minorEastAsia" w:cstheme="minorEastAsia"/>
                <w:sz w:val="24"/>
                <w:szCs w:val="24"/>
                <w:highlight w:val="none"/>
              </w:rPr>
            </w:pPr>
          </w:p>
        </w:tc>
        <w:tc>
          <w:tcPr>
            <w:tcW w:w="1463" w:type="dxa"/>
          </w:tcPr>
          <w:p w14:paraId="0D9490FB">
            <w:pPr>
              <w:widowControl w:val="0"/>
              <w:jc w:val="both"/>
              <w:rPr>
                <w:rFonts w:hint="eastAsia" w:asciiTheme="minorEastAsia" w:hAnsiTheme="minorEastAsia" w:eastAsiaTheme="minorEastAsia" w:cstheme="minorEastAsia"/>
                <w:sz w:val="24"/>
                <w:szCs w:val="24"/>
                <w:highlight w:val="none"/>
              </w:rPr>
            </w:pPr>
          </w:p>
        </w:tc>
      </w:tr>
      <w:tr w14:paraId="2BCC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3EB7C8BF">
            <w:pPr>
              <w:widowControl w:val="0"/>
              <w:jc w:val="both"/>
              <w:rPr>
                <w:rFonts w:hint="eastAsia" w:asciiTheme="minorEastAsia" w:hAnsiTheme="minorEastAsia" w:eastAsiaTheme="minorEastAsia" w:cstheme="minorEastAsia"/>
                <w:sz w:val="24"/>
                <w:szCs w:val="24"/>
                <w:highlight w:val="none"/>
              </w:rPr>
            </w:pPr>
          </w:p>
        </w:tc>
        <w:tc>
          <w:tcPr>
            <w:tcW w:w="1462" w:type="dxa"/>
          </w:tcPr>
          <w:p w14:paraId="2B9D0C9F">
            <w:pPr>
              <w:widowControl w:val="0"/>
              <w:jc w:val="both"/>
              <w:rPr>
                <w:rFonts w:hint="eastAsia" w:asciiTheme="minorEastAsia" w:hAnsiTheme="minorEastAsia" w:eastAsiaTheme="minorEastAsia" w:cstheme="minorEastAsia"/>
                <w:sz w:val="24"/>
                <w:szCs w:val="24"/>
                <w:highlight w:val="none"/>
              </w:rPr>
            </w:pPr>
          </w:p>
        </w:tc>
        <w:tc>
          <w:tcPr>
            <w:tcW w:w="1463" w:type="dxa"/>
          </w:tcPr>
          <w:p w14:paraId="42FA034F">
            <w:pPr>
              <w:widowControl w:val="0"/>
              <w:jc w:val="both"/>
              <w:rPr>
                <w:rFonts w:hint="eastAsia" w:asciiTheme="minorEastAsia" w:hAnsiTheme="minorEastAsia" w:eastAsiaTheme="minorEastAsia" w:cstheme="minorEastAsia"/>
                <w:sz w:val="24"/>
                <w:szCs w:val="24"/>
                <w:highlight w:val="none"/>
              </w:rPr>
            </w:pPr>
          </w:p>
        </w:tc>
        <w:tc>
          <w:tcPr>
            <w:tcW w:w="1463" w:type="dxa"/>
          </w:tcPr>
          <w:p w14:paraId="0C5DB57C">
            <w:pPr>
              <w:widowControl w:val="0"/>
              <w:jc w:val="both"/>
              <w:rPr>
                <w:rFonts w:hint="eastAsia" w:asciiTheme="minorEastAsia" w:hAnsiTheme="minorEastAsia" w:eastAsiaTheme="minorEastAsia" w:cstheme="minorEastAsia"/>
                <w:sz w:val="24"/>
                <w:szCs w:val="24"/>
                <w:highlight w:val="none"/>
              </w:rPr>
            </w:pPr>
          </w:p>
        </w:tc>
        <w:tc>
          <w:tcPr>
            <w:tcW w:w="1463" w:type="dxa"/>
          </w:tcPr>
          <w:p w14:paraId="020809FA">
            <w:pPr>
              <w:widowControl w:val="0"/>
              <w:jc w:val="both"/>
              <w:rPr>
                <w:rFonts w:hint="eastAsia" w:asciiTheme="minorEastAsia" w:hAnsiTheme="minorEastAsia" w:eastAsiaTheme="minorEastAsia" w:cstheme="minorEastAsia"/>
                <w:sz w:val="24"/>
                <w:szCs w:val="24"/>
                <w:highlight w:val="none"/>
              </w:rPr>
            </w:pPr>
          </w:p>
        </w:tc>
        <w:tc>
          <w:tcPr>
            <w:tcW w:w="1463" w:type="dxa"/>
          </w:tcPr>
          <w:p w14:paraId="09736A94">
            <w:pPr>
              <w:widowControl w:val="0"/>
              <w:jc w:val="both"/>
              <w:rPr>
                <w:rFonts w:hint="eastAsia" w:asciiTheme="minorEastAsia" w:hAnsiTheme="minorEastAsia" w:eastAsiaTheme="minorEastAsia" w:cstheme="minorEastAsia"/>
                <w:sz w:val="24"/>
                <w:szCs w:val="24"/>
                <w:highlight w:val="none"/>
              </w:rPr>
            </w:pPr>
          </w:p>
        </w:tc>
      </w:tr>
      <w:tr w14:paraId="22F8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5D02136D">
            <w:pPr>
              <w:widowControl w:val="0"/>
              <w:jc w:val="both"/>
              <w:rPr>
                <w:rFonts w:hint="eastAsia" w:asciiTheme="minorEastAsia" w:hAnsiTheme="minorEastAsia" w:eastAsiaTheme="minorEastAsia" w:cstheme="minorEastAsia"/>
                <w:sz w:val="24"/>
                <w:szCs w:val="24"/>
                <w:highlight w:val="none"/>
              </w:rPr>
            </w:pPr>
          </w:p>
        </w:tc>
        <w:tc>
          <w:tcPr>
            <w:tcW w:w="1462" w:type="dxa"/>
          </w:tcPr>
          <w:p w14:paraId="33B027A2">
            <w:pPr>
              <w:widowControl w:val="0"/>
              <w:jc w:val="both"/>
              <w:rPr>
                <w:rFonts w:hint="eastAsia" w:asciiTheme="minorEastAsia" w:hAnsiTheme="minorEastAsia" w:eastAsiaTheme="minorEastAsia" w:cstheme="minorEastAsia"/>
                <w:sz w:val="24"/>
                <w:szCs w:val="24"/>
                <w:highlight w:val="none"/>
              </w:rPr>
            </w:pPr>
          </w:p>
        </w:tc>
        <w:tc>
          <w:tcPr>
            <w:tcW w:w="1463" w:type="dxa"/>
          </w:tcPr>
          <w:p w14:paraId="07ED4AB8">
            <w:pPr>
              <w:widowControl w:val="0"/>
              <w:jc w:val="both"/>
              <w:rPr>
                <w:rFonts w:hint="eastAsia" w:asciiTheme="minorEastAsia" w:hAnsiTheme="minorEastAsia" w:eastAsiaTheme="minorEastAsia" w:cstheme="minorEastAsia"/>
                <w:sz w:val="24"/>
                <w:szCs w:val="24"/>
                <w:highlight w:val="none"/>
              </w:rPr>
            </w:pPr>
          </w:p>
        </w:tc>
        <w:tc>
          <w:tcPr>
            <w:tcW w:w="1463" w:type="dxa"/>
          </w:tcPr>
          <w:p w14:paraId="355838A8">
            <w:pPr>
              <w:widowControl w:val="0"/>
              <w:jc w:val="both"/>
              <w:rPr>
                <w:rFonts w:hint="eastAsia" w:asciiTheme="minorEastAsia" w:hAnsiTheme="minorEastAsia" w:eastAsiaTheme="minorEastAsia" w:cstheme="minorEastAsia"/>
                <w:sz w:val="24"/>
                <w:szCs w:val="24"/>
                <w:highlight w:val="none"/>
              </w:rPr>
            </w:pPr>
          </w:p>
        </w:tc>
        <w:tc>
          <w:tcPr>
            <w:tcW w:w="1463" w:type="dxa"/>
          </w:tcPr>
          <w:p w14:paraId="14824745">
            <w:pPr>
              <w:widowControl w:val="0"/>
              <w:jc w:val="both"/>
              <w:rPr>
                <w:rFonts w:hint="eastAsia" w:asciiTheme="minorEastAsia" w:hAnsiTheme="minorEastAsia" w:eastAsiaTheme="minorEastAsia" w:cstheme="minorEastAsia"/>
                <w:sz w:val="24"/>
                <w:szCs w:val="24"/>
                <w:highlight w:val="none"/>
              </w:rPr>
            </w:pPr>
          </w:p>
        </w:tc>
        <w:tc>
          <w:tcPr>
            <w:tcW w:w="1463" w:type="dxa"/>
          </w:tcPr>
          <w:p w14:paraId="64F4EB6B">
            <w:pPr>
              <w:widowControl w:val="0"/>
              <w:jc w:val="both"/>
              <w:rPr>
                <w:rFonts w:hint="eastAsia" w:asciiTheme="minorEastAsia" w:hAnsiTheme="minorEastAsia" w:eastAsiaTheme="minorEastAsia" w:cstheme="minorEastAsia"/>
                <w:sz w:val="24"/>
                <w:szCs w:val="24"/>
                <w:highlight w:val="none"/>
              </w:rPr>
            </w:pPr>
          </w:p>
        </w:tc>
      </w:tr>
      <w:tr w14:paraId="5C7B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14:paraId="2DBD9E16">
            <w:pPr>
              <w:widowControl w:val="0"/>
              <w:jc w:val="both"/>
              <w:rPr>
                <w:rFonts w:hint="eastAsia" w:asciiTheme="minorEastAsia" w:hAnsiTheme="minorEastAsia" w:eastAsiaTheme="minorEastAsia" w:cstheme="minorEastAsia"/>
                <w:sz w:val="24"/>
                <w:szCs w:val="24"/>
                <w:highlight w:val="none"/>
              </w:rPr>
            </w:pPr>
          </w:p>
        </w:tc>
        <w:tc>
          <w:tcPr>
            <w:tcW w:w="1462" w:type="dxa"/>
          </w:tcPr>
          <w:p w14:paraId="5E667A85">
            <w:pPr>
              <w:widowControl w:val="0"/>
              <w:jc w:val="both"/>
              <w:rPr>
                <w:rFonts w:hint="eastAsia" w:asciiTheme="minorEastAsia" w:hAnsiTheme="minorEastAsia" w:eastAsiaTheme="minorEastAsia" w:cstheme="minorEastAsia"/>
                <w:sz w:val="24"/>
                <w:szCs w:val="24"/>
                <w:highlight w:val="none"/>
              </w:rPr>
            </w:pPr>
          </w:p>
        </w:tc>
        <w:tc>
          <w:tcPr>
            <w:tcW w:w="1463" w:type="dxa"/>
          </w:tcPr>
          <w:p w14:paraId="1C7739ED">
            <w:pPr>
              <w:widowControl w:val="0"/>
              <w:jc w:val="both"/>
              <w:rPr>
                <w:rFonts w:hint="eastAsia" w:asciiTheme="minorEastAsia" w:hAnsiTheme="minorEastAsia" w:eastAsiaTheme="minorEastAsia" w:cstheme="minorEastAsia"/>
                <w:sz w:val="24"/>
                <w:szCs w:val="24"/>
                <w:highlight w:val="none"/>
              </w:rPr>
            </w:pPr>
          </w:p>
        </w:tc>
        <w:tc>
          <w:tcPr>
            <w:tcW w:w="1463" w:type="dxa"/>
          </w:tcPr>
          <w:p w14:paraId="24F60B5F">
            <w:pPr>
              <w:widowControl w:val="0"/>
              <w:jc w:val="both"/>
              <w:rPr>
                <w:rFonts w:hint="eastAsia" w:asciiTheme="minorEastAsia" w:hAnsiTheme="minorEastAsia" w:eastAsiaTheme="minorEastAsia" w:cstheme="minorEastAsia"/>
                <w:sz w:val="24"/>
                <w:szCs w:val="24"/>
                <w:highlight w:val="none"/>
              </w:rPr>
            </w:pPr>
          </w:p>
        </w:tc>
        <w:tc>
          <w:tcPr>
            <w:tcW w:w="1463" w:type="dxa"/>
          </w:tcPr>
          <w:p w14:paraId="0E1EFFED">
            <w:pPr>
              <w:widowControl w:val="0"/>
              <w:jc w:val="both"/>
              <w:rPr>
                <w:rFonts w:hint="eastAsia" w:asciiTheme="minorEastAsia" w:hAnsiTheme="minorEastAsia" w:eastAsiaTheme="minorEastAsia" w:cstheme="minorEastAsia"/>
                <w:sz w:val="24"/>
                <w:szCs w:val="24"/>
                <w:highlight w:val="none"/>
              </w:rPr>
            </w:pPr>
          </w:p>
        </w:tc>
        <w:tc>
          <w:tcPr>
            <w:tcW w:w="1463" w:type="dxa"/>
          </w:tcPr>
          <w:p w14:paraId="564CD45A">
            <w:pPr>
              <w:widowControl w:val="0"/>
              <w:jc w:val="both"/>
              <w:rPr>
                <w:rFonts w:hint="eastAsia" w:asciiTheme="minorEastAsia" w:hAnsiTheme="minorEastAsia" w:eastAsiaTheme="minorEastAsia" w:cstheme="minorEastAsia"/>
                <w:sz w:val="24"/>
                <w:szCs w:val="24"/>
                <w:highlight w:val="none"/>
              </w:rPr>
            </w:pPr>
          </w:p>
        </w:tc>
      </w:tr>
    </w:tbl>
    <w:p w14:paraId="07635C5F">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09DB57A5">
      <w:pPr>
        <w:jc w:val="center"/>
        <w:rPr>
          <w:rFonts w:hint="eastAsia" w:asciiTheme="minorEastAsia" w:hAnsiTheme="minorEastAsia" w:eastAsiaTheme="minorEastAsia" w:cstheme="minorEastAsia"/>
          <w:b/>
          <w:bCs/>
          <w:sz w:val="24"/>
          <w:szCs w:val="24"/>
          <w:highlight w:val="none"/>
        </w:rPr>
      </w:pPr>
    </w:p>
    <w:p w14:paraId="3EBE1215">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 xml:space="preserve">                      </w:t>
      </w:r>
      <w:r>
        <w:rPr>
          <w:rFonts w:hint="eastAsia" w:asciiTheme="minorEastAsia" w:hAnsiTheme="minorEastAsia" w:eastAsiaTheme="minorEastAsia" w:cstheme="minorEastAsia"/>
          <w:sz w:val="24"/>
          <w:szCs w:val="24"/>
          <w:highlight w:val="none"/>
        </w:rPr>
        <w:t>验收负责人：</w:t>
      </w:r>
    </w:p>
    <w:p w14:paraId="1CC891DD">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日  期：   年    月    日</w:t>
      </w:r>
    </w:p>
    <w:p w14:paraId="559083C8">
      <w:pPr>
        <w:jc w:val="center"/>
        <w:rPr>
          <w:rFonts w:hint="eastAsia" w:asciiTheme="minorEastAsia" w:hAnsiTheme="minorEastAsia" w:eastAsiaTheme="minorEastAsia" w:cstheme="minorEastAsia"/>
          <w:sz w:val="24"/>
          <w:szCs w:val="24"/>
          <w:highlight w:val="none"/>
        </w:rPr>
      </w:pPr>
    </w:p>
    <w:p w14:paraId="241C67D9">
      <w:pPr>
        <w:pStyle w:val="2"/>
        <w:rPr>
          <w:rFonts w:hint="eastAsia" w:asciiTheme="minorEastAsia" w:hAnsiTheme="minorEastAsia" w:eastAsiaTheme="minorEastAsia" w:cstheme="minorEastAsia"/>
          <w:sz w:val="24"/>
          <w:szCs w:val="24"/>
          <w:highlight w:val="none"/>
        </w:rPr>
      </w:pPr>
    </w:p>
    <w:p w14:paraId="70C8C1A7">
      <w:pPr>
        <w:pStyle w:val="3"/>
        <w:rPr>
          <w:rFonts w:hint="eastAsia" w:asciiTheme="minorEastAsia" w:hAnsiTheme="minorEastAsia" w:eastAsiaTheme="minorEastAsia" w:cstheme="minorEastAsia"/>
          <w:sz w:val="24"/>
          <w:szCs w:val="24"/>
          <w:highlight w:val="none"/>
        </w:rPr>
      </w:pPr>
    </w:p>
    <w:p w14:paraId="60BA0AFE">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设备</w:t>
      </w:r>
      <w:r>
        <w:rPr>
          <w:rFonts w:hint="eastAsia" w:asciiTheme="minorEastAsia" w:hAnsiTheme="minorEastAsia" w:eastAsiaTheme="minorEastAsia" w:cstheme="minorEastAsia"/>
          <w:sz w:val="24"/>
          <w:szCs w:val="24"/>
          <w:highlight w:val="none"/>
        </w:rPr>
        <w:t>安装负责人：</w:t>
      </w:r>
    </w:p>
    <w:p w14:paraId="5C449EB1">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日  期：   年    月    日</w:t>
      </w:r>
    </w:p>
    <w:p w14:paraId="4F88E622">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51F18D87">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附件</w:t>
      </w:r>
      <w:r>
        <w:rPr>
          <w:rFonts w:hint="eastAsia" w:asciiTheme="minorEastAsia" w:hAnsiTheme="minorEastAsia" w:eastAsiaTheme="minorEastAsia" w:cstheme="minorEastAsia"/>
          <w:b/>
          <w:bCs/>
          <w:sz w:val="24"/>
          <w:szCs w:val="24"/>
          <w:highlight w:val="none"/>
          <w:lang w:val="en-US" w:eastAsia="zh-CN"/>
        </w:rPr>
        <w:t>三</w:t>
      </w:r>
      <w:r>
        <w:rPr>
          <w:rFonts w:hint="eastAsia" w:asciiTheme="minorEastAsia" w:hAnsiTheme="minorEastAsia" w:eastAsiaTheme="minorEastAsia" w:cstheme="minorEastAsia"/>
          <w:b/>
          <w:bCs/>
          <w:sz w:val="24"/>
          <w:szCs w:val="24"/>
          <w:highlight w:val="none"/>
        </w:rPr>
        <w:t>：</w:t>
      </w:r>
    </w:p>
    <w:p w14:paraId="3ACF5274">
      <w:pPr>
        <w:tabs>
          <w:tab w:val="left" w:pos="1425"/>
        </w:tabs>
        <w:jc w:val="center"/>
        <w:outlineLvl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供应商十不准</w:t>
      </w:r>
    </w:p>
    <w:p w14:paraId="3E9B00E3">
      <w:pPr>
        <w:jc w:val="center"/>
        <w:rPr>
          <w:rFonts w:hint="eastAsia" w:asciiTheme="minorEastAsia" w:hAnsiTheme="minorEastAsia" w:eastAsiaTheme="minorEastAsia" w:cstheme="minorEastAsia"/>
          <w:sz w:val="24"/>
          <w:szCs w:val="24"/>
          <w:highlight w:val="none"/>
        </w:rPr>
      </w:pPr>
    </w:p>
    <w:p w14:paraId="5B7DC8A6">
      <w:pPr>
        <w:numPr>
          <w:ilvl w:val="0"/>
          <w:numId w:val="14"/>
        </w:numPr>
        <w:spacing w:line="560" w:lineRule="exact"/>
        <w:ind w:left="-11" w:firstLine="64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不准以任何理由向深圳市特区建工</w:t>
      </w:r>
      <w:r>
        <w:rPr>
          <w:rFonts w:hint="eastAsia" w:asciiTheme="minorEastAsia" w:hAnsiTheme="minorEastAsia" w:eastAsiaTheme="minorEastAsia" w:cstheme="minorEastAsia"/>
          <w:sz w:val="24"/>
          <w:szCs w:val="24"/>
          <w:highlight w:val="none"/>
          <w:lang w:val="en-US" w:eastAsia="zh-CN"/>
        </w:rPr>
        <w:t>园林生态科技集团有限公司</w:t>
      </w:r>
      <w:r>
        <w:rPr>
          <w:rFonts w:hint="eastAsia" w:asciiTheme="minorEastAsia" w:hAnsiTheme="minorEastAsia" w:eastAsiaTheme="minorEastAsia" w:cstheme="minorEastAsia"/>
          <w:sz w:val="24"/>
          <w:szCs w:val="24"/>
          <w:highlight w:val="none"/>
          <w:lang w:eastAsia="zh-CN"/>
        </w:rPr>
        <w:t>相关单位工作人员及其亲属提供可能影响客观、公正履职的宴请、礼金、礼品、有价证券等不正当利益。</w:t>
      </w:r>
    </w:p>
    <w:p w14:paraId="03876D63">
      <w:pPr>
        <w:numPr>
          <w:ilvl w:val="0"/>
          <w:numId w:val="14"/>
        </w:numPr>
        <w:spacing w:line="560" w:lineRule="exact"/>
        <w:ind w:left="-11" w:firstLine="64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不准以任何理由为深圳市特区建工园林生态科技集团有限公司相关单位工作人员及其亲属报销应由个人支付的费用。</w:t>
      </w:r>
    </w:p>
    <w:p w14:paraId="7D7C23B6">
      <w:pPr>
        <w:numPr>
          <w:ilvl w:val="0"/>
          <w:numId w:val="14"/>
        </w:numPr>
        <w:spacing w:line="560" w:lineRule="exact"/>
        <w:ind w:left="-11" w:firstLine="64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不准邀请深圳市特区建工园林生态科技集团有限公司相关单位工作人员及其亲属参加旅游、健身、娱乐等活动及出入私人会所等高档场所。</w:t>
      </w:r>
    </w:p>
    <w:p w14:paraId="1E72F887">
      <w:pPr>
        <w:numPr>
          <w:ilvl w:val="0"/>
          <w:numId w:val="14"/>
        </w:numPr>
        <w:spacing w:line="560" w:lineRule="exact"/>
        <w:ind w:left="-11" w:firstLine="64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不准为深圳市特区建工园林生态科技集团有限公司相关单位工作人员及其亲属接受他人利益输送创造条件或提供便利。</w:t>
      </w:r>
    </w:p>
    <w:p w14:paraId="3BB50CD0">
      <w:pPr>
        <w:numPr>
          <w:ilvl w:val="0"/>
          <w:numId w:val="14"/>
        </w:numPr>
        <w:spacing w:line="560" w:lineRule="exact"/>
        <w:ind w:left="-11" w:firstLine="64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不准安排与深圳市特区建工园林生态科技集团有限公司相关单位工作人员有近亲属关系的员工从事同一项目的对接或管理工作。</w:t>
      </w:r>
    </w:p>
    <w:p w14:paraId="2BB96320">
      <w:pPr>
        <w:numPr>
          <w:ilvl w:val="0"/>
          <w:numId w:val="14"/>
        </w:numPr>
        <w:spacing w:line="560" w:lineRule="exact"/>
        <w:ind w:left="-11" w:firstLine="64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不准与其他供应商相互串标、不准采取任何手段排挤其他供应商参与深圳市特区建工园林生态科技集团有限公司相关单位项目的公平竞争。</w:t>
      </w:r>
    </w:p>
    <w:p w14:paraId="021C9B1F">
      <w:pPr>
        <w:numPr>
          <w:ilvl w:val="0"/>
          <w:numId w:val="14"/>
        </w:numPr>
        <w:spacing w:line="560" w:lineRule="exact"/>
        <w:ind w:left="-11" w:firstLine="64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不准在材料设备采购中以次充好、虚高报价，在工程变更等合同履行环节中虚报工程量，弄虚作假，谋取不当利益。</w:t>
      </w:r>
    </w:p>
    <w:p w14:paraId="1E77953C">
      <w:pPr>
        <w:numPr>
          <w:ilvl w:val="0"/>
          <w:numId w:val="14"/>
        </w:numPr>
        <w:spacing w:line="560" w:lineRule="exact"/>
        <w:ind w:left="-11" w:firstLine="64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不准与深圳市特区建工园林生态科技集团有限公司相关单位工作人员一起进行麻将等赌博或有利益输送性质的活动。</w:t>
      </w:r>
    </w:p>
    <w:p w14:paraId="6CA4CF47">
      <w:pPr>
        <w:numPr>
          <w:ilvl w:val="0"/>
          <w:numId w:val="14"/>
        </w:numPr>
        <w:spacing w:line="560" w:lineRule="exact"/>
        <w:ind w:left="-11" w:firstLine="64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不准在深圳市特区建工园林生态科技集团有限公司信访调查、检查、回访工作中提供虚假信息。</w:t>
      </w:r>
    </w:p>
    <w:p w14:paraId="09B0B548">
      <w:pPr>
        <w:numPr>
          <w:ilvl w:val="0"/>
          <w:numId w:val="14"/>
        </w:numPr>
        <w:spacing w:line="560" w:lineRule="exact"/>
        <w:ind w:left="-11" w:firstLine="64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不准瞒报深圳市特区建工园林生态科技集团有限公司相关单位工作人员提出的吃、拿、卡、要等违规违纪问题，发现问题需及时向深圳市特区建工园林生态科技集团有限公司纪检监察人员举报。</w:t>
      </w:r>
    </w:p>
    <w:p w14:paraId="5B274094">
      <w:pPr>
        <w:spacing w:line="360" w:lineRule="auto"/>
        <w:rPr>
          <w:rFonts w:hint="eastAsia" w:asciiTheme="minorEastAsia" w:hAnsiTheme="minorEastAsia" w:eastAsiaTheme="minorEastAsia" w:cstheme="minorEastAsia"/>
          <w:b/>
          <w:bCs/>
          <w:sz w:val="24"/>
          <w:szCs w:val="24"/>
          <w:highlight w:val="none"/>
          <w:lang w:eastAsia="zh-CN"/>
        </w:rPr>
      </w:pPr>
    </w:p>
    <w:p w14:paraId="0BE55B2A">
      <w:pPr>
        <w:spacing w:line="400" w:lineRule="exact"/>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z w:val="24"/>
          <w:szCs w:val="24"/>
          <w:highlight w:val="none"/>
          <w:lang w:eastAsia="zh-CN"/>
        </w:rPr>
        <w:br w:type="page"/>
      </w:r>
      <w:r>
        <w:rPr>
          <w:rFonts w:hint="eastAsia" w:asciiTheme="minorEastAsia" w:hAnsiTheme="minorEastAsia" w:eastAsiaTheme="minorEastAsia" w:cstheme="minorEastAsia"/>
          <w:b/>
          <w:bCs/>
          <w:sz w:val="24"/>
          <w:szCs w:val="24"/>
          <w:highlight w:val="none"/>
          <w:lang w:eastAsia="zh-CN"/>
        </w:rPr>
        <w:t>附件</w:t>
      </w:r>
      <w:r>
        <w:rPr>
          <w:rFonts w:hint="eastAsia" w:asciiTheme="minorEastAsia" w:hAnsiTheme="minorEastAsia" w:eastAsiaTheme="minorEastAsia" w:cstheme="minorEastAsia"/>
          <w:b/>
          <w:bCs/>
          <w:sz w:val="24"/>
          <w:szCs w:val="24"/>
          <w:highlight w:val="none"/>
          <w:lang w:val="en-US" w:eastAsia="zh-CN"/>
        </w:rPr>
        <w:t>四</w:t>
      </w:r>
      <w:r>
        <w:rPr>
          <w:rFonts w:hint="eastAsia" w:asciiTheme="minorEastAsia" w:hAnsiTheme="minorEastAsia" w:eastAsiaTheme="minorEastAsia" w:cstheme="minorEastAsia"/>
          <w:b/>
          <w:bCs/>
          <w:sz w:val="24"/>
          <w:szCs w:val="24"/>
          <w:highlight w:val="none"/>
          <w:lang w:eastAsia="zh-CN"/>
        </w:rPr>
        <w:t xml:space="preserve">： </w:t>
      </w:r>
    </w:p>
    <w:p w14:paraId="78E71539">
      <w:pPr>
        <w:spacing w:line="400" w:lineRule="exact"/>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“树优良家风，建幸福家园”</w:t>
      </w:r>
    </w:p>
    <w:p w14:paraId="54262A09">
      <w:pPr>
        <w:spacing w:line="400" w:lineRule="exact"/>
        <w:jc w:val="righ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——特区建工集团助廉倡议书</w:t>
      </w:r>
    </w:p>
    <w:p w14:paraId="57277EB3">
      <w:pPr>
        <w:pStyle w:val="6"/>
        <w:spacing w:line="400" w:lineRule="exact"/>
        <w:ind w:firstLine="480"/>
        <w:rPr>
          <w:rFonts w:hint="eastAsia" w:asciiTheme="minorEastAsia" w:hAnsiTheme="minorEastAsia" w:eastAsiaTheme="minorEastAsia" w:cstheme="minorEastAsia"/>
          <w:sz w:val="24"/>
          <w:szCs w:val="24"/>
          <w:highlight w:val="none"/>
          <w:lang w:eastAsia="zh-CN"/>
        </w:rPr>
      </w:pPr>
    </w:p>
    <w:p w14:paraId="2134744B">
      <w:pPr>
        <w:spacing w:line="600" w:lineRule="exact"/>
        <w:ind w:firstLine="480" w:firstLineChars="200"/>
        <w:rPr>
          <w:rFonts w:hint="eastAsia" w:asciiTheme="minorEastAsia" w:hAnsiTheme="minorEastAsia" w:eastAsiaTheme="minorEastAsia" w:cstheme="minorEastAsia"/>
          <w:color w:val="191919"/>
          <w:sz w:val="24"/>
          <w:szCs w:val="24"/>
          <w:highlight w:val="none"/>
          <w:shd w:val="clear" w:color="auto" w:fill="FFFFFF"/>
          <w:lang w:eastAsia="zh-CN"/>
        </w:rPr>
      </w:pPr>
      <w:r>
        <w:rPr>
          <w:rFonts w:hint="eastAsia" w:asciiTheme="minorEastAsia" w:hAnsiTheme="minorEastAsia" w:eastAsiaTheme="minorEastAsia" w:cstheme="minorEastAsia"/>
          <w:color w:val="191919"/>
          <w:sz w:val="24"/>
          <w:szCs w:val="24"/>
          <w:highlight w:val="none"/>
          <w:shd w:val="clear" w:color="auto" w:fill="FFFFFF"/>
          <w:lang w:eastAsia="zh-CN"/>
        </w:rPr>
        <w:t>为深入贯彻落实习近平在总书记“注重家庭、注重家教、注重家风”的重要指示精神，充分发挥家庭在推动廉洁工作的独特作用，筑牢拒腐防变家庭防线，营造风清气正的家庭氛围，</w:t>
      </w:r>
      <w:r>
        <w:rPr>
          <w:rFonts w:hint="eastAsia" w:asciiTheme="minorEastAsia" w:hAnsiTheme="minorEastAsia" w:eastAsiaTheme="minorEastAsia" w:cstheme="minorEastAsia"/>
          <w:sz w:val="24"/>
          <w:szCs w:val="24"/>
          <w:highlight w:val="none"/>
          <w:shd w:val="clear" w:color="auto" w:fill="FFFFFF"/>
          <w:lang w:eastAsia="zh-CN"/>
        </w:rPr>
        <w:t>园林集团综合管理中心（纪检监察室）向各位领导干部</w:t>
      </w:r>
      <w:r>
        <w:rPr>
          <w:rFonts w:hint="eastAsia" w:asciiTheme="minorEastAsia" w:hAnsiTheme="minorEastAsia" w:eastAsiaTheme="minorEastAsia" w:cstheme="minorEastAsia"/>
          <w:color w:val="191919"/>
          <w:sz w:val="24"/>
          <w:szCs w:val="24"/>
          <w:highlight w:val="none"/>
          <w:shd w:val="clear" w:color="auto" w:fill="FFFFFF"/>
          <w:lang w:eastAsia="zh-CN"/>
        </w:rPr>
        <w:t>家属发出“树优良家风，建幸福家庭”的助廉倡议书：</w:t>
      </w:r>
    </w:p>
    <w:p w14:paraId="745E1DDC">
      <w:pPr>
        <w:numPr>
          <w:ilvl w:val="0"/>
          <w:numId w:val="15"/>
        </w:numPr>
        <w:spacing w:line="600" w:lineRule="exact"/>
        <w:ind w:firstLine="480" w:firstLineChars="200"/>
        <w:rPr>
          <w:rFonts w:hint="eastAsia" w:asciiTheme="minorEastAsia" w:hAnsiTheme="minorEastAsia" w:eastAsiaTheme="minorEastAsia" w:cstheme="minorEastAsia"/>
          <w:color w:val="191919"/>
          <w:sz w:val="24"/>
          <w:szCs w:val="24"/>
          <w:highlight w:val="none"/>
          <w:shd w:val="clear" w:color="auto" w:fill="FFFFFF"/>
          <w:lang w:eastAsia="zh-CN"/>
        </w:rPr>
      </w:pPr>
      <w:r>
        <w:rPr>
          <w:rFonts w:hint="eastAsia" w:asciiTheme="minorEastAsia" w:hAnsiTheme="minorEastAsia" w:eastAsiaTheme="minorEastAsia" w:cstheme="minorEastAsia"/>
          <w:color w:val="191919"/>
          <w:sz w:val="24"/>
          <w:szCs w:val="24"/>
          <w:highlight w:val="none"/>
          <w:shd w:val="clear" w:color="auto" w:fill="FFFFFF"/>
        </w:rPr>
        <w:t>立“以德治家”正确理念。</w:t>
      </w:r>
      <w:r>
        <w:rPr>
          <w:rFonts w:hint="eastAsia" w:asciiTheme="minorEastAsia" w:hAnsiTheme="minorEastAsia" w:eastAsiaTheme="minorEastAsia" w:cstheme="minorEastAsia"/>
          <w:color w:val="191919"/>
          <w:sz w:val="24"/>
          <w:szCs w:val="24"/>
          <w:highlight w:val="none"/>
          <w:shd w:val="clear" w:color="auto" w:fill="FFFFFF"/>
          <w:lang w:eastAsia="zh-CN"/>
        </w:rPr>
        <w:t>人无德不立，国无德不兴。作为廉内助，要加强自身修养，锤炼个人优秀品质，引导家人培育良好品德，在家庭营造风清气正的良好氛围，从家出发，造福社会。</w:t>
      </w:r>
    </w:p>
    <w:p w14:paraId="59AC7F1A">
      <w:pPr>
        <w:numPr>
          <w:ilvl w:val="0"/>
          <w:numId w:val="15"/>
        </w:numPr>
        <w:spacing w:line="600" w:lineRule="exact"/>
        <w:ind w:firstLine="480" w:firstLineChars="200"/>
        <w:rPr>
          <w:rFonts w:hint="eastAsia" w:asciiTheme="minorEastAsia" w:hAnsiTheme="minorEastAsia" w:eastAsiaTheme="minorEastAsia" w:cstheme="minorEastAsia"/>
          <w:color w:val="191919"/>
          <w:sz w:val="24"/>
          <w:szCs w:val="24"/>
          <w:highlight w:val="none"/>
          <w:shd w:val="clear" w:color="auto" w:fill="FFFFFF"/>
          <w:lang w:eastAsia="zh-CN"/>
        </w:rPr>
      </w:pPr>
      <w:r>
        <w:rPr>
          <w:rFonts w:hint="eastAsia" w:asciiTheme="minorEastAsia" w:hAnsiTheme="minorEastAsia" w:eastAsiaTheme="minorEastAsia" w:cstheme="minorEastAsia"/>
          <w:color w:val="191919"/>
          <w:sz w:val="24"/>
          <w:szCs w:val="24"/>
          <w:highlight w:val="none"/>
          <w:shd w:val="clear" w:color="auto" w:fill="FFFFFF"/>
          <w:lang w:eastAsia="zh-CN"/>
        </w:rPr>
        <w:t>树“以俭持家”优良家风。持身俭，则自立自尊，不求他人；治家俭，则家业兴隆，永世不堕；为官俭，则以简养廉，居高不败。作为廉内助，要培养勤俭节约的生活方式，倡导低碳健康的文明新风尚，培育良好家风家教。</w:t>
      </w:r>
    </w:p>
    <w:p w14:paraId="4994DDCA">
      <w:pPr>
        <w:numPr>
          <w:ilvl w:val="0"/>
          <w:numId w:val="15"/>
        </w:numPr>
        <w:spacing w:line="600" w:lineRule="exact"/>
        <w:ind w:firstLine="480" w:firstLineChars="200"/>
        <w:rPr>
          <w:rFonts w:hint="eastAsia" w:asciiTheme="minorEastAsia" w:hAnsiTheme="minorEastAsia" w:eastAsiaTheme="minorEastAsia" w:cstheme="minorEastAsia"/>
          <w:color w:val="191919"/>
          <w:sz w:val="24"/>
          <w:szCs w:val="24"/>
          <w:highlight w:val="none"/>
          <w:shd w:val="clear" w:color="auto" w:fill="FFFFFF"/>
          <w:lang w:eastAsia="zh-CN"/>
        </w:rPr>
      </w:pPr>
      <w:r>
        <w:rPr>
          <w:rFonts w:hint="eastAsia" w:asciiTheme="minorEastAsia" w:hAnsiTheme="minorEastAsia" w:eastAsiaTheme="minorEastAsia" w:cstheme="minorEastAsia"/>
          <w:color w:val="191919"/>
          <w:sz w:val="24"/>
          <w:szCs w:val="24"/>
          <w:highlight w:val="none"/>
          <w:shd w:val="clear" w:color="auto" w:fill="FFFFFF"/>
          <w:lang w:eastAsia="zh-CN"/>
        </w:rPr>
        <w:t>筑“以廉护家”的关键防线。每一个廉洁勤政的党员干部，都离不开家庭成员春风化雨般的亲情助廉和潜移默化的守廉情结影响。家庭成员要多吹廉洁“枕边风”，多念纪律“紧箍咒”，筑牢家庭廉洁的“防火墙”。</w:t>
      </w:r>
    </w:p>
    <w:p w14:paraId="6F0D63F3">
      <w:pPr>
        <w:spacing w:line="600" w:lineRule="exact"/>
        <w:ind w:firstLine="640"/>
        <w:rPr>
          <w:rFonts w:hint="eastAsia" w:asciiTheme="minorEastAsia" w:hAnsiTheme="minorEastAsia" w:eastAsiaTheme="minorEastAsia" w:cstheme="minorEastAsia"/>
          <w:color w:val="191919"/>
          <w:sz w:val="24"/>
          <w:szCs w:val="24"/>
          <w:highlight w:val="none"/>
          <w:shd w:val="clear" w:color="auto" w:fill="FFFFFF"/>
          <w:lang w:eastAsia="zh-CN"/>
        </w:rPr>
      </w:pPr>
      <w:r>
        <w:rPr>
          <w:rFonts w:hint="eastAsia" w:asciiTheme="minorEastAsia" w:hAnsiTheme="minorEastAsia" w:eastAsiaTheme="minorEastAsia" w:cstheme="minorEastAsia"/>
          <w:color w:val="191919"/>
          <w:sz w:val="24"/>
          <w:szCs w:val="24"/>
          <w:highlight w:val="none"/>
          <w:shd w:val="clear" w:color="auto" w:fill="FFFFFF"/>
          <w:lang w:eastAsia="zh-CN"/>
        </w:rPr>
        <w:t>让我们积极行动起来，努力打造以德治家、以俭持家、以廉护家的幸福家庭，让家庭成为我们梦想起航的地方，为特区建工发展和“双区”建设作出更多新贡献。</w:t>
      </w:r>
    </w:p>
    <w:p w14:paraId="6FC04BBF">
      <w:pPr>
        <w:spacing w:line="400" w:lineRule="exact"/>
        <w:ind w:firstLine="1680" w:firstLineChars="700"/>
        <w:rPr>
          <w:rFonts w:hint="eastAsia" w:asciiTheme="minorEastAsia" w:hAnsiTheme="minorEastAsia" w:eastAsiaTheme="minorEastAsia" w:cstheme="minorEastAsia"/>
          <w:color w:val="191919"/>
          <w:sz w:val="24"/>
          <w:szCs w:val="24"/>
          <w:highlight w:val="none"/>
          <w:shd w:val="clear" w:color="auto" w:fill="FFFFFF"/>
          <w:lang w:eastAsia="zh-CN"/>
        </w:rPr>
      </w:pPr>
    </w:p>
    <w:p w14:paraId="3F26E2EF">
      <w:pPr>
        <w:spacing w:line="400" w:lineRule="exact"/>
        <w:ind w:firstLine="1680" w:firstLineChars="700"/>
        <w:rPr>
          <w:rFonts w:hint="eastAsia" w:asciiTheme="minorEastAsia" w:hAnsiTheme="minorEastAsia" w:eastAsiaTheme="minorEastAsia" w:cstheme="minorEastAsia"/>
          <w:color w:val="191919"/>
          <w:sz w:val="24"/>
          <w:szCs w:val="24"/>
          <w:highlight w:val="none"/>
          <w:shd w:val="clear" w:color="auto" w:fill="FFFFFF"/>
          <w:lang w:eastAsia="zh-CN"/>
        </w:rPr>
      </w:pPr>
    </w:p>
    <w:p w14:paraId="51DCD11A">
      <w:pPr>
        <w:spacing w:line="400" w:lineRule="exact"/>
        <w:ind w:firstLine="1680" w:firstLineChars="700"/>
        <w:rPr>
          <w:rFonts w:hint="eastAsia" w:asciiTheme="minorEastAsia" w:hAnsiTheme="minorEastAsia" w:eastAsiaTheme="minorEastAsia" w:cstheme="minorEastAsia"/>
          <w:color w:val="191919"/>
          <w:sz w:val="24"/>
          <w:szCs w:val="24"/>
          <w:highlight w:val="none"/>
          <w:shd w:val="clear" w:color="auto" w:fill="FFFFFF"/>
          <w:lang w:eastAsia="zh-CN"/>
        </w:rPr>
      </w:pPr>
    </w:p>
    <w:p w14:paraId="1F4EA9F7">
      <w:pPr>
        <w:tabs>
          <w:tab w:val="left" w:pos="1425"/>
        </w:tabs>
        <w:spacing w:line="400" w:lineRule="exact"/>
        <w:jc w:val="right"/>
        <w:rPr>
          <w:rFonts w:hint="eastAsia" w:asciiTheme="minorEastAsia" w:hAnsiTheme="minorEastAsia" w:eastAsiaTheme="minorEastAsia" w:cstheme="minorEastAsia"/>
          <w:color w:val="191919"/>
          <w:sz w:val="24"/>
          <w:szCs w:val="24"/>
          <w:highlight w:val="none"/>
          <w:shd w:val="clear" w:color="auto" w:fill="FFFFFF"/>
          <w:lang w:eastAsia="zh-CN"/>
        </w:rPr>
      </w:pPr>
      <w:r>
        <w:rPr>
          <w:rFonts w:hint="eastAsia" w:asciiTheme="minorEastAsia" w:hAnsiTheme="minorEastAsia" w:eastAsiaTheme="minorEastAsia" w:cstheme="minorEastAsia"/>
          <w:color w:val="191919"/>
          <w:sz w:val="24"/>
          <w:szCs w:val="24"/>
          <w:highlight w:val="none"/>
          <w:shd w:val="clear" w:color="auto" w:fill="FFFFFF"/>
          <w:lang w:eastAsia="zh-CN"/>
        </w:rPr>
        <w:t>中共深圳市特区建工集团有限公司纪律检查委员会</w:t>
      </w:r>
    </w:p>
    <w:p w14:paraId="27DB2234">
      <w:pPr>
        <w:tabs>
          <w:tab w:val="left" w:pos="1425"/>
        </w:tabs>
        <w:spacing w:line="400" w:lineRule="exact"/>
        <w:rPr>
          <w:rFonts w:hint="eastAsia" w:asciiTheme="minorEastAsia" w:hAnsiTheme="minorEastAsia" w:eastAsiaTheme="minorEastAsia" w:cstheme="minorEastAsia"/>
          <w:color w:val="191919"/>
          <w:sz w:val="24"/>
          <w:szCs w:val="24"/>
          <w:highlight w:val="none"/>
          <w:shd w:val="clear" w:color="auto" w:fill="FFFFFF"/>
          <w:lang w:eastAsia="zh-CN"/>
        </w:rPr>
      </w:pPr>
    </w:p>
    <w:p w14:paraId="1CBBE495">
      <w:pPr>
        <w:tabs>
          <w:tab w:val="left" w:pos="1425"/>
        </w:tabs>
        <w:spacing w:line="400" w:lineRule="exact"/>
        <w:rPr>
          <w:rFonts w:hint="eastAsia" w:asciiTheme="minorEastAsia" w:hAnsiTheme="minorEastAsia" w:eastAsiaTheme="minorEastAsia" w:cstheme="minorEastAsia"/>
          <w:color w:val="191919"/>
          <w:sz w:val="24"/>
          <w:szCs w:val="24"/>
          <w:highlight w:val="none"/>
          <w:shd w:val="clear" w:color="auto" w:fill="FFFFFF"/>
          <w:lang w:eastAsia="zh-CN"/>
        </w:rPr>
      </w:pPr>
    </w:p>
    <w:p w14:paraId="6F3CEABD">
      <w:pPr>
        <w:tabs>
          <w:tab w:val="left" w:pos="1425"/>
        </w:tabs>
        <w:spacing w:line="400" w:lineRule="exact"/>
        <w:rPr>
          <w:rFonts w:hint="eastAsia" w:asciiTheme="minorEastAsia" w:hAnsiTheme="minorEastAsia" w:eastAsiaTheme="minorEastAsia" w:cstheme="minorEastAsia"/>
          <w:color w:val="191919"/>
          <w:sz w:val="24"/>
          <w:szCs w:val="24"/>
          <w:highlight w:val="none"/>
          <w:shd w:val="clear" w:color="auto" w:fill="FFFFFF"/>
          <w:lang w:eastAsia="zh-CN"/>
        </w:rPr>
      </w:pPr>
    </w:p>
    <w:p w14:paraId="0F0640DC">
      <w:pPr>
        <w:tabs>
          <w:tab w:val="left" w:pos="1425"/>
        </w:tabs>
        <w:spacing w:line="400" w:lineRule="exact"/>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br w:type="page"/>
      </w:r>
      <w:r>
        <w:rPr>
          <w:rFonts w:hint="eastAsia" w:asciiTheme="minorEastAsia" w:hAnsiTheme="minorEastAsia" w:eastAsiaTheme="minorEastAsia" w:cstheme="minorEastAsia"/>
          <w:b/>
          <w:bCs/>
          <w:sz w:val="24"/>
          <w:szCs w:val="24"/>
          <w:highlight w:val="none"/>
          <w:lang w:eastAsia="zh-CN"/>
        </w:rPr>
        <w:t>附件</w:t>
      </w:r>
      <w:r>
        <w:rPr>
          <w:rFonts w:hint="eastAsia" w:asciiTheme="minorEastAsia" w:hAnsiTheme="minorEastAsia" w:eastAsiaTheme="minorEastAsia" w:cstheme="minorEastAsia"/>
          <w:b/>
          <w:bCs/>
          <w:sz w:val="24"/>
          <w:szCs w:val="24"/>
          <w:highlight w:val="none"/>
          <w:lang w:val="en-US" w:eastAsia="zh-CN"/>
        </w:rPr>
        <w:t>五</w:t>
      </w:r>
      <w:r>
        <w:rPr>
          <w:rFonts w:hint="eastAsia" w:asciiTheme="minorEastAsia" w:hAnsiTheme="minorEastAsia" w:eastAsiaTheme="minorEastAsia" w:cstheme="minorEastAsia"/>
          <w:b/>
          <w:bCs/>
          <w:sz w:val="24"/>
          <w:szCs w:val="24"/>
          <w:highlight w:val="none"/>
          <w:lang w:eastAsia="zh-CN"/>
        </w:rPr>
        <w:t>：</w:t>
      </w:r>
    </w:p>
    <w:p w14:paraId="7DF2F67C">
      <w:pPr>
        <w:tabs>
          <w:tab w:val="left" w:pos="1425"/>
        </w:tabs>
        <w:spacing w:line="400" w:lineRule="exact"/>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供应商廉洁自律承诺书</w:t>
      </w:r>
    </w:p>
    <w:p w14:paraId="6CE6E695">
      <w:pPr>
        <w:pStyle w:val="2"/>
        <w:spacing w:line="400" w:lineRule="exact"/>
        <w:rPr>
          <w:rFonts w:hint="eastAsia" w:asciiTheme="minorEastAsia" w:hAnsiTheme="minorEastAsia" w:eastAsiaTheme="minorEastAsia" w:cstheme="minorEastAsia"/>
          <w:sz w:val="24"/>
          <w:szCs w:val="24"/>
          <w:highlight w:val="none"/>
          <w:lang w:eastAsia="zh-CN"/>
        </w:rPr>
      </w:pPr>
    </w:p>
    <w:p w14:paraId="7128E5ED">
      <w:pPr>
        <w:spacing w:line="6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进一步增强廉洁自律意识，规范自身廉洁从业行为，我司做出以下承诺：</w:t>
      </w:r>
    </w:p>
    <w:p w14:paraId="4909A26B">
      <w:pPr>
        <w:numPr>
          <w:ilvl w:val="0"/>
          <w:numId w:val="16"/>
        </w:numPr>
        <w:spacing w:line="600" w:lineRule="exact"/>
        <w:ind w:left="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不以任何理由向采购人及相关单位工作人员及其亲属提供可能影响客观、公正的宴请、礼金、礼品等不正当利益。</w:t>
      </w:r>
    </w:p>
    <w:p w14:paraId="11A8BD50">
      <w:pPr>
        <w:numPr>
          <w:ilvl w:val="0"/>
          <w:numId w:val="16"/>
        </w:numPr>
        <w:spacing w:line="600" w:lineRule="exact"/>
        <w:ind w:left="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不以任何理由为采购人及相关单位工作人员报销应由个人支付的费用。</w:t>
      </w:r>
    </w:p>
    <w:p w14:paraId="117362C2">
      <w:pPr>
        <w:numPr>
          <w:ilvl w:val="0"/>
          <w:numId w:val="16"/>
        </w:numPr>
        <w:spacing w:line="600" w:lineRule="exact"/>
        <w:ind w:left="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不邀请采购人及相关单位工作人员参加旅游、健身、娱乐等活动及出入私人会所等高档场所。</w:t>
      </w:r>
    </w:p>
    <w:p w14:paraId="12A064E7">
      <w:pPr>
        <w:numPr>
          <w:ilvl w:val="0"/>
          <w:numId w:val="16"/>
        </w:numPr>
        <w:spacing w:line="600" w:lineRule="exact"/>
        <w:ind w:left="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不为采购人及相关单位工作人员及其亲属接受他人利益输送创造条件或提供便利。</w:t>
      </w:r>
    </w:p>
    <w:p w14:paraId="2E4B9CC7">
      <w:pPr>
        <w:numPr>
          <w:ilvl w:val="0"/>
          <w:numId w:val="16"/>
        </w:numPr>
        <w:spacing w:line="600" w:lineRule="exact"/>
        <w:ind w:left="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不安排与采购人及相关单位工作人员有近亲属关系的员工从事同一项目的对接或管理工作。</w:t>
      </w:r>
    </w:p>
    <w:p w14:paraId="25CA543D">
      <w:pPr>
        <w:numPr>
          <w:ilvl w:val="0"/>
          <w:numId w:val="16"/>
        </w:numPr>
        <w:spacing w:line="600" w:lineRule="exact"/>
        <w:ind w:left="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不与其他供应商相互串标、不采取任何手段排挤其他供应商参与采购人采购项目的公平竞争。</w:t>
      </w:r>
    </w:p>
    <w:p w14:paraId="5E0E68BF">
      <w:pPr>
        <w:numPr>
          <w:ilvl w:val="0"/>
          <w:numId w:val="16"/>
        </w:numPr>
        <w:spacing w:line="600" w:lineRule="exact"/>
        <w:ind w:left="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我司若中标，绝不在合同履行环节弄虚作假，谋取不当利益。</w:t>
      </w:r>
    </w:p>
    <w:p w14:paraId="69D55741">
      <w:pPr>
        <w:numPr>
          <w:ilvl w:val="0"/>
          <w:numId w:val="16"/>
        </w:numPr>
        <w:spacing w:line="600" w:lineRule="exact"/>
        <w:ind w:left="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不与采购人及相关单位工作人员一起进行麻将等赌博或有利益输送性质的活动。</w:t>
      </w:r>
    </w:p>
    <w:p w14:paraId="388139B9">
      <w:pPr>
        <w:numPr>
          <w:ilvl w:val="0"/>
          <w:numId w:val="16"/>
        </w:numPr>
        <w:spacing w:line="600" w:lineRule="exact"/>
        <w:ind w:left="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全力配合采购人信访调查、检查及回访工作，不提供虚假信息。</w:t>
      </w:r>
    </w:p>
    <w:p w14:paraId="50903144">
      <w:pPr>
        <w:numPr>
          <w:ilvl w:val="0"/>
          <w:numId w:val="16"/>
        </w:numPr>
        <w:spacing w:line="600" w:lineRule="exact"/>
        <w:ind w:left="0"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对于采购人及相关单位工作人员提出的吃、拿、卡、要等违纪违法问题，须及时向特区建工集团纪检监察部门举报。</w:t>
      </w:r>
    </w:p>
    <w:p w14:paraId="46BEED59">
      <w:pPr>
        <w:spacing w:line="400" w:lineRule="exact"/>
        <w:rPr>
          <w:rFonts w:hint="eastAsia" w:asciiTheme="minorEastAsia" w:hAnsiTheme="minorEastAsia" w:eastAsiaTheme="minorEastAsia" w:cstheme="minorEastAsia"/>
          <w:sz w:val="24"/>
          <w:szCs w:val="24"/>
          <w:highlight w:val="none"/>
          <w:lang w:eastAsia="zh-CN"/>
        </w:rPr>
      </w:pPr>
    </w:p>
    <w:p w14:paraId="25A43B89">
      <w:pPr>
        <w:spacing w:line="400" w:lineRule="exact"/>
        <w:ind w:left="3780" w:leftChars="1800"/>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highlight w:val="none"/>
          <w:lang w:eastAsia="zh-CN"/>
        </w:rPr>
        <w:t>单位名称（盖章）：</w:t>
      </w:r>
    </w:p>
    <w:p w14:paraId="288CC632">
      <w:pPr>
        <w:spacing w:line="400" w:lineRule="exact"/>
        <w:ind w:left="3780" w:leftChars="18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法定代表人或授权委托人（签字）：</w:t>
      </w:r>
    </w:p>
    <w:p w14:paraId="3B9C3452">
      <w:pPr>
        <w:spacing w:line="400" w:lineRule="exact"/>
        <w:ind w:left="3780" w:leftChars="18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日期：   年   月   日</w:t>
      </w:r>
      <w:bookmarkStart w:id="0" w:name="_Toc10650_WPSOffice_Level2"/>
    </w:p>
    <w:p w14:paraId="7290048E">
      <w:pPr>
        <w:tabs>
          <w:tab w:val="left" w:pos="1425"/>
        </w:tabs>
        <w:spacing w:line="400" w:lineRule="exact"/>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br w:type="page"/>
      </w:r>
      <w:r>
        <w:rPr>
          <w:rFonts w:hint="eastAsia" w:asciiTheme="minorEastAsia" w:hAnsiTheme="minorEastAsia" w:eastAsiaTheme="minorEastAsia" w:cstheme="minorEastAsia"/>
          <w:b/>
          <w:bCs/>
          <w:sz w:val="24"/>
          <w:szCs w:val="24"/>
          <w:highlight w:val="none"/>
          <w:lang w:eastAsia="zh-CN"/>
        </w:rPr>
        <w:t>附件</w:t>
      </w:r>
      <w:r>
        <w:rPr>
          <w:rFonts w:hint="eastAsia" w:asciiTheme="minorEastAsia" w:hAnsiTheme="minorEastAsia" w:eastAsiaTheme="minorEastAsia" w:cstheme="minorEastAsia"/>
          <w:b/>
          <w:bCs/>
          <w:sz w:val="24"/>
          <w:szCs w:val="24"/>
          <w:highlight w:val="none"/>
          <w:lang w:val="en-US" w:eastAsia="zh-CN"/>
        </w:rPr>
        <w:t>六</w:t>
      </w:r>
      <w:r>
        <w:rPr>
          <w:rFonts w:hint="eastAsia" w:asciiTheme="minorEastAsia" w:hAnsiTheme="minorEastAsia" w:eastAsiaTheme="minorEastAsia" w:cstheme="minorEastAsia"/>
          <w:b/>
          <w:bCs/>
          <w:sz w:val="24"/>
          <w:szCs w:val="24"/>
          <w:highlight w:val="none"/>
          <w:lang w:eastAsia="zh-CN"/>
        </w:rPr>
        <w:t>：</w:t>
      </w:r>
    </w:p>
    <w:p w14:paraId="1A0BA277">
      <w:pPr>
        <w:spacing w:line="400" w:lineRule="exact"/>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廉洁自律协议</w:t>
      </w:r>
      <w:bookmarkEnd w:id="0"/>
    </w:p>
    <w:p w14:paraId="4B6471D7">
      <w:pPr>
        <w:spacing w:line="360" w:lineRule="exact"/>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甲方： 深圳市特区建工园林生态科技集团有限公司</w:t>
      </w:r>
    </w:p>
    <w:p w14:paraId="6770314D">
      <w:pPr>
        <w:spacing w:line="360" w:lineRule="exact"/>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乙方：               </w:t>
      </w:r>
    </w:p>
    <w:p w14:paraId="56203BE6">
      <w:pPr>
        <w:spacing w:line="360" w:lineRule="exact"/>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为营造良好的经营、合作环境，保证甲、乙双方（包括双方关联单位）及双方工作人员在业务或项目往来中保持廉洁，防范腐败，结合实际情况，经双方收好协商达成以下廉洁自律协议：</w:t>
      </w:r>
    </w:p>
    <w:p w14:paraId="2DA6DA18">
      <w:pPr>
        <w:spacing w:line="3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第一条  </w:t>
      </w:r>
      <w:r>
        <w:rPr>
          <w:rFonts w:hint="eastAsia" w:asciiTheme="minorEastAsia" w:hAnsiTheme="minorEastAsia" w:eastAsiaTheme="minorEastAsia" w:cstheme="minorEastAsia"/>
          <w:sz w:val="24"/>
          <w:szCs w:val="24"/>
          <w:highlight w:val="none"/>
          <w:lang w:eastAsia="zh-CN"/>
        </w:rPr>
        <w:t>双方的权利和</w:t>
      </w:r>
      <w:r>
        <w:rPr>
          <w:rFonts w:hint="eastAsia" w:asciiTheme="minorEastAsia" w:hAnsiTheme="minorEastAsia" w:eastAsiaTheme="minorEastAsia" w:cstheme="minorEastAsia"/>
          <w:bCs/>
          <w:sz w:val="24"/>
          <w:szCs w:val="24"/>
          <w:highlight w:val="none"/>
          <w:lang w:eastAsia="zh-CN"/>
        </w:rPr>
        <w:t>责任</w:t>
      </w:r>
    </w:p>
    <w:p w14:paraId="7509A800">
      <w:pPr>
        <w:spacing w:line="3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（一）严格遵守国家法律法规、廉洁从业规定以及相关行业规定。</w:t>
      </w:r>
    </w:p>
    <w:p w14:paraId="0E7F0DAD">
      <w:pPr>
        <w:spacing w:line="3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（二）严格执行一切合同文件及本协议条款，自觉履行权利和责任。</w:t>
      </w:r>
    </w:p>
    <w:p w14:paraId="3B3C5B1F">
      <w:pPr>
        <w:spacing w:line="3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（三）双方的业务活动坚持公平、公开、公正和诚信的原则（法律法规另有规定除外），不得损害国家、集体和对方利益，不得违反工程建设管理的有关规章制度。</w:t>
      </w:r>
    </w:p>
    <w:p w14:paraId="158093B9">
      <w:pPr>
        <w:spacing w:line="3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（四）建立健全廉洁制度，开展廉洁教育，设立廉政告示牌，公布监督部门和电话，监督并认真查处违纪违法行为。</w:t>
      </w:r>
    </w:p>
    <w:p w14:paraId="00AFE36C">
      <w:pPr>
        <w:spacing w:line="3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（五）发现对方在业务活动中有违反本协议廉政规定的行为倾向，有权利和义务及时给予对方提醒和纠正。</w:t>
      </w:r>
    </w:p>
    <w:p w14:paraId="76B45716">
      <w:pPr>
        <w:spacing w:line="3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（六）发现对方有违反本协议廉政规定的行为，应及时向指定的监督部门举报控告，也有权向其上级有关部门举报、建议给予处理并要求告知处理结果的权利。</w:t>
      </w:r>
    </w:p>
    <w:p w14:paraId="7F7DD150">
      <w:pPr>
        <w:spacing w:line="3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（七）双方应互相配合，积极开展廉洁教育、学习和宣传活动，有配合对方履行本协议的责任。</w:t>
      </w:r>
    </w:p>
    <w:p w14:paraId="18D3EC37">
      <w:pPr>
        <w:spacing w:line="3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（八）一方有不履行或不完全履行廉洁宣传教育责任的，另一方有权利和责任要求对方履行和督促改进。</w:t>
      </w:r>
    </w:p>
    <w:p w14:paraId="1519C117">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第二条  甲方的责任</w:t>
      </w:r>
    </w:p>
    <w:p w14:paraId="1811514C">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（一）甲方及其工作人员不得要求乙方购买合同约定以外的商品、物品、设备和服务等。</w:t>
      </w:r>
    </w:p>
    <w:p w14:paraId="6B687E17">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（二）甲方及其工作人员不得索要、接受乙方违反法规赠送的现金、有价证券、支付凭证或股份等各种财物；不得索要、接受乙方违反法规提供的通讯工具、交通工具、高档办公用品。</w:t>
      </w:r>
    </w:p>
    <w:p w14:paraId="22BA1C03">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（三）甲方及其工作人员不得索要、接受乙方对个人或配偶子女等亲属亲友的馈赠、赞助、费用报销、装修、旅游、疗养、健身以及各种高消费娱乐等活动。</w:t>
      </w:r>
    </w:p>
    <w:p w14:paraId="58D1690B">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四）甲方及其工作人员不得索要、接受乙方为本人配偶子女等亲属亲友提供工作的安排、照顾和便利等；本人及配偶子女等亲属亲友不得从事与乙方有关的工程材料设备供应、工程分包与施工、劳务等经济活动。</w:t>
      </w:r>
    </w:p>
    <w:p w14:paraId="74B7AF8C">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第三条  乙方的责任</w:t>
      </w:r>
    </w:p>
    <w:p w14:paraId="45D684EC">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（一）乙方不得以任何名义为甲方及其工作人员报销应由甲方单位或个人支付的任何费用。</w:t>
      </w:r>
    </w:p>
    <w:p w14:paraId="51B61D56">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（二）乙方不得接受甲方及其工作人员要求购买合同约定以外的商品、物品、设备和服务等要求。</w:t>
      </w:r>
    </w:p>
    <w:p w14:paraId="529050A5">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（三）乙方不得以任何理由违反法规向甲方及其工作人员赠送现金、有价证券、支付凭证或股份等各种财物；不得违反法规向甲方及其工作人员提供通讯工具、交通工具、高档办公用品等。</w:t>
      </w:r>
    </w:p>
    <w:p w14:paraId="0572B312">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（四）乙方不得对甲方人员个人或其配偶子女等亲属亲友提供馈赠、赞助、费用报销、装修、旅游、疗养、健身以及各种高消费娱乐等活动。</w:t>
      </w:r>
    </w:p>
    <w:p w14:paraId="1C4C66F3">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五）乙方不得为甲方人员个人的配偶子女等亲属亲友提供工作的安排、照顾和便利等；不得接受甲方人员个人及配偶子女等亲属亲友从事与项目承担单位有关的工程材料设备供应、工程分包与施工、劳务等经济活动的要求。</w:t>
      </w:r>
    </w:p>
    <w:p w14:paraId="3A162E9A">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第四条  违约责任</w:t>
      </w:r>
    </w:p>
    <w:p w14:paraId="000697E0">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（一）甲方人员违反本协议第一条和第二条规定的，由甲方按照管理权限，依据有关法律和规定给予党纪、政纪处分或组织处理，涉嫌犯罪的，移交司法机关追究刑事责任；给乙方造成经济损失的，应予赔偿。</w:t>
      </w:r>
    </w:p>
    <w:p w14:paraId="17FD1C42">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（二）乙方人员违反本协议第一条和第三条规定的，由乙方按照管理权限，依据有关法律和规定给予党纪、政纪处分或组织处理，涉嫌犯罪的，移交司法机关追究刑事责任；给甲方造成经济损失的，应予赔偿。</w:t>
      </w:r>
    </w:p>
    <w:p w14:paraId="6431C613">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第五条 监督与联络</w:t>
      </w:r>
    </w:p>
    <w:p w14:paraId="6488B3F1">
      <w:pPr>
        <w:spacing w:line="3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本合同由双方的纪检监察部门负责监督。支持对违纪违规行为的实名举报，接到实名举报，甲乙双方必须按照受理权限和程序规定进行调查并向举报人进行回复。</w:t>
      </w:r>
    </w:p>
    <w:p w14:paraId="6B6C0189">
      <w:pPr>
        <w:wordWrap w:val="0"/>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甲方指定由</w:t>
      </w:r>
      <w:r>
        <w:rPr>
          <w:rFonts w:hint="eastAsia" w:asciiTheme="minorEastAsia" w:hAnsiTheme="minorEastAsia" w:eastAsiaTheme="minorEastAsia" w:cstheme="minorEastAsia"/>
          <w:bCs/>
          <w:sz w:val="24"/>
          <w:szCs w:val="24"/>
          <w:highlight w:val="none"/>
          <w:u w:val="single"/>
          <w:lang w:eastAsia="zh-CN"/>
        </w:rPr>
        <w:t xml:space="preserve"> 综合管理中心   </w:t>
      </w:r>
      <w:r>
        <w:rPr>
          <w:rFonts w:hint="eastAsia" w:asciiTheme="minorEastAsia" w:hAnsiTheme="minorEastAsia" w:eastAsiaTheme="minorEastAsia" w:cstheme="minorEastAsia"/>
          <w:bCs/>
          <w:sz w:val="24"/>
          <w:szCs w:val="24"/>
          <w:highlight w:val="none"/>
          <w:lang w:eastAsia="zh-CN"/>
        </w:rPr>
        <w:t>作为甲方执行本协议的监督部门，监督电话：</w:t>
      </w:r>
      <w:r>
        <w:rPr>
          <w:rFonts w:hint="eastAsia" w:asciiTheme="minorEastAsia" w:hAnsiTheme="minorEastAsia" w:eastAsiaTheme="minorEastAsia" w:cstheme="minorEastAsia"/>
          <w:bCs/>
          <w:sz w:val="24"/>
          <w:szCs w:val="24"/>
          <w:highlight w:val="none"/>
          <w:u w:val="single"/>
          <w:lang w:eastAsia="zh-CN"/>
        </w:rPr>
        <w:t xml:space="preserve">    </w:t>
      </w:r>
      <w:r>
        <w:rPr>
          <w:rFonts w:hint="eastAsia" w:asciiTheme="minorEastAsia" w:hAnsiTheme="minorEastAsia" w:eastAsiaTheme="minorEastAsia" w:cstheme="minorEastAsia"/>
          <w:sz w:val="24"/>
          <w:szCs w:val="24"/>
          <w:highlight w:val="none"/>
          <w:u w:val="single"/>
          <w:lang w:eastAsia="zh-CN"/>
        </w:rPr>
        <w:t xml:space="preserve">0755-27108582 </w:t>
      </w:r>
      <w:r>
        <w:rPr>
          <w:rFonts w:hint="eastAsia" w:asciiTheme="minorEastAsia" w:hAnsiTheme="minorEastAsia" w:eastAsiaTheme="minorEastAsia" w:cstheme="minorEastAsia"/>
          <w:bCs/>
          <w:sz w:val="24"/>
          <w:szCs w:val="24"/>
          <w:highlight w:val="none"/>
          <w:lang w:eastAsia="zh-CN"/>
        </w:rPr>
        <w:t xml:space="preserve">  （工作日08:00-17：30），指定</w:t>
      </w:r>
      <w:r>
        <w:rPr>
          <w:rFonts w:hint="eastAsia" w:asciiTheme="minorEastAsia" w:hAnsiTheme="minorEastAsia" w:eastAsiaTheme="minorEastAsia" w:cstheme="minorEastAsia"/>
          <w:bCs/>
          <w:sz w:val="24"/>
          <w:szCs w:val="24"/>
          <w:highlight w:val="none"/>
          <w:u w:val="single"/>
          <w:lang w:eastAsia="zh-CN"/>
        </w:rPr>
        <w:t xml:space="preserve"> 黄佳仪</w:t>
      </w:r>
      <w:r>
        <w:rPr>
          <w:rFonts w:hint="eastAsia" w:asciiTheme="minorEastAsia" w:hAnsiTheme="minorEastAsia" w:eastAsiaTheme="minorEastAsia" w:cstheme="minorEastAsia"/>
          <w:bCs/>
          <w:sz w:val="24"/>
          <w:szCs w:val="24"/>
          <w:highlight w:val="none"/>
          <w:lang w:eastAsia="zh-CN"/>
        </w:rPr>
        <w:t xml:space="preserve"> 为廉政联络员，通讯地址：</w:t>
      </w:r>
      <w:r>
        <w:rPr>
          <w:rFonts w:hint="eastAsia" w:asciiTheme="minorEastAsia" w:hAnsiTheme="minorEastAsia" w:eastAsiaTheme="minorEastAsia" w:cstheme="minorEastAsia"/>
          <w:bCs/>
          <w:sz w:val="24"/>
          <w:szCs w:val="24"/>
          <w:highlight w:val="none"/>
          <w:u w:val="single"/>
          <w:lang w:eastAsia="zh-CN"/>
        </w:rPr>
        <w:t xml:space="preserve">深圳市光明区凤凰街道塘家社区光明高新产业园邦凯科技工业园(一期)1#办公楼四层 </w:t>
      </w:r>
      <w:r>
        <w:rPr>
          <w:rFonts w:hint="eastAsia" w:asciiTheme="minorEastAsia" w:hAnsiTheme="minorEastAsia" w:eastAsiaTheme="minorEastAsia" w:cstheme="minorEastAsia"/>
          <w:bCs/>
          <w:sz w:val="24"/>
          <w:szCs w:val="24"/>
          <w:highlight w:val="none"/>
          <w:lang w:eastAsia="zh-CN"/>
        </w:rPr>
        <w:t>。</w:t>
      </w:r>
    </w:p>
    <w:p w14:paraId="2983CE92">
      <w:pPr>
        <w:wordWrap w:val="0"/>
        <w:spacing w:line="360" w:lineRule="exact"/>
        <w:ind w:left="479" w:leftChars="228"/>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乙方指定由</w:t>
      </w:r>
      <w:r>
        <w:rPr>
          <w:rFonts w:hint="eastAsia" w:asciiTheme="minorEastAsia" w:hAnsiTheme="minorEastAsia" w:eastAsiaTheme="minorEastAsia" w:cstheme="minorEastAsia"/>
          <w:bCs/>
          <w:sz w:val="24"/>
          <w:szCs w:val="24"/>
          <w:highlight w:val="none"/>
          <w:u w:val="single"/>
          <w:lang w:eastAsia="zh-CN"/>
        </w:rPr>
        <w:t xml:space="preserve">        </w:t>
      </w:r>
      <w:r>
        <w:rPr>
          <w:rFonts w:hint="eastAsia" w:asciiTheme="minorEastAsia" w:hAnsiTheme="minorEastAsia" w:eastAsiaTheme="minorEastAsia" w:cstheme="minorEastAsia"/>
          <w:bCs/>
          <w:sz w:val="24"/>
          <w:szCs w:val="24"/>
          <w:highlight w:val="none"/>
          <w:lang w:eastAsia="zh-CN"/>
        </w:rPr>
        <w:t>作为乙方执行本协议的监督部门，监督电话：</w:t>
      </w:r>
      <w:r>
        <w:rPr>
          <w:rFonts w:hint="eastAsia" w:asciiTheme="minorEastAsia" w:hAnsiTheme="minorEastAsia" w:eastAsiaTheme="minorEastAsia" w:cstheme="minorEastAsia"/>
          <w:bCs/>
          <w:sz w:val="24"/>
          <w:szCs w:val="24"/>
          <w:highlight w:val="none"/>
          <w:u w:val="single"/>
          <w:lang w:eastAsia="zh-CN"/>
        </w:rPr>
        <w:t xml:space="preserve">        </w:t>
      </w:r>
      <w:r>
        <w:rPr>
          <w:rFonts w:hint="eastAsia" w:asciiTheme="minorEastAsia" w:hAnsiTheme="minorEastAsia" w:eastAsiaTheme="minorEastAsia" w:cstheme="minorEastAsia"/>
          <w:bCs/>
          <w:sz w:val="24"/>
          <w:szCs w:val="24"/>
          <w:highlight w:val="none"/>
          <w:lang w:eastAsia="zh-CN"/>
        </w:rPr>
        <w:t>（工作日08:00-17：30），指定</w:t>
      </w:r>
      <w:r>
        <w:rPr>
          <w:rFonts w:hint="eastAsia" w:asciiTheme="minorEastAsia" w:hAnsiTheme="minorEastAsia" w:eastAsiaTheme="minorEastAsia" w:cstheme="minorEastAsia"/>
          <w:bCs/>
          <w:sz w:val="24"/>
          <w:szCs w:val="24"/>
          <w:highlight w:val="none"/>
          <w:u w:val="single"/>
          <w:lang w:eastAsia="zh-CN"/>
        </w:rPr>
        <w:t xml:space="preserve">        </w:t>
      </w:r>
      <w:r>
        <w:rPr>
          <w:rFonts w:hint="eastAsia" w:asciiTheme="minorEastAsia" w:hAnsiTheme="minorEastAsia" w:eastAsiaTheme="minorEastAsia" w:cstheme="minorEastAsia"/>
          <w:bCs/>
          <w:sz w:val="24"/>
          <w:szCs w:val="24"/>
          <w:highlight w:val="none"/>
          <w:lang w:eastAsia="zh-CN"/>
        </w:rPr>
        <w:t>为廉政联络员，通讯地址：</w:t>
      </w:r>
      <w:r>
        <w:rPr>
          <w:rFonts w:hint="eastAsia" w:asciiTheme="minorEastAsia" w:hAnsiTheme="minorEastAsia" w:eastAsiaTheme="minorEastAsia" w:cstheme="minorEastAsia"/>
          <w:bCs/>
          <w:sz w:val="24"/>
          <w:szCs w:val="24"/>
          <w:highlight w:val="none"/>
          <w:u w:val="single"/>
          <w:lang w:eastAsia="zh-CN"/>
        </w:rPr>
        <w:t xml:space="preserve">        </w:t>
      </w:r>
      <w:r>
        <w:rPr>
          <w:rFonts w:hint="eastAsia" w:asciiTheme="minorEastAsia" w:hAnsiTheme="minorEastAsia" w:eastAsiaTheme="minorEastAsia" w:cstheme="minorEastAsia"/>
          <w:bCs/>
          <w:sz w:val="24"/>
          <w:szCs w:val="24"/>
          <w:highlight w:val="none"/>
          <w:lang w:eastAsia="zh-CN"/>
        </w:rPr>
        <w:t>。</w:t>
      </w:r>
    </w:p>
    <w:p w14:paraId="40987CCC">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第六条 协议份数</w:t>
      </w:r>
    </w:p>
    <w:p w14:paraId="34F87C12">
      <w:pPr>
        <w:spacing w:line="36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本协议作为合同的附件，一式</w:t>
      </w:r>
      <w:r>
        <w:rPr>
          <w:rFonts w:hint="eastAsia" w:asciiTheme="minorEastAsia" w:hAnsiTheme="minorEastAsia" w:eastAsiaTheme="minorEastAsia" w:cstheme="minorEastAsia"/>
          <w:bCs/>
          <w:sz w:val="24"/>
          <w:szCs w:val="24"/>
          <w:highlight w:val="none"/>
          <w:u w:val="single"/>
          <w:lang w:eastAsia="zh-CN"/>
        </w:rPr>
        <w:t xml:space="preserve">  陆  </w:t>
      </w:r>
      <w:r>
        <w:rPr>
          <w:rFonts w:hint="eastAsia" w:asciiTheme="minorEastAsia" w:hAnsiTheme="minorEastAsia" w:eastAsiaTheme="minorEastAsia" w:cstheme="minorEastAsia"/>
          <w:bCs/>
          <w:sz w:val="24"/>
          <w:szCs w:val="24"/>
          <w:highlight w:val="none"/>
          <w:lang w:eastAsia="zh-CN"/>
        </w:rPr>
        <w:t>份，甲方执</w:t>
      </w:r>
      <w:r>
        <w:rPr>
          <w:rFonts w:hint="eastAsia" w:asciiTheme="minorEastAsia" w:hAnsiTheme="minorEastAsia" w:eastAsiaTheme="minorEastAsia" w:cstheme="minorEastAsia"/>
          <w:bCs/>
          <w:sz w:val="24"/>
          <w:szCs w:val="24"/>
          <w:highlight w:val="none"/>
          <w:u w:val="single"/>
          <w:lang w:eastAsia="zh-CN"/>
        </w:rPr>
        <w:t xml:space="preserve">  肆  </w:t>
      </w:r>
      <w:r>
        <w:rPr>
          <w:rFonts w:hint="eastAsia" w:asciiTheme="minorEastAsia" w:hAnsiTheme="minorEastAsia" w:eastAsiaTheme="minorEastAsia" w:cstheme="minorEastAsia"/>
          <w:bCs/>
          <w:sz w:val="24"/>
          <w:szCs w:val="24"/>
          <w:highlight w:val="none"/>
          <w:lang w:eastAsia="zh-CN"/>
        </w:rPr>
        <w:t>份，乙方</w:t>
      </w:r>
      <w:r>
        <w:rPr>
          <w:rFonts w:hint="eastAsia" w:asciiTheme="minorEastAsia" w:hAnsiTheme="minorEastAsia" w:eastAsiaTheme="minorEastAsia" w:cstheme="minorEastAsia"/>
          <w:bCs/>
          <w:sz w:val="24"/>
          <w:szCs w:val="24"/>
          <w:highlight w:val="none"/>
          <w:u w:val="single"/>
          <w:lang w:eastAsia="zh-CN"/>
        </w:rPr>
        <w:t xml:space="preserve">  贰  </w:t>
      </w:r>
      <w:r>
        <w:rPr>
          <w:rFonts w:hint="eastAsia" w:asciiTheme="minorEastAsia" w:hAnsiTheme="minorEastAsia" w:eastAsiaTheme="minorEastAsia" w:cstheme="minorEastAsia"/>
          <w:bCs/>
          <w:sz w:val="24"/>
          <w:szCs w:val="24"/>
          <w:highlight w:val="none"/>
          <w:lang w:eastAsia="zh-CN"/>
        </w:rPr>
        <w:t>份，具有同等法律效力，经双方签署后立即生效。</w:t>
      </w:r>
    </w:p>
    <w:p w14:paraId="3BBC8FD6">
      <w:pPr>
        <w:spacing w:line="400" w:lineRule="exact"/>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（以下无正文）</w:t>
      </w:r>
    </w:p>
    <w:p w14:paraId="4BE6E1A7">
      <w:pPr>
        <w:spacing w:line="400" w:lineRule="exact"/>
        <w:rPr>
          <w:rFonts w:hint="eastAsia" w:asciiTheme="minorEastAsia" w:hAnsiTheme="minorEastAsia" w:eastAsiaTheme="minorEastAsia" w:cstheme="minorEastAsia"/>
          <w:bCs/>
          <w:sz w:val="24"/>
          <w:szCs w:val="24"/>
          <w:highlight w:val="none"/>
          <w:lang w:eastAsia="zh-CN"/>
        </w:rPr>
      </w:pPr>
    </w:p>
    <w:p w14:paraId="736BA67F">
      <w:pPr>
        <w:spacing w:line="400" w:lineRule="exact"/>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甲方（盖章）：                               乙方（盖章）：</w:t>
      </w:r>
    </w:p>
    <w:p w14:paraId="03DF4662">
      <w:pPr>
        <w:spacing w:line="400" w:lineRule="exac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法定代表人或                                 法定代表人或</w:t>
      </w:r>
    </w:p>
    <w:p w14:paraId="279BD4FA">
      <w:pPr>
        <w:spacing w:line="400" w:lineRule="exact"/>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授权委托人（签字）：                         授权委托人（签字）：                          </w:t>
      </w:r>
    </w:p>
    <w:p w14:paraId="20463737">
      <w:pPr>
        <w:spacing w:line="4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日期：                                       日期：</w:t>
      </w:r>
    </w:p>
    <w:p w14:paraId="40C0FBE4">
      <w:pPr>
        <w:rPr>
          <w:rFonts w:hint="eastAsia" w:asciiTheme="minorEastAsia" w:hAnsiTheme="minorEastAsia" w:eastAsiaTheme="minorEastAsia" w:cstheme="minorEastAsia"/>
          <w:b/>
          <w:bCs/>
          <w:sz w:val="24"/>
          <w:szCs w:val="24"/>
          <w:highlight w:val="none"/>
          <w:lang w:eastAsia="zh-CN"/>
        </w:rPr>
      </w:pPr>
    </w:p>
    <w:p w14:paraId="468C3B89">
      <w:pPr>
        <w:pStyle w:val="2"/>
        <w:spacing w:line="400" w:lineRule="exact"/>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附件</w:t>
      </w:r>
      <w:r>
        <w:rPr>
          <w:rFonts w:hint="eastAsia" w:asciiTheme="minorEastAsia" w:hAnsiTheme="minorEastAsia" w:eastAsia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lang w:eastAsia="zh-CN"/>
        </w:rPr>
        <w:t>：</w:t>
      </w:r>
    </w:p>
    <w:p w14:paraId="0CD4CB38">
      <w:pPr>
        <w:pStyle w:val="2"/>
        <w:spacing w:line="400" w:lineRule="exact"/>
        <w:jc w:val="cente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纪检监察信访举报指南</w:t>
      </w:r>
      <w:bookmarkStart w:id="1" w:name="_Toc13305_WPSOffice_Level2"/>
    </w:p>
    <w:p w14:paraId="5A84CBA7">
      <w:pPr>
        <w:pStyle w:val="2"/>
        <w:spacing w:line="4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bCs/>
          <w:color w:val="333333"/>
          <w:sz w:val="24"/>
          <w:szCs w:val="24"/>
          <w:highlight w:val="none"/>
          <w:lang w:eastAsia="zh-CN"/>
        </w:rPr>
        <w:t>受理信访举报的范围</w:t>
      </w:r>
      <w:bookmarkEnd w:id="1"/>
    </w:p>
    <w:p w14:paraId="3385BB3B">
      <w:pPr>
        <w:spacing w:line="400" w:lineRule="exact"/>
        <w:ind w:firstLine="645"/>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1.对集团党委（含所属企业党组织）管理的党组织和党员违反政治纪律、组织纪律、廉洁纪律、群众纪律、工作纪律、生活纪律等党的纪律行为的检举控告。</w:t>
      </w:r>
    </w:p>
    <w:p w14:paraId="2C6CA00D">
      <w:pPr>
        <w:spacing w:line="400" w:lineRule="exact"/>
        <w:ind w:firstLine="645"/>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2.对集团职工不依法依规履职，违反廉洁从业、道德操守及公司内部管理等规定，涉嫌贪污贿赂、滥用职权、玩忽职守、权力寻租、利益输送、徇私舞弊以及浪费国家资材等违法违规行为的检举控告。</w:t>
      </w:r>
    </w:p>
    <w:p w14:paraId="5E44CF7D">
      <w:pPr>
        <w:spacing w:line="400" w:lineRule="exact"/>
        <w:ind w:firstLine="645"/>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3.集团党委（含所属企业党组织）管理的党员，以及集团职工对涉及本人的处理不服的申诉。</w:t>
      </w:r>
    </w:p>
    <w:p w14:paraId="10D8D42A">
      <w:pPr>
        <w:spacing w:line="400" w:lineRule="exact"/>
        <w:ind w:firstLine="645"/>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4.对集团党风廉政建设和反腐败工作的意见和建议。</w:t>
      </w:r>
      <w:bookmarkStart w:id="2" w:name="_Toc26491_WPSOffice_Level2"/>
    </w:p>
    <w:p w14:paraId="69501C5B">
      <w:pPr>
        <w:spacing w:line="4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二、反映的下列事项的信访举报，不予受理</w:t>
      </w:r>
      <w:bookmarkEnd w:id="2"/>
    </w:p>
    <w:p w14:paraId="415CCBBD">
      <w:pPr>
        <w:spacing w:line="400" w:lineRule="exact"/>
        <w:ind w:firstLine="645"/>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1.依法已经、正在、应当通过诉讼、仲裁等途径解决的。</w:t>
      </w:r>
    </w:p>
    <w:p w14:paraId="2000F518">
      <w:pPr>
        <w:spacing w:line="400" w:lineRule="exact"/>
        <w:ind w:firstLine="645"/>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2.依照有关规定，属于其他单位或者部门职责范围的。</w:t>
      </w:r>
    </w:p>
    <w:p w14:paraId="5FC74E9E">
      <w:pPr>
        <w:spacing w:line="400" w:lineRule="exact"/>
        <w:ind w:firstLine="645"/>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3.本单位本部门内部管理问题，以及员工个人的矛盾纠纷等。</w:t>
      </w:r>
    </w:p>
    <w:p w14:paraId="7C1FE660">
      <w:pPr>
        <w:spacing w:line="400" w:lineRule="exact"/>
        <w:ind w:firstLine="645"/>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4.仅列举违纪、违法、违规行为名称，无实质内容的检举控告。</w:t>
      </w:r>
      <w:bookmarkStart w:id="3" w:name="_Toc16151_WPSOffice_Level2"/>
    </w:p>
    <w:p w14:paraId="6ED5EF0D">
      <w:pPr>
        <w:spacing w:line="4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val="0"/>
          <w:bCs w:val="0"/>
          <w:color w:val="000000"/>
          <w:sz w:val="24"/>
          <w:szCs w:val="24"/>
          <w:highlight w:val="none"/>
          <w:lang w:eastAsia="zh-CN"/>
        </w:rPr>
        <w:t>三、举报方式</w:t>
      </w:r>
      <w:bookmarkEnd w:id="3"/>
    </w:p>
    <w:p w14:paraId="2040C16E">
      <w:pPr>
        <w:spacing w:line="400" w:lineRule="exact"/>
        <w:ind w:left="686" w:leftChars="304" w:hanging="48" w:hangingChars="2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1.电话举报：0755-88910640；</w:t>
      </w:r>
    </w:p>
    <w:p w14:paraId="6F496E9A">
      <w:pPr>
        <w:spacing w:line="400" w:lineRule="exact"/>
        <w:ind w:left="686" w:leftChars="304" w:hanging="48" w:hangingChars="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2.网络举报：</w:t>
      </w:r>
      <w:r>
        <w:rPr>
          <w:rStyle w:val="17"/>
          <w:rFonts w:hint="eastAsia" w:asciiTheme="minorEastAsia" w:hAnsiTheme="minorEastAsia" w:eastAsiaTheme="minorEastAsia" w:cstheme="minorEastAsia"/>
          <w:color w:val="auto"/>
          <w:sz w:val="24"/>
          <w:szCs w:val="24"/>
          <w:highlight w:val="none"/>
        </w:rPr>
        <w:t>jijian@tagen.cn</w:t>
      </w:r>
      <w:r>
        <w:rPr>
          <w:rFonts w:hint="eastAsia" w:asciiTheme="minorEastAsia" w:hAnsiTheme="minorEastAsia" w:eastAsiaTheme="minorEastAsia" w:cstheme="minorEastAsia"/>
          <w:sz w:val="24"/>
          <w:szCs w:val="24"/>
          <w:highlight w:val="none"/>
        </w:rPr>
        <w:t>；</w:t>
      </w:r>
    </w:p>
    <w:p w14:paraId="6F24FB62">
      <w:pPr>
        <w:spacing w:line="400" w:lineRule="exact"/>
        <w:ind w:left="686" w:leftChars="304" w:hanging="48" w:hangingChars="2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3.来信来访举报：深圳市福田区莲花街道红荔路7019号天健商务大厦1711室，邮编：518034；</w:t>
      </w:r>
    </w:p>
    <w:p w14:paraId="78CCDF1A">
      <w:pPr>
        <w:spacing w:line="400" w:lineRule="exact"/>
        <w:ind w:left="686" w:leftChars="304" w:hanging="48" w:hangingChars="2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4.举报信箱位置：深圳市福田区莲花街道红荔路7019号天健商务大厦17楼消防电梯楼梯间</w:t>
      </w:r>
    </w:p>
    <w:p w14:paraId="6697D610">
      <w:pPr>
        <w:spacing w:line="360" w:lineRule="auto"/>
        <w:rPr>
          <w:rFonts w:hint="eastAsia" w:asciiTheme="minorEastAsia" w:hAnsiTheme="minorEastAsia" w:eastAsiaTheme="minorEastAsia" w:cstheme="minorEastAsia"/>
          <w:sz w:val="24"/>
          <w:szCs w:val="24"/>
          <w:highlight w:val="none"/>
          <w:lang w:eastAsia="zh-CN"/>
        </w:rPr>
      </w:pPr>
    </w:p>
    <w:p w14:paraId="69FC1A1F">
      <w:pPr>
        <w:spacing w:line="360" w:lineRule="auto"/>
        <w:rPr>
          <w:rFonts w:hint="eastAsia" w:asciiTheme="minorEastAsia" w:hAnsiTheme="minorEastAsia" w:eastAsiaTheme="minorEastAsia" w:cstheme="minorEastAsia"/>
          <w:sz w:val="24"/>
          <w:szCs w:val="24"/>
          <w:highlight w:val="none"/>
          <w:lang w:eastAsia="zh-CN"/>
        </w:rPr>
      </w:pPr>
    </w:p>
    <w:p w14:paraId="07831033">
      <w:pPr>
        <w:pStyle w:val="2"/>
        <w:rPr>
          <w:rFonts w:hint="eastAsia" w:asciiTheme="minorEastAsia" w:hAnsiTheme="minorEastAsia" w:eastAsiaTheme="minorEastAsia" w:cstheme="minorEastAsia"/>
          <w:sz w:val="24"/>
          <w:szCs w:val="24"/>
          <w:highlight w:val="none"/>
          <w:lang w:eastAsia="zh-CN"/>
        </w:rPr>
      </w:pPr>
    </w:p>
    <w:sectPr>
      <w:footerReference r:id="rId3" w:type="default"/>
      <w:pgSz w:w="11906" w:h="16839"/>
      <w:pgMar w:top="1431" w:right="1785" w:bottom="1176" w:left="1785" w:header="0"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A352">
    <w:pPr>
      <w:spacing w:line="184" w:lineRule="auto"/>
      <w:ind w:left="412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9D5C7"/>
    <w:multiLevelType w:val="singleLevel"/>
    <w:tmpl w:val="92E9D5C7"/>
    <w:lvl w:ilvl="0" w:tentative="0">
      <w:start w:val="1"/>
      <w:numFmt w:val="decimal"/>
      <w:suff w:val="nothing"/>
      <w:lvlText w:val="%1．"/>
      <w:lvlJc w:val="left"/>
      <w:pPr>
        <w:ind w:left="0" w:firstLine="400"/>
      </w:pPr>
      <w:rPr>
        <w:rFonts w:hint="default"/>
      </w:rPr>
    </w:lvl>
  </w:abstractNum>
  <w:abstractNum w:abstractNumId="1">
    <w:nsid w:val="B35BFD59"/>
    <w:multiLevelType w:val="singleLevel"/>
    <w:tmpl w:val="B35BFD59"/>
    <w:lvl w:ilvl="0" w:tentative="0">
      <w:start w:val="1"/>
      <w:numFmt w:val="decimal"/>
      <w:suff w:val="nothing"/>
      <w:lvlText w:val="%1．"/>
      <w:lvlJc w:val="left"/>
      <w:pPr>
        <w:ind w:left="0" w:firstLine="400"/>
      </w:pPr>
      <w:rPr>
        <w:rFonts w:hint="default"/>
      </w:rPr>
    </w:lvl>
  </w:abstractNum>
  <w:abstractNum w:abstractNumId="2">
    <w:nsid w:val="CBCD85DC"/>
    <w:multiLevelType w:val="singleLevel"/>
    <w:tmpl w:val="CBCD85DC"/>
    <w:lvl w:ilvl="0" w:tentative="0">
      <w:start w:val="1"/>
      <w:numFmt w:val="chineseCounting"/>
      <w:suff w:val="nothing"/>
      <w:lvlText w:val="%1、"/>
      <w:lvlJc w:val="left"/>
      <w:rPr>
        <w:rFonts w:hint="eastAsia"/>
      </w:rPr>
    </w:lvl>
  </w:abstractNum>
  <w:abstractNum w:abstractNumId="3">
    <w:nsid w:val="DA993DF1"/>
    <w:multiLevelType w:val="singleLevel"/>
    <w:tmpl w:val="DA993DF1"/>
    <w:lvl w:ilvl="0" w:tentative="0">
      <w:start w:val="1"/>
      <w:numFmt w:val="decimal"/>
      <w:suff w:val="nothing"/>
      <w:lvlText w:val="%1．"/>
      <w:lvlJc w:val="left"/>
      <w:pPr>
        <w:ind w:left="0" w:firstLine="400"/>
      </w:pPr>
      <w:rPr>
        <w:rFonts w:hint="default"/>
      </w:rPr>
    </w:lvl>
  </w:abstractNum>
  <w:abstractNum w:abstractNumId="4">
    <w:nsid w:val="E62A82EE"/>
    <w:multiLevelType w:val="singleLevel"/>
    <w:tmpl w:val="E62A82EE"/>
    <w:lvl w:ilvl="0" w:tentative="0">
      <w:start w:val="1"/>
      <w:numFmt w:val="chineseCounting"/>
      <w:suff w:val="nothing"/>
      <w:lvlText w:val="%1、"/>
      <w:lvlJc w:val="left"/>
      <w:pPr>
        <w:ind w:left="-10"/>
      </w:pPr>
      <w:rPr>
        <w:rFonts w:hint="eastAsia"/>
      </w:rPr>
    </w:lvl>
  </w:abstractNum>
  <w:abstractNum w:abstractNumId="5">
    <w:nsid w:val="F188F0F2"/>
    <w:multiLevelType w:val="singleLevel"/>
    <w:tmpl w:val="F188F0F2"/>
    <w:lvl w:ilvl="0" w:tentative="0">
      <w:start w:val="1"/>
      <w:numFmt w:val="decimal"/>
      <w:suff w:val="nothing"/>
      <w:lvlText w:val="%1．"/>
      <w:lvlJc w:val="left"/>
      <w:pPr>
        <w:ind w:left="0" w:firstLine="400"/>
      </w:pPr>
      <w:rPr>
        <w:rFonts w:hint="default"/>
      </w:rPr>
    </w:lvl>
  </w:abstractNum>
  <w:abstractNum w:abstractNumId="6">
    <w:nsid w:val="F2DF01B2"/>
    <w:multiLevelType w:val="singleLevel"/>
    <w:tmpl w:val="F2DF01B2"/>
    <w:lvl w:ilvl="0" w:tentative="0">
      <w:start w:val="1"/>
      <w:numFmt w:val="decimal"/>
      <w:suff w:val="nothing"/>
      <w:lvlText w:val="%1．"/>
      <w:lvlJc w:val="left"/>
      <w:pPr>
        <w:ind w:left="0" w:firstLine="400"/>
      </w:pPr>
      <w:rPr>
        <w:rFonts w:hint="default"/>
      </w:rPr>
    </w:lvl>
  </w:abstractNum>
  <w:abstractNum w:abstractNumId="7">
    <w:nsid w:val="FEEDDE6F"/>
    <w:multiLevelType w:val="singleLevel"/>
    <w:tmpl w:val="FEEDDE6F"/>
    <w:lvl w:ilvl="0" w:tentative="0">
      <w:start w:val="1"/>
      <w:numFmt w:val="decimal"/>
      <w:suff w:val="nothing"/>
      <w:lvlText w:val="%1．"/>
      <w:lvlJc w:val="left"/>
      <w:pPr>
        <w:ind w:left="0" w:firstLine="400"/>
      </w:pPr>
      <w:rPr>
        <w:rFonts w:hint="default"/>
      </w:rPr>
    </w:lvl>
  </w:abstractNum>
  <w:abstractNum w:abstractNumId="8">
    <w:nsid w:val="130737BE"/>
    <w:multiLevelType w:val="singleLevel"/>
    <w:tmpl w:val="130737BE"/>
    <w:lvl w:ilvl="0" w:tentative="0">
      <w:start w:val="1"/>
      <w:numFmt w:val="decimal"/>
      <w:suff w:val="nothing"/>
      <w:lvlText w:val="%1．"/>
      <w:lvlJc w:val="left"/>
      <w:pPr>
        <w:ind w:left="0" w:firstLine="400"/>
      </w:pPr>
      <w:rPr>
        <w:rFonts w:hint="default"/>
      </w:rPr>
    </w:lvl>
  </w:abstractNum>
  <w:abstractNum w:abstractNumId="9">
    <w:nsid w:val="231FA37E"/>
    <w:multiLevelType w:val="singleLevel"/>
    <w:tmpl w:val="231FA37E"/>
    <w:lvl w:ilvl="0" w:tentative="0">
      <w:start w:val="1"/>
      <w:numFmt w:val="decimal"/>
      <w:suff w:val="nothing"/>
      <w:lvlText w:val="%1．"/>
      <w:lvlJc w:val="left"/>
      <w:pPr>
        <w:ind w:left="0" w:firstLine="400"/>
      </w:pPr>
      <w:rPr>
        <w:rFonts w:hint="default"/>
      </w:rPr>
    </w:lvl>
  </w:abstractNum>
  <w:abstractNum w:abstractNumId="10">
    <w:nsid w:val="234D8BC0"/>
    <w:multiLevelType w:val="singleLevel"/>
    <w:tmpl w:val="234D8BC0"/>
    <w:lvl w:ilvl="0" w:tentative="0">
      <w:start w:val="1"/>
      <w:numFmt w:val="decimal"/>
      <w:suff w:val="nothing"/>
      <w:lvlText w:val="%1．"/>
      <w:lvlJc w:val="left"/>
      <w:pPr>
        <w:ind w:left="0" w:firstLine="400"/>
      </w:pPr>
      <w:rPr>
        <w:rFonts w:hint="default"/>
      </w:rPr>
    </w:lvl>
  </w:abstractNum>
  <w:abstractNum w:abstractNumId="11">
    <w:nsid w:val="261DBE79"/>
    <w:multiLevelType w:val="singleLevel"/>
    <w:tmpl w:val="261DBE79"/>
    <w:lvl w:ilvl="0" w:tentative="0">
      <w:start w:val="1"/>
      <w:numFmt w:val="chineseCounting"/>
      <w:suff w:val="nothing"/>
      <w:lvlText w:val="%1、"/>
      <w:lvlJc w:val="left"/>
      <w:pPr>
        <w:ind w:left="-10"/>
      </w:pPr>
      <w:rPr>
        <w:rFonts w:hint="eastAsia"/>
      </w:rPr>
    </w:lvl>
  </w:abstractNum>
  <w:abstractNum w:abstractNumId="12">
    <w:nsid w:val="33159D0E"/>
    <w:multiLevelType w:val="singleLevel"/>
    <w:tmpl w:val="33159D0E"/>
    <w:lvl w:ilvl="0" w:tentative="0">
      <w:start w:val="1"/>
      <w:numFmt w:val="decimal"/>
      <w:suff w:val="nothing"/>
      <w:lvlText w:val="%1．"/>
      <w:lvlJc w:val="left"/>
      <w:pPr>
        <w:ind w:left="0" w:firstLine="400"/>
      </w:pPr>
      <w:rPr>
        <w:rFonts w:hint="default"/>
      </w:rPr>
    </w:lvl>
  </w:abstractNum>
  <w:abstractNum w:abstractNumId="13">
    <w:nsid w:val="4293D048"/>
    <w:multiLevelType w:val="singleLevel"/>
    <w:tmpl w:val="4293D048"/>
    <w:lvl w:ilvl="0" w:tentative="0">
      <w:start w:val="1"/>
      <w:numFmt w:val="decimal"/>
      <w:suff w:val="nothing"/>
      <w:lvlText w:val="%1．"/>
      <w:lvlJc w:val="left"/>
      <w:pPr>
        <w:ind w:left="0" w:firstLine="400"/>
      </w:pPr>
      <w:rPr>
        <w:rFonts w:hint="default"/>
      </w:rPr>
    </w:lvl>
  </w:abstractNum>
  <w:abstractNum w:abstractNumId="14">
    <w:nsid w:val="65774432"/>
    <w:multiLevelType w:val="singleLevel"/>
    <w:tmpl w:val="65774432"/>
    <w:lvl w:ilvl="0" w:tentative="0">
      <w:start w:val="1"/>
      <w:numFmt w:val="decimal"/>
      <w:suff w:val="nothing"/>
      <w:lvlText w:val="%1．"/>
      <w:lvlJc w:val="left"/>
      <w:pPr>
        <w:ind w:left="0" w:firstLine="400"/>
      </w:pPr>
      <w:rPr>
        <w:rFonts w:hint="default"/>
      </w:rPr>
    </w:lvl>
  </w:abstractNum>
  <w:abstractNum w:abstractNumId="15">
    <w:nsid w:val="65D6D371"/>
    <w:multiLevelType w:val="singleLevel"/>
    <w:tmpl w:val="65D6D371"/>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9"/>
  </w:num>
  <w:num w:numId="4">
    <w:abstractNumId w:val="10"/>
  </w:num>
  <w:num w:numId="5">
    <w:abstractNumId w:val="7"/>
  </w:num>
  <w:num w:numId="6">
    <w:abstractNumId w:val="14"/>
  </w:num>
  <w:num w:numId="7">
    <w:abstractNumId w:val="0"/>
  </w:num>
  <w:num w:numId="8">
    <w:abstractNumId w:val="5"/>
  </w:num>
  <w:num w:numId="9">
    <w:abstractNumId w:val="8"/>
  </w:num>
  <w:num w:numId="10">
    <w:abstractNumId w:val="13"/>
  </w:num>
  <w:num w:numId="11">
    <w:abstractNumId w:val="15"/>
  </w:num>
  <w:num w:numId="12">
    <w:abstractNumId w:val="12"/>
  </w:num>
  <w:num w:numId="13">
    <w:abstractNumId w:val="6"/>
  </w:num>
  <w:num w:numId="14">
    <w:abstractNumId w:val="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displayBackgroundShape w:val="1"/>
  <w:bordersDoNotSurroundHeader w:val="1"/>
  <w:bordersDoNotSurroundFooter w:val="1"/>
  <w:trackRevisions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yNWIwZWUzNDg2ZTE1YzU1MzllNTc1YjE4NGQzMjYifQ=="/>
  </w:docVars>
  <w:rsids>
    <w:rsidRoot w:val="00AA5408"/>
    <w:rsid w:val="00090EF4"/>
    <w:rsid w:val="000E73CE"/>
    <w:rsid w:val="001C686E"/>
    <w:rsid w:val="004337D6"/>
    <w:rsid w:val="005C0552"/>
    <w:rsid w:val="005D6ADE"/>
    <w:rsid w:val="00674C7E"/>
    <w:rsid w:val="006A365C"/>
    <w:rsid w:val="00776D88"/>
    <w:rsid w:val="007E0CA9"/>
    <w:rsid w:val="007F0F33"/>
    <w:rsid w:val="00A246A9"/>
    <w:rsid w:val="00A408EF"/>
    <w:rsid w:val="00A80066"/>
    <w:rsid w:val="00AA5408"/>
    <w:rsid w:val="00B06F21"/>
    <w:rsid w:val="00B2227D"/>
    <w:rsid w:val="00BA129C"/>
    <w:rsid w:val="00BD6A0F"/>
    <w:rsid w:val="00CD1CB1"/>
    <w:rsid w:val="00D039E1"/>
    <w:rsid w:val="00D31C59"/>
    <w:rsid w:val="00DA1C02"/>
    <w:rsid w:val="00FE4ABD"/>
    <w:rsid w:val="065A39DB"/>
    <w:rsid w:val="0A887557"/>
    <w:rsid w:val="0CCA7702"/>
    <w:rsid w:val="11753D65"/>
    <w:rsid w:val="1A385D9E"/>
    <w:rsid w:val="1CFC7225"/>
    <w:rsid w:val="1EB067E8"/>
    <w:rsid w:val="237730C3"/>
    <w:rsid w:val="2B5A37D1"/>
    <w:rsid w:val="3BC767F9"/>
    <w:rsid w:val="3E7F2E17"/>
    <w:rsid w:val="473051A8"/>
    <w:rsid w:val="4AEC548B"/>
    <w:rsid w:val="4E6F69CA"/>
    <w:rsid w:val="50967210"/>
    <w:rsid w:val="520159B4"/>
    <w:rsid w:val="545E7D6A"/>
    <w:rsid w:val="57031D6E"/>
    <w:rsid w:val="63860E88"/>
    <w:rsid w:val="712C21DA"/>
    <w:rsid w:val="74D31A39"/>
    <w:rsid w:val="7E1611A0"/>
    <w:rsid w:val="EF7B42EF"/>
    <w:rsid w:val="FFFED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qFormat/>
    <w:uiPriority w:val="0"/>
    <w:pPr>
      <w:keepNext/>
      <w:keepLines/>
      <w:spacing w:before="220" w:after="210" w:line="480" w:lineRule="auto"/>
      <w:outlineLvl w:val="0"/>
    </w:pPr>
    <w:rPr>
      <w:rFonts w:eastAsia="黑体"/>
      <w:b/>
      <w:kern w:val="44"/>
      <w:sz w:val="44"/>
    </w:rPr>
  </w:style>
  <w:style w:type="paragraph" w:styleId="5">
    <w:name w:val="heading 2"/>
    <w:basedOn w:val="1"/>
    <w:next w:val="1"/>
    <w:unhideWhenUsed/>
    <w:qFormat/>
    <w:uiPriority w:val="0"/>
    <w:pPr>
      <w:keepNext/>
      <w:keepLines/>
      <w:spacing w:before="260" w:after="260" w:line="413" w:lineRule="auto"/>
      <w:outlineLvl w:val="1"/>
    </w:pPr>
    <w:rPr>
      <w:rFonts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19"/>
      <w:szCs w:val="19"/>
    </w:rPr>
  </w:style>
  <w:style w:type="paragraph" w:styleId="3">
    <w:name w:val="Title"/>
    <w:basedOn w:val="1"/>
    <w:next w:val="1"/>
    <w:qFormat/>
    <w:uiPriority w:val="0"/>
    <w:pPr>
      <w:spacing w:before="240" w:after="60"/>
      <w:jc w:val="center"/>
      <w:outlineLvl w:val="0"/>
    </w:pPr>
    <w:rPr>
      <w:b/>
      <w:sz w:val="32"/>
    </w:rPr>
  </w:style>
  <w:style w:type="paragraph" w:styleId="6">
    <w:name w:val="Normal Indent"/>
    <w:basedOn w:val="1"/>
    <w:qFormat/>
    <w:uiPriority w:val="0"/>
    <w:pPr>
      <w:ind w:firstLine="420" w:firstLineChars="200"/>
    </w:pPr>
  </w:style>
  <w:style w:type="paragraph" w:styleId="7">
    <w:name w:val="annotation text"/>
    <w:basedOn w:val="1"/>
    <w:link w:val="21"/>
    <w:qFormat/>
    <w:uiPriority w:val="0"/>
  </w:style>
  <w:style w:type="paragraph" w:styleId="8">
    <w:name w:val="Plain Text"/>
    <w:basedOn w:val="1"/>
    <w:qFormat/>
    <w:uiPriority w:val="0"/>
    <w:pPr>
      <w:spacing w:before="100" w:beforeAutospacing="1" w:after="100" w:afterAutospacing="1"/>
    </w:pPr>
    <w:rPr>
      <w:rFonts w:ascii="宋体" w:hAnsi="宋体" w:cs="宋体"/>
      <w:sz w:val="24"/>
    </w:rPr>
  </w:style>
  <w:style w:type="paragraph" w:styleId="9">
    <w:name w:val="footer"/>
    <w:basedOn w:val="1"/>
    <w:qFormat/>
    <w:uiPriority w:val="99"/>
    <w:pPr>
      <w:tabs>
        <w:tab w:val="center" w:pos="4153"/>
        <w:tab w:val="right" w:pos="8306"/>
      </w:tabs>
    </w:pPr>
    <w:rPr>
      <w:sz w:val="18"/>
      <w:szCs w:val="18"/>
    </w:rPr>
  </w:style>
  <w:style w:type="paragraph" w:styleId="10">
    <w:name w:val="List"/>
    <w:basedOn w:val="1"/>
    <w:qFormat/>
    <w:uiPriority w:val="99"/>
    <w:pPr>
      <w:ind w:left="200" w:hanging="200" w:hangingChars="200"/>
    </w:pPr>
  </w:style>
  <w:style w:type="paragraph" w:styleId="11">
    <w:name w:val="annotation subject"/>
    <w:basedOn w:val="7"/>
    <w:next w:val="7"/>
    <w:link w:val="22"/>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21">
    <w:name w:val="批注文字 字符"/>
    <w:basedOn w:val="14"/>
    <w:link w:val="7"/>
    <w:qFormat/>
    <w:uiPriority w:val="0"/>
    <w:rPr>
      <w:rFonts w:ascii="Arial" w:hAnsi="Arial" w:eastAsia="Arial" w:cs="Arial"/>
      <w:snapToGrid w:val="0"/>
      <w:color w:val="000000"/>
      <w:sz w:val="21"/>
      <w:szCs w:val="21"/>
      <w:lang w:eastAsia="en-US"/>
    </w:rPr>
  </w:style>
  <w:style w:type="character" w:customStyle="1" w:styleId="22">
    <w:name w:val="批注主题 字符"/>
    <w:basedOn w:val="21"/>
    <w:link w:val="11"/>
    <w:qFormat/>
    <w:uiPriority w:val="0"/>
    <w:rPr>
      <w:rFonts w:ascii="Arial" w:hAnsi="Arial" w:eastAsia="Arial" w:cs="Arial"/>
      <w:b/>
      <w:bCs/>
      <w:snapToGrid w:val="0"/>
      <w:color w:val="000000"/>
      <w:sz w:val="21"/>
      <w:szCs w:val="21"/>
      <w:lang w:eastAsia="en-US"/>
    </w:rPr>
  </w:style>
  <w:style w:type="paragraph" w:customStyle="1" w:styleId="23">
    <w:name w:val="限制内容"/>
    <w:basedOn w:val="1"/>
    <w:qFormat/>
    <w:locked/>
    <w:uiPriority w:val="0"/>
    <w:rPr>
      <w:rFonts w:hint="eastAsia" w:ascii="微软雅黑" w:hAnsi="微软雅黑" w:eastAsia="微软雅黑" w:cs="微软雅黑"/>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12722</Words>
  <Characters>12952</Characters>
  <Lines>93</Lines>
  <Paragraphs>26</Paragraphs>
  <TotalTime>5</TotalTime>
  <ScaleCrop>false</ScaleCrop>
  <LinksUpToDate>false</LinksUpToDate>
  <CharactersWithSpaces>13822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2024-11-25T18:03:00Z</dcterms:created>
  <dc:creator>Ann.Wang</dc:creator>
  <cp:lastModifiedBy>YY</cp:lastModifiedBy>
  <dcterms:modified xsi:type="dcterms:W3CDTF">2025-04-18T03:16:51Z</dcterms:modified>
  <dc:title>招牌使用协议</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2024-12-03T14:26:00Z</vt:filetime>
  </property>
  <property fmtid="{D5CDD505-2E9C-101B-9397-08002B2CF9AE}" pid="4" name="KSOProductBuildVer">
    <vt:lpwstr>2052-12.1.0.20305</vt:lpwstr>
  </property>
  <property fmtid="{D5CDD505-2E9C-101B-9397-08002B2CF9AE}" pid="5" name="ICV">
    <vt:lpwstr>9013DD6C9AC0481F8E8A8B2AE0B27AF9_13</vt:lpwstr>
  </property>
  <property fmtid="{D5CDD505-2E9C-101B-9397-08002B2CF9AE}" pid="6" name="KSOTemplateDocerSaveRecord">
    <vt:lpwstr>eyJoZGlkIjoiOGEyNWIwZWUzNDg2ZTE1YzU1MzllNTc1YjE4NGQzMjYiLCJ1c2VySWQiOiIyMDAzNjEwMzgifQ==</vt:lpwstr>
  </property>
</Properties>
</file>