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pPr>
        <w:keepNext w:val="0"/>
        <w:keepLines w:val="0"/>
        <w:spacing w:line="560" w:lineRule="exact"/>
        <w:jc w:val="center"/>
        <w:rPr>
          <w:rFonts w:ascii="方正小标宋_GBK" w:hAnsi="方正小标宋_GBK" w:eastAsia="方正小标宋_GBK" w:cs="方正小标宋_GBK"/>
          <w:bCs/>
          <w:color w:val="auto"/>
          <w:sz w:val="44"/>
          <w:szCs w:val="44"/>
          <w:highlight w:val="none"/>
        </w:rPr>
      </w:pPr>
      <w:r>
        <w:rPr>
          <w:rFonts w:hint="default" w:ascii="方正小标宋_GBK" w:hAnsi="方正小标宋_GBK" w:eastAsia="方正小标宋_GBK" w:cs="方正小标宋_GBK"/>
          <w:b w:val="0"/>
          <w:bCs w:val="0"/>
          <w:i w:val="0"/>
          <w:iCs w:val="0"/>
          <w:color w:val="auto"/>
          <w:sz w:val="44"/>
          <w:szCs w:val="44"/>
          <w:highlight w:val="none"/>
          <w:lang w:val="en" w:eastAsia="zh-CN"/>
        </w:rPr>
        <w:t>坪山区马峦街道沙壆社区城中村改造配套项目</w:t>
      </w:r>
      <w:r>
        <w:rPr>
          <w:rFonts w:hint="eastAsia" w:ascii="方正小标宋_GBK" w:hAnsi="方正小标宋_GBK" w:eastAsia="方正小标宋_GBK" w:cs="方正小标宋_GBK"/>
          <w:bCs/>
          <w:color w:val="auto"/>
          <w:sz w:val="44"/>
          <w:szCs w:val="44"/>
          <w:highlight w:val="none"/>
          <w:u w:val="none"/>
          <w:lang w:eastAsia="zh-CN"/>
        </w:rPr>
        <w:t>勘察测绘服务</w:t>
      </w:r>
      <w:r>
        <w:rPr>
          <w:rFonts w:hint="eastAsia" w:ascii="方正小标宋_GBK" w:hAnsi="方正小标宋_GBK" w:eastAsia="方正小标宋_GBK" w:cs="方正小标宋_GBK"/>
          <w:bCs/>
          <w:color w:val="auto"/>
          <w:sz w:val="44"/>
          <w:szCs w:val="44"/>
          <w:highlight w:val="none"/>
        </w:rPr>
        <w:t>采购需求</w:t>
      </w:r>
    </w:p>
    <w:p>
      <w:pPr>
        <w:spacing w:line="578" w:lineRule="exact"/>
        <w:ind w:firstLine="640" w:firstLineChars="200"/>
        <w:rPr>
          <w:rFonts w:ascii="黑体" w:hAnsi="黑体" w:eastAsia="黑体" w:cs="仿宋"/>
          <w:color w:val="auto"/>
          <w:sz w:val="32"/>
          <w:szCs w:val="32"/>
          <w:highlight w:val="none"/>
        </w:rPr>
      </w:pPr>
    </w:p>
    <w:p>
      <w:pPr>
        <w:spacing w:line="560" w:lineRule="exact"/>
        <w:ind w:firstLine="640" w:firstLineChars="200"/>
        <w:rPr>
          <w:rFonts w:ascii="黑体" w:hAnsi="黑体" w:eastAsia="黑体" w:cs="仿宋"/>
          <w:color w:val="auto"/>
          <w:sz w:val="32"/>
          <w:szCs w:val="32"/>
          <w:highlight w:val="none"/>
        </w:rPr>
      </w:pPr>
      <w:r>
        <w:rPr>
          <w:rFonts w:hint="eastAsia" w:ascii="黑体" w:hAnsi="黑体" w:eastAsia="黑体" w:cs="仿宋"/>
          <w:color w:val="auto"/>
          <w:sz w:val="32"/>
          <w:szCs w:val="32"/>
          <w:highlight w:val="none"/>
        </w:rPr>
        <w:t>一、采购项目概况</w:t>
      </w:r>
    </w:p>
    <w:p>
      <w:pPr>
        <w:keepNext w:val="0"/>
        <w:keepLines w:val="0"/>
        <w:pageBreakBefore w:val="0"/>
        <w:widowControl/>
        <w:numPr>
          <w:ilvl w:val="-1"/>
          <w:numId w:val="0"/>
        </w:numPr>
        <w:kinsoku/>
        <w:wordWrap/>
        <w:overflowPunct/>
        <w:topLinePunct w:val="0"/>
        <w:autoSpaceDE w:val="0"/>
        <w:autoSpaceDN w:val="0"/>
        <w:bidi w:val="0"/>
        <w:adjustRightInd w:val="0"/>
        <w:snapToGrid/>
        <w:spacing w:beforeLines="-2147483648" w:afterLines="-2147483648"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rPr>
      </w:pPr>
      <w:r>
        <w:rPr>
          <w:rFonts w:hint="default" w:ascii="仿宋_GB2312" w:hAnsi="仿宋_GB2312" w:eastAsia="仿宋_GB2312" w:cs="仿宋_GB2312"/>
          <w:color w:val="auto"/>
          <w:kern w:val="0"/>
          <w:sz w:val="32"/>
          <w:szCs w:val="32"/>
          <w:highlight w:val="none"/>
          <w:lang w:val="en"/>
        </w:rPr>
        <w:t>坪山区马峦街道沙壆社区城中村改造配套项目</w:t>
      </w:r>
      <w:r>
        <w:rPr>
          <w:rFonts w:hint="eastAsia" w:ascii="仿宋_GB2312" w:hAnsi="仿宋_GB2312" w:eastAsia="仿宋_GB2312" w:cs="仿宋_GB2312"/>
          <w:color w:val="auto"/>
          <w:kern w:val="0"/>
          <w:sz w:val="32"/>
          <w:szCs w:val="32"/>
          <w:highlight w:val="none"/>
          <w:lang w:val="en-US" w:eastAsia="zh-CN"/>
        </w:rPr>
        <w:t>总投资暂估</w:t>
      </w:r>
      <w:r>
        <w:rPr>
          <w:rFonts w:hint="default" w:ascii="仿宋_GB2312" w:hAnsi="仿宋_GB2312" w:eastAsia="仿宋_GB2312" w:cs="仿宋_GB2312"/>
          <w:color w:val="auto"/>
          <w:kern w:val="0"/>
          <w:sz w:val="32"/>
          <w:szCs w:val="32"/>
          <w:highlight w:val="none"/>
          <w:lang w:val="en"/>
        </w:rPr>
        <w:t>2574.14</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用地面积面积约为15.75公顷，工程建设面积146467平方米，现状保留面积11007平方米，主要建设内容包括清表及树木迁移工程、博物科普主轴、绿美林带与绿美花甸、客家围屋区、客家田园区、湿生科普区、溪谷</w:t>
      </w:r>
      <w:bookmarkStart w:id="0" w:name="_GoBack"/>
      <w:bookmarkEnd w:id="0"/>
      <w:r>
        <w:rPr>
          <w:rFonts w:hint="eastAsia" w:ascii="仿宋_GB2312" w:hAnsi="仿宋_GB2312" w:eastAsia="仿宋_GB2312" w:cs="仿宋_GB2312"/>
          <w:color w:val="auto"/>
          <w:kern w:val="0"/>
          <w:sz w:val="32"/>
          <w:szCs w:val="32"/>
          <w:highlight w:val="none"/>
        </w:rPr>
        <w:t>热带科普区、坪山河沿岸改造、专项设计等。</w:t>
      </w:r>
    </w:p>
    <w:p>
      <w:pPr>
        <w:keepNext w:val="0"/>
        <w:keepLines w:val="0"/>
        <w:pageBreakBefore w:val="0"/>
        <w:widowControl/>
        <w:numPr>
          <w:ilvl w:val="-1"/>
          <w:numId w:val="0"/>
        </w:numPr>
        <w:kinsoku/>
        <w:wordWrap/>
        <w:overflowPunct/>
        <w:topLinePunct w:val="0"/>
        <w:autoSpaceDE w:val="0"/>
        <w:autoSpaceDN w:val="0"/>
        <w:bidi w:val="0"/>
        <w:adjustRightInd w:val="0"/>
        <w:snapToGrid/>
        <w:spacing w:beforeLines="-2147483648" w:afterLines="-2147483648" w:line="560" w:lineRule="exact"/>
        <w:ind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根据《建设工程勘察设计管理条例》《房屋建筑和市政基础设施工程施工图设计文件审查管理办法》等法规要求，为精准识别项目设计区域地形、管线等信息，保障工程建设安全与经济合理性，现需采购专业单位开展</w:t>
      </w:r>
      <w:r>
        <w:rPr>
          <w:rFonts w:hint="default" w:ascii="仿宋_GB2312" w:hAnsi="仿宋_GB2312" w:eastAsia="仿宋_GB2312" w:cs="仿宋_GB2312"/>
          <w:color w:val="auto"/>
          <w:sz w:val="32"/>
          <w:szCs w:val="32"/>
          <w:highlight w:val="none"/>
          <w:lang w:val="en" w:eastAsia="zh-CN"/>
        </w:rPr>
        <w:t>坪山区马峦街道沙壆社区城中村改造配套项目</w:t>
      </w:r>
      <w:r>
        <w:rPr>
          <w:rFonts w:hint="eastAsia" w:ascii="仿宋_GB2312" w:hAnsi="仿宋_GB2312" w:eastAsia="仿宋_GB2312" w:cs="仿宋_GB2312"/>
          <w:color w:val="auto"/>
          <w:sz w:val="32"/>
          <w:szCs w:val="32"/>
          <w:highlight w:val="none"/>
          <w:lang w:eastAsia="zh-CN"/>
        </w:rPr>
        <w:t>勘察测绘服务相关工作。</w:t>
      </w:r>
    </w:p>
    <w:p>
      <w:pPr>
        <w:numPr>
          <w:ilvl w:val="0"/>
          <w:numId w:val="1"/>
        </w:numPr>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项目预算</w:t>
      </w:r>
    </w:p>
    <w:p>
      <w:pPr>
        <w:spacing w:line="560" w:lineRule="exact"/>
        <w:ind w:firstLine="640" w:firstLineChars="200"/>
        <w:rPr>
          <w:rFonts w:hint="eastAsia" w:ascii="仿宋_GB2312" w:hAnsi="仿宋_GB2312" w:eastAsia="仿宋_GB2312" w:cs="仿宋_GB2312"/>
          <w:i w:val="0"/>
          <w:iCs w:val="0"/>
          <w:color w:val="auto"/>
          <w:kern w:val="0"/>
          <w:sz w:val="32"/>
          <w:szCs w:val="32"/>
          <w:highlight w:val="none"/>
          <w:u w:val="none"/>
          <w:lang w:val="en-US" w:eastAsia="zh-CN" w:bidi="ar"/>
        </w:rPr>
      </w:pPr>
      <w:r>
        <w:rPr>
          <w:rFonts w:hint="eastAsia" w:ascii="仿宋_GB2312" w:hAnsi="仿宋_GB2312" w:eastAsia="仿宋_GB2312" w:cs="仿宋_GB2312"/>
          <w:i w:val="0"/>
          <w:iCs w:val="0"/>
          <w:color w:val="auto"/>
          <w:kern w:val="0"/>
          <w:sz w:val="32"/>
          <w:szCs w:val="32"/>
          <w:highlight w:val="none"/>
          <w:u w:val="none"/>
          <w:lang w:val="en-US" w:eastAsia="zh-CN" w:bidi="ar"/>
        </w:rPr>
        <w:t>参照《工程勘察收费标准》（2022年修订本）《测绘工程产品价格》（国测财字【2003】3号）《测绘生产成本费用定额》等规定计取。项目总价控制在</w:t>
      </w:r>
      <w:r>
        <w:rPr>
          <w:rFonts w:hint="default" w:ascii="仿宋_GB2312" w:hAnsi="仿宋_GB2312" w:eastAsia="仿宋_GB2312" w:cs="仿宋_GB2312"/>
          <w:i w:val="0"/>
          <w:iCs w:val="0"/>
          <w:color w:val="auto"/>
          <w:kern w:val="0"/>
          <w:sz w:val="32"/>
          <w:szCs w:val="32"/>
          <w:highlight w:val="none"/>
          <w:u w:val="none"/>
          <w:lang w:val="en" w:eastAsia="zh-CN" w:bidi="ar"/>
        </w:rPr>
        <w:t>19.2814</w:t>
      </w:r>
      <w:r>
        <w:rPr>
          <w:rFonts w:hint="eastAsia" w:ascii="仿宋_GB2312" w:hAnsi="仿宋_GB2312" w:eastAsia="仿宋_GB2312" w:cs="仿宋_GB2312"/>
          <w:i w:val="0"/>
          <w:iCs w:val="0"/>
          <w:color w:val="auto"/>
          <w:kern w:val="0"/>
          <w:sz w:val="32"/>
          <w:szCs w:val="32"/>
          <w:highlight w:val="none"/>
          <w:u w:val="none"/>
          <w:lang w:val="en-US" w:eastAsia="zh-CN" w:bidi="ar"/>
        </w:rPr>
        <w:t>万元以内，从项目经费中列支。预算明细如下表：</w:t>
      </w:r>
    </w:p>
    <w:tbl>
      <w:tblPr>
        <w:tblStyle w:val="16"/>
        <w:tblW w:w="963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7"/>
        <w:gridCol w:w="1795"/>
        <w:gridCol w:w="1583"/>
        <w:gridCol w:w="3186"/>
        <w:gridCol w:w="23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4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项目类型</w:t>
            </w:r>
          </w:p>
        </w:tc>
        <w:tc>
          <w:tcPr>
            <w:tcW w:w="158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服务内容</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预估工作量</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预算（元）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47"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795"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测量类</w:t>
            </w:r>
          </w:p>
        </w:tc>
        <w:tc>
          <w:tcPr>
            <w:tcW w:w="158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bidi="ar"/>
              </w:rPr>
              <w:t>控制测量</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cs="宋体"/>
                <w:i w:val="0"/>
                <w:iCs w:val="0"/>
                <w:color w:val="auto"/>
                <w:kern w:val="0"/>
                <w:sz w:val="24"/>
                <w:szCs w:val="24"/>
                <w:highlight w:val="none"/>
                <w:u w:val="none"/>
                <w:lang w:val="en-US" w:eastAsia="zh-CN" w:bidi="ar"/>
              </w:rPr>
              <w:t>不少于2个</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15090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747" w:type="dxa"/>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795" w:type="dxa"/>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58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bidi="ar"/>
              </w:rPr>
              <w:t>地形图测量</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cs="宋体"/>
                <w:i w:val="0"/>
                <w:iCs w:val="0"/>
                <w:color w:val="auto"/>
                <w:kern w:val="0"/>
                <w:sz w:val="24"/>
                <w:szCs w:val="24"/>
                <w:highlight w:val="none"/>
                <w:u w:val="none"/>
                <w:lang w:val="en-US" w:eastAsia="zh-CN" w:bidi="ar"/>
              </w:rPr>
              <w:t>测量地形图比例按 1:500，断面图比例按1: 1000进行。</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 w:eastAsia="zh-CN"/>
              </w:rPr>
            </w:pPr>
            <w:r>
              <w:rPr>
                <w:rFonts w:hint="default" w:ascii="宋体" w:hAnsi="宋体" w:cs="宋体"/>
                <w:i w:val="0"/>
                <w:iCs w:val="0"/>
                <w:color w:val="auto"/>
                <w:sz w:val="24"/>
                <w:szCs w:val="24"/>
                <w:highlight w:val="none"/>
                <w:u w:val="none"/>
                <w:lang w:val="en" w:eastAsia="zh-CN"/>
              </w:rPr>
              <w:t>26065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187" w:hRule="atLeast"/>
        </w:trPr>
        <w:tc>
          <w:tcPr>
            <w:tcW w:w="747" w:type="dxa"/>
            <w:vMerge w:val="continue"/>
            <w:tcBorders>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79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树木测量</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测量范围内乔木植物群落范围线，以及部分重点乔木点位。</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 w:eastAsia="zh-CN" w:bidi="ar"/>
              </w:rPr>
            </w:pPr>
            <w:r>
              <w:rPr>
                <w:rFonts w:hint="default" w:ascii="宋体" w:hAnsi="宋体" w:cs="宋体"/>
                <w:i w:val="0"/>
                <w:iCs w:val="0"/>
                <w:color w:val="auto"/>
                <w:kern w:val="0"/>
                <w:sz w:val="24"/>
                <w:szCs w:val="24"/>
                <w:highlight w:val="none"/>
                <w:u w:val="none"/>
                <w:lang w:val="en" w:eastAsia="zh-CN" w:bidi="ar"/>
              </w:rPr>
              <w:t>58560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47"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79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5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bidi="ar"/>
              </w:rPr>
              <w:t>土石方测量</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cs="宋体"/>
                <w:i w:val="0"/>
                <w:iCs w:val="0"/>
                <w:color w:val="auto"/>
                <w:kern w:val="0"/>
                <w:sz w:val="24"/>
                <w:szCs w:val="24"/>
                <w:highlight w:val="none"/>
                <w:u w:val="none"/>
                <w:lang w:val="en-US" w:eastAsia="zh-CN" w:bidi="ar"/>
              </w:rPr>
              <w:t>1项</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 w:eastAsia="zh-CN"/>
              </w:rPr>
            </w:pPr>
            <w:r>
              <w:rPr>
                <w:rFonts w:hint="default" w:ascii="宋体" w:hAnsi="宋体" w:cs="宋体"/>
                <w:i w:val="0"/>
                <w:iCs w:val="0"/>
                <w:color w:val="auto"/>
                <w:sz w:val="24"/>
                <w:szCs w:val="24"/>
                <w:highlight w:val="none"/>
                <w:u w:val="none"/>
                <w:lang w:val="en" w:eastAsia="zh-CN"/>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4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c>
          <w:tcPr>
            <w:tcW w:w="1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地质勘察类</w:t>
            </w:r>
          </w:p>
        </w:tc>
        <w:tc>
          <w:tcPr>
            <w:tcW w:w="158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钻孔</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3-6个</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 w:eastAsia="zh-CN" w:bidi="ar"/>
              </w:rPr>
            </w:pPr>
            <w:r>
              <w:rPr>
                <w:rFonts w:hint="default" w:ascii="宋体" w:hAnsi="宋体" w:cs="宋体"/>
                <w:i w:val="0"/>
                <w:iCs w:val="0"/>
                <w:color w:val="auto"/>
                <w:kern w:val="0"/>
                <w:sz w:val="24"/>
                <w:szCs w:val="24"/>
                <w:highlight w:val="none"/>
                <w:u w:val="none"/>
                <w:lang w:val="en" w:eastAsia="zh-CN" w:bidi="ar"/>
              </w:rPr>
              <w:t>67500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1" w:hRule="atLeast"/>
        </w:trPr>
        <w:tc>
          <w:tcPr>
            <w:tcW w:w="74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c>
          <w:tcPr>
            <w:tcW w:w="1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物探类</w:t>
            </w:r>
          </w:p>
        </w:tc>
        <w:tc>
          <w:tcPr>
            <w:tcW w:w="158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管线勘探</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详细查明项目红线外扩20米范围内的地下市政管道、电缆、光纤、燃气等情况；详细勘察已建管线的尺寸、位置及走向、标高、等资料。</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 w:eastAsia="zh-CN" w:bidi="ar"/>
              </w:rPr>
            </w:pPr>
            <w:r>
              <w:rPr>
                <w:rFonts w:hint="default" w:ascii="宋体" w:hAnsi="宋体" w:cs="宋体"/>
                <w:i w:val="0"/>
                <w:iCs w:val="0"/>
                <w:color w:val="auto"/>
                <w:kern w:val="0"/>
                <w:sz w:val="24"/>
                <w:szCs w:val="24"/>
                <w:highlight w:val="none"/>
                <w:u w:val="none"/>
                <w:lang w:val="en" w:eastAsia="zh-CN" w:bidi="ar"/>
              </w:rPr>
              <w:t>53802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0" w:hRule="atLeast"/>
        </w:trPr>
        <w:tc>
          <w:tcPr>
            <w:tcW w:w="747"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795" w:type="dxa"/>
            <w:vMerge w:val="restart"/>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内业工作</w:t>
            </w:r>
          </w:p>
        </w:tc>
        <w:tc>
          <w:tcPr>
            <w:tcW w:w="158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数据处理</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1项</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47"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1795"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158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cs="宋体"/>
                <w:i w:val="0"/>
                <w:iCs w:val="0"/>
                <w:color w:val="auto"/>
                <w:kern w:val="0"/>
                <w:sz w:val="24"/>
                <w:szCs w:val="24"/>
                <w:highlight w:val="none"/>
                <w:u w:val="none"/>
                <w:lang w:val="en-US" w:eastAsia="zh-CN" w:bidi="ar"/>
              </w:rPr>
              <w:t>图件编制</w:t>
            </w:r>
          </w:p>
        </w:tc>
        <w:tc>
          <w:tcPr>
            <w:tcW w:w="31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color w:val="auto"/>
                <w:highlight w:val="none"/>
                <w:lang w:val="en-US"/>
              </w:rPr>
            </w:pPr>
            <w:r>
              <w:rPr>
                <w:rFonts w:hint="eastAsia" w:ascii="宋体" w:hAnsi="宋体" w:eastAsia="宋体" w:cs="宋体"/>
                <w:i w:val="0"/>
                <w:iCs w:val="0"/>
                <w:color w:val="auto"/>
                <w:kern w:val="0"/>
                <w:sz w:val="24"/>
                <w:szCs w:val="24"/>
                <w:highlight w:val="none"/>
                <w:u w:val="none"/>
                <w:lang w:val="en-US" w:eastAsia="zh-CN" w:bidi="ar"/>
              </w:rPr>
              <w:t>1份勘察测绘报告</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cs="宋体"/>
                <w:i w:val="0"/>
                <w:iCs w:val="0"/>
                <w:color w:val="auto"/>
                <w:sz w:val="24"/>
                <w:szCs w:val="24"/>
                <w:highlight w:val="none"/>
                <w:u w:val="none"/>
                <w:lang w:val="en-US" w:eastAsia="zh-CN"/>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54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4769"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总价：</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 w:eastAsia="zh-CN" w:bidi="ar"/>
              </w:rPr>
            </w:pPr>
            <w:r>
              <w:rPr>
                <w:rFonts w:hint="default" w:ascii="宋体" w:hAnsi="宋体" w:cs="宋体"/>
                <w:i w:val="0"/>
                <w:iCs w:val="0"/>
                <w:color w:val="auto"/>
                <w:kern w:val="0"/>
                <w:sz w:val="24"/>
                <w:szCs w:val="24"/>
                <w:highlight w:val="none"/>
                <w:u w:val="none"/>
                <w:lang w:val="en" w:eastAsia="zh-CN" w:bidi="ar"/>
              </w:rPr>
              <w:t>241017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542"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4"/>
                <w:szCs w:val="24"/>
                <w:highlight w:val="none"/>
                <w:u w:val="none"/>
                <w:lang w:val="en-US" w:eastAsia="zh-CN" w:bidi="ar"/>
              </w:rPr>
            </w:pPr>
          </w:p>
        </w:tc>
        <w:tc>
          <w:tcPr>
            <w:tcW w:w="4769"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控制价（下浮不少于20%）</w:t>
            </w:r>
          </w:p>
        </w:tc>
        <w:tc>
          <w:tcPr>
            <w:tcW w:w="2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 w:eastAsia="zh-CN" w:bidi="ar"/>
              </w:rPr>
            </w:pPr>
            <w:r>
              <w:rPr>
                <w:rFonts w:hint="default" w:ascii="宋体" w:hAnsi="宋体" w:cs="宋体"/>
                <w:i w:val="0"/>
                <w:iCs w:val="0"/>
                <w:color w:val="auto"/>
                <w:kern w:val="0"/>
                <w:sz w:val="24"/>
                <w:szCs w:val="24"/>
                <w:highlight w:val="none"/>
                <w:u w:val="none"/>
                <w:lang w:val="en" w:eastAsia="zh-CN" w:bidi="ar"/>
              </w:rPr>
              <w:t>192814</w:t>
            </w:r>
          </w:p>
        </w:tc>
      </w:tr>
    </w:tbl>
    <w:p>
      <w:pPr>
        <w:spacing w:line="560" w:lineRule="exact"/>
        <w:ind w:firstLine="640" w:firstLineChars="200"/>
        <w:rPr>
          <w:rFonts w:hint="eastAsia" w:ascii="CESI楷体-GB13000" w:hAnsi="CESI楷体-GB13000" w:eastAsia="CESI楷体-GB13000" w:cs="CESI楷体-GB13000"/>
          <w:color w:val="auto"/>
          <w:kern w:val="0"/>
          <w:sz w:val="32"/>
          <w:szCs w:val="32"/>
          <w:highlight w:val="none"/>
          <w:lang w:eastAsia="zh-CN"/>
        </w:rPr>
      </w:pPr>
      <w:r>
        <w:rPr>
          <w:rFonts w:hint="eastAsia" w:ascii="黑体" w:hAnsi="黑体" w:eastAsia="黑体" w:cs="黑体"/>
          <w:color w:val="auto"/>
          <w:sz w:val="32"/>
          <w:szCs w:val="32"/>
          <w:highlight w:val="none"/>
          <w:lang w:eastAsia="zh-CN"/>
        </w:rPr>
        <w:t>三、</w:t>
      </w:r>
      <w:r>
        <w:rPr>
          <w:rFonts w:hint="eastAsia" w:ascii="黑体" w:hAnsi="黑体" w:eastAsia="黑体" w:cs="黑体"/>
          <w:color w:val="auto"/>
          <w:sz w:val="32"/>
          <w:szCs w:val="32"/>
          <w:highlight w:val="none"/>
        </w:rPr>
        <w:t>项目管理和服务要求</w:t>
      </w:r>
    </w:p>
    <w:p>
      <w:pPr>
        <w:spacing w:line="560" w:lineRule="exact"/>
        <w:ind w:firstLine="640" w:firstLineChars="200"/>
        <w:rPr>
          <w:rFonts w:hint="eastAsia" w:ascii="CESI楷体-GB13000" w:hAnsi="CESI楷体-GB13000" w:eastAsia="CESI楷体-GB13000" w:cs="CESI楷体-GB13000"/>
          <w:color w:val="auto"/>
          <w:kern w:val="0"/>
          <w:sz w:val="32"/>
          <w:szCs w:val="32"/>
          <w:highlight w:val="none"/>
        </w:rPr>
      </w:pPr>
      <w:r>
        <w:rPr>
          <w:rFonts w:hint="eastAsia" w:ascii="CESI楷体-GB13000" w:hAnsi="CESI楷体-GB13000" w:eastAsia="CESI楷体-GB13000" w:cs="CESI楷体-GB13000"/>
          <w:color w:val="auto"/>
          <w:kern w:val="0"/>
          <w:sz w:val="32"/>
          <w:szCs w:val="32"/>
          <w:highlight w:val="none"/>
          <w:lang w:eastAsia="zh-CN"/>
        </w:rPr>
        <w:t>（</w:t>
      </w:r>
      <w:r>
        <w:rPr>
          <w:rFonts w:hint="eastAsia" w:ascii="CESI楷体-GB13000" w:hAnsi="CESI楷体-GB13000" w:eastAsia="CESI楷体-GB13000" w:cs="CESI楷体-GB13000"/>
          <w:color w:val="auto"/>
          <w:kern w:val="0"/>
          <w:sz w:val="32"/>
          <w:szCs w:val="32"/>
          <w:highlight w:val="none"/>
        </w:rPr>
        <w:t>一）组织实施要求</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供应商</w:t>
      </w:r>
      <w:r>
        <w:rPr>
          <w:rFonts w:hint="eastAsia" w:ascii="仿宋_GB2312" w:hAnsi="仿宋_GB2312" w:eastAsia="仿宋_GB2312" w:cs="仿宋_GB2312"/>
          <w:color w:val="auto"/>
          <w:kern w:val="0"/>
          <w:sz w:val="32"/>
          <w:szCs w:val="32"/>
          <w:highlight w:val="none"/>
        </w:rPr>
        <w:t>按照</w:t>
      </w:r>
      <w:r>
        <w:rPr>
          <w:rFonts w:hint="eastAsia" w:ascii="仿宋_GB2312" w:hAnsi="仿宋_GB2312" w:eastAsia="仿宋_GB2312" w:cs="仿宋_GB2312"/>
          <w:color w:val="auto"/>
          <w:kern w:val="0"/>
          <w:sz w:val="32"/>
          <w:szCs w:val="32"/>
          <w:highlight w:val="none"/>
          <w:lang w:eastAsia="zh-CN"/>
        </w:rPr>
        <w:t>采购单位及设计单位勘察测绘任务书</w:t>
      </w:r>
      <w:r>
        <w:rPr>
          <w:rFonts w:hint="eastAsia" w:ascii="仿宋_GB2312" w:hAnsi="仿宋_GB2312" w:eastAsia="仿宋_GB2312" w:cs="仿宋_GB2312"/>
          <w:color w:val="auto"/>
          <w:kern w:val="0"/>
          <w:sz w:val="32"/>
          <w:szCs w:val="32"/>
          <w:highlight w:val="none"/>
        </w:rPr>
        <w:t>要求，开展</w:t>
      </w:r>
      <w:r>
        <w:rPr>
          <w:rFonts w:hint="default" w:ascii="仿宋_GB2312" w:hAnsi="仿宋_GB2312" w:eastAsia="仿宋_GB2312" w:cs="仿宋_GB2312"/>
          <w:color w:val="auto"/>
          <w:kern w:val="0"/>
          <w:sz w:val="32"/>
          <w:szCs w:val="32"/>
          <w:highlight w:val="none"/>
          <w:lang w:val="en" w:eastAsia="zh-CN"/>
        </w:rPr>
        <w:t>坪山区马峦街道沙壆社区城中村改造配套项目</w:t>
      </w:r>
      <w:r>
        <w:rPr>
          <w:rFonts w:hint="eastAsia" w:ascii="仿宋_GB2312" w:hAnsi="仿宋_GB2312" w:eastAsia="仿宋_GB2312" w:cs="仿宋_GB2312"/>
          <w:color w:val="auto"/>
          <w:kern w:val="0"/>
          <w:sz w:val="32"/>
          <w:szCs w:val="32"/>
          <w:highlight w:val="none"/>
          <w:lang w:eastAsia="zh-CN"/>
        </w:rPr>
        <w:t>勘察测绘</w:t>
      </w:r>
      <w:r>
        <w:rPr>
          <w:rFonts w:hint="eastAsia" w:ascii="仿宋_GB2312" w:hAnsi="仿宋_GB2312" w:eastAsia="仿宋_GB2312" w:cs="仿宋_GB2312"/>
          <w:color w:val="auto"/>
          <w:kern w:val="0"/>
          <w:sz w:val="32"/>
          <w:szCs w:val="32"/>
          <w:highlight w:val="none"/>
        </w:rPr>
        <w:t>工作。在充分收集资料的基础上，</w:t>
      </w:r>
      <w:r>
        <w:rPr>
          <w:rFonts w:hint="eastAsia" w:ascii="仿宋_GB2312" w:hAnsi="仿宋_GB2312" w:eastAsia="仿宋_GB2312" w:cs="仿宋_GB2312"/>
          <w:color w:val="auto"/>
          <w:kern w:val="0"/>
          <w:sz w:val="32"/>
          <w:szCs w:val="32"/>
          <w:highlight w:val="none"/>
          <w:lang w:eastAsia="zh-CN"/>
        </w:rPr>
        <w:t>按照勘察测绘任务书的要求进行现场测绘、钻探、取样、现场试验等勘测工作，并根据《岩土工程勘察规范》</w:t>
      </w:r>
      <w:r>
        <w:rPr>
          <w:rFonts w:hint="eastAsia" w:ascii="仿宋_GB2312" w:hAnsi="仿宋_GB2312" w:eastAsia="仿宋_GB2312" w:cs="仿宋_GB2312"/>
          <w:color w:val="auto"/>
          <w:kern w:val="0"/>
          <w:sz w:val="32"/>
          <w:szCs w:val="32"/>
          <w:highlight w:val="none"/>
          <w:lang w:val="en-US" w:eastAsia="zh-CN"/>
        </w:rPr>
        <w:t>GB 50021-2001 要求及相关技术标准，完成测绘及勘察技术成果报告，提供充分可靠的岩土工程参数，为工程设计提供必要保障。</w:t>
      </w:r>
    </w:p>
    <w:p>
      <w:pPr>
        <w:spacing w:line="560" w:lineRule="exact"/>
        <w:ind w:firstLine="640" w:firstLineChars="200"/>
        <w:rPr>
          <w:rFonts w:hint="eastAsia" w:ascii="CESI楷体-GB13000" w:hAnsi="CESI楷体-GB13000" w:eastAsia="CESI楷体-GB13000" w:cs="CESI楷体-GB13000"/>
          <w:color w:val="auto"/>
          <w:kern w:val="0"/>
          <w:sz w:val="32"/>
          <w:szCs w:val="32"/>
          <w:highlight w:val="none"/>
        </w:rPr>
      </w:pPr>
      <w:r>
        <w:rPr>
          <w:rFonts w:hint="eastAsia" w:ascii="CESI楷体-GB13000" w:hAnsi="CESI楷体-GB13000" w:eastAsia="CESI楷体-GB13000" w:cs="CESI楷体-GB13000"/>
          <w:color w:val="auto"/>
          <w:kern w:val="0"/>
          <w:sz w:val="32"/>
          <w:szCs w:val="32"/>
          <w:highlight w:val="none"/>
        </w:rPr>
        <w:t>（二）项目人员安排要求</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供应商</w:t>
      </w:r>
      <w:r>
        <w:rPr>
          <w:rFonts w:hint="eastAsia" w:ascii="仿宋_GB2312" w:hAnsi="仿宋_GB2312" w:eastAsia="仿宋_GB2312" w:cs="仿宋_GB2312"/>
          <w:color w:val="auto"/>
          <w:kern w:val="0"/>
          <w:sz w:val="32"/>
          <w:szCs w:val="32"/>
          <w:highlight w:val="none"/>
        </w:rPr>
        <w:t>须安排项目</w:t>
      </w:r>
      <w:r>
        <w:rPr>
          <w:rFonts w:hint="eastAsia" w:ascii="仿宋_GB2312" w:hAnsi="仿宋_GB2312" w:eastAsia="仿宋_GB2312" w:cs="仿宋_GB2312"/>
          <w:color w:val="auto"/>
          <w:kern w:val="0"/>
          <w:sz w:val="32"/>
          <w:szCs w:val="32"/>
          <w:highlight w:val="none"/>
          <w:lang w:val="en-US" w:eastAsia="zh-CN"/>
        </w:rPr>
        <w:t>负责人</w:t>
      </w:r>
      <w:r>
        <w:rPr>
          <w:rFonts w:hint="eastAsia" w:ascii="仿宋_GB2312" w:hAnsi="仿宋_GB2312" w:eastAsia="仿宋_GB2312" w:cs="仿宋_GB2312"/>
          <w:color w:val="auto"/>
          <w:kern w:val="0"/>
          <w:sz w:val="32"/>
          <w:szCs w:val="32"/>
          <w:highlight w:val="none"/>
        </w:rPr>
        <w:t>1名，</w:t>
      </w:r>
      <w:r>
        <w:rPr>
          <w:rFonts w:hint="eastAsia" w:ascii="仿宋_GB2312" w:hAnsi="仿宋_GB2312" w:eastAsia="仿宋_GB2312" w:cs="仿宋_GB2312"/>
          <w:color w:val="auto"/>
          <w:kern w:val="0"/>
          <w:sz w:val="32"/>
          <w:szCs w:val="32"/>
          <w:highlight w:val="none"/>
          <w:lang w:eastAsia="zh-CN"/>
        </w:rPr>
        <w:t>技术负责人</w:t>
      </w:r>
      <w:r>
        <w:rPr>
          <w:rFonts w:hint="eastAsia" w:ascii="仿宋_GB2312" w:hAnsi="仿宋_GB2312" w:eastAsia="仿宋_GB2312" w:cs="仿宋_GB2312"/>
          <w:color w:val="auto"/>
          <w:kern w:val="0"/>
          <w:sz w:val="32"/>
          <w:szCs w:val="32"/>
          <w:highlight w:val="none"/>
          <w:lang w:val="en-US" w:eastAsia="zh-CN"/>
        </w:rPr>
        <w:t>1名</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现场负责人1名，专职工作人员</w:t>
      </w:r>
      <w:r>
        <w:rPr>
          <w:rFonts w:hint="eastAsia" w:ascii="仿宋_GB2312" w:hAnsi="仿宋_GB2312" w:eastAsia="仿宋_GB2312" w:cs="仿宋_GB2312"/>
          <w:color w:val="auto"/>
          <w:kern w:val="0"/>
          <w:sz w:val="32"/>
          <w:szCs w:val="32"/>
          <w:highlight w:val="none"/>
          <w:lang w:val="en-US" w:eastAsia="zh-CN"/>
        </w:rPr>
        <w:t>3名以上</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CESI楷体-GB13000" w:hAnsi="CESI楷体-GB13000" w:eastAsia="CESI楷体-GB13000" w:cs="CESI楷体-GB13000"/>
          <w:color w:val="auto"/>
          <w:kern w:val="0"/>
          <w:sz w:val="32"/>
          <w:szCs w:val="32"/>
          <w:highlight w:val="none"/>
        </w:rPr>
      </w:pPr>
      <w:r>
        <w:rPr>
          <w:rFonts w:hint="eastAsia" w:ascii="CESI楷体-GB13000" w:hAnsi="CESI楷体-GB13000" w:eastAsia="CESI楷体-GB13000" w:cs="CESI楷体-GB13000"/>
          <w:color w:val="auto"/>
          <w:kern w:val="0"/>
          <w:sz w:val="32"/>
          <w:szCs w:val="32"/>
          <w:highlight w:val="none"/>
        </w:rPr>
        <w:t>（三）成果</w:t>
      </w:r>
      <w:r>
        <w:rPr>
          <w:rFonts w:hint="eastAsia" w:ascii="CESI楷体-GB13000" w:hAnsi="CESI楷体-GB13000" w:eastAsia="CESI楷体-GB13000" w:cs="CESI楷体-GB13000"/>
          <w:color w:val="auto"/>
          <w:kern w:val="0"/>
          <w:sz w:val="32"/>
          <w:szCs w:val="32"/>
          <w:highlight w:val="none"/>
          <w:lang w:eastAsia="zh-CN"/>
        </w:rPr>
        <w:t>具体</w:t>
      </w:r>
      <w:r>
        <w:rPr>
          <w:rFonts w:hint="eastAsia" w:ascii="CESI楷体-GB13000" w:hAnsi="CESI楷体-GB13000" w:eastAsia="CESI楷体-GB13000" w:cs="CESI楷体-GB13000"/>
          <w:color w:val="auto"/>
          <w:kern w:val="0"/>
          <w:sz w:val="32"/>
          <w:szCs w:val="32"/>
          <w:highlight w:val="none"/>
        </w:rPr>
        <w:t>要求</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1.完成1:500地形图测绘报告文本，报告内容包括：控制测量、1:500地形图测量及1:1000断面测量、树木测量及土石方测量。成果需加盖勘测单位公章及出图章，技术成果形式要求电子</w:t>
      </w:r>
      <w:r>
        <w:rPr>
          <w:rFonts w:hint="eastAsia" w:ascii="仿宋_GB2312" w:hAnsi="仿宋_GB2312" w:eastAsia="仿宋_GB2312" w:cs="仿宋_GB2312"/>
          <w:color w:val="auto"/>
          <w:kern w:val="0"/>
          <w:sz w:val="32"/>
          <w:szCs w:val="32"/>
          <w:highlight w:val="none"/>
        </w:rPr>
        <w:t>文件贰份</w:t>
      </w:r>
      <w:r>
        <w:rPr>
          <w:rFonts w:hint="eastAsia" w:ascii="仿宋_GB2312" w:hAnsi="仿宋_GB2312" w:eastAsia="仿宋_GB2312" w:cs="仿宋_GB2312"/>
          <w:color w:val="auto"/>
          <w:kern w:val="0"/>
          <w:sz w:val="32"/>
          <w:szCs w:val="32"/>
          <w:highlight w:val="none"/>
          <w:lang w:eastAsia="zh-CN"/>
        </w:rPr>
        <w:t>（光盘</w:t>
      </w:r>
      <w:r>
        <w:rPr>
          <w:rFonts w:hint="eastAsia" w:ascii="仿宋_GB2312" w:hAnsi="仿宋_GB2312" w:eastAsia="仿宋_GB2312" w:cs="仿宋_GB2312"/>
          <w:color w:val="auto"/>
          <w:kern w:val="0"/>
          <w:sz w:val="32"/>
          <w:szCs w:val="32"/>
          <w:highlight w:val="none"/>
          <w:lang w:val="en-US" w:eastAsia="zh-CN"/>
        </w:rPr>
        <w:t>2个</w:t>
      </w:r>
      <w:r>
        <w:rPr>
          <w:rFonts w:hint="eastAsia" w:ascii="仿宋_GB2312" w:hAnsi="仿宋_GB2312" w:eastAsia="仿宋_GB2312" w:cs="仿宋_GB2312"/>
          <w:color w:val="auto"/>
          <w:kern w:val="0"/>
          <w:sz w:val="32"/>
          <w:szCs w:val="32"/>
          <w:highlight w:val="none"/>
          <w:lang w:eastAsia="zh-CN"/>
        </w:rPr>
        <w:t>）、纸质</w:t>
      </w:r>
      <w:r>
        <w:rPr>
          <w:rFonts w:hint="eastAsia" w:ascii="仿宋_GB2312" w:hAnsi="仿宋_GB2312" w:eastAsia="仿宋_GB2312" w:cs="仿宋_GB2312"/>
          <w:color w:val="auto"/>
          <w:kern w:val="0"/>
          <w:sz w:val="32"/>
          <w:szCs w:val="32"/>
          <w:highlight w:val="none"/>
        </w:rPr>
        <w:t>文本和图纸资料一式捌份，文本采用A</w:t>
      </w:r>
      <w:r>
        <w:rPr>
          <w:rFonts w:hint="eastAsia" w:ascii="仿宋_GB2312" w:hAnsi="仿宋_GB2312" w:eastAsia="仿宋_GB2312" w:cs="仿宋_GB2312"/>
          <w:color w:val="auto"/>
          <w:kern w:val="0"/>
          <w:sz w:val="32"/>
          <w:szCs w:val="32"/>
          <w:highlight w:val="none"/>
          <w:lang w:eastAsia="zh-CN"/>
        </w:rPr>
        <w:t>4</w:t>
      </w:r>
      <w:r>
        <w:rPr>
          <w:rFonts w:hint="eastAsia" w:ascii="仿宋_GB2312" w:hAnsi="仿宋_GB2312" w:eastAsia="仿宋_GB2312" w:cs="仿宋_GB2312"/>
          <w:color w:val="auto"/>
          <w:kern w:val="0"/>
          <w:sz w:val="32"/>
          <w:szCs w:val="32"/>
          <w:highlight w:val="none"/>
        </w:rPr>
        <w:t>纸</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汇报</w:t>
      </w:r>
      <w:r>
        <w:rPr>
          <w:rFonts w:hint="eastAsia" w:ascii="仿宋_GB2312" w:hAnsi="仿宋_GB2312" w:eastAsia="仿宋_GB2312" w:cs="仿宋_GB2312"/>
          <w:color w:val="auto"/>
          <w:kern w:val="0"/>
          <w:sz w:val="32"/>
          <w:szCs w:val="32"/>
          <w:highlight w:val="none"/>
          <w:lang w:eastAsia="zh-CN"/>
        </w:rPr>
        <w:t>使用</w:t>
      </w:r>
      <w:r>
        <w:rPr>
          <w:rFonts w:hint="eastAsia" w:ascii="仿宋_GB2312" w:hAnsi="仿宋_GB2312" w:eastAsia="仿宋_GB2312" w:cs="仿宋_GB2312"/>
          <w:color w:val="auto"/>
          <w:kern w:val="0"/>
          <w:sz w:val="32"/>
          <w:szCs w:val="32"/>
          <w:highlight w:val="none"/>
        </w:rPr>
        <w:t>的电子演示文件。</w:t>
      </w:r>
    </w:p>
    <w:p>
      <w:pPr>
        <w:spacing w:line="360" w:lineRule="auto"/>
        <w:ind w:firstLine="662" w:firstLineChars="207"/>
        <w:rPr>
          <w:rFonts w:hint="eastAsia" w:ascii="宋体" w:hAnsi="宋体" w:cs="Times New Roman"/>
          <w:color w:val="auto"/>
          <w:sz w:val="24"/>
          <w:szCs w:val="24"/>
          <w:highlight w:val="none"/>
        </w:rPr>
      </w:pPr>
      <w:r>
        <w:rPr>
          <w:rFonts w:hint="eastAsia" w:ascii="仿宋_GB2312" w:hAnsi="仿宋_GB2312" w:eastAsia="仿宋_GB2312" w:cs="仿宋_GB2312"/>
          <w:color w:val="auto"/>
          <w:kern w:val="0"/>
          <w:sz w:val="32"/>
          <w:szCs w:val="32"/>
          <w:highlight w:val="none"/>
          <w:lang w:val="en-US" w:eastAsia="zh-CN"/>
        </w:rPr>
        <w:t>2.完成地下管线物探成果报告文本，内容包括：地下管、渠的平面位置、规格、控制点高程、附属井规格、内底高程、排水管道内水流状况及方向等。成果需加盖勘测单位公章及出图章，技术成果形式要求电子文件贰份（光</w:t>
      </w:r>
      <w:r>
        <w:rPr>
          <w:rFonts w:hint="eastAsia" w:ascii="仿宋_GB2312" w:hAnsi="仿宋_GB2312" w:eastAsia="仿宋_GB2312" w:cs="仿宋_GB2312"/>
          <w:color w:val="auto"/>
          <w:kern w:val="0"/>
          <w:sz w:val="32"/>
          <w:szCs w:val="32"/>
          <w:highlight w:val="none"/>
          <w:lang w:eastAsia="zh-CN"/>
        </w:rPr>
        <w:t>盘</w:t>
      </w:r>
      <w:r>
        <w:rPr>
          <w:rFonts w:hint="eastAsia" w:ascii="仿宋_GB2312" w:hAnsi="仿宋_GB2312" w:eastAsia="仿宋_GB2312" w:cs="仿宋_GB2312"/>
          <w:color w:val="auto"/>
          <w:kern w:val="0"/>
          <w:sz w:val="32"/>
          <w:szCs w:val="32"/>
          <w:highlight w:val="none"/>
          <w:lang w:val="en-US" w:eastAsia="zh-CN"/>
        </w:rPr>
        <w:t>2个</w:t>
      </w:r>
      <w:r>
        <w:rPr>
          <w:rFonts w:hint="eastAsia" w:ascii="仿宋_GB2312" w:hAnsi="仿宋_GB2312" w:eastAsia="仿宋_GB2312" w:cs="仿宋_GB2312"/>
          <w:color w:val="auto"/>
          <w:kern w:val="0"/>
          <w:sz w:val="32"/>
          <w:szCs w:val="32"/>
          <w:highlight w:val="none"/>
          <w:lang w:eastAsia="zh-CN"/>
        </w:rPr>
        <w:t>）、纸质</w:t>
      </w:r>
      <w:r>
        <w:rPr>
          <w:rFonts w:hint="eastAsia" w:ascii="仿宋_GB2312" w:hAnsi="仿宋_GB2312" w:eastAsia="仿宋_GB2312" w:cs="仿宋_GB2312"/>
          <w:color w:val="auto"/>
          <w:kern w:val="0"/>
          <w:sz w:val="32"/>
          <w:szCs w:val="32"/>
          <w:highlight w:val="none"/>
        </w:rPr>
        <w:t>文本和图纸资料一式捌份。</w:t>
      </w:r>
    </w:p>
    <w:p>
      <w:pPr>
        <w:spacing w:line="360" w:lineRule="auto"/>
        <w:ind w:firstLine="662" w:firstLineChars="207"/>
        <w:rPr>
          <w:rFonts w:hint="eastAsia" w:ascii="宋体" w:hAnsi="宋体" w:cs="Times New Roman"/>
          <w:color w:val="auto"/>
          <w:sz w:val="24"/>
          <w:szCs w:val="24"/>
          <w:highlight w:val="none"/>
        </w:rPr>
      </w:pPr>
      <w:r>
        <w:rPr>
          <w:rFonts w:hint="eastAsia" w:ascii="仿宋_GB2312" w:hAnsi="仿宋_GB2312" w:eastAsia="仿宋_GB2312" w:cs="仿宋_GB2312"/>
          <w:color w:val="auto"/>
          <w:kern w:val="0"/>
          <w:sz w:val="32"/>
          <w:szCs w:val="32"/>
          <w:highlight w:val="none"/>
          <w:lang w:val="en-US" w:eastAsia="zh-CN"/>
        </w:rPr>
        <w:t>3、完成岩土工程勘察成果报告，内容包括：查明沿线各地段的地质、地貌、地层结构特征、各类土层的物理力学性质；对地基承载力进行评价。提供土层内摩擦角、粘聚力值、地基承载力等岩土参数，满足工程设计需求。成果需加盖勘测单位公章、出图章及注册岩土执业印章，技术成果形式要求电子文件贰份（光</w:t>
      </w:r>
      <w:r>
        <w:rPr>
          <w:rFonts w:hint="eastAsia" w:ascii="仿宋_GB2312" w:hAnsi="仿宋_GB2312" w:eastAsia="仿宋_GB2312" w:cs="仿宋_GB2312"/>
          <w:color w:val="auto"/>
          <w:kern w:val="0"/>
          <w:sz w:val="32"/>
          <w:szCs w:val="32"/>
          <w:highlight w:val="none"/>
          <w:lang w:eastAsia="zh-CN"/>
        </w:rPr>
        <w:t>盘</w:t>
      </w:r>
      <w:r>
        <w:rPr>
          <w:rFonts w:hint="eastAsia" w:ascii="仿宋_GB2312" w:hAnsi="仿宋_GB2312" w:eastAsia="仿宋_GB2312" w:cs="仿宋_GB2312"/>
          <w:color w:val="auto"/>
          <w:kern w:val="0"/>
          <w:sz w:val="32"/>
          <w:szCs w:val="32"/>
          <w:highlight w:val="none"/>
          <w:lang w:val="en-US" w:eastAsia="zh-CN"/>
        </w:rPr>
        <w:t>2个</w:t>
      </w:r>
      <w:r>
        <w:rPr>
          <w:rFonts w:hint="eastAsia" w:ascii="仿宋_GB2312" w:hAnsi="仿宋_GB2312" w:eastAsia="仿宋_GB2312" w:cs="仿宋_GB2312"/>
          <w:color w:val="auto"/>
          <w:kern w:val="0"/>
          <w:sz w:val="32"/>
          <w:szCs w:val="32"/>
          <w:highlight w:val="none"/>
          <w:lang w:eastAsia="zh-CN"/>
        </w:rPr>
        <w:t>）、纸质</w:t>
      </w:r>
      <w:r>
        <w:rPr>
          <w:rFonts w:hint="eastAsia" w:ascii="仿宋_GB2312" w:hAnsi="仿宋_GB2312" w:eastAsia="仿宋_GB2312" w:cs="仿宋_GB2312"/>
          <w:color w:val="auto"/>
          <w:kern w:val="0"/>
          <w:sz w:val="32"/>
          <w:szCs w:val="32"/>
          <w:highlight w:val="none"/>
        </w:rPr>
        <w:t>文本和图纸资料一式捌份。</w:t>
      </w:r>
    </w:p>
    <w:p>
      <w:pPr>
        <w:pageBreakBefore w:val="0"/>
        <w:kinsoku/>
        <w:wordWrap/>
        <w:overflowPunct/>
        <w:topLinePunct w:val="0"/>
        <w:autoSpaceDE/>
        <w:autoSpaceDN/>
        <w:bidi w:val="0"/>
        <w:spacing w:line="578" w:lineRule="exact"/>
        <w:ind w:firstLine="640" w:firstLineChars="200"/>
        <w:rPr>
          <w:rFonts w:ascii="黑体" w:hAnsi="黑体" w:eastAsia="黑体" w:cs="仿宋"/>
          <w:color w:val="auto"/>
          <w:sz w:val="32"/>
          <w:szCs w:val="32"/>
          <w:highlight w:val="none"/>
        </w:rPr>
      </w:pPr>
      <w:r>
        <w:rPr>
          <w:rFonts w:hint="eastAsia" w:ascii="CESI黑体-GB2312" w:hAnsi="CESI黑体-GB2312" w:eastAsia="CESI黑体-GB2312" w:cs="CESI黑体-GB2312"/>
          <w:color w:val="auto"/>
          <w:sz w:val="32"/>
          <w:szCs w:val="32"/>
          <w:highlight w:val="none"/>
          <w:lang w:val="en-US" w:eastAsia="zh-CN"/>
        </w:rPr>
        <w:t>四、</w:t>
      </w:r>
      <w:r>
        <w:rPr>
          <w:rFonts w:hint="eastAsia" w:ascii="黑体" w:hAnsi="黑体" w:eastAsia="黑体" w:cs="仿宋"/>
          <w:color w:val="auto"/>
          <w:sz w:val="32"/>
          <w:szCs w:val="32"/>
          <w:highlight w:val="none"/>
        </w:rPr>
        <w:t>供应商资格要求</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1"/>
        <w:gridCol w:w="3072"/>
        <w:gridCol w:w="430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1"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bCs/>
                <w:color w:val="auto"/>
                <w:sz w:val="24"/>
                <w:szCs w:val="24"/>
                <w:highlight w:val="none"/>
              </w:rPr>
            </w:pPr>
            <w:r>
              <w:rPr>
                <w:rFonts w:ascii="仿宋_GB2312" w:hAnsi="仿宋_GB2312" w:eastAsia="仿宋_GB2312" w:cs="仿宋_GB2312"/>
                <w:b/>
                <w:bCs/>
                <w:color w:val="auto"/>
                <w:sz w:val="24"/>
                <w:szCs w:val="24"/>
                <w:highlight w:val="none"/>
              </w:rPr>
              <w:t xml:space="preserve"> 序号</w:t>
            </w:r>
          </w:p>
        </w:tc>
        <w:tc>
          <w:tcPr>
            <w:tcW w:w="7375" w:type="dxa"/>
            <w:gridSpan w:val="2"/>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bCs/>
                <w:color w:val="auto"/>
                <w:sz w:val="24"/>
                <w:szCs w:val="24"/>
                <w:highlight w:val="none"/>
              </w:rPr>
            </w:pPr>
            <w:r>
              <w:rPr>
                <w:rFonts w:ascii="仿宋_GB2312" w:hAnsi="仿宋_GB2312" w:eastAsia="仿宋_GB2312" w:cs="仿宋_GB2312"/>
                <w:b/>
                <w:bCs/>
                <w:color w:val="auto"/>
                <w:sz w:val="24"/>
                <w:szCs w:val="24"/>
                <w:highlight w:val="none"/>
              </w:rPr>
              <w:t xml:space="preserve"> 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1</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具有独立承担民事责任的能力</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在中华人民共和国境内注册的法人或其他组织或自然人，（响应）时提交有效的营业执照（或事业法人登记证或身份证等相关证明）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val="0"/>
                <w:color w:val="auto"/>
                <w:sz w:val="24"/>
                <w:szCs w:val="24"/>
                <w:highlight w:val="none"/>
                <w:lang w:val="en-US" w:eastAsia="zh-Hans"/>
              </w:rPr>
            </w:pPr>
            <w:r>
              <w:rPr>
                <w:rFonts w:ascii="仿宋_GB2312" w:hAnsi="仿宋_GB2312" w:eastAsia="仿宋_GB2312" w:cs="仿宋_GB2312"/>
                <w:b w:val="0"/>
                <w:bCs w:val="0"/>
                <w:color w:val="auto"/>
                <w:sz w:val="24"/>
                <w:szCs w:val="24"/>
                <w:highlight w:val="none"/>
              </w:rPr>
              <w:t>2</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color w:val="auto"/>
                <w:sz w:val="24"/>
                <w:szCs w:val="24"/>
                <w:highlight w:val="none"/>
              </w:rPr>
              <w:t>项目负责人具有</w:t>
            </w:r>
            <w:r>
              <w:rPr>
                <w:rFonts w:hint="eastAsia" w:ascii="仿宋_GB2312" w:hAnsi="仿宋_GB2312" w:eastAsia="仿宋_GB2312" w:cs="仿宋_GB2312"/>
                <w:color w:val="auto"/>
                <w:sz w:val="24"/>
                <w:szCs w:val="24"/>
                <w:highlight w:val="none"/>
                <w:lang w:eastAsia="zh-CN"/>
              </w:rPr>
              <w:t>注册岩土工程师执业资格</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rPr>
              <w:t>项目负责人具有</w:t>
            </w:r>
            <w:r>
              <w:rPr>
                <w:rFonts w:hint="eastAsia" w:ascii="仿宋_GB2312" w:hAnsi="仿宋_GB2312" w:eastAsia="仿宋_GB2312" w:cs="仿宋_GB2312"/>
                <w:color w:val="auto"/>
                <w:sz w:val="24"/>
                <w:szCs w:val="24"/>
                <w:highlight w:val="none"/>
                <w:lang w:eastAsia="zh-CN"/>
              </w:rPr>
              <w:t>注册岩土工程师执业资格</w:t>
            </w:r>
            <w:r>
              <w:rPr>
                <w:rFonts w:hint="eastAsia" w:ascii="仿宋_GB2312" w:hAnsi="仿宋_GB2312" w:eastAsia="仿宋_GB2312" w:cs="仿宋_GB2312"/>
                <w:color w:val="auto"/>
                <w:sz w:val="24"/>
                <w:szCs w:val="24"/>
                <w:highlight w:val="none"/>
              </w:rPr>
              <w:t>，并提供社保证明。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val="0"/>
                <w:color w:val="auto"/>
                <w:sz w:val="24"/>
                <w:szCs w:val="24"/>
                <w:highlight w:val="none"/>
                <w:lang w:val="en-US" w:eastAsia="zh-Hans"/>
              </w:rPr>
            </w:pPr>
            <w:r>
              <w:rPr>
                <w:rFonts w:ascii="仿宋_GB2312" w:hAnsi="仿宋_GB2312" w:eastAsia="仿宋_GB2312" w:cs="仿宋_GB2312"/>
                <w:b w:val="0"/>
                <w:bCs w:val="0"/>
                <w:color w:val="auto"/>
                <w:sz w:val="24"/>
                <w:szCs w:val="24"/>
                <w:highlight w:val="none"/>
              </w:rPr>
              <w:t>3</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有依法缴纳税收和社会保障资金的良好记录</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有依法缴纳税收和社会保障资金的良好记录；【提供《承诺函》（自定格式）】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val="0"/>
                <w:color w:val="auto"/>
                <w:sz w:val="24"/>
                <w:szCs w:val="24"/>
                <w:highlight w:val="none"/>
                <w:lang w:val="en-US" w:eastAsia="zh-Hans"/>
              </w:rPr>
            </w:pPr>
            <w:r>
              <w:rPr>
                <w:rFonts w:ascii="仿宋_GB2312" w:hAnsi="仿宋_GB2312" w:eastAsia="仿宋_GB2312" w:cs="仿宋_GB2312"/>
                <w:b w:val="0"/>
                <w:bCs w:val="0"/>
                <w:color w:val="auto"/>
                <w:sz w:val="24"/>
                <w:szCs w:val="24"/>
                <w:highlight w:val="none"/>
              </w:rPr>
              <w:t>4</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具有良好的商业信誉和健全的财务会计制度</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具有良好的商业信誉和健全的财务会计制度；【提供《承诺函》（自定格式）】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val="0"/>
                <w:color w:val="auto"/>
                <w:sz w:val="24"/>
                <w:szCs w:val="24"/>
                <w:highlight w:val="none"/>
                <w:lang w:val="en-US" w:eastAsia="zh-Hans"/>
              </w:rPr>
            </w:pPr>
            <w:r>
              <w:rPr>
                <w:rFonts w:ascii="仿宋_GB2312" w:hAnsi="仿宋_GB2312" w:eastAsia="仿宋_GB2312" w:cs="仿宋_GB2312"/>
                <w:b w:val="0"/>
                <w:bCs w:val="0"/>
                <w:color w:val="auto"/>
                <w:sz w:val="24"/>
                <w:szCs w:val="24"/>
                <w:highlight w:val="none"/>
              </w:rPr>
              <w:t>5</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履行合同所必需的设备和专业技术能力</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提供履行合同所必需的设备及专业技术能力情况的书面声明。【提供《承诺函》（自定格式）】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val="0"/>
                <w:color w:val="auto"/>
                <w:sz w:val="24"/>
                <w:szCs w:val="24"/>
                <w:highlight w:val="none"/>
                <w:lang w:val="en-US" w:eastAsia="zh-Hans"/>
              </w:rPr>
            </w:pPr>
            <w:r>
              <w:rPr>
                <w:rFonts w:ascii="仿宋_GB2312" w:hAnsi="仿宋_GB2312" w:eastAsia="仿宋_GB2312" w:cs="仿宋_GB2312"/>
                <w:b w:val="0"/>
                <w:bCs w:val="0"/>
                <w:color w:val="auto"/>
                <w:sz w:val="24"/>
                <w:szCs w:val="24"/>
                <w:highlight w:val="none"/>
              </w:rPr>
              <w:t>6</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参加采购活动前3年内，在经营活动中没有重大违法记录</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承诺函》（自定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7</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信用记录</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提供</w:t>
            </w:r>
            <w:r>
              <w:rPr>
                <w:rFonts w:hint="eastAsia" w:ascii="仿宋_GB2312" w:hAnsi="仿宋_GB2312" w:eastAsia="仿宋_GB2312" w:cs="仿宋_GB2312"/>
                <w:b w:val="0"/>
                <w:bCs w:val="0"/>
                <w:color w:val="auto"/>
                <w:sz w:val="24"/>
                <w:szCs w:val="24"/>
                <w:highlight w:val="none"/>
                <w:lang w:val="en-US" w:eastAsia="zh-CN"/>
              </w:rPr>
              <w:t>相关网站查询记录</w:t>
            </w:r>
            <w:r>
              <w:rPr>
                <w:rFonts w:ascii="仿宋_GB2312" w:hAnsi="仿宋_GB2312" w:eastAsia="仿宋_GB2312" w:cs="仿宋_GB2312"/>
                <w:b w:val="0"/>
                <w:bCs w:val="0"/>
                <w:color w:val="auto"/>
                <w:sz w:val="24"/>
                <w:szCs w:val="24"/>
                <w:highlight w:val="none"/>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hint="default" w:ascii="仿宋_GB2312" w:hAnsi="仿宋_GB2312" w:eastAsia="仿宋_GB2312" w:cs="仿宋_GB2312"/>
                <w:b w:val="0"/>
                <w:bCs w:val="0"/>
                <w:color w:val="auto"/>
                <w:sz w:val="24"/>
                <w:szCs w:val="24"/>
                <w:highlight w:val="none"/>
                <w:lang w:val="en"/>
              </w:rPr>
              <w:t>8</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供应商必须符合法律、行政法规规定的其他条件</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left"/>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承诺函》（自定格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1"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default" w:ascii="仿宋_GB2312" w:hAnsi="仿宋_GB2312" w:eastAsia="仿宋_GB2312" w:cs="仿宋_GB2312"/>
                <w:b w:val="0"/>
                <w:bCs w:val="0"/>
                <w:color w:val="auto"/>
                <w:sz w:val="24"/>
                <w:szCs w:val="24"/>
                <w:highlight w:val="none"/>
                <w:lang w:val="en"/>
              </w:rPr>
            </w:pPr>
            <w:r>
              <w:rPr>
                <w:rFonts w:hint="default" w:ascii="仿宋_GB2312" w:hAnsi="仿宋_GB2312" w:eastAsia="仿宋_GB2312" w:cs="仿宋_GB2312"/>
                <w:b w:val="0"/>
                <w:bCs w:val="0"/>
                <w:color w:val="auto"/>
                <w:sz w:val="24"/>
                <w:szCs w:val="24"/>
                <w:highlight w:val="none"/>
                <w:lang w:val="en"/>
              </w:rPr>
              <w:t>9</w:t>
            </w:r>
          </w:p>
        </w:tc>
        <w:tc>
          <w:tcPr>
            <w:tcW w:w="3072" w:type="dxa"/>
            <w:noWrap w:val="0"/>
            <w:vAlign w:val="center"/>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ascii="仿宋_GB2312" w:hAnsi="仿宋_GB2312" w:eastAsia="仿宋_GB2312" w:cs="仿宋_GB2312"/>
                <w:b w:val="0"/>
                <w:bCs w:val="0"/>
                <w:color w:val="auto"/>
                <w:sz w:val="24"/>
                <w:szCs w:val="24"/>
                <w:highlight w:val="none"/>
              </w:rPr>
            </w:pPr>
            <w:r>
              <w:rPr>
                <w:rFonts w:ascii="仿宋_GB2312" w:hAnsi="仿宋_GB2312" w:eastAsia="仿宋_GB2312" w:cs="仿宋_GB2312"/>
                <w:b w:val="0"/>
                <w:bCs w:val="0"/>
                <w:color w:val="auto"/>
                <w:sz w:val="24"/>
                <w:szCs w:val="24"/>
                <w:highlight w:val="none"/>
              </w:rPr>
              <w:t>本采购包专门面向中小企业采购</w:t>
            </w:r>
          </w:p>
        </w:tc>
        <w:tc>
          <w:tcPr>
            <w:tcW w:w="4303" w:type="dxa"/>
            <w:noWrap w:val="0"/>
            <w:vAlign w:val="top"/>
          </w:tcPr>
          <w:p>
            <w:pPr>
              <w:pStyle w:val="25"/>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b w:val="0"/>
                <w:bCs w:val="0"/>
                <w:color w:val="auto"/>
                <w:sz w:val="24"/>
                <w:szCs w:val="24"/>
                <w:highlight w:val="none"/>
                <w:lang w:eastAsia="zh-CN"/>
              </w:rPr>
            </w:pPr>
            <w:r>
              <w:rPr>
                <w:rFonts w:ascii="仿宋_GB2312" w:hAnsi="仿宋_GB2312" w:eastAsia="仿宋_GB2312" w:cs="仿宋_GB2312"/>
                <w:b w:val="0"/>
                <w:bCs w:val="0"/>
                <w:color w:val="auto"/>
                <w:sz w:val="24"/>
                <w:szCs w:val="24"/>
                <w:highlight w:val="none"/>
              </w:rPr>
              <w:t>参与的供应商（联合体）服务全部由符合政策要求的中小企业承接</w:t>
            </w:r>
            <w:r>
              <w:rPr>
                <w:rFonts w:hint="eastAsia" w:ascii="仿宋_GB2312" w:hAnsi="仿宋_GB2312" w:eastAsia="仿宋_GB2312" w:cs="仿宋_GB2312"/>
                <w:b w:val="0"/>
                <w:bCs w:val="0"/>
                <w:color w:val="auto"/>
                <w:sz w:val="24"/>
                <w:szCs w:val="24"/>
                <w:highlight w:val="none"/>
                <w:lang w:eastAsia="zh-CN"/>
              </w:rPr>
              <w:t>。</w:t>
            </w:r>
            <w:r>
              <w:rPr>
                <w:rFonts w:ascii="仿宋_GB2312" w:hAnsi="仿宋_GB2312" w:eastAsia="仿宋_GB2312" w:cs="仿宋_GB2312"/>
                <w:b w:val="0"/>
                <w:bCs w:val="0"/>
                <w:color w:val="auto"/>
                <w:sz w:val="24"/>
                <w:szCs w:val="24"/>
                <w:highlight w:val="none"/>
              </w:rPr>
              <w:t>【提供</w:t>
            </w:r>
            <w:r>
              <w:rPr>
                <w:rFonts w:hint="eastAsia" w:ascii="仿宋_GB2312" w:hAnsi="仿宋_GB2312" w:eastAsia="仿宋_GB2312" w:cs="仿宋_GB2312"/>
                <w:b w:val="0"/>
                <w:bCs w:val="0"/>
                <w:color w:val="auto"/>
                <w:sz w:val="24"/>
                <w:szCs w:val="24"/>
                <w:highlight w:val="none"/>
              </w:rPr>
              <w:t>中小企业声明函</w:t>
            </w:r>
            <w:r>
              <w:rPr>
                <w:rFonts w:ascii="仿宋_GB2312" w:hAnsi="仿宋_GB2312" w:eastAsia="仿宋_GB2312" w:cs="仿宋_GB2312"/>
                <w:b w:val="0"/>
                <w:bCs w:val="0"/>
                <w:color w:val="auto"/>
                <w:sz w:val="24"/>
                <w:szCs w:val="24"/>
                <w:highlight w:val="none"/>
              </w:rPr>
              <w:t>】</w:t>
            </w:r>
          </w:p>
        </w:tc>
      </w:tr>
    </w:tbl>
    <w:p>
      <w:pPr>
        <w:pageBreakBefore w:val="0"/>
        <w:kinsoku/>
        <w:wordWrap/>
        <w:overflowPunct/>
        <w:topLinePunct w:val="0"/>
        <w:autoSpaceDE/>
        <w:autoSpaceDN/>
        <w:bidi w:val="0"/>
        <w:spacing w:line="578" w:lineRule="exact"/>
        <w:ind w:firstLine="640" w:firstLineChars="200"/>
        <w:rPr>
          <w:rFonts w:hint="eastAsia" w:ascii="黑体" w:hAnsi="黑体" w:eastAsia="黑体" w:cs="仿宋"/>
          <w:color w:val="auto"/>
          <w:sz w:val="32"/>
          <w:szCs w:val="32"/>
          <w:highlight w:val="none"/>
          <w:lang w:eastAsia="zh-CN"/>
        </w:rPr>
      </w:pPr>
      <w:r>
        <w:rPr>
          <w:rFonts w:hint="eastAsia" w:ascii="黑体" w:hAnsi="黑体" w:eastAsia="黑体" w:cs="仿宋"/>
          <w:color w:val="auto"/>
          <w:sz w:val="32"/>
          <w:szCs w:val="32"/>
          <w:highlight w:val="none"/>
          <w:lang w:eastAsia="zh-CN"/>
        </w:rPr>
        <w:t>六、应答供应商需提供资料</w:t>
      </w:r>
    </w:p>
    <w:p>
      <w:pPr>
        <w:ind w:firstLine="640" w:firstLineChars="200"/>
        <w:rPr>
          <w:rFonts w:hint="eastAsia" w:ascii="仿宋_GB2312" w:hAnsi="仿宋_GB2312" w:eastAsia="仿宋_GB2312" w:cs="仿宋_GB2312"/>
          <w:i w:val="0"/>
          <w:iCs w:val="0"/>
          <w:color w:val="auto"/>
          <w:sz w:val="32"/>
          <w:szCs w:val="32"/>
          <w:highlight w:val="none"/>
        </w:rPr>
      </w:pPr>
      <w:r>
        <w:rPr>
          <w:rFonts w:hint="eastAsia" w:ascii="仿宋_GB2312" w:hAnsi="仿宋_GB2312" w:eastAsia="仿宋_GB2312" w:cs="仿宋_GB2312"/>
          <w:i w:val="0"/>
          <w:iCs w:val="0"/>
          <w:color w:val="auto"/>
          <w:sz w:val="32"/>
          <w:szCs w:val="32"/>
          <w:highlight w:val="none"/>
        </w:rPr>
        <w:t>1.单位营业执照或社会组织法人登记证书复印件</w:t>
      </w:r>
      <w:r>
        <w:rPr>
          <w:rFonts w:hint="eastAsia" w:ascii="仿宋_GB2312" w:hAnsi="仿宋_GB2312" w:eastAsia="仿宋_GB2312" w:cs="仿宋_GB2312"/>
          <w:i w:val="0"/>
          <w:iCs w:val="0"/>
          <w:color w:val="auto"/>
          <w:sz w:val="32"/>
          <w:szCs w:val="32"/>
          <w:highlight w:val="none"/>
          <w:lang w:eastAsia="zh-CN"/>
        </w:rPr>
        <w:t>、</w:t>
      </w:r>
      <w:r>
        <w:rPr>
          <w:rFonts w:hint="eastAsia" w:ascii="仿宋_GB2312" w:hAnsi="仿宋_GB2312" w:eastAsia="仿宋_GB2312" w:cs="仿宋_GB2312"/>
          <w:i w:val="0"/>
          <w:iCs w:val="0"/>
          <w:color w:val="auto"/>
          <w:sz w:val="32"/>
          <w:szCs w:val="32"/>
          <w:highlight w:val="none"/>
        </w:rPr>
        <w:t>单位法定代表人身份证复印件（原件备查）；</w:t>
      </w:r>
    </w:p>
    <w:p>
      <w:pPr>
        <w:ind w:firstLine="640" w:firstLineChars="200"/>
        <w:rPr>
          <w:rFonts w:hint="eastAsia" w:ascii="仿宋_GB2312" w:hAnsi="仿宋_GB2312" w:eastAsia="仿宋_GB2312" w:cs="仿宋_GB2312"/>
          <w:i w:val="0"/>
          <w:iCs w:val="0"/>
          <w:color w:val="auto"/>
          <w:sz w:val="32"/>
          <w:szCs w:val="32"/>
          <w:highlight w:val="none"/>
        </w:rPr>
      </w:pPr>
      <w:r>
        <w:rPr>
          <w:rFonts w:hint="eastAsia" w:ascii="仿宋_GB2312" w:hAnsi="仿宋_GB2312" w:eastAsia="仿宋_GB2312" w:cs="仿宋_GB2312"/>
          <w:i w:val="0"/>
          <w:iCs w:val="0"/>
          <w:color w:val="auto"/>
          <w:sz w:val="32"/>
          <w:szCs w:val="32"/>
          <w:highlight w:val="none"/>
        </w:rPr>
        <w:t>2.</w:t>
      </w:r>
      <w:r>
        <w:rPr>
          <w:rFonts w:hint="eastAsia" w:ascii="仿宋_GB2312" w:hAnsi="仿宋_GB2312" w:eastAsia="仿宋_GB2312" w:cs="仿宋_GB2312"/>
          <w:i w:val="0"/>
          <w:iCs w:val="0"/>
          <w:color w:val="auto"/>
          <w:sz w:val="32"/>
          <w:szCs w:val="32"/>
          <w:highlight w:val="none"/>
          <w:lang w:eastAsia="zh-CN"/>
        </w:rPr>
        <w:t>报价函</w:t>
      </w:r>
      <w:r>
        <w:rPr>
          <w:rFonts w:hint="eastAsia" w:ascii="仿宋_GB2312" w:hAnsi="仿宋_GB2312" w:eastAsia="仿宋_GB2312" w:cs="仿宋_GB2312"/>
          <w:i w:val="0"/>
          <w:iCs w:val="0"/>
          <w:color w:val="auto"/>
          <w:sz w:val="32"/>
          <w:szCs w:val="32"/>
          <w:highlight w:val="none"/>
        </w:rPr>
        <w:t>，报价不得超过总预算</w:t>
      </w:r>
      <w:r>
        <w:rPr>
          <w:rFonts w:hint="eastAsia" w:ascii="仿宋_GB2312" w:hAnsi="仿宋_GB2312" w:eastAsia="仿宋_GB2312" w:cs="仿宋_GB2312"/>
          <w:i w:val="0"/>
          <w:iCs w:val="0"/>
          <w:color w:val="auto"/>
          <w:sz w:val="32"/>
          <w:szCs w:val="32"/>
          <w:highlight w:val="none"/>
          <w:lang w:eastAsia="zh-CN"/>
        </w:rPr>
        <w:t>；</w:t>
      </w:r>
    </w:p>
    <w:p>
      <w:pPr>
        <w:ind w:firstLine="640" w:firstLineChars="200"/>
        <w:rPr>
          <w:rFonts w:hint="default" w:ascii="仿宋_GB2312" w:hAnsi="仿宋_GB2312" w:eastAsia="仿宋_GB2312" w:cs="仿宋_GB2312"/>
          <w:i w:val="0"/>
          <w:iCs w:val="0"/>
          <w:color w:val="auto"/>
          <w:sz w:val="32"/>
          <w:szCs w:val="32"/>
          <w:highlight w:val="none"/>
          <w:lang w:val="en" w:eastAsia="zh-CN"/>
        </w:rPr>
      </w:pPr>
      <w:r>
        <w:rPr>
          <w:rFonts w:hint="eastAsia" w:ascii="仿宋_GB2312" w:hAnsi="仿宋_GB2312" w:eastAsia="仿宋_GB2312" w:cs="仿宋_GB2312"/>
          <w:i w:val="0"/>
          <w:iCs w:val="0"/>
          <w:color w:val="auto"/>
          <w:sz w:val="32"/>
          <w:szCs w:val="32"/>
          <w:highlight w:val="none"/>
        </w:rPr>
        <w:t>3.</w:t>
      </w:r>
      <w:r>
        <w:rPr>
          <w:rFonts w:hint="eastAsia" w:ascii="仿宋_GB2312" w:hAnsi="仿宋_GB2312" w:eastAsia="仿宋_GB2312" w:cs="仿宋_GB2312"/>
          <w:i w:val="0"/>
          <w:iCs w:val="0"/>
          <w:color w:val="auto"/>
          <w:sz w:val="32"/>
          <w:szCs w:val="32"/>
          <w:highlight w:val="none"/>
          <w:lang w:eastAsia="zh-CN"/>
        </w:rPr>
        <w:t>资质证书</w:t>
      </w:r>
      <w:r>
        <w:rPr>
          <w:rFonts w:hint="default" w:ascii="仿宋_GB2312" w:hAnsi="仿宋_GB2312" w:eastAsia="仿宋_GB2312" w:cs="仿宋_GB2312"/>
          <w:i w:val="0"/>
          <w:iCs w:val="0"/>
          <w:color w:val="auto"/>
          <w:sz w:val="32"/>
          <w:szCs w:val="32"/>
          <w:highlight w:val="none"/>
          <w:lang w:val="en" w:eastAsia="zh-CN"/>
        </w:rPr>
        <w:t>;</w:t>
      </w:r>
    </w:p>
    <w:p>
      <w:pPr>
        <w:ind w:firstLine="640" w:firstLineChars="200"/>
        <w:rPr>
          <w:rFonts w:hint="eastAsia" w:ascii="仿宋_GB2312" w:hAnsi="仿宋_GB2312" w:eastAsia="仿宋_GB2312" w:cs="仿宋_GB2312"/>
          <w:i w:val="0"/>
          <w:iCs w:val="0"/>
          <w:color w:val="auto"/>
          <w:sz w:val="32"/>
          <w:szCs w:val="32"/>
          <w:highlight w:val="none"/>
        </w:rPr>
      </w:pPr>
      <w:r>
        <w:rPr>
          <w:rFonts w:hint="default" w:ascii="仿宋_GB2312" w:hAnsi="仿宋_GB2312" w:eastAsia="仿宋_GB2312" w:cs="仿宋_GB2312"/>
          <w:i w:val="0"/>
          <w:iCs w:val="0"/>
          <w:color w:val="auto"/>
          <w:sz w:val="32"/>
          <w:szCs w:val="32"/>
          <w:highlight w:val="none"/>
          <w:lang w:val="en" w:eastAsia="zh-CN"/>
        </w:rPr>
        <w:t>4.</w:t>
      </w:r>
      <w:r>
        <w:rPr>
          <w:rFonts w:hint="eastAsia" w:ascii="仿宋_GB2312" w:hAnsi="仿宋_GB2312" w:eastAsia="仿宋_GB2312" w:cs="仿宋_GB2312"/>
          <w:i w:val="0"/>
          <w:iCs w:val="0"/>
          <w:color w:val="auto"/>
          <w:sz w:val="32"/>
          <w:szCs w:val="32"/>
          <w:highlight w:val="none"/>
        </w:rPr>
        <w:t>曾经承接过同类项目的资料；</w:t>
      </w:r>
    </w:p>
    <w:p>
      <w:pPr>
        <w:ind w:firstLine="640" w:firstLineChars="200"/>
        <w:rPr>
          <w:rFonts w:hint="eastAsia" w:ascii="仿宋_GB2312" w:hAnsi="仿宋_GB2312" w:eastAsia="仿宋_GB2312" w:cs="仿宋_GB2312"/>
          <w:i w:val="0"/>
          <w:iCs w:val="0"/>
          <w:color w:val="auto"/>
          <w:sz w:val="32"/>
          <w:szCs w:val="32"/>
          <w:highlight w:val="none"/>
        </w:rPr>
      </w:pPr>
      <w:r>
        <w:rPr>
          <w:rFonts w:hint="default" w:ascii="仿宋_GB2312" w:hAnsi="仿宋_GB2312" w:eastAsia="仿宋_GB2312" w:cs="仿宋_GB2312"/>
          <w:i w:val="0"/>
          <w:iCs w:val="0"/>
          <w:color w:val="auto"/>
          <w:sz w:val="32"/>
          <w:szCs w:val="32"/>
          <w:highlight w:val="none"/>
          <w:lang w:val="en"/>
        </w:rPr>
        <w:t>5</w:t>
      </w:r>
      <w:r>
        <w:rPr>
          <w:rFonts w:hint="eastAsia" w:ascii="仿宋_GB2312" w:hAnsi="仿宋_GB2312" w:eastAsia="仿宋_GB2312" w:cs="仿宋_GB2312"/>
          <w:i w:val="0"/>
          <w:iCs w:val="0"/>
          <w:color w:val="auto"/>
          <w:sz w:val="32"/>
          <w:szCs w:val="32"/>
          <w:highlight w:val="none"/>
        </w:rPr>
        <w:t>.</w:t>
      </w:r>
      <w:r>
        <w:rPr>
          <w:rFonts w:hint="eastAsia" w:ascii="仿宋_GB2312" w:hAnsi="仿宋_GB2312" w:eastAsia="仿宋_GB2312" w:cs="仿宋_GB2312"/>
          <w:i w:val="0"/>
          <w:iCs w:val="0"/>
          <w:color w:val="auto"/>
          <w:sz w:val="32"/>
          <w:szCs w:val="32"/>
          <w:highlight w:val="none"/>
          <w:lang w:val="en" w:eastAsia="zh-CN"/>
        </w:rPr>
        <w:t>声明及</w:t>
      </w:r>
      <w:r>
        <w:rPr>
          <w:rFonts w:hint="eastAsia" w:ascii="仿宋_GB2312" w:hAnsi="仿宋_GB2312" w:eastAsia="仿宋_GB2312" w:cs="仿宋_GB2312"/>
          <w:i w:val="0"/>
          <w:iCs w:val="0"/>
          <w:color w:val="auto"/>
          <w:sz w:val="32"/>
          <w:szCs w:val="32"/>
          <w:highlight w:val="none"/>
          <w:lang w:val="en-US" w:eastAsia="zh-CN"/>
        </w:rPr>
        <w:t>承诺书</w:t>
      </w:r>
      <w:r>
        <w:rPr>
          <w:rFonts w:hint="eastAsia" w:ascii="仿宋_GB2312" w:hAnsi="仿宋_GB2312" w:eastAsia="仿宋_GB2312" w:cs="仿宋_GB2312"/>
          <w:i w:val="0"/>
          <w:iCs w:val="0"/>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i w:val="0"/>
          <w:iCs w:val="0"/>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廉洁从业告知书；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7.供应商基本情况表；</w:t>
      </w:r>
    </w:p>
    <w:p>
      <w:pPr>
        <w:pStyle w:val="5"/>
        <w:ind w:firstLine="640" w:firstLineChars="200"/>
        <w:rPr>
          <w:rFonts w:hint="default"/>
          <w:i w:val="0"/>
          <w:iCs w:val="0"/>
          <w:color w:val="auto"/>
          <w:highlight w:val="none"/>
          <w:lang w:val="en" w:eastAsia="zh-CN"/>
        </w:rPr>
      </w:pPr>
      <w:r>
        <w:rPr>
          <w:rFonts w:hint="eastAsia" w:ascii="仿宋_GB2312" w:hAnsi="仿宋_GB2312" w:eastAsia="仿宋_GB2312" w:cs="仿宋_GB2312"/>
          <w:i w:val="0"/>
          <w:iCs w:val="0"/>
          <w:color w:val="auto"/>
          <w:sz w:val="32"/>
          <w:szCs w:val="32"/>
          <w:highlight w:val="none"/>
          <w:lang w:val="en-US" w:eastAsia="zh-CN"/>
        </w:rPr>
        <w:t>8.风险知悉确认书。</w:t>
      </w:r>
    </w:p>
    <w:p>
      <w:pPr>
        <w:ind w:firstLine="640" w:firstLineChars="200"/>
        <w:rPr>
          <w:rFonts w:hint="eastAsia" w:ascii="仿宋_GB2312" w:hAnsi="仿宋_GB2312" w:eastAsia="仿宋_GB2312" w:cs="仿宋_GB2312"/>
          <w:i w:val="0"/>
          <w:iCs w:val="0"/>
          <w:color w:val="auto"/>
          <w:sz w:val="32"/>
          <w:szCs w:val="32"/>
          <w:highlight w:val="none"/>
        </w:rPr>
      </w:pPr>
      <w:r>
        <w:rPr>
          <w:rFonts w:hint="eastAsia" w:ascii="仿宋_GB2312" w:hAnsi="仿宋_GB2312" w:eastAsia="仿宋_GB2312" w:cs="仿宋_GB2312"/>
          <w:i w:val="0"/>
          <w:iCs w:val="0"/>
          <w:color w:val="auto"/>
          <w:sz w:val="32"/>
          <w:szCs w:val="32"/>
          <w:highlight w:val="none"/>
        </w:rPr>
        <w:t>以上所有资料，均需加盖单位公章并密封包装，封口处应有法定代表人或其授权代表签字并加盖单位公章；封面注明</w:t>
      </w:r>
      <w:r>
        <w:rPr>
          <w:rFonts w:hint="eastAsia" w:ascii="仿宋_GB2312" w:hAnsi="仿宋_GB2312" w:eastAsia="仿宋_GB2312" w:cs="仿宋_GB2312"/>
          <w:i w:val="0"/>
          <w:iCs w:val="0"/>
          <w:color w:val="auto"/>
          <w:sz w:val="32"/>
          <w:szCs w:val="32"/>
          <w:highlight w:val="none"/>
          <w:lang w:eastAsia="zh-CN"/>
        </w:rPr>
        <w:t>应答供应商</w:t>
      </w:r>
      <w:r>
        <w:rPr>
          <w:rFonts w:hint="eastAsia" w:ascii="仿宋_GB2312" w:hAnsi="仿宋_GB2312" w:eastAsia="仿宋_GB2312" w:cs="仿宋_GB2312"/>
          <w:i w:val="0"/>
          <w:iCs w:val="0"/>
          <w:color w:val="auto"/>
          <w:sz w:val="32"/>
          <w:szCs w:val="32"/>
          <w:highlight w:val="none"/>
        </w:rPr>
        <w:t>的名称、地址、联系人及手机号码。</w:t>
      </w:r>
    </w:p>
    <w:p>
      <w:pPr>
        <w:pageBreakBefore w:val="0"/>
        <w:kinsoku/>
        <w:wordWrap/>
        <w:overflowPunct/>
        <w:topLinePunct w:val="0"/>
        <w:autoSpaceDE/>
        <w:autoSpaceDN/>
        <w:bidi w:val="0"/>
        <w:spacing w:line="578" w:lineRule="exact"/>
        <w:ind w:firstLine="640" w:firstLineChars="200"/>
        <w:rPr>
          <w:rFonts w:ascii="黑体" w:hAnsi="黑体" w:eastAsia="黑体" w:cs="仿宋"/>
          <w:color w:val="auto"/>
          <w:sz w:val="32"/>
          <w:szCs w:val="32"/>
          <w:highlight w:val="none"/>
        </w:rPr>
      </w:pPr>
      <w:r>
        <w:rPr>
          <w:rFonts w:hint="eastAsia" w:ascii="黑体" w:hAnsi="黑体" w:eastAsia="黑体" w:cs="仿宋"/>
          <w:color w:val="auto"/>
          <w:sz w:val="32"/>
          <w:szCs w:val="32"/>
          <w:highlight w:val="none"/>
          <w:lang w:eastAsia="zh-CN"/>
        </w:rPr>
        <w:t>七、评定</w:t>
      </w:r>
      <w:r>
        <w:rPr>
          <w:rFonts w:hint="eastAsia" w:ascii="黑体" w:hAnsi="黑体" w:eastAsia="黑体" w:cs="仿宋"/>
          <w:color w:val="auto"/>
          <w:sz w:val="32"/>
          <w:szCs w:val="32"/>
          <w:highlight w:val="none"/>
        </w:rPr>
        <w:t>方法</w:t>
      </w:r>
    </w:p>
    <w:p>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按照公司资质、经营状况，综合业绩及配合程度等，</w:t>
      </w:r>
      <w:r>
        <w:rPr>
          <w:rFonts w:hint="eastAsia" w:ascii="仿宋_GB2312" w:hAnsi="仿宋_GB2312" w:eastAsia="仿宋_GB2312" w:cs="仿宋_GB2312"/>
          <w:color w:val="auto"/>
          <w:sz w:val="32"/>
          <w:szCs w:val="32"/>
          <w:highlight w:val="none"/>
          <w:lang w:val="en-US" w:eastAsia="zh-CN"/>
        </w:rPr>
        <w:t>按照综合评分最高</w:t>
      </w:r>
      <w:r>
        <w:rPr>
          <w:rFonts w:hint="eastAsia" w:ascii="仿宋_GB2312" w:hAnsi="仿宋_GB2312" w:eastAsia="仿宋_GB2312" w:cs="仿宋_GB2312"/>
          <w:color w:val="auto"/>
          <w:sz w:val="32"/>
          <w:szCs w:val="32"/>
          <w:highlight w:val="none"/>
          <w:lang w:eastAsia="zh-CN"/>
        </w:rPr>
        <w:t>确定拟成交供应商。</w:t>
      </w:r>
    </w:p>
    <w:p>
      <w:pPr>
        <w:spacing w:line="560" w:lineRule="exact"/>
        <w:ind w:firstLine="640" w:firstLineChars="200"/>
        <w:rPr>
          <w:rFonts w:ascii="黑体" w:hAnsi="黑体" w:eastAsia="黑体" w:cs="仿宋"/>
          <w:color w:val="auto"/>
          <w:sz w:val="32"/>
          <w:szCs w:val="32"/>
          <w:highlight w:val="none"/>
        </w:rPr>
      </w:pPr>
      <w:r>
        <w:rPr>
          <w:rFonts w:hint="eastAsia" w:ascii="黑体" w:hAnsi="黑体" w:eastAsia="黑体" w:cs="仿宋"/>
          <w:color w:val="auto"/>
          <w:sz w:val="32"/>
          <w:szCs w:val="32"/>
          <w:highlight w:val="none"/>
          <w:lang w:eastAsia="zh-CN"/>
        </w:rPr>
        <w:t>八</w:t>
      </w:r>
      <w:r>
        <w:rPr>
          <w:rFonts w:hint="eastAsia" w:ascii="黑体" w:hAnsi="黑体" w:eastAsia="黑体" w:cs="仿宋"/>
          <w:color w:val="auto"/>
          <w:sz w:val="32"/>
          <w:szCs w:val="32"/>
          <w:highlight w:val="none"/>
        </w:rPr>
        <w:t>、商务需求</w:t>
      </w:r>
    </w:p>
    <w:p>
      <w:pPr>
        <w:spacing w:line="560" w:lineRule="exact"/>
        <w:ind w:firstLine="640" w:firstLineChars="200"/>
        <w:rPr>
          <w:rFonts w:ascii="仿宋_GB2312" w:hAnsi="仿宋" w:eastAsia="仿宋_GB2312" w:cs="仿宋"/>
          <w:color w:val="auto"/>
          <w:sz w:val="32"/>
          <w:szCs w:val="32"/>
          <w:highlight w:val="none"/>
        </w:rPr>
      </w:pPr>
      <w:r>
        <w:rPr>
          <w:rFonts w:hint="eastAsia" w:ascii="楷体_GB2312" w:hAnsi="楷体_GB2312" w:eastAsia="楷体_GB2312" w:cs="楷体_GB2312"/>
          <w:color w:val="auto"/>
          <w:sz w:val="32"/>
          <w:szCs w:val="32"/>
          <w:highlight w:val="none"/>
        </w:rPr>
        <w:t>（一）服务期</w:t>
      </w:r>
    </w:p>
    <w:p>
      <w:pPr>
        <w:spacing w:line="56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合同签订后项目开始实施并</w:t>
      </w:r>
      <w:r>
        <w:rPr>
          <w:rFonts w:hint="eastAsia" w:ascii="仿宋_GB2312" w:hAnsi="仿宋" w:eastAsia="仿宋_GB2312" w:cs="仿宋"/>
          <w:color w:val="auto"/>
          <w:sz w:val="32"/>
          <w:szCs w:val="32"/>
          <w:highlight w:val="none"/>
          <w:lang w:eastAsia="zh-CN"/>
        </w:rPr>
        <w:t>计</w:t>
      </w:r>
      <w:r>
        <w:rPr>
          <w:rFonts w:hint="eastAsia" w:ascii="仿宋_GB2312" w:hAnsi="仿宋" w:eastAsia="仿宋_GB2312" w:cs="仿宋"/>
          <w:color w:val="auto"/>
          <w:sz w:val="32"/>
          <w:szCs w:val="32"/>
          <w:highlight w:val="none"/>
        </w:rPr>
        <w:t>算服务时间，</w:t>
      </w:r>
      <w:r>
        <w:rPr>
          <w:rFonts w:hint="default" w:ascii="仿宋_GB2312" w:hAnsi="仿宋" w:eastAsia="仿宋_GB2312" w:cs="仿宋"/>
          <w:color w:val="auto"/>
          <w:sz w:val="32"/>
          <w:szCs w:val="32"/>
          <w:highlight w:val="none"/>
          <w:lang w:val="en" w:eastAsia="zh-CN"/>
        </w:rPr>
        <w:t>暂定服务期限为</w:t>
      </w:r>
      <w:r>
        <w:rPr>
          <w:rFonts w:hint="default" w:ascii="仿宋_GB2312" w:hAnsi="仿宋" w:eastAsia="仿宋_GB2312" w:cs="仿宋"/>
          <w:color w:val="auto"/>
          <w:sz w:val="32"/>
          <w:szCs w:val="32"/>
          <w:highlight w:val="none"/>
          <w:lang w:val="en" w:eastAsia="zh-CN"/>
        </w:rPr>
        <w:t>1</w:t>
      </w:r>
      <w:r>
        <w:rPr>
          <w:rFonts w:hint="eastAsia" w:ascii="仿宋_GB2312" w:hAnsi="仿宋" w:eastAsia="仿宋_GB2312" w:cs="仿宋"/>
          <w:color w:val="auto"/>
          <w:sz w:val="32"/>
          <w:szCs w:val="32"/>
          <w:highlight w:val="none"/>
          <w:lang w:val="en-US" w:eastAsia="zh-CN"/>
        </w:rPr>
        <w:t>个</w:t>
      </w:r>
      <w:r>
        <w:rPr>
          <w:rFonts w:hint="eastAsia" w:ascii="仿宋_GB2312" w:hAnsi="仿宋" w:eastAsia="仿宋_GB2312" w:cs="仿宋"/>
          <w:color w:val="auto"/>
          <w:sz w:val="32"/>
          <w:szCs w:val="32"/>
          <w:highlight w:val="none"/>
          <w:lang w:val="en-US" w:eastAsia="zh-CN"/>
        </w:rPr>
        <w:t>月</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如因</w:t>
      </w:r>
      <w:r>
        <w:rPr>
          <w:rFonts w:hint="eastAsia" w:ascii="仿宋_GB2312" w:hAnsi="仿宋" w:eastAsia="仿宋_GB2312" w:cs="仿宋"/>
          <w:color w:val="auto"/>
          <w:sz w:val="32"/>
          <w:szCs w:val="32"/>
          <w:highlight w:val="none"/>
          <w:lang w:eastAsia="zh-CN"/>
        </w:rPr>
        <w:t>采购方</w:t>
      </w:r>
      <w:r>
        <w:rPr>
          <w:rFonts w:hint="eastAsia" w:ascii="仿宋_GB2312" w:hAnsi="仿宋" w:eastAsia="仿宋_GB2312" w:cs="仿宋"/>
          <w:color w:val="auto"/>
          <w:sz w:val="32"/>
          <w:szCs w:val="32"/>
          <w:highlight w:val="none"/>
        </w:rPr>
        <w:t>原因或不可抗拒因素造成服务期限拖延，合同期限顺延。</w:t>
      </w:r>
    </w:p>
    <w:p>
      <w:pPr>
        <w:spacing w:line="560" w:lineRule="exact"/>
        <w:ind w:firstLine="640" w:firstLineChars="200"/>
        <w:rPr>
          <w:rFonts w:ascii="仿宋_GB2312" w:hAnsi="仿宋" w:eastAsia="仿宋_GB2312" w:cs="仿宋"/>
          <w:color w:val="auto"/>
          <w:sz w:val="32"/>
          <w:szCs w:val="32"/>
          <w:highlight w:val="none"/>
        </w:rPr>
      </w:pPr>
      <w:r>
        <w:rPr>
          <w:rFonts w:hint="eastAsia" w:ascii="楷体_GB2312" w:hAnsi="楷体_GB2312" w:eastAsia="楷体_GB2312" w:cs="楷体_GB2312"/>
          <w:color w:val="auto"/>
          <w:sz w:val="32"/>
          <w:szCs w:val="32"/>
          <w:highlight w:val="none"/>
        </w:rPr>
        <w:t>（二）服务地点</w:t>
      </w:r>
    </w:p>
    <w:p>
      <w:pPr>
        <w:spacing w:line="56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坪山区。</w:t>
      </w:r>
    </w:p>
    <w:p>
      <w:pPr>
        <w:spacing w:line="560" w:lineRule="exact"/>
        <w:ind w:firstLine="640" w:firstLineChars="200"/>
        <w:rPr>
          <w:rFonts w:ascii="仿宋_GB2312" w:hAnsi="仿宋" w:eastAsia="仿宋_GB2312" w:cs="仿宋"/>
          <w:color w:val="auto"/>
          <w:sz w:val="32"/>
          <w:szCs w:val="32"/>
          <w:highlight w:val="none"/>
        </w:rPr>
      </w:pPr>
      <w:r>
        <w:rPr>
          <w:rFonts w:hint="eastAsia" w:ascii="楷体_GB2312" w:hAnsi="楷体_GB2312" w:eastAsia="楷体_GB2312" w:cs="楷体_GB2312"/>
          <w:color w:val="auto"/>
          <w:sz w:val="32"/>
          <w:szCs w:val="32"/>
          <w:highlight w:val="none"/>
        </w:rPr>
        <w:t>（三）报价要求</w:t>
      </w:r>
    </w:p>
    <w:p>
      <w:pPr>
        <w:spacing w:line="560" w:lineRule="exact"/>
        <w:ind w:firstLine="640" w:firstLineChars="200"/>
        <w:rPr>
          <w:rFonts w:ascii="仿宋_GB2312" w:hAnsi="仿宋" w:eastAsia="仿宋_GB2312" w:cs="仿宋"/>
          <w:b w:val="0"/>
          <w:bCs w:val="0"/>
          <w:color w:val="auto"/>
          <w:sz w:val="32"/>
          <w:szCs w:val="32"/>
          <w:highlight w:val="none"/>
        </w:rPr>
      </w:pPr>
      <w:r>
        <w:rPr>
          <w:rFonts w:hint="eastAsia" w:ascii="仿宋_GB2312" w:hAnsi="仿宋" w:eastAsia="仿宋_GB2312" w:cs="仿宋"/>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报价不超预算金额，不低于行业最低价，符合相关法律、法规、规章的条款。</w:t>
      </w:r>
      <w:r>
        <w:rPr>
          <w:rFonts w:hint="eastAsia" w:ascii="仿宋_GB2312" w:hAnsi="仿宋" w:eastAsia="仿宋_GB2312" w:cs="仿宋"/>
          <w:color w:val="auto"/>
          <w:sz w:val="32"/>
          <w:szCs w:val="32"/>
          <w:highlight w:val="none"/>
        </w:rPr>
        <w:t>本项目服务费</w:t>
      </w:r>
      <w:r>
        <w:rPr>
          <w:rFonts w:hint="eastAsia" w:ascii="仿宋_GB2312" w:hAnsi="仿宋" w:eastAsia="仿宋_GB2312" w:cs="仿宋"/>
          <w:color w:val="auto"/>
          <w:sz w:val="32"/>
          <w:szCs w:val="32"/>
          <w:highlight w:val="none"/>
          <w:lang w:eastAsia="zh-CN"/>
        </w:rPr>
        <w:t>以合同约定为准，</w:t>
      </w:r>
      <w:r>
        <w:rPr>
          <w:rFonts w:hint="eastAsia" w:ascii="仿宋_GB2312" w:hAnsi="仿宋" w:eastAsia="仿宋_GB2312" w:cs="仿宋"/>
          <w:color w:val="auto"/>
          <w:sz w:val="32"/>
          <w:szCs w:val="32"/>
          <w:highlight w:val="none"/>
        </w:rPr>
        <w:t>应包括设备购置费、材料费、信息通讯费、交通费、劳务费、管理费以及税费等履行本合同义务的一切费用。除双方另有约定外,</w:t>
      </w:r>
      <w:r>
        <w:rPr>
          <w:rFonts w:hint="eastAsia" w:ascii="仿宋_GB2312" w:hAnsi="仿宋" w:eastAsia="仿宋_GB2312" w:cs="仿宋"/>
          <w:color w:val="auto"/>
          <w:sz w:val="32"/>
          <w:szCs w:val="32"/>
          <w:highlight w:val="none"/>
          <w:lang w:eastAsia="zh-CN"/>
        </w:rPr>
        <w:t>委托</w:t>
      </w:r>
      <w:r>
        <w:rPr>
          <w:rFonts w:hint="eastAsia" w:ascii="仿宋_GB2312" w:hAnsi="仿宋" w:eastAsia="仿宋_GB2312" w:cs="仿宋"/>
          <w:color w:val="auto"/>
          <w:sz w:val="32"/>
          <w:szCs w:val="32"/>
          <w:highlight w:val="none"/>
        </w:rPr>
        <w:t>方无需向</w:t>
      </w:r>
      <w:r>
        <w:rPr>
          <w:rFonts w:hint="eastAsia" w:ascii="仿宋_GB2312" w:hAnsi="仿宋" w:eastAsia="仿宋_GB2312" w:cs="仿宋"/>
          <w:color w:val="auto"/>
          <w:sz w:val="32"/>
          <w:szCs w:val="32"/>
          <w:highlight w:val="none"/>
          <w:lang w:eastAsia="zh-CN"/>
        </w:rPr>
        <w:t>咨询</w:t>
      </w:r>
      <w:r>
        <w:rPr>
          <w:rFonts w:hint="eastAsia" w:ascii="仿宋_GB2312" w:hAnsi="仿宋" w:eastAsia="仿宋_GB2312" w:cs="仿宋"/>
          <w:color w:val="auto"/>
          <w:sz w:val="32"/>
          <w:szCs w:val="32"/>
          <w:highlight w:val="none"/>
        </w:rPr>
        <w:t>方另行支付任何其他费用。由参加供应商根据采购文件所提供的资料自行测算报价；一经选中，报价总价作为</w:t>
      </w:r>
      <w:r>
        <w:rPr>
          <w:rFonts w:hint="eastAsia" w:ascii="仿宋_GB2312" w:hAnsi="仿宋" w:eastAsia="仿宋_GB2312" w:cs="仿宋"/>
          <w:color w:val="auto"/>
          <w:sz w:val="32"/>
          <w:szCs w:val="32"/>
          <w:highlight w:val="none"/>
          <w:lang w:eastAsia="zh-CN"/>
        </w:rPr>
        <w:t>成交</w:t>
      </w:r>
      <w:r>
        <w:rPr>
          <w:rFonts w:hint="eastAsia" w:ascii="仿宋_GB2312" w:hAnsi="仿宋" w:eastAsia="仿宋_GB2312" w:cs="仿宋"/>
          <w:color w:val="auto"/>
          <w:sz w:val="32"/>
          <w:szCs w:val="32"/>
          <w:highlight w:val="none"/>
        </w:rPr>
        <w:t>供应商与采购人签定的合同</w:t>
      </w:r>
      <w:r>
        <w:rPr>
          <w:rFonts w:hint="eastAsia" w:ascii="仿宋_GB2312" w:hAnsi="仿宋" w:eastAsia="仿宋_GB2312" w:cs="仿宋"/>
          <w:b w:val="0"/>
          <w:bCs w:val="0"/>
          <w:color w:val="auto"/>
          <w:sz w:val="32"/>
          <w:szCs w:val="32"/>
          <w:highlight w:val="none"/>
          <w:lang w:eastAsia="zh-CN"/>
        </w:rPr>
        <w:t>暂定</w:t>
      </w:r>
      <w:r>
        <w:rPr>
          <w:rFonts w:hint="eastAsia" w:ascii="仿宋_GB2312" w:hAnsi="仿宋" w:eastAsia="仿宋_GB2312" w:cs="仿宋"/>
          <w:b w:val="0"/>
          <w:bCs w:val="0"/>
          <w:color w:val="auto"/>
          <w:sz w:val="32"/>
          <w:szCs w:val="32"/>
          <w:highlight w:val="none"/>
        </w:rPr>
        <w:t>金额，</w:t>
      </w:r>
      <w:r>
        <w:rPr>
          <w:rFonts w:hint="eastAsia" w:ascii="仿宋_GB2312" w:hAnsi="仿宋" w:eastAsia="仿宋_GB2312" w:cs="仿宋"/>
          <w:b w:val="0"/>
          <w:bCs w:val="0"/>
          <w:color w:val="auto"/>
          <w:sz w:val="32"/>
          <w:szCs w:val="32"/>
          <w:highlight w:val="none"/>
          <w:lang w:eastAsia="zh-CN"/>
        </w:rPr>
        <w:t>尾款以概算批复总投资为计价基数计算，最终以工程决算审定金额为准</w:t>
      </w:r>
      <w:r>
        <w:rPr>
          <w:rFonts w:hint="eastAsia" w:ascii="仿宋_GB2312" w:hAnsi="仿宋" w:eastAsia="仿宋_GB2312" w:cs="仿宋"/>
          <w:b w:val="0"/>
          <w:bCs w:val="0"/>
          <w:color w:val="auto"/>
          <w:sz w:val="32"/>
          <w:szCs w:val="32"/>
          <w:highlight w:val="none"/>
        </w:rPr>
        <w:t>。</w:t>
      </w:r>
    </w:p>
    <w:p>
      <w:pPr>
        <w:spacing w:line="56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2.参加供应商应当根据本企业的成本自行决定报价，但不得以低于其企业成本的报价。</w:t>
      </w:r>
    </w:p>
    <w:p>
      <w:pPr>
        <w:spacing w:line="56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3.参加供应商的报价不得超过项目预算金额。</w:t>
      </w:r>
    </w:p>
    <w:p>
      <w:pPr>
        <w:spacing w:line="56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4.参加供应商的报价，应当是本项目采购范围和采购文件及合同条款上所列的各项内容中所述的全部，不得以任何理由予以重复。</w:t>
      </w:r>
    </w:p>
    <w:p>
      <w:pPr>
        <w:spacing w:line="56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5.除非采购人通过修改采购文件予以更正，否则，参加供应商应毫无例外地按响应文件所列的清单中项目和数量填报综合单价和合价。参加供应商未填综合单价或合价的项目，在实施后，将不得以支付，并视作该项费用已包括在</w:t>
      </w:r>
      <w:r>
        <w:rPr>
          <w:rFonts w:hint="eastAsia" w:ascii="仿宋_GB2312" w:hAnsi="仿宋" w:eastAsia="仿宋_GB2312" w:cs="仿宋"/>
          <w:color w:val="auto"/>
          <w:sz w:val="32"/>
          <w:szCs w:val="32"/>
          <w:highlight w:val="none"/>
          <w:lang w:eastAsia="zh-CN"/>
        </w:rPr>
        <w:t>其他</w:t>
      </w:r>
      <w:r>
        <w:rPr>
          <w:rFonts w:hint="eastAsia" w:ascii="仿宋_GB2312" w:hAnsi="仿宋" w:eastAsia="仿宋_GB2312" w:cs="仿宋"/>
          <w:color w:val="auto"/>
          <w:sz w:val="32"/>
          <w:szCs w:val="32"/>
          <w:highlight w:val="none"/>
        </w:rPr>
        <w:t>有价款的综合单价或合价内。</w:t>
      </w:r>
    </w:p>
    <w:p>
      <w:pPr>
        <w:spacing w:line="56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6.参加供应商应先到项目地点踏勘以充分了解项目的位置、情况、道路及任何</w:t>
      </w:r>
      <w:r>
        <w:rPr>
          <w:rFonts w:hint="eastAsia" w:ascii="仿宋_GB2312" w:hAnsi="仿宋" w:eastAsia="仿宋_GB2312" w:cs="仿宋"/>
          <w:color w:val="auto"/>
          <w:sz w:val="32"/>
          <w:szCs w:val="32"/>
          <w:highlight w:val="none"/>
          <w:lang w:eastAsia="zh-CN"/>
        </w:rPr>
        <w:t>其他</w:t>
      </w:r>
      <w:r>
        <w:rPr>
          <w:rFonts w:hint="eastAsia" w:ascii="仿宋_GB2312" w:hAnsi="仿宋" w:eastAsia="仿宋_GB2312" w:cs="仿宋"/>
          <w:color w:val="auto"/>
          <w:sz w:val="32"/>
          <w:szCs w:val="32"/>
          <w:highlight w:val="none"/>
        </w:rPr>
        <w:t>足以影响报价的情况，任何因忽视或误解项目情况而导致的索赔或服务期限延长申请将不获批准。</w:t>
      </w:r>
    </w:p>
    <w:p>
      <w:pPr>
        <w:spacing w:line="560" w:lineRule="exact"/>
        <w:ind w:firstLine="640" w:firstLineChars="200"/>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rPr>
        <w:t>7.参加供应商不得期望通过索赔等方式获取补偿，否则，除可能遭到拒绝外，还可能将被作为不良行为记录在案，并可能影响其以后参加政府采购的项目。各参加供应商在报价时，应充分考虑报价的风险。</w:t>
      </w:r>
    </w:p>
    <w:p>
      <w:pPr>
        <w:spacing w:line="560" w:lineRule="exact"/>
        <w:ind w:firstLine="640" w:firstLineChars="200"/>
        <w:rPr>
          <w:rFonts w:hint="eastAsia" w:ascii="仿宋_GB2312" w:hAnsi="仿宋" w:eastAsia="仿宋_GB2312" w:cs="仿宋"/>
          <w:color w:val="auto"/>
          <w:sz w:val="32"/>
          <w:szCs w:val="32"/>
          <w:highlight w:val="none"/>
        </w:rPr>
      </w:pPr>
      <w:r>
        <w:rPr>
          <w:rFonts w:ascii="仿宋_GB2312" w:hAnsi="仿宋" w:eastAsia="仿宋_GB2312" w:cs="仿宋"/>
          <w:color w:val="auto"/>
          <w:sz w:val="32"/>
          <w:szCs w:val="32"/>
          <w:highlight w:val="none"/>
          <w:lang w:val="en"/>
        </w:rPr>
        <w:t>8</w:t>
      </w:r>
      <w:r>
        <w:rPr>
          <w:rFonts w:hint="eastAsia" w:ascii="仿宋_GB2312" w:hAnsi="仿宋" w:eastAsia="仿宋_GB2312" w:cs="仿宋"/>
          <w:color w:val="auto"/>
          <w:sz w:val="32"/>
          <w:szCs w:val="32"/>
          <w:highlight w:val="none"/>
        </w:rPr>
        <w:t>.具体违约条款及</w:t>
      </w:r>
      <w:r>
        <w:rPr>
          <w:rFonts w:hint="eastAsia" w:ascii="仿宋_GB2312" w:hAnsi="仿宋" w:eastAsia="仿宋_GB2312" w:cs="仿宋"/>
          <w:color w:val="auto"/>
          <w:sz w:val="32"/>
          <w:szCs w:val="32"/>
          <w:highlight w:val="none"/>
          <w:lang w:eastAsia="zh-CN"/>
        </w:rPr>
        <w:t>其他</w:t>
      </w:r>
      <w:r>
        <w:rPr>
          <w:rFonts w:hint="eastAsia" w:ascii="仿宋_GB2312" w:hAnsi="仿宋" w:eastAsia="仿宋_GB2312" w:cs="仿宋"/>
          <w:color w:val="auto"/>
          <w:sz w:val="32"/>
          <w:szCs w:val="32"/>
          <w:highlight w:val="none"/>
        </w:rPr>
        <w:t>未尽事宜，将在双方签订合同时约定。</w:t>
      </w:r>
    </w:p>
    <w:p>
      <w:pPr>
        <w:pageBreakBefore w:val="0"/>
        <w:kinsoku/>
        <w:wordWrap/>
        <w:overflowPunct/>
        <w:topLinePunct w:val="0"/>
        <w:autoSpaceDE/>
        <w:autoSpaceDN/>
        <w:bidi w:val="0"/>
        <w:spacing w:line="578" w:lineRule="exact"/>
        <w:ind w:firstLine="640" w:firstLineChars="200"/>
        <w:rPr>
          <w:rFonts w:hint="eastAsia"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（四）付款方式</w:t>
      </w:r>
    </w:p>
    <w:p>
      <w:pPr>
        <w:pageBreakBefore w:val="0"/>
        <w:kinsoku/>
        <w:wordWrap/>
        <w:overflowPunct/>
        <w:topLinePunct w:val="0"/>
        <w:autoSpaceDE/>
        <w:autoSpaceDN/>
        <w:bidi w:val="0"/>
        <w:spacing w:line="578"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首次支付：提交全部测绘成果且获得概算批复后，在收到发票之日起30个工作日内支付至合同暂定价的80%。</w:t>
      </w:r>
    </w:p>
    <w:p>
      <w:pPr>
        <w:pageBreakBefore w:val="0"/>
        <w:kinsoku/>
        <w:wordWrap/>
        <w:overflowPunct/>
        <w:topLinePunct w:val="0"/>
        <w:autoSpaceDE/>
        <w:autoSpaceDN/>
        <w:bidi w:val="0"/>
        <w:spacing w:line="578"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余款支付：待项目决算后支付，最终金额以财审部门审定的价格或甲方选定的第三方决算审核单位审定的价格为准。本项目（工程）如经坪山区财政投资评审，则以坪山区财政部门评审结果作为工程价款结（决）算的依据，如未经坪山区财政评审，则以坪山区财政部门出具的备案证明及甲方指定的第三方审核单位的审定价作为工程价款结（决）算的依据；如审定价金额高于合同暂定价的，则取合同暂定价作为最终结算金额；如审定价金额低于合同暂定价的，则取审定价金额作为最终结算金额。</w:t>
      </w:r>
    </w:p>
    <w:p>
      <w:pPr>
        <w:pageBreakBefore w:val="0"/>
        <w:kinsoku/>
        <w:wordWrap/>
        <w:overflowPunct/>
        <w:topLinePunct w:val="0"/>
        <w:autoSpaceDE/>
        <w:autoSpaceDN/>
        <w:bidi w:val="0"/>
        <w:spacing w:line="578" w:lineRule="exact"/>
        <w:ind w:firstLine="640" w:firstLineChars="200"/>
        <w:rPr>
          <w:rFonts w:hint="eastAsia"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lang w:eastAsia="zh-CN"/>
        </w:rPr>
        <w:t>（</w:t>
      </w:r>
      <w:r>
        <w:rPr>
          <w:rFonts w:hint="eastAsia" w:ascii="方正楷体_GBK" w:hAnsi="方正楷体_GBK" w:eastAsia="方正楷体_GBK" w:cs="方正楷体_GBK"/>
          <w:color w:val="auto"/>
          <w:sz w:val="32"/>
          <w:szCs w:val="32"/>
          <w:highlight w:val="none"/>
          <w:lang w:val="en-US" w:eastAsia="zh-CN"/>
        </w:rPr>
        <w:t>五</w:t>
      </w:r>
      <w:r>
        <w:rPr>
          <w:rFonts w:hint="eastAsia" w:ascii="方正楷体_GBK" w:hAnsi="方正楷体_GBK" w:eastAsia="方正楷体_GBK" w:cs="方正楷体_GBK"/>
          <w:color w:val="auto"/>
          <w:sz w:val="32"/>
          <w:szCs w:val="32"/>
          <w:highlight w:val="none"/>
          <w:lang w:eastAsia="zh-CN"/>
        </w:rPr>
        <w:t>）</w:t>
      </w:r>
      <w:r>
        <w:rPr>
          <w:rFonts w:hint="eastAsia" w:ascii="方正楷体_GBK" w:hAnsi="方正楷体_GBK" w:eastAsia="方正楷体_GBK" w:cs="方正楷体_GBK"/>
          <w:color w:val="auto"/>
          <w:sz w:val="32"/>
          <w:szCs w:val="32"/>
          <w:highlight w:val="none"/>
        </w:rPr>
        <w:t>履约担保金</w:t>
      </w:r>
    </w:p>
    <w:p>
      <w:pPr>
        <w:pageBreakBefore w:val="0"/>
        <w:numPr>
          <w:ilvl w:val="-1"/>
          <w:numId w:val="0"/>
        </w:numPr>
        <w:kinsoku/>
        <w:wordWrap/>
        <w:overflowPunct/>
        <w:topLinePunct w:val="0"/>
        <w:autoSpaceDE/>
        <w:autoSpaceDN/>
        <w:bidi w:val="0"/>
        <w:spacing w:line="56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eastAsia="zh-CN"/>
        </w:rPr>
        <w:t>无。</w:t>
      </w:r>
    </w:p>
    <w:p>
      <w:pPr>
        <w:pageBreakBefore w:val="0"/>
        <w:kinsoku/>
        <w:wordWrap/>
        <w:overflowPunct/>
        <w:topLinePunct w:val="0"/>
        <w:autoSpaceDE/>
        <w:autoSpaceDN/>
        <w:bidi w:val="0"/>
        <w:spacing w:line="578" w:lineRule="exact"/>
        <w:ind w:firstLine="640" w:firstLineChars="200"/>
        <w:rPr>
          <w:rFonts w:hint="eastAsia" w:ascii="方正楷体_GBK" w:hAnsi="方正楷体_GBK" w:eastAsia="方正楷体_GBK" w:cs="方正楷体_GBK"/>
          <w:color w:val="auto"/>
          <w:sz w:val="32"/>
          <w:szCs w:val="32"/>
          <w:highlight w:val="none"/>
          <w:lang w:eastAsia="zh-CN"/>
        </w:rPr>
      </w:pPr>
      <w:r>
        <w:rPr>
          <w:rFonts w:hint="eastAsia" w:ascii="方正楷体_GBK" w:hAnsi="方正楷体_GBK" w:eastAsia="方正楷体_GBK" w:cs="方正楷体_GBK"/>
          <w:color w:val="auto"/>
          <w:sz w:val="32"/>
          <w:szCs w:val="32"/>
          <w:highlight w:val="none"/>
          <w:lang w:eastAsia="zh-CN"/>
        </w:rPr>
        <w:t>（</w:t>
      </w:r>
      <w:r>
        <w:rPr>
          <w:rFonts w:hint="eastAsia" w:ascii="方正楷体_GBK" w:hAnsi="方正楷体_GBK" w:eastAsia="方正楷体_GBK" w:cs="方正楷体_GBK"/>
          <w:color w:val="auto"/>
          <w:sz w:val="32"/>
          <w:szCs w:val="32"/>
          <w:highlight w:val="none"/>
          <w:lang w:val="en-US" w:eastAsia="zh-CN"/>
        </w:rPr>
        <w:t>六</w:t>
      </w:r>
      <w:r>
        <w:rPr>
          <w:rFonts w:hint="eastAsia" w:ascii="方正楷体_GBK" w:hAnsi="方正楷体_GBK" w:eastAsia="方正楷体_GBK" w:cs="方正楷体_GBK"/>
          <w:color w:val="auto"/>
          <w:sz w:val="32"/>
          <w:szCs w:val="32"/>
          <w:highlight w:val="none"/>
          <w:lang w:eastAsia="zh-CN"/>
        </w:rPr>
        <w:t>）违约责任</w:t>
      </w:r>
    </w:p>
    <w:p>
      <w:pPr>
        <w:pageBreakBefore w:val="0"/>
        <w:numPr>
          <w:ilvl w:val="0"/>
          <w:numId w:val="0"/>
        </w:numPr>
        <w:kinsoku/>
        <w:wordWrap/>
        <w:overflowPunct/>
        <w:topLinePunct w:val="0"/>
        <w:autoSpaceDE/>
        <w:autoSpaceDN/>
        <w:bidi w:val="0"/>
        <w:spacing w:line="560" w:lineRule="exact"/>
        <w:ind w:firstLine="640" w:firstLineChars="200"/>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color w:val="auto"/>
          <w:sz w:val="32"/>
          <w:szCs w:val="32"/>
          <w:highlight w:val="none"/>
        </w:rPr>
        <w:t>根据用户方提供情况制定</w:t>
      </w:r>
      <w:r>
        <w:rPr>
          <w:rFonts w:hint="eastAsia" w:ascii="仿宋_GB2312" w:hAnsi="仿宋" w:eastAsia="仿宋_GB2312" w:cs="仿宋"/>
          <w:color w:val="auto"/>
          <w:sz w:val="32"/>
          <w:szCs w:val="32"/>
          <w:highlight w:val="none"/>
          <w:lang w:eastAsia="zh-CN"/>
        </w:rPr>
        <w:t>。</w:t>
      </w:r>
    </w:p>
    <w:p>
      <w:pPr>
        <w:pageBreakBefore w:val="0"/>
        <w:kinsoku/>
        <w:wordWrap/>
        <w:overflowPunct/>
        <w:topLinePunct w:val="0"/>
        <w:autoSpaceDE/>
        <w:autoSpaceDN/>
        <w:bidi w:val="0"/>
        <w:spacing w:line="578" w:lineRule="exact"/>
        <w:ind w:firstLine="640" w:firstLineChars="200"/>
        <w:rPr>
          <w:rFonts w:hint="default" w:ascii="方正楷体_GBK" w:hAnsi="方正楷体_GBK" w:eastAsia="方正楷体_GBK" w:cs="方正楷体_GBK"/>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eastAsia="zh-CN"/>
        </w:rPr>
        <w:t>（七）其他：</w:t>
      </w:r>
      <w:r>
        <w:rPr>
          <w:rFonts w:hint="eastAsia" w:ascii="方正楷体_GBK" w:hAnsi="方正楷体_GBK" w:eastAsia="方正楷体_GBK" w:cs="方正楷体_GBK"/>
          <w:color w:val="auto"/>
          <w:sz w:val="32"/>
          <w:szCs w:val="32"/>
          <w:highlight w:val="none"/>
          <w:lang w:val="en-US" w:eastAsia="zh-CN"/>
        </w:rPr>
        <w:t>无</w:t>
      </w:r>
    </w:p>
    <w:p>
      <w:pPr>
        <w:numPr>
          <w:ilvl w:val="0"/>
          <w:numId w:val="0"/>
        </w:numPr>
        <w:spacing w:line="560" w:lineRule="exact"/>
        <w:ind w:firstLine="640" w:firstLineChars="200"/>
        <w:jc w:val="center"/>
        <w:rPr>
          <w:vanish/>
          <w:color w:val="auto"/>
          <w:highlight w:val="none"/>
        </w:rPr>
      </w:pPr>
      <w:r>
        <w:rPr>
          <w:rFonts w:hint="eastAsia" w:ascii="仿宋_GB2312" w:hAnsi="仿宋" w:eastAsia="仿宋_GB2312" w:cs="仿宋"/>
          <w:vanish/>
          <w:color w:val="auto"/>
          <w:kern w:val="2"/>
          <w:sz w:val="32"/>
          <w:szCs w:val="32"/>
          <w:highlight w:val="none"/>
          <w:lang w:val="en-US" w:eastAsia="zh-CN"/>
        </w:rPr>
        <w:t xml:space="preserve"> </w:t>
      </w:r>
    </w:p>
    <w:sectPr>
      <w:footerReference r:id="rId3" w:type="default"/>
      <w:pgSz w:w="11906" w:h="16838"/>
      <w:pgMar w:top="1480" w:right="1417" w:bottom="1559" w:left="1417"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roman"/>
    <w:pitch w:val="default"/>
    <w:sig w:usb0="00000000" w:usb1="00000000" w:usb2="00000009" w:usb3="00000000" w:csb0="400001FF" w:csb1="FFFF0000"/>
  </w:font>
  <w:font w:name="宋体">
    <w:altName w:val="方正书宋_GBK"/>
    <w:panose1 w:val="02010600030101010101"/>
    <w:charset w:val="0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altName w:val="方正楷体_GBK"/>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CESI楷体-GB13000">
    <w:panose1 w:val="02000500000000000000"/>
    <w:charset w:val="86"/>
    <w:family w:val="auto"/>
    <w:pitch w:val="default"/>
    <w:sig w:usb0="800002BF" w:usb1="38CF7CF8" w:usb2="00000016" w:usb3="00000000" w:csb0="0004000F" w:csb1="00000000"/>
  </w:font>
  <w:font w:name="CESI黑体-GB2312">
    <w:panose1 w:val="02000500000000000000"/>
    <w:charset w:val="86"/>
    <w:family w:val="auto"/>
    <w:pitch w:val="default"/>
    <w:sig w:usb0="800002BF" w:usb1="184F6CF8" w:usb2="00000012" w:usb3="00000000" w:csb0="0004000F" w:csb1="00000000"/>
  </w:font>
  <w:font w:name="方正楷体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w:t>
    </w:r>
    <w:r>
      <w:t xml:space="preserve"> 18 -</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FF8E34"/>
    <w:multiLevelType w:val="singleLevel"/>
    <w:tmpl w:val="EAFF8E3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YzhlYzg4NDQyYmQ1YjAwZjRjNjU5N2FlZTE3YzYifQ=="/>
  </w:docVars>
  <w:rsids>
    <w:rsidRoot w:val="6C866C71"/>
    <w:rsid w:val="000717F6"/>
    <w:rsid w:val="002C1639"/>
    <w:rsid w:val="006B0930"/>
    <w:rsid w:val="00722E6D"/>
    <w:rsid w:val="008067B4"/>
    <w:rsid w:val="00AA4EC4"/>
    <w:rsid w:val="00B56515"/>
    <w:rsid w:val="00D46E40"/>
    <w:rsid w:val="00EA319D"/>
    <w:rsid w:val="00FF0DC1"/>
    <w:rsid w:val="04414E70"/>
    <w:rsid w:val="07A66EDB"/>
    <w:rsid w:val="0B9AFFC6"/>
    <w:rsid w:val="0DA7F4F6"/>
    <w:rsid w:val="13374CC8"/>
    <w:rsid w:val="171E04C9"/>
    <w:rsid w:val="1BF1A067"/>
    <w:rsid w:val="1DFB5102"/>
    <w:rsid w:val="20247305"/>
    <w:rsid w:val="216B344E"/>
    <w:rsid w:val="220E74EF"/>
    <w:rsid w:val="22503E5F"/>
    <w:rsid w:val="22674714"/>
    <w:rsid w:val="23FD4055"/>
    <w:rsid w:val="257EF94A"/>
    <w:rsid w:val="25EB79A8"/>
    <w:rsid w:val="277F479E"/>
    <w:rsid w:val="2E7C40D8"/>
    <w:rsid w:val="2FB7C6A8"/>
    <w:rsid w:val="2FEDCA60"/>
    <w:rsid w:val="30B752C5"/>
    <w:rsid w:val="3230386D"/>
    <w:rsid w:val="35FDD2A9"/>
    <w:rsid w:val="36C7170E"/>
    <w:rsid w:val="375B0EB5"/>
    <w:rsid w:val="37FB1433"/>
    <w:rsid w:val="37FE364B"/>
    <w:rsid w:val="37FF22D4"/>
    <w:rsid w:val="3AE98F94"/>
    <w:rsid w:val="3BBD1973"/>
    <w:rsid w:val="3BFB90B7"/>
    <w:rsid w:val="3BFFA334"/>
    <w:rsid w:val="3D68E0E5"/>
    <w:rsid w:val="3DD7AEE9"/>
    <w:rsid w:val="3ED7829E"/>
    <w:rsid w:val="3F3F9F53"/>
    <w:rsid w:val="3F793215"/>
    <w:rsid w:val="3F7E29BC"/>
    <w:rsid w:val="3FB6CC76"/>
    <w:rsid w:val="43CD187F"/>
    <w:rsid w:val="470C1FFC"/>
    <w:rsid w:val="475BABBE"/>
    <w:rsid w:val="47EFA659"/>
    <w:rsid w:val="48373A94"/>
    <w:rsid w:val="4B9C5717"/>
    <w:rsid w:val="4E67423E"/>
    <w:rsid w:val="4EAFAF7A"/>
    <w:rsid w:val="4EFE03F8"/>
    <w:rsid w:val="4FC59261"/>
    <w:rsid w:val="4FDE9C56"/>
    <w:rsid w:val="51D72EED"/>
    <w:rsid w:val="542D34E3"/>
    <w:rsid w:val="5614752E"/>
    <w:rsid w:val="57EF3928"/>
    <w:rsid w:val="58930DE0"/>
    <w:rsid w:val="59C576D3"/>
    <w:rsid w:val="59FD51E4"/>
    <w:rsid w:val="5A7E829D"/>
    <w:rsid w:val="5ABFAEEB"/>
    <w:rsid w:val="5BE27185"/>
    <w:rsid w:val="5BFFC9E1"/>
    <w:rsid w:val="5CF5C591"/>
    <w:rsid w:val="5D75A47D"/>
    <w:rsid w:val="5F0F034A"/>
    <w:rsid w:val="5F6C78EB"/>
    <w:rsid w:val="5F77B4DC"/>
    <w:rsid w:val="5F7BBA8E"/>
    <w:rsid w:val="5FB37BD1"/>
    <w:rsid w:val="5FDD5651"/>
    <w:rsid w:val="5FF7ECCD"/>
    <w:rsid w:val="5FFDDC9D"/>
    <w:rsid w:val="64426B0C"/>
    <w:rsid w:val="64F970AB"/>
    <w:rsid w:val="65235233"/>
    <w:rsid w:val="699E400A"/>
    <w:rsid w:val="6B3220F6"/>
    <w:rsid w:val="6C866C71"/>
    <w:rsid w:val="6DFB3B73"/>
    <w:rsid w:val="6E6FDDB0"/>
    <w:rsid w:val="6EFFFB83"/>
    <w:rsid w:val="6FAD315C"/>
    <w:rsid w:val="6FB27C7C"/>
    <w:rsid w:val="6FD7FAAD"/>
    <w:rsid w:val="6FDF3EF1"/>
    <w:rsid w:val="6FDF6F2D"/>
    <w:rsid w:val="719B77C0"/>
    <w:rsid w:val="739919E9"/>
    <w:rsid w:val="73FF69B1"/>
    <w:rsid w:val="740A1EE6"/>
    <w:rsid w:val="75F55167"/>
    <w:rsid w:val="76C05D43"/>
    <w:rsid w:val="76DED452"/>
    <w:rsid w:val="76FFA1A9"/>
    <w:rsid w:val="770F5654"/>
    <w:rsid w:val="771BBE50"/>
    <w:rsid w:val="77642B54"/>
    <w:rsid w:val="776DFFCD"/>
    <w:rsid w:val="777FF0EA"/>
    <w:rsid w:val="77DF1334"/>
    <w:rsid w:val="77E9A9D0"/>
    <w:rsid w:val="77EB3934"/>
    <w:rsid w:val="77EE875C"/>
    <w:rsid w:val="77F23822"/>
    <w:rsid w:val="79B4515A"/>
    <w:rsid w:val="79FC41B4"/>
    <w:rsid w:val="7A3FCD31"/>
    <w:rsid w:val="7A7FB8F5"/>
    <w:rsid w:val="7AFF8A34"/>
    <w:rsid w:val="7B6D0756"/>
    <w:rsid w:val="7B6F0F83"/>
    <w:rsid w:val="7BAFFF09"/>
    <w:rsid w:val="7BB7F6D3"/>
    <w:rsid w:val="7CCFBBC4"/>
    <w:rsid w:val="7D5EED16"/>
    <w:rsid w:val="7DAB5290"/>
    <w:rsid w:val="7DB69DCD"/>
    <w:rsid w:val="7DF2686B"/>
    <w:rsid w:val="7DFD880B"/>
    <w:rsid w:val="7DFF512F"/>
    <w:rsid w:val="7E5FED4D"/>
    <w:rsid w:val="7E79787E"/>
    <w:rsid w:val="7EFA6813"/>
    <w:rsid w:val="7EFB92F0"/>
    <w:rsid w:val="7F5F8BE2"/>
    <w:rsid w:val="7F6199E3"/>
    <w:rsid w:val="7F6E645D"/>
    <w:rsid w:val="7F7CCE0A"/>
    <w:rsid w:val="7F7E20E3"/>
    <w:rsid w:val="7F7FCD67"/>
    <w:rsid w:val="7F8AEA6C"/>
    <w:rsid w:val="7FB6FBC4"/>
    <w:rsid w:val="7FDBD4EC"/>
    <w:rsid w:val="7FEFF235"/>
    <w:rsid w:val="7FF387E6"/>
    <w:rsid w:val="7FFD7A59"/>
    <w:rsid w:val="7FFF9D31"/>
    <w:rsid w:val="7FFFE938"/>
    <w:rsid w:val="8E460A13"/>
    <w:rsid w:val="989D8FD6"/>
    <w:rsid w:val="9B3F4E45"/>
    <w:rsid w:val="9DFD0A60"/>
    <w:rsid w:val="9FFEDDD8"/>
    <w:rsid w:val="A2ED1AAD"/>
    <w:rsid w:val="A7BE8CDA"/>
    <w:rsid w:val="A7DF3481"/>
    <w:rsid w:val="ACFF3250"/>
    <w:rsid w:val="AF9E903F"/>
    <w:rsid w:val="AFAD3FB4"/>
    <w:rsid w:val="AFFA5B7D"/>
    <w:rsid w:val="B22B54F9"/>
    <w:rsid w:val="B235F4B5"/>
    <w:rsid w:val="B2F7BB7D"/>
    <w:rsid w:val="B3EF1F5D"/>
    <w:rsid w:val="B47D68AF"/>
    <w:rsid w:val="B6F6FF89"/>
    <w:rsid w:val="BC7FBA34"/>
    <w:rsid w:val="BD9F925F"/>
    <w:rsid w:val="BDDF620B"/>
    <w:rsid w:val="BEDF1815"/>
    <w:rsid w:val="BEED7D91"/>
    <w:rsid w:val="BEF45F3D"/>
    <w:rsid w:val="BF68A55B"/>
    <w:rsid w:val="BF7B9C54"/>
    <w:rsid w:val="BFE61712"/>
    <w:rsid w:val="BFEB8259"/>
    <w:rsid w:val="BFF660B1"/>
    <w:rsid w:val="CBFEA67E"/>
    <w:rsid w:val="CC7707A5"/>
    <w:rsid w:val="CDFDA4F2"/>
    <w:rsid w:val="CF6D9E0D"/>
    <w:rsid w:val="CFBE8E12"/>
    <w:rsid w:val="D71EAC7E"/>
    <w:rsid w:val="D7F553A3"/>
    <w:rsid w:val="DD576889"/>
    <w:rsid w:val="DDF73618"/>
    <w:rsid w:val="DFBD38F4"/>
    <w:rsid w:val="DFF5A8E1"/>
    <w:rsid w:val="DFFF7568"/>
    <w:rsid w:val="E35E8D02"/>
    <w:rsid w:val="E73F34A0"/>
    <w:rsid w:val="E77F49D5"/>
    <w:rsid w:val="E7B65D09"/>
    <w:rsid w:val="EA5B3FCD"/>
    <w:rsid w:val="EAEC9C41"/>
    <w:rsid w:val="ED540E22"/>
    <w:rsid w:val="ED7F949D"/>
    <w:rsid w:val="EDB632AF"/>
    <w:rsid w:val="EE1F44AA"/>
    <w:rsid w:val="EE472716"/>
    <w:rsid w:val="EEFF3FAB"/>
    <w:rsid w:val="EF9DE53A"/>
    <w:rsid w:val="EFA67CA0"/>
    <w:rsid w:val="EFC3CEE3"/>
    <w:rsid w:val="EFEF37BF"/>
    <w:rsid w:val="F3F145AA"/>
    <w:rsid w:val="F5BBC2DC"/>
    <w:rsid w:val="F5E52FEA"/>
    <w:rsid w:val="F66BB5E0"/>
    <w:rsid w:val="F6F9B329"/>
    <w:rsid w:val="F7B2855A"/>
    <w:rsid w:val="F7BFB218"/>
    <w:rsid w:val="F7EB0830"/>
    <w:rsid w:val="FAFFF887"/>
    <w:rsid w:val="FBB7572D"/>
    <w:rsid w:val="FBB90444"/>
    <w:rsid w:val="FBCF702D"/>
    <w:rsid w:val="FBEF1095"/>
    <w:rsid w:val="FBF77D06"/>
    <w:rsid w:val="FBFB048B"/>
    <w:rsid w:val="FBFF0996"/>
    <w:rsid w:val="FC8E27E1"/>
    <w:rsid w:val="FCD2ED8F"/>
    <w:rsid w:val="FCF79C6F"/>
    <w:rsid w:val="FCFBFB41"/>
    <w:rsid w:val="FD939AF1"/>
    <w:rsid w:val="FDFBDB83"/>
    <w:rsid w:val="FDFF6899"/>
    <w:rsid w:val="FE7D8383"/>
    <w:rsid w:val="FEDBAE36"/>
    <w:rsid w:val="FEFC662C"/>
    <w:rsid w:val="FEFE1856"/>
    <w:rsid w:val="FF7B0EBC"/>
    <w:rsid w:val="FF7F1540"/>
    <w:rsid w:val="FF9FAD89"/>
    <w:rsid w:val="FFB47B05"/>
    <w:rsid w:val="FFCAFF2D"/>
    <w:rsid w:val="FFD2064C"/>
    <w:rsid w:val="FFDBF24E"/>
    <w:rsid w:val="FFF1831D"/>
    <w:rsid w:val="FFF9B2A2"/>
    <w:rsid w:val="FFFBE195"/>
    <w:rsid w:val="FFFE6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keepNext/>
      <w:keepLines/>
      <w:spacing w:before="50" w:beforeLines="50" w:after="50" w:afterLines="50"/>
      <w:outlineLvl w:val="1"/>
    </w:pPr>
    <w:rPr>
      <w:b/>
      <w:sz w:val="30"/>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qFormat/>
    <w:uiPriority w:val="99"/>
    <w:pPr>
      <w:adjustRightInd w:val="0"/>
      <w:snapToGrid w:val="0"/>
      <w:spacing w:beforeLines="50" w:afterLines="50"/>
      <w:ind w:firstLine="560"/>
    </w:pPr>
    <w:rPr>
      <w:rFonts w:ascii="楷体_GB2312" w:hAnsi="黑体" w:eastAsia="楷体_GB2312"/>
      <w:szCs w:val="28"/>
    </w:rPr>
  </w:style>
  <w:style w:type="paragraph" w:styleId="5">
    <w:name w:val="Body Text"/>
    <w:basedOn w:val="1"/>
    <w:next w:val="6"/>
    <w:qFormat/>
    <w:uiPriority w:val="0"/>
    <w:rPr>
      <w:rFonts w:ascii="Times New Roman" w:hAnsi="Times New Roman"/>
      <w:sz w:val="32"/>
      <w:szCs w:val="24"/>
    </w:rPr>
  </w:style>
  <w:style w:type="paragraph" w:styleId="6">
    <w:name w:val="Quote"/>
    <w:next w:val="1"/>
    <w:qFormat/>
    <w:uiPriority w:val="99"/>
    <w:pPr>
      <w:widowControl w:val="0"/>
      <w:jc w:val="both"/>
    </w:pPr>
    <w:rPr>
      <w:rFonts w:ascii="Calibri" w:hAnsi="Calibri" w:eastAsia="宋体" w:cs="Calibri"/>
      <w:i/>
      <w:iCs/>
      <w:color w:val="000000"/>
      <w:kern w:val="2"/>
      <w:sz w:val="22"/>
      <w:szCs w:val="22"/>
      <w:lang w:val="en-US" w:eastAsia="zh-CN" w:bidi="ar-SA"/>
    </w:rPr>
  </w:style>
  <w:style w:type="paragraph" w:styleId="7">
    <w:name w:val="Body Text Indent"/>
    <w:basedOn w:val="1"/>
    <w:semiHidden/>
    <w:qFormat/>
    <w:uiPriority w:val="99"/>
    <w:pPr>
      <w:ind w:firstLine="560"/>
    </w:p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link w:val="21"/>
    <w:qFormat/>
    <w:uiPriority w:val="0"/>
    <w:pPr>
      <w:tabs>
        <w:tab w:val="center" w:pos="4153"/>
        <w:tab w:val="right" w:pos="8306"/>
      </w:tabs>
      <w:snapToGrid w:val="0"/>
      <w:jc w:val="center"/>
    </w:pPr>
    <w:rPr>
      <w:sz w:val="18"/>
      <w:szCs w:val="18"/>
    </w:rPr>
  </w:style>
  <w:style w:type="paragraph" w:styleId="10">
    <w:name w:val="toc 1"/>
    <w:basedOn w:val="1"/>
    <w:next w:val="1"/>
    <w:qFormat/>
    <w:uiPriority w:val="0"/>
    <w:rPr>
      <w:rFonts w:ascii="Calibri" w:hAnsi="Calibri" w:eastAsia="宋体" w:cs="Times New Roman"/>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2">
    <w:name w:val="Normal (Web)"/>
    <w:basedOn w:val="1"/>
    <w:unhideWhenUsed/>
    <w:qFormat/>
    <w:uiPriority w:val="99"/>
    <w:pPr>
      <w:spacing w:after="150"/>
      <w:jc w:val="left"/>
    </w:pPr>
    <w:rPr>
      <w:kern w:val="0"/>
      <w:sz w:val="24"/>
    </w:rPr>
  </w:style>
  <w:style w:type="paragraph" w:styleId="13">
    <w:name w:val="Title"/>
    <w:basedOn w:val="1"/>
    <w:next w:val="1"/>
    <w:qFormat/>
    <w:uiPriority w:val="0"/>
    <w:pPr>
      <w:spacing w:line="560" w:lineRule="exact"/>
      <w:ind w:firstLine="883" w:firstLineChars="200"/>
      <w:jc w:val="center"/>
    </w:pPr>
    <w:rPr>
      <w:rFonts w:ascii="宋体" w:hAnsi="宋体" w:eastAsia="仿宋_GB2312"/>
      <w:b/>
      <w:sz w:val="44"/>
      <w:szCs w:val="44"/>
    </w:rPr>
  </w:style>
  <w:style w:type="paragraph" w:styleId="14">
    <w:name w:val="Body Text First Indent"/>
    <w:basedOn w:val="5"/>
    <w:qFormat/>
    <w:uiPriority w:val="99"/>
    <w:pPr>
      <w:spacing w:after="120" w:line="240" w:lineRule="auto"/>
      <w:ind w:firstLine="420" w:firstLineChars="100"/>
    </w:pPr>
    <w:rPr>
      <w:sz w:val="21"/>
    </w:rPr>
  </w:style>
  <w:style w:type="paragraph" w:styleId="15">
    <w:name w:val="Body Text First Indent 2"/>
    <w:basedOn w:val="7"/>
    <w:next w:val="4"/>
    <w:qFormat/>
    <w:uiPriority w:val="99"/>
    <w:pPr>
      <w:widowControl/>
      <w:adjustRightInd w:val="0"/>
      <w:snapToGrid w:val="0"/>
      <w:spacing w:after="120" w:afterLines="0" w:line="240" w:lineRule="auto"/>
      <w:ind w:left="902" w:firstLine="560"/>
      <w:jc w:val="left"/>
      <w:textAlignment w:val="baseline"/>
    </w:pPr>
    <w:rPr>
      <w:rFonts w:eastAsia="宋体"/>
      <w:kern w:val="0"/>
    </w:rPr>
  </w:style>
  <w:style w:type="table" w:styleId="17">
    <w:name w:val="Table Grid"/>
    <w:basedOn w:val="1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List Paragraph"/>
    <w:basedOn w:val="1"/>
    <w:qFormat/>
    <w:uiPriority w:val="34"/>
    <w:pPr>
      <w:ind w:firstLine="420" w:firstLineChars="200"/>
    </w:pPr>
  </w:style>
  <w:style w:type="paragraph" w:customStyle="1" w:styleId="20">
    <w:name w:val="Revision"/>
    <w:hidden/>
    <w:unhideWhenUsed/>
    <w:qFormat/>
    <w:uiPriority w:val="99"/>
    <w:rPr>
      <w:rFonts w:ascii="Calibri" w:hAnsi="Calibri" w:eastAsia="宋体" w:cs="Times New Roman"/>
      <w:kern w:val="2"/>
      <w:sz w:val="21"/>
      <w:szCs w:val="22"/>
      <w:lang w:val="en-US" w:eastAsia="zh-CN" w:bidi="ar-SA"/>
    </w:rPr>
  </w:style>
  <w:style w:type="character" w:customStyle="1" w:styleId="21">
    <w:name w:val="页眉 字符"/>
    <w:basedOn w:val="18"/>
    <w:link w:val="9"/>
    <w:qFormat/>
    <w:uiPriority w:val="0"/>
    <w:rPr>
      <w:rFonts w:ascii="Calibri" w:hAnsi="Calibri"/>
      <w:kern w:val="2"/>
      <w:sz w:val="18"/>
      <w:szCs w:val="18"/>
    </w:rPr>
  </w:style>
  <w:style w:type="character" w:customStyle="1" w:styleId="22">
    <w:name w:val="font11"/>
    <w:basedOn w:val="18"/>
    <w:qFormat/>
    <w:uiPriority w:val="0"/>
    <w:rPr>
      <w:rFonts w:hint="eastAsia" w:ascii="宋体" w:hAnsi="宋体" w:eastAsia="宋体" w:cs="宋体"/>
      <w:color w:val="000000"/>
      <w:sz w:val="22"/>
      <w:szCs w:val="22"/>
      <w:u w:val="none"/>
    </w:rPr>
  </w:style>
  <w:style w:type="character" w:customStyle="1" w:styleId="23">
    <w:name w:val="font31"/>
    <w:basedOn w:val="18"/>
    <w:qFormat/>
    <w:uiPriority w:val="0"/>
    <w:rPr>
      <w:rFonts w:hint="eastAsia" w:ascii="宋体" w:hAnsi="宋体" w:eastAsia="宋体" w:cs="宋体"/>
      <w:color w:val="000000"/>
      <w:sz w:val="22"/>
      <w:szCs w:val="22"/>
      <w:u w:val="none"/>
    </w:rPr>
  </w:style>
  <w:style w:type="character" w:customStyle="1" w:styleId="24">
    <w:name w:val="font21"/>
    <w:basedOn w:val="18"/>
    <w:qFormat/>
    <w:uiPriority w:val="0"/>
    <w:rPr>
      <w:rFonts w:hint="eastAsia" w:ascii="宋体" w:hAnsi="宋体" w:eastAsia="宋体" w:cs="宋体"/>
      <w:color w:val="000000"/>
      <w:sz w:val="22"/>
      <w:szCs w:val="22"/>
      <w:u w:val="none"/>
    </w:rPr>
  </w:style>
  <w:style w:type="paragraph" w:customStyle="1" w:styleId="2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3906</Words>
  <Characters>4099</Characters>
  <Lines>43</Lines>
  <Paragraphs>12</Paragraphs>
  <TotalTime>3</TotalTime>
  <ScaleCrop>false</ScaleCrop>
  <LinksUpToDate>false</LinksUpToDate>
  <CharactersWithSpaces>4106</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2021-09-18T09:16:00Z</dcterms:created>
  <dc:creator>Yao</dc:creator>
  <cp:lastModifiedBy>wangsa</cp:lastModifiedBy>
  <cp:lastPrinted>2025-05-31T06:51:00Z</cp:lastPrinted>
  <dcterms:modified xsi:type="dcterms:W3CDTF">2025-07-30T17:03:09Z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KSOSaveFontToCloudKey">
    <vt:lpwstr>261656352_cloud</vt:lpwstr>
  </property>
  <property fmtid="{D5CDD505-2E9C-101B-9397-08002B2CF9AE}" pid="4" name="ICV">
    <vt:lpwstr>91B8B5A66D234F88A38CB03801CD8CAF_13</vt:lpwstr>
  </property>
  <property fmtid="{D5CDD505-2E9C-101B-9397-08002B2CF9AE}" pid="5" name="KSOTemplateDocerSaveRecord">
    <vt:lpwstr>eyJoZGlkIjoiZmIyYjc5OGY2NDY5MzM0NWU4N2QwODIzMzhiNDcyZWYiLCJ1c2VySWQiOiIyOTE1NjExOTEifQ==</vt:lpwstr>
  </property>
</Properties>
</file>