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B1702">
      <w:pPr>
        <w:pStyle w:val="31"/>
        <w:keepNext w:val="0"/>
        <w:keepLines w:val="0"/>
        <w:pageBreakBefore w:val="0"/>
        <w:kinsoku/>
        <w:overflowPunct/>
        <w:topLinePunct w:val="0"/>
        <w:bidi w:val="0"/>
        <w:adjustRightInd/>
        <w:snapToGrid/>
        <w:spacing w:beforeLines="0" w:afterLines="0" w:line="240" w:lineRule="auto"/>
        <w:textAlignment w:val="auto"/>
        <w:rPr>
          <w:rFonts w:asciiTheme="minorEastAsia" w:hAnsiTheme="minorEastAsia" w:eastAsiaTheme="minorEastAsia"/>
          <w:highlight w:val="none"/>
        </w:rPr>
      </w:pPr>
    </w:p>
    <w:p w14:paraId="424AF084">
      <w:pPr>
        <w:pStyle w:val="31"/>
        <w:keepNext w:val="0"/>
        <w:keepLines w:val="0"/>
        <w:pageBreakBefore w:val="0"/>
        <w:kinsoku/>
        <w:overflowPunct/>
        <w:topLinePunct w:val="0"/>
        <w:bidi w:val="0"/>
        <w:adjustRightInd/>
        <w:snapToGrid/>
        <w:spacing w:beforeLines="0" w:afterLines="0" w:line="240" w:lineRule="auto"/>
        <w:textAlignment w:val="auto"/>
        <w:rPr>
          <w:rFonts w:asciiTheme="minorEastAsia" w:hAnsiTheme="minorEastAsia" w:eastAsiaTheme="minorEastAsia"/>
          <w:highlight w:val="none"/>
          <w:u w:val="single"/>
        </w:rPr>
      </w:pPr>
    </w:p>
    <w:p w14:paraId="01983B26">
      <w:pPr>
        <w:pStyle w:val="32"/>
        <w:keepNext w:val="0"/>
        <w:keepLines w:val="0"/>
        <w:pageBreakBefore w:val="0"/>
        <w:kinsoku/>
        <w:overflowPunct/>
        <w:topLinePunct w:val="0"/>
        <w:bidi w:val="0"/>
        <w:adjustRightInd/>
        <w:snapToGrid/>
        <w:spacing w:after="62" w:line="240" w:lineRule="auto"/>
        <w:ind w:firstLine="512"/>
        <w:textAlignment w:val="auto"/>
        <w:rPr>
          <w:rFonts w:asciiTheme="minorEastAsia" w:hAnsiTheme="minorEastAsia" w:eastAsiaTheme="minorEastAsia"/>
          <w:highlight w:val="none"/>
          <w:lang w:val="sq-AL" w:eastAsia="sq-AL"/>
        </w:rPr>
      </w:pPr>
    </w:p>
    <w:p w14:paraId="6114318D">
      <w:pPr>
        <w:pStyle w:val="32"/>
        <w:keepNext w:val="0"/>
        <w:keepLines w:val="0"/>
        <w:pageBreakBefore w:val="0"/>
        <w:kinsoku/>
        <w:overflowPunct/>
        <w:topLinePunct w:val="0"/>
        <w:bidi w:val="0"/>
        <w:adjustRightInd/>
        <w:snapToGrid/>
        <w:spacing w:after="62" w:line="240" w:lineRule="auto"/>
        <w:ind w:firstLine="512"/>
        <w:textAlignment w:val="auto"/>
        <w:rPr>
          <w:rFonts w:asciiTheme="minorEastAsia" w:hAnsiTheme="minorEastAsia" w:eastAsiaTheme="minorEastAsia"/>
          <w:highlight w:val="none"/>
          <w:lang w:val="sq-AL" w:eastAsia="sq-AL"/>
        </w:rPr>
      </w:pPr>
    </w:p>
    <w:p w14:paraId="74C2F4C1">
      <w:pPr>
        <w:pStyle w:val="32"/>
        <w:keepNext w:val="0"/>
        <w:keepLines w:val="0"/>
        <w:pageBreakBefore w:val="0"/>
        <w:kinsoku/>
        <w:overflowPunct/>
        <w:topLinePunct w:val="0"/>
        <w:bidi w:val="0"/>
        <w:adjustRightInd/>
        <w:snapToGrid/>
        <w:spacing w:after="62" w:line="240" w:lineRule="auto"/>
        <w:ind w:firstLine="512"/>
        <w:textAlignment w:val="auto"/>
        <w:rPr>
          <w:rFonts w:asciiTheme="minorEastAsia" w:hAnsiTheme="minorEastAsia" w:eastAsiaTheme="minorEastAsia"/>
          <w:highlight w:val="none"/>
          <w:lang w:val="sq-AL" w:eastAsia="sq-AL"/>
        </w:rPr>
      </w:pPr>
    </w:p>
    <w:p w14:paraId="34B61907">
      <w:pPr>
        <w:pStyle w:val="31"/>
        <w:keepNext w:val="0"/>
        <w:keepLines w:val="0"/>
        <w:pageBreakBefore w:val="0"/>
        <w:kinsoku/>
        <w:overflowPunct/>
        <w:topLinePunct w:val="0"/>
        <w:bidi w:val="0"/>
        <w:adjustRightInd/>
        <w:snapToGrid/>
        <w:spacing w:beforeLines="0" w:afterLines="0" w:line="240" w:lineRule="auto"/>
        <w:textAlignment w:val="auto"/>
        <w:rPr>
          <w:rFonts w:asciiTheme="minorEastAsia" w:hAnsiTheme="minorEastAsia" w:eastAsiaTheme="minorEastAsia"/>
          <w:highlight w:val="none"/>
        </w:rPr>
      </w:pPr>
    </w:p>
    <w:p w14:paraId="3E58238C">
      <w:pPr>
        <w:keepNext w:val="0"/>
        <w:keepLines w:val="0"/>
        <w:pageBreakBefore w:val="0"/>
        <w:tabs>
          <w:tab w:val="left" w:pos="1080"/>
        </w:tabs>
        <w:kinsoku/>
        <w:overflowPunct/>
        <w:topLinePunct w:val="0"/>
        <w:autoSpaceDE w:val="0"/>
        <w:autoSpaceDN w:val="0"/>
        <w:bidi w:val="0"/>
        <w:adjustRightInd/>
        <w:snapToGrid/>
        <w:spacing w:line="240" w:lineRule="auto"/>
        <w:jc w:val="center"/>
        <w:textAlignment w:val="auto"/>
        <w:rPr>
          <w:rFonts w:cs="方正小标宋简体" w:asciiTheme="minorEastAsia" w:hAnsiTheme="minorEastAsia" w:eastAsiaTheme="minorEastAsia"/>
          <w:b/>
          <w:bCs/>
          <w:sz w:val="48"/>
          <w:szCs w:val="48"/>
          <w:highlight w:val="none"/>
        </w:rPr>
      </w:pPr>
      <w:r>
        <w:rPr>
          <w:rFonts w:hint="eastAsia" w:cs="方正小标宋简体" w:asciiTheme="minorEastAsia" w:hAnsiTheme="minorEastAsia" w:eastAsiaTheme="minorEastAsia"/>
          <w:b/>
          <w:bCs/>
          <w:sz w:val="48"/>
          <w:szCs w:val="48"/>
          <w:highlight w:val="none"/>
          <w:lang w:eastAsia="zh-CN"/>
        </w:rPr>
        <w:t>坪山街道</w:t>
      </w:r>
      <w:r>
        <w:rPr>
          <w:rFonts w:hint="eastAsia" w:cs="方正小标宋简体" w:asciiTheme="minorEastAsia" w:hAnsiTheme="minorEastAsia" w:eastAsiaTheme="minorEastAsia"/>
          <w:b/>
          <w:bCs/>
          <w:sz w:val="48"/>
          <w:szCs w:val="48"/>
          <w:highlight w:val="none"/>
        </w:rPr>
        <w:t>东部过境高速公路非保通段项目房屋拆除工程</w:t>
      </w:r>
      <w:r>
        <w:rPr>
          <w:rFonts w:hint="eastAsia" w:cs="方正小标宋简体" w:asciiTheme="minorEastAsia" w:hAnsiTheme="minorEastAsia" w:eastAsiaTheme="minorEastAsia"/>
          <w:b/>
          <w:bCs/>
          <w:sz w:val="48"/>
          <w:szCs w:val="48"/>
          <w:highlight w:val="none"/>
          <w:lang w:eastAsia="zh-CN"/>
        </w:rPr>
        <w:t>服务</w:t>
      </w:r>
      <w:r>
        <w:rPr>
          <w:rFonts w:hint="eastAsia" w:cs="方正小标宋简体" w:asciiTheme="minorEastAsia" w:hAnsiTheme="minorEastAsia" w:eastAsiaTheme="minorEastAsia"/>
          <w:b/>
          <w:bCs/>
          <w:sz w:val="48"/>
          <w:szCs w:val="48"/>
          <w:highlight w:val="none"/>
          <w:lang w:val="en-US" w:eastAsia="zh-CN"/>
        </w:rPr>
        <w:t>采购</w:t>
      </w:r>
      <w:r>
        <w:rPr>
          <w:rFonts w:hint="eastAsia" w:cs="方正小标宋简体" w:asciiTheme="minorEastAsia" w:hAnsiTheme="minorEastAsia" w:eastAsiaTheme="minorEastAsia"/>
          <w:b/>
          <w:bCs/>
          <w:sz w:val="48"/>
          <w:szCs w:val="48"/>
          <w:highlight w:val="none"/>
        </w:rPr>
        <w:t>需求</w:t>
      </w:r>
    </w:p>
    <w:p w14:paraId="7593E093">
      <w:pPr>
        <w:pStyle w:val="33"/>
        <w:keepNext w:val="0"/>
        <w:keepLines w:val="0"/>
        <w:pageBreakBefore w:val="0"/>
        <w:kinsoku/>
        <w:overflowPunct/>
        <w:topLinePunct w:val="0"/>
        <w:bidi w:val="0"/>
        <w:adjustRightInd/>
        <w:snapToGrid/>
        <w:spacing w:line="240" w:lineRule="auto"/>
        <w:textAlignment w:val="auto"/>
        <w:rPr>
          <w:rFonts w:asciiTheme="minorEastAsia" w:hAnsiTheme="minorEastAsia" w:eastAsiaTheme="minorEastAsia"/>
          <w:highlight w:val="none"/>
        </w:rPr>
      </w:pPr>
    </w:p>
    <w:p w14:paraId="5BDBD7E0">
      <w:pPr>
        <w:keepNext w:val="0"/>
        <w:keepLines w:val="0"/>
        <w:pageBreakBefore w:val="0"/>
        <w:kinsoku/>
        <w:overflowPunct/>
        <w:topLinePunct w:val="0"/>
        <w:bidi w:val="0"/>
        <w:adjustRightInd/>
        <w:snapToGrid/>
        <w:spacing w:line="240" w:lineRule="auto"/>
        <w:jc w:val="center"/>
        <w:textAlignment w:val="auto"/>
        <w:rPr>
          <w:rFonts w:asciiTheme="minorEastAsia" w:hAnsiTheme="minorEastAsia" w:eastAsiaTheme="minorEastAsia"/>
          <w:kern w:val="0"/>
          <w:sz w:val="32"/>
          <w:szCs w:val="32"/>
          <w:highlight w:val="none"/>
        </w:rPr>
      </w:pPr>
      <w:r>
        <w:rPr>
          <w:rFonts w:hint="eastAsia" w:asciiTheme="minorEastAsia" w:hAnsiTheme="minorEastAsia" w:eastAsiaTheme="minorEastAsia"/>
          <w:kern w:val="0"/>
          <w:sz w:val="32"/>
          <w:szCs w:val="32"/>
          <w:highlight w:val="none"/>
        </w:rPr>
        <w:t>（</w:t>
      </w:r>
      <w:r>
        <w:rPr>
          <w:rFonts w:hint="eastAsia" w:cs="仿宋_GB2312" w:asciiTheme="minorEastAsia" w:hAnsiTheme="minorEastAsia" w:eastAsiaTheme="minorEastAsia"/>
          <w:sz w:val="32"/>
          <w:szCs w:val="32"/>
          <w:highlight w:val="none"/>
        </w:rPr>
        <w:t>注：本项目带“</w:t>
      </w:r>
      <w:r>
        <w:rPr>
          <w:rFonts w:hint="eastAsia" w:cs="仿宋_GB2312" w:asciiTheme="minorEastAsia" w:hAnsiTheme="minorEastAsia" w:eastAsiaTheme="minorEastAsia"/>
          <w:color w:val="FF0000"/>
          <w:sz w:val="32"/>
          <w:szCs w:val="32"/>
          <w:highlight w:val="none"/>
        </w:rPr>
        <w:t>★</w:t>
      </w:r>
      <w:r>
        <w:rPr>
          <w:rFonts w:hint="eastAsia" w:cs="仿宋_GB2312" w:asciiTheme="minorEastAsia" w:hAnsiTheme="minorEastAsia" w:eastAsiaTheme="minorEastAsia"/>
          <w:sz w:val="32"/>
          <w:szCs w:val="32"/>
          <w:highlight w:val="none"/>
        </w:rPr>
        <w:t>”的为不可偏离项</w:t>
      </w:r>
      <w:r>
        <w:rPr>
          <w:rFonts w:hint="eastAsia" w:asciiTheme="minorEastAsia" w:hAnsiTheme="minorEastAsia" w:eastAsiaTheme="minorEastAsia"/>
          <w:kern w:val="0"/>
          <w:sz w:val="32"/>
          <w:szCs w:val="32"/>
          <w:highlight w:val="none"/>
        </w:rPr>
        <w:t>）</w:t>
      </w:r>
    </w:p>
    <w:p w14:paraId="4D888FDF">
      <w:pPr>
        <w:pStyle w:val="33"/>
        <w:keepNext w:val="0"/>
        <w:keepLines w:val="0"/>
        <w:pageBreakBefore w:val="0"/>
        <w:kinsoku/>
        <w:overflowPunct/>
        <w:topLinePunct w:val="0"/>
        <w:bidi w:val="0"/>
        <w:adjustRightInd/>
        <w:snapToGrid/>
        <w:spacing w:line="240" w:lineRule="auto"/>
        <w:jc w:val="both"/>
        <w:textAlignment w:val="auto"/>
        <w:rPr>
          <w:rFonts w:asciiTheme="minorEastAsia" w:hAnsiTheme="minorEastAsia" w:eastAsiaTheme="minorEastAsia"/>
          <w:highlight w:val="none"/>
        </w:rPr>
      </w:pPr>
    </w:p>
    <w:p w14:paraId="07453A7F">
      <w:pPr>
        <w:pStyle w:val="33"/>
        <w:keepNext w:val="0"/>
        <w:keepLines w:val="0"/>
        <w:pageBreakBefore w:val="0"/>
        <w:kinsoku/>
        <w:overflowPunct/>
        <w:topLinePunct w:val="0"/>
        <w:bidi w:val="0"/>
        <w:adjustRightInd/>
        <w:snapToGrid/>
        <w:spacing w:line="240" w:lineRule="auto"/>
        <w:textAlignment w:val="auto"/>
        <w:rPr>
          <w:rFonts w:asciiTheme="minorEastAsia" w:hAnsiTheme="minorEastAsia" w:eastAsiaTheme="minorEastAsia"/>
          <w:highlight w:val="none"/>
        </w:rPr>
      </w:pPr>
    </w:p>
    <w:p w14:paraId="3D3FDD97">
      <w:pPr>
        <w:pStyle w:val="33"/>
        <w:keepNext w:val="0"/>
        <w:keepLines w:val="0"/>
        <w:pageBreakBefore w:val="0"/>
        <w:kinsoku/>
        <w:overflowPunct/>
        <w:topLinePunct w:val="0"/>
        <w:bidi w:val="0"/>
        <w:adjustRightInd/>
        <w:snapToGrid/>
        <w:spacing w:line="240" w:lineRule="auto"/>
        <w:textAlignment w:val="auto"/>
        <w:rPr>
          <w:rFonts w:asciiTheme="minorEastAsia" w:hAnsiTheme="minorEastAsia" w:eastAsiaTheme="minorEastAsia"/>
          <w:highlight w:val="none"/>
        </w:rPr>
      </w:pPr>
    </w:p>
    <w:p w14:paraId="3F7AF75A">
      <w:pPr>
        <w:pStyle w:val="33"/>
        <w:keepNext w:val="0"/>
        <w:keepLines w:val="0"/>
        <w:pageBreakBefore w:val="0"/>
        <w:kinsoku/>
        <w:overflowPunct/>
        <w:topLinePunct w:val="0"/>
        <w:bidi w:val="0"/>
        <w:adjustRightInd/>
        <w:snapToGrid/>
        <w:spacing w:line="240" w:lineRule="auto"/>
        <w:textAlignment w:val="auto"/>
        <w:rPr>
          <w:rFonts w:asciiTheme="minorEastAsia" w:hAnsiTheme="minorEastAsia" w:eastAsiaTheme="minorEastAsia"/>
          <w:highlight w:val="none"/>
        </w:rPr>
      </w:pPr>
    </w:p>
    <w:p w14:paraId="615642DF">
      <w:pPr>
        <w:pStyle w:val="33"/>
        <w:keepNext w:val="0"/>
        <w:keepLines w:val="0"/>
        <w:pageBreakBefore w:val="0"/>
        <w:kinsoku/>
        <w:overflowPunct/>
        <w:topLinePunct w:val="0"/>
        <w:bidi w:val="0"/>
        <w:adjustRightInd/>
        <w:snapToGrid/>
        <w:spacing w:line="240" w:lineRule="auto"/>
        <w:textAlignment w:val="auto"/>
        <w:rPr>
          <w:rFonts w:asciiTheme="minorEastAsia" w:hAnsiTheme="minorEastAsia" w:eastAsiaTheme="minorEastAsia"/>
          <w:highlight w:val="none"/>
        </w:rPr>
      </w:pPr>
    </w:p>
    <w:p w14:paraId="08E21EBD">
      <w:pPr>
        <w:pStyle w:val="33"/>
        <w:keepNext w:val="0"/>
        <w:keepLines w:val="0"/>
        <w:pageBreakBefore w:val="0"/>
        <w:kinsoku/>
        <w:overflowPunct/>
        <w:topLinePunct w:val="0"/>
        <w:bidi w:val="0"/>
        <w:adjustRightInd/>
        <w:snapToGrid/>
        <w:spacing w:line="240" w:lineRule="auto"/>
        <w:jc w:val="both"/>
        <w:textAlignment w:val="auto"/>
        <w:rPr>
          <w:rFonts w:asciiTheme="minorEastAsia" w:hAnsiTheme="minorEastAsia" w:eastAsiaTheme="minorEastAsia"/>
          <w:highlight w:val="none"/>
        </w:rPr>
      </w:pPr>
    </w:p>
    <w:p w14:paraId="0512B14B">
      <w:pPr>
        <w:pStyle w:val="33"/>
        <w:keepNext w:val="0"/>
        <w:keepLines w:val="0"/>
        <w:pageBreakBefore w:val="0"/>
        <w:kinsoku/>
        <w:overflowPunct/>
        <w:topLinePunct w:val="0"/>
        <w:bidi w:val="0"/>
        <w:adjustRightInd/>
        <w:snapToGrid/>
        <w:spacing w:line="240" w:lineRule="auto"/>
        <w:jc w:val="both"/>
        <w:textAlignment w:val="auto"/>
        <w:rPr>
          <w:rFonts w:asciiTheme="minorEastAsia" w:hAnsiTheme="minorEastAsia" w:eastAsiaTheme="minorEastAsia"/>
          <w:highlight w:val="none"/>
        </w:rPr>
      </w:pPr>
    </w:p>
    <w:p w14:paraId="45FEE8EF">
      <w:pPr>
        <w:pStyle w:val="33"/>
        <w:keepNext w:val="0"/>
        <w:keepLines w:val="0"/>
        <w:pageBreakBefore w:val="0"/>
        <w:kinsoku/>
        <w:overflowPunct/>
        <w:topLinePunct w:val="0"/>
        <w:bidi w:val="0"/>
        <w:adjustRightInd/>
        <w:snapToGrid/>
        <w:spacing w:line="240" w:lineRule="auto"/>
        <w:jc w:val="both"/>
        <w:textAlignment w:val="auto"/>
        <w:rPr>
          <w:rFonts w:asciiTheme="minorEastAsia" w:hAnsiTheme="minorEastAsia" w:eastAsiaTheme="minorEastAsia"/>
          <w:highlight w:val="none"/>
        </w:rPr>
      </w:pPr>
    </w:p>
    <w:p w14:paraId="02E22FCC">
      <w:pPr>
        <w:pStyle w:val="34"/>
        <w:keepNext w:val="0"/>
        <w:keepLines w:val="0"/>
        <w:pageBreakBefore w:val="0"/>
        <w:kinsoku/>
        <w:overflowPunct/>
        <w:topLinePunct w:val="0"/>
        <w:bidi w:val="0"/>
        <w:adjustRightInd/>
        <w:snapToGrid/>
        <w:spacing w:line="240" w:lineRule="auto"/>
        <w:textAlignment w:val="auto"/>
        <w:rPr>
          <w:rFonts w:cs="仿宋_GB2312" w:asciiTheme="minorEastAsia" w:hAnsiTheme="minorEastAsia" w:eastAsiaTheme="minorEastAsia"/>
          <w:b w:val="0"/>
          <w:highlight w:val="none"/>
        </w:rPr>
      </w:pPr>
      <w:r>
        <w:rPr>
          <w:rFonts w:hint="eastAsia" w:cs="仿宋_GB2312" w:asciiTheme="minorEastAsia" w:hAnsiTheme="minorEastAsia" w:eastAsiaTheme="minorEastAsia"/>
          <w:b w:val="0"/>
          <w:highlight w:val="none"/>
        </w:rPr>
        <w:t>二〇</w:t>
      </w:r>
      <w:r>
        <w:rPr>
          <w:rFonts w:hint="eastAsia" w:cs="仿宋_GB2312" w:asciiTheme="minorEastAsia" w:hAnsiTheme="minorEastAsia" w:eastAsiaTheme="minorEastAsia"/>
          <w:b w:val="0"/>
          <w:highlight w:val="none"/>
          <w:lang w:val="en-US" w:eastAsia="zh-CN"/>
        </w:rPr>
        <w:t>二五</w:t>
      </w:r>
      <w:r>
        <w:rPr>
          <w:rFonts w:hint="eastAsia" w:cs="仿宋_GB2312" w:asciiTheme="minorEastAsia" w:hAnsiTheme="minorEastAsia" w:eastAsiaTheme="minorEastAsia"/>
          <w:b w:val="0"/>
          <w:highlight w:val="none"/>
        </w:rPr>
        <w:t>年</w:t>
      </w:r>
      <w:r>
        <w:rPr>
          <w:rFonts w:hint="eastAsia" w:cs="仿宋_GB2312" w:asciiTheme="minorEastAsia" w:hAnsiTheme="minorEastAsia" w:eastAsiaTheme="minorEastAsia"/>
          <w:b w:val="0"/>
          <w:highlight w:val="none"/>
          <w:lang w:val="en-US" w:eastAsia="zh-CN"/>
        </w:rPr>
        <w:t>十二</w:t>
      </w:r>
      <w:r>
        <w:rPr>
          <w:rFonts w:hint="eastAsia" w:cs="仿宋_GB2312" w:asciiTheme="minorEastAsia" w:hAnsiTheme="minorEastAsia" w:eastAsiaTheme="minorEastAsia"/>
          <w:b w:val="0"/>
          <w:highlight w:val="none"/>
        </w:rPr>
        <w:t>月</w:t>
      </w:r>
      <w:bookmarkStart w:id="0" w:name="_Toc283323481"/>
      <w:bookmarkStart w:id="1" w:name="_Toc269225689"/>
    </w:p>
    <w:p w14:paraId="34CD9A87">
      <w:pPr>
        <w:pStyle w:val="32"/>
        <w:pageBreakBefore w:val="0"/>
        <w:kinsoku/>
        <w:overflowPunct/>
        <w:bidi w:val="0"/>
        <w:spacing w:after="62" w:line="400" w:lineRule="exact"/>
        <w:ind w:firstLine="512"/>
        <w:rPr>
          <w:rFonts w:cs="仿宋_GB2312" w:asciiTheme="minorEastAsia" w:hAnsiTheme="minorEastAsia" w:eastAsiaTheme="minorEastAsia"/>
          <w:b w:val="0"/>
          <w:highlight w:val="none"/>
        </w:rPr>
      </w:pPr>
      <w:r>
        <w:rPr>
          <w:rFonts w:asciiTheme="minorEastAsia" w:hAnsiTheme="minorEastAsia" w:eastAsiaTheme="minorEastAsia"/>
          <w:highlight w:val="none"/>
        </w:rPr>
        <w:br w:type="page"/>
      </w:r>
    </w:p>
    <w:p w14:paraId="4874678F">
      <w:pPr>
        <w:pStyle w:val="36"/>
        <w:pageBreakBefore w:val="0"/>
        <w:numPr>
          <w:ilvl w:val="0"/>
          <w:numId w:val="1"/>
        </w:numPr>
        <w:kinsoku/>
        <w:overflowPunct/>
        <w:bidi w:val="0"/>
        <w:spacing w:beforeLines="0" w:line="400" w:lineRule="exact"/>
        <w:rPr>
          <w:rFonts w:cs="黑体" w:asciiTheme="minorEastAsia" w:hAnsiTheme="minorEastAsia" w:eastAsiaTheme="minorEastAsia"/>
          <w:bCs w:val="0"/>
          <w:highlight w:val="none"/>
        </w:rPr>
      </w:pPr>
      <w:r>
        <w:rPr>
          <w:rFonts w:hint="eastAsia" w:cs="黑体" w:asciiTheme="minorEastAsia" w:hAnsiTheme="minorEastAsia" w:eastAsiaTheme="minorEastAsia"/>
          <w:bCs w:val="0"/>
          <w:highlight w:val="none"/>
        </w:rPr>
        <w:t>项目</w:t>
      </w:r>
      <w:bookmarkEnd w:id="0"/>
      <w:bookmarkEnd w:id="1"/>
      <w:r>
        <w:rPr>
          <w:rFonts w:hint="eastAsia" w:cs="黑体" w:asciiTheme="minorEastAsia" w:hAnsiTheme="minorEastAsia" w:eastAsiaTheme="minorEastAsia"/>
          <w:bCs w:val="0"/>
          <w:highlight w:val="none"/>
        </w:rPr>
        <w:t>概况</w:t>
      </w:r>
    </w:p>
    <w:p w14:paraId="1D049E8A">
      <w:pPr>
        <w:pStyle w:val="37"/>
        <w:pageBreakBefore w:val="0"/>
        <w:kinsoku/>
        <w:overflowPunct/>
        <w:bidi w:val="0"/>
        <w:spacing w:line="400" w:lineRule="exact"/>
        <w:ind w:firstLine="562"/>
        <w:rPr>
          <w:rFonts w:hint="default" w:cs="楷体_GB2312" w:asciiTheme="minorEastAsia" w:hAnsiTheme="minorEastAsia" w:eastAsiaTheme="minorEastAsia"/>
          <w:b/>
          <w:highlight w:val="none"/>
          <w:lang w:val="en-US" w:eastAsia="zh-CN"/>
        </w:rPr>
      </w:pPr>
      <w:r>
        <w:rPr>
          <w:rFonts w:hint="eastAsia" w:cs="楷体_GB2312" w:asciiTheme="minorEastAsia" w:hAnsiTheme="minorEastAsia" w:eastAsiaTheme="minorEastAsia"/>
          <w:b/>
          <w:highlight w:val="none"/>
          <w:lang w:val="en-US" w:eastAsia="zh-CN"/>
        </w:rPr>
        <w:t>1.1项目预算</w:t>
      </w:r>
    </w:p>
    <w:p w14:paraId="008A8436">
      <w:pPr>
        <w:pStyle w:val="32"/>
        <w:rPr>
          <w:rFonts w:hint="default" w:ascii="宋体" w:hAnsi="Times New Roman" w:eastAsia="宋体" w:cs="仿宋_GB2312"/>
          <w:b w:val="0"/>
          <w:bCs/>
          <w:szCs w:val="21"/>
          <w:highlight w:val="none"/>
          <w:lang w:val="en-US" w:eastAsia="zh-CN"/>
        </w:rPr>
      </w:pPr>
      <w:r>
        <w:rPr>
          <w:rFonts w:hint="default" w:ascii="宋体" w:hAnsi="Times New Roman" w:eastAsia="宋体" w:cs="仿宋_GB2312"/>
          <w:b w:val="0"/>
          <w:bCs/>
          <w:szCs w:val="21"/>
          <w:highlight w:val="none"/>
          <w:lang w:val="en-US" w:eastAsia="zh-CN"/>
        </w:rPr>
        <w:t>按照需要拆除房屋建筑面积约1446.97平方米，拆除单价30元/平方米，计算该项目的费用预算为43409.1元，最终费用以实际工作量进行结算。</w:t>
      </w:r>
    </w:p>
    <w:p w14:paraId="3BB10FD3">
      <w:pPr>
        <w:pStyle w:val="32"/>
        <w:rPr>
          <w:rFonts w:hint="default" w:ascii="宋体" w:hAnsi="Times New Roman" w:eastAsia="宋体" w:cs="仿宋_GB2312"/>
          <w:b w:val="0"/>
          <w:bCs/>
          <w:szCs w:val="21"/>
          <w:highlight w:val="none"/>
          <w:lang w:val="en-US" w:eastAsia="zh-CN"/>
        </w:rPr>
      </w:pPr>
    </w:p>
    <w:p w14:paraId="300B7611">
      <w:pPr>
        <w:pStyle w:val="37"/>
        <w:pageBreakBefore w:val="0"/>
        <w:kinsoku/>
        <w:overflowPunct/>
        <w:bidi w:val="0"/>
        <w:spacing w:line="400" w:lineRule="exact"/>
        <w:ind w:firstLine="562"/>
        <w:rPr>
          <w:rFonts w:cs="楷体_GB2312" w:asciiTheme="minorEastAsia" w:hAnsiTheme="minorEastAsia" w:eastAsiaTheme="minorEastAsia"/>
          <w:b/>
          <w:highlight w:val="none"/>
        </w:rPr>
      </w:pPr>
      <w:r>
        <w:rPr>
          <w:rFonts w:hint="eastAsia" w:cs="楷体_GB2312" w:asciiTheme="minorEastAsia" w:hAnsiTheme="minorEastAsia" w:eastAsiaTheme="minorEastAsia"/>
          <w:b/>
          <w:highlight w:val="none"/>
        </w:rPr>
        <w:t>1.</w:t>
      </w:r>
      <w:r>
        <w:rPr>
          <w:rFonts w:hint="eastAsia" w:cs="楷体_GB2312" w:asciiTheme="minorEastAsia" w:hAnsiTheme="minorEastAsia" w:eastAsiaTheme="minorEastAsia"/>
          <w:b/>
          <w:highlight w:val="none"/>
          <w:lang w:val="en-US" w:eastAsia="zh-CN"/>
        </w:rPr>
        <w:t>2</w:t>
      </w:r>
      <w:r>
        <w:rPr>
          <w:rFonts w:hint="eastAsia" w:cs="楷体_GB2312" w:asciiTheme="minorEastAsia" w:hAnsiTheme="minorEastAsia" w:eastAsiaTheme="minorEastAsia"/>
          <w:b/>
          <w:highlight w:val="none"/>
        </w:rPr>
        <w:t xml:space="preserve"> 项目背景</w:t>
      </w:r>
    </w:p>
    <w:p w14:paraId="55680A51">
      <w:pPr>
        <w:pageBreakBefore w:val="0"/>
        <w:kinsoku/>
        <w:overflowPunct/>
        <w:bidi w:val="0"/>
        <w:spacing w:after="60" w:line="400" w:lineRule="exact"/>
        <w:ind w:firstLine="512" w:firstLineChars="200"/>
        <w:jc w:val="left"/>
        <w:rPr>
          <w:rFonts w:ascii="宋体" w:cs="仿宋_GB2312"/>
          <w:bCs/>
          <w:snapToGrid w:val="0"/>
          <w:color w:val="auto"/>
          <w:spacing w:val="8"/>
          <w:kern w:val="0"/>
          <w:sz w:val="24"/>
          <w:szCs w:val="21"/>
          <w:highlight w:val="none"/>
        </w:rPr>
      </w:pPr>
      <w:r>
        <w:rPr>
          <w:rFonts w:hint="eastAsia" w:ascii="宋体" w:cs="仿宋_GB2312"/>
          <w:bCs/>
          <w:snapToGrid w:val="0"/>
          <w:spacing w:val="8"/>
          <w:kern w:val="0"/>
          <w:sz w:val="24"/>
          <w:szCs w:val="21"/>
          <w:highlight w:val="none"/>
          <w:lang w:val="en-US" w:eastAsia="zh-CN"/>
        </w:rPr>
        <w:t>2020年12月坪山区城市更新与土地整备局下发</w:t>
      </w:r>
      <w:r>
        <w:rPr>
          <w:rFonts w:hint="eastAsia" w:cs="仿宋_GB2312"/>
          <w:bCs/>
          <w:szCs w:val="21"/>
        </w:rPr>
        <w:t>《</w:t>
      </w:r>
      <w:r>
        <w:rPr>
          <w:rFonts w:hint="eastAsia" w:ascii="宋体" w:cs="仿宋_GB2312"/>
          <w:bCs/>
          <w:snapToGrid w:val="0"/>
          <w:spacing w:val="8"/>
          <w:kern w:val="0"/>
          <w:sz w:val="24"/>
          <w:szCs w:val="21"/>
          <w:highlight w:val="none"/>
          <w:lang w:val="en-US" w:eastAsia="zh-CN"/>
        </w:rPr>
        <w:t>关于启动深圳东部过境高速公路非保通段土地整备</w:t>
      </w:r>
      <w:r>
        <w:rPr>
          <w:rFonts w:hint="eastAsia" w:ascii="宋体" w:cs="仿宋_GB2312"/>
          <w:bCs/>
          <w:snapToGrid w:val="0"/>
          <w:color w:val="auto"/>
          <w:spacing w:val="8"/>
          <w:kern w:val="0"/>
          <w:sz w:val="24"/>
          <w:szCs w:val="21"/>
          <w:highlight w:val="none"/>
          <w:lang w:val="en-US" w:eastAsia="zh-CN"/>
        </w:rPr>
        <w:t>工作的通知</w:t>
      </w:r>
      <w:r>
        <w:rPr>
          <w:rFonts w:hint="eastAsia" w:ascii="宋体" w:cs="仿宋_GB2312"/>
          <w:bCs/>
          <w:snapToGrid w:val="0"/>
          <w:color w:val="auto"/>
          <w:spacing w:val="8"/>
          <w:kern w:val="0"/>
          <w:sz w:val="24"/>
          <w:szCs w:val="21"/>
          <w:highlight w:val="none"/>
        </w:rPr>
        <w:t>》（深</w:t>
      </w:r>
      <w:r>
        <w:rPr>
          <w:rFonts w:hint="eastAsia" w:ascii="宋体" w:cs="仿宋_GB2312"/>
          <w:bCs/>
          <w:snapToGrid w:val="0"/>
          <w:color w:val="auto"/>
          <w:spacing w:val="8"/>
          <w:kern w:val="0"/>
          <w:sz w:val="24"/>
          <w:szCs w:val="21"/>
          <w:highlight w:val="none"/>
          <w:lang w:val="en-US" w:eastAsia="zh-CN"/>
        </w:rPr>
        <w:t>坪更新整备</w:t>
      </w:r>
      <w:r>
        <w:rPr>
          <w:rFonts w:hint="eastAsia" w:ascii="宋体" w:cs="仿宋_GB2312"/>
          <w:bCs/>
          <w:snapToGrid w:val="0"/>
          <w:color w:val="auto"/>
          <w:spacing w:val="8"/>
          <w:kern w:val="0"/>
          <w:sz w:val="24"/>
          <w:szCs w:val="21"/>
          <w:highlight w:val="none"/>
        </w:rPr>
        <w:t>〔202</w:t>
      </w:r>
      <w:r>
        <w:rPr>
          <w:rFonts w:hint="eastAsia" w:ascii="宋体" w:cs="仿宋_GB2312"/>
          <w:bCs/>
          <w:snapToGrid w:val="0"/>
          <w:color w:val="auto"/>
          <w:spacing w:val="8"/>
          <w:kern w:val="0"/>
          <w:sz w:val="24"/>
          <w:szCs w:val="21"/>
          <w:highlight w:val="none"/>
          <w:lang w:val="en-US" w:eastAsia="zh-CN"/>
        </w:rPr>
        <w:t>0</w:t>
      </w:r>
      <w:r>
        <w:rPr>
          <w:rFonts w:hint="eastAsia" w:ascii="宋体" w:cs="仿宋_GB2312"/>
          <w:bCs/>
          <w:snapToGrid w:val="0"/>
          <w:color w:val="auto"/>
          <w:spacing w:val="8"/>
          <w:kern w:val="0"/>
          <w:sz w:val="24"/>
          <w:szCs w:val="21"/>
          <w:highlight w:val="none"/>
        </w:rPr>
        <w:t>〕2</w:t>
      </w:r>
      <w:r>
        <w:rPr>
          <w:rFonts w:hint="eastAsia" w:ascii="宋体" w:cs="仿宋_GB2312"/>
          <w:bCs/>
          <w:snapToGrid w:val="0"/>
          <w:color w:val="auto"/>
          <w:spacing w:val="8"/>
          <w:kern w:val="0"/>
          <w:sz w:val="24"/>
          <w:szCs w:val="21"/>
          <w:highlight w:val="none"/>
          <w:lang w:val="en-US" w:eastAsia="zh-CN"/>
        </w:rPr>
        <w:t>61</w:t>
      </w:r>
      <w:r>
        <w:rPr>
          <w:rFonts w:hint="eastAsia" w:ascii="宋体" w:cs="仿宋_GB2312"/>
          <w:bCs/>
          <w:snapToGrid w:val="0"/>
          <w:color w:val="auto"/>
          <w:spacing w:val="8"/>
          <w:kern w:val="0"/>
          <w:sz w:val="24"/>
          <w:szCs w:val="21"/>
          <w:highlight w:val="none"/>
        </w:rPr>
        <w:t>号）</w:t>
      </w:r>
      <w:r>
        <w:rPr>
          <w:rFonts w:hint="eastAsia" w:ascii="宋体" w:cs="仿宋_GB2312"/>
          <w:bCs/>
          <w:snapToGrid w:val="0"/>
          <w:color w:val="auto"/>
          <w:spacing w:val="8"/>
          <w:kern w:val="0"/>
          <w:sz w:val="24"/>
          <w:szCs w:val="21"/>
          <w:highlight w:val="none"/>
          <w:lang w:eastAsia="zh-CN"/>
        </w:rPr>
        <w:t>，</w:t>
      </w:r>
      <w:r>
        <w:rPr>
          <w:rFonts w:hint="eastAsia" w:ascii="宋体" w:cs="仿宋_GB2312"/>
          <w:bCs/>
          <w:snapToGrid w:val="0"/>
          <w:color w:val="auto"/>
          <w:spacing w:val="8"/>
          <w:kern w:val="0"/>
          <w:sz w:val="24"/>
          <w:szCs w:val="21"/>
          <w:highlight w:val="none"/>
          <w:lang w:val="en-US" w:eastAsia="zh-CN"/>
        </w:rPr>
        <w:t>要求尽快启动深圳</w:t>
      </w:r>
      <w:r>
        <w:rPr>
          <w:rFonts w:hint="eastAsia" w:ascii="宋体" w:cs="仿宋_GB2312"/>
          <w:bCs/>
          <w:snapToGrid w:val="0"/>
          <w:color w:val="auto"/>
          <w:spacing w:val="8"/>
          <w:kern w:val="0"/>
          <w:sz w:val="24"/>
          <w:szCs w:val="21"/>
          <w:highlight w:val="none"/>
        </w:rPr>
        <w:t>东部过境高速公路非保通段</w:t>
      </w:r>
      <w:r>
        <w:rPr>
          <w:rFonts w:hint="eastAsia" w:ascii="宋体" w:cs="仿宋_GB2312"/>
          <w:bCs/>
          <w:snapToGrid w:val="0"/>
          <w:color w:val="auto"/>
          <w:spacing w:val="8"/>
          <w:kern w:val="0"/>
          <w:sz w:val="24"/>
          <w:szCs w:val="21"/>
          <w:highlight w:val="none"/>
          <w:lang w:val="en-US" w:eastAsia="zh-CN"/>
        </w:rPr>
        <w:t>土地整备工作</w:t>
      </w:r>
      <w:r>
        <w:rPr>
          <w:rFonts w:hint="eastAsia" w:ascii="宋体" w:cs="仿宋_GB2312"/>
          <w:bCs/>
          <w:snapToGrid w:val="0"/>
          <w:color w:val="auto"/>
          <w:spacing w:val="8"/>
          <w:kern w:val="0"/>
          <w:sz w:val="24"/>
          <w:szCs w:val="21"/>
          <w:highlight w:val="none"/>
        </w:rPr>
        <w:t>。</w:t>
      </w:r>
    </w:p>
    <w:p w14:paraId="5D191774">
      <w:pPr>
        <w:pageBreakBefore w:val="0"/>
        <w:kinsoku/>
        <w:overflowPunct/>
        <w:bidi w:val="0"/>
        <w:spacing w:after="60" w:line="400" w:lineRule="exact"/>
        <w:ind w:firstLine="512" w:firstLineChars="200"/>
        <w:jc w:val="left"/>
        <w:rPr>
          <w:rFonts w:hint="eastAsia" w:ascii="宋体" w:eastAsia="宋体" w:cs="仿宋_GB2312"/>
          <w:bCs/>
          <w:snapToGrid w:val="0"/>
          <w:color w:val="auto"/>
          <w:spacing w:val="8"/>
          <w:kern w:val="0"/>
          <w:sz w:val="24"/>
          <w:szCs w:val="21"/>
        </w:rPr>
      </w:pPr>
      <w:r>
        <w:rPr>
          <w:rFonts w:hint="eastAsia" w:ascii="宋体" w:cs="仿宋_GB2312"/>
          <w:bCs/>
          <w:snapToGrid w:val="0"/>
          <w:color w:val="auto"/>
          <w:spacing w:val="8"/>
          <w:kern w:val="0"/>
          <w:sz w:val="24"/>
          <w:szCs w:val="21"/>
          <w:highlight w:val="none"/>
          <w:lang w:val="en-US" w:eastAsia="zh-CN"/>
        </w:rPr>
        <w:t>根据</w:t>
      </w:r>
      <w:r>
        <w:rPr>
          <w:rFonts w:hint="eastAsia" w:ascii="宋体" w:cs="仿宋_GB2312"/>
          <w:bCs/>
          <w:snapToGrid w:val="0"/>
          <w:color w:val="auto"/>
          <w:spacing w:val="8"/>
          <w:kern w:val="0"/>
          <w:sz w:val="24"/>
          <w:szCs w:val="21"/>
          <w:highlight w:val="none"/>
        </w:rPr>
        <w:t>深圳</w:t>
      </w:r>
      <w:r>
        <w:rPr>
          <w:rFonts w:hint="eastAsia" w:ascii="宋体" w:cs="仿宋_GB2312"/>
          <w:bCs/>
          <w:snapToGrid w:val="0"/>
          <w:color w:val="auto"/>
          <w:spacing w:val="8"/>
          <w:kern w:val="0"/>
          <w:sz w:val="24"/>
          <w:szCs w:val="21"/>
          <w:highlight w:val="none"/>
          <w:lang w:val="en-US" w:eastAsia="zh-CN"/>
        </w:rPr>
        <w:t>华昱东部高速公路有限公司</w:t>
      </w:r>
      <w:r>
        <w:rPr>
          <w:rFonts w:hint="eastAsia" w:cs="仿宋_GB2312"/>
          <w:bCs/>
          <w:color w:val="auto"/>
          <w:szCs w:val="21"/>
        </w:rPr>
        <w:t>《</w:t>
      </w:r>
      <w:r>
        <w:rPr>
          <w:rFonts w:hint="eastAsia" w:ascii="宋体" w:cs="仿宋_GB2312"/>
          <w:bCs/>
          <w:snapToGrid w:val="0"/>
          <w:color w:val="auto"/>
          <w:spacing w:val="8"/>
          <w:kern w:val="0"/>
          <w:sz w:val="24"/>
          <w:szCs w:val="21"/>
          <w:highlight w:val="none"/>
          <w:lang w:val="en-US" w:eastAsia="zh-CN"/>
        </w:rPr>
        <w:t>关于明确坪山区剩余房屋拆迁工作建筑物拆除事宜的函</w:t>
      </w:r>
      <w:r>
        <w:rPr>
          <w:rFonts w:hint="eastAsia" w:ascii="宋体" w:cs="仿宋_GB2312"/>
          <w:bCs/>
          <w:snapToGrid w:val="0"/>
          <w:color w:val="auto"/>
          <w:spacing w:val="8"/>
          <w:kern w:val="0"/>
          <w:sz w:val="24"/>
          <w:szCs w:val="21"/>
          <w:highlight w:val="none"/>
        </w:rPr>
        <w:t>》</w:t>
      </w:r>
      <w:r>
        <w:rPr>
          <w:rFonts w:hint="eastAsia" w:ascii="宋体" w:hAnsi="Times New Roman" w:eastAsia="宋体" w:cs="仿宋_GB2312"/>
          <w:bCs/>
          <w:snapToGrid w:val="0"/>
          <w:color w:val="auto"/>
          <w:spacing w:val="8"/>
          <w:kern w:val="0"/>
          <w:sz w:val="24"/>
          <w:szCs w:val="21"/>
          <w:highlight w:val="none"/>
          <w:lang w:val="en-US" w:eastAsia="zh-CN"/>
        </w:rPr>
        <w:t>（深昱东部〔2022〕29号</w:t>
      </w:r>
      <w:r>
        <w:rPr>
          <w:rFonts w:hint="eastAsia" w:ascii="宋体" w:cs="仿宋_GB2312"/>
          <w:bCs/>
          <w:snapToGrid w:val="0"/>
          <w:color w:val="auto"/>
          <w:spacing w:val="8"/>
          <w:kern w:val="0"/>
          <w:sz w:val="24"/>
          <w:szCs w:val="21"/>
          <w:highlight w:val="none"/>
        </w:rPr>
        <w:t>）。该项目</w:t>
      </w:r>
      <w:r>
        <w:rPr>
          <w:rFonts w:hint="eastAsia" w:ascii="宋体" w:cs="仿宋_GB2312"/>
          <w:bCs/>
          <w:snapToGrid w:val="0"/>
          <w:color w:val="auto"/>
          <w:spacing w:val="8"/>
          <w:kern w:val="0"/>
          <w:sz w:val="24"/>
          <w:szCs w:val="21"/>
          <w:highlight w:val="none"/>
          <w:lang w:val="en-US" w:eastAsia="zh-CN"/>
        </w:rPr>
        <w:t>位于</w:t>
      </w:r>
      <w:r>
        <w:rPr>
          <w:rFonts w:hint="eastAsia" w:ascii="宋体" w:cs="仿宋_GB2312"/>
          <w:bCs/>
          <w:snapToGrid w:val="0"/>
          <w:color w:val="auto"/>
          <w:spacing w:val="8"/>
          <w:kern w:val="0"/>
          <w:sz w:val="24"/>
          <w:szCs w:val="21"/>
          <w:highlight w:val="none"/>
        </w:rPr>
        <w:t>坪山街道办事处范围内</w:t>
      </w:r>
      <w:r>
        <w:rPr>
          <w:rFonts w:hint="eastAsia" w:ascii="宋体" w:hAnsi="Times New Roman" w:cs="仿宋_GB2312"/>
          <w:bCs/>
          <w:snapToGrid w:val="0"/>
          <w:color w:val="auto"/>
          <w:spacing w:val="8"/>
          <w:kern w:val="0"/>
          <w:sz w:val="24"/>
          <w:szCs w:val="21"/>
          <w:highlight w:val="none"/>
        </w:rPr>
        <w:t>需</w:t>
      </w:r>
      <w:r>
        <w:rPr>
          <w:rFonts w:hint="eastAsia" w:ascii="宋体" w:hAnsi="Times New Roman" w:cs="仿宋_GB2312"/>
          <w:bCs/>
          <w:snapToGrid w:val="0"/>
          <w:color w:val="auto"/>
          <w:spacing w:val="8"/>
          <w:kern w:val="0"/>
          <w:sz w:val="24"/>
          <w:szCs w:val="21"/>
          <w:highlight w:val="none"/>
          <w:lang w:val="en-US" w:eastAsia="zh-CN"/>
        </w:rPr>
        <w:t>拆除</w:t>
      </w:r>
      <w:r>
        <w:rPr>
          <w:rFonts w:hint="eastAsia" w:ascii="宋体" w:hAnsi="Times New Roman" w:cs="仿宋_GB2312"/>
          <w:bCs/>
          <w:snapToGrid w:val="0"/>
          <w:color w:val="auto"/>
          <w:spacing w:val="8"/>
          <w:kern w:val="0"/>
          <w:sz w:val="24"/>
          <w:szCs w:val="21"/>
          <w:highlight w:val="none"/>
        </w:rPr>
        <w:t>的</w:t>
      </w:r>
      <w:r>
        <w:rPr>
          <w:rFonts w:hint="eastAsia" w:ascii="宋体" w:hAnsi="Times New Roman" w:cs="仿宋_GB2312"/>
          <w:bCs/>
          <w:snapToGrid w:val="0"/>
          <w:color w:val="auto"/>
          <w:spacing w:val="8"/>
          <w:kern w:val="0"/>
          <w:sz w:val="24"/>
          <w:szCs w:val="21"/>
          <w:highlight w:val="none"/>
          <w:lang w:val="en-US" w:eastAsia="zh-CN"/>
        </w:rPr>
        <w:t>房屋</w:t>
      </w:r>
      <w:r>
        <w:rPr>
          <w:rFonts w:hint="eastAsia" w:ascii="宋体" w:hAnsi="Times New Roman" w:cs="仿宋_GB2312"/>
          <w:bCs/>
          <w:snapToGrid w:val="0"/>
          <w:color w:val="auto"/>
          <w:spacing w:val="8"/>
          <w:kern w:val="0"/>
          <w:sz w:val="24"/>
          <w:szCs w:val="21"/>
          <w:highlight w:val="none"/>
        </w:rPr>
        <w:t>面积约</w:t>
      </w:r>
      <w:r>
        <w:rPr>
          <w:rFonts w:hint="eastAsia" w:ascii="宋体" w:hAnsi="Times New Roman" w:eastAsia="宋体" w:cs="仿宋_GB2312"/>
          <w:bCs/>
          <w:snapToGrid w:val="0"/>
          <w:color w:val="auto"/>
          <w:spacing w:val="8"/>
          <w:kern w:val="0"/>
          <w:sz w:val="24"/>
          <w:szCs w:val="21"/>
          <w:highlight w:val="none"/>
          <w:lang w:val="en-US" w:eastAsia="zh-CN"/>
        </w:rPr>
        <w:t>1446.97</w:t>
      </w:r>
      <w:r>
        <w:rPr>
          <w:rFonts w:hint="eastAsia" w:ascii="宋体" w:hAnsi="Times New Roman" w:cs="仿宋_GB2312"/>
          <w:bCs/>
          <w:snapToGrid w:val="0"/>
          <w:color w:val="auto"/>
          <w:spacing w:val="8"/>
          <w:kern w:val="0"/>
          <w:sz w:val="24"/>
          <w:szCs w:val="21"/>
          <w:highlight w:val="none"/>
          <w:lang w:val="en-US"/>
        </w:rPr>
        <w:t>平方米</w:t>
      </w:r>
      <w:r>
        <w:rPr>
          <w:rFonts w:hint="eastAsia" w:ascii="宋体" w:hAnsi="Times New Roman" w:cs="仿宋_GB2312"/>
          <w:bCs/>
          <w:snapToGrid w:val="0"/>
          <w:color w:val="auto"/>
          <w:spacing w:val="8"/>
          <w:kern w:val="0"/>
          <w:sz w:val="24"/>
          <w:szCs w:val="21"/>
          <w:highlight w:val="none"/>
        </w:rPr>
        <w:t>，共征收栋数</w:t>
      </w:r>
      <w:r>
        <w:rPr>
          <w:rFonts w:hint="eastAsia" w:ascii="宋体" w:hAnsi="Times New Roman" w:cs="仿宋_GB2312"/>
          <w:bCs/>
          <w:snapToGrid w:val="0"/>
          <w:color w:val="auto"/>
          <w:spacing w:val="8"/>
          <w:kern w:val="0"/>
          <w:sz w:val="24"/>
          <w:szCs w:val="21"/>
          <w:highlight w:val="none"/>
          <w:lang w:val="en-US" w:eastAsia="zh-CN"/>
        </w:rPr>
        <w:t>2</w:t>
      </w:r>
      <w:r>
        <w:rPr>
          <w:rFonts w:hint="eastAsia" w:ascii="宋体" w:hAnsi="Times New Roman" w:cs="仿宋_GB2312"/>
          <w:bCs/>
          <w:snapToGrid w:val="0"/>
          <w:color w:val="auto"/>
          <w:spacing w:val="8"/>
          <w:kern w:val="0"/>
          <w:sz w:val="24"/>
          <w:szCs w:val="21"/>
          <w:highlight w:val="none"/>
        </w:rPr>
        <w:t>栋（处）</w:t>
      </w:r>
      <w:r>
        <w:rPr>
          <w:rFonts w:hint="eastAsia" w:ascii="宋体" w:eastAsia="宋体" w:cs="仿宋_GB2312"/>
          <w:bCs/>
          <w:snapToGrid w:val="0"/>
          <w:color w:val="auto"/>
          <w:spacing w:val="8"/>
          <w:kern w:val="0"/>
          <w:sz w:val="24"/>
          <w:szCs w:val="21"/>
        </w:rPr>
        <w:t>最终以实际征收面积及栋数为准。</w:t>
      </w:r>
    </w:p>
    <w:p w14:paraId="3385EBF2">
      <w:pPr>
        <w:pageBreakBefore w:val="0"/>
        <w:kinsoku/>
        <w:overflowPunct/>
        <w:bidi w:val="0"/>
        <w:spacing w:after="60" w:line="400" w:lineRule="exact"/>
        <w:ind w:firstLine="512" w:firstLineChars="200"/>
        <w:jc w:val="left"/>
        <w:rPr>
          <w:rFonts w:hint="eastAsia" w:ascii="宋体" w:eastAsia="宋体" w:cs="仿宋_GB2312"/>
          <w:bCs/>
          <w:snapToGrid w:val="0"/>
          <w:color w:val="auto"/>
          <w:spacing w:val="8"/>
          <w:kern w:val="0"/>
          <w:sz w:val="24"/>
          <w:szCs w:val="21"/>
        </w:rPr>
      </w:pPr>
      <w:r>
        <w:rPr>
          <w:rFonts w:hint="eastAsia" w:ascii="宋体" w:eastAsia="宋体" w:cs="仿宋_GB2312"/>
          <w:bCs/>
          <w:snapToGrid w:val="0"/>
          <w:color w:val="auto"/>
          <w:spacing w:val="8"/>
          <w:kern w:val="0"/>
          <w:sz w:val="24"/>
          <w:szCs w:val="21"/>
        </w:rPr>
        <w:t>现坪山街道办事处拟开展</w:t>
      </w:r>
      <w:r>
        <w:rPr>
          <w:rFonts w:hint="eastAsia" w:ascii="宋体" w:cs="仿宋_GB2312"/>
          <w:bCs/>
          <w:snapToGrid w:val="0"/>
          <w:color w:val="auto"/>
          <w:spacing w:val="8"/>
          <w:kern w:val="0"/>
          <w:sz w:val="24"/>
          <w:szCs w:val="21"/>
          <w:lang w:val="en-US" w:eastAsia="zh-CN"/>
        </w:rPr>
        <w:t>房屋拆除工程服务的</w:t>
      </w:r>
      <w:r>
        <w:rPr>
          <w:rFonts w:hint="eastAsia" w:ascii="宋体" w:eastAsia="宋体" w:cs="仿宋_GB2312"/>
          <w:bCs/>
          <w:snapToGrid w:val="0"/>
          <w:color w:val="auto"/>
          <w:spacing w:val="8"/>
          <w:kern w:val="0"/>
          <w:sz w:val="24"/>
          <w:szCs w:val="21"/>
        </w:rPr>
        <w:t>供应商采购工作。</w:t>
      </w:r>
    </w:p>
    <w:p w14:paraId="53CCF138">
      <w:pPr>
        <w:pStyle w:val="12"/>
        <w:rPr>
          <w:rFonts w:hint="eastAsia"/>
          <w:color w:val="auto"/>
        </w:rPr>
      </w:pPr>
    </w:p>
    <w:p w14:paraId="79EBB587">
      <w:pPr>
        <w:pStyle w:val="37"/>
        <w:pageBreakBefore w:val="0"/>
        <w:kinsoku/>
        <w:overflowPunct/>
        <w:bidi w:val="0"/>
        <w:spacing w:line="400" w:lineRule="exact"/>
        <w:ind w:firstLine="562"/>
        <w:rPr>
          <w:rFonts w:cs="楷体_GB2312" w:asciiTheme="minorEastAsia" w:hAnsiTheme="minorEastAsia" w:eastAsiaTheme="minorEastAsia"/>
          <w:b/>
          <w:color w:val="auto"/>
          <w:highlight w:val="none"/>
        </w:rPr>
      </w:pPr>
      <w:r>
        <w:rPr>
          <w:rFonts w:hint="eastAsia" w:cs="楷体_GB2312" w:asciiTheme="minorEastAsia" w:hAnsiTheme="minorEastAsia" w:eastAsiaTheme="minorEastAsia"/>
          <w:b/>
          <w:color w:val="auto"/>
          <w:highlight w:val="none"/>
        </w:rPr>
        <w:t>1.</w:t>
      </w:r>
      <w:r>
        <w:rPr>
          <w:rFonts w:hint="eastAsia" w:cs="楷体_GB2312" w:asciiTheme="minorEastAsia" w:hAnsiTheme="minorEastAsia" w:eastAsiaTheme="minorEastAsia"/>
          <w:b/>
          <w:color w:val="auto"/>
          <w:highlight w:val="none"/>
          <w:lang w:val="en-US" w:eastAsia="zh-CN"/>
        </w:rPr>
        <w:t>3</w:t>
      </w:r>
      <w:r>
        <w:rPr>
          <w:rFonts w:hint="eastAsia" w:cs="楷体_GB2312" w:asciiTheme="minorEastAsia" w:hAnsiTheme="minorEastAsia" w:eastAsiaTheme="minorEastAsia"/>
          <w:b/>
          <w:color w:val="auto"/>
          <w:highlight w:val="none"/>
        </w:rPr>
        <w:t xml:space="preserve"> 项目目的及建设目标</w:t>
      </w:r>
    </w:p>
    <w:p w14:paraId="37097F0A">
      <w:pPr>
        <w:pageBreakBefore w:val="0"/>
        <w:kinsoku/>
        <w:overflowPunct/>
        <w:bidi w:val="0"/>
        <w:spacing w:after="60" w:line="400" w:lineRule="exact"/>
        <w:ind w:firstLine="512" w:firstLineChars="200"/>
        <w:jc w:val="left"/>
        <w:rPr>
          <w:rFonts w:ascii="宋体" w:cs="仿宋_GB2312"/>
          <w:bCs/>
          <w:snapToGrid w:val="0"/>
          <w:color w:val="auto"/>
          <w:spacing w:val="8"/>
          <w:kern w:val="0"/>
          <w:sz w:val="24"/>
          <w:szCs w:val="21"/>
        </w:rPr>
      </w:pPr>
      <w:r>
        <w:rPr>
          <w:rFonts w:hint="eastAsia" w:ascii="宋体" w:cs="仿宋_GB2312"/>
          <w:bCs/>
          <w:snapToGrid w:val="0"/>
          <w:color w:val="auto"/>
          <w:spacing w:val="8"/>
          <w:kern w:val="0"/>
          <w:sz w:val="24"/>
          <w:szCs w:val="21"/>
        </w:rPr>
        <w:t>推动</w:t>
      </w:r>
      <w:r>
        <w:rPr>
          <w:rFonts w:hint="eastAsia" w:ascii="宋体" w:cs="仿宋_GB2312"/>
          <w:bCs/>
          <w:snapToGrid w:val="0"/>
          <w:color w:val="auto"/>
          <w:spacing w:val="8"/>
          <w:kern w:val="0"/>
          <w:sz w:val="24"/>
          <w:szCs w:val="21"/>
          <w:highlight w:val="none"/>
          <w:lang w:val="en-US" w:eastAsia="zh-CN"/>
        </w:rPr>
        <w:t>深圳</w:t>
      </w:r>
      <w:r>
        <w:rPr>
          <w:rFonts w:hint="eastAsia" w:ascii="宋体" w:cs="仿宋_GB2312"/>
          <w:bCs/>
          <w:snapToGrid w:val="0"/>
          <w:color w:val="auto"/>
          <w:spacing w:val="8"/>
          <w:kern w:val="0"/>
          <w:sz w:val="24"/>
          <w:szCs w:val="21"/>
          <w:highlight w:val="none"/>
        </w:rPr>
        <w:t>东部过境高速公路非保通段</w:t>
      </w:r>
      <w:r>
        <w:rPr>
          <w:rFonts w:hint="eastAsia" w:ascii="宋体" w:cs="仿宋_GB2312"/>
          <w:bCs/>
          <w:snapToGrid w:val="0"/>
          <w:color w:val="auto"/>
          <w:spacing w:val="8"/>
          <w:kern w:val="0"/>
          <w:sz w:val="24"/>
          <w:szCs w:val="21"/>
        </w:rPr>
        <w:t>项目房屋</w:t>
      </w:r>
      <w:r>
        <w:rPr>
          <w:rFonts w:hint="eastAsia" w:ascii="宋体" w:cs="仿宋_GB2312"/>
          <w:bCs/>
          <w:snapToGrid w:val="0"/>
          <w:color w:val="auto"/>
          <w:spacing w:val="8"/>
          <w:kern w:val="0"/>
          <w:sz w:val="24"/>
          <w:szCs w:val="21"/>
          <w:lang w:val="en-US" w:eastAsia="zh-CN"/>
        </w:rPr>
        <w:t>拆除</w:t>
      </w:r>
      <w:r>
        <w:rPr>
          <w:rFonts w:hint="eastAsia" w:ascii="宋体" w:cs="仿宋_GB2312"/>
          <w:bCs/>
          <w:snapToGrid w:val="0"/>
          <w:color w:val="auto"/>
          <w:spacing w:val="8"/>
          <w:kern w:val="0"/>
          <w:sz w:val="24"/>
          <w:szCs w:val="21"/>
        </w:rPr>
        <w:t>工作，落实《</w:t>
      </w:r>
      <w:r>
        <w:rPr>
          <w:rFonts w:hint="eastAsia" w:ascii="宋体" w:cs="仿宋_GB2312"/>
          <w:bCs/>
          <w:snapToGrid w:val="0"/>
          <w:color w:val="auto"/>
          <w:spacing w:val="8"/>
          <w:kern w:val="0"/>
          <w:sz w:val="24"/>
          <w:szCs w:val="21"/>
          <w:highlight w:val="none"/>
          <w:lang w:val="en-US" w:eastAsia="zh-CN"/>
        </w:rPr>
        <w:t>关于启动深圳东部过境高速公路非保通段土地整备工作的通知</w:t>
      </w:r>
      <w:r>
        <w:rPr>
          <w:rFonts w:hint="eastAsia" w:ascii="宋体" w:cs="仿宋_GB2312"/>
          <w:bCs/>
          <w:snapToGrid w:val="0"/>
          <w:color w:val="auto"/>
          <w:spacing w:val="8"/>
          <w:kern w:val="0"/>
          <w:sz w:val="24"/>
          <w:szCs w:val="21"/>
        </w:rPr>
        <w:t>》，尽快为</w:t>
      </w:r>
      <w:r>
        <w:rPr>
          <w:rFonts w:hint="eastAsia" w:ascii="宋体" w:cs="仿宋_GB2312"/>
          <w:bCs/>
          <w:snapToGrid w:val="0"/>
          <w:color w:val="auto"/>
          <w:spacing w:val="8"/>
          <w:kern w:val="0"/>
          <w:sz w:val="24"/>
          <w:szCs w:val="21"/>
          <w:highlight w:val="none"/>
        </w:rPr>
        <w:t>东部过境高速公路</w:t>
      </w:r>
      <w:r>
        <w:rPr>
          <w:rFonts w:hint="eastAsia" w:ascii="宋体" w:cs="仿宋_GB2312"/>
          <w:bCs/>
          <w:snapToGrid w:val="0"/>
          <w:color w:val="auto"/>
          <w:spacing w:val="8"/>
          <w:kern w:val="0"/>
          <w:sz w:val="24"/>
          <w:szCs w:val="21"/>
        </w:rPr>
        <w:t>建设提供施工面。本项目</w:t>
      </w:r>
      <w:r>
        <w:rPr>
          <w:rFonts w:hint="eastAsia" w:ascii="宋体" w:cs="仿宋_GB2312"/>
          <w:bCs/>
          <w:snapToGrid w:val="0"/>
          <w:color w:val="auto"/>
          <w:spacing w:val="8"/>
          <w:kern w:val="0"/>
          <w:sz w:val="24"/>
          <w:szCs w:val="21"/>
          <w:lang w:val="en-US" w:eastAsia="zh-CN"/>
        </w:rPr>
        <w:t>房屋拆除工程服务</w:t>
      </w:r>
      <w:r>
        <w:rPr>
          <w:rFonts w:hint="eastAsia" w:ascii="宋体" w:cs="仿宋_GB2312"/>
          <w:bCs/>
          <w:snapToGrid w:val="0"/>
          <w:color w:val="auto"/>
          <w:spacing w:val="8"/>
          <w:kern w:val="0"/>
          <w:sz w:val="24"/>
          <w:szCs w:val="21"/>
        </w:rPr>
        <w:t>招标的目的旨在通过公开招标方式确定</w:t>
      </w:r>
      <w:r>
        <w:rPr>
          <w:rFonts w:hint="eastAsia" w:ascii="宋体" w:cs="仿宋_GB2312"/>
          <w:bCs/>
          <w:snapToGrid w:val="0"/>
          <w:color w:val="auto"/>
          <w:spacing w:val="8"/>
          <w:kern w:val="0"/>
          <w:sz w:val="24"/>
          <w:szCs w:val="21"/>
          <w:lang w:val="en-US" w:eastAsia="zh-CN"/>
        </w:rPr>
        <w:t>拆除施工</w:t>
      </w:r>
      <w:r>
        <w:rPr>
          <w:rFonts w:hint="eastAsia" w:ascii="宋体" w:cs="仿宋_GB2312"/>
          <w:bCs/>
          <w:snapToGrid w:val="0"/>
          <w:color w:val="auto"/>
          <w:spacing w:val="8"/>
          <w:kern w:val="0"/>
          <w:sz w:val="24"/>
          <w:szCs w:val="21"/>
        </w:rPr>
        <w:t>单位，做好</w:t>
      </w:r>
      <w:r>
        <w:rPr>
          <w:rFonts w:hint="eastAsia" w:ascii="宋体" w:cs="仿宋_GB2312"/>
          <w:bCs/>
          <w:snapToGrid w:val="0"/>
          <w:color w:val="auto"/>
          <w:spacing w:val="8"/>
          <w:kern w:val="0"/>
          <w:sz w:val="24"/>
          <w:szCs w:val="21"/>
          <w:lang w:val="en-US" w:eastAsia="zh-CN"/>
        </w:rPr>
        <w:t>房屋拆除</w:t>
      </w:r>
      <w:r>
        <w:rPr>
          <w:rFonts w:hint="eastAsia" w:ascii="宋体" w:cs="仿宋_GB2312"/>
          <w:bCs/>
          <w:snapToGrid w:val="0"/>
          <w:color w:val="auto"/>
          <w:spacing w:val="8"/>
          <w:kern w:val="0"/>
          <w:sz w:val="24"/>
          <w:szCs w:val="21"/>
        </w:rPr>
        <w:t>工作，为</w:t>
      </w:r>
      <w:r>
        <w:rPr>
          <w:rFonts w:hint="eastAsia" w:ascii="宋体" w:cs="仿宋_GB2312"/>
          <w:bCs/>
          <w:snapToGrid w:val="0"/>
          <w:color w:val="auto"/>
          <w:spacing w:val="8"/>
          <w:kern w:val="0"/>
          <w:sz w:val="24"/>
          <w:szCs w:val="21"/>
          <w:highlight w:val="none"/>
        </w:rPr>
        <w:t>东部过境高速公路</w:t>
      </w:r>
      <w:r>
        <w:rPr>
          <w:rFonts w:hint="eastAsia" w:ascii="宋体" w:cs="仿宋_GB2312"/>
          <w:bCs/>
          <w:snapToGrid w:val="0"/>
          <w:color w:val="auto"/>
          <w:spacing w:val="8"/>
          <w:kern w:val="0"/>
          <w:sz w:val="24"/>
          <w:szCs w:val="21"/>
          <w:highlight w:val="none"/>
          <w:lang w:val="en-US" w:eastAsia="zh-CN"/>
        </w:rPr>
        <w:t>施工创造条件</w:t>
      </w:r>
      <w:r>
        <w:rPr>
          <w:rFonts w:hint="eastAsia" w:ascii="宋体" w:cs="仿宋_GB2312"/>
          <w:bCs/>
          <w:snapToGrid w:val="0"/>
          <w:color w:val="auto"/>
          <w:spacing w:val="8"/>
          <w:kern w:val="0"/>
          <w:sz w:val="24"/>
          <w:szCs w:val="21"/>
          <w:highlight w:val="none"/>
        </w:rPr>
        <w:t>，保障</w:t>
      </w:r>
      <w:r>
        <w:rPr>
          <w:rFonts w:hint="eastAsia" w:ascii="宋体" w:cs="仿宋_GB2312"/>
          <w:bCs/>
          <w:snapToGrid w:val="0"/>
          <w:color w:val="auto"/>
          <w:spacing w:val="8"/>
          <w:kern w:val="0"/>
          <w:sz w:val="24"/>
          <w:szCs w:val="21"/>
          <w:highlight w:val="none"/>
          <w:lang w:val="en-US" w:eastAsia="zh-CN"/>
        </w:rPr>
        <w:t>土地整备</w:t>
      </w:r>
      <w:r>
        <w:rPr>
          <w:rFonts w:hint="eastAsia" w:ascii="宋体" w:cs="仿宋_GB2312"/>
          <w:bCs/>
          <w:snapToGrid w:val="0"/>
          <w:color w:val="auto"/>
          <w:spacing w:val="8"/>
          <w:kern w:val="0"/>
          <w:sz w:val="24"/>
          <w:szCs w:val="21"/>
          <w:highlight w:val="none"/>
        </w:rPr>
        <w:t>工作顺利完成。</w:t>
      </w:r>
    </w:p>
    <w:p w14:paraId="1EAA2302">
      <w:pPr>
        <w:pStyle w:val="19"/>
        <w:rPr>
          <w:color w:val="auto"/>
          <w:highlight w:val="none"/>
        </w:rPr>
      </w:pPr>
    </w:p>
    <w:p w14:paraId="60F86EC2">
      <w:pPr>
        <w:pStyle w:val="37"/>
        <w:pageBreakBefore w:val="0"/>
        <w:kinsoku/>
        <w:overflowPunct/>
        <w:bidi w:val="0"/>
        <w:spacing w:line="400" w:lineRule="exact"/>
        <w:ind w:firstLine="562"/>
        <w:jc w:val="both"/>
        <w:rPr>
          <w:rFonts w:cs="楷体_GB2312" w:asciiTheme="minorEastAsia" w:hAnsiTheme="minorEastAsia" w:eastAsiaTheme="minorEastAsia"/>
          <w:b/>
          <w:color w:val="auto"/>
          <w:highlight w:val="none"/>
        </w:rPr>
      </w:pPr>
      <w:r>
        <w:rPr>
          <w:rFonts w:hint="eastAsia" w:cs="楷体_GB2312" w:asciiTheme="minorEastAsia" w:hAnsiTheme="minorEastAsia" w:eastAsiaTheme="minorEastAsia"/>
          <w:b/>
          <w:color w:val="auto"/>
          <w:highlight w:val="none"/>
        </w:rPr>
        <w:t>1.</w:t>
      </w:r>
      <w:r>
        <w:rPr>
          <w:rFonts w:hint="eastAsia" w:cs="楷体_GB2312" w:asciiTheme="minorEastAsia" w:hAnsiTheme="minorEastAsia" w:eastAsiaTheme="minorEastAsia"/>
          <w:b/>
          <w:color w:val="auto"/>
          <w:highlight w:val="none"/>
          <w:lang w:val="en-US" w:eastAsia="zh-CN"/>
        </w:rPr>
        <w:t>4</w:t>
      </w:r>
      <w:r>
        <w:rPr>
          <w:rFonts w:hint="eastAsia" w:cs="楷体_GB2312" w:asciiTheme="minorEastAsia" w:hAnsiTheme="minorEastAsia" w:eastAsiaTheme="minorEastAsia"/>
          <w:b/>
          <w:color w:val="auto"/>
          <w:highlight w:val="none"/>
        </w:rPr>
        <w:t xml:space="preserve"> 项目采购范围</w:t>
      </w:r>
    </w:p>
    <w:p w14:paraId="13F5BE60">
      <w:pPr>
        <w:pStyle w:val="32"/>
        <w:keepNext w:val="0"/>
        <w:keepLines w:val="0"/>
        <w:pageBreakBefore w:val="0"/>
        <w:widowControl/>
        <w:kinsoku/>
        <w:wordWrap w:val="0"/>
        <w:overflowPunct/>
        <w:topLinePunct w:val="0"/>
        <w:autoSpaceDE/>
        <w:autoSpaceDN/>
        <w:bidi w:val="0"/>
        <w:adjustRightInd/>
        <w:snapToGrid/>
        <w:spacing w:afterLines="0" w:line="400" w:lineRule="exact"/>
        <w:ind w:firstLine="512" w:firstLineChars="200"/>
        <w:jc w:val="both"/>
        <w:textAlignment w:val="auto"/>
        <w:rPr>
          <w:rFonts w:hint="eastAsia" w:cs="仿宋_GB2312"/>
          <w:bCs/>
          <w:color w:val="auto"/>
          <w:szCs w:val="21"/>
          <w:highlight w:val="none"/>
        </w:rPr>
      </w:pPr>
      <w:r>
        <w:rPr>
          <w:rFonts w:hint="eastAsia" w:cs="仿宋_GB2312"/>
          <w:bCs/>
          <w:color w:val="auto"/>
          <w:szCs w:val="21"/>
        </w:rPr>
        <w:t>本项目的</w:t>
      </w:r>
      <w:r>
        <w:rPr>
          <w:rFonts w:hint="eastAsia" w:cs="仿宋_GB2312"/>
          <w:bCs/>
          <w:color w:val="auto"/>
          <w:szCs w:val="21"/>
          <w:lang w:val="en-US" w:eastAsia="zh-CN"/>
        </w:rPr>
        <w:t>房屋拆除</w:t>
      </w:r>
      <w:r>
        <w:rPr>
          <w:rFonts w:hint="eastAsia" w:cs="仿宋_GB2312"/>
          <w:bCs/>
          <w:color w:val="auto"/>
          <w:szCs w:val="21"/>
        </w:rPr>
        <w:t>工作范围为坪山街道办事处东部过境高速公路非保通段项目房屋</w:t>
      </w:r>
      <w:r>
        <w:rPr>
          <w:rFonts w:hint="eastAsia" w:asciiTheme="minorEastAsia" w:hAnsiTheme="minorEastAsia" w:eastAsiaTheme="minorEastAsia"/>
          <w:color w:val="auto"/>
          <w:sz w:val="24"/>
          <w:highlight w:val="none"/>
        </w:rPr>
        <w:t>、构筑（附属）物、其他附属物</w:t>
      </w:r>
      <w:r>
        <w:rPr>
          <w:rFonts w:hint="eastAsia" w:asciiTheme="minorEastAsia" w:hAnsiTheme="minorEastAsia" w:eastAsiaTheme="minorEastAsia"/>
          <w:color w:val="auto"/>
          <w:sz w:val="24"/>
          <w:highlight w:val="none"/>
          <w:lang w:val="en-US" w:eastAsia="zh-CN"/>
        </w:rPr>
        <w:t>拆除</w:t>
      </w:r>
      <w:r>
        <w:rPr>
          <w:rFonts w:hint="eastAsia" w:cs="仿宋_GB2312"/>
          <w:bCs/>
          <w:color w:val="auto"/>
          <w:szCs w:val="21"/>
          <w:highlight w:val="none"/>
        </w:rPr>
        <w:t>等。</w:t>
      </w:r>
      <w:r>
        <w:rPr>
          <w:rFonts w:hint="eastAsia" w:cs="仿宋_GB2312"/>
          <w:bCs/>
          <w:color w:val="auto"/>
          <w:szCs w:val="21"/>
        </w:rPr>
        <w:t>根据《关于明确坪山区剩余房屋拆迁工作建筑物拆除事宜的函》（深昱东部〔2022〕29号），本项目坪山街道办事处范围内</w:t>
      </w:r>
      <w:r>
        <w:rPr>
          <w:rFonts w:hint="eastAsia" w:ascii="宋体" w:hAnsi="宋体" w:cs="宋体"/>
          <w:color w:val="auto"/>
          <w:szCs w:val="21"/>
        </w:rPr>
        <w:t>需</w:t>
      </w:r>
      <w:r>
        <w:rPr>
          <w:rFonts w:hint="eastAsia" w:hAnsi="宋体" w:cs="宋体"/>
          <w:color w:val="auto"/>
          <w:szCs w:val="21"/>
          <w:lang w:val="en-US" w:eastAsia="zh-CN"/>
        </w:rPr>
        <w:t>拆除</w:t>
      </w:r>
      <w:r>
        <w:rPr>
          <w:rFonts w:hint="eastAsia" w:ascii="宋体" w:hAnsi="宋体" w:cs="宋体"/>
          <w:color w:val="auto"/>
          <w:szCs w:val="21"/>
        </w:rPr>
        <w:t>的</w:t>
      </w:r>
      <w:r>
        <w:rPr>
          <w:rFonts w:hint="eastAsia" w:hAnsi="宋体" w:cs="宋体"/>
          <w:color w:val="auto"/>
          <w:szCs w:val="21"/>
          <w:lang w:val="en-US" w:eastAsia="zh-CN"/>
        </w:rPr>
        <w:t>房屋</w:t>
      </w:r>
      <w:r>
        <w:rPr>
          <w:rFonts w:hint="eastAsia" w:ascii="宋体" w:hAnsi="宋体" w:cs="宋体"/>
          <w:color w:val="auto"/>
          <w:szCs w:val="21"/>
        </w:rPr>
        <w:t>面积约</w:t>
      </w:r>
      <w:r>
        <w:rPr>
          <w:rFonts w:hint="eastAsia" w:hAnsi="宋体" w:cs="宋体"/>
          <w:color w:val="auto"/>
          <w:szCs w:val="21"/>
          <w:lang w:val="en-US" w:eastAsia="zh-CN"/>
        </w:rPr>
        <w:t>1466.97</w:t>
      </w:r>
      <w:r>
        <w:rPr>
          <w:rFonts w:hint="default" w:hAnsi="宋体" w:cs="宋体"/>
          <w:color w:val="auto"/>
          <w:szCs w:val="21"/>
          <w:lang w:val="en"/>
        </w:rPr>
        <w:t>平方米</w:t>
      </w:r>
      <w:r>
        <w:rPr>
          <w:rFonts w:hint="eastAsia" w:ascii="宋体" w:hAnsi="宋体" w:cs="宋体"/>
          <w:color w:val="auto"/>
          <w:szCs w:val="21"/>
        </w:rPr>
        <w:t>，共征收栋数</w:t>
      </w:r>
      <w:r>
        <w:rPr>
          <w:rFonts w:hint="eastAsia" w:hAnsi="宋体" w:cs="宋体"/>
          <w:color w:val="auto"/>
          <w:szCs w:val="21"/>
          <w:lang w:val="en-US" w:eastAsia="zh-CN"/>
        </w:rPr>
        <w:t>2</w:t>
      </w:r>
      <w:r>
        <w:rPr>
          <w:rFonts w:hint="eastAsia" w:ascii="宋体" w:hAnsi="宋体" w:cs="宋体"/>
          <w:color w:val="auto"/>
          <w:szCs w:val="21"/>
        </w:rPr>
        <w:t>栋（处）</w:t>
      </w:r>
      <w:r>
        <w:rPr>
          <w:rFonts w:hint="eastAsia" w:cs="仿宋_GB2312"/>
          <w:bCs/>
          <w:color w:val="auto"/>
          <w:szCs w:val="21"/>
        </w:rPr>
        <w:t>，本项目最终</w:t>
      </w:r>
      <w:r>
        <w:rPr>
          <w:rFonts w:hint="eastAsia" w:cs="仿宋_GB2312"/>
          <w:bCs/>
          <w:color w:val="auto"/>
          <w:szCs w:val="21"/>
          <w:lang w:val="en-US" w:eastAsia="zh-CN"/>
        </w:rPr>
        <w:t>拆除</w:t>
      </w:r>
      <w:r>
        <w:rPr>
          <w:rFonts w:hint="eastAsia" w:cs="仿宋_GB2312"/>
          <w:bCs/>
          <w:color w:val="auto"/>
          <w:szCs w:val="21"/>
        </w:rPr>
        <w:t>面积以实际</w:t>
      </w:r>
      <w:r>
        <w:rPr>
          <w:rFonts w:hint="eastAsia" w:cs="仿宋_GB2312"/>
          <w:bCs/>
          <w:color w:val="auto"/>
          <w:szCs w:val="21"/>
          <w:lang w:val="en-US" w:eastAsia="zh-CN"/>
        </w:rPr>
        <w:t>拆除</w:t>
      </w:r>
      <w:r>
        <w:rPr>
          <w:rFonts w:hint="eastAsia" w:cs="仿宋_GB2312"/>
          <w:bCs/>
          <w:color w:val="auto"/>
          <w:szCs w:val="21"/>
        </w:rPr>
        <w:t>面积</w:t>
      </w:r>
      <w:r>
        <w:rPr>
          <w:rFonts w:hint="eastAsia" w:ascii="宋体" w:eastAsia="宋体" w:cs="仿宋_GB2312"/>
          <w:bCs/>
          <w:snapToGrid w:val="0"/>
          <w:color w:val="auto"/>
          <w:spacing w:val="8"/>
          <w:kern w:val="0"/>
          <w:sz w:val="24"/>
          <w:szCs w:val="21"/>
        </w:rPr>
        <w:t>及栋数</w:t>
      </w:r>
      <w:r>
        <w:rPr>
          <w:rFonts w:hint="eastAsia" w:cs="仿宋_GB2312"/>
          <w:bCs/>
          <w:color w:val="auto"/>
          <w:szCs w:val="21"/>
        </w:rPr>
        <w:t>为准。</w:t>
      </w:r>
      <w:r>
        <w:rPr>
          <w:rFonts w:hint="eastAsia" w:cs="仿宋_GB2312"/>
          <w:bCs/>
          <w:color w:val="auto"/>
          <w:szCs w:val="21"/>
          <w:highlight w:val="none"/>
          <w:lang w:val="en-US" w:eastAsia="zh-CN"/>
        </w:rPr>
        <w:t>具体工程</w:t>
      </w:r>
      <w:r>
        <w:rPr>
          <w:rFonts w:hint="eastAsia" w:cs="仿宋_GB2312"/>
          <w:bCs/>
          <w:color w:val="auto"/>
          <w:szCs w:val="21"/>
          <w:highlight w:val="none"/>
        </w:rPr>
        <w:t>量应按政府实际工作需要进行确定或调整。</w:t>
      </w:r>
    </w:p>
    <w:p w14:paraId="7740EA1D">
      <w:pPr>
        <w:pageBreakBefore w:val="0"/>
        <w:kinsoku/>
        <w:overflowPunct/>
        <w:bidi w:val="0"/>
        <w:spacing w:line="400" w:lineRule="exact"/>
        <w:ind w:firstLine="562" w:firstLineChars="200"/>
        <w:rPr>
          <w:rFonts w:hint="default" w:ascii="宋体" w:hAnsi="宋体" w:cs="宋体"/>
          <w:b/>
          <w:bCs/>
          <w:color w:val="auto"/>
          <w:sz w:val="28"/>
          <w:szCs w:val="28"/>
          <w:highlight w:val="none"/>
          <w:lang w:val="en"/>
        </w:rPr>
      </w:pPr>
      <w:bookmarkStart w:id="2" w:name="_Toc283323480"/>
      <w:bookmarkStart w:id="3" w:name="_Toc269225688"/>
      <w:bookmarkStart w:id="4" w:name="_Toc283323485"/>
      <w:bookmarkStart w:id="5" w:name="_Toc269225693"/>
    </w:p>
    <w:p w14:paraId="569E431B">
      <w:pPr>
        <w:pageBreakBefore w:val="0"/>
        <w:kinsoku/>
        <w:overflowPunct/>
        <w:bidi w:val="0"/>
        <w:spacing w:line="400" w:lineRule="exact"/>
        <w:ind w:firstLine="562" w:firstLineChars="200"/>
        <w:rPr>
          <w:rFonts w:ascii="宋体" w:hAnsi="宋体" w:cs="宋体"/>
          <w:b/>
          <w:bCs/>
          <w:color w:val="auto"/>
          <w:sz w:val="28"/>
          <w:szCs w:val="28"/>
          <w:highlight w:val="none"/>
        </w:rPr>
      </w:pPr>
      <w:r>
        <w:rPr>
          <w:rFonts w:hint="default" w:ascii="宋体" w:hAnsi="宋体" w:cs="宋体"/>
          <w:b/>
          <w:bCs/>
          <w:color w:val="auto"/>
          <w:sz w:val="28"/>
          <w:szCs w:val="28"/>
          <w:highlight w:val="none"/>
          <w:lang w:val="en"/>
        </w:rPr>
        <w:t>1.</w:t>
      </w:r>
      <w:r>
        <w:rPr>
          <w:rFonts w:hint="eastAsia" w:ascii="宋体" w:hAnsi="宋体" w:cs="宋体"/>
          <w:b/>
          <w:bCs/>
          <w:color w:val="auto"/>
          <w:sz w:val="28"/>
          <w:szCs w:val="28"/>
          <w:highlight w:val="none"/>
          <w:lang w:val="en-US" w:eastAsia="zh-CN"/>
        </w:rPr>
        <w:t>5</w:t>
      </w:r>
      <w:r>
        <w:rPr>
          <w:rFonts w:hint="default" w:ascii="宋体" w:hAnsi="宋体" w:cs="宋体"/>
          <w:b/>
          <w:bCs/>
          <w:color w:val="auto"/>
          <w:sz w:val="28"/>
          <w:szCs w:val="28"/>
          <w:highlight w:val="none"/>
          <w:lang w:val="en"/>
        </w:rPr>
        <w:t xml:space="preserve"> </w:t>
      </w:r>
      <w:r>
        <w:rPr>
          <w:rFonts w:hint="eastAsia" w:ascii="宋体" w:hAnsi="宋体" w:cs="宋体"/>
          <w:b/>
          <w:bCs/>
          <w:color w:val="auto"/>
          <w:sz w:val="28"/>
          <w:szCs w:val="28"/>
          <w:highlight w:val="none"/>
        </w:rPr>
        <w:t>服务要求</w:t>
      </w:r>
    </w:p>
    <w:p w14:paraId="603DF78C">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1.合同履行期间服务要求</w:t>
      </w:r>
    </w:p>
    <w:p w14:paraId="3FD47FDA">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(1)招标结束后，采购方与</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签订</w:t>
      </w:r>
      <w:r>
        <w:rPr>
          <w:rFonts w:hint="eastAsia" w:ascii="宋体" w:hAnsi="宋体" w:cs="宋体"/>
          <w:color w:val="auto"/>
          <w:sz w:val="24"/>
          <w:szCs w:val="24"/>
          <w:highlight w:val="none"/>
          <w:lang w:val="en-US" w:eastAsia="zh-CN"/>
        </w:rPr>
        <w:t>房屋拆除及建筑废弃物清运</w:t>
      </w:r>
      <w:r>
        <w:rPr>
          <w:rFonts w:hint="eastAsia" w:ascii="宋体" w:hAnsi="宋体" w:cs="宋体"/>
          <w:color w:val="auto"/>
          <w:sz w:val="24"/>
          <w:szCs w:val="24"/>
          <w:highlight w:val="none"/>
        </w:rPr>
        <w:t>合同，</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应按服务合同要求按时、按质、按量推进项目工作；</w:t>
      </w:r>
    </w:p>
    <w:p w14:paraId="2D5913F8">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项目组成员应按采购方的要求参加本项目审查和讨论的全部工作会议；</w:t>
      </w:r>
    </w:p>
    <w:p w14:paraId="6D9DD27D">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应</w:t>
      </w:r>
      <w:r>
        <w:rPr>
          <w:rFonts w:hint="eastAsia" w:ascii="宋体" w:hAnsi="宋体" w:cs="宋体"/>
          <w:color w:val="auto"/>
          <w:sz w:val="24"/>
          <w:szCs w:val="24"/>
          <w:highlight w:val="none"/>
          <w:lang w:eastAsia="zh-CN"/>
        </w:rPr>
        <w:t>在</w:t>
      </w:r>
      <w:r>
        <w:rPr>
          <w:rFonts w:hint="eastAsia" w:ascii="宋体" w:hAnsi="宋体" w:cs="宋体"/>
          <w:color w:val="auto"/>
          <w:sz w:val="24"/>
          <w:szCs w:val="24"/>
          <w:highlight w:val="none"/>
          <w:lang w:val="en-US" w:eastAsia="zh-CN"/>
        </w:rPr>
        <w:t>签订合同后、作业前在坪山区住房和建设局完成拆除工程项目备案</w:t>
      </w:r>
      <w:r>
        <w:rPr>
          <w:rFonts w:hint="eastAsia" w:ascii="宋体" w:hAnsi="宋体" w:cs="宋体"/>
          <w:color w:val="auto"/>
          <w:sz w:val="24"/>
          <w:szCs w:val="24"/>
          <w:highlight w:val="none"/>
        </w:rPr>
        <w:t>；</w:t>
      </w:r>
    </w:p>
    <w:p w14:paraId="5220CC06">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作为</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单位，应当在采购方要求的时间内</w:t>
      </w:r>
      <w:r>
        <w:rPr>
          <w:rFonts w:hint="eastAsia" w:ascii="宋体" w:hAnsi="宋体" w:cs="宋体"/>
          <w:color w:val="auto"/>
          <w:sz w:val="24"/>
          <w:szCs w:val="24"/>
          <w:highlight w:val="none"/>
          <w:lang w:val="en-US" w:eastAsia="zh-CN"/>
        </w:rPr>
        <w:t>施工完成相应的工程项目，施工工期节点进度符合采购方的要求</w:t>
      </w:r>
      <w:r>
        <w:rPr>
          <w:rFonts w:hint="eastAsia" w:ascii="宋体" w:hAnsi="宋体" w:cs="宋体"/>
          <w:color w:val="auto"/>
          <w:sz w:val="24"/>
          <w:szCs w:val="24"/>
          <w:highlight w:val="none"/>
        </w:rPr>
        <w:t>；</w:t>
      </w:r>
    </w:p>
    <w:p w14:paraId="5D6ECFD9">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不得擅自转让受托的</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业务；</w:t>
      </w:r>
    </w:p>
    <w:p w14:paraId="139D4A85">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(6)确保</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质量并及时完成</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任务；</w:t>
      </w:r>
    </w:p>
    <w:p w14:paraId="27AA53B4">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应遵循</w:t>
      </w:r>
      <w:r>
        <w:rPr>
          <w:rFonts w:hint="eastAsia" w:ascii="宋体" w:hAnsi="宋体" w:cs="宋体"/>
          <w:color w:val="auto"/>
          <w:sz w:val="24"/>
          <w:szCs w:val="24"/>
          <w:highlight w:val="none"/>
          <w:lang w:val="en-US" w:eastAsia="zh-CN"/>
        </w:rPr>
        <w:t>质量合格、安全文明施工、机械配备合理、劳动力充足、施工方法可靠、各项保障措施到位</w:t>
      </w:r>
      <w:r>
        <w:rPr>
          <w:rFonts w:hint="eastAsia" w:ascii="宋体" w:hAnsi="宋体" w:cs="宋体"/>
          <w:color w:val="auto"/>
          <w:sz w:val="24"/>
          <w:szCs w:val="24"/>
          <w:highlight w:val="none"/>
        </w:rPr>
        <w:t>等原则；</w:t>
      </w:r>
    </w:p>
    <w:p w14:paraId="17BE84B7">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施工资料应完整，符合相关的规定</w:t>
      </w:r>
      <w:r>
        <w:rPr>
          <w:rFonts w:hint="eastAsia" w:ascii="宋体" w:hAnsi="宋体" w:cs="宋体"/>
          <w:color w:val="auto"/>
          <w:sz w:val="24"/>
          <w:szCs w:val="24"/>
          <w:highlight w:val="none"/>
        </w:rPr>
        <w:t>；</w:t>
      </w:r>
    </w:p>
    <w:p w14:paraId="2AB4FBE5">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en-US" w:eastAsia="zh-CN"/>
        </w:rPr>
        <w:t>施工单位主要管理人员</w:t>
      </w:r>
      <w:r>
        <w:rPr>
          <w:rFonts w:hint="eastAsia" w:ascii="宋体" w:hAnsi="宋体" w:cs="宋体"/>
          <w:color w:val="auto"/>
          <w:sz w:val="24"/>
          <w:szCs w:val="24"/>
          <w:highlight w:val="none"/>
        </w:rPr>
        <w:t>因人员离职确需调整的需经采购方批准，调整不得降低标准。</w:t>
      </w:r>
    </w:p>
    <w:p w14:paraId="3AAD9415">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2.附加服务约定</w:t>
      </w:r>
    </w:p>
    <w:p w14:paraId="6F8BFFC9">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服务合同履行完毕后一年内，</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应继续向采购方提供相关咨询、配合项目</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等技术支持。</w:t>
      </w:r>
    </w:p>
    <w:p w14:paraId="325A41A2">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3.附加服务要求</w:t>
      </w:r>
    </w:p>
    <w:p w14:paraId="3C40A3E2">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(1)项目完结并经采购方审查通过后进入附加服务期，附加服务内容要求主要包括技术支持等；</w:t>
      </w:r>
    </w:p>
    <w:p w14:paraId="0F37EE43">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(2)本项目要求由</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提供 1 年的技术支持；</w:t>
      </w:r>
    </w:p>
    <w:p w14:paraId="51184C3B">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(3)技术支持服务包含以下内容：</w:t>
      </w:r>
    </w:p>
    <w:p w14:paraId="102E6E1A">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a.专员支持服务：安排</w:t>
      </w:r>
      <w:r>
        <w:rPr>
          <w:rFonts w:hint="eastAsia" w:ascii="宋体" w:hAnsi="宋体" w:cs="宋体"/>
          <w:color w:val="auto"/>
          <w:sz w:val="24"/>
          <w:szCs w:val="24"/>
          <w:highlight w:val="none"/>
          <w:lang w:val="en-US" w:eastAsia="zh-CN"/>
        </w:rPr>
        <w:t>施工技术人员</w:t>
      </w:r>
      <w:r>
        <w:rPr>
          <w:rFonts w:hint="eastAsia" w:ascii="宋体" w:hAnsi="宋体" w:cs="宋体"/>
          <w:color w:val="auto"/>
          <w:sz w:val="24"/>
          <w:szCs w:val="24"/>
          <w:highlight w:val="none"/>
        </w:rPr>
        <w:t>为本项目售后技术支持，并提供其联系手机、电话、传真、Email；保证采购方在工作日内能及时联系到</w:t>
      </w:r>
      <w:r>
        <w:rPr>
          <w:rFonts w:hint="eastAsia" w:ascii="宋体" w:hAnsi="宋体" w:cs="宋体"/>
          <w:color w:val="auto"/>
          <w:sz w:val="24"/>
          <w:szCs w:val="24"/>
          <w:highlight w:val="none"/>
          <w:lang w:val="en-US" w:eastAsia="zh-CN"/>
        </w:rPr>
        <w:t>施工技术人员</w:t>
      </w:r>
      <w:r>
        <w:rPr>
          <w:rFonts w:hint="eastAsia" w:ascii="宋体" w:hAnsi="宋体" w:cs="宋体"/>
          <w:color w:val="auto"/>
          <w:sz w:val="24"/>
          <w:szCs w:val="24"/>
          <w:highlight w:val="none"/>
        </w:rPr>
        <w:t>；如人员需要调整应及时通知采购方；</w:t>
      </w:r>
    </w:p>
    <w:p w14:paraId="6A427FD4">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b.审查支持服务：</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应配合采购方进行与本项目相关的技术审查工作，并提供专业技术意见。</w:t>
      </w:r>
    </w:p>
    <w:p w14:paraId="3713BE88">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4.附加服务期限</w:t>
      </w:r>
    </w:p>
    <w:p w14:paraId="691999F6">
      <w:pPr>
        <w:pageBreakBefore w:val="0"/>
        <w:kinsoku/>
        <w:overflowPunct/>
        <w:bidi w:val="0"/>
        <w:spacing w:line="400" w:lineRule="exact"/>
        <w:ind w:firstLine="480" w:firstLineChars="200"/>
        <w:rPr>
          <w:rFonts w:ascii="宋体" w:hAnsi="宋体" w:cs="宋体"/>
          <w:color w:val="auto"/>
          <w:sz w:val="24"/>
          <w:szCs w:val="24"/>
          <w:highlight w:val="none"/>
        </w:rPr>
      </w:pP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应按照</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服务合同规定，在限定期限内完成项目</w:t>
      </w:r>
      <w:r>
        <w:rPr>
          <w:rFonts w:hint="eastAsia" w:ascii="宋体" w:hAnsi="宋体" w:cs="宋体"/>
          <w:color w:val="auto"/>
          <w:sz w:val="24"/>
          <w:szCs w:val="24"/>
          <w:highlight w:val="none"/>
          <w:lang w:val="en-US" w:eastAsia="zh-CN"/>
        </w:rPr>
        <w:t>房屋拆除施工</w:t>
      </w:r>
      <w:r>
        <w:rPr>
          <w:rFonts w:hint="eastAsia" w:ascii="宋体" w:hAnsi="宋体" w:cs="宋体"/>
          <w:color w:val="auto"/>
          <w:sz w:val="24"/>
          <w:szCs w:val="24"/>
          <w:highlight w:val="none"/>
        </w:rPr>
        <w:t>工作。项目附加服务期限自项目</w:t>
      </w:r>
      <w:r>
        <w:rPr>
          <w:rFonts w:hint="eastAsia" w:ascii="宋体" w:hAnsi="宋体" w:cs="宋体"/>
          <w:color w:val="auto"/>
          <w:sz w:val="24"/>
          <w:szCs w:val="24"/>
          <w:highlight w:val="none"/>
          <w:lang w:val="en-US" w:eastAsia="zh-CN"/>
        </w:rPr>
        <w:t>房屋拆除施工</w:t>
      </w:r>
      <w:r>
        <w:rPr>
          <w:rFonts w:hint="eastAsia" w:ascii="宋体" w:hAnsi="宋体" w:cs="宋体"/>
          <w:color w:val="auto"/>
          <w:sz w:val="24"/>
          <w:szCs w:val="24"/>
          <w:highlight w:val="none"/>
          <w:lang w:eastAsia="zh-CN"/>
        </w:rPr>
        <w:t>验收完成且</w:t>
      </w:r>
      <w:r>
        <w:rPr>
          <w:rFonts w:hint="eastAsia" w:ascii="宋体" w:hAnsi="宋体" w:cs="宋体"/>
          <w:color w:val="auto"/>
          <w:sz w:val="24"/>
          <w:szCs w:val="24"/>
          <w:highlight w:val="none"/>
        </w:rPr>
        <w:t>所有成果提交采购方之日起的1年内，采购方有权随时要求</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跟进项目进展后续服务。</w:t>
      </w:r>
    </w:p>
    <w:p w14:paraId="5F121755">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5.技术培训</w:t>
      </w:r>
    </w:p>
    <w:p w14:paraId="2D9AA7B8">
      <w:pPr>
        <w:pageBreakBefore w:val="0"/>
        <w:kinsoku/>
        <w:overflowPunct/>
        <w:bidi w:val="0"/>
        <w:spacing w:line="400" w:lineRule="exact"/>
        <w:ind w:firstLine="480" w:firstLineChars="200"/>
        <w:rPr>
          <w:rFonts w:hint="eastAsia" w:ascii="宋体" w:hAnsi="宋体" w:cs="宋体"/>
          <w:sz w:val="24"/>
          <w:szCs w:val="24"/>
          <w:highlight w:val="none"/>
        </w:rPr>
      </w:pP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应按采购方需求，对采购方的相关技术人员进行技术培训，便于采购方理解</w:t>
      </w:r>
      <w:r>
        <w:rPr>
          <w:rFonts w:hint="eastAsia" w:ascii="宋体" w:hAnsi="宋体" w:cs="宋体"/>
          <w:color w:val="auto"/>
          <w:sz w:val="24"/>
          <w:szCs w:val="24"/>
          <w:highlight w:val="none"/>
          <w:lang w:val="en-US" w:eastAsia="zh-CN"/>
        </w:rPr>
        <w:t>房屋拆除</w:t>
      </w:r>
      <w:r>
        <w:rPr>
          <w:rFonts w:hint="eastAsia" w:ascii="宋体" w:hAnsi="宋体" w:cs="宋体"/>
          <w:color w:val="auto"/>
          <w:sz w:val="24"/>
          <w:szCs w:val="24"/>
          <w:highlight w:val="none"/>
        </w:rPr>
        <w:t>服务工作，确保房屋</w:t>
      </w:r>
      <w:r>
        <w:rPr>
          <w:rFonts w:hint="eastAsia" w:ascii="宋体" w:hAnsi="宋体" w:cs="宋体"/>
          <w:color w:val="auto"/>
          <w:sz w:val="24"/>
          <w:szCs w:val="24"/>
          <w:highlight w:val="none"/>
          <w:lang w:val="en-US" w:eastAsia="zh-CN"/>
        </w:rPr>
        <w:t>拆除施工</w:t>
      </w:r>
      <w:r>
        <w:rPr>
          <w:rFonts w:hint="eastAsia" w:ascii="宋体" w:hAnsi="宋体" w:cs="宋体"/>
          <w:color w:val="auto"/>
          <w:sz w:val="24"/>
          <w:szCs w:val="24"/>
          <w:highlight w:val="none"/>
        </w:rPr>
        <w:t>工作顺利实施。</w:t>
      </w:r>
    </w:p>
    <w:p w14:paraId="61453634">
      <w:pPr>
        <w:pStyle w:val="12"/>
      </w:pPr>
    </w:p>
    <w:p w14:paraId="4D40727C">
      <w:pPr>
        <w:pStyle w:val="36"/>
        <w:pageBreakBefore w:val="0"/>
        <w:numPr>
          <w:ilvl w:val="0"/>
          <w:numId w:val="1"/>
        </w:numPr>
        <w:kinsoku/>
        <w:overflowPunct/>
        <w:bidi w:val="0"/>
        <w:spacing w:beforeLines="0" w:line="400" w:lineRule="exact"/>
        <w:rPr>
          <w:rFonts w:hint="eastAsia" w:cs="黑体" w:asciiTheme="minorEastAsia" w:hAnsiTheme="minorEastAsia" w:eastAsiaTheme="minorEastAsia"/>
          <w:bCs w:val="0"/>
          <w:highlight w:val="none"/>
          <w:lang w:val="en-US" w:eastAsia="zh-CN"/>
        </w:rPr>
      </w:pPr>
      <w:r>
        <w:rPr>
          <w:rFonts w:hint="eastAsia" w:cs="黑体" w:asciiTheme="minorEastAsia" w:hAnsiTheme="minorEastAsia" w:eastAsiaTheme="minorEastAsia"/>
          <w:bCs w:val="0"/>
          <w:highlight w:val="none"/>
          <w:lang w:val="en-US" w:eastAsia="zh-CN"/>
        </w:rPr>
        <w:t>实质性条款</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7855"/>
      </w:tblGrid>
      <w:tr w14:paraId="4DB5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2CBD587A">
            <w:pPr>
              <w:pageBreakBefore w:val="0"/>
              <w:kinsoku/>
              <w:overflowPunct/>
              <w:bidi w:val="0"/>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序号</w:t>
            </w:r>
          </w:p>
        </w:tc>
        <w:tc>
          <w:tcPr>
            <w:tcW w:w="4610" w:type="pct"/>
            <w:vAlign w:val="center"/>
          </w:tcPr>
          <w:p w14:paraId="2ABFD4CD">
            <w:pPr>
              <w:pageBreakBefore w:val="0"/>
              <w:kinsoku/>
              <w:overflowPunct/>
              <w:bidi w:val="0"/>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实质性条款具体内容</w:t>
            </w:r>
          </w:p>
        </w:tc>
      </w:tr>
      <w:tr w14:paraId="2BB3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36BB77C2">
            <w:pPr>
              <w:pageBreakBefore w:val="0"/>
              <w:kinsoku/>
              <w:overflowPunct/>
              <w:bidi w:val="0"/>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1</w:t>
            </w:r>
          </w:p>
        </w:tc>
        <w:tc>
          <w:tcPr>
            <w:tcW w:w="4610" w:type="pct"/>
            <w:vAlign w:val="center"/>
          </w:tcPr>
          <w:p w14:paraId="321E2F9C">
            <w:pPr>
              <w:pageBreakBefore w:val="0"/>
              <w:kinsoku/>
              <w:overflowPunct/>
              <w:bidi w:val="0"/>
              <w:spacing w:line="400" w:lineRule="exact"/>
              <w:jc w:val="left"/>
              <w:rPr>
                <w:rFonts w:hAnsi="宋体"/>
                <w:kern w:val="0"/>
                <w:szCs w:val="21"/>
                <w:highlight w:val="none"/>
              </w:rPr>
            </w:pPr>
            <w:r>
              <w:rPr>
                <w:rFonts w:hint="eastAsia" w:ascii="宋体" w:hAnsi="宋体" w:cs="宋体"/>
                <w:szCs w:val="21"/>
                <w:highlight w:val="none"/>
              </w:rPr>
              <w:t>技术要求中</w:t>
            </w:r>
            <w:r>
              <w:rPr>
                <w:rFonts w:hint="eastAsia" w:ascii="宋体" w:hAnsi="宋体" w:cs="宋体"/>
                <w:szCs w:val="21"/>
                <w:highlight w:val="none"/>
                <w:lang w:val="en-US" w:eastAsia="zh-CN"/>
              </w:rPr>
              <w:t>3.4项目人员安排要求的</w:t>
            </w:r>
            <w:r>
              <w:rPr>
                <w:rFonts w:hint="eastAsia" w:ascii="宋体" w:hAnsi="宋体" w:cs="宋体"/>
                <w:szCs w:val="21"/>
                <w:highlight w:val="none"/>
              </w:rPr>
              <w:t>（3）人员要求一览表的“</w:t>
            </w:r>
            <w:r>
              <w:rPr>
                <w:rFonts w:hint="eastAsia" w:ascii="宋体" w:hAnsi="宋体" w:cs="宋体"/>
                <w:color w:val="FF0000"/>
                <w:szCs w:val="21"/>
                <w:highlight w:val="none"/>
              </w:rPr>
              <w:t>★</w:t>
            </w:r>
            <w:r>
              <w:rPr>
                <w:rFonts w:hint="eastAsia" w:ascii="宋体" w:hAnsi="宋体" w:cs="宋体"/>
                <w:szCs w:val="21"/>
                <w:highlight w:val="none"/>
              </w:rPr>
              <w:t>人员类别”和“</w:t>
            </w:r>
            <w:r>
              <w:rPr>
                <w:rFonts w:hint="eastAsia" w:ascii="宋体" w:hAnsi="宋体" w:cs="宋体"/>
                <w:color w:val="FF0000"/>
                <w:szCs w:val="21"/>
                <w:highlight w:val="none"/>
              </w:rPr>
              <w:t>★</w:t>
            </w:r>
            <w:r>
              <w:rPr>
                <w:rFonts w:hint="eastAsia" w:ascii="宋体" w:hAnsi="宋体" w:cs="宋体"/>
                <w:szCs w:val="21"/>
                <w:highlight w:val="none"/>
              </w:rPr>
              <w:t>数量”</w:t>
            </w:r>
            <w:r>
              <w:rPr>
                <w:rFonts w:hint="eastAsia" w:ascii="宋体" w:hAnsi="宋体"/>
                <w:highlight w:val="none"/>
              </w:rPr>
              <w:t>内容</w:t>
            </w:r>
            <w:r>
              <w:rPr>
                <w:rFonts w:hint="eastAsia" w:ascii="宋体" w:hAnsi="宋体" w:cs="宋体"/>
                <w:szCs w:val="21"/>
                <w:highlight w:val="none"/>
              </w:rPr>
              <w:t>。</w:t>
            </w:r>
          </w:p>
        </w:tc>
      </w:tr>
      <w:tr w14:paraId="01F1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31C370A4">
            <w:pPr>
              <w:pageBreakBefore w:val="0"/>
              <w:kinsoku/>
              <w:overflowPunct/>
              <w:bidi w:val="0"/>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2</w:t>
            </w:r>
          </w:p>
        </w:tc>
        <w:tc>
          <w:tcPr>
            <w:tcW w:w="4610" w:type="pct"/>
            <w:vAlign w:val="center"/>
          </w:tcPr>
          <w:p w14:paraId="0924B806">
            <w:pPr>
              <w:pageBreakBefore w:val="0"/>
              <w:kinsoku/>
              <w:overflowPunct/>
              <w:bidi w:val="0"/>
              <w:spacing w:line="400" w:lineRule="exact"/>
              <w:jc w:val="left"/>
              <w:rPr>
                <w:rFonts w:hint="eastAsia" w:ascii="宋体" w:hAnsi="宋体"/>
                <w:highlight w:val="none"/>
              </w:rPr>
            </w:pPr>
            <w:r>
              <w:rPr>
                <w:rFonts w:hint="eastAsia" w:ascii="宋体" w:hAnsi="宋体"/>
                <w:color w:val="FF0000"/>
                <w:highlight w:val="none"/>
              </w:rPr>
              <w:t>★</w:t>
            </w:r>
            <w:r>
              <w:rPr>
                <w:rFonts w:hint="eastAsia" w:ascii="宋体" w:hAnsi="宋体"/>
                <w:highlight w:val="none"/>
              </w:rPr>
              <w:t>（4）基于施工服务单位互不交叉的原则，投标人必须接受签订“东部过境高速公路非保通段项目</w:t>
            </w:r>
            <w:r>
              <w:rPr>
                <w:rFonts w:hint="eastAsia" w:ascii="宋体" w:hAnsi="宋体"/>
                <w:highlight w:val="none"/>
                <w:lang w:eastAsia="zh-CN"/>
              </w:rPr>
              <w:t>房屋拆除</w:t>
            </w:r>
            <w:r>
              <w:rPr>
                <w:rFonts w:hint="eastAsia" w:ascii="宋体" w:hAnsi="宋体"/>
                <w:highlight w:val="none"/>
                <w:lang w:val="en-US" w:eastAsia="zh-CN"/>
              </w:rPr>
              <w:t>工程服务</w:t>
            </w:r>
            <w:r>
              <w:rPr>
                <w:rFonts w:hint="eastAsia" w:ascii="宋体" w:hAnsi="宋体"/>
                <w:highlight w:val="none"/>
              </w:rPr>
              <w:t>承诺函”，须提供加盖投标人公章的书面承诺函，承诺函详见附件1《东部过境高速公路非保通段项目</w:t>
            </w:r>
            <w:r>
              <w:rPr>
                <w:rFonts w:hint="eastAsia" w:ascii="宋体" w:hAnsi="宋体"/>
                <w:highlight w:val="none"/>
                <w:lang w:eastAsia="zh-CN"/>
              </w:rPr>
              <w:t>房屋拆除</w:t>
            </w:r>
            <w:r>
              <w:rPr>
                <w:rFonts w:hint="eastAsia" w:ascii="宋体" w:hAnsi="宋体"/>
                <w:highlight w:val="none"/>
                <w:lang w:val="en-US" w:eastAsia="zh-CN"/>
              </w:rPr>
              <w:t>工程服务</w:t>
            </w:r>
            <w:r>
              <w:rPr>
                <w:rFonts w:hint="eastAsia" w:ascii="宋体" w:hAnsi="宋体"/>
                <w:highlight w:val="none"/>
              </w:rPr>
              <w:t>承诺函》。</w:t>
            </w:r>
          </w:p>
          <w:p w14:paraId="10994578">
            <w:pPr>
              <w:pageBreakBefore w:val="0"/>
              <w:kinsoku/>
              <w:overflowPunct/>
              <w:bidi w:val="0"/>
              <w:spacing w:line="400" w:lineRule="exact"/>
              <w:jc w:val="left"/>
              <w:rPr>
                <w:rFonts w:hint="eastAsia" w:ascii="宋体" w:hAnsi="宋体"/>
                <w:highlight w:val="none"/>
              </w:rPr>
            </w:pPr>
            <w:r>
              <w:rPr>
                <w:rFonts w:hint="eastAsia" w:ascii="宋体" w:hAnsi="宋体"/>
                <w:color w:val="FF0000"/>
                <w:highlight w:val="none"/>
              </w:rPr>
              <w:t>★</w:t>
            </w:r>
            <w:r>
              <w:rPr>
                <w:rFonts w:hint="eastAsia" w:ascii="宋体" w:hAnsi="宋体"/>
                <w:highlight w:val="none"/>
              </w:rPr>
              <w:t>附件1：</w:t>
            </w:r>
          </w:p>
          <w:p w14:paraId="13211EE4">
            <w:pPr>
              <w:pageBreakBefore w:val="0"/>
              <w:kinsoku/>
              <w:overflowPunct/>
              <w:bidi w:val="0"/>
              <w:spacing w:line="400" w:lineRule="exact"/>
              <w:jc w:val="left"/>
              <w:rPr>
                <w:rFonts w:hint="eastAsia" w:ascii="宋体" w:hAnsi="宋体"/>
                <w:highlight w:val="none"/>
              </w:rPr>
            </w:pPr>
            <w:r>
              <w:rPr>
                <w:rFonts w:hint="eastAsia" w:ascii="宋体" w:hAnsi="宋体"/>
                <w:highlight w:val="none"/>
              </w:rPr>
              <w:t>东部过境高速公路非保通段项目</w:t>
            </w:r>
            <w:r>
              <w:rPr>
                <w:rFonts w:hint="eastAsia" w:ascii="宋体" w:hAnsi="宋体"/>
                <w:highlight w:val="none"/>
                <w:lang w:eastAsia="zh-CN"/>
              </w:rPr>
              <w:t>房屋拆除</w:t>
            </w:r>
            <w:r>
              <w:rPr>
                <w:rFonts w:hint="eastAsia" w:ascii="宋体" w:hAnsi="宋体"/>
                <w:highlight w:val="none"/>
                <w:lang w:val="en-US" w:eastAsia="zh-CN"/>
              </w:rPr>
              <w:t>工程服务</w:t>
            </w:r>
            <w:r>
              <w:rPr>
                <w:rFonts w:hint="eastAsia" w:ascii="宋体" w:hAnsi="宋体"/>
                <w:highlight w:val="none"/>
              </w:rPr>
              <w:t>承诺函</w:t>
            </w:r>
          </w:p>
          <w:p w14:paraId="0718A361">
            <w:pPr>
              <w:pageBreakBefore w:val="0"/>
              <w:kinsoku/>
              <w:overflowPunct/>
              <w:bidi w:val="0"/>
              <w:spacing w:line="400" w:lineRule="exact"/>
              <w:jc w:val="left"/>
              <w:rPr>
                <w:rFonts w:hint="eastAsia" w:ascii="宋体" w:hAnsi="宋体"/>
                <w:highlight w:val="none"/>
              </w:rPr>
            </w:pPr>
            <w:r>
              <w:rPr>
                <w:rFonts w:hint="eastAsia" w:ascii="宋体" w:hAnsi="宋体"/>
                <w:highlight w:val="none"/>
              </w:rPr>
              <w:t>我司参与东部过境高速公路非保通段项目</w:t>
            </w:r>
            <w:r>
              <w:rPr>
                <w:rFonts w:hint="eastAsia" w:ascii="宋体" w:hAnsi="宋体"/>
                <w:highlight w:val="none"/>
                <w:lang w:eastAsia="zh-CN"/>
              </w:rPr>
              <w:t>房屋拆除</w:t>
            </w:r>
            <w:r>
              <w:rPr>
                <w:rFonts w:hint="eastAsia" w:ascii="宋体" w:hAnsi="宋体"/>
                <w:highlight w:val="none"/>
                <w:lang w:val="en-US" w:eastAsia="zh-CN"/>
              </w:rPr>
              <w:t>工程服务</w:t>
            </w:r>
            <w:r>
              <w:rPr>
                <w:rFonts w:hint="eastAsia" w:ascii="宋体" w:hAnsi="宋体"/>
                <w:highlight w:val="none"/>
              </w:rPr>
              <w:t>项目（项目编号：******，下称本项目），承诺如下：</w:t>
            </w:r>
          </w:p>
          <w:p w14:paraId="4DF10D1B">
            <w:pPr>
              <w:pageBreakBefore w:val="0"/>
              <w:kinsoku/>
              <w:overflowPunct/>
              <w:bidi w:val="0"/>
              <w:spacing w:line="400" w:lineRule="exact"/>
              <w:jc w:val="left"/>
              <w:rPr>
                <w:rFonts w:hint="eastAsia" w:ascii="宋体" w:hAnsi="宋体"/>
                <w:highlight w:val="none"/>
              </w:rPr>
            </w:pPr>
            <w:r>
              <w:rPr>
                <w:rFonts w:hint="eastAsia" w:ascii="宋体" w:hAnsi="宋体"/>
                <w:highlight w:val="none"/>
              </w:rPr>
              <w:t>一、我司自该项目招标公告发布之日前</w:t>
            </w:r>
            <w:r>
              <w:rPr>
                <w:rFonts w:hint="eastAsia" w:ascii="宋体" w:hAnsi="宋体"/>
                <w:highlight w:val="none"/>
                <w:lang w:val="en-US" w:eastAsia="zh-CN"/>
              </w:rPr>
              <w:t>1个月</w:t>
            </w:r>
            <w:r>
              <w:rPr>
                <w:rFonts w:hint="eastAsia" w:ascii="宋体" w:hAnsi="宋体"/>
                <w:highlight w:val="none"/>
              </w:rPr>
              <w:t>内未在坪山街道范围内承接房屋拆除工作；</w:t>
            </w:r>
          </w:p>
          <w:p w14:paraId="1221364E">
            <w:pPr>
              <w:pageBreakBefore w:val="0"/>
              <w:kinsoku/>
              <w:overflowPunct/>
              <w:bidi w:val="0"/>
              <w:spacing w:line="400" w:lineRule="exact"/>
              <w:jc w:val="left"/>
              <w:rPr>
                <w:rFonts w:hint="eastAsia" w:ascii="宋体" w:hAnsi="宋体"/>
                <w:highlight w:val="none"/>
              </w:rPr>
            </w:pPr>
            <w:r>
              <w:rPr>
                <w:rFonts w:hint="eastAsia" w:ascii="宋体" w:hAnsi="宋体"/>
                <w:highlight w:val="none"/>
              </w:rPr>
              <w:t>二、我司严格按照国家对建设工程施工行业的有关法律、法规以及政策、规定进行经营；</w:t>
            </w:r>
          </w:p>
          <w:p w14:paraId="003008CE">
            <w:pPr>
              <w:pageBreakBefore w:val="0"/>
              <w:kinsoku/>
              <w:overflowPunct/>
              <w:bidi w:val="0"/>
              <w:spacing w:line="400" w:lineRule="exact"/>
              <w:jc w:val="left"/>
              <w:rPr>
                <w:rFonts w:hint="eastAsia" w:ascii="宋体" w:hAnsi="宋体"/>
                <w:highlight w:val="none"/>
              </w:rPr>
            </w:pPr>
            <w:r>
              <w:rPr>
                <w:rFonts w:hint="eastAsia" w:ascii="宋体" w:hAnsi="宋体"/>
                <w:highlight w:val="none"/>
              </w:rPr>
              <w:t>三、我司严格按照</w:t>
            </w:r>
            <w:r>
              <w:rPr>
                <w:rFonts w:hint="eastAsia" w:ascii="宋体" w:hAnsi="宋体" w:eastAsia="宋体" w:cs="Times New Roman"/>
                <w:color w:val="auto"/>
                <w:sz w:val="21"/>
                <w:szCs w:val="24"/>
                <w:highlight w:val="none"/>
              </w:rPr>
              <w:t>《深圳市房屋拆除工程管理办法》</w:t>
            </w:r>
            <w:r>
              <w:rPr>
                <w:rFonts w:hint="eastAsia" w:ascii="宋体" w:hAnsi="宋体" w:cs="Times New Roman"/>
                <w:sz w:val="21"/>
                <w:szCs w:val="24"/>
                <w:highlight w:val="none"/>
                <w:lang w:eastAsia="zh-CN"/>
              </w:rPr>
              <w:t>、</w:t>
            </w:r>
            <w:r>
              <w:rPr>
                <w:rFonts w:hint="eastAsia" w:ascii="宋体" w:hAnsi="宋体" w:eastAsia="宋体" w:cs="Times New Roman"/>
                <w:color w:val="auto"/>
                <w:sz w:val="21"/>
                <w:szCs w:val="24"/>
                <w:highlight w:val="none"/>
                <w:lang w:val="en-US" w:eastAsia="zh-CN"/>
              </w:rPr>
              <w:t>《</w:t>
            </w:r>
            <w:r>
              <w:rPr>
                <w:rFonts w:hint="eastAsia" w:ascii="宋体" w:hAnsi="宋体" w:eastAsia="宋体" w:cs="Times New Roman"/>
                <w:color w:val="auto"/>
                <w:sz w:val="21"/>
                <w:szCs w:val="24"/>
                <w:highlight w:val="none"/>
              </w:rPr>
              <w:t>深圳市建筑废弃物综合管理办法》</w:t>
            </w:r>
            <w:r>
              <w:rPr>
                <w:rFonts w:hint="eastAsia" w:ascii="宋体" w:hAnsi="宋体" w:cs="Times New Roman"/>
                <w:color w:val="auto"/>
                <w:sz w:val="21"/>
                <w:szCs w:val="24"/>
                <w:highlight w:val="none"/>
                <w:lang w:val="en-US" w:eastAsia="zh-CN"/>
              </w:rPr>
              <w:t>等相关规定，进行拆除备案、安全</w:t>
            </w:r>
            <w:r>
              <w:rPr>
                <w:rFonts w:hint="eastAsia" w:ascii="宋体" w:hAnsi="宋体" w:cs="Times New Roman"/>
                <w:sz w:val="21"/>
                <w:szCs w:val="24"/>
                <w:highlight w:val="none"/>
                <w:lang w:val="en-US" w:eastAsia="zh-CN"/>
              </w:rPr>
              <w:t>文明</w:t>
            </w:r>
            <w:r>
              <w:rPr>
                <w:rFonts w:hint="eastAsia" w:ascii="宋体" w:hAnsi="宋体" w:cs="Times New Roman"/>
                <w:color w:val="auto"/>
                <w:sz w:val="21"/>
                <w:szCs w:val="24"/>
                <w:highlight w:val="none"/>
                <w:lang w:val="en-US" w:eastAsia="zh-CN"/>
              </w:rPr>
              <w:t>施工、清运建筑废弃物等工作；</w:t>
            </w:r>
          </w:p>
          <w:p w14:paraId="1EF54DD9">
            <w:pPr>
              <w:pageBreakBefore w:val="0"/>
              <w:kinsoku/>
              <w:overflowPunct/>
              <w:bidi w:val="0"/>
              <w:spacing w:line="400" w:lineRule="exact"/>
              <w:jc w:val="left"/>
              <w:rPr>
                <w:rFonts w:hint="eastAsia" w:ascii="宋体" w:hAnsi="宋体"/>
                <w:highlight w:val="none"/>
              </w:rPr>
            </w:pPr>
            <w:r>
              <w:rPr>
                <w:rFonts w:hint="eastAsia" w:ascii="宋体" w:hAnsi="宋体"/>
                <w:highlight w:val="none"/>
              </w:rPr>
              <w:t>四、以上承诺若有虚假或违反，一经查实，将被取消中标资格，本公司愿意接受有关部门的处罚，并承担由此带来的法律后果。</w:t>
            </w:r>
          </w:p>
          <w:p w14:paraId="7BBF9B28">
            <w:pPr>
              <w:pageBreakBefore w:val="0"/>
              <w:kinsoku/>
              <w:overflowPunct/>
              <w:bidi w:val="0"/>
              <w:spacing w:line="400" w:lineRule="exact"/>
              <w:jc w:val="left"/>
              <w:rPr>
                <w:rFonts w:hint="eastAsia" w:ascii="宋体" w:hAnsi="宋体"/>
                <w:highlight w:val="none"/>
              </w:rPr>
            </w:pPr>
            <w:r>
              <w:rPr>
                <w:rFonts w:hint="eastAsia" w:ascii="宋体" w:hAnsi="宋体"/>
                <w:highlight w:val="none"/>
              </w:rPr>
              <w:t>声明企业(公章)：</w:t>
            </w:r>
          </w:p>
          <w:p w14:paraId="6C90481D">
            <w:pPr>
              <w:pageBreakBefore w:val="0"/>
              <w:kinsoku/>
              <w:overflowPunct/>
              <w:bidi w:val="0"/>
              <w:spacing w:line="400" w:lineRule="exact"/>
              <w:jc w:val="left"/>
              <w:rPr>
                <w:rFonts w:hint="eastAsia" w:ascii="宋体" w:hAnsi="宋体"/>
                <w:highlight w:val="none"/>
              </w:rPr>
            </w:pPr>
            <w:r>
              <w:rPr>
                <w:rFonts w:hint="eastAsia" w:ascii="宋体" w:hAnsi="宋体"/>
                <w:highlight w:val="none"/>
              </w:rPr>
              <w:t>声明人(法定代表人)签字：</w:t>
            </w:r>
          </w:p>
          <w:p w14:paraId="7EC684D5">
            <w:pPr>
              <w:pageBreakBefore w:val="0"/>
              <w:kinsoku/>
              <w:overflowPunct/>
              <w:bidi w:val="0"/>
              <w:spacing w:line="400" w:lineRule="exact"/>
              <w:jc w:val="left"/>
              <w:rPr>
                <w:rFonts w:hint="eastAsia" w:ascii="宋体" w:hAnsi="宋体"/>
                <w:highlight w:val="none"/>
              </w:rPr>
            </w:pPr>
            <w:r>
              <w:rPr>
                <w:rFonts w:hint="eastAsia" w:ascii="宋体" w:hAnsi="宋体"/>
                <w:highlight w:val="none"/>
              </w:rPr>
              <w:t>声明人(法定代表人授权委托人)签字：</w:t>
            </w:r>
          </w:p>
          <w:p w14:paraId="6F0D1197">
            <w:pPr>
              <w:pageBreakBefore w:val="0"/>
              <w:kinsoku/>
              <w:overflowPunct/>
              <w:bidi w:val="0"/>
              <w:spacing w:line="400" w:lineRule="exact"/>
              <w:jc w:val="left"/>
              <w:rPr>
                <w:rFonts w:ascii="宋体" w:hAnsi="宋体"/>
                <w:highlight w:val="none"/>
              </w:rPr>
            </w:pPr>
            <w:r>
              <w:rPr>
                <w:rFonts w:hint="eastAsia" w:ascii="宋体" w:hAnsi="宋体"/>
                <w:highlight w:val="none"/>
              </w:rPr>
              <w:t>时间：</w:t>
            </w:r>
          </w:p>
        </w:tc>
      </w:tr>
      <w:tr w14:paraId="3CC1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41DFCA9C">
            <w:pPr>
              <w:pageBreakBefore w:val="0"/>
              <w:kinsoku/>
              <w:overflowPunct/>
              <w:bidi w:val="0"/>
              <w:adjustRightInd w:val="0"/>
              <w:snapToGrid w:val="0"/>
              <w:spacing w:line="400" w:lineRule="exact"/>
              <w:jc w:val="center"/>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3</w:t>
            </w:r>
          </w:p>
        </w:tc>
        <w:tc>
          <w:tcPr>
            <w:tcW w:w="4610" w:type="pct"/>
            <w:vAlign w:val="center"/>
          </w:tcPr>
          <w:p w14:paraId="6A5AA642">
            <w:pPr>
              <w:pageBreakBefore w:val="0"/>
              <w:kinsoku/>
              <w:overflowPunct/>
              <w:bidi w:val="0"/>
              <w:spacing w:line="400" w:lineRule="exact"/>
              <w:jc w:val="left"/>
              <w:rPr>
                <w:rFonts w:hint="eastAsia" w:ascii="宋体" w:hAnsi="宋体"/>
                <w:highlight w:val="none"/>
              </w:rPr>
            </w:pPr>
            <w:r>
              <w:rPr>
                <w:rFonts w:hint="eastAsia" w:ascii="宋体" w:hAnsi="宋体" w:cs="宋体"/>
                <w:kern w:val="0"/>
                <w:szCs w:val="21"/>
                <w:highlight w:val="none"/>
              </w:rPr>
              <w:t>商务要求中“</w:t>
            </w:r>
            <w:r>
              <w:rPr>
                <w:rFonts w:hint="eastAsia" w:ascii="宋体" w:hAnsi="宋体"/>
                <w:color w:val="FF0000"/>
                <w:highlight w:val="none"/>
              </w:rPr>
              <w:t>★</w:t>
            </w:r>
            <w:r>
              <w:rPr>
                <w:rFonts w:hint="eastAsia" w:ascii="宋体" w:hAnsi="宋体" w:cs="宋体"/>
                <w:kern w:val="0"/>
                <w:szCs w:val="21"/>
                <w:highlight w:val="none"/>
                <w:lang w:val="en-US" w:eastAsia="zh-CN"/>
              </w:rPr>
              <w:t>4.2</w:t>
            </w:r>
            <w:r>
              <w:rPr>
                <w:rFonts w:hint="eastAsia" w:ascii="宋体" w:hAnsi="宋体"/>
                <w:highlight w:val="none"/>
              </w:rPr>
              <w:t>报价要求”内容</w:t>
            </w:r>
          </w:p>
        </w:tc>
      </w:tr>
    </w:tbl>
    <w:p w14:paraId="6E6136B0">
      <w:pPr>
        <w:pageBreakBefore w:val="0"/>
        <w:kinsoku/>
        <w:overflowPunct/>
        <w:bidi w:val="0"/>
        <w:spacing w:line="400" w:lineRule="exact"/>
        <w:rPr>
          <w:highlight w:val="none"/>
        </w:rPr>
      </w:pPr>
      <w:r>
        <w:rPr>
          <w:rFonts w:hint="eastAsia"/>
          <w:highlight w:val="none"/>
        </w:rPr>
        <w:t>注：上表所列内容为不可负偏离条款，负偏离将视为未实质性满足招标文件要求作投标无效处理。</w:t>
      </w:r>
    </w:p>
    <w:p w14:paraId="7136A6AD">
      <w:pPr>
        <w:pageBreakBefore w:val="0"/>
        <w:kinsoku/>
        <w:overflowPunct/>
        <w:bidi w:val="0"/>
        <w:spacing w:line="400" w:lineRule="exact"/>
        <w:rPr>
          <w:b/>
          <w:bCs/>
          <w:sz w:val="24"/>
          <w:highlight w:val="none"/>
        </w:rPr>
      </w:pPr>
    </w:p>
    <w:p w14:paraId="7698C05D">
      <w:pPr>
        <w:pStyle w:val="36"/>
        <w:pageBreakBefore w:val="0"/>
        <w:numPr>
          <w:ilvl w:val="0"/>
          <w:numId w:val="1"/>
        </w:numPr>
        <w:kinsoku/>
        <w:overflowPunct/>
        <w:bidi w:val="0"/>
        <w:spacing w:beforeLines="0" w:line="400" w:lineRule="exact"/>
        <w:rPr>
          <w:rFonts w:hint="eastAsia" w:cs="黑体" w:asciiTheme="minorEastAsia" w:hAnsiTheme="minorEastAsia" w:eastAsiaTheme="minorEastAsia"/>
          <w:bCs w:val="0"/>
          <w:highlight w:val="none"/>
          <w:lang w:val="en-US" w:eastAsia="zh-CN"/>
        </w:rPr>
      </w:pPr>
      <w:r>
        <w:rPr>
          <w:rFonts w:hint="eastAsia" w:cs="黑体" w:asciiTheme="minorEastAsia" w:hAnsiTheme="minorEastAsia" w:eastAsiaTheme="minorEastAsia"/>
          <w:bCs w:val="0"/>
          <w:highlight w:val="none"/>
          <w:lang w:val="en-US" w:eastAsia="zh-CN"/>
        </w:rPr>
        <w:t>技术要求</w:t>
      </w:r>
    </w:p>
    <w:p w14:paraId="7C0EA8E4">
      <w:pPr>
        <w:pageBreakBefore w:val="0"/>
        <w:kinsoku/>
        <w:overflowPunct/>
        <w:bidi w:val="0"/>
        <w:spacing w:line="40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 xml:space="preserve">3.1 </w:t>
      </w:r>
      <w:r>
        <w:rPr>
          <w:rFonts w:hint="eastAsia" w:ascii="宋体" w:hAnsi="宋体" w:eastAsia="宋体" w:cs="宋体"/>
          <w:b/>
          <w:bCs/>
          <w:sz w:val="28"/>
          <w:szCs w:val="28"/>
          <w:highlight w:val="none"/>
        </w:rPr>
        <w:t>项目依据及参考的标准</w:t>
      </w:r>
    </w:p>
    <w:p w14:paraId="0AAEAC21">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《建筑拆除工程安全技术规范》（ J</w:t>
      </w: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J 147-2016）</w:t>
      </w:r>
    </w:p>
    <w:p w14:paraId="2E9912B4">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《中华人民共和国安全生产法》</w:t>
      </w:r>
    </w:p>
    <w:p w14:paraId="0AC01F97">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《建设工程安全生产管理条例》</w:t>
      </w:r>
    </w:p>
    <w:p w14:paraId="3D00355C">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《建筑机械使用安全技术规程》（ JGJ 33-2012）</w:t>
      </w:r>
    </w:p>
    <w:p w14:paraId="4B8EB545">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《深圳市房屋拆除工程管理办法》（深建规［2017］6号）</w:t>
      </w:r>
    </w:p>
    <w:p w14:paraId="46DF7B89">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《深圳市拆除工程技术指引》</w:t>
      </w:r>
    </w:p>
    <w:p w14:paraId="4E243573">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《深圳市建筑废弃物减排与利用条例》</w:t>
      </w:r>
    </w:p>
    <w:p w14:paraId="162C6CEF">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《深圳市建设工程安全文明施工标准》</w:t>
      </w:r>
    </w:p>
    <w:p w14:paraId="28B0D633">
      <w:pPr>
        <w:pageBreakBefore w:val="0"/>
        <w:kinsoku/>
        <w:overflowPunct/>
        <w:bidi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《深圳市拆除废弃物分类收集及处置技术指引》</w:t>
      </w:r>
    </w:p>
    <w:p w14:paraId="5986B39F">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深圳市建筑废弃物综合管理办法》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2020年）</w:t>
      </w:r>
    </w:p>
    <w:p w14:paraId="4D9B91EF">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《建设工程施工现场消防安全技术规范》GB50720-2011</w:t>
      </w:r>
    </w:p>
    <w:p w14:paraId="6ECE0C9F">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《扣件式脚手架安全技术规范》JGJ130-2011</w:t>
      </w:r>
    </w:p>
    <w:p w14:paraId="4CD70888">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《建筑施工作业劳动防护用品配备及使用标准》JGJ184-2009</w:t>
      </w:r>
    </w:p>
    <w:p w14:paraId="3B16EE04">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《深圳市住房和建设局关于印发&lt;深圳市建筑废弃物固定消纳场建设运营管理办法&gt;的通知》深建规（2022）10号</w:t>
      </w:r>
    </w:p>
    <w:p w14:paraId="525D6101">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《施工现场临时用电安全技术规范》JGJ46-2005</w:t>
      </w:r>
    </w:p>
    <w:p w14:paraId="128D03F0">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《建筑机械使用安全技术规程》JGJ33-2012</w:t>
      </w:r>
    </w:p>
    <w:p w14:paraId="501793F7">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《施工现场机械设备检查技术规程JGJ160-2016</w:t>
      </w:r>
    </w:p>
    <w:p w14:paraId="3806C2D2">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《建筑施工场界环境噪声排放标准》GB12523-2011</w:t>
      </w:r>
    </w:p>
    <w:p w14:paraId="20F49A13">
      <w:pPr>
        <w:pageBreakBefore w:val="0"/>
        <w:kinsoku/>
        <w:overflowPunct/>
        <w:bidi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深圳市住房和建设局关于进一步强化拆除工程安全管理的紧急通知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深圳市住建局深建质安[2019]121号</w:t>
      </w:r>
      <w:r>
        <w:rPr>
          <w:rFonts w:hint="eastAsia" w:ascii="宋体" w:hAnsi="宋体" w:eastAsia="宋体" w:cs="宋体"/>
          <w:color w:val="auto"/>
          <w:sz w:val="24"/>
          <w:szCs w:val="24"/>
          <w:highlight w:val="none"/>
          <w:lang w:eastAsia="zh-CN"/>
        </w:rPr>
        <w:t>）</w:t>
      </w:r>
    </w:p>
    <w:p w14:paraId="147C3736">
      <w:pPr>
        <w:pageBreakBefore w:val="0"/>
        <w:kinsoku/>
        <w:overflowPunct/>
        <w:bidi w:val="0"/>
        <w:spacing w:after="60" w:line="400" w:lineRule="exact"/>
        <w:ind w:firstLine="512" w:firstLineChars="200"/>
        <w:jc w:val="left"/>
        <w:rPr>
          <w:rFonts w:hint="eastAsia" w:ascii="宋体" w:hAnsi="Times New Roman" w:eastAsia="宋体" w:cs="仿宋_GB2312"/>
          <w:bCs/>
          <w:snapToGrid w:val="0"/>
          <w:color w:val="auto"/>
          <w:spacing w:val="8"/>
          <w:kern w:val="0"/>
          <w:sz w:val="24"/>
          <w:szCs w:val="21"/>
          <w:highlight w:val="none"/>
          <w:lang w:val="en-US" w:eastAsia="zh-CN"/>
        </w:rPr>
      </w:pPr>
      <w:r>
        <w:rPr>
          <w:rFonts w:hint="eastAsia" w:ascii="宋体" w:hAnsi="Times New Roman" w:eastAsia="宋体" w:cs="仿宋_GB2312"/>
          <w:bCs/>
          <w:snapToGrid w:val="0"/>
          <w:color w:val="auto"/>
          <w:spacing w:val="8"/>
          <w:kern w:val="0"/>
          <w:sz w:val="24"/>
          <w:szCs w:val="21"/>
          <w:highlight w:val="none"/>
          <w:lang w:eastAsia="zh-CN"/>
        </w:rPr>
        <w:t>（</w:t>
      </w:r>
      <w:r>
        <w:rPr>
          <w:rFonts w:hint="eastAsia" w:ascii="宋体" w:hAnsi="Times New Roman" w:eastAsia="宋体" w:cs="仿宋_GB2312"/>
          <w:bCs/>
          <w:snapToGrid w:val="0"/>
          <w:color w:val="auto"/>
          <w:spacing w:val="8"/>
          <w:kern w:val="0"/>
          <w:sz w:val="24"/>
          <w:szCs w:val="21"/>
          <w:highlight w:val="none"/>
          <w:lang w:val="en-US" w:eastAsia="zh-CN"/>
        </w:rPr>
        <w:t>20）</w:t>
      </w:r>
      <w:r>
        <w:rPr>
          <w:rFonts w:hint="eastAsia" w:ascii="宋体" w:hAnsi="Times New Roman" w:eastAsia="宋体" w:cs="仿宋_GB2312"/>
          <w:bCs/>
          <w:snapToGrid w:val="0"/>
          <w:color w:val="auto"/>
          <w:spacing w:val="8"/>
          <w:kern w:val="0"/>
          <w:sz w:val="24"/>
          <w:szCs w:val="21"/>
          <w:highlight w:val="none"/>
        </w:rPr>
        <w:t>《建设工程工程量清单计价规范》（GB50500-2013）</w:t>
      </w:r>
      <w:r>
        <w:rPr>
          <w:rFonts w:hint="eastAsia" w:ascii="宋体" w:hAnsi="Times New Roman" w:eastAsia="宋体" w:cs="仿宋_GB2312"/>
          <w:bCs/>
          <w:snapToGrid w:val="0"/>
          <w:color w:val="auto"/>
          <w:spacing w:val="8"/>
          <w:kern w:val="0"/>
          <w:sz w:val="24"/>
          <w:szCs w:val="21"/>
          <w:highlight w:val="none"/>
          <w:lang w:val="en-US" w:eastAsia="zh-CN"/>
        </w:rPr>
        <w:t>；</w:t>
      </w:r>
    </w:p>
    <w:p w14:paraId="60EF0FAE">
      <w:pPr>
        <w:pageBreakBefore w:val="0"/>
        <w:kinsoku/>
        <w:overflowPunct/>
        <w:bidi w:val="0"/>
        <w:spacing w:after="60" w:line="400" w:lineRule="exact"/>
        <w:ind w:firstLine="512" w:firstLineChars="200"/>
        <w:jc w:val="left"/>
        <w:rPr>
          <w:rFonts w:hint="eastAsia" w:ascii="宋体" w:hAnsi="Times New Roman" w:eastAsia="宋体" w:cs="仿宋_GB2312"/>
          <w:bCs/>
          <w:snapToGrid w:val="0"/>
          <w:color w:val="auto"/>
          <w:spacing w:val="8"/>
          <w:kern w:val="0"/>
          <w:sz w:val="24"/>
          <w:szCs w:val="21"/>
          <w:highlight w:val="none"/>
          <w:lang w:val="en-US" w:eastAsia="zh-CN"/>
        </w:rPr>
      </w:pPr>
      <w:r>
        <w:rPr>
          <w:rFonts w:hint="eastAsia" w:ascii="宋体" w:hAnsi="Times New Roman" w:eastAsia="宋体" w:cs="仿宋_GB2312"/>
          <w:bCs/>
          <w:snapToGrid w:val="0"/>
          <w:color w:val="auto"/>
          <w:spacing w:val="8"/>
          <w:kern w:val="0"/>
          <w:sz w:val="24"/>
          <w:szCs w:val="21"/>
          <w:highlight w:val="none"/>
          <w:lang w:eastAsia="zh-CN"/>
        </w:rPr>
        <w:t>（</w:t>
      </w:r>
      <w:r>
        <w:rPr>
          <w:rFonts w:hint="eastAsia" w:ascii="宋体" w:hAnsi="Times New Roman" w:eastAsia="宋体" w:cs="仿宋_GB2312"/>
          <w:bCs/>
          <w:snapToGrid w:val="0"/>
          <w:color w:val="auto"/>
          <w:spacing w:val="8"/>
          <w:kern w:val="0"/>
          <w:sz w:val="24"/>
          <w:szCs w:val="21"/>
          <w:highlight w:val="none"/>
          <w:lang w:val="en-US" w:eastAsia="zh-CN"/>
        </w:rPr>
        <w:t>21）</w:t>
      </w:r>
      <w:r>
        <w:rPr>
          <w:rFonts w:hint="eastAsia" w:ascii="宋体" w:hAnsi="Times New Roman" w:eastAsia="宋体" w:cs="仿宋_GB2312"/>
          <w:bCs/>
          <w:snapToGrid w:val="0"/>
          <w:color w:val="auto"/>
          <w:spacing w:val="8"/>
          <w:kern w:val="0"/>
          <w:sz w:val="24"/>
          <w:szCs w:val="21"/>
          <w:highlight w:val="none"/>
        </w:rPr>
        <w:t>《广东省住房和城乡建设厅关于印发房屋市政工程危险性较大的分部分项工程安全管理实施细则的通知》（粤建规范〔2019〕2号）</w:t>
      </w:r>
      <w:r>
        <w:rPr>
          <w:rFonts w:hint="eastAsia" w:ascii="宋体" w:hAnsi="Times New Roman" w:eastAsia="宋体" w:cs="仿宋_GB2312"/>
          <w:bCs/>
          <w:snapToGrid w:val="0"/>
          <w:color w:val="auto"/>
          <w:spacing w:val="8"/>
          <w:kern w:val="0"/>
          <w:sz w:val="24"/>
          <w:szCs w:val="21"/>
          <w:highlight w:val="none"/>
          <w:lang w:val="en-US" w:eastAsia="zh-CN"/>
        </w:rPr>
        <w:t>；</w:t>
      </w:r>
    </w:p>
    <w:p w14:paraId="42F254FD">
      <w:pPr>
        <w:pageBreakBefore w:val="0"/>
        <w:kinsoku/>
        <w:overflowPunct/>
        <w:bidi w:val="0"/>
        <w:spacing w:after="60" w:line="400" w:lineRule="exact"/>
        <w:ind w:firstLine="512" w:firstLineChars="200"/>
        <w:jc w:val="left"/>
        <w:rPr>
          <w:rFonts w:hint="eastAsia" w:ascii="宋体" w:hAnsi="Times New Roman" w:eastAsia="宋体" w:cs="仿宋_GB2312"/>
          <w:bCs/>
          <w:snapToGrid w:val="0"/>
          <w:color w:val="auto"/>
          <w:spacing w:val="8"/>
          <w:kern w:val="0"/>
          <w:sz w:val="24"/>
          <w:szCs w:val="21"/>
          <w:highlight w:val="none"/>
          <w:lang w:val="en-US" w:eastAsia="zh-CN"/>
        </w:rPr>
      </w:pPr>
      <w:r>
        <w:rPr>
          <w:rFonts w:hint="eastAsia" w:ascii="宋体" w:hAnsi="Times New Roman" w:eastAsia="宋体" w:cs="仿宋_GB2312"/>
          <w:bCs/>
          <w:snapToGrid w:val="0"/>
          <w:color w:val="auto"/>
          <w:spacing w:val="8"/>
          <w:kern w:val="0"/>
          <w:sz w:val="24"/>
          <w:szCs w:val="21"/>
          <w:highlight w:val="none"/>
          <w:lang w:eastAsia="zh-CN"/>
        </w:rPr>
        <w:t>（</w:t>
      </w:r>
      <w:r>
        <w:rPr>
          <w:rFonts w:hint="eastAsia" w:ascii="宋体" w:hAnsi="Times New Roman" w:eastAsia="宋体" w:cs="仿宋_GB2312"/>
          <w:bCs/>
          <w:snapToGrid w:val="0"/>
          <w:color w:val="auto"/>
          <w:spacing w:val="8"/>
          <w:kern w:val="0"/>
          <w:sz w:val="24"/>
          <w:szCs w:val="21"/>
          <w:highlight w:val="none"/>
          <w:lang w:val="en-US" w:eastAsia="zh-CN"/>
        </w:rPr>
        <w:t>22）</w:t>
      </w:r>
      <w:r>
        <w:rPr>
          <w:rFonts w:hint="eastAsia" w:ascii="宋体" w:hAnsi="Times New Roman" w:eastAsia="宋体" w:cs="仿宋_GB2312"/>
          <w:bCs/>
          <w:snapToGrid w:val="0"/>
          <w:color w:val="auto"/>
          <w:spacing w:val="8"/>
          <w:kern w:val="0"/>
          <w:sz w:val="24"/>
          <w:szCs w:val="21"/>
          <w:highlight w:val="none"/>
        </w:rPr>
        <w:t>深圳市住房和建设局《关于进一步规范招标投标有关事宜的通知》（深建市场〔2022〕4号）规定</w:t>
      </w:r>
      <w:r>
        <w:rPr>
          <w:rFonts w:hint="eastAsia" w:ascii="宋体" w:hAnsi="Times New Roman" w:eastAsia="宋体" w:cs="仿宋_GB2312"/>
          <w:bCs/>
          <w:snapToGrid w:val="0"/>
          <w:color w:val="auto"/>
          <w:spacing w:val="8"/>
          <w:kern w:val="0"/>
          <w:sz w:val="24"/>
          <w:szCs w:val="21"/>
          <w:highlight w:val="none"/>
          <w:lang w:val="en-US" w:eastAsia="zh-CN"/>
        </w:rPr>
        <w:t>；</w:t>
      </w:r>
    </w:p>
    <w:p w14:paraId="55705643">
      <w:pPr>
        <w:pageBreakBefore w:val="0"/>
        <w:kinsoku/>
        <w:overflowPunct/>
        <w:bidi w:val="0"/>
        <w:spacing w:line="400" w:lineRule="exact"/>
        <w:ind w:firstLine="512" w:firstLineChars="200"/>
        <w:rPr>
          <w:rFonts w:hint="eastAsia" w:ascii="宋体" w:hAnsi="宋体" w:eastAsia="宋体" w:cs="宋体"/>
          <w:color w:val="auto"/>
          <w:sz w:val="24"/>
          <w:szCs w:val="24"/>
          <w:highlight w:val="none"/>
          <w:lang w:eastAsia="zh-CN"/>
        </w:rPr>
      </w:pPr>
      <w:r>
        <w:rPr>
          <w:rFonts w:hint="eastAsia" w:ascii="宋体" w:hAnsi="Times New Roman" w:eastAsia="宋体" w:cs="仿宋_GB2312"/>
          <w:bCs/>
          <w:snapToGrid w:val="0"/>
          <w:color w:val="auto"/>
          <w:spacing w:val="8"/>
          <w:kern w:val="0"/>
          <w:sz w:val="24"/>
          <w:szCs w:val="21"/>
          <w:highlight w:val="none"/>
          <w:lang w:eastAsia="zh-CN"/>
        </w:rPr>
        <w:t>（</w:t>
      </w:r>
      <w:r>
        <w:rPr>
          <w:rFonts w:hint="eastAsia" w:ascii="宋体" w:hAnsi="Times New Roman" w:eastAsia="宋体" w:cs="仿宋_GB2312"/>
          <w:bCs/>
          <w:snapToGrid w:val="0"/>
          <w:color w:val="auto"/>
          <w:spacing w:val="8"/>
          <w:kern w:val="0"/>
          <w:sz w:val="24"/>
          <w:szCs w:val="21"/>
          <w:highlight w:val="none"/>
          <w:lang w:val="en-US" w:eastAsia="zh-CN"/>
        </w:rPr>
        <w:t>23）</w:t>
      </w:r>
      <w:r>
        <w:rPr>
          <w:rFonts w:hint="eastAsia" w:ascii="宋体" w:hAnsi="Times New Roman" w:eastAsia="宋体" w:cs="仿宋_GB2312"/>
          <w:bCs/>
          <w:snapToGrid w:val="0"/>
          <w:color w:val="auto"/>
          <w:spacing w:val="8"/>
          <w:kern w:val="0"/>
          <w:sz w:val="24"/>
          <w:szCs w:val="21"/>
          <w:highlight w:val="none"/>
        </w:rPr>
        <w:t>《深圳市人民政府印发关于建设工程招标投标改革若干规定的通知（深府[2015]73号）》等文件的要求</w:t>
      </w:r>
      <w:r>
        <w:rPr>
          <w:rFonts w:hint="eastAsia" w:ascii="宋体" w:hAnsi="Times New Roman" w:eastAsia="宋体" w:cs="仿宋_GB2312"/>
          <w:bCs/>
          <w:snapToGrid w:val="0"/>
          <w:color w:val="auto"/>
          <w:spacing w:val="8"/>
          <w:kern w:val="0"/>
          <w:sz w:val="24"/>
          <w:szCs w:val="21"/>
          <w:highlight w:val="none"/>
          <w:lang w:val="en-US" w:eastAsia="zh-CN"/>
        </w:rPr>
        <w:t>；</w:t>
      </w:r>
    </w:p>
    <w:p w14:paraId="592C6F2F">
      <w:pPr>
        <w:pageBreakBefore w:val="0"/>
        <w:kinsoku/>
        <w:overflow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其他相关的法律 、法规及地方规定等</w:t>
      </w:r>
    </w:p>
    <w:p w14:paraId="53B122B5">
      <w:pPr>
        <w:pageBreakBefore w:val="0"/>
        <w:kinsoku/>
        <w:overflowPunct/>
        <w:bidi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项目实施过程中，如果国家、广东省或深圳市有关部门颁布了新的技术标准或规范，则</w:t>
      </w:r>
      <w:r>
        <w:rPr>
          <w:rFonts w:hint="default" w:ascii="宋体" w:hAnsi="宋体" w:cs="宋体"/>
          <w:sz w:val="24"/>
          <w:szCs w:val="24"/>
          <w:highlight w:val="none"/>
          <w:lang w:val="en"/>
        </w:rPr>
        <w:t>中标方</w:t>
      </w:r>
      <w:r>
        <w:rPr>
          <w:rFonts w:hint="eastAsia" w:ascii="宋体" w:hAnsi="宋体" w:cs="宋体"/>
          <w:sz w:val="24"/>
          <w:szCs w:val="24"/>
          <w:highlight w:val="none"/>
        </w:rPr>
        <w:t>应采用新的标准或规范。</w:t>
      </w:r>
    </w:p>
    <w:p w14:paraId="26D98D63">
      <w:pPr>
        <w:pStyle w:val="12"/>
      </w:pPr>
    </w:p>
    <w:p w14:paraId="199A40E2">
      <w:pPr>
        <w:pageBreakBefore w:val="0"/>
        <w:kinsoku/>
        <w:overflowPunct/>
        <w:bidi w:val="0"/>
        <w:spacing w:line="40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 xml:space="preserve">3.2 </w:t>
      </w:r>
      <w:r>
        <w:rPr>
          <w:rFonts w:hint="eastAsia" w:ascii="宋体" w:hAnsi="宋体" w:eastAsia="宋体" w:cs="宋体"/>
          <w:b/>
          <w:bCs/>
          <w:sz w:val="28"/>
          <w:szCs w:val="28"/>
          <w:highlight w:val="none"/>
        </w:rPr>
        <w:t>项目服务内容</w:t>
      </w:r>
    </w:p>
    <w:p w14:paraId="4693637C">
      <w:pPr>
        <w:pageBreakBefore w:val="0"/>
        <w:kinsoku/>
        <w:overflowPunct/>
        <w:bidi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rPr>
        <w:t>负</w:t>
      </w:r>
      <w:r>
        <w:rPr>
          <w:rFonts w:hint="eastAsia" w:ascii="宋体" w:hAnsi="宋体" w:cs="宋体"/>
          <w:color w:val="auto"/>
          <w:sz w:val="24"/>
          <w:szCs w:val="24"/>
          <w:highlight w:val="none"/>
        </w:rPr>
        <w:t>责坪山街道</w:t>
      </w:r>
      <w:r>
        <w:rPr>
          <w:rFonts w:hint="eastAsia" w:ascii="宋体" w:hAnsi="宋体" w:cs="宋体"/>
          <w:color w:val="auto"/>
          <w:sz w:val="24"/>
          <w:highlight w:val="none"/>
        </w:rPr>
        <w:t>东部过境高速公路非保通段项目</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房屋拆除</w:t>
      </w:r>
      <w:r>
        <w:rPr>
          <w:rFonts w:hint="eastAsia" w:ascii="宋体" w:hAnsi="宋体" w:cs="宋体"/>
          <w:color w:val="auto"/>
          <w:sz w:val="24"/>
          <w:szCs w:val="24"/>
          <w:highlight w:val="none"/>
        </w:rPr>
        <w:t>工作，主要包括对</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范围内的</w:t>
      </w:r>
      <w:r>
        <w:rPr>
          <w:rFonts w:hint="eastAsia" w:ascii="宋体" w:hAnsi="宋体" w:eastAsia="宋体" w:cs="宋体"/>
          <w:color w:val="auto"/>
          <w:sz w:val="24"/>
          <w:szCs w:val="24"/>
          <w:highlight w:val="none"/>
          <w:lang w:eastAsia="zh-CN"/>
        </w:rPr>
        <w:t>建筑物整体拆除、</w:t>
      </w:r>
      <w:r>
        <w:rPr>
          <w:rFonts w:hint="eastAsia" w:ascii="宋体" w:hAnsi="宋体" w:eastAsia="宋体" w:cs="宋体"/>
          <w:color w:val="auto"/>
          <w:sz w:val="24"/>
          <w:szCs w:val="24"/>
          <w:highlight w:val="none"/>
          <w:lang w:val="en-US" w:eastAsia="zh-CN"/>
        </w:rPr>
        <w:t>临时建筑（构筑物）拆除、室外附属设施拆除</w:t>
      </w:r>
      <w:r>
        <w:rPr>
          <w:rFonts w:hint="eastAsia" w:ascii="宋体" w:hAnsi="宋体" w:eastAsia="宋体" w:cs="宋体"/>
          <w:color w:val="auto"/>
          <w:sz w:val="24"/>
          <w:szCs w:val="24"/>
          <w:highlight w:val="none"/>
          <w:lang w:eastAsia="zh-CN"/>
        </w:rPr>
        <w:t>、管线拆除（不含室外水电气管道）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建筑废弃物清运</w:t>
      </w:r>
      <w:r>
        <w:rPr>
          <w:rFonts w:hint="eastAsia" w:ascii="宋体" w:hAnsi="宋体" w:eastAsia="宋体" w:cs="宋体"/>
          <w:color w:val="auto"/>
          <w:sz w:val="24"/>
          <w:szCs w:val="24"/>
          <w:highlight w:val="none"/>
          <w:lang w:eastAsia="zh-CN"/>
        </w:rPr>
        <w:t>等，中标单位须负责拆除手续的报批报建及相关文件的准备。</w:t>
      </w:r>
    </w:p>
    <w:p w14:paraId="2482A725">
      <w:pPr>
        <w:pStyle w:val="12"/>
        <w:rPr>
          <w:color w:val="auto"/>
        </w:rPr>
      </w:pPr>
    </w:p>
    <w:p w14:paraId="5F6297AE">
      <w:pPr>
        <w:pageBreakBefore w:val="0"/>
        <w:kinsoku/>
        <w:overflowPunct/>
        <w:bidi w:val="0"/>
        <w:spacing w:line="40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3.3 </w:t>
      </w:r>
      <w:r>
        <w:rPr>
          <w:rFonts w:hint="eastAsia" w:ascii="宋体" w:hAnsi="宋体" w:eastAsia="宋体" w:cs="宋体"/>
          <w:b/>
          <w:bCs/>
          <w:color w:val="auto"/>
          <w:sz w:val="28"/>
          <w:szCs w:val="28"/>
          <w:highlight w:val="none"/>
        </w:rPr>
        <w:t>组织实施要求</w:t>
      </w:r>
    </w:p>
    <w:p w14:paraId="33C94437">
      <w:pPr>
        <w:pageBreakBefore w:val="0"/>
        <w:kinsoku/>
        <w:overflowPunct/>
        <w:bidi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（1）为确保本次项目投标工作管理规范、实施有力，</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应成立项目组，按采购方要求完成项目工作</w:t>
      </w:r>
      <w:r>
        <w:rPr>
          <w:rFonts w:hint="eastAsia" w:ascii="宋体" w:hAnsi="宋体" w:cs="宋体"/>
          <w:color w:val="auto"/>
          <w:sz w:val="24"/>
          <w:szCs w:val="24"/>
          <w:highlight w:val="none"/>
          <w:lang w:eastAsia="zh-CN"/>
        </w:rPr>
        <w:t>；</w:t>
      </w:r>
    </w:p>
    <w:p w14:paraId="0A2FB75D">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须配合采购方组织、举办本项目各工作阶段的汇报、审查、研讨、公开展示及公众咨询等工作，并负责解答相关问题；</w:t>
      </w:r>
    </w:p>
    <w:p w14:paraId="0F9ADDEE">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过程中应当进行深入调查研究，把握所有本项目</w:t>
      </w:r>
      <w:r>
        <w:rPr>
          <w:rFonts w:hint="eastAsia" w:ascii="宋体" w:hAnsi="宋体" w:cs="宋体"/>
          <w:color w:val="auto"/>
          <w:sz w:val="24"/>
          <w:szCs w:val="24"/>
          <w:highlight w:val="none"/>
          <w:lang w:eastAsia="zh-Hans"/>
        </w:rPr>
        <w:t>房屋</w:t>
      </w:r>
      <w:r>
        <w:rPr>
          <w:rFonts w:hint="eastAsia" w:ascii="宋体" w:hAnsi="宋体" w:cs="宋体"/>
          <w:color w:val="auto"/>
          <w:sz w:val="24"/>
          <w:szCs w:val="24"/>
          <w:highlight w:val="none"/>
          <w:lang w:val="en-US" w:eastAsia="zh-CN"/>
        </w:rPr>
        <w:t>拆除</w:t>
      </w:r>
      <w:r>
        <w:rPr>
          <w:rFonts w:hint="eastAsia" w:ascii="宋体" w:hAnsi="宋体" w:cs="宋体"/>
          <w:color w:val="auto"/>
          <w:sz w:val="24"/>
          <w:szCs w:val="24"/>
          <w:highlight w:val="none"/>
        </w:rPr>
        <w:t>工作及</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必要的相关信息和基础资料；</w:t>
      </w:r>
    </w:p>
    <w:p w14:paraId="0C2A4553">
      <w:pPr>
        <w:pageBreakBefore w:val="0"/>
        <w:kinsoku/>
        <w:overflowPunct/>
        <w:bidi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）由</w:t>
      </w:r>
      <w:r>
        <w:rPr>
          <w:rFonts w:hint="default" w:ascii="宋体" w:hAnsi="宋体" w:cs="宋体"/>
          <w:color w:val="auto"/>
          <w:sz w:val="24"/>
          <w:szCs w:val="24"/>
          <w:highlight w:val="none"/>
          <w:lang w:val="en"/>
        </w:rPr>
        <w:t>中标方</w:t>
      </w:r>
      <w:r>
        <w:rPr>
          <w:rFonts w:hint="eastAsia" w:ascii="宋体" w:hAnsi="宋体" w:cs="宋体"/>
          <w:color w:val="auto"/>
          <w:sz w:val="24"/>
          <w:szCs w:val="24"/>
          <w:highlight w:val="none"/>
        </w:rPr>
        <w:t>提交相关</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成果资料，项目成果要严格依照国家颁布的有关法律、法规及政策要求，符合相关的技术规范和标准</w:t>
      </w:r>
      <w:r>
        <w:rPr>
          <w:rFonts w:hint="eastAsia" w:ascii="宋体" w:hAnsi="宋体" w:cs="宋体"/>
          <w:color w:val="auto"/>
          <w:sz w:val="24"/>
          <w:szCs w:val="24"/>
          <w:highlight w:val="none"/>
          <w:lang w:eastAsia="zh-CN"/>
        </w:rPr>
        <w:t>；</w:t>
      </w:r>
    </w:p>
    <w:p w14:paraId="26B87B05">
      <w:pPr>
        <w:pageBreakBefore w:val="0"/>
        <w:kinsoku/>
        <w:overflowPunct/>
        <w:bidi w:val="0"/>
        <w:spacing w:line="400" w:lineRule="exact"/>
        <w:ind w:firstLine="422" w:firstLineChars="200"/>
        <w:rPr>
          <w:rFonts w:hint="eastAsia" w:ascii="宋体" w:hAnsi="宋体" w:cs="宋体"/>
          <w:color w:val="FF0000"/>
          <w:sz w:val="24"/>
          <w:szCs w:val="24"/>
          <w:highlight w:val="none"/>
        </w:rPr>
      </w:pPr>
      <w:r>
        <w:rPr>
          <w:rFonts w:hint="eastAsia" w:ascii="宋体" w:hAnsi="宋体" w:cs="宋体"/>
          <w:b/>
          <w:bCs w:val="0"/>
          <w:color w:val="FF0000"/>
          <w:szCs w:val="21"/>
          <w:highlight w:val="none"/>
        </w:rPr>
        <w:t>★</w:t>
      </w:r>
      <w:r>
        <w:rPr>
          <w:rFonts w:hint="eastAsia" w:ascii="宋体" w:hAnsi="宋体" w:cs="宋体"/>
          <w:color w:val="FF0000"/>
          <w:sz w:val="24"/>
          <w:szCs w:val="24"/>
          <w:highlight w:val="none"/>
        </w:rPr>
        <w:t>（</w:t>
      </w:r>
      <w:r>
        <w:rPr>
          <w:rFonts w:hint="eastAsia" w:ascii="宋体" w:hAnsi="宋体" w:cs="宋体"/>
          <w:color w:val="FF0000"/>
          <w:sz w:val="24"/>
          <w:szCs w:val="24"/>
          <w:highlight w:val="none"/>
          <w:lang w:val="en-US" w:eastAsia="zh-CN"/>
        </w:rPr>
        <w:t>5</w:t>
      </w:r>
      <w:r>
        <w:rPr>
          <w:rFonts w:hint="eastAsia" w:ascii="宋体" w:hAnsi="宋体" w:cs="宋体"/>
          <w:color w:val="FF0000"/>
          <w:sz w:val="24"/>
          <w:szCs w:val="24"/>
          <w:highlight w:val="none"/>
        </w:rPr>
        <w:t>）</w:t>
      </w:r>
      <w:r>
        <w:rPr>
          <w:rFonts w:hint="default" w:ascii="宋体" w:hAnsi="宋体" w:cs="宋体"/>
          <w:color w:val="FF0000"/>
          <w:sz w:val="24"/>
          <w:szCs w:val="24"/>
          <w:highlight w:val="none"/>
          <w:lang w:val="en"/>
        </w:rPr>
        <w:t>中标方</w:t>
      </w:r>
      <w:r>
        <w:rPr>
          <w:rFonts w:hint="eastAsia" w:ascii="宋体" w:hAnsi="宋体" w:cs="宋体"/>
          <w:color w:val="FF0000"/>
          <w:sz w:val="24"/>
          <w:szCs w:val="24"/>
          <w:highlight w:val="none"/>
        </w:rPr>
        <w:t>须具备</w:t>
      </w:r>
      <w:r>
        <w:rPr>
          <w:rFonts w:hint="eastAsia" w:ascii="宋体" w:hAnsi="宋体" w:cs="宋体"/>
          <w:color w:val="FF0000"/>
          <w:sz w:val="24"/>
          <w:szCs w:val="24"/>
          <w:highlight w:val="none"/>
          <w:lang w:val="en-US" w:eastAsia="zh-CN"/>
        </w:rPr>
        <w:t>房屋拆除</w:t>
      </w:r>
      <w:r>
        <w:rPr>
          <w:rFonts w:hint="eastAsia" w:ascii="宋体" w:hAnsi="宋体" w:cs="宋体"/>
          <w:color w:val="FF0000"/>
          <w:sz w:val="24"/>
          <w:szCs w:val="24"/>
          <w:highlight w:val="none"/>
          <w:lang w:eastAsia="zh-CN"/>
        </w:rPr>
        <w:t>、</w:t>
      </w:r>
      <w:r>
        <w:rPr>
          <w:rFonts w:hint="eastAsia" w:ascii="宋体" w:hAnsi="宋体" w:cs="宋体"/>
          <w:color w:val="FF0000"/>
          <w:sz w:val="24"/>
          <w:szCs w:val="24"/>
          <w:highlight w:val="none"/>
          <w:lang w:val="en-US" w:eastAsia="zh-CN"/>
        </w:rPr>
        <w:t>建筑废弃物清运的相关资质</w:t>
      </w:r>
      <w:r>
        <w:rPr>
          <w:rFonts w:hint="eastAsia" w:ascii="宋体" w:hAnsi="宋体" w:cs="宋体"/>
          <w:color w:val="FF0000"/>
          <w:sz w:val="24"/>
          <w:szCs w:val="24"/>
          <w:highlight w:val="none"/>
        </w:rPr>
        <w:t>。</w:t>
      </w:r>
    </w:p>
    <w:p w14:paraId="0FA3C47E">
      <w:pPr>
        <w:pStyle w:val="12"/>
      </w:pPr>
    </w:p>
    <w:p w14:paraId="7D5F82D8"/>
    <w:p w14:paraId="23B25CED">
      <w:pPr>
        <w:pageBreakBefore w:val="0"/>
        <w:kinsoku/>
        <w:overflowPunct/>
        <w:bidi w:val="0"/>
        <w:spacing w:line="40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cs="宋体"/>
          <w:b/>
          <w:bCs/>
          <w:sz w:val="28"/>
          <w:szCs w:val="28"/>
          <w:highlight w:val="none"/>
          <w:lang w:val="en-US" w:eastAsia="zh-CN"/>
        </w:rPr>
        <w:t>4</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项目人员安排要求</w:t>
      </w:r>
    </w:p>
    <w:p w14:paraId="52F7A236">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（1）为使项目按时、按质、按量、有序实施，本项目须有一个固定完善的项目小组及项目负责人、审核组，投标人须在投标文件中详细列明参与本项目的人员名单及附上其详细资料等。</w:t>
      </w:r>
    </w:p>
    <w:p w14:paraId="6F6B5D75">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（2）在项目制订期限，项目成员未经采购方同意不得调整，否则采购方有权终止合同，且须承担由此给采购方造成的全部损失。因</w:t>
      </w:r>
      <w:r>
        <w:rPr>
          <w:rFonts w:hint="eastAsia" w:ascii="宋体" w:hAnsi="宋体" w:cs="宋体"/>
          <w:sz w:val="24"/>
          <w:szCs w:val="24"/>
          <w:highlight w:val="none"/>
          <w:lang w:eastAsia="zh-CN"/>
        </w:rPr>
        <w:t>其他</w:t>
      </w:r>
      <w:r>
        <w:rPr>
          <w:rFonts w:hint="eastAsia" w:ascii="宋体" w:hAnsi="宋体" w:cs="宋体"/>
          <w:sz w:val="24"/>
          <w:szCs w:val="24"/>
          <w:highlight w:val="none"/>
        </w:rPr>
        <w:t>情况更换</w:t>
      </w:r>
      <w:r>
        <w:rPr>
          <w:rFonts w:hint="eastAsia" w:ascii="宋体" w:hAnsi="宋体" w:cs="宋体"/>
          <w:sz w:val="24"/>
          <w:szCs w:val="24"/>
          <w:highlight w:val="none"/>
          <w:lang w:val="en-US" w:eastAsia="zh-CN"/>
        </w:rPr>
        <w:t>施工</w:t>
      </w:r>
      <w:r>
        <w:rPr>
          <w:rFonts w:hint="eastAsia" w:ascii="宋体" w:hAnsi="宋体" w:cs="宋体"/>
          <w:sz w:val="24"/>
          <w:szCs w:val="24"/>
          <w:highlight w:val="none"/>
        </w:rPr>
        <w:t>人员时需提前一个月提出申请并派</w:t>
      </w:r>
      <w:r>
        <w:rPr>
          <w:rFonts w:hint="eastAsia" w:ascii="宋体" w:hAnsi="宋体" w:cs="宋体"/>
          <w:sz w:val="24"/>
          <w:szCs w:val="24"/>
          <w:highlight w:val="none"/>
          <w:lang w:eastAsia="zh-CN"/>
        </w:rPr>
        <w:t>其他</w:t>
      </w:r>
      <w:r>
        <w:rPr>
          <w:rFonts w:hint="eastAsia" w:ascii="宋体" w:hAnsi="宋体" w:cs="宋体"/>
          <w:sz w:val="24"/>
          <w:szCs w:val="24"/>
          <w:highlight w:val="none"/>
        </w:rPr>
        <w:t>符合要求的</w:t>
      </w:r>
      <w:r>
        <w:rPr>
          <w:rFonts w:hint="eastAsia" w:ascii="宋体" w:hAnsi="宋体" w:cs="宋体"/>
          <w:sz w:val="24"/>
          <w:szCs w:val="24"/>
          <w:highlight w:val="none"/>
          <w:lang w:val="en-US" w:eastAsia="zh-CN"/>
        </w:rPr>
        <w:t>施工</w:t>
      </w:r>
      <w:r>
        <w:rPr>
          <w:rFonts w:hint="eastAsia" w:ascii="宋体" w:hAnsi="宋体" w:cs="宋体"/>
          <w:sz w:val="24"/>
          <w:szCs w:val="24"/>
          <w:highlight w:val="none"/>
        </w:rPr>
        <w:t>工作人员到场做好交接后方可更换。</w:t>
      </w:r>
    </w:p>
    <w:p w14:paraId="555A8872">
      <w:pPr>
        <w:kinsoku/>
        <w:overflowPunct/>
        <w:spacing w:line="400" w:lineRule="exact"/>
        <w:ind w:firstLine="480" w:firstLineChars="200"/>
        <w:rPr>
          <w:rFonts w:hint="eastAsia"/>
        </w:rPr>
      </w:pPr>
      <w:r>
        <w:rPr>
          <w:rFonts w:hint="eastAsia" w:ascii="宋体" w:hAnsi="宋体" w:cs="宋体"/>
          <w:sz w:val="24"/>
          <w:szCs w:val="24"/>
          <w:highlight w:val="none"/>
        </w:rPr>
        <w:t>（3）人员要求一览表</w:t>
      </w:r>
    </w:p>
    <w:p w14:paraId="1FA1CA78">
      <w:pPr>
        <w:rPr>
          <w:rFonts w:hint="default" w:eastAsia="宋体"/>
          <w:lang w:val="en-US" w:eastAsia="zh-CN"/>
        </w:rPr>
      </w:pPr>
      <w:r>
        <w:rPr>
          <w:rFonts w:hint="eastAsia" w:ascii="宋体" w:hAnsi="宋体" w:cs="宋体"/>
          <w:b/>
          <w:bCs w:val="0"/>
          <w:color w:val="FF0000"/>
          <w:szCs w:val="21"/>
          <w:highlight w:val="none"/>
        </w:rPr>
        <w:t>★</w:t>
      </w:r>
      <w:r>
        <w:rPr>
          <w:rFonts w:hint="eastAsia"/>
          <w:b/>
          <w:bCs w:val="0"/>
          <w:color w:val="FF0000"/>
          <w:lang w:eastAsia="zh-CN"/>
        </w:rPr>
        <w:t>中标人为本项目提供不少于</w:t>
      </w:r>
      <w:r>
        <w:rPr>
          <w:rFonts w:hint="eastAsia"/>
          <w:b/>
          <w:bCs w:val="0"/>
          <w:color w:val="FF0000"/>
          <w:lang w:val="en-US" w:eastAsia="zh-CN"/>
        </w:rPr>
        <w:t>3人，其中项目负责人为1人。</w:t>
      </w:r>
      <w:r>
        <w:rPr>
          <w:rFonts w:hint="eastAsia"/>
          <w:lang w:val="en-US" w:eastAsia="zh-CN"/>
        </w:rPr>
        <w:t>具体人员安排如下：</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331"/>
        <w:gridCol w:w="833"/>
        <w:gridCol w:w="2081"/>
        <w:gridCol w:w="3529"/>
      </w:tblGrid>
      <w:tr w14:paraId="682A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6" w:type="pct"/>
            <w:vAlign w:val="center"/>
          </w:tcPr>
          <w:p w14:paraId="14455DAC">
            <w:pPr>
              <w:pageBreakBefore w:val="0"/>
              <w:kinsoku/>
              <w:overflowPunct/>
              <w:bidi w:val="0"/>
              <w:spacing w:line="400" w:lineRule="exact"/>
              <w:jc w:val="center"/>
              <w:textAlignment w:val="center"/>
              <w:rPr>
                <w:rFonts w:ascii="宋体" w:hAnsi="宋体"/>
                <w:b/>
                <w:szCs w:val="21"/>
                <w:highlight w:val="none"/>
              </w:rPr>
            </w:pPr>
            <w:r>
              <w:rPr>
                <w:rFonts w:hint="eastAsia" w:ascii="宋体" w:hAnsi="宋体" w:cs="宋体"/>
                <w:b/>
                <w:szCs w:val="21"/>
                <w:highlight w:val="none"/>
              </w:rPr>
              <w:t>序号</w:t>
            </w:r>
          </w:p>
        </w:tc>
        <w:tc>
          <w:tcPr>
            <w:tcW w:w="781" w:type="pct"/>
            <w:vAlign w:val="center"/>
          </w:tcPr>
          <w:p w14:paraId="06FDA185">
            <w:pPr>
              <w:pageBreakBefore w:val="0"/>
              <w:kinsoku/>
              <w:overflowPunct/>
              <w:bidi w:val="0"/>
              <w:spacing w:line="400" w:lineRule="exact"/>
              <w:jc w:val="center"/>
              <w:textAlignment w:val="center"/>
              <w:rPr>
                <w:rFonts w:ascii="宋体" w:hAnsi="宋体"/>
                <w:b/>
                <w:color w:val="auto"/>
                <w:szCs w:val="21"/>
                <w:highlight w:val="none"/>
              </w:rPr>
            </w:pPr>
            <w:r>
              <w:rPr>
                <w:rFonts w:hint="eastAsia" w:ascii="宋体" w:hAnsi="宋体" w:cs="宋体"/>
                <w:b/>
                <w:color w:val="auto"/>
                <w:szCs w:val="21"/>
                <w:highlight w:val="none"/>
              </w:rPr>
              <w:t>人员类别</w:t>
            </w:r>
          </w:p>
        </w:tc>
        <w:tc>
          <w:tcPr>
            <w:tcW w:w="489" w:type="pct"/>
            <w:vAlign w:val="center"/>
          </w:tcPr>
          <w:p w14:paraId="5ACE9AA7">
            <w:pPr>
              <w:pageBreakBefore w:val="0"/>
              <w:kinsoku/>
              <w:overflowPunct/>
              <w:bidi w:val="0"/>
              <w:spacing w:line="400" w:lineRule="exact"/>
              <w:jc w:val="center"/>
              <w:textAlignment w:val="center"/>
              <w:rPr>
                <w:rFonts w:ascii="宋体" w:hAnsi="宋体"/>
                <w:b/>
                <w:color w:val="auto"/>
                <w:szCs w:val="21"/>
                <w:highlight w:val="none"/>
              </w:rPr>
            </w:pPr>
            <w:r>
              <w:rPr>
                <w:rFonts w:hint="eastAsia" w:ascii="宋体" w:hAnsi="宋体" w:cs="宋体"/>
                <w:b/>
                <w:color w:val="auto"/>
                <w:szCs w:val="21"/>
                <w:highlight w:val="none"/>
              </w:rPr>
              <w:t>数量</w:t>
            </w:r>
          </w:p>
        </w:tc>
        <w:tc>
          <w:tcPr>
            <w:tcW w:w="1221" w:type="pct"/>
            <w:vAlign w:val="center"/>
          </w:tcPr>
          <w:p w14:paraId="21399236">
            <w:pPr>
              <w:pageBreakBefore w:val="0"/>
              <w:kinsoku/>
              <w:overflowPunct/>
              <w:bidi w:val="0"/>
              <w:spacing w:line="400" w:lineRule="exact"/>
              <w:jc w:val="center"/>
              <w:textAlignment w:val="center"/>
              <w:rPr>
                <w:rFonts w:ascii="宋体" w:hAnsi="宋体"/>
                <w:b/>
                <w:szCs w:val="21"/>
                <w:highlight w:val="none"/>
              </w:rPr>
            </w:pPr>
            <w:r>
              <w:rPr>
                <w:rFonts w:hint="eastAsia" w:ascii="宋体" w:hAnsi="宋体" w:cs="宋体"/>
                <w:szCs w:val="21"/>
                <w:highlight w:val="none"/>
              </w:rPr>
              <w:t>人员可偏离条件</w:t>
            </w:r>
          </w:p>
        </w:tc>
        <w:tc>
          <w:tcPr>
            <w:tcW w:w="2071" w:type="pct"/>
            <w:vAlign w:val="center"/>
          </w:tcPr>
          <w:p w14:paraId="5133CE53">
            <w:pPr>
              <w:pageBreakBefore w:val="0"/>
              <w:kinsoku/>
              <w:overflowPunct/>
              <w:bidi w:val="0"/>
              <w:spacing w:line="400" w:lineRule="exact"/>
              <w:jc w:val="center"/>
              <w:textAlignment w:val="center"/>
              <w:rPr>
                <w:rFonts w:ascii="宋体" w:hAnsi="宋体" w:cs="宋体"/>
                <w:szCs w:val="21"/>
                <w:highlight w:val="none"/>
              </w:rPr>
            </w:pPr>
            <w:r>
              <w:rPr>
                <w:rFonts w:hint="eastAsia" w:ascii="宋体" w:hAnsi="宋体" w:cs="宋体"/>
                <w:szCs w:val="21"/>
                <w:highlight w:val="none"/>
              </w:rPr>
              <w:t>工作岗位职责要求</w:t>
            </w:r>
          </w:p>
        </w:tc>
      </w:tr>
      <w:tr w14:paraId="505A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36" w:type="pct"/>
            <w:vAlign w:val="center"/>
          </w:tcPr>
          <w:p w14:paraId="21B3D794">
            <w:pPr>
              <w:pageBreakBefore w:val="0"/>
              <w:kinsoku/>
              <w:overflowPunct/>
              <w:bidi w:val="0"/>
              <w:spacing w:line="400" w:lineRule="exact"/>
              <w:jc w:val="center"/>
              <w:textAlignment w:val="center"/>
              <w:rPr>
                <w:rFonts w:ascii="宋体" w:hAnsi="宋体"/>
                <w:szCs w:val="21"/>
                <w:highlight w:val="none"/>
              </w:rPr>
            </w:pPr>
            <w:r>
              <w:rPr>
                <w:rFonts w:hint="eastAsia" w:ascii="宋体" w:hAnsi="宋体" w:cs="宋体"/>
                <w:szCs w:val="21"/>
                <w:highlight w:val="none"/>
              </w:rPr>
              <w:t>1</w:t>
            </w:r>
          </w:p>
        </w:tc>
        <w:tc>
          <w:tcPr>
            <w:tcW w:w="781" w:type="pct"/>
            <w:vAlign w:val="center"/>
          </w:tcPr>
          <w:p w14:paraId="795EA68E">
            <w:pPr>
              <w:pageBreakBefore w:val="0"/>
              <w:kinsoku/>
              <w:overflowPunct/>
              <w:bidi w:val="0"/>
              <w:spacing w:line="400" w:lineRule="exact"/>
              <w:jc w:val="center"/>
              <w:textAlignment w:val="center"/>
              <w:rPr>
                <w:rFonts w:ascii="宋体" w:hAnsi="宋体"/>
                <w:szCs w:val="21"/>
                <w:highlight w:val="none"/>
              </w:rPr>
            </w:pPr>
            <w:r>
              <w:rPr>
                <w:rFonts w:hint="eastAsia" w:asciiTheme="minorEastAsia" w:hAnsiTheme="minorEastAsia" w:eastAsiaTheme="minorEastAsia" w:cstheme="minorEastAsia"/>
                <w:szCs w:val="21"/>
                <w:highlight w:val="none"/>
              </w:rPr>
              <w:t>项目负责人</w:t>
            </w:r>
          </w:p>
        </w:tc>
        <w:tc>
          <w:tcPr>
            <w:tcW w:w="489" w:type="pct"/>
            <w:vAlign w:val="center"/>
          </w:tcPr>
          <w:p w14:paraId="7FC5BBB6">
            <w:pPr>
              <w:pageBreakBefore w:val="0"/>
              <w:tabs>
                <w:tab w:val="left" w:pos="5096"/>
              </w:tabs>
              <w:kinsoku/>
              <w:overflowPunct/>
              <w:bidi w:val="0"/>
              <w:spacing w:line="400" w:lineRule="exact"/>
              <w:jc w:val="center"/>
              <w:rPr>
                <w:rFonts w:ascii="宋体" w:hAnsi="宋体"/>
                <w:szCs w:val="21"/>
                <w:highlight w:val="none"/>
              </w:rPr>
            </w:pPr>
            <w:r>
              <w:rPr>
                <w:rFonts w:hint="eastAsia" w:ascii="宋体" w:hAnsi="宋体"/>
                <w:szCs w:val="21"/>
                <w:highlight w:val="none"/>
              </w:rPr>
              <w:t>1</w:t>
            </w:r>
          </w:p>
        </w:tc>
        <w:tc>
          <w:tcPr>
            <w:tcW w:w="1221" w:type="pct"/>
            <w:vAlign w:val="center"/>
          </w:tcPr>
          <w:p w14:paraId="43A20998">
            <w:pPr>
              <w:pageBreakBefore w:val="0"/>
              <w:numPr>
                <w:ilvl w:val="255"/>
                <w:numId w:val="0"/>
              </w:numPr>
              <w:kinsoku/>
              <w:overflowPunct/>
              <w:bidi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具有</w:t>
            </w:r>
            <w:r>
              <w:rPr>
                <w:rFonts w:hint="eastAsia" w:ascii="宋体" w:hAnsi="宋体" w:eastAsia="宋体" w:cs="宋体"/>
                <w:color w:val="auto"/>
              </w:rPr>
              <w:t>建筑类专业</w:t>
            </w:r>
            <w:r>
              <w:rPr>
                <w:rFonts w:hint="eastAsia" w:ascii="宋体" w:hAnsi="宋体" w:cs="宋体"/>
                <w:color w:val="auto"/>
                <w:lang w:val="en-US" w:eastAsia="zh-CN"/>
              </w:rPr>
              <w:t>中</w:t>
            </w:r>
            <w:r>
              <w:rPr>
                <w:rFonts w:hint="eastAsia" w:ascii="宋体" w:hAnsi="宋体" w:eastAsia="宋体" w:cs="宋体"/>
                <w:color w:val="auto"/>
              </w:rPr>
              <w:t>级职称</w:t>
            </w:r>
            <w:r>
              <w:rPr>
                <w:rFonts w:hint="eastAsia" w:ascii="宋体" w:hAnsi="宋体" w:cs="宋体"/>
                <w:color w:val="auto"/>
                <w:szCs w:val="21"/>
                <w:highlight w:val="none"/>
                <w:lang w:eastAsia="zh-CN"/>
              </w:rPr>
              <w:t>；</w:t>
            </w:r>
          </w:p>
          <w:p w14:paraId="45528447">
            <w:pPr>
              <w:pageBreakBefore w:val="0"/>
              <w:kinsoku/>
              <w:overflowPunct/>
              <w:bidi w:val="0"/>
              <w:spacing w:line="400" w:lineRule="exact"/>
              <w:rPr>
                <w:rFonts w:ascii="宋体" w:hAnsi="宋体" w:cs="宋体"/>
                <w:color w:val="auto"/>
                <w:szCs w:val="21"/>
                <w:highlight w:val="none"/>
              </w:rPr>
            </w:pPr>
          </w:p>
        </w:tc>
        <w:tc>
          <w:tcPr>
            <w:tcW w:w="2071" w:type="pct"/>
            <w:vAlign w:val="center"/>
          </w:tcPr>
          <w:p w14:paraId="046BA70C">
            <w:pPr>
              <w:pageBreakBefore w:val="0"/>
              <w:kinsoku/>
              <w:overflowPunct/>
              <w:bidi w:val="0"/>
              <w:adjustRightInd w:val="0"/>
              <w:snapToGrid w:val="0"/>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1、无违法犯罪记录，身体健康，精神面貌佳，应变能力强，服务态度好，责任心强，吃苦耐劳</w:t>
            </w:r>
            <w:r>
              <w:rPr>
                <w:rFonts w:hint="eastAsia" w:ascii="宋体" w:hAnsi="宋体" w:cs="宋体"/>
                <w:color w:val="auto"/>
                <w:szCs w:val="21"/>
                <w:highlight w:val="none"/>
                <w:lang w:eastAsia="zh-CN"/>
              </w:rPr>
              <w:t>；</w:t>
            </w:r>
          </w:p>
          <w:p w14:paraId="5216BB6B">
            <w:pPr>
              <w:pageBreakBefore w:val="0"/>
              <w:kinsoku/>
              <w:overflowPunct/>
              <w:bidi w:val="0"/>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2、熟悉</w:t>
            </w:r>
            <w:r>
              <w:rPr>
                <w:rFonts w:hint="eastAsia" w:ascii="宋体" w:hAnsi="宋体" w:cs="宋体"/>
                <w:color w:val="auto"/>
                <w:szCs w:val="21"/>
                <w:highlight w:val="none"/>
                <w:lang w:val="en-US" w:eastAsia="zh-CN"/>
              </w:rPr>
              <w:t>房屋拆除</w:t>
            </w:r>
            <w:r>
              <w:rPr>
                <w:rFonts w:hint="eastAsia" w:ascii="宋体" w:hAnsi="宋体" w:cs="宋体"/>
                <w:color w:val="auto"/>
                <w:szCs w:val="21"/>
                <w:highlight w:val="none"/>
              </w:rPr>
              <w:t>过程中涉及的国家、地方相关政策；</w:t>
            </w:r>
          </w:p>
          <w:p w14:paraId="16A6446F">
            <w:pPr>
              <w:pageBreakBefore w:val="0"/>
              <w:kinsoku/>
              <w:overflowPunct/>
              <w:bidi w:val="0"/>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3、具备扎实的</w:t>
            </w:r>
            <w:r>
              <w:rPr>
                <w:rFonts w:hint="eastAsia" w:ascii="宋体" w:hAnsi="宋体" w:cs="宋体"/>
                <w:color w:val="auto"/>
                <w:szCs w:val="21"/>
                <w:highlight w:val="none"/>
                <w:lang w:val="en-US" w:eastAsia="zh-CN"/>
              </w:rPr>
              <w:t>施工技术</w:t>
            </w:r>
            <w:r>
              <w:rPr>
                <w:rFonts w:hint="eastAsia" w:ascii="宋体" w:hAnsi="宋体" w:cs="宋体"/>
                <w:color w:val="auto"/>
                <w:szCs w:val="21"/>
                <w:highlight w:val="none"/>
              </w:rPr>
              <w:t>专业能力；</w:t>
            </w:r>
          </w:p>
          <w:p w14:paraId="5CF9EB86">
            <w:pPr>
              <w:pageBreakBefore w:val="0"/>
              <w:kinsoku/>
              <w:overflowPunct/>
              <w:bidi w:val="0"/>
              <w:adjustRightInd w:val="0"/>
              <w:snapToGrid w:val="0"/>
              <w:spacing w:line="400" w:lineRule="exact"/>
              <w:jc w:val="left"/>
              <w:rPr>
                <w:rFonts w:hint="eastAsia" w:eastAsia="宋体"/>
                <w:color w:val="auto"/>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、具备履行本项目所必需的专业知识，履职经历实践经验丰富，具有</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年以上</w:t>
            </w:r>
            <w:r>
              <w:rPr>
                <w:rFonts w:hint="eastAsia" w:ascii="宋体" w:hAnsi="宋体" w:cs="宋体"/>
                <w:color w:val="auto"/>
                <w:szCs w:val="21"/>
                <w:highlight w:val="none"/>
                <w:lang w:val="en-US" w:eastAsia="zh-CN"/>
              </w:rPr>
              <w:t>房屋拆除</w:t>
            </w:r>
            <w:r>
              <w:rPr>
                <w:rFonts w:hint="eastAsia" w:ascii="宋体" w:hAnsi="宋体" w:cs="宋体"/>
                <w:color w:val="auto"/>
                <w:szCs w:val="21"/>
                <w:highlight w:val="none"/>
              </w:rPr>
              <w:t>工作经验</w:t>
            </w:r>
            <w:r>
              <w:rPr>
                <w:rFonts w:hint="eastAsia" w:ascii="宋体" w:hAnsi="宋体" w:cs="宋体"/>
                <w:color w:val="auto"/>
                <w:szCs w:val="21"/>
                <w:highlight w:val="none"/>
                <w:lang w:eastAsia="zh-CN"/>
              </w:rPr>
              <w:t>。</w:t>
            </w:r>
          </w:p>
        </w:tc>
      </w:tr>
      <w:tr w14:paraId="4774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436" w:type="pct"/>
            <w:vAlign w:val="center"/>
          </w:tcPr>
          <w:p w14:paraId="7671AE96">
            <w:pPr>
              <w:pageBreakBefore w:val="0"/>
              <w:kinsoku/>
              <w:overflowPunct/>
              <w:bidi w:val="0"/>
              <w:spacing w:line="400" w:lineRule="exact"/>
              <w:jc w:val="center"/>
              <w:textAlignment w:val="center"/>
              <w:rPr>
                <w:rFonts w:ascii="宋体" w:hAnsi="宋体" w:cs="宋体"/>
                <w:szCs w:val="21"/>
                <w:highlight w:val="none"/>
              </w:rPr>
            </w:pPr>
            <w:r>
              <w:rPr>
                <w:rFonts w:hint="eastAsia" w:ascii="宋体" w:hAnsi="宋体" w:cs="宋体"/>
                <w:szCs w:val="21"/>
                <w:highlight w:val="none"/>
              </w:rPr>
              <w:t>2</w:t>
            </w:r>
          </w:p>
        </w:tc>
        <w:tc>
          <w:tcPr>
            <w:tcW w:w="781" w:type="pct"/>
            <w:vAlign w:val="center"/>
          </w:tcPr>
          <w:p w14:paraId="079BC5FC">
            <w:pPr>
              <w:pageBreakBefore w:val="0"/>
              <w:kinsoku/>
              <w:overflowPunct/>
              <w:bidi w:val="0"/>
              <w:spacing w:line="400" w:lineRule="exact"/>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w:t>
            </w:r>
            <w:r>
              <w:rPr>
                <w:rFonts w:hint="eastAsia" w:asciiTheme="minorEastAsia" w:hAnsiTheme="minorEastAsia" w:eastAsiaTheme="minorEastAsia" w:cstheme="minorEastAsia"/>
                <w:szCs w:val="21"/>
                <w:highlight w:val="none"/>
                <w:lang w:val="en-US" w:eastAsia="zh-CN"/>
              </w:rPr>
              <w:t>管理</w:t>
            </w:r>
            <w:r>
              <w:rPr>
                <w:rFonts w:hint="eastAsia" w:asciiTheme="minorEastAsia" w:hAnsiTheme="minorEastAsia" w:eastAsiaTheme="minorEastAsia" w:cstheme="minorEastAsia"/>
                <w:szCs w:val="21"/>
                <w:highlight w:val="none"/>
              </w:rPr>
              <w:t>团队成员</w:t>
            </w:r>
          </w:p>
        </w:tc>
        <w:tc>
          <w:tcPr>
            <w:tcW w:w="489" w:type="pct"/>
            <w:vAlign w:val="center"/>
          </w:tcPr>
          <w:p w14:paraId="113DC19F">
            <w:pPr>
              <w:pageBreakBefore w:val="0"/>
              <w:tabs>
                <w:tab w:val="left" w:pos="5096"/>
              </w:tabs>
              <w:kinsoku/>
              <w:overflowPunct/>
              <w:bidi w:val="0"/>
              <w:spacing w:line="40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w:t>
            </w:r>
          </w:p>
        </w:tc>
        <w:tc>
          <w:tcPr>
            <w:tcW w:w="1221" w:type="pct"/>
            <w:vAlign w:val="center"/>
          </w:tcPr>
          <w:p w14:paraId="487E12B6">
            <w:pPr>
              <w:pageBreakBefore w:val="0"/>
              <w:kinsoku/>
              <w:overflowPunct/>
              <w:bidi w:val="0"/>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1、具有相应岗位的建筑类职称资格证书或技工证；</w:t>
            </w:r>
          </w:p>
          <w:p w14:paraId="1FAA230D">
            <w:pPr>
              <w:pageBreakBefore w:val="0"/>
              <w:kinsoku/>
              <w:overflowPunct/>
              <w:bidi w:val="0"/>
              <w:adjustRightInd w:val="0"/>
              <w:snapToGrid w:val="0"/>
              <w:spacing w:line="400" w:lineRule="exact"/>
              <w:rPr>
                <w:rFonts w:ascii="宋体" w:hAnsi="宋体" w:cs="宋体"/>
                <w:szCs w:val="21"/>
                <w:highlight w:val="none"/>
              </w:rPr>
            </w:pPr>
          </w:p>
        </w:tc>
        <w:tc>
          <w:tcPr>
            <w:tcW w:w="2071" w:type="pct"/>
            <w:vAlign w:val="center"/>
          </w:tcPr>
          <w:p w14:paraId="4F4C3E80">
            <w:pPr>
              <w:pageBreakBefore w:val="0"/>
              <w:tabs>
                <w:tab w:val="left" w:pos="5096"/>
              </w:tabs>
              <w:kinsoku/>
              <w:overflowPunct/>
              <w:bidi w:val="0"/>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1、无违法犯罪记录，身体健康，精神面貌佳，应变能力强，服务态度好，责任心强，吃苦耐劳</w:t>
            </w:r>
            <w:r>
              <w:rPr>
                <w:rFonts w:hint="eastAsia" w:ascii="宋体" w:hAnsi="宋体" w:cs="宋体"/>
                <w:szCs w:val="21"/>
                <w:highlight w:val="none"/>
                <w:lang w:eastAsia="zh-CN"/>
              </w:rPr>
              <w:t>；</w:t>
            </w:r>
          </w:p>
          <w:p w14:paraId="7AA196B7">
            <w:pPr>
              <w:pageBreakBefore w:val="0"/>
              <w:tabs>
                <w:tab w:val="left" w:pos="5096"/>
              </w:tabs>
              <w:kinsoku/>
              <w:overflowPunct/>
              <w:bidi w:val="0"/>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2、具备</w:t>
            </w:r>
            <w:r>
              <w:rPr>
                <w:rFonts w:hint="eastAsia" w:ascii="宋体" w:hAnsi="宋体" w:cs="宋体"/>
                <w:szCs w:val="21"/>
                <w:highlight w:val="none"/>
                <w:lang w:val="en-US" w:eastAsia="zh-CN"/>
              </w:rPr>
              <w:t>房屋拆除施工</w:t>
            </w:r>
            <w:r>
              <w:rPr>
                <w:rFonts w:hint="eastAsia" w:ascii="宋体" w:hAnsi="宋体" w:cs="宋体"/>
                <w:szCs w:val="21"/>
                <w:highlight w:val="none"/>
              </w:rPr>
              <w:t>专业理论知识和相关实践经验、熟悉质量管理体系、标准</w:t>
            </w:r>
            <w:r>
              <w:rPr>
                <w:rFonts w:hint="eastAsia" w:ascii="宋体" w:hAnsi="宋体" w:cs="宋体"/>
                <w:szCs w:val="21"/>
                <w:highlight w:val="none"/>
                <w:lang w:eastAsia="zh-CN"/>
              </w:rPr>
              <w:t>；</w:t>
            </w:r>
          </w:p>
          <w:p w14:paraId="4AD01F46">
            <w:pPr>
              <w:pageBreakBefore w:val="0"/>
              <w:tabs>
                <w:tab w:val="left" w:pos="5096"/>
              </w:tabs>
              <w:kinsoku/>
              <w:overflowPunct/>
              <w:bidi w:val="0"/>
              <w:spacing w:line="400" w:lineRule="exact"/>
              <w:rPr>
                <w:highlight w:val="none"/>
              </w:rPr>
            </w:pPr>
            <w:r>
              <w:rPr>
                <w:rFonts w:hint="eastAsia" w:ascii="宋体" w:hAnsi="宋体" w:cs="宋体"/>
                <w:szCs w:val="21"/>
                <w:highlight w:val="none"/>
              </w:rPr>
              <w:t>3、具备较强的沟通和协调能力</w:t>
            </w:r>
            <w:r>
              <w:rPr>
                <w:rFonts w:hint="eastAsia" w:ascii="宋体" w:hAnsi="宋体" w:cs="宋体"/>
                <w:szCs w:val="21"/>
                <w:highlight w:val="none"/>
                <w:lang w:eastAsia="zh-CN"/>
              </w:rPr>
              <w:t>、</w:t>
            </w:r>
            <w:r>
              <w:rPr>
                <w:rFonts w:hint="eastAsia" w:ascii="宋体" w:hAnsi="宋体" w:cs="宋体"/>
                <w:szCs w:val="21"/>
                <w:highlight w:val="none"/>
              </w:rPr>
              <w:t>分析能力</w:t>
            </w:r>
            <w:r>
              <w:rPr>
                <w:rFonts w:hint="eastAsia" w:ascii="宋体" w:hAnsi="宋体" w:cs="宋体"/>
                <w:szCs w:val="21"/>
                <w:highlight w:val="none"/>
                <w:lang w:eastAsia="zh-CN"/>
              </w:rPr>
              <w:t>。</w:t>
            </w:r>
          </w:p>
        </w:tc>
      </w:tr>
    </w:tbl>
    <w:p w14:paraId="471ED56B">
      <w:pPr>
        <w:bidi w:val="0"/>
        <w:rPr>
          <w:rFonts w:hint="eastAsia"/>
          <w:lang w:val="en-US" w:eastAsia="zh-CN"/>
        </w:rPr>
      </w:pPr>
    </w:p>
    <w:p w14:paraId="745D02FE">
      <w:pPr>
        <w:pageBreakBefore w:val="0"/>
        <w:kinsoku/>
        <w:overflowPunct/>
        <w:bidi w:val="0"/>
        <w:spacing w:line="40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cs="宋体"/>
          <w:b/>
          <w:bCs/>
          <w:sz w:val="28"/>
          <w:szCs w:val="28"/>
          <w:highlight w:val="none"/>
          <w:lang w:val="en-US" w:eastAsia="zh-CN"/>
        </w:rPr>
        <w:t>5</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项目其他要求；</w:t>
      </w:r>
    </w:p>
    <w:p w14:paraId="38D305D3">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default" w:ascii="宋体" w:hAnsi="宋体" w:cs="宋体"/>
          <w:sz w:val="24"/>
          <w:szCs w:val="24"/>
          <w:highlight w:val="none"/>
          <w:lang w:val="en"/>
        </w:rPr>
        <w:t>中标方</w:t>
      </w:r>
      <w:r>
        <w:rPr>
          <w:rFonts w:hint="eastAsia" w:ascii="宋体" w:hAnsi="宋体" w:cs="宋体"/>
          <w:sz w:val="24"/>
          <w:szCs w:val="24"/>
          <w:highlight w:val="none"/>
        </w:rPr>
        <w:t>确保文件中的人员信息真实、有效；</w:t>
      </w:r>
    </w:p>
    <w:p w14:paraId="4EC7283B">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default" w:ascii="宋体" w:hAnsi="宋体" w:cs="宋体"/>
          <w:sz w:val="24"/>
          <w:szCs w:val="24"/>
          <w:highlight w:val="none"/>
          <w:lang w:val="en"/>
        </w:rPr>
        <w:t>中标方</w:t>
      </w:r>
      <w:r>
        <w:rPr>
          <w:rFonts w:hint="eastAsia" w:ascii="宋体" w:hAnsi="宋体" w:cs="宋体"/>
          <w:sz w:val="24"/>
          <w:szCs w:val="24"/>
          <w:highlight w:val="none"/>
        </w:rPr>
        <w:t>保守国家机密，不得泄漏采购方所提供的属国家秘密的信息和数据；未经采购方允许，不得使用或者以</w:t>
      </w:r>
      <w:r>
        <w:rPr>
          <w:rFonts w:hint="eastAsia" w:ascii="宋体" w:hAnsi="宋体" w:cs="宋体"/>
          <w:sz w:val="24"/>
          <w:szCs w:val="24"/>
          <w:highlight w:val="none"/>
          <w:lang w:eastAsia="zh-CN"/>
        </w:rPr>
        <w:t>其他</w:t>
      </w:r>
      <w:r>
        <w:rPr>
          <w:rFonts w:hint="eastAsia" w:ascii="宋体" w:hAnsi="宋体" w:cs="宋体"/>
          <w:sz w:val="24"/>
          <w:szCs w:val="24"/>
          <w:highlight w:val="none"/>
        </w:rPr>
        <w:t>方式给任何第三方提供本项目的相关信息或数据；</w:t>
      </w:r>
    </w:p>
    <w:p w14:paraId="23661959">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default" w:ascii="宋体" w:hAnsi="宋体" w:cs="宋体"/>
          <w:sz w:val="24"/>
          <w:szCs w:val="24"/>
          <w:highlight w:val="none"/>
          <w:lang w:val="en"/>
        </w:rPr>
        <w:t>中标方</w:t>
      </w:r>
      <w:r>
        <w:rPr>
          <w:rFonts w:hint="eastAsia" w:ascii="宋体" w:hAnsi="宋体" w:cs="宋体"/>
          <w:sz w:val="24"/>
          <w:szCs w:val="24"/>
          <w:highlight w:val="none"/>
        </w:rPr>
        <w:t>不得将项目非法分包或转包给任何单位和个人，否则采购方有权即刻终止合同，并要求</w:t>
      </w:r>
      <w:r>
        <w:rPr>
          <w:rFonts w:hint="default" w:ascii="宋体" w:hAnsi="宋体" w:cs="宋体"/>
          <w:sz w:val="24"/>
          <w:szCs w:val="24"/>
          <w:highlight w:val="none"/>
          <w:lang w:val="en"/>
        </w:rPr>
        <w:t>中标方</w:t>
      </w:r>
      <w:r>
        <w:rPr>
          <w:rFonts w:hint="eastAsia" w:ascii="宋体" w:hAnsi="宋体" w:cs="宋体"/>
          <w:sz w:val="24"/>
          <w:szCs w:val="24"/>
          <w:highlight w:val="none"/>
        </w:rPr>
        <w:t>赔偿相应损失。</w:t>
      </w:r>
    </w:p>
    <w:p w14:paraId="46506CAA">
      <w:pPr>
        <w:pageBreakBefore w:val="0"/>
        <w:kinsoku/>
        <w:overflowPunct/>
        <w:bidi w:val="0"/>
        <w:spacing w:line="400" w:lineRule="exact"/>
        <w:ind w:firstLine="482" w:firstLineChars="200"/>
        <w:rPr>
          <w:rFonts w:hint="eastAsia" w:ascii="宋体" w:hAnsi="宋体" w:cs="宋体"/>
          <w:b/>
          <w:bCs w:val="0"/>
          <w:color w:val="FF0000"/>
          <w:sz w:val="24"/>
          <w:szCs w:val="24"/>
          <w:highlight w:val="none"/>
        </w:rPr>
      </w:pPr>
      <w:r>
        <w:rPr>
          <w:rFonts w:hint="eastAsia" w:ascii="宋体" w:hAnsi="宋体" w:cs="宋体"/>
          <w:b/>
          <w:bCs w:val="0"/>
          <w:color w:val="FF0000"/>
          <w:sz w:val="24"/>
          <w:szCs w:val="24"/>
          <w:highlight w:val="none"/>
        </w:rPr>
        <w:t>★（4）基于</w:t>
      </w:r>
      <w:r>
        <w:rPr>
          <w:rFonts w:hint="eastAsia" w:ascii="宋体" w:hAnsi="宋体" w:cs="宋体"/>
          <w:b/>
          <w:bCs w:val="0"/>
          <w:color w:val="FF0000"/>
          <w:sz w:val="24"/>
          <w:szCs w:val="24"/>
          <w:highlight w:val="none"/>
          <w:lang w:val="en-US" w:eastAsia="zh-CN"/>
        </w:rPr>
        <w:t>施工</w:t>
      </w:r>
      <w:r>
        <w:rPr>
          <w:rFonts w:hint="eastAsia" w:ascii="宋体" w:hAnsi="宋体" w:cs="宋体"/>
          <w:b/>
          <w:bCs w:val="0"/>
          <w:color w:val="FF0000"/>
          <w:sz w:val="24"/>
          <w:szCs w:val="24"/>
          <w:highlight w:val="none"/>
        </w:rPr>
        <w:t>服务单位互不交叉的原则，投标人必须接受签订“</w:t>
      </w:r>
      <w:r>
        <w:rPr>
          <w:rFonts w:hint="eastAsia" w:ascii="宋体" w:hAnsi="宋体" w:cs="宋体"/>
          <w:b/>
          <w:color w:val="FF0000"/>
          <w:sz w:val="24"/>
          <w:highlight w:val="none"/>
        </w:rPr>
        <w:t>东部过境高速公路非保通段项目</w:t>
      </w:r>
      <w:r>
        <w:rPr>
          <w:rFonts w:hint="eastAsia" w:ascii="宋体" w:hAnsi="宋体" w:cs="宋体"/>
          <w:b/>
          <w:color w:val="FF0000"/>
          <w:sz w:val="24"/>
          <w:highlight w:val="none"/>
          <w:lang w:eastAsia="zh-CN"/>
        </w:rPr>
        <w:t>房屋拆除</w:t>
      </w:r>
      <w:r>
        <w:rPr>
          <w:rFonts w:hint="eastAsia" w:ascii="宋体" w:hAnsi="宋体" w:cs="宋体"/>
          <w:b/>
          <w:color w:val="FF0000"/>
          <w:sz w:val="24"/>
          <w:highlight w:val="none"/>
          <w:lang w:val="en-US" w:eastAsia="zh-CN"/>
        </w:rPr>
        <w:t>工程服务</w:t>
      </w:r>
      <w:r>
        <w:rPr>
          <w:rFonts w:hint="eastAsia" w:ascii="宋体" w:hAnsi="宋体" w:cs="宋体"/>
          <w:b/>
          <w:color w:val="FF0000"/>
          <w:sz w:val="24"/>
          <w:highlight w:val="none"/>
        </w:rPr>
        <w:t>承诺函</w:t>
      </w:r>
      <w:r>
        <w:rPr>
          <w:rFonts w:hint="eastAsia" w:ascii="宋体" w:hAnsi="宋体" w:cs="宋体"/>
          <w:b/>
          <w:bCs w:val="0"/>
          <w:color w:val="FF0000"/>
          <w:sz w:val="24"/>
          <w:szCs w:val="24"/>
          <w:highlight w:val="none"/>
        </w:rPr>
        <w:t>”，须提供加盖投标人公章的书面承诺函，承诺函详见附件1《</w:t>
      </w:r>
      <w:r>
        <w:rPr>
          <w:rFonts w:hint="eastAsia" w:ascii="宋体" w:hAnsi="宋体" w:cs="宋体"/>
          <w:b/>
          <w:bCs w:val="0"/>
          <w:color w:val="FF0000"/>
          <w:sz w:val="24"/>
          <w:szCs w:val="24"/>
          <w:highlight w:val="none"/>
          <w:lang w:val="en-US" w:eastAsia="zh-CN"/>
        </w:rPr>
        <w:t>坪山街道</w:t>
      </w:r>
      <w:r>
        <w:rPr>
          <w:rFonts w:hint="eastAsia" w:ascii="宋体" w:hAnsi="宋体" w:cs="宋体"/>
          <w:b/>
          <w:color w:val="FF0000"/>
          <w:sz w:val="24"/>
          <w:highlight w:val="none"/>
        </w:rPr>
        <w:t>东部过境高速公路非保通段项目</w:t>
      </w:r>
      <w:r>
        <w:rPr>
          <w:rFonts w:hint="eastAsia" w:ascii="宋体" w:hAnsi="宋体" w:cs="宋体"/>
          <w:b/>
          <w:color w:val="FF0000"/>
          <w:sz w:val="24"/>
          <w:highlight w:val="none"/>
          <w:lang w:eastAsia="zh-CN"/>
        </w:rPr>
        <w:t>房屋拆除</w:t>
      </w:r>
      <w:r>
        <w:rPr>
          <w:rFonts w:hint="eastAsia" w:ascii="宋体" w:hAnsi="宋体" w:cs="宋体"/>
          <w:b/>
          <w:color w:val="FF0000"/>
          <w:sz w:val="24"/>
          <w:highlight w:val="none"/>
          <w:lang w:val="en-US" w:eastAsia="zh-CN"/>
        </w:rPr>
        <w:t>工程服务</w:t>
      </w:r>
      <w:r>
        <w:rPr>
          <w:rFonts w:hint="eastAsia" w:ascii="宋体" w:hAnsi="宋体" w:cs="宋体"/>
          <w:b/>
          <w:color w:val="FF0000"/>
          <w:sz w:val="24"/>
          <w:highlight w:val="none"/>
        </w:rPr>
        <w:t>承诺函</w:t>
      </w:r>
      <w:r>
        <w:rPr>
          <w:rFonts w:hint="eastAsia" w:ascii="宋体" w:hAnsi="宋体" w:cs="宋体"/>
          <w:b/>
          <w:bCs w:val="0"/>
          <w:color w:val="FF0000"/>
          <w:sz w:val="24"/>
          <w:szCs w:val="24"/>
          <w:highlight w:val="none"/>
        </w:rPr>
        <w:t>》。</w:t>
      </w:r>
    </w:p>
    <w:p w14:paraId="1A6280D4">
      <w:pPr>
        <w:kinsoku/>
        <w:overflowPunct/>
        <w:spacing w:line="400" w:lineRule="exact"/>
        <w:ind w:firstLine="482" w:firstLineChars="200"/>
        <w:rPr>
          <w:rFonts w:hint="eastAsia" w:ascii="宋体" w:hAnsi="宋体" w:cs="宋体"/>
          <w:b/>
          <w:bCs w:val="0"/>
          <w:color w:val="FF0000"/>
          <w:sz w:val="24"/>
          <w:highlight w:val="none"/>
        </w:rPr>
      </w:pPr>
    </w:p>
    <w:p w14:paraId="3F19E309">
      <w:pPr>
        <w:pageBreakBefore w:val="0"/>
        <w:kinsoku/>
        <w:overflowPunct/>
        <w:bidi w:val="0"/>
        <w:spacing w:line="400" w:lineRule="exact"/>
        <w:ind w:firstLine="482" w:firstLineChars="200"/>
        <w:jc w:val="left"/>
        <w:rPr>
          <w:rFonts w:ascii="宋体" w:hAnsi="宋体" w:cs="宋体"/>
          <w:b/>
          <w:bCs w:val="0"/>
          <w:color w:val="FF0000"/>
          <w:sz w:val="24"/>
          <w:szCs w:val="24"/>
          <w:highlight w:val="none"/>
        </w:rPr>
      </w:pPr>
      <w:r>
        <w:rPr>
          <w:rFonts w:hint="eastAsia" w:ascii="宋体" w:hAnsi="宋体" w:cs="宋体"/>
          <w:b/>
          <w:bCs w:val="0"/>
          <w:color w:val="FF0000"/>
          <w:sz w:val="24"/>
          <w:szCs w:val="24"/>
          <w:highlight w:val="none"/>
        </w:rPr>
        <w:t>★附件1：</w:t>
      </w:r>
    </w:p>
    <w:p w14:paraId="187CCFB2">
      <w:pPr>
        <w:pageBreakBefore w:val="0"/>
        <w:kinsoku/>
        <w:overflowPunct/>
        <w:bidi w:val="0"/>
        <w:spacing w:line="400" w:lineRule="exact"/>
        <w:ind w:firstLine="482" w:firstLineChars="200"/>
        <w:jc w:val="center"/>
        <w:rPr>
          <w:rFonts w:ascii="宋体" w:hAnsi="宋体" w:cs="宋体"/>
          <w:b/>
          <w:bCs w:val="0"/>
          <w:color w:val="FF0000"/>
          <w:sz w:val="24"/>
          <w:szCs w:val="24"/>
          <w:highlight w:val="none"/>
        </w:rPr>
      </w:pPr>
      <w:r>
        <w:rPr>
          <w:rFonts w:hint="eastAsia" w:ascii="宋体" w:hAnsi="宋体" w:cs="宋体"/>
          <w:b/>
          <w:bCs w:val="0"/>
          <w:color w:val="FF0000"/>
          <w:sz w:val="24"/>
          <w:szCs w:val="24"/>
          <w:highlight w:val="none"/>
          <w:lang w:eastAsia="zh-CN"/>
        </w:rPr>
        <w:t>坪山街道</w:t>
      </w:r>
      <w:r>
        <w:rPr>
          <w:rFonts w:hint="eastAsia" w:ascii="宋体" w:hAnsi="宋体" w:cs="宋体"/>
          <w:b/>
          <w:color w:val="FF0000"/>
          <w:sz w:val="24"/>
          <w:highlight w:val="none"/>
        </w:rPr>
        <w:t>东部过境高速公路非保通段项目</w:t>
      </w:r>
      <w:r>
        <w:rPr>
          <w:rFonts w:hint="eastAsia" w:ascii="宋体" w:hAnsi="宋体" w:cs="宋体"/>
          <w:b/>
          <w:color w:val="FF0000"/>
          <w:sz w:val="24"/>
          <w:highlight w:val="none"/>
          <w:lang w:eastAsia="zh-CN"/>
        </w:rPr>
        <w:t>房屋拆除</w:t>
      </w:r>
      <w:r>
        <w:rPr>
          <w:rFonts w:hint="eastAsia" w:ascii="宋体" w:hAnsi="宋体" w:cs="宋体"/>
          <w:b/>
          <w:color w:val="FF0000"/>
          <w:sz w:val="24"/>
          <w:highlight w:val="none"/>
          <w:lang w:val="en-US" w:eastAsia="zh-CN"/>
        </w:rPr>
        <w:t>工程服务</w:t>
      </w:r>
      <w:r>
        <w:rPr>
          <w:rFonts w:hint="eastAsia" w:ascii="宋体" w:hAnsi="宋体" w:cs="宋体"/>
          <w:b/>
          <w:bCs w:val="0"/>
          <w:color w:val="FF0000"/>
          <w:sz w:val="24"/>
          <w:szCs w:val="24"/>
          <w:highlight w:val="none"/>
        </w:rPr>
        <w:t>承诺函</w:t>
      </w:r>
    </w:p>
    <w:p w14:paraId="321F1E94">
      <w:pPr>
        <w:pageBreakBefore w:val="0"/>
        <w:kinsoku/>
        <w:overflowPunct/>
        <w:bidi w:val="0"/>
        <w:spacing w:line="400" w:lineRule="exact"/>
        <w:ind w:firstLine="422" w:firstLineChars="200"/>
        <w:rPr>
          <w:rFonts w:ascii="宋体" w:hAnsi="宋体" w:cs="宋体"/>
          <w:b/>
          <w:bCs w:val="0"/>
          <w:color w:val="FF0000"/>
          <w:szCs w:val="21"/>
          <w:highlight w:val="none"/>
        </w:rPr>
      </w:pPr>
    </w:p>
    <w:p w14:paraId="1927EC35">
      <w:pPr>
        <w:pageBreakBefore w:val="0"/>
        <w:kinsoku/>
        <w:overflowPunct/>
        <w:bidi w:val="0"/>
        <w:spacing w:line="400" w:lineRule="exact"/>
        <w:ind w:firstLine="482" w:firstLineChars="200"/>
        <w:rPr>
          <w:rFonts w:ascii="宋体" w:hAnsi="宋体" w:cs="宋体"/>
          <w:b/>
          <w:bCs w:val="0"/>
          <w:color w:val="FF0000"/>
          <w:sz w:val="24"/>
          <w:szCs w:val="24"/>
          <w:highlight w:val="none"/>
        </w:rPr>
      </w:pPr>
      <w:r>
        <w:rPr>
          <w:rFonts w:hint="eastAsia" w:ascii="宋体" w:hAnsi="宋体" w:cs="宋体"/>
          <w:b/>
          <w:bCs w:val="0"/>
          <w:color w:val="FF0000"/>
          <w:sz w:val="24"/>
          <w:szCs w:val="24"/>
          <w:highlight w:val="none"/>
        </w:rPr>
        <w:t>我司参与</w:t>
      </w:r>
      <w:r>
        <w:rPr>
          <w:rFonts w:hint="eastAsia" w:ascii="宋体" w:hAnsi="宋体" w:cs="宋体"/>
          <w:b/>
          <w:bCs w:val="0"/>
          <w:color w:val="FF0000"/>
          <w:sz w:val="24"/>
          <w:szCs w:val="24"/>
          <w:highlight w:val="none"/>
          <w:lang w:eastAsia="zh-CN"/>
        </w:rPr>
        <w:t>坪山街道</w:t>
      </w:r>
      <w:r>
        <w:rPr>
          <w:rFonts w:hint="eastAsia" w:ascii="宋体" w:hAnsi="宋体" w:cs="宋体"/>
          <w:b/>
          <w:color w:val="FF0000"/>
          <w:sz w:val="24"/>
          <w:highlight w:val="none"/>
        </w:rPr>
        <w:t>东部过境高速公路非保通段项目</w:t>
      </w:r>
      <w:r>
        <w:rPr>
          <w:rFonts w:hint="eastAsia" w:ascii="宋体" w:hAnsi="宋体" w:cs="宋体"/>
          <w:b/>
          <w:color w:val="FF0000"/>
          <w:sz w:val="24"/>
          <w:highlight w:val="none"/>
          <w:lang w:eastAsia="zh-CN"/>
        </w:rPr>
        <w:t>房屋拆除</w:t>
      </w:r>
      <w:r>
        <w:rPr>
          <w:rFonts w:hint="eastAsia" w:ascii="宋体" w:hAnsi="宋体" w:cs="宋体"/>
          <w:b/>
          <w:color w:val="FF0000"/>
          <w:sz w:val="24"/>
          <w:highlight w:val="none"/>
          <w:lang w:val="en-US" w:eastAsia="zh-CN"/>
        </w:rPr>
        <w:t>工程服务</w:t>
      </w:r>
      <w:r>
        <w:rPr>
          <w:rFonts w:hint="eastAsia" w:ascii="宋体" w:hAnsi="宋体" w:cs="宋体"/>
          <w:b/>
          <w:bCs w:val="0"/>
          <w:color w:val="FF0000"/>
          <w:sz w:val="24"/>
          <w:szCs w:val="24"/>
          <w:highlight w:val="none"/>
        </w:rPr>
        <w:t>项目（项目编号：******，下称本项目），承诺如下：</w:t>
      </w:r>
    </w:p>
    <w:p w14:paraId="7B4902C0">
      <w:pPr>
        <w:pageBreakBefore w:val="0"/>
        <w:kinsoku/>
        <w:overflowPunct/>
        <w:bidi w:val="0"/>
        <w:spacing w:line="400" w:lineRule="exact"/>
        <w:ind w:firstLine="482" w:firstLineChars="200"/>
        <w:rPr>
          <w:rFonts w:ascii="宋体" w:hAnsi="宋体" w:cs="宋体"/>
          <w:b/>
          <w:bCs w:val="0"/>
          <w:color w:val="FF0000"/>
          <w:sz w:val="24"/>
          <w:szCs w:val="24"/>
          <w:highlight w:val="none"/>
        </w:rPr>
      </w:pPr>
      <w:r>
        <w:rPr>
          <w:rFonts w:hint="eastAsia" w:ascii="宋体" w:hAnsi="宋体" w:cs="宋体"/>
          <w:b/>
          <w:bCs w:val="0"/>
          <w:color w:val="FF0000"/>
          <w:sz w:val="24"/>
          <w:szCs w:val="24"/>
          <w:highlight w:val="none"/>
        </w:rPr>
        <w:t>一、我司自</w:t>
      </w:r>
      <w:r>
        <w:rPr>
          <w:rFonts w:hint="eastAsia" w:ascii="宋体" w:hAnsi="宋体" w:cs="宋体"/>
          <w:b/>
          <w:bCs w:val="0"/>
          <w:color w:val="FF0000"/>
          <w:sz w:val="24"/>
          <w:szCs w:val="24"/>
          <w:highlight w:val="none"/>
          <w:lang w:eastAsia="zh-CN"/>
        </w:rPr>
        <w:t>该项目招标公告发布之日前</w:t>
      </w:r>
      <w:r>
        <w:rPr>
          <w:rFonts w:hint="eastAsia" w:ascii="宋体" w:hAnsi="宋体" w:cs="宋体"/>
          <w:b/>
          <w:bCs w:val="0"/>
          <w:color w:val="FF0000"/>
          <w:sz w:val="24"/>
          <w:szCs w:val="24"/>
          <w:highlight w:val="none"/>
          <w:lang w:val="en-US" w:eastAsia="zh-CN"/>
        </w:rPr>
        <w:t>1个月内</w:t>
      </w:r>
      <w:r>
        <w:rPr>
          <w:rFonts w:hint="eastAsia" w:ascii="宋体" w:hAnsi="宋体" w:cs="宋体"/>
          <w:b/>
          <w:bCs w:val="0"/>
          <w:color w:val="FF0000"/>
          <w:sz w:val="24"/>
          <w:szCs w:val="24"/>
          <w:highlight w:val="none"/>
        </w:rPr>
        <w:t>未在坪山</w:t>
      </w:r>
      <w:r>
        <w:rPr>
          <w:rFonts w:hint="eastAsia" w:ascii="宋体" w:hAnsi="宋体" w:cs="宋体"/>
          <w:b/>
          <w:bCs w:val="0"/>
          <w:color w:val="FF0000"/>
          <w:sz w:val="24"/>
          <w:szCs w:val="24"/>
          <w:highlight w:val="none"/>
          <w:lang w:eastAsia="zh-CN"/>
        </w:rPr>
        <w:t>街道范</w:t>
      </w:r>
      <w:r>
        <w:rPr>
          <w:rFonts w:hint="eastAsia" w:ascii="宋体" w:hAnsi="宋体" w:cs="宋体"/>
          <w:b/>
          <w:bCs w:val="0"/>
          <w:color w:val="FF0000"/>
          <w:sz w:val="24"/>
          <w:szCs w:val="24"/>
          <w:highlight w:val="none"/>
        </w:rPr>
        <w:t>围内承接房屋</w:t>
      </w:r>
      <w:r>
        <w:rPr>
          <w:rFonts w:hint="eastAsia" w:ascii="宋体" w:hAnsi="宋体" w:cs="宋体"/>
          <w:b/>
          <w:bCs w:val="0"/>
          <w:color w:val="FF0000"/>
          <w:sz w:val="24"/>
          <w:szCs w:val="24"/>
          <w:highlight w:val="none"/>
          <w:lang w:val="en-US" w:eastAsia="zh-CN"/>
        </w:rPr>
        <w:t>拆除</w:t>
      </w:r>
      <w:r>
        <w:rPr>
          <w:rFonts w:hint="eastAsia" w:ascii="宋体" w:hAnsi="宋体" w:cs="宋体"/>
          <w:b/>
          <w:bCs w:val="0"/>
          <w:color w:val="FF0000"/>
          <w:sz w:val="24"/>
          <w:szCs w:val="24"/>
          <w:highlight w:val="none"/>
        </w:rPr>
        <w:t>工作；</w:t>
      </w:r>
    </w:p>
    <w:p w14:paraId="2740C4B5">
      <w:pPr>
        <w:pageBreakBefore w:val="0"/>
        <w:kinsoku/>
        <w:overflowPunct/>
        <w:bidi w:val="0"/>
        <w:spacing w:line="400" w:lineRule="exact"/>
        <w:ind w:firstLine="482" w:firstLineChars="200"/>
        <w:rPr>
          <w:rFonts w:hint="eastAsia" w:ascii="宋体" w:hAnsi="宋体" w:cs="宋体"/>
          <w:b/>
          <w:color w:val="FF0000"/>
          <w:sz w:val="24"/>
          <w:highlight w:val="none"/>
        </w:rPr>
      </w:pPr>
      <w:r>
        <w:rPr>
          <w:rFonts w:hint="eastAsia" w:ascii="宋体" w:hAnsi="宋体" w:cs="宋体"/>
          <w:b/>
          <w:color w:val="FF0000"/>
          <w:sz w:val="24"/>
          <w:highlight w:val="none"/>
        </w:rPr>
        <w:t>二、我司严格按照国家对建设工程施工行业的有关法律、法规以及政策、规定进行经营；</w:t>
      </w:r>
    </w:p>
    <w:p w14:paraId="7DFF7FB4">
      <w:pPr>
        <w:pageBreakBefore w:val="0"/>
        <w:kinsoku/>
        <w:overflowPunct/>
        <w:bidi w:val="0"/>
        <w:spacing w:line="400" w:lineRule="exact"/>
        <w:ind w:firstLine="482" w:firstLineChars="200"/>
        <w:rPr>
          <w:rFonts w:ascii="宋体" w:hAnsi="宋体" w:cs="宋体"/>
          <w:b/>
          <w:bCs w:val="0"/>
          <w:color w:val="FF0000"/>
          <w:sz w:val="24"/>
          <w:szCs w:val="24"/>
          <w:highlight w:val="none"/>
        </w:rPr>
      </w:pPr>
      <w:r>
        <w:rPr>
          <w:rFonts w:hint="eastAsia" w:ascii="宋体" w:hAnsi="宋体" w:cs="宋体"/>
          <w:b/>
          <w:color w:val="FF0000"/>
          <w:sz w:val="24"/>
          <w:highlight w:val="none"/>
        </w:rPr>
        <w:t>三、我司严格按照《深圳市房屋拆除工程管理办法》、《深圳市建筑废弃物综合管理办法》等相关规定，进行拆除备案、安全文明施工、清运建筑废弃物等工作；</w:t>
      </w:r>
    </w:p>
    <w:p w14:paraId="6413A669">
      <w:pPr>
        <w:pageBreakBefore w:val="0"/>
        <w:kinsoku/>
        <w:overflowPunct/>
        <w:bidi w:val="0"/>
        <w:spacing w:line="400" w:lineRule="exact"/>
        <w:ind w:firstLine="482" w:firstLineChars="200"/>
        <w:rPr>
          <w:rFonts w:ascii="宋体" w:hAnsi="宋体" w:cs="宋体"/>
          <w:b/>
          <w:bCs w:val="0"/>
          <w:color w:val="FF0000"/>
          <w:sz w:val="24"/>
          <w:szCs w:val="24"/>
          <w:highlight w:val="none"/>
        </w:rPr>
      </w:pPr>
      <w:r>
        <w:rPr>
          <w:rFonts w:hint="eastAsia" w:ascii="宋体" w:hAnsi="宋体" w:cs="宋体"/>
          <w:b/>
          <w:bCs w:val="0"/>
          <w:color w:val="FF0000"/>
          <w:sz w:val="24"/>
          <w:szCs w:val="24"/>
          <w:highlight w:val="none"/>
        </w:rPr>
        <w:t>四、以上承诺若有虚假或违反，一经查实，将被取消中标资格，本公司愿意接受有关部门的处罚，并承担由此带来的法律后果。</w:t>
      </w:r>
    </w:p>
    <w:p w14:paraId="5269C4DF">
      <w:pPr>
        <w:pageBreakBefore w:val="0"/>
        <w:kinsoku/>
        <w:overflowPunct/>
        <w:bidi w:val="0"/>
        <w:spacing w:line="400" w:lineRule="exact"/>
        <w:ind w:firstLine="482" w:firstLineChars="200"/>
        <w:rPr>
          <w:rFonts w:ascii="宋体" w:hAnsi="宋体" w:cs="宋体"/>
          <w:b/>
          <w:bCs w:val="0"/>
          <w:color w:val="FF0000"/>
          <w:sz w:val="24"/>
          <w:szCs w:val="24"/>
          <w:highlight w:val="none"/>
        </w:rPr>
      </w:pPr>
    </w:p>
    <w:p w14:paraId="06E81061">
      <w:pPr>
        <w:pageBreakBefore w:val="0"/>
        <w:kinsoku/>
        <w:overflowPunct/>
        <w:bidi w:val="0"/>
        <w:spacing w:line="400" w:lineRule="exact"/>
        <w:ind w:firstLine="3373" w:firstLineChars="1400"/>
        <w:jc w:val="left"/>
        <w:rPr>
          <w:rFonts w:ascii="宋体" w:hAnsi="宋体" w:cs="宋体"/>
          <w:b/>
          <w:bCs w:val="0"/>
          <w:color w:val="FF0000"/>
          <w:sz w:val="24"/>
          <w:szCs w:val="24"/>
          <w:highlight w:val="none"/>
        </w:rPr>
      </w:pPr>
      <w:r>
        <w:rPr>
          <w:rFonts w:hint="eastAsia" w:ascii="宋体" w:hAnsi="宋体" w:cs="宋体"/>
          <w:b/>
          <w:bCs w:val="0"/>
          <w:color w:val="FF0000"/>
          <w:sz w:val="24"/>
          <w:szCs w:val="24"/>
          <w:highlight w:val="none"/>
        </w:rPr>
        <w:t>声明企业(公章)：</w:t>
      </w:r>
    </w:p>
    <w:p w14:paraId="66A170FD">
      <w:pPr>
        <w:pageBreakBefore w:val="0"/>
        <w:kinsoku/>
        <w:overflowPunct/>
        <w:bidi w:val="0"/>
        <w:spacing w:line="400" w:lineRule="exact"/>
        <w:ind w:firstLine="3373" w:firstLineChars="1400"/>
        <w:jc w:val="left"/>
        <w:rPr>
          <w:rFonts w:ascii="宋体" w:hAnsi="宋体" w:cs="宋体"/>
          <w:b/>
          <w:bCs w:val="0"/>
          <w:color w:val="FF0000"/>
          <w:sz w:val="24"/>
          <w:szCs w:val="24"/>
          <w:highlight w:val="none"/>
        </w:rPr>
      </w:pPr>
      <w:r>
        <w:rPr>
          <w:rFonts w:hint="eastAsia" w:ascii="宋体" w:hAnsi="宋体" w:cs="宋体"/>
          <w:b/>
          <w:bCs w:val="0"/>
          <w:color w:val="FF0000"/>
          <w:sz w:val="24"/>
          <w:szCs w:val="24"/>
          <w:highlight w:val="none"/>
        </w:rPr>
        <w:t>声明人(法定代表人)签字：</w:t>
      </w:r>
    </w:p>
    <w:p w14:paraId="44ED6EB4">
      <w:pPr>
        <w:pageBreakBefore w:val="0"/>
        <w:kinsoku/>
        <w:overflowPunct/>
        <w:bidi w:val="0"/>
        <w:spacing w:line="400" w:lineRule="exact"/>
        <w:ind w:firstLine="3373" w:firstLineChars="1400"/>
        <w:jc w:val="left"/>
        <w:rPr>
          <w:rFonts w:ascii="宋体" w:hAnsi="宋体" w:cs="宋体"/>
          <w:b/>
          <w:bCs w:val="0"/>
          <w:color w:val="FF0000"/>
          <w:sz w:val="24"/>
          <w:szCs w:val="24"/>
          <w:highlight w:val="none"/>
        </w:rPr>
      </w:pPr>
      <w:r>
        <w:rPr>
          <w:rFonts w:hint="eastAsia" w:ascii="宋体" w:hAnsi="宋体" w:cs="宋体"/>
          <w:b/>
          <w:bCs w:val="0"/>
          <w:color w:val="FF0000"/>
          <w:sz w:val="24"/>
          <w:szCs w:val="24"/>
          <w:highlight w:val="none"/>
        </w:rPr>
        <w:t>声明人(法定代表人授权委托人)签字：</w:t>
      </w:r>
    </w:p>
    <w:p w14:paraId="697F5D5E">
      <w:pPr>
        <w:pageBreakBefore w:val="0"/>
        <w:kinsoku/>
        <w:overflowPunct/>
        <w:bidi w:val="0"/>
        <w:spacing w:line="400" w:lineRule="exact"/>
        <w:ind w:firstLine="3373" w:firstLineChars="1400"/>
        <w:jc w:val="left"/>
        <w:rPr>
          <w:rFonts w:hint="eastAsia" w:ascii="宋体" w:hAnsi="宋体" w:cs="宋体"/>
          <w:b/>
          <w:bCs w:val="0"/>
          <w:color w:val="FF0000"/>
          <w:sz w:val="24"/>
          <w:szCs w:val="24"/>
          <w:highlight w:val="none"/>
        </w:rPr>
      </w:pPr>
      <w:r>
        <w:rPr>
          <w:rFonts w:hint="eastAsia" w:ascii="宋体" w:hAnsi="宋体" w:cs="宋体"/>
          <w:b/>
          <w:bCs w:val="0"/>
          <w:color w:val="FF0000"/>
          <w:sz w:val="24"/>
          <w:szCs w:val="24"/>
          <w:highlight w:val="none"/>
        </w:rPr>
        <w:t>时间：</w:t>
      </w:r>
    </w:p>
    <w:p w14:paraId="63516DBF">
      <w:pPr>
        <w:pStyle w:val="12"/>
      </w:pPr>
    </w:p>
    <w:p w14:paraId="391E13B1">
      <w:pPr>
        <w:pageBreakBefore w:val="0"/>
        <w:kinsoku/>
        <w:overflowPunct/>
        <w:bidi w:val="0"/>
        <w:spacing w:line="40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cs="宋体"/>
          <w:b/>
          <w:bCs/>
          <w:sz w:val="28"/>
          <w:szCs w:val="28"/>
          <w:highlight w:val="none"/>
          <w:lang w:val="en-US" w:eastAsia="zh-CN"/>
        </w:rPr>
        <w:t>6</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相关职责；</w:t>
      </w:r>
    </w:p>
    <w:p w14:paraId="447F054B">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1、根据中标通知书及时与采购方签订本项目合同。</w:t>
      </w:r>
    </w:p>
    <w:p w14:paraId="19E7EA2D">
      <w:pPr>
        <w:pageBreakBefore w:val="0"/>
        <w:kinsoku/>
        <w:overflowPunct/>
        <w:bidi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2、执行采购方的其他管理规定。</w:t>
      </w:r>
    </w:p>
    <w:p w14:paraId="1DAA4D17">
      <w:pPr>
        <w:pStyle w:val="12"/>
      </w:pPr>
    </w:p>
    <w:p w14:paraId="074ACD1B">
      <w:pPr>
        <w:pageBreakBefore w:val="0"/>
        <w:kinsoku/>
        <w:overflowPunct/>
        <w:bidi w:val="0"/>
        <w:spacing w:line="40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cs="宋体"/>
          <w:b/>
          <w:bCs/>
          <w:sz w:val="28"/>
          <w:szCs w:val="28"/>
          <w:highlight w:val="none"/>
          <w:lang w:val="en-US" w:eastAsia="zh-CN"/>
        </w:rPr>
        <w:t>7</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管理及责任承担；</w:t>
      </w:r>
    </w:p>
    <w:p w14:paraId="089C9F0A">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供应商有下列行为之一的，将取消其中标供应商资格：</w:t>
      </w:r>
    </w:p>
    <w:p w14:paraId="7670B8EC">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1、弄虚作假、隐瞒真实情况骗取入围供应商资格的；</w:t>
      </w:r>
    </w:p>
    <w:p w14:paraId="5B702AFE">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2、因行贿、受贿、串通投标、转包、挂靠受到处罚的；</w:t>
      </w:r>
    </w:p>
    <w:p w14:paraId="4575DE56">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3、中标后无正当理由不与采购单位签订合同的；</w:t>
      </w:r>
    </w:p>
    <w:p w14:paraId="3E57A3ED">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4、擅自变更或者中止服务合同的；</w:t>
      </w:r>
    </w:p>
    <w:p w14:paraId="4B133F80">
      <w:pPr>
        <w:pageBreakBefore w:val="0"/>
        <w:kinsoku/>
        <w:overflowPunct/>
        <w:bidi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5、拖欠工人工资，经劳动或其他政府部门催告或通报仍不清偿的；</w:t>
      </w:r>
    </w:p>
    <w:p w14:paraId="71218757">
      <w:pPr>
        <w:pageBreakBefore w:val="0"/>
        <w:kinsoku/>
        <w:overflowPunct/>
        <w:bidi w:val="0"/>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6、</w:t>
      </w:r>
      <w:r>
        <w:rPr>
          <w:rFonts w:hint="eastAsia" w:ascii="宋体" w:hAnsi="宋体" w:cs="宋体"/>
          <w:sz w:val="24"/>
          <w:szCs w:val="24"/>
          <w:highlight w:val="none"/>
          <w:lang w:eastAsia="zh-CN"/>
        </w:rPr>
        <w:t>其他</w:t>
      </w:r>
      <w:r>
        <w:rPr>
          <w:rFonts w:hint="eastAsia" w:ascii="宋体" w:hAnsi="宋体" w:cs="宋体"/>
          <w:sz w:val="24"/>
          <w:szCs w:val="24"/>
          <w:highlight w:val="none"/>
        </w:rPr>
        <w:t>造成严重后果或恶劣影响的行为</w:t>
      </w:r>
      <w:r>
        <w:rPr>
          <w:rFonts w:hint="eastAsia" w:ascii="宋体" w:hAnsi="宋体" w:cs="宋体"/>
          <w:sz w:val="24"/>
          <w:szCs w:val="24"/>
          <w:highlight w:val="none"/>
          <w:lang w:eastAsia="zh-CN"/>
        </w:rPr>
        <w:t>。</w:t>
      </w:r>
    </w:p>
    <w:p w14:paraId="7910EC01">
      <w:pPr>
        <w:kinsoku/>
        <w:overflowPunct/>
        <w:spacing w:line="400" w:lineRule="exact"/>
        <w:ind w:firstLine="0" w:firstLineChars="0"/>
      </w:pPr>
    </w:p>
    <w:p w14:paraId="71687645">
      <w:pPr>
        <w:pageBreakBefore w:val="0"/>
        <w:kinsoku/>
        <w:overflowPunct/>
        <w:bidi w:val="0"/>
        <w:spacing w:line="40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cs="宋体"/>
          <w:b/>
          <w:bCs/>
          <w:sz w:val="28"/>
          <w:szCs w:val="28"/>
          <w:highlight w:val="none"/>
          <w:lang w:val="en-US" w:eastAsia="zh-CN"/>
        </w:rPr>
        <w:t>8</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项目验收要求</w:t>
      </w:r>
    </w:p>
    <w:p w14:paraId="72CBCF7E">
      <w:pPr>
        <w:pageBreakBefore w:val="0"/>
        <w:kinsoku/>
        <w:overflowPunct/>
        <w:bidi w:val="0"/>
        <w:spacing w:line="400" w:lineRule="exact"/>
        <w:ind w:firstLine="480" w:firstLineChars="200"/>
        <w:rPr>
          <w:rFonts w:hint="eastAsia" w:ascii="宋体" w:hAnsi="宋体" w:cs="宋体"/>
          <w:color w:val="auto"/>
          <w:sz w:val="24"/>
          <w:szCs w:val="24"/>
          <w:highlight w:val="none"/>
        </w:rPr>
      </w:pPr>
      <w:r>
        <w:rPr>
          <w:rFonts w:hint="eastAsia" w:ascii="宋体" w:hAnsi="宋体" w:cs="宋体"/>
          <w:sz w:val="24"/>
          <w:szCs w:val="24"/>
          <w:highlight w:val="none"/>
        </w:rPr>
        <w:t>1.中标单</w:t>
      </w:r>
      <w:r>
        <w:rPr>
          <w:rFonts w:hint="eastAsia" w:ascii="宋体" w:hAnsi="宋体" w:cs="宋体"/>
          <w:color w:val="auto"/>
          <w:sz w:val="24"/>
          <w:szCs w:val="24"/>
          <w:highlight w:val="none"/>
        </w:rPr>
        <w:t>位依法、有序、高效、专业地完成了本项目范围内全部</w:t>
      </w:r>
      <w:r>
        <w:rPr>
          <w:rFonts w:hint="eastAsia" w:ascii="宋体" w:hAnsi="宋体" w:cs="宋体"/>
          <w:color w:val="auto"/>
          <w:sz w:val="24"/>
          <w:szCs w:val="24"/>
          <w:highlight w:val="none"/>
          <w:lang w:val="en-US" w:eastAsia="zh-CN"/>
        </w:rPr>
        <w:t>房屋拆除</w:t>
      </w:r>
      <w:r>
        <w:rPr>
          <w:rFonts w:hint="eastAsia" w:ascii="宋体" w:hAnsi="宋体" w:cs="宋体"/>
          <w:color w:val="auto"/>
          <w:sz w:val="24"/>
          <w:szCs w:val="24"/>
          <w:highlight w:val="none"/>
        </w:rPr>
        <w:t>工作，所有的评估报告均经督导机构审核通过。</w:t>
      </w:r>
    </w:p>
    <w:p w14:paraId="11153520">
      <w:pPr>
        <w:kinsoku/>
        <w:overflowPunct/>
        <w:spacing w:line="400" w:lineRule="exact"/>
        <w:ind w:firstLine="480" w:firstLineChars="200"/>
        <w:rPr>
          <w:rFonts w:hint="eastAsia"/>
          <w:color w:val="auto"/>
        </w:rPr>
      </w:pPr>
      <w:r>
        <w:rPr>
          <w:rFonts w:hint="eastAsia" w:ascii="宋体" w:hAnsi="宋体" w:cs="宋体"/>
          <w:color w:val="auto"/>
          <w:sz w:val="24"/>
          <w:szCs w:val="24"/>
          <w:highlight w:val="none"/>
        </w:rPr>
        <w:t>2.对于产权不清或有争议的房地产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造成采购方不能交付中标方施工的，则双方另行协商解决</w:t>
      </w:r>
      <w:r>
        <w:rPr>
          <w:rFonts w:hint="eastAsia" w:ascii="宋体" w:hAnsi="宋体" w:cs="宋体"/>
          <w:color w:val="auto"/>
          <w:sz w:val="24"/>
          <w:szCs w:val="24"/>
          <w:highlight w:val="none"/>
        </w:rPr>
        <w:t>。</w:t>
      </w:r>
    </w:p>
    <w:p w14:paraId="5AB11C66">
      <w:pPr>
        <w:pageBreakBefore w:val="0"/>
        <w:kinsoku/>
        <w:overflowPunct/>
        <w:bidi w:val="0"/>
        <w:spacing w:line="40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成果文件</w:t>
      </w:r>
    </w:p>
    <w:p w14:paraId="40E8E820">
      <w:pPr>
        <w:pageBreakBefore w:val="0"/>
        <w:kinsoku/>
        <w:overflowPunct/>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（1）贯彻、落实、协调市区相关部门对项目的要求；</w:t>
      </w:r>
    </w:p>
    <w:p w14:paraId="01A2F7A4">
      <w:pPr>
        <w:pageBreakBefore w:val="0"/>
        <w:kinsoku/>
        <w:overflowPunct/>
        <w:bidi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工程竣工验收合格后，移交相关的竣工资料</w:t>
      </w:r>
      <w:r>
        <w:rPr>
          <w:rFonts w:hint="eastAsia" w:ascii="宋体" w:hAnsi="宋体" w:cs="宋体"/>
          <w:color w:val="auto"/>
          <w:sz w:val="24"/>
          <w:szCs w:val="24"/>
          <w:highlight w:val="none"/>
        </w:rPr>
        <w:t>一式</w:t>
      </w: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份，如采购方要求加份，需积极配合；</w:t>
      </w:r>
    </w:p>
    <w:p w14:paraId="46AE7F54">
      <w:pPr>
        <w:pStyle w:val="12"/>
      </w:pPr>
    </w:p>
    <w:p w14:paraId="32C5CF09">
      <w:pPr>
        <w:pStyle w:val="36"/>
        <w:pageBreakBefore w:val="0"/>
        <w:numPr>
          <w:ilvl w:val="0"/>
          <w:numId w:val="1"/>
        </w:numPr>
        <w:kinsoku/>
        <w:overflowPunct/>
        <w:bidi w:val="0"/>
        <w:spacing w:beforeLines="0" w:line="400" w:lineRule="exact"/>
        <w:rPr>
          <w:rFonts w:hint="eastAsia" w:cs="黑体" w:asciiTheme="minorEastAsia" w:hAnsiTheme="minorEastAsia" w:eastAsiaTheme="minorEastAsia"/>
          <w:bCs w:val="0"/>
          <w:highlight w:val="none"/>
          <w:lang w:val="en-US" w:eastAsia="zh-CN"/>
        </w:rPr>
      </w:pPr>
      <w:r>
        <w:rPr>
          <w:rFonts w:hint="eastAsia" w:cs="黑体" w:asciiTheme="minorEastAsia" w:hAnsiTheme="minorEastAsia" w:eastAsiaTheme="minorEastAsia"/>
          <w:bCs w:val="0"/>
          <w:highlight w:val="none"/>
          <w:lang w:val="en-US" w:eastAsia="zh-CN"/>
        </w:rPr>
        <w:t>商务要求</w:t>
      </w:r>
    </w:p>
    <w:p w14:paraId="2814F41D">
      <w:pPr>
        <w:pageBreakBefore w:val="0"/>
        <w:kinsoku/>
        <w:overflowPunct/>
        <w:bidi w:val="0"/>
        <w:spacing w:line="40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 xml:space="preserve">4.1 </w:t>
      </w:r>
      <w:r>
        <w:rPr>
          <w:rFonts w:hint="eastAsia" w:ascii="宋体" w:hAnsi="宋体" w:eastAsia="宋体" w:cs="宋体"/>
          <w:b/>
          <w:bCs/>
          <w:sz w:val="28"/>
          <w:szCs w:val="28"/>
          <w:highlight w:val="none"/>
        </w:rPr>
        <w:t>服务期限：</w:t>
      </w:r>
    </w:p>
    <w:p w14:paraId="5D650027">
      <w:pPr>
        <w:kinsoku/>
        <w:overflowPunct/>
        <w:spacing w:line="400" w:lineRule="exact"/>
        <w:ind w:firstLine="480" w:firstLineChars="200"/>
      </w:pPr>
      <w:r>
        <w:rPr>
          <w:rFonts w:hint="eastAsia"/>
          <w:color w:val="auto"/>
          <w:sz w:val="24"/>
          <w:szCs w:val="24"/>
          <w:highlight w:val="none"/>
        </w:rPr>
        <w:t>自本项目合同签订之日起至委托的所有服务内容完成。</w:t>
      </w:r>
    </w:p>
    <w:p w14:paraId="76ABA0FA">
      <w:pPr>
        <w:pageBreakBefore w:val="0"/>
        <w:kinsoku/>
        <w:overflowPunct/>
        <w:bidi w:val="0"/>
        <w:spacing w:line="400" w:lineRule="exact"/>
        <w:ind w:firstLine="420" w:firstLineChars="200"/>
        <w:rPr>
          <w:rFonts w:hint="eastAsia" w:eastAsia="宋体"/>
          <w:lang w:val="en-US" w:eastAsia="zh-CN"/>
        </w:rPr>
      </w:pPr>
      <w:r>
        <w:rPr>
          <w:rFonts w:hint="eastAsia" w:ascii="宋体" w:hAnsi="宋体"/>
          <w:highlight w:val="none"/>
        </w:rPr>
        <w:t>★</w:t>
      </w:r>
      <w:r>
        <w:rPr>
          <w:rFonts w:hint="eastAsia" w:ascii="宋体" w:hAnsi="宋体" w:eastAsia="宋体" w:cs="宋体"/>
          <w:b/>
          <w:bCs/>
          <w:color w:val="auto"/>
          <w:sz w:val="28"/>
          <w:szCs w:val="28"/>
          <w:highlight w:val="none"/>
          <w:lang w:val="en-US" w:eastAsia="zh-CN"/>
        </w:rPr>
        <w:t xml:space="preserve">4.2 </w:t>
      </w:r>
      <w:r>
        <w:rPr>
          <w:rFonts w:hint="eastAsia" w:ascii="宋体" w:hAnsi="宋体" w:eastAsia="宋体" w:cs="宋体"/>
          <w:b/>
          <w:bCs/>
          <w:color w:val="auto"/>
          <w:sz w:val="28"/>
          <w:szCs w:val="28"/>
          <w:highlight w:val="none"/>
        </w:rPr>
        <w:t>报价要求：</w:t>
      </w:r>
    </w:p>
    <w:p w14:paraId="0E11E16D">
      <w:pPr>
        <w:pageBreakBefore w:val="0"/>
        <w:kinsoku/>
        <w:overflowPunct/>
        <w:bidi w:val="0"/>
        <w:spacing w:line="400" w:lineRule="exact"/>
        <w:ind w:firstLine="480" w:firstLineChars="200"/>
        <w:rPr>
          <w:rFonts w:hint="eastAsia"/>
          <w:color w:val="auto"/>
          <w:sz w:val="24"/>
          <w:highlight w:val="none"/>
        </w:rPr>
      </w:pPr>
      <w:r>
        <w:rPr>
          <w:rFonts w:hint="eastAsia"/>
          <w:color w:val="auto"/>
          <w:sz w:val="24"/>
          <w:highlight w:val="none"/>
        </w:rPr>
        <w:t>1.本项目坪山街道办事处范围内需拆除房屋建筑面积约1446.97平方米，按建筑物面积以30元/㎡拆除综合单价（含临时建筑（构筑物）拆除、室外附属设施拆除、管线拆除</w:t>
      </w:r>
      <w:r>
        <w:rPr>
          <w:rFonts w:hint="eastAsia"/>
          <w:color w:val="auto"/>
          <w:sz w:val="24"/>
          <w:highlight w:val="none"/>
          <w:lang w:eastAsia="zh-CN"/>
        </w:rPr>
        <w:t>、</w:t>
      </w:r>
      <w:r>
        <w:rPr>
          <w:rFonts w:hint="eastAsia"/>
          <w:color w:val="auto"/>
          <w:sz w:val="24"/>
          <w:highlight w:val="none"/>
          <w:lang w:val="en-US" w:eastAsia="zh-CN"/>
        </w:rPr>
        <w:t>建筑废弃物清运等</w:t>
      </w:r>
      <w:r>
        <w:rPr>
          <w:rFonts w:hint="eastAsia"/>
          <w:color w:val="auto"/>
          <w:sz w:val="24"/>
          <w:highlight w:val="none"/>
        </w:rPr>
        <w:t>费用），本项目建筑拆除费预算为43409.1元。</w:t>
      </w:r>
    </w:p>
    <w:p w14:paraId="47A38A28">
      <w:pPr>
        <w:pageBreakBefore w:val="0"/>
        <w:kinsoku/>
        <w:overflowPunct/>
        <w:bidi w:val="0"/>
        <w:spacing w:line="400" w:lineRule="exact"/>
        <w:ind w:firstLine="480" w:firstLineChars="200"/>
        <w:rPr>
          <w:rFonts w:hint="eastAsia"/>
          <w:color w:val="auto"/>
          <w:sz w:val="24"/>
          <w:highlight w:val="none"/>
        </w:rPr>
      </w:pPr>
      <w:r>
        <w:rPr>
          <w:rFonts w:hint="eastAsia"/>
          <w:color w:val="auto"/>
          <w:sz w:val="24"/>
          <w:highlight w:val="none"/>
        </w:rPr>
        <w:t>2.本项目以投报折扣率的方式进行投标，供应商投标折扣率为综合折扣，投标折扣率区间为0＜折扣率≤1，折扣率必须小于或等于1，折扣率大于1时作投标无效处理。合同结算金额=实际工作量×拆除综合单价（30元/㎡）×投标报价折扣率。</w:t>
      </w:r>
    </w:p>
    <w:p w14:paraId="13BC11AE">
      <w:pPr>
        <w:pageBreakBefore w:val="0"/>
        <w:kinsoku/>
        <w:overflowPunct/>
        <w:bidi w:val="0"/>
        <w:spacing w:line="400" w:lineRule="exact"/>
        <w:ind w:firstLine="480" w:firstLineChars="200"/>
        <w:rPr>
          <w:rFonts w:hint="eastAsia"/>
          <w:color w:val="auto"/>
          <w:sz w:val="24"/>
          <w:highlight w:val="none"/>
        </w:rPr>
      </w:pPr>
      <w:r>
        <w:rPr>
          <w:rFonts w:hint="eastAsia"/>
          <w:color w:val="auto"/>
          <w:sz w:val="24"/>
          <w:highlight w:val="none"/>
        </w:rPr>
        <w:t>3.投标人报价必须充分考虑企业的成本、本项目服务要求和特点，以及各种管理因素和环境条件，一旦中标不再调整折扣率，且不再为此增加任何费用。</w:t>
      </w:r>
    </w:p>
    <w:p w14:paraId="42A4FB42">
      <w:pPr>
        <w:pageBreakBefore w:val="0"/>
        <w:kinsoku/>
        <w:overflowPunct/>
        <w:bidi w:val="0"/>
        <w:spacing w:line="40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4.3 </w:t>
      </w:r>
      <w:r>
        <w:rPr>
          <w:rFonts w:hint="eastAsia" w:ascii="宋体" w:hAnsi="宋体" w:eastAsia="宋体" w:cs="宋体"/>
          <w:b/>
          <w:bCs/>
          <w:color w:val="auto"/>
          <w:sz w:val="28"/>
          <w:szCs w:val="28"/>
          <w:highlight w:val="none"/>
        </w:rPr>
        <w:t>付款条件：</w:t>
      </w:r>
    </w:p>
    <w:p w14:paraId="51647D0C">
      <w:pPr>
        <w:pageBreakBefore w:val="0"/>
        <w:kinsoku/>
        <w:overflowPunct/>
        <w:bidi w:val="0"/>
        <w:spacing w:line="40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bookmarkStart w:id="6" w:name="_Toc305331499"/>
      <w:bookmarkStart w:id="7" w:name="_Toc67418806"/>
      <w:bookmarkStart w:id="8" w:name="_Toc302636021"/>
      <w:bookmarkStart w:id="9" w:name="_Toc12335"/>
      <w:r>
        <w:rPr>
          <w:rFonts w:hint="eastAsia" w:asciiTheme="minorEastAsia" w:hAnsiTheme="minorEastAsia" w:eastAsiaTheme="minorEastAsia" w:cstheme="minorEastAsia"/>
          <w:color w:val="auto"/>
          <w:sz w:val="24"/>
          <w:szCs w:val="24"/>
          <w:highlight w:val="none"/>
          <w:lang w:val="en-US" w:eastAsia="zh-CN"/>
        </w:rPr>
        <w:t>本项目拆除工程量全部完成后采购单位支付至合同价的85%，剩余款项待结算完成后支付</w:t>
      </w:r>
      <w:r>
        <w:rPr>
          <w:rFonts w:hint="eastAsia" w:asciiTheme="minorEastAsia" w:hAnsiTheme="minorEastAsia" w:eastAsiaTheme="minorEastAsia" w:cstheme="minorEastAsia"/>
          <w:color w:val="auto"/>
          <w:sz w:val="24"/>
          <w:szCs w:val="24"/>
          <w:highlight w:val="none"/>
          <w:lang w:eastAsia="zh-CN"/>
        </w:rPr>
        <w:t>。</w:t>
      </w:r>
    </w:p>
    <w:p w14:paraId="3A029D67">
      <w:pPr>
        <w:pStyle w:val="12"/>
        <w:rPr>
          <w:rFonts w:hint="eastAsia"/>
          <w:color w:val="auto"/>
          <w:lang w:eastAsia="zh-CN"/>
        </w:rPr>
      </w:pPr>
    </w:p>
    <w:bookmarkEnd w:id="6"/>
    <w:bookmarkEnd w:id="7"/>
    <w:bookmarkEnd w:id="8"/>
    <w:bookmarkEnd w:id="9"/>
    <w:p w14:paraId="30E75A10">
      <w:pPr>
        <w:pStyle w:val="5"/>
        <w:pageBreakBefore w:val="0"/>
        <w:kinsoku/>
        <w:overflowPunct/>
        <w:bidi w:val="0"/>
        <w:spacing w:line="400" w:lineRule="exact"/>
        <w:ind w:firstLineChars="200"/>
        <w:rPr>
          <w:rFonts w:hint="eastAsia"/>
          <w:bCs/>
          <w:color w:val="auto"/>
          <w:sz w:val="24"/>
          <w:szCs w:val="24"/>
          <w:highlight w:val="none"/>
        </w:rPr>
      </w:pPr>
    </w:p>
    <w:p w14:paraId="1E3E2B32">
      <w:pPr>
        <w:pStyle w:val="36"/>
        <w:pageBreakBefore w:val="0"/>
        <w:numPr>
          <w:ilvl w:val="0"/>
          <w:numId w:val="1"/>
        </w:numPr>
        <w:kinsoku/>
        <w:overflowPunct/>
        <w:bidi w:val="0"/>
        <w:spacing w:beforeLines="0" w:line="400" w:lineRule="exact"/>
        <w:rPr>
          <w:rFonts w:hint="eastAsia" w:cs="黑体" w:asciiTheme="minorEastAsia" w:hAnsiTheme="minorEastAsia" w:eastAsiaTheme="minorEastAsia"/>
          <w:bCs w:val="0"/>
          <w:color w:val="auto"/>
          <w:highlight w:val="none"/>
          <w:lang w:val="en-US" w:eastAsia="zh-CN"/>
        </w:rPr>
      </w:pPr>
      <w:r>
        <w:rPr>
          <w:rFonts w:hint="eastAsia" w:cs="黑体" w:asciiTheme="minorEastAsia" w:hAnsiTheme="minorEastAsia" w:eastAsiaTheme="minorEastAsia"/>
          <w:bCs w:val="0"/>
          <w:color w:val="auto"/>
          <w:highlight w:val="none"/>
          <w:lang w:val="en-US" w:eastAsia="zh-CN"/>
        </w:rPr>
        <w:t>投标资格条件</w:t>
      </w:r>
      <w:bookmarkEnd w:id="2"/>
      <w:bookmarkEnd w:id="3"/>
    </w:p>
    <w:p w14:paraId="534566C0">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1.满足《中华人民共和国政府采购法》第二十二条规定（要求投标人提供营业执照或事业单位法人证等法人证明扫描件以及《政府采购投标及履约承诺函》，原件备查）；</w:t>
      </w:r>
    </w:p>
    <w:p w14:paraId="1BED8102">
      <w:pPr>
        <w:widowControl/>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2.落实政府采购政策需满足的资格要求：施工资质：建筑工程施工总承包三级</w:t>
      </w:r>
      <w:r>
        <w:rPr>
          <w:rFonts w:hint="eastAsia" w:ascii="宋体" w:hAnsi="宋体" w:cs="宋体"/>
          <w:color w:val="auto"/>
          <w:kern w:val="0"/>
          <w:sz w:val="24"/>
          <w:szCs w:val="24"/>
          <w:highlight w:val="none"/>
          <w:lang w:eastAsia="zh-CN"/>
        </w:rPr>
        <w:t>或</w:t>
      </w:r>
      <w:r>
        <w:rPr>
          <w:rFonts w:hint="eastAsia" w:ascii="宋体" w:hAnsi="宋体" w:eastAsia="宋体" w:cs="宋体"/>
          <w:color w:val="auto"/>
          <w:kern w:val="0"/>
          <w:sz w:val="24"/>
          <w:szCs w:val="24"/>
          <w:highlight w:val="none"/>
        </w:rPr>
        <w:t>以上</w:t>
      </w:r>
      <w:r>
        <w:rPr>
          <w:rFonts w:hint="eastAsia" w:ascii="宋体" w:hAnsi="宋体" w:cs="宋体"/>
          <w:color w:val="auto"/>
          <w:kern w:val="0"/>
          <w:sz w:val="24"/>
          <w:szCs w:val="24"/>
          <w:highlight w:val="none"/>
          <w:lang w:eastAsia="zh-CN"/>
        </w:rPr>
        <w:t>证书，提供有效期内的证书扫描件，原件备查</w:t>
      </w:r>
      <w:r>
        <w:rPr>
          <w:rFonts w:hint="eastAsia" w:ascii="宋体" w:hAnsi="宋体" w:eastAsia="宋体" w:cs="宋体"/>
          <w:color w:val="auto"/>
          <w:kern w:val="0"/>
          <w:sz w:val="24"/>
          <w:szCs w:val="24"/>
          <w:highlight w:val="none"/>
          <w:lang w:val="en-US" w:eastAsia="zh-CN"/>
        </w:rPr>
        <w:t>；</w:t>
      </w:r>
    </w:p>
    <w:p w14:paraId="2272286E">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3.参与本项目投标前三年内，在经营活动中没有重大违法记录（由供应商在《政府采购投标及履约承诺函》中作出声明）。</w:t>
      </w:r>
    </w:p>
    <w:p w14:paraId="66DE98B3">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4.参与本项目政府采购活动时不存在被有关部门禁止参与政府采购活动且在有效期内的情况（由供应商在《政府采购投标及履约承诺函》中作出声明）。</w:t>
      </w:r>
    </w:p>
    <w:p w14:paraId="724A9916">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5.未被列入失信被执行人、重大税收违法案件当事人名单、政府采购严重违法失信行为记录名单（由供应商在《政府采购投标及履约承诺函》中作出声明）。</w:t>
      </w:r>
    </w:p>
    <w:p w14:paraId="4F78FE1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注：“信用中国”、“中国政府采购网”、“深圳信用网”以及“深圳市政府采购监管网”为供应商信用信息的查询渠道，相关信息以开标当日的查询信息为准。</w:t>
      </w:r>
    </w:p>
    <w:p w14:paraId="05273643">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投标人承诺“本单位（公司）不存在《深圳市财政局政府采购供应商信用信息管理办法》（深财规〔2023〕3号）列明的严重违法失信行为（由投标人在《政府采购投标及履约承诺函》中作出声明）。</w:t>
      </w:r>
    </w:p>
    <w:p w14:paraId="59D42BDD">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b/>
          <w:bCs/>
          <w:color w:val="auto"/>
          <w:sz w:val="24"/>
          <w:szCs w:val="24"/>
          <w:highlight w:val="none"/>
        </w:rPr>
        <w:t>本项目接受联合体投标，</w:t>
      </w:r>
      <w:r>
        <w:rPr>
          <w:rFonts w:hint="eastAsia" w:ascii="宋体" w:hAnsi="宋体" w:eastAsia="宋体" w:cs="宋体"/>
          <w:b/>
          <w:bCs/>
          <w:color w:val="auto"/>
          <w:kern w:val="0"/>
          <w:sz w:val="24"/>
          <w:szCs w:val="24"/>
          <w:highlight w:val="none"/>
        </w:rPr>
        <w:t>不允许分包</w:t>
      </w:r>
      <w:r>
        <w:rPr>
          <w:rFonts w:hint="eastAsia" w:ascii="宋体" w:hAnsi="宋体" w:eastAsia="宋体" w:cs="宋体"/>
          <w:color w:val="auto"/>
          <w:kern w:val="0"/>
          <w:sz w:val="24"/>
          <w:szCs w:val="24"/>
          <w:highlight w:val="none"/>
        </w:rPr>
        <w:t>。</w:t>
      </w:r>
    </w:p>
    <w:p w14:paraId="7F931576">
      <w:pPr>
        <w:pageBreakBefore w:val="0"/>
        <w:kinsoku/>
        <w:overflowPunct/>
        <w:bidi w:val="0"/>
        <w:spacing w:line="40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8.本项目专门面向小型、微型企业采购。</w:t>
      </w:r>
      <w:bookmarkEnd w:id="4"/>
      <w:bookmarkEnd w:id="5"/>
      <w:bookmarkStart w:id="10" w:name="_Toc269225694"/>
      <w:bookmarkStart w:id="11" w:name="_Toc283323486"/>
    </w:p>
    <w:p w14:paraId="4BCB5B89">
      <w:pPr>
        <w:pStyle w:val="12"/>
        <w:rPr>
          <w:rFonts w:hint="eastAsia"/>
          <w:color w:val="auto"/>
        </w:rPr>
      </w:pPr>
    </w:p>
    <w:p w14:paraId="743BAB71">
      <w:pPr>
        <w:pStyle w:val="36"/>
        <w:pageBreakBefore w:val="0"/>
        <w:kinsoku/>
        <w:overflowPunct/>
        <w:bidi w:val="0"/>
        <w:spacing w:beforeLines="0" w:line="400" w:lineRule="exact"/>
        <w:ind w:left="301" w:hanging="301" w:hangingChars="100"/>
        <w:rPr>
          <w:rFonts w:cs="楷体_GB2312" w:asciiTheme="minorEastAsia" w:hAnsiTheme="minorEastAsia" w:eastAsiaTheme="minorEastAsia"/>
          <w:b/>
          <w:color w:val="auto"/>
          <w:highlight w:val="none"/>
        </w:rPr>
      </w:pPr>
      <w:r>
        <w:rPr>
          <w:rFonts w:hint="eastAsia" w:cs="黑体" w:asciiTheme="minorEastAsia" w:hAnsiTheme="minorEastAsia" w:eastAsiaTheme="minorEastAsia"/>
          <w:bCs w:val="0"/>
          <w:color w:val="auto"/>
          <w:highlight w:val="none"/>
          <w:lang w:val="en-US" w:eastAsia="zh-CN"/>
        </w:rPr>
        <w:t>六、</w:t>
      </w:r>
      <w:r>
        <w:rPr>
          <w:rFonts w:hint="eastAsia" w:cs="黑体" w:asciiTheme="minorEastAsia" w:hAnsiTheme="minorEastAsia" w:eastAsiaTheme="minorEastAsia"/>
          <w:bCs w:val="0"/>
          <w:color w:val="auto"/>
          <w:highlight w:val="none"/>
          <w:lang w:val="sq-AL" w:eastAsia="sq-AL"/>
        </w:rPr>
        <w:t>评分办法设置的意见和</w:t>
      </w:r>
      <w:r>
        <w:rPr>
          <w:rFonts w:hint="eastAsia" w:cs="黑体" w:asciiTheme="minorEastAsia" w:hAnsiTheme="minorEastAsia" w:eastAsiaTheme="minorEastAsia"/>
          <w:bCs w:val="0"/>
          <w:color w:val="auto"/>
          <w:highlight w:val="none"/>
          <w:lang w:val="en-US" w:eastAsia="zh-CN"/>
        </w:rPr>
        <w:t>建议</w:t>
      </w:r>
      <w:bookmarkEnd w:id="10"/>
      <w:bookmarkEnd w:id="11"/>
      <w:r>
        <w:rPr>
          <w:rFonts w:hint="eastAsia" w:cs="楷体_GB2312" w:asciiTheme="minorEastAsia" w:hAnsiTheme="minorEastAsia" w:eastAsiaTheme="minorEastAsia"/>
          <w:b/>
          <w:color w:val="auto"/>
          <w:highlight w:val="none"/>
          <w:lang w:val="en-US" w:eastAsia="zh-CN"/>
        </w:rPr>
        <w:t>6</w:t>
      </w:r>
      <w:r>
        <w:rPr>
          <w:rFonts w:hint="eastAsia" w:cs="楷体_GB2312" w:asciiTheme="minorEastAsia" w:hAnsiTheme="minorEastAsia" w:eastAsiaTheme="minorEastAsia"/>
          <w:b/>
          <w:color w:val="auto"/>
          <w:highlight w:val="none"/>
        </w:rPr>
        <w:t>.1评审方法</w:t>
      </w:r>
    </w:p>
    <w:p w14:paraId="4067D7CF">
      <w:pPr>
        <w:pageBreakBefore w:val="0"/>
        <w:kinsoku/>
        <w:overflowPunct/>
        <w:bidi w:val="0"/>
        <w:spacing w:line="400" w:lineRule="exact"/>
        <w:ind w:right="964" w:firstLine="480" w:firstLineChars="200"/>
        <w:rPr>
          <w:rFonts w:hint="eastAsia" w:cs="仿宋_GB2312" w:asciiTheme="minorEastAsia" w:hAnsiTheme="minorEastAsia" w:eastAsiaTheme="minorEastAsia"/>
          <w:color w:val="000000"/>
          <w:sz w:val="24"/>
          <w:highlight w:val="none"/>
        </w:rPr>
      </w:pPr>
      <w:r>
        <w:rPr>
          <w:rFonts w:hint="eastAsia" w:cs="仿宋_GB2312" w:asciiTheme="minorEastAsia" w:hAnsiTheme="minorEastAsia" w:eastAsiaTheme="minorEastAsia"/>
          <w:color w:val="auto"/>
          <w:sz w:val="24"/>
          <w:highlight w:val="none"/>
        </w:rPr>
        <w:t>本项目采用</w:t>
      </w:r>
      <w:r>
        <w:rPr>
          <w:rFonts w:hint="eastAsia" w:cs="仿宋_GB2312" w:asciiTheme="minorEastAsia" w:hAnsiTheme="minorEastAsia" w:eastAsiaTheme="minorEastAsia"/>
          <w:color w:val="auto"/>
          <w:sz w:val="24"/>
          <w:highlight w:val="none"/>
          <w:u w:val="single"/>
        </w:rPr>
        <w:t>综合评分法</w:t>
      </w:r>
      <w:r>
        <w:rPr>
          <w:rFonts w:hint="eastAsia" w:cs="仿宋_GB2312" w:asciiTheme="minorEastAsia" w:hAnsiTheme="minorEastAsia" w:eastAsiaTheme="minorEastAsia"/>
          <w:color w:val="auto"/>
          <w:sz w:val="24"/>
          <w:highlight w:val="none"/>
        </w:rPr>
        <w:t>进行评标</w:t>
      </w:r>
      <w:r>
        <w:rPr>
          <w:rFonts w:hint="eastAsia" w:cs="仿宋_GB2312" w:asciiTheme="minorEastAsia" w:hAnsiTheme="minorEastAsia" w:eastAsiaTheme="minorEastAsia"/>
          <w:color w:val="000000"/>
          <w:sz w:val="24"/>
          <w:highlight w:val="none"/>
        </w:rPr>
        <w:t xml:space="preserve">。 </w:t>
      </w:r>
    </w:p>
    <w:p w14:paraId="421A81D8">
      <w:pPr>
        <w:pStyle w:val="12"/>
      </w:pPr>
    </w:p>
    <w:p w14:paraId="08D35273">
      <w:pPr>
        <w:pStyle w:val="37"/>
        <w:pageBreakBefore w:val="0"/>
        <w:kinsoku/>
        <w:overflowPunct/>
        <w:bidi w:val="0"/>
        <w:spacing w:line="400" w:lineRule="exact"/>
        <w:ind w:firstLine="562"/>
        <w:rPr>
          <w:rFonts w:cs="楷体_GB2312" w:asciiTheme="minorEastAsia" w:hAnsiTheme="minorEastAsia" w:eastAsiaTheme="minorEastAsia"/>
          <w:b/>
          <w:highlight w:val="none"/>
        </w:rPr>
      </w:pPr>
      <w:r>
        <w:rPr>
          <w:rFonts w:hint="eastAsia" w:cs="楷体_GB2312" w:asciiTheme="minorEastAsia" w:hAnsiTheme="minorEastAsia" w:eastAsiaTheme="minorEastAsia"/>
          <w:b/>
          <w:highlight w:val="none"/>
          <w:lang w:val="en-US" w:eastAsia="zh-CN"/>
        </w:rPr>
        <w:t>6</w:t>
      </w:r>
      <w:r>
        <w:rPr>
          <w:rFonts w:hint="eastAsia" w:cs="楷体_GB2312" w:asciiTheme="minorEastAsia" w:hAnsiTheme="minorEastAsia" w:eastAsiaTheme="minorEastAsia"/>
          <w:b/>
          <w:highlight w:val="none"/>
        </w:rPr>
        <w:t>.2评分准则</w:t>
      </w:r>
    </w:p>
    <w:p w14:paraId="1556C995">
      <w:pPr>
        <w:pStyle w:val="5"/>
        <w:pageBreakBefore w:val="0"/>
        <w:kinsoku/>
        <w:overflowPunct/>
        <w:bidi w:val="0"/>
        <w:spacing w:before="78" w:beforeLines="25" w:after="78" w:afterLines="25" w:line="400" w:lineRule="exact"/>
        <w:ind w:firstLine="448" w:firstLineChars="187"/>
        <w:rPr>
          <w:rFonts w:asciiTheme="minorEastAsia" w:hAnsiTheme="minorEastAsia" w:eastAsiaTheme="minorEastAsia"/>
          <w:sz w:val="24"/>
          <w:highlight w:val="none"/>
        </w:rPr>
      </w:pPr>
      <w:bookmarkStart w:id="12" w:name="_Toc222480778"/>
      <w:bookmarkStart w:id="13" w:name="_Toc283323487"/>
      <w:bookmarkStart w:id="14" w:name="_Toc222751161"/>
      <w:bookmarkStart w:id="15" w:name="_Toc269225695"/>
      <w:r>
        <w:rPr>
          <w:rFonts w:hint="eastAsia" w:asciiTheme="minorEastAsia" w:hAnsiTheme="minorEastAsia" w:eastAsiaTheme="minorEastAsia"/>
          <w:sz w:val="24"/>
          <w:highlight w:val="none"/>
        </w:rPr>
        <w:t>本项目建议采用公开招标的方式，本次评标采用“综合评分法”，按照招标文件中规定的各项因素进行量化打分，以评标总得分排序，得分相同的，按投标报价由低到高顺序排列。得分且投标报价相同的并列。投标文件满足招标文件全部实质性要求，且按照评审因素的量化指标评审得分最高的投标人为排名第一的中标候选人（排名第二的投标人为第一递补中标候选人、排名第三的投标人为第二递补中标候选人）。如以上都相同，则采取抽签当场确定候选中标方。评分项目分为三部分：1、价格部分（</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0分）；2、技术部分（</w:t>
      </w:r>
      <w:r>
        <w:rPr>
          <w:rFonts w:hint="eastAsia" w:asciiTheme="minorEastAsia" w:hAnsiTheme="minorEastAsia" w:eastAsiaTheme="minorEastAsia"/>
          <w:sz w:val="24"/>
          <w:highlight w:val="none"/>
          <w:lang w:val="en-US" w:eastAsia="zh-CN"/>
        </w:rPr>
        <w:t>70</w:t>
      </w:r>
      <w:r>
        <w:rPr>
          <w:rFonts w:hint="eastAsia" w:asciiTheme="minorEastAsia" w:hAnsiTheme="minorEastAsia" w:eastAsiaTheme="minorEastAsia"/>
          <w:sz w:val="24"/>
          <w:highlight w:val="none"/>
        </w:rPr>
        <w:t>分）；3、</w:t>
      </w:r>
      <w:r>
        <w:rPr>
          <w:rFonts w:hint="eastAsia" w:asciiTheme="minorEastAsia" w:hAnsiTheme="minorEastAsia" w:eastAsiaTheme="minorEastAsia"/>
          <w:sz w:val="24"/>
          <w:highlight w:val="none"/>
          <w:lang w:eastAsia="zh-CN"/>
        </w:rPr>
        <w:t>综合实力</w:t>
      </w:r>
      <w:r>
        <w:rPr>
          <w:rFonts w:hint="eastAsia" w:asciiTheme="minorEastAsia" w:hAnsiTheme="minorEastAsia" w:eastAsiaTheme="minorEastAsia"/>
          <w:sz w:val="24"/>
          <w:highlight w:val="none"/>
        </w:rPr>
        <w:t>部分（</w:t>
      </w:r>
      <w:r>
        <w:rPr>
          <w:rFonts w:hint="eastAsia" w:asciiTheme="minorEastAsia" w:hAnsiTheme="minorEastAsia" w:eastAsiaTheme="minorEastAsia"/>
          <w:sz w:val="24"/>
          <w:highlight w:val="none"/>
          <w:lang w:val="en-US" w:eastAsia="zh-CN"/>
        </w:rPr>
        <w:t>15</w:t>
      </w:r>
      <w:r>
        <w:rPr>
          <w:rFonts w:hint="eastAsia" w:asciiTheme="minorEastAsia" w:hAnsiTheme="minorEastAsia" w:eastAsiaTheme="minorEastAsia"/>
          <w:sz w:val="24"/>
          <w:highlight w:val="none"/>
        </w:rPr>
        <w:t>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lang w:eastAsia="zh-CN"/>
        </w:rPr>
        <w:t>诚信部分（</w:t>
      </w:r>
      <w:r>
        <w:rPr>
          <w:rFonts w:hint="eastAsia" w:asciiTheme="minorEastAsia" w:hAnsiTheme="minorEastAsia" w:eastAsiaTheme="minorEastAsia"/>
          <w:sz w:val="24"/>
          <w:highlight w:val="none"/>
          <w:lang w:val="en-US" w:eastAsia="zh-CN"/>
        </w:rPr>
        <w:t>5分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。评审委员会对每个通过资格性检查和符合性检查且报价不超过预算控制金额的投标供应商进行评审、打分，然后汇总每个投标供应商每项评分因素的评分。</w:t>
      </w:r>
    </w:p>
    <w:p w14:paraId="6C06E0CE">
      <w:pPr>
        <w:pStyle w:val="5"/>
        <w:pageBreakBefore w:val="0"/>
        <w:kinsoku/>
        <w:overflowPunct/>
        <w:bidi w:val="0"/>
        <w:spacing w:before="78" w:beforeLines="25" w:after="78" w:afterLines="25" w:line="400" w:lineRule="exact"/>
        <w:ind w:firstLine="394" w:firstLineChars="187"/>
        <w:jc w:val="center"/>
        <w:rPr>
          <w:rFonts w:asciiTheme="minorEastAsia" w:hAnsiTheme="minorEastAsia" w:eastAsiaTheme="minorEastAsia"/>
          <w:b/>
          <w:highlight w:val="none"/>
        </w:rPr>
      </w:pPr>
      <w:r>
        <w:rPr>
          <w:rFonts w:hint="eastAsia" w:asciiTheme="minorEastAsia" w:hAnsiTheme="minorEastAsia" w:eastAsiaTheme="minorEastAsia"/>
          <w:b/>
          <w:highlight w:val="none"/>
        </w:rPr>
        <w:t>评分</w:t>
      </w:r>
      <w:r>
        <w:rPr>
          <w:rFonts w:asciiTheme="minorEastAsia" w:hAnsiTheme="minorEastAsia" w:eastAsiaTheme="minorEastAsia"/>
          <w:b/>
          <w:highlight w:val="none"/>
        </w:rPr>
        <w:t>细则</w:t>
      </w:r>
      <w:r>
        <w:rPr>
          <w:rFonts w:hint="eastAsia" w:asciiTheme="minorEastAsia" w:hAnsiTheme="minorEastAsia" w:eastAsiaTheme="minorEastAsia"/>
          <w:b/>
          <w:highlight w:val="none"/>
        </w:rPr>
        <w:t>表</w:t>
      </w:r>
    </w:p>
    <w:tbl>
      <w:tblPr>
        <w:tblStyle w:val="20"/>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302"/>
        <w:gridCol w:w="868"/>
        <w:gridCol w:w="4949"/>
        <w:gridCol w:w="1265"/>
      </w:tblGrid>
      <w:tr w14:paraId="079F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02" w:type="dxa"/>
            <w:gridSpan w:val="4"/>
            <w:tcBorders>
              <w:top w:val="single" w:color="809FD9" w:sz="8" w:space="0"/>
              <w:left w:val="single" w:color="809FD9" w:sz="8" w:space="0"/>
              <w:bottom w:val="single" w:color="3A3A3A" w:sz="24" w:space="0"/>
              <w:right w:val="single" w:color="809FD9" w:sz="8" w:space="0"/>
            </w:tcBorders>
            <w:shd w:val="clear" w:color="auto" w:fill="345EAC"/>
            <w:vAlign w:val="center"/>
          </w:tcPr>
          <w:p w14:paraId="0C904DAF">
            <w:pPr>
              <w:pageBreakBefore w:val="0"/>
              <w:kinsoku/>
              <w:overflowPunct/>
              <w:bidi w:val="0"/>
              <w:spacing w:after="78" w:afterLines="25" w:line="400" w:lineRule="exact"/>
              <w:jc w:val="center"/>
              <w:rPr>
                <w:rFonts w:ascii="宋体" w:hAnsi="宋体"/>
                <w:b/>
                <w:bCs/>
                <w:color w:val="000000"/>
                <w:szCs w:val="21"/>
                <w:highlight w:val="none"/>
              </w:rPr>
            </w:pPr>
            <w:r>
              <w:rPr>
                <w:rFonts w:hint="eastAsia" w:ascii="宋体" w:hAnsi="宋体"/>
                <w:b/>
                <w:color w:val="000000"/>
                <w:szCs w:val="21"/>
                <w:highlight w:val="none"/>
                <w:lang w:val="zh-CN"/>
              </w:rPr>
              <w:t>评分项及评分规则</w:t>
            </w:r>
          </w:p>
        </w:tc>
        <w:tc>
          <w:tcPr>
            <w:tcW w:w="1265" w:type="dxa"/>
            <w:tcBorders>
              <w:top w:val="single" w:color="809FD9" w:sz="8" w:space="0"/>
              <w:left w:val="single" w:color="809FD9" w:sz="8" w:space="0"/>
              <w:bottom w:val="single" w:color="3A3A3A" w:sz="24" w:space="0"/>
              <w:right w:val="single" w:color="809FD9" w:sz="8" w:space="0"/>
            </w:tcBorders>
            <w:shd w:val="clear" w:color="auto" w:fill="345EAC"/>
          </w:tcPr>
          <w:p w14:paraId="479D5199">
            <w:pPr>
              <w:pageBreakBefore w:val="0"/>
              <w:kinsoku/>
              <w:overflowPunct/>
              <w:bidi w:val="0"/>
              <w:spacing w:after="78" w:afterLines="25" w:line="400" w:lineRule="exact"/>
              <w:jc w:val="center"/>
              <w:rPr>
                <w:rFonts w:ascii="宋体" w:hAnsi="宋体"/>
                <w:b/>
                <w:color w:val="000000"/>
                <w:szCs w:val="21"/>
                <w:highlight w:val="none"/>
                <w:lang w:val="zh-CN"/>
              </w:rPr>
            </w:pPr>
            <w:r>
              <w:rPr>
                <w:rFonts w:hint="eastAsia" w:ascii="宋体" w:hAnsi="宋体"/>
                <w:b/>
                <w:color w:val="000000"/>
                <w:szCs w:val="21"/>
                <w:highlight w:val="none"/>
                <w:lang w:val="zh-CN"/>
              </w:rPr>
              <w:t>权重</w:t>
            </w:r>
          </w:p>
        </w:tc>
      </w:tr>
      <w:tr w14:paraId="5688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702" w:type="dxa"/>
            <w:gridSpan w:val="4"/>
            <w:tcBorders>
              <w:top w:val="single" w:color="3A3A3A" w:sz="24" w:space="0"/>
              <w:left w:val="single" w:color="809FD9" w:sz="8" w:space="0"/>
              <w:bottom w:val="single" w:color="809FD9" w:sz="8" w:space="0"/>
              <w:right w:val="single" w:color="809FD9" w:sz="8" w:space="0"/>
            </w:tcBorders>
            <w:shd w:val="clear" w:color="auto" w:fill="FEFEFE"/>
            <w:vAlign w:val="center"/>
          </w:tcPr>
          <w:p w14:paraId="0A2A9271">
            <w:pPr>
              <w:pageBreakBefore w:val="0"/>
              <w:kinsoku/>
              <w:overflowPunct/>
              <w:bidi w:val="0"/>
              <w:spacing w:after="78" w:afterLines="25" w:line="400" w:lineRule="exact"/>
              <w:jc w:val="center"/>
              <w:rPr>
                <w:rFonts w:ascii="宋体" w:hAnsi="宋体" w:cs="宋体"/>
                <w:b/>
                <w:bCs/>
                <w:color w:val="000000"/>
                <w:sz w:val="24"/>
                <w:szCs w:val="28"/>
                <w:highlight w:val="none"/>
              </w:rPr>
            </w:pPr>
            <w:r>
              <w:rPr>
                <w:rFonts w:hint="eastAsia" w:ascii="宋体" w:hAnsi="宋体"/>
                <w:b/>
                <w:color w:val="000000"/>
                <w:szCs w:val="21"/>
                <w:highlight w:val="none"/>
                <w:lang w:val="zh-CN"/>
              </w:rPr>
              <w:t>一、价格部分</w:t>
            </w:r>
          </w:p>
        </w:tc>
        <w:tc>
          <w:tcPr>
            <w:tcW w:w="1265" w:type="dxa"/>
            <w:tcBorders>
              <w:top w:val="single" w:color="3A3A3A" w:sz="24" w:space="0"/>
              <w:left w:val="single" w:color="809FD9" w:sz="8" w:space="0"/>
              <w:bottom w:val="single" w:color="809FD9" w:sz="8" w:space="0"/>
              <w:right w:val="single" w:color="809FD9" w:sz="8" w:space="0"/>
            </w:tcBorders>
            <w:shd w:val="clear" w:color="auto" w:fill="FEFEFE"/>
          </w:tcPr>
          <w:p w14:paraId="337DE4DC">
            <w:pPr>
              <w:pageBreakBefore w:val="0"/>
              <w:kinsoku/>
              <w:overflowPunct/>
              <w:bidi w:val="0"/>
              <w:spacing w:after="78" w:afterLines="25" w:line="400" w:lineRule="exact"/>
              <w:jc w:val="center"/>
              <w:rPr>
                <w:rFonts w:hint="default" w:ascii="宋体" w:hAnsi="宋体" w:eastAsia="宋体"/>
                <w:b/>
                <w:color w:val="000000"/>
                <w:szCs w:val="21"/>
                <w:highlight w:val="none"/>
                <w:lang w:val="en-US" w:eastAsia="zh-CN"/>
              </w:rPr>
            </w:pPr>
            <w:r>
              <w:rPr>
                <w:rFonts w:hint="eastAsia" w:ascii="宋体" w:hAnsi="宋体"/>
                <w:b/>
                <w:color w:val="000000"/>
                <w:szCs w:val="21"/>
                <w:highlight w:val="none"/>
                <w:lang w:val="en-US" w:eastAsia="zh-CN"/>
              </w:rPr>
              <w:t>10</w:t>
            </w:r>
          </w:p>
        </w:tc>
      </w:tr>
      <w:tr w14:paraId="6B2D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5" w:hRule="atLeast"/>
          <w:tblHeader/>
          <w:jc w:val="center"/>
        </w:trPr>
        <w:tc>
          <w:tcPr>
            <w:tcW w:w="7702" w:type="dxa"/>
            <w:gridSpan w:val="4"/>
            <w:tcBorders>
              <w:top w:val="single" w:color="809FD9" w:sz="8" w:space="0"/>
              <w:left w:val="single" w:color="809FD9" w:sz="8" w:space="0"/>
              <w:bottom w:val="single" w:color="809FD9" w:sz="8" w:space="0"/>
              <w:right w:val="single" w:color="809FD9" w:sz="8" w:space="0"/>
            </w:tcBorders>
            <w:shd w:val="clear" w:color="auto" w:fill="FEFEFE"/>
            <w:vAlign w:val="center"/>
          </w:tcPr>
          <w:p w14:paraId="445E4CE8">
            <w:pPr>
              <w:pageBreakBefore w:val="0"/>
              <w:kinsoku/>
              <w:overflowPunct/>
              <w:bidi w:val="0"/>
              <w:spacing w:line="400" w:lineRule="exact"/>
              <w:ind w:firstLine="420"/>
              <w:rPr>
                <w:rFonts w:ascii="宋体" w:hAnsi="宋体"/>
                <w:color w:val="000000"/>
                <w:highlight w:val="none"/>
              </w:rPr>
            </w:pPr>
            <w:r>
              <w:rPr>
                <w:rFonts w:ascii="宋体" w:hAnsi="宋体"/>
                <w:color w:val="000000"/>
                <w:highlight w:val="none"/>
              </w:rPr>
              <w:t>价格分计算方法：</w:t>
            </w:r>
          </w:p>
          <w:p w14:paraId="65075473">
            <w:pPr>
              <w:pageBreakBefore w:val="0"/>
              <w:kinsoku/>
              <w:overflowPunct/>
              <w:bidi w:val="0"/>
              <w:spacing w:line="400" w:lineRule="exact"/>
              <w:ind w:firstLine="420"/>
              <w:rPr>
                <w:rFonts w:ascii="宋体" w:hAnsi="宋体"/>
                <w:color w:val="000000"/>
                <w:highlight w:val="none"/>
              </w:rPr>
            </w:pPr>
            <w:r>
              <w:rPr>
                <w:rFonts w:ascii="宋体" w:hAnsi="宋体"/>
                <w:color w:val="000000"/>
                <w:highlight w:val="none"/>
              </w:rPr>
              <w:t>采用低价优先法计算，即满足招标文件要求且投标价格最低的投标报价为评标基准价，其价格分为满分。其他投标人的价格分统一按照下列公式计算：</w:t>
            </w:r>
          </w:p>
          <w:p w14:paraId="65B9FD0D">
            <w:pPr>
              <w:pageBreakBefore w:val="0"/>
              <w:kinsoku/>
              <w:overflowPunct/>
              <w:bidi w:val="0"/>
              <w:spacing w:line="400" w:lineRule="exact"/>
              <w:ind w:firstLine="420"/>
              <w:rPr>
                <w:rFonts w:ascii="宋体" w:hAnsi="宋体"/>
                <w:color w:val="000000"/>
                <w:highlight w:val="none"/>
              </w:rPr>
            </w:pPr>
            <w:r>
              <w:rPr>
                <w:rFonts w:ascii="宋体" w:hAnsi="宋体"/>
                <w:color w:val="000000"/>
                <w:highlight w:val="none"/>
              </w:rPr>
              <w:t>投标报价得分=(评标基准价／投标报价)×100</w:t>
            </w:r>
          </w:p>
          <w:p w14:paraId="02B514F1">
            <w:pPr>
              <w:pageBreakBefore w:val="0"/>
              <w:kinsoku/>
              <w:overflowPunct/>
              <w:bidi w:val="0"/>
              <w:spacing w:line="400" w:lineRule="exact"/>
              <w:ind w:firstLine="420"/>
              <w:rPr>
                <w:rFonts w:ascii="宋体" w:hAnsi="宋体"/>
                <w:color w:val="000000"/>
                <w:highlight w:val="none"/>
              </w:rPr>
            </w:pPr>
            <w:r>
              <w:rPr>
                <w:rFonts w:ascii="宋体" w:hAnsi="宋体"/>
                <w:color w:val="000000"/>
                <w:highlight w:val="none"/>
              </w:rPr>
              <w:t>评标总得分＝F1×A1＋F2×A2＋……＋Fn×An</w:t>
            </w:r>
          </w:p>
          <w:p w14:paraId="650CA4E4">
            <w:pPr>
              <w:pageBreakBefore w:val="0"/>
              <w:kinsoku/>
              <w:overflowPunct/>
              <w:bidi w:val="0"/>
              <w:spacing w:line="400" w:lineRule="exact"/>
              <w:ind w:firstLine="420"/>
              <w:rPr>
                <w:rFonts w:ascii="宋体" w:hAnsi="宋体"/>
                <w:color w:val="000000"/>
                <w:highlight w:val="none"/>
              </w:rPr>
            </w:pPr>
            <w:r>
              <w:rPr>
                <w:rFonts w:ascii="宋体" w:hAnsi="宋体"/>
                <w:color w:val="000000"/>
                <w:highlight w:val="none"/>
              </w:rPr>
              <w:t>F1、F2……Fn分别为各项评审因素的得分；</w:t>
            </w:r>
          </w:p>
          <w:p w14:paraId="63462631">
            <w:pPr>
              <w:pageBreakBefore w:val="0"/>
              <w:kinsoku/>
              <w:overflowPunct/>
              <w:bidi w:val="0"/>
              <w:spacing w:line="400" w:lineRule="exact"/>
              <w:ind w:firstLine="420"/>
              <w:rPr>
                <w:rFonts w:ascii="宋体" w:hAnsi="宋体"/>
                <w:color w:val="000000"/>
                <w:highlight w:val="none"/>
              </w:rPr>
            </w:pPr>
            <w:r>
              <w:rPr>
                <w:rFonts w:ascii="宋体" w:hAnsi="宋体"/>
                <w:color w:val="000000"/>
                <w:highlight w:val="none"/>
              </w:rPr>
              <w:t>A1、A2、……An 分别为各项评审因素所占的权重(A1＋A2＋……＋An＝1)。</w:t>
            </w:r>
          </w:p>
          <w:p w14:paraId="30C93771">
            <w:pPr>
              <w:pageBreakBefore w:val="0"/>
              <w:kinsoku/>
              <w:overflowPunct/>
              <w:bidi w:val="0"/>
              <w:spacing w:line="400" w:lineRule="exact"/>
              <w:ind w:firstLine="420"/>
              <w:rPr>
                <w:rFonts w:ascii="宋体" w:hAnsi="宋体"/>
                <w:color w:val="000000"/>
                <w:highlight w:val="none"/>
              </w:rPr>
            </w:pPr>
            <w:r>
              <w:rPr>
                <w:rFonts w:ascii="宋体" w:hAnsi="宋体"/>
                <w:color w:val="000000"/>
                <w:highlight w:val="none"/>
              </w:rPr>
              <w:t>评标过程中，不得去掉报价中的最高报价和最低报价。</w:t>
            </w:r>
          </w:p>
          <w:p w14:paraId="1EA3F31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仿宋_GB2312"/>
                <w:color w:val="000000"/>
                <w:sz w:val="24"/>
                <w:szCs w:val="28"/>
                <w:highlight w:val="none"/>
              </w:rPr>
            </w:pPr>
            <w:r>
              <w:rPr>
                <w:rFonts w:ascii="宋体" w:hAnsi="宋体"/>
                <w:color w:val="000000"/>
                <w:highlight w:val="none"/>
              </w:rPr>
              <w:t>此方法适用于货物类、服务类、工程类项目。</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33E1B5A2">
            <w:pPr>
              <w:pageBreakBefore w:val="0"/>
              <w:kinsoku/>
              <w:overflowPunct/>
              <w:autoSpaceDE w:val="0"/>
              <w:autoSpaceDN w:val="0"/>
              <w:bidi w:val="0"/>
              <w:adjustRightInd w:val="0"/>
              <w:spacing w:line="400" w:lineRule="exact"/>
              <w:jc w:val="center"/>
              <w:rPr>
                <w:rFonts w:ascii="宋体" w:hAnsi="宋体"/>
                <w:color w:val="000000"/>
                <w:szCs w:val="21"/>
                <w:highlight w:val="none"/>
              </w:rPr>
            </w:pPr>
            <w:r>
              <w:rPr>
                <w:rFonts w:hint="eastAsia" w:ascii="宋体" w:hAnsi="宋体"/>
                <w:color w:val="000000"/>
                <w:szCs w:val="21"/>
                <w:highlight w:val="none"/>
              </w:rPr>
              <w:t>评分方式按公式计算</w:t>
            </w:r>
          </w:p>
        </w:tc>
      </w:tr>
      <w:tr w14:paraId="2E76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02" w:type="dxa"/>
            <w:gridSpan w:val="4"/>
            <w:tcBorders>
              <w:top w:val="single" w:color="809FD9" w:sz="8" w:space="0"/>
              <w:left w:val="single" w:color="809FD9" w:sz="8" w:space="0"/>
              <w:bottom w:val="single" w:color="809FD9" w:sz="8" w:space="0"/>
              <w:right w:val="single" w:color="809FD9" w:sz="8" w:space="0"/>
            </w:tcBorders>
            <w:shd w:val="clear" w:color="auto" w:fill="FEFEFE"/>
            <w:vAlign w:val="center"/>
          </w:tcPr>
          <w:p w14:paraId="23257194">
            <w:pPr>
              <w:pageBreakBefore w:val="0"/>
              <w:kinsoku/>
              <w:overflowPunct/>
              <w:bidi w:val="0"/>
              <w:spacing w:after="78" w:afterLines="25" w:line="400" w:lineRule="exact"/>
              <w:jc w:val="center"/>
              <w:rPr>
                <w:rFonts w:ascii="宋体" w:hAnsi="宋体"/>
                <w:b/>
                <w:color w:val="000000"/>
                <w:szCs w:val="21"/>
                <w:highlight w:val="none"/>
                <w:lang w:val="zh-CN"/>
              </w:rPr>
            </w:pPr>
            <w:r>
              <w:rPr>
                <w:rFonts w:hint="eastAsia" w:ascii="宋体" w:hAnsi="宋体"/>
                <w:b/>
                <w:color w:val="000000"/>
                <w:szCs w:val="21"/>
                <w:highlight w:val="none"/>
                <w:lang w:val="zh-CN"/>
              </w:rPr>
              <w:t>二、技术部分</w:t>
            </w:r>
          </w:p>
        </w:tc>
        <w:tc>
          <w:tcPr>
            <w:tcW w:w="1265" w:type="dxa"/>
            <w:tcBorders>
              <w:top w:val="single" w:color="809FD9" w:sz="8" w:space="0"/>
              <w:left w:val="single" w:color="809FD9" w:sz="8" w:space="0"/>
              <w:bottom w:val="single" w:color="809FD9" w:sz="8" w:space="0"/>
              <w:right w:val="single" w:color="809FD9" w:sz="8" w:space="0"/>
            </w:tcBorders>
            <w:shd w:val="clear" w:color="auto" w:fill="FEFEFE"/>
          </w:tcPr>
          <w:p w14:paraId="73B06CD1">
            <w:pPr>
              <w:pageBreakBefore w:val="0"/>
              <w:kinsoku/>
              <w:overflowPunct/>
              <w:bidi w:val="0"/>
              <w:spacing w:after="78" w:afterLines="25" w:line="400" w:lineRule="exact"/>
              <w:jc w:val="center"/>
              <w:rPr>
                <w:rFonts w:hint="default" w:ascii="宋体" w:hAnsi="宋体" w:eastAsia="宋体" w:cs="宋体"/>
                <w:b/>
                <w:bCs/>
                <w:color w:val="000000"/>
                <w:sz w:val="24"/>
                <w:highlight w:val="none"/>
                <w:lang w:val="en-US" w:eastAsia="zh-CN"/>
              </w:rPr>
            </w:pPr>
            <w:r>
              <w:rPr>
                <w:rFonts w:hint="eastAsia" w:ascii="宋体" w:hAnsi="宋体"/>
                <w:b/>
                <w:color w:val="000000"/>
                <w:szCs w:val="21"/>
                <w:highlight w:val="none"/>
                <w:lang w:val="en-US" w:eastAsia="zh-CN"/>
              </w:rPr>
              <w:t>70</w:t>
            </w:r>
          </w:p>
        </w:tc>
      </w:tr>
      <w:tr w14:paraId="73C8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blHeader/>
          <w:jc w:val="center"/>
        </w:trPr>
        <w:tc>
          <w:tcPr>
            <w:tcW w:w="583"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5C76BAAE">
            <w:pPr>
              <w:pageBreakBefore w:val="0"/>
              <w:kinsoku/>
              <w:wordWrap w:val="0"/>
              <w:overflowPunct/>
              <w:bidi w:val="0"/>
              <w:spacing w:after="78" w:afterLines="25" w:line="400" w:lineRule="exact"/>
              <w:jc w:val="center"/>
              <w:rPr>
                <w:rFonts w:ascii="宋体" w:hAnsi="宋体"/>
                <w:color w:val="000000"/>
                <w:szCs w:val="21"/>
                <w:highlight w:val="none"/>
              </w:rPr>
            </w:pPr>
            <w:r>
              <w:rPr>
                <w:rFonts w:hint="eastAsia" w:ascii="宋体" w:hAnsi="宋体"/>
                <w:color w:val="000000"/>
                <w:szCs w:val="21"/>
                <w:highlight w:val="none"/>
              </w:rPr>
              <w:t>序号</w:t>
            </w:r>
          </w:p>
        </w:tc>
        <w:tc>
          <w:tcPr>
            <w:tcW w:w="1302"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02A0EB9A">
            <w:pPr>
              <w:pageBreakBefore w:val="0"/>
              <w:kinsoku/>
              <w:wordWrap w:val="0"/>
              <w:overflowPunct/>
              <w:bidi w:val="0"/>
              <w:spacing w:after="78" w:afterLines="25" w:line="400" w:lineRule="exact"/>
              <w:jc w:val="center"/>
              <w:rPr>
                <w:rFonts w:ascii="宋体" w:hAnsi="宋体"/>
                <w:color w:val="000000"/>
                <w:szCs w:val="21"/>
                <w:highlight w:val="none"/>
              </w:rPr>
            </w:pPr>
            <w:r>
              <w:rPr>
                <w:rFonts w:hint="eastAsia" w:ascii="宋体" w:hAnsi="宋体"/>
                <w:color w:val="000000"/>
                <w:szCs w:val="21"/>
                <w:highlight w:val="none"/>
              </w:rPr>
              <w:t>内容</w:t>
            </w:r>
          </w:p>
        </w:tc>
        <w:tc>
          <w:tcPr>
            <w:tcW w:w="868"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3016A66F">
            <w:pPr>
              <w:pageBreakBefore w:val="0"/>
              <w:kinsoku/>
              <w:wordWrap w:val="0"/>
              <w:overflowPunct/>
              <w:bidi w:val="0"/>
              <w:spacing w:after="78" w:afterLines="25" w:line="400" w:lineRule="exact"/>
              <w:jc w:val="center"/>
              <w:rPr>
                <w:rFonts w:ascii="宋体" w:hAnsi="宋体"/>
                <w:color w:val="000000"/>
                <w:szCs w:val="21"/>
                <w:highlight w:val="none"/>
              </w:rPr>
            </w:pPr>
            <w:r>
              <w:rPr>
                <w:rFonts w:hint="eastAsia" w:ascii="宋体" w:hAnsi="宋体"/>
                <w:color w:val="000000"/>
                <w:szCs w:val="21"/>
                <w:highlight w:val="none"/>
              </w:rPr>
              <w:t>权重</w:t>
            </w:r>
          </w:p>
        </w:tc>
        <w:tc>
          <w:tcPr>
            <w:tcW w:w="4949"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6832E35F">
            <w:pPr>
              <w:pageBreakBefore w:val="0"/>
              <w:kinsoku/>
              <w:wordWrap w:val="0"/>
              <w:overflowPunct/>
              <w:bidi w:val="0"/>
              <w:spacing w:after="78" w:afterLines="25" w:line="400" w:lineRule="exact"/>
              <w:jc w:val="center"/>
              <w:rPr>
                <w:rFonts w:ascii="宋体" w:hAnsi="宋体"/>
                <w:color w:val="000000"/>
                <w:szCs w:val="21"/>
                <w:highlight w:val="none"/>
              </w:rPr>
            </w:pPr>
            <w:r>
              <w:rPr>
                <w:rFonts w:hint="eastAsia" w:ascii="宋体" w:hAnsi="宋体"/>
                <w:color w:val="000000"/>
                <w:szCs w:val="21"/>
                <w:highlight w:val="none"/>
              </w:rPr>
              <w:t>评分规则</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74111EEC">
            <w:pPr>
              <w:pageBreakBefore w:val="0"/>
              <w:kinsoku/>
              <w:wordWrap w:val="0"/>
              <w:overflowPunct/>
              <w:bidi w:val="0"/>
              <w:spacing w:after="78" w:afterLines="25" w:line="400" w:lineRule="exact"/>
              <w:jc w:val="center"/>
              <w:rPr>
                <w:rFonts w:ascii="宋体" w:hAnsi="宋体"/>
                <w:color w:val="000000"/>
                <w:szCs w:val="21"/>
                <w:highlight w:val="none"/>
              </w:rPr>
            </w:pPr>
            <w:r>
              <w:rPr>
                <w:rFonts w:hint="eastAsia" w:ascii="宋体" w:hAnsi="宋体"/>
                <w:color w:val="000000"/>
                <w:szCs w:val="21"/>
                <w:highlight w:val="none"/>
              </w:rPr>
              <w:t>评分方式</w:t>
            </w:r>
          </w:p>
        </w:tc>
      </w:tr>
      <w:tr w14:paraId="6A66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5" w:hRule="atLeast"/>
          <w:tblHeader/>
          <w:jc w:val="center"/>
        </w:trPr>
        <w:tc>
          <w:tcPr>
            <w:tcW w:w="583"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5E901A71">
            <w:pPr>
              <w:pageBreakBefore w:val="0"/>
              <w:kinsoku/>
              <w:overflowPunct/>
              <w:bidi w:val="0"/>
              <w:spacing w:line="400" w:lineRule="exact"/>
              <w:jc w:val="center"/>
              <w:rPr>
                <w:rFonts w:hint="eastAsia" w:ascii="宋体" w:hAnsi="宋体" w:eastAsia="宋体"/>
                <w:color w:val="000000"/>
                <w:szCs w:val="21"/>
                <w:highlight w:val="none"/>
                <w:lang w:eastAsia="zh-CN"/>
              </w:rPr>
            </w:pPr>
            <w:r>
              <w:rPr>
                <w:rFonts w:hint="eastAsia" w:ascii="宋体" w:hAnsi="宋体" w:cs="宋体"/>
                <w:color w:val="000000"/>
                <w:szCs w:val="21"/>
                <w:highlight w:val="none"/>
              </w:rPr>
              <w:t>1</w:t>
            </w:r>
          </w:p>
        </w:tc>
        <w:tc>
          <w:tcPr>
            <w:tcW w:w="1302"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5E098D5A">
            <w:pPr>
              <w:pageBreakBefore w:val="0"/>
              <w:kinsoku/>
              <w:overflowPunct/>
              <w:autoSpaceDE w:val="0"/>
              <w:autoSpaceDN w:val="0"/>
              <w:bidi w:val="0"/>
              <w:adjustRightInd w:val="0"/>
              <w:spacing w:line="400" w:lineRule="exact"/>
              <w:jc w:val="center"/>
              <w:rPr>
                <w:rFonts w:ascii="宋体" w:hAnsi="宋体"/>
                <w:color w:val="000000"/>
                <w:szCs w:val="21"/>
                <w:highlight w:val="none"/>
              </w:rPr>
            </w:pPr>
            <w:r>
              <w:rPr>
                <w:rFonts w:hint="eastAsia" w:ascii="宋体" w:hAnsi="宋体" w:cs="宋体"/>
                <w:color w:val="000000"/>
                <w:szCs w:val="21"/>
                <w:highlight w:val="none"/>
              </w:rPr>
              <w:t>实施方案</w:t>
            </w:r>
          </w:p>
        </w:tc>
        <w:tc>
          <w:tcPr>
            <w:tcW w:w="868"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0F750C71">
            <w:pPr>
              <w:pageBreakBefore w:val="0"/>
              <w:kinsoku/>
              <w:overflowPunct/>
              <w:autoSpaceDE w:val="0"/>
              <w:autoSpaceDN w:val="0"/>
              <w:bidi w:val="0"/>
              <w:adjustRightInd w:val="0"/>
              <w:spacing w:line="400" w:lineRule="exact"/>
              <w:jc w:val="center"/>
              <w:rPr>
                <w:rFonts w:hint="default" w:ascii="宋体" w:hAnsi="宋体" w:eastAsia="宋体"/>
                <w:color w:val="000000"/>
                <w:szCs w:val="21"/>
                <w:highlight w:val="none"/>
                <w:lang w:val="en-US" w:eastAsia="zh-CN"/>
              </w:rPr>
            </w:pPr>
            <w:r>
              <w:rPr>
                <w:rFonts w:hint="eastAsia" w:ascii="宋体" w:hAnsi="宋体" w:cs="宋体"/>
                <w:color w:val="000000"/>
                <w:kern w:val="0"/>
                <w:szCs w:val="21"/>
                <w:highlight w:val="none"/>
                <w:lang w:val="en-US" w:eastAsia="zh-CN"/>
              </w:rPr>
              <w:t>30</w:t>
            </w:r>
          </w:p>
        </w:tc>
        <w:tc>
          <w:tcPr>
            <w:tcW w:w="4949"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4752D28E">
            <w:pPr>
              <w:pStyle w:val="7"/>
              <w:numPr>
                <w:ilvl w:val="0"/>
                <w:numId w:val="2"/>
              </w:numPr>
              <w:adjustRightInd w:val="0"/>
              <w:snapToGrid w:val="0"/>
              <w:spacing w:line="240" w:lineRule="atLeast"/>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评审内容：</w:t>
            </w:r>
          </w:p>
          <w:p w14:paraId="2365CA23">
            <w:pPr>
              <w:pStyle w:val="7"/>
              <w:numPr>
                <w:ilvl w:val="0"/>
                <w:numId w:val="0"/>
              </w:numPr>
              <w:adjustRightInd w:val="0"/>
              <w:snapToGrid w:val="0"/>
              <w:spacing w:line="240"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实施方案中应包含以下内容：</w:t>
            </w:r>
          </w:p>
          <w:p w14:paraId="7751A333">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根据招标文件的需求，投标人提供施工方案，内容包括但不限于：</w:t>
            </w:r>
          </w:p>
          <w:p w14:paraId="198E5331">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1.工程概况；</w:t>
            </w:r>
          </w:p>
          <w:p w14:paraId="37E4A952">
            <w:pPr>
              <w:pStyle w:val="7"/>
              <w:adjustRightInd w:val="0"/>
              <w:snapToGrid w:val="0"/>
              <w:spacing w:line="240" w:lineRule="atLeas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2.质量保证措施；</w:t>
            </w:r>
          </w:p>
          <w:p w14:paraId="38D903C0">
            <w:pPr>
              <w:pStyle w:val="7"/>
              <w:adjustRightInd w:val="0"/>
              <w:snapToGrid w:val="0"/>
              <w:spacing w:line="240" w:lineRule="atLeas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r>
              <w:rPr>
                <w:rFonts w:hint="default"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CN"/>
              </w:rPr>
              <w:t>进度计划及工期保障措施；</w:t>
            </w:r>
          </w:p>
          <w:p w14:paraId="11B5342B">
            <w:pPr>
              <w:pStyle w:val="7"/>
              <w:adjustRightInd w:val="0"/>
              <w:snapToGrid w:val="0"/>
              <w:spacing w:line="240" w:lineRule="atLeas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default"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CN"/>
              </w:rPr>
              <w:t>机械设备配备；</w:t>
            </w:r>
          </w:p>
          <w:p w14:paraId="526EB3C1">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r>
              <w:rPr>
                <w:rFonts w:hint="default"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CN"/>
              </w:rPr>
              <w:t>劳动力组织；</w:t>
            </w:r>
          </w:p>
          <w:p w14:paraId="74F0B662">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r>
              <w:rPr>
                <w:rFonts w:hint="default"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CN"/>
              </w:rPr>
              <w:t>主要材料设备配备；</w:t>
            </w:r>
          </w:p>
          <w:p w14:paraId="7E15BEF0">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r>
              <w:rPr>
                <w:rFonts w:hint="default"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CN"/>
              </w:rPr>
              <w:t>成品保护和保修服务措施；</w:t>
            </w:r>
          </w:p>
          <w:p w14:paraId="6DE59860">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r>
              <w:rPr>
                <w:rFonts w:hint="default"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CN"/>
              </w:rPr>
              <w:t>安全文明施工；</w:t>
            </w:r>
          </w:p>
          <w:p w14:paraId="7B0E88D3">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9、施工方法与三新应用；</w:t>
            </w:r>
          </w:p>
          <w:p w14:paraId="7594DB8A">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10、特殊季节施工保证措施。</w:t>
            </w:r>
          </w:p>
          <w:p w14:paraId="4E39B375">
            <w:pPr>
              <w:pStyle w:val="7"/>
              <w:adjustRightInd w:val="0"/>
              <w:snapToGrid w:val="0"/>
              <w:spacing w:line="240" w:lineRule="atLeast"/>
              <w:jc w:val="both"/>
              <w:rPr>
                <w:rFonts w:hint="eastAsia" w:ascii="宋体" w:hAnsi="宋体" w:eastAsia="宋体" w:cs="宋体"/>
                <w:color w:val="000000"/>
                <w:sz w:val="22"/>
                <w:szCs w:val="22"/>
              </w:rPr>
            </w:pPr>
            <w:r>
              <w:rPr>
                <w:rFonts w:hint="eastAsia" w:ascii="宋体" w:hAnsi="宋体" w:eastAsia="宋体" w:cs="宋体"/>
                <w:b/>
                <w:color w:val="000000"/>
                <w:kern w:val="2"/>
                <w:sz w:val="21"/>
                <w:szCs w:val="21"/>
                <w:highlight w:val="none"/>
                <w:lang w:val="en-US" w:eastAsia="zh-CN" w:bidi="ar-SA"/>
              </w:rPr>
              <w:t>二、评分依据：</w:t>
            </w:r>
          </w:p>
          <w:p w14:paraId="3254891D">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1、每提供上述任意一项内容得6分，本小项累计最高得60分；</w:t>
            </w:r>
          </w:p>
          <w:p w14:paraId="4D11D530">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2、在此基础上，专家根据各供应商的具体响应内容按照量化的评审因素指标进一步评审：</w:t>
            </w:r>
          </w:p>
          <w:p w14:paraId="6781D8BC">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（1）方案整体科学合理、针对性强、可操作性强，评审为优的，加40分；</w:t>
            </w:r>
          </w:p>
          <w:p w14:paraId="20B6A4B6">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（2）方案较合理、有一定针对性、一定可操作性，评审为良的，加20分；</w:t>
            </w:r>
          </w:p>
          <w:p w14:paraId="27B3B91D">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（3）方案不尽合理、针对性一般、可操作性一般，评审为中的，加10分；</w:t>
            </w:r>
          </w:p>
          <w:p w14:paraId="6BFE6BFD">
            <w:pPr>
              <w:pStyle w:val="7"/>
              <w:adjustRightInd w:val="0"/>
              <w:snapToGrid w:val="0"/>
              <w:spacing w:line="240" w:lineRule="atLeast"/>
              <w:rPr>
                <w:rFonts w:hint="default" w:ascii="宋体" w:hAnsi="宋体" w:eastAsia="宋体"/>
                <w:color w:val="000000"/>
                <w:szCs w:val="21"/>
                <w:highlight w:val="none"/>
                <w:lang w:val="en-US" w:eastAsia="zh-CN"/>
              </w:rPr>
            </w:pPr>
            <w:r>
              <w:rPr>
                <w:rFonts w:hint="eastAsia"/>
                <w:color w:val="000000" w:themeColor="text1"/>
                <w:sz w:val="21"/>
                <w:szCs w:val="21"/>
                <w:lang w:val="en-US" w:eastAsia="zh-CN"/>
                <w14:textFill>
                  <w14:solidFill>
                    <w14:schemeClr w14:val="tx1"/>
                  </w14:solidFill>
                </w14:textFill>
              </w:rPr>
              <w:t>（4）方案不合理、无针对性、无可操作性，评审为差的，加0分。</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06B5DE59">
            <w:pPr>
              <w:pageBreakBefore w:val="0"/>
              <w:widowControl/>
              <w:kinsoku/>
              <w:overflowPunct/>
              <w:bidi w:val="0"/>
              <w:spacing w:line="400" w:lineRule="exact"/>
              <w:jc w:val="center"/>
              <w:rPr>
                <w:rFonts w:ascii="宋体" w:hAnsi="宋体"/>
                <w:color w:val="000000"/>
                <w:szCs w:val="21"/>
                <w:highlight w:val="none"/>
              </w:rPr>
            </w:pPr>
            <w:r>
              <w:rPr>
                <w:rFonts w:hint="eastAsia" w:ascii="宋体" w:hAnsi="宋体" w:cs="宋体"/>
                <w:color w:val="000000"/>
                <w:kern w:val="0"/>
                <w:szCs w:val="21"/>
                <w:highlight w:val="none"/>
                <w:lang w:eastAsia="zh-CN"/>
              </w:rPr>
              <w:t>采购小组</w:t>
            </w:r>
            <w:r>
              <w:rPr>
                <w:rFonts w:hint="eastAsia" w:ascii="宋体" w:hAnsi="宋体" w:cs="宋体"/>
                <w:color w:val="000000"/>
                <w:kern w:val="0"/>
                <w:szCs w:val="21"/>
                <w:highlight w:val="none"/>
              </w:rPr>
              <w:t>打分</w:t>
            </w:r>
          </w:p>
        </w:tc>
      </w:tr>
      <w:tr w14:paraId="5625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blHeader/>
          <w:jc w:val="center"/>
        </w:trPr>
        <w:tc>
          <w:tcPr>
            <w:tcW w:w="583"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4E845D91">
            <w:pPr>
              <w:pageBreakBefore w:val="0"/>
              <w:kinsoku/>
              <w:overflowPunct/>
              <w:bidi w:val="0"/>
              <w:spacing w:line="40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w:t>
            </w:r>
          </w:p>
        </w:tc>
        <w:tc>
          <w:tcPr>
            <w:tcW w:w="1302"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11049C70">
            <w:pPr>
              <w:pageBreakBefore w:val="0"/>
              <w:kinsoku/>
              <w:overflowPunct/>
              <w:autoSpaceDE w:val="0"/>
              <w:autoSpaceDN w:val="0"/>
              <w:bidi w:val="0"/>
              <w:adjustRightInd w:val="0"/>
              <w:spacing w:line="400" w:lineRule="exact"/>
              <w:jc w:val="center"/>
              <w:rPr>
                <w:rFonts w:ascii="宋体" w:hAnsi="宋体"/>
                <w:color w:val="000000"/>
                <w:szCs w:val="21"/>
                <w:highlight w:val="none"/>
              </w:rPr>
            </w:pPr>
            <w:r>
              <w:rPr>
                <w:rFonts w:hint="eastAsia" w:ascii="宋体" w:hAnsi="宋体" w:eastAsia="宋体" w:cs="宋体"/>
                <w:color w:val="000000"/>
                <w:szCs w:val="21"/>
                <w:highlight w:val="none"/>
              </w:rPr>
              <w:t>施工的重点和难点及相关的合理化建议</w:t>
            </w:r>
          </w:p>
        </w:tc>
        <w:tc>
          <w:tcPr>
            <w:tcW w:w="868"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33426C14">
            <w:pPr>
              <w:pageBreakBefore w:val="0"/>
              <w:kinsoku/>
              <w:overflowPunct/>
              <w:autoSpaceDE w:val="0"/>
              <w:autoSpaceDN w:val="0"/>
              <w:bidi w:val="0"/>
              <w:adjustRightInd w:val="0"/>
              <w:spacing w:line="400" w:lineRule="exact"/>
              <w:jc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val="en-US" w:eastAsia="zh-CN"/>
              </w:rPr>
              <w:t>9</w:t>
            </w:r>
          </w:p>
        </w:tc>
        <w:tc>
          <w:tcPr>
            <w:tcW w:w="4949"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15BD0B37">
            <w:pPr>
              <w:pStyle w:val="7"/>
              <w:numPr>
                <w:ilvl w:val="0"/>
                <w:numId w:val="3"/>
              </w:numPr>
              <w:wordWrap w:val="0"/>
              <w:textAlignment w:val="top"/>
              <w:rPr>
                <w:rFonts w:hint="eastAsia" w:ascii="宋体" w:hAnsi="宋体" w:eastAsia="宋体" w:cs="宋体"/>
                <w:color w:val="000000"/>
                <w:sz w:val="21"/>
                <w:szCs w:val="21"/>
              </w:rPr>
            </w:pPr>
            <w:r>
              <w:rPr>
                <w:rFonts w:hint="eastAsia" w:ascii="宋体" w:hAnsi="宋体" w:cs="宋体"/>
                <w:b/>
                <w:bCs/>
                <w:color w:val="000000"/>
                <w:sz w:val="21"/>
                <w:szCs w:val="21"/>
                <w:lang w:eastAsia="zh-CN"/>
              </w:rPr>
              <w:t>评审内容</w:t>
            </w:r>
            <w:r>
              <w:rPr>
                <w:rFonts w:hint="eastAsia" w:ascii="宋体" w:hAnsi="宋体" w:eastAsia="宋体" w:cs="宋体"/>
                <w:b/>
                <w:bCs/>
                <w:color w:val="000000"/>
                <w:sz w:val="21"/>
                <w:szCs w:val="21"/>
              </w:rPr>
              <w:t>：</w:t>
            </w:r>
            <w:r>
              <w:rPr>
                <w:rFonts w:hint="eastAsia" w:ascii="宋体" w:hAnsi="宋体" w:eastAsia="宋体" w:cs="宋体"/>
                <w:color w:val="000000"/>
                <w:sz w:val="21"/>
                <w:szCs w:val="21"/>
              </w:rPr>
              <w:t xml:space="preserve"> </w:t>
            </w:r>
          </w:p>
          <w:p w14:paraId="61E38FB9">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根据招标文件的需求，投标人提供施工的重点难点分析、应对措施及相关的合理化建议，内容包括但不限于：</w:t>
            </w:r>
          </w:p>
          <w:p w14:paraId="4E80DF97">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1.具有重点难点分析：主要是针对项目现状的把握及分析；</w:t>
            </w:r>
          </w:p>
          <w:p w14:paraId="30A90338">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2.具有重点难点解决措施；</w:t>
            </w:r>
          </w:p>
          <w:p w14:paraId="35EAACF8">
            <w:pPr>
              <w:pStyle w:val="7"/>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3.具有合理化建议。</w:t>
            </w:r>
          </w:p>
          <w:p w14:paraId="7239BE46">
            <w:pPr>
              <w:pStyle w:val="7"/>
              <w:adjustRightInd w:val="0"/>
              <w:snapToGrid w:val="0"/>
              <w:spacing w:line="240" w:lineRule="atLeas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color w:val="000000"/>
                <w:kern w:val="2"/>
                <w:sz w:val="21"/>
                <w:szCs w:val="21"/>
                <w:highlight w:val="none"/>
                <w:lang w:val="en-US" w:eastAsia="zh-CN" w:bidi="ar-SA"/>
              </w:rPr>
              <w:t>二、评分依据：</w:t>
            </w:r>
          </w:p>
          <w:p w14:paraId="6A15E078">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1、每提供上述任意一项内容得20分，本小项累计最高得60分；</w:t>
            </w:r>
          </w:p>
          <w:p w14:paraId="777827F9">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2、在此基础上，专家根据各供应商的具体响应内容按照量化的评审因素指标进一步评审：</w:t>
            </w:r>
          </w:p>
          <w:p w14:paraId="3944F8AB">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（1）重点难点分析合理、针对性强、可操作性强，评审为优的，加40分；</w:t>
            </w:r>
          </w:p>
          <w:p w14:paraId="0C39ECB7">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（2）重点难点分析较合理、有一定针对性、一定可操作性，评审为良的，加20分；</w:t>
            </w:r>
          </w:p>
          <w:p w14:paraId="4EF7F77C">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（3）重点难点分析不尽合理、针对性一般、可操作性一般，评审为中的，加10分；</w:t>
            </w:r>
          </w:p>
          <w:p w14:paraId="52FBEC98">
            <w:pPr>
              <w:pStyle w:val="7"/>
              <w:rPr>
                <w:rFonts w:hint="default" w:ascii="宋体" w:hAnsi="宋体" w:eastAsia="宋体" w:cs="宋体"/>
                <w:color w:val="000000"/>
                <w:kern w:val="0"/>
                <w:szCs w:val="21"/>
                <w:highlight w:val="none"/>
                <w:lang w:val="en-US" w:eastAsia="zh-CN"/>
              </w:rPr>
            </w:pPr>
            <w:r>
              <w:rPr>
                <w:rFonts w:hint="eastAsia"/>
                <w:color w:val="000000" w:themeColor="text1"/>
                <w:sz w:val="21"/>
                <w:szCs w:val="21"/>
                <w:lang w:val="en-US" w:eastAsia="zh-CN"/>
                <w14:textFill>
                  <w14:solidFill>
                    <w14:schemeClr w14:val="tx1"/>
                  </w14:solidFill>
                </w14:textFill>
              </w:rPr>
              <w:t>（4）重点难点分析不合理、无针对性、无可操作性，评审为差的，加0分。</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3A0A0B3D">
            <w:pPr>
              <w:pageBreakBefore w:val="0"/>
              <w:widowControl/>
              <w:kinsoku/>
              <w:overflowPunct/>
              <w:bidi w:val="0"/>
              <w:spacing w:line="400" w:lineRule="exact"/>
              <w:rPr>
                <w:rFonts w:ascii="宋体" w:hAnsi="宋体"/>
                <w:b/>
                <w:color w:val="000000"/>
                <w:szCs w:val="21"/>
                <w:highlight w:val="none"/>
              </w:rPr>
            </w:pPr>
            <w:r>
              <w:rPr>
                <w:rFonts w:hint="eastAsia" w:ascii="宋体" w:hAnsi="宋体" w:cs="宋体"/>
                <w:color w:val="000000"/>
                <w:kern w:val="0"/>
                <w:szCs w:val="21"/>
                <w:highlight w:val="none"/>
                <w:lang w:eastAsia="zh-CN"/>
              </w:rPr>
              <w:t>采购小组</w:t>
            </w:r>
            <w:r>
              <w:rPr>
                <w:rFonts w:hint="eastAsia" w:ascii="宋体" w:hAnsi="宋体" w:cs="宋体"/>
                <w:color w:val="000000"/>
                <w:kern w:val="0"/>
                <w:szCs w:val="21"/>
                <w:highlight w:val="none"/>
              </w:rPr>
              <w:t>打分</w:t>
            </w:r>
          </w:p>
        </w:tc>
      </w:tr>
      <w:tr w14:paraId="0756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blHeader/>
          <w:jc w:val="center"/>
        </w:trPr>
        <w:tc>
          <w:tcPr>
            <w:tcW w:w="583"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5A591FFA">
            <w:pPr>
              <w:pageBreakBefore w:val="0"/>
              <w:kinsoku/>
              <w:overflowPunct/>
              <w:bidi w:val="0"/>
              <w:spacing w:line="400" w:lineRule="exact"/>
              <w:jc w:val="center"/>
              <w:rPr>
                <w:rFonts w:hint="eastAsia" w:ascii="宋体" w:hAnsi="宋体" w:eastAsia="宋体"/>
                <w:color w:val="000000"/>
                <w:szCs w:val="21"/>
                <w:highlight w:val="none"/>
                <w:lang w:eastAsia="zh-CN"/>
              </w:rPr>
            </w:pPr>
            <w:r>
              <w:rPr>
                <w:rFonts w:hint="eastAsia" w:ascii="宋体" w:hAnsi="宋体" w:cs="宋体"/>
                <w:color w:val="000000"/>
                <w:szCs w:val="21"/>
                <w:highlight w:val="none"/>
              </w:rPr>
              <w:t>3</w:t>
            </w:r>
          </w:p>
        </w:tc>
        <w:tc>
          <w:tcPr>
            <w:tcW w:w="1302"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6FCD1BAF">
            <w:pPr>
              <w:pageBreakBefore w:val="0"/>
              <w:kinsoku/>
              <w:overflowPunct/>
              <w:autoSpaceDE w:val="0"/>
              <w:autoSpaceDN w:val="0"/>
              <w:bidi w:val="0"/>
              <w:adjustRightInd w:val="0"/>
              <w:spacing w:line="400" w:lineRule="exact"/>
              <w:jc w:val="center"/>
              <w:rPr>
                <w:color w:val="000000"/>
                <w:highlight w:val="none"/>
              </w:rPr>
            </w:pPr>
            <w:r>
              <w:rPr>
                <w:rFonts w:hint="eastAsia" w:ascii="宋体" w:hAnsi="宋体" w:eastAsia="宋体" w:cs="宋体"/>
                <w:color w:val="000000"/>
                <w:sz w:val="21"/>
                <w:szCs w:val="21"/>
              </w:rPr>
              <w:t>质量保障措施及方案</w:t>
            </w:r>
          </w:p>
        </w:tc>
        <w:tc>
          <w:tcPr>
            <w:tcW w:w="868"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06503A33">
            <w:pPr>
              <w:pageBreakBefore w:val="0"/>
              <w:kinsoku/>
              <w:overflowPunct/>
              <w:autoSpaceDE w:val="0"/>
              <w:autoSpaceDN w:val="0"/>
              <w:bidi w:val="0"/>
              <w:adjustRightInd w:val="0"/>
              <w:spacing w:line="400" w:lineRule="exact"/>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8</w:t>
            </w:r>
          </w:p>
        </w:tc>
        <w:tc>
          <w:tcPr>
            <w:tcW w:w="4949"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709F0F3A">
            <w:pPr>
              <w:numPr>
                <w:ilvl w:val="0"/>
                <w:numId w:val="0"/>
              </w:numPr>
              <w:wordWrap w:val="0"/>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2"/>
                <w:sz w:val="21"/>
                <w:szCs w:val="21"/>
                <w:lang w:val="en-US" w:eastAsia="zh-CN" w:bidi="ar-SA"/>
              </w:rPr>
              <w:t>一、</w:t>
            </w:r>
            <w:r>
              <w:rPr>
                <w:rFonts w:hint="eastAsia" w:ascii="宋体" w:hAnsi="宋体" w:cs="宋体"/>
                <w:b/>
                <w:bCs/>
                <w:color w:val="000000"/>
                <w:sz w:val="21"/>
                <w:szCs w:val="21"/>
                <w:lang w:eastAsia="zh-CN"/>
              </w:rPr>
              <w:t>评审内容</w:t>
            </w:r>
            <w:r>
              <w:rPr>
                <w:rFonts w:hint="eastAsia" w:ascii="宋体" w:hAnsi="宋体" w:eastAsia="宋体" w:cs="宋体"/>
                <w:b/>
                <w:bCs/>
                <w:color w:val="000000"/>
                <w:sz w:val="21"/>
                <w:szCs w:val="21"/>
              </w:rPr>
              <w:t>：</w:t>
            </w:r>
          </w:p>
          <w:p w14:paraId="3171E4A3">
            <w:pPr>
              <w:numPr>
                <w:ilvl w:val="0"/>
                <w:numId w:val="0"/>
              </w:numPr>
              <w:wordWrap w:val="0"/>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项目质量保障措施方案中应包含以下内容： </w:t>
            </w:r>
          </w:p>
          <w:p w14:paraId="5E123F44">
            <w:pPr>
              <w:adjustRightInd w:val="0"/>
              <w:snapToGrid w:val="0"/>
              <w:spacing w:line="240" w:lineRule="atLeas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项目质量目标；</w:t>
            </w:r>
          </w:p>
          <w:p w14:paraId="6B771B75">
            <w:pPr>
              <w:adjustRightInd w:val="0"/>
              <w:snapToGrid w:val="0"/>
              <w:spacing w:line="240" w:lineRule="atLeas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2、项目</w:t>
            </w:r>
            <w:r>
              <w:rPr>
                <w:rFonts w:hint="eastAsia" w:ascii="宋体" w:hAnsi="宋体" w:eastAsia="宋体" w:cs="宋体"/>
                <w:color w:val="000000"/>
                <w:sz w:val="21"/>
                <w:szCs w:val="21"/>
                <w:lang w:eastAsia="zh-CN"/>
              </w:rPr>
              <w:t>质量保障；</w:t>
            </w:r>
          </w:p>
          <w:p w14:paraId="2619298B">
            <w:pPr>
              <w:adjustRightInd w:val="0"/>
              <w:snapToGrid w:val="0"/>
              <w:spacing w:line="240" w:lineRule="atLeas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lang w:val="en-US" w:eastAsia="zh-CN"/>
              </w:rPr>
              <w:t>项目</w:t>
            </w:r>
            <w:r>
              <w:rPr>
                <w:rFonts w:hint="eastAsia" w:ascii="宋体" w:hAnsi="宋体" w:eastAsia="宋体" w:cs="宋体"/>
                <w:color w:val="000000"/>
                <w:sz w:val="21"/>
                <w:szCs w:val="21"/>
                <w:lang w:eastAsia="zh-CN"/>
              </w:rPr>
              <w:t>安全（维稳）保障。</w:t>
            </w:r>
            <w:r>
              <w:rPr>
                <w:rFonts w:hint="eastAsia" w:ascii="宋体" w:hAnsi="宋体" w:eastAsia="宋体" w:cs="宋体"/>
                <w:color w:val="000000"/>
                <w:sz w:val="21"/>
                <w:szCs w:val="21"/>
              </w:rPr>
              <w:t xml:space="preserve"> </w:t>
            </w:r>
          </w:p>
          <w:p w14:paraId="150FA3C1">
            <w:pPr>
              <w:pStyle w:val="48"/>
              <w:adjustRightInd w:val="0"/>
              <w:snapToGrid w:val="0"/>
              <w:spacing w:line="240" w:lineRule="atLeast"/>
              <w:jc w:val="both"/>
              <w:rPr>
                <w:rFonts w:hint="eastAsia" w:ascii="宋体" w:hAnsi="宋体" w:eastAsia="宋体" w:cs="宋体"/>
                <w:color w:val="000000"/>
                <w:sz w:val="22"/>
                <w:szCs w:val="22"/>
              </w:rPr>
            </w:pPr>
            <w:r>
              <w:rPr>
                <w:rFonts w:hint="eastAsia" w:ascii="宋体" w:hAnsi="宋体" w:eastAsia="宋体" w:cs="宋体"/>
                <w:b/>
                <w:color w:val="000000"/>
                <w:kern w:val="2"/>
                <w:sz w:val="21"/>
                <w:szCs w:val="21"/>
                <w:highlight w:val="none"/>
                <w:lang w:val="en-US" w:eastAsia="zh-CN" w:bidi="ar-SA"/>
              </w:rPr>
              <w:t>二、评分依据：</w:t>
            </w:r>
          </w:p>
          <w:p w14:paraId="721DA18B">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1、每提供上述任意一项内容得20分，本小项累计最高得60分；</w:t>
            </w:r>
          </w:p>
          <w:p w14:paraId="7F470216">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2、在此基础上，专家根据各供应商的具体响应内容按照量化的评审因素指标进一步评审：</w:t>
            </w:r>
          </w:p>
          <w:p w14:paraId="08CC32D3">
            <w:pPr>
              <w:adjustRightInd w:val="0"/>
              <w:snapToGrid w:val="0"/>
              <w:spacing w:line="240" w:lineRule="atLeas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评</w:t>
            </w:r>
            <w:r>
              <w:rPr>
                <w:rFonts w:hint="eastAsia" w:ascii="宋体" w:hAnsi="宋体" w:cs="宋体"/>
                <w:color w:val="000000"/>
                <w:sz w:val="21"/>
                <w:szCs w:val="21"/>
                <w:lang w:val="en-US" w:eastAsia="zh-CN"/>
              </w:rPr>
              <w:t>审</w:t>
            </w:r>
            <w:r>
              <w:rPr>
                <w:rFonts w:hint="eastAsia" w:ascii="宋体" w:hAnsi="宋体" w:eastAsia="宋体" w:cs="宋体"/>
                <w:color w:val="000000"/>
                <w:sz w:val="21"/>
                <w:szCs w:val="21"/>
              </w:rPr>
              <w:t>为优（方案完善，内容考虑周到，流程合理）的加</w:t>
            </w:r>
            <w:r>
              <w:rPr>
                <w:rFonts w:hint="eastAsia" w:ascii="宋体" w:hAnsi="宋体" w:cs="宋体"/>
                <w:color w:val="000000"/>
                <w:sz w:val="21"/>
                <w:szCs w:val="21"/>
                <w:lang w:val="en-US" w:eastAsia="zh-CN"/>
              </w:rPr>
              <w:t>40</w:t>
            </w:r>
            <w:r>
              <w:rPr>
                <w:rFonts w:hint="eastAsia" w:ascii="宋体" w:hAnsi="宋体" w:eastAsia="宋体" w:cs="宋体"/>
                <w:color w:val="000000"/>
                <w:sz w:val="21"/>
                <w:szCs w:val="21"/>
              </w:rPr>
              <w:t xml:space="preserve">分； </w:t>
            </w:r>
          </w:p>
          <w:p w14:paraId="33A32932">
            <w:pPr>
              <w:adjustRightInd w:val="0"/>
              <w:snapToGrid w:val="0"/>
              <w:spacing w:line="240" w:lineRule="atLeas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评</w:t>
            </w:r>
            <w:r>
              <w:rPr>
                <w:rFonts w:hint="eastAsia" w:ascii="宋体" w:hAnsi="宋体" w:cs="宋体"/>
                <w:color w:val="000000"/>
                <w:sz w:val="21"/>
                <w:szCs w:val="21"/>
                <w:lang w:val="en-US" w:eastAsia="zh-CN"/>
              </w:rPr>
              <w:t>审</w:t>
            </w:r>
            <w:r>
              <w:rPr>
                <w:rFonts w:hint="eastAsia" w:ascii="宋体" w:hAnsi="宋体" w:eastAsia="宋体" w:cs="宋体"/>
                <w:color w:val="000000"/>
                <w:sz w:val="21"/>
                <w:szCs w:val="21"/>
              </w:rPr>
              <w:t>为良（方案较完善，内容考虑较周到，流程较合理）的加</w:t>
            </w:r>
            <w:r>
              <w:rPr>
                <w:rFonts w:hint="eastAsia" w:ascii="宋体" w:hAnsi="宋体" w:cs="宋体"/>
                <w:color w:val="000000"/>
                <w:sz w:val="21"/>
                <w:szCs w:val="21"/>
                <w:lang w:val="en-US" w:eastAsia="zh-CN"/>
              </w:rPr>
              <w:t>20</w:t>
            </w:r>
            <w:r>
              <w:rPr>
                <w:rFonts w:hint="eastAsia" w:ascii="宋体" w:hAnsi="宋体" w:eastAsia="宋体" w:cs="宋体"/>
                <w:color w:val="000000"/>
                <w:sz w:val="21"/>
                <w:szCs w:val="21"/>
              </w:rPr>
              <w:t xml:space="preserve">分； </w:t>
            </w:r>
          </w:p>
          <w:p w14:paraId="4AF788A3">
            <w:pPr>
              <w:adjustRightInd w:val="0"/>
              <w:snapToGrid w:val="0"/>
              <w:spacing w:line="240" w:lineRule="atLeas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评</w:t>
            </w:r>
            <w:r>
              <w:rPr>
                <w:rFonts w:hint="eastAsia" w:ascii="宋体" w:hAnsi="宋体" w:cs="宋体"/>
                <w:color w:val="000000"/>
                <w:sz w:val="21"/>
                <w:szCs w:val="21"/>
                <w:lang w:val="en-US" w:eastAsia="zh-CN"/>
              </w:rPr>
              <w:t>审</w:t>
            </w:r>
            <w:r>
              <w:rPr>
                <w:rFonts w:hint="eastAsia" w:ascii="宋体" w:hAnsi="宋体" w:eastAsia="宋体" w:cs="宋体"/>
                <w:color w:val="000000"/>
                <w:sz w:val="21"/>
                <w:szCs w:val="21"/>
              </w:rPr>
              <w:t>为中（方案一般，内容考虑基本周到，流程一般）的加</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分；</w:t>
            </w:r>
          </w:p>
          <w:p w14:paraId="32A1C297">
            <w:pPr>
              <w:adjustRightInd w:val="0"/>
              <w:snapToGrid w:val="0"/>
              <w:spacing w:line="240" w:lineRule="atLeast"/>
              <w:rPr>
                <w:rFonts w:ascii="宋体" w:hAnsi="宋体" w:cs="宋体"/>
                <w:color w:val="000000"/>
                <w:kern w:val="0"/>
                <w:sz w:val="18"/>
                <w:szCs w:val="21"/>
                <w:highlight w:val="none"/>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评</w:t>
            </w:r>
            <w:r>
              <w:rPr>
                <w:rFonts w:hint="eastAsia" w:ascii="宋体" w:hAnsi="宋体" w:cs="宋体"/>
                <w:color w:val="000000"/>
                <w:sz w:val="21"/>
                <w:szCs w:val="21"/>
                <w:lang w:val="en-US" w:eastAsia="zh-CN"/>
              </w:rPr>
              <w:t>审</w:t>
            </w:r>
            <w:r>
              <w:rPr>
                <w:rFonts w:hint="eastAsia" w:ascii="宋体" w:hAnsi="宋体" w:eastAsia="宋体" w:cs="宋体"/>
                <w:color w:val="000000"/>
                <w:sz w:val="21"/>
                <w:szCs w:val="21"/>
              </w:rPr>
              <w:t>为差，不加分。如果评审为差，要求专家书面说明理由。</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19BE8BB1">
            <w:pPr>
              <w:pageBreakBefore w:val="0"/>
              <w:widowControl/>
              <w:kinsoku/>
              <w:overflowPunct/>
              <w:bidi w:val="0"/>
              <w:spacing w:line="400" w:lineRule="exact"/>
              <w:jc w:val="center"/>
              <w:rPr>
                <w:rFonts w:ascii="宋体" w:hAnsi="宋体"/>
                <w:color w:val="000000"/>
                <w:sz w:val="18"/>
                <w:szCs w:val="21"/>
                <w:highlight w:val="none"/>
              </w:rPr>
            </w:pPr>
            <w:r>
              <w:rPr>
                <w:rFonts w:hint="eastAsia" w:ascii="宋体" w:hAnsi="宋体" w:cs="宋体"/>
                <w:color w:val="000000"/>
                <w:kern w:val="0"/>
                <w:szCs w:val="21"/>
                <w:highlight w:val="none"/>
                <w:lang w:eastAsia="zh-CN"/>
              </w:rPr>
              <w:t>采购小组</w:t>
            </w:r>
            <w:r>
              <w:rPr>
                <w:rFonts w:hint="eastAsia" w:ascii="宋体" w:hAnsi="宋体" w:cs="宋体"/>
                <w:color w:val="000000"/>
                <w:kern w:val="0"/>
                <w:szCs w:val="21"/>
                <w:highlight w:val="none"/>
              </w:rPr>
              <w:t>打分</w:t>
            </w:r>
          </w:p>
        </w:tc>
      </w:tr>
      <w:tr w14:paraId="56EA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blHeader/>
          <w:jc w:val="center"/>
        </w:trPr>
        <w:tc>
          <w:tcPr>
            <w:tcW w:w="583"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1B0BE281">
            <w:pPr>
              <w:pageBreakBefore w:val="0"/>
              <w:kinsoku/>
              <w:overflowPunct/>
              <w:bidi w:val="0"/>
              <w:spacing w:line="400" w:lineRule="exact"/>
              <w:jc w:val="center"/>
              <w:rPr>
                <w:rFonts w:hint="eastAsia" w:ascii="宋体" w:hAnsi="宋体" w:eastAsia="宋体"/>
                <w:color w:val="000000"/>
                <w:szCs w:val="21"/>
                <w:highlight w:val="none"/>
                <w:lang w:eastAsia="zh-CN"/>
              </w:rPr>
            </w:pPr>
            <w:r>
              <w:rPr>
                <w:rFonts w:hint="eastAsia" w:ascii="宋体" w:hAnsi="宋体" w:cs="宋体"/>
                <w:color w:val="000000"/>
                <w:szCs w:val="21"/>
                <w:highlight w:val="none"/>
              </w:rPr>
              <w:t>4</w:t>
            </w:r>
          </w:p>
        </w:tc>
        <w:tc>
          <w:tcPr>
            <w:tcW w:w="1302"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4512C8C7">
            <w:pPr>
              <w:pageBreakBefore w:val="0"/>
              <w:kinsoku/>
              <w:overflowPunct/>
              <w:bidi w:val="0"/>
              <w:spacing w:line="400" w:lineRule="exact"/>
              <w:jc w:val="center"/>
              <w:rPr>
                <w:rFonts w:ascii="宋体" w:hAnsi="宋体"/>
                <w:color w:val="000000"/>
                <w:szCs w:val="21"/>
                <w:highlight w:val="none"/>
              </w:rPr>
            </w:pPr>
            <w:r>
              <w:rPr>
                <w:rFonts w:hint="eastAsia" w:ascii="宋体" w:hAnsi="宋体" w:eastAsia="宋体" w:cs="宋体"/>
                <w:color w:val="000000"/>
                <w:sz w:val="21"/>
                <w:szCs w:val="21"/>
              </w:rPr>
              <w:t>项目完成（服务期满）后的服务承诺</w:t>
            </w:r>
          </w:p>
        </w:tc>
        <w:tc>
          <w:tcPr>
            <w:tcW w:w="868"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3935FCCE">
            <w:pPr>
              <w:pageBreakBefore w:val="0"/>
              <w:kinsoku/>
              <w:overflowPunct/>
              <w:bidi w:val="0"/>
              <w:spacing w:line="400" w:lineRule="exact"/>
              <w:jc w:val="center"/>
              <w:rPr>
                <w:rFonts w:hint="eastAsia" w:ascii="宋体" w:hAnsi="宋体" w:eastAsia="宋体" w:cs="宋体"/>
                <w:color w:val="000000"/>
                <w:kern w:val="0"/>
                <w:szCs w:val="21"/>
                <w:highlight w:val="none"/>
                <w:lang w:eastAsia="zh-CN"/>
              </w:rPr>
            </w:pPr>
            <w:r>
              <w:rPr>
                <w:rFonts w:hint="eastAsia" w:ascii="宋体" w:hAnsi="宋体" w:cs="宋体"/>
                <w:color w:val="000000"/>
                <w:szCs w:val="21"/>
                <w:highlight w:val="none"/>
                <w:lang w:val="en-US" w:eastAsia="zh-CN"/>
              </w:rPr>
              <w:t>7</w:t>
            </w:r>
          </w:p>
        </w:tc>
        <w:tc>
          <w:tcPr>
            <w:tcW w:w="4949"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5AFBD42C">
            <w:pPr>
              <w:numPr>
                <w:ilvl w:val="0"/>
                <w:numId w:val="0"/>
              </w:numPr>
              <w:wordWrap w:val="0"/>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2"/>
                <w:sz w:val="21"/>
                <w:szCs w:val="21"/>
                <w:lang w:val="en-US" w:eastAsia="zh-CN" w:bidi="ar-SA"/>
              </w:rPr>
              <w:t>一、</w:t>
            </w:r>
            <w:r>
              <w:rPr>
                <w:rFonts w:hint="eastAsia" w:ascii="宋体" w:hAnsi="宋体" w:cs="宋体"/>
                <w:b/>
                <w:bCs/>
                <w:color w:val="000000"/>
                <w:sz w:val="21"/>
                <w:szCs w:val="21"/>
                <w:lang w:eastAsia="zh-CN"/>
              </w:rPr>
              <w:t>评审内容</w:t>
            </w:r>
            <w:r>
              <w:rPr>
                <w:rFonts w:hint="eastAsia" w:ascii="宋体" w:hAnsi="宋体" w:eastAsia="宋体" w:cs="宋体"/>
                <w:b/>
                <w:bCs/>
                <w:color w:val="000000"/>
                <w:sz w:val="21"/>
                <w:szCs w:val="21"/>
              </w:rPr>
              <w:t>：</w:t>
            </w:r>
          </w:p>
          <w:p w14:paraId="65AD72A5">
            <w:pPr>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项目完成（服务期满）后的服务承诺中应包含以下内</w:t>
            </w:r>
            <w:r>
              <w:rPr>
                <w:rFonts w:hint="eastAsia" w:ascii="宋体" w:hAnsi="宋体" w:eastAsia="宋体" w:cs="宋体"/>
                <w:color w:val="000000"/>
                <w:sz w:val="21"/>
                <w:szCs w:val="21"/>
                <w:lang w:val="en-US" w:eastAsia="zh-CN"/>
              </w:rPr>
              <w:t>容：</w:t>
            </w:r>
          </w:p>
          <w:p w14:paraId="3C134A0F">
            <w:pPr>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（1）承诺与采购方保持密切沟通。</w:t>
            </w:r>
          </w:p>
          <w:p w14:paraId="7F06BA48">
            <w:pPr>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（2）完善、科学的合同服务期服务计划。</w:t>
            </w:r>
          </w:p>
          <w:p w14:paraId="42BE3F6B">
            <w:pPr>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（3）安排专人负责合同结束后一年内有关事项提供</w:t>
            </w:r>
            <w:r>
              <w:rPr>
                <w:rFonts w:hint="eastAsia" w:ascii="宋体" w:hAnsi="宋体" w:cs="宋体"/>
                <w:color w:val="000000"/>
                <w:sz w:val="21"/>
                <w:szCs w:val="21"/>
                <w:lang w:val="en-US" w:eastAsia="zh-CN"/>
              </w:rPr>
              <w:t>服务</w:t>
            </w:r>
            <w:r>
              <w:rPr>
                <w:rFonts w:hint="eastAsia" w:ascii="宋体" w:hAnsi="宋体" w:eastAsia="宋体" w:cs="宋体"/>
                <w:color w:val="000000"/>
                <w:sz w:val="21"/>
                <w:szCs w:val="21"/>
                <w:lang w:val="en-US" w:eastAsia="zh-CN"/>
              </w:rPr>
              <w:t>。</w:t>
            </w:r>
          </w:p>
          <w:p w14:paraId="5EC7F40A">
            <w:pPr>
              <w:pStyle w:val="48"/>
              <w:adjustRightInd w:val="0"/>
              <w:snapToGrid w:val="0"/>
              <w:spacing w:line="240" w:lineRule="atLeast"/>
              <w:jc w:val="both"/>
              <w:rPr>
                <w:rFonts w:hint="eastAsia" w:ascii="宋体" w:hAnsi="宋体" w:eastAsia="宋体" w:cs="宋体"/>
                <w:color w:val="000000"/>
                <w:sz w:val="22"/>
                <w:szCs w:val="22"/>
              </w:rPr>
            </w:pPr>
            <w:r>
              <w:rPr>
                <w:rFonts w:hint="eastAsia" w:ascii="宋体" w:hAnsi="宋体" w:eastAsia="宋体" w:cs="宋体"/>
                <w:b/>
                <w:color w:val="000000"/>
                <w:kern w:val="2"/>
                <w:sz w:val="21"/>
                <w:szCs w:val="21"/>
                <w:highlight w:val="none"/>
                <w:lang w:val="en-US" w:eastAsia="zh-CN" w:bidi="ar-SA"/>
              </w:rPr>
              <w:t>二、评分依据：</w:t>
            </w:r>
          </w:p>
          <w:p w14:paraId="730590BB">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1、每提供上述任意一项内容得20分，本小项累计最高得60分；</w:t>
            </w:r>
          </w:p>
          <w:p w14:paraId="18DD4003">
            <w:pPr>
              <w:pStyle w:val="7"/>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2、在此基础上，专家根据各供应商的具体响应内容按照量化的评审因素指标进一步评审：</w:t>
            </w:r>
          </w:p>
          <w:p w14:paraId="4E267995">
            <w:pPr>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cs="宋体"/>
                <w:color w:val="000000"/>
                <w:sz w:val="21"/>
                <w:szCs w:val="21"/>
                <w:lang w:val="en-US" w:eastAsia="zh-CN"/>
              </w:rPr>
              <w:t>评审为</w:t>
            </w:r>
            <w:r>
              <w:rPr>
                <w:rFonts w:hint="eastAsia" w:ascii="宋体" w:hAnsi="宋体" w:eastAsia="宋体" w:cs="宋体"/>
                <w:color w:val="000000"/>
                <w:sz w:val="21"/>
                <w:szCs w:val="21"/>
                <w:lang w:val="en-US" w:eastAsia="zh-CN"/>
              </w:rPr>
              <w:t>优：以上项目完成（服务期满）后的服务承诺的三点内容全面具体、针对性强、可操作性强，加4</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lang w:val="en-US" w:eastAsia="zh-CN"/>
              </w:rPr>
              <w:t>分。</w:t>
            </w:r>
          </w:p>
          <w:p w14:paraId="43163984">
            <w:pPr>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评审为</w:t>
            </w:r>
            <w:r>
              <w:rPr>
                <w:rFonts w:hint="eastAsia" w:ascii="宋体" w:hAnsi="宋体" w:eastAsia="宋体" w:cs="宋体"/>
                <w:color w:val="000000"/>
                <w:sz w:val="21"/>
                <w:szCs w:val="21"/>
                <w:lang w:val="en-US" w:eastAsia="zh-CN"/>
              </w:rPr>
              <w:t>良：以上项目完成（服务期满）后的服务承诺的三点内容较全面、针对性较强、可操作性较强，加2</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lang w:val="en-US" w:eastAsia="zh-CN"/>
              </w:rPr>
              <w:t>分。</w:t>
            </w:r>
          </w:p>
          <w:p w14:paraId="243252A6">
            <w:pPr>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cs="宋体"/>
                <w:color w:val="000000"/>
                <w:sz w:val="21"/>
                <w:szCs w:val="21"/>
                <w:lang w:val="en-US" w:eastAsia="zh-CN"/>
              </w:rPr>
              <w:t>评审为</w:t>
            </w:r>
            <w:r>
              <w:rPr>
                <w:rFonts w:hint="eastAsia" w:ascii="宋体" w:hAnsi="宋体" w:eastAsia="宋体" w:cs="宋体"/>
                <w:color w:val="000000"/>
                <w:sz w:val="21"/>
                <w:szCs w:val="21"/>
                <w:lang w:val="en-US" w:eastAsia="zh-CN"/>
              </w:rPr>
              <w:t>中：以上项目完成（服务期满）后的服务承诺的三点内容完整性一般、针对性和可操作性一般，加</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lang w:val="en-US" w:eastAsia="zh-CN"/>
              </w:rPr>
              <w:t>分。</w:t>
            </w:r>
          </w:p>
          <w:p w14:paraId="26F80220">
            <w:pPr>
              <w:adjustRightInd w:val="0"/>
              <w:snapToGrid w:val="0"/>
              <w:spacing w:line="240" w:lineRule="atLeast"/>
              <w:rPr>
                <w:color w:val="000000"/>
                <w:kern w:val="0"/>
                <w:szCs w:val="21"/>
                <w:highlight w:val="none"/>
              </w:rPr>
            </w:pPr>
            <w:r>
              <w:rPr>
                <w:rFonts w:hint="eastAsia" w:ascii="宋体" w:hAnsi="宋体" w:eastAsia="宋体" w:cs="宋体"/>
                <w:color w:val="000000"/>
                <w:sz w:val="21"/>
                <w:szCs w:val="21"/>
                <w:lang w:val="en-US" w:eastAsia="zh-CN"/>
              </w:rPr>
              <w:t>（4）</w:t>
            </w:r>
            <w:r>
              <w:rPr>
                <w:rFonts w:hint="eastAsia" w:ascii="宋体" w:hAnsi="宋体" w:cs="宋体"/>
                <w:color w:val="000000"/>
                <w:sz w:val="21"/>
                <w:szCs w:val="21"/>
                <w:lang w:val="en-US" w:eastAsia="zh-CN"/>
              </w:rPr>
              <w:t>评审为</w:t>
            </w:r>
            <w:r>
              <w:rPr>
                <w:rFonts w:hint="eastAsia" w:ascii="宋体" w:hAnsi="宋体" w:eastAsia="宋体" w:cs="宋体"/>
                <w:color w:val="000000"/>
                <w:sz w:val="21"/>
                <w:szCs w:val="21"/>
                <w:lang w:val="en-US" w:eastAsia="zh-CN"/>
              </w:rPr>
              <w:t>差：以上项目完成（服务期满）后的服务承诺的三点内容不全面不具体、不具有针对性和可操作性，加0分。</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3F52F18A">
            <w:pPr>
              <w:pageBreakBefore w:val="0"/>
              <w:widowControl/>
              <w:kinsoku/>
              <w:overflowPunct/>
              <w:bidi w:val="0"/>
              <w:spacing w:line="400" w:lineRule="exact"/>
              <w:rPr>
                <w:rFonts w:ascii="宋体" w:hAnsi="宋体"/>
                <w:color w:val="000000"/>
                <w:szCs w:val="21"/>
                <w:highlight w:val="none"/>
              </w:rPr>
            </w:pPr>
            <w:r>
              <w:rPr>
                <w:rFonts w:hint="eastAsia" w:ascii="宋体" w:hAnsi="宋体" w:cs="宋体"/>
                <w:color w:val="000000"/>
                <w:kern w:val="0"/>
                <w:szCs w:val="21"/>
                <w:highlight w:val="none"/>
                <w:lang w:eastAsia="zh-CN"/>
              </w:rPr>
              <w:t>采购小组</w:t>
            </w:r>
            <w:r>
              <w:rPr>
                <w:rFonts w:hint="eastAsia" w:ascii="宋体" w:hAnsi="宋体" w:cs="宋体"/>
                <w:color w:val="000000"/>
                <w:kern w:val="0"/>
                <w:szCs w:val="21"/>
                <w:highlight w:val="none"/>
              </w:rPr>
              <w:t>打分</w:t>
            </w:r>
          </w:p>
        </w:tc>
      </w:tr>
      <w:tr w14:paraId="6FE5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blHeader/>
          <w:jc w:val="center"/>
        </w:trPr>
        <w:tc>
          <w:tcPr>
            <w:tcW w:w="583"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499D6078">
            <w:pPr>
              <w:pageBreakBefore w:val="0"/>
              <w:kinsoku/>
              <w:overflowPunct/>
              <w:bidi w:val="0"/>
              <w:spacing w:line="400" w:lineRule="exact"/>
              <w:jc w:val="center"/>
              <w:rPr>
                <w:rFonts w:hint="eastAsia" w:ascii="宋体" w:hAnsi="宋体" w:cs="宋体"/>
                <w:color w:val="000000"/>
                <w:szCs w:val="21"/>
                <w:highlight w:val="none"/>
                <w:lang w:val="en-US" w:eastAsia="zh-CN"/>
              </w:rPr>
            </w:pPr>
            <w:r>
              <w:rPr>
                <w:rFonts w:hint="eastAsia" w:ascii="宋体" w:hAnsi="宋体" w:cs="宋体"/>
                <w:color w:val="000000"/>
                <w:szCs w:val="21"/>
                <w:highlight w:val="none"/>
              </w:rPr>
              <w:t>5</w:t>
            </w:r>
          </w:p>
        </w:tc>
        <w:tc>
          <w:tcPr>
            <w:tcW w:w="1302"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063E05AE">
            <w:pPr>
              <w:wordWrap w:val="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拟安排的</w:t>
            </w:r>
            <w:r>
              <w:rPr>
                <w:rFonts w:hint="eastAsia" w:ascii="宋体" w:hAnsi="宋体"/>
                <w:color w:val="000000"/>
                <w:szCs w:val="21"/>
                <w:lang w:eastAsia="zh-CN"/>
              </w:rPr>
              <w:t>项目</w:t>
            </w:r>
            <w:r>
              <w:rPr>
                <w:rFonts w:hint="eastAsia" w:ascii="宋体" w:hAnsi="宋体"/>
                <w:color w:val="000000"/>
                <w:szCs w:val="21"/>
                <w:lang w:val="en-US" w:eastAsia="zh-CN"/>
              </w:rPr>
              <w:t>负责人</w:t>
            </w:r>
            <w:r>
              <w:rPr>
                <w:rFonts w:hint="eastAsia" w:ascii="宋体" w:hAnsi="宋体"/>
                <w:color w:val="000000"/>
                <w:szCs w:val="21"/>
                <w:lang w:eastAsia="zh-CN"/>
              </w:rPr>
              <w:t>情况</w:t>
            </w:r>
          </w:p>
          <w:p w14:paraId="2A186F18">
            <w:pPr>
              <w:pageBreakBefore w:val="0"/>
              <w:kinsoku/>
              <w:overflowPunct/>
              <w:bidi w:val="0"/>
              <w:spacing w:line="400" w:lineRule="exact"/>
              <w:jc w:val="center"/>
              <w:rPr>
                <w:rFonts w:hint="eastAsia" w:ascii="宋体" w:hAnsi="宋体" w:cs="宋体"/>
                <w:color w:val="000000"/>
                <w:sz w:val="21"/>
                <w:szCs w:val="21"/>
                <w:highlight w:val="none"/>
              </w:rPr>
            </w:pPr>
          </w:p>
        </w:tc>
        <w:tc>
          <w:tcPr>
            <w:tcW w:w="868"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6E0C4B70">
            <w:pPr>
              <w:pageBreakBefore w:val="0"/>
              <w:kinsoku/>
              <w:overflowPunct/>
              <w:bidi w:val="0"/>
              <w:spacing w:line="40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8</w:t>
            </w:r>
          </w:p>
        </w:tc>
        <w:tc>
          <w:tcPr>
            <w:tcW w:w="4949"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181E9DE1">
            <w:pPr>
              <w:numPr>
                <w:ilvl w:val="0"/>
                <w:numId w:val="0"/>
              </w:numPr>
              <w:wordWrap w:val="0"/>
              <w:textAlignment w:val="top"/>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一、</w:t>
            </w:r>
            <w:r>
              <w:rPr>
                <w:rFonts w:hint="eastAsia" w:ascii="宋体" w:hAnsi="宋体" w:cs="宋体"/>
                <w:b/>
                <w:bCs/>
                <w:color w:val="000000" w:themeColor="text1"/>
                <w:sz w:val="21"/>
                <w:szCs w:val="21"/>
                <w:lang w:eastAsia="zh-CN"/>
                <w14:textFill>
                  <w14:solidFill>
                    <w14:schemeClr w14:val="tx1"/>
                  </w14:solidFill>
                </w14:textFill>
              </w:rPr>
              <w:t>评审内容</w:t>
            </w:r>
            <w:r>
              <w:rPr>
                <w:rFonts w:hint="eastAsia" w:ascii="宋体" w:hAnsi="宋体" w:eastAsia="宋体" w:cs="宋体"/>
                <w:b/>
                <w:bCs/>
                <w:color w:val="000000" w:themeColor="text1"/>
                <w:sz w:val="21"/>
                <w:szCs w:val="21"/>
                <w14:textFill>
                  <w14:solidFill>
                    <w14:schemeClr w14:val="tx1"/>
                  </w14:solidFill>
                </w14:textFill>
              </w:rPr>
              <w:t>：</w:t>
            </w:r>
          </w:p>
          <w:p w14:paraId="7A496427">
            <w:pPr>
              <w:adjustRightInd w:val="0"/>
              <w:snapToGrid w:val="0"/>
              <w:spacing w:line="240" w:lineRule="atLeast"/>
              <w:rPr>
                <w:rFonts w:hint="default"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拟安排的项目负责人（仅限1人</w:t>
            </w:r>
            <w:r>
              <w:rPr>
                <w:rFonts w:hint="eastAsia" w:ascii="宋体" w:hAnsi="宋体" w:cs="宋体"/>
                <w:color w:val="000000" w:themeColor="text1"/>
                <w:sz w:val="21"/>
                <w:szCs w:val="21"/>
                <w:lang w:val="en-US" w:eastAsia="zh-CN"/>
                <w14:textFill>
                  <w14:solidFill>
                    <w14:schemeClr w14:val="tx1"/>
                  </w14:solidFill>
                </w14:textFill>
              </w:rPr>
              <w:t>）为投标单位在职员工，否</w:t>
            </w:r>
            <w:r>
              <w:rPr>
                <w:rFonts w:hint="eastAsia" w:ascii="宋体" w:hAnsi="宋体" w:cs="宋体"/>
                <w:color w:val="auto"/>
                <w:sz w:val="21"/>
                <w:szCs w:val="21"/>
                <w:lang w:val="en-US" w:eastAsia="zh-CN"/>
              </w:rPr>
              <w:t>则本项不得分。</w:t>
            </w:r>
          </w:p>
          <w:p w14:paraId="12BC73E4">
            <w:pPr>
              <w:adjustRightInd w:val="0"/>
              <w:snapToGrid w:val="0"/>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（1）具有建筑</w:t>
            </w:r>
            <w:r>
              <w:rPr>
                <w:rFonts w:hint="eastAsia" w:ascii="宋体" w:hAnsi="宋体" w:cs="宋体"/>
                <w:color w:val="auto"/>
                <w:sz w:val="21"/>
                <w:szCs w:val="21"/>
                <w:lang w:val="en-US" w:eastAsia="zh-CN"/>
              </w:rPr>
              <w:t>类</w:t>
            </w:r>
            <w:r>
              <w:rPr>
                <w:rFonts w:hint="eastAsia" w:ascii="宋体" w:hAnsi="宋体" w:eastAsia="宋体" w:cs="宋体"/>
                <w:color w:val="auto"/>
                <w:sz w:val="21"/>
                <w:szCs w:val="21"/>
                <w:lang w:val="en-US" w:eastAsia="zh-CN"/>
              </w:rPr>
              <w:t>专业高级职称，得</w:t>
            </w:r>
            <w:r>
              <w:rPr>
                <w:rFonts w:hint="eastAsia" w:ascii="宋体" w:hAnsi="宋体" w:cs="宋体"/>
                <w:color w:val="auto"/>
                <w:sz w:val="21"/>
                <w:szCs w:val="21"/>
                <w:lang w:val="en-US" w:eastAsia="zh-CN"/>
              </w:rPr>
              <w:t>40</w:t>
            </w:r>
            <w:r>
              <w:rPr>
                <w:rFonts w:hint="eastAsia" w:ascii="宋体" w:hAnsi="宋体" w:eastAsia="宋体" w:cs="宋体"/>
                <w:color w:val="auto"/>
                <w:sz w:val="21"/>
                <w:szCs w:val="21"/>
                <w:lang w:val="en-US" w:eastAsia="zh-CN"/>
              </w:rPr>
              <w:t>分；具有中级职称，得</w:t>
            </w: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分</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。本项最高得</w:t>
            </w:r>
            <w:r>
              <w:rPr>
                <w:rFonts w:hint="eastAsia" w:ascii="宋体" w:hAnsi="宋体" w:cs="宋体"/>
                <w:color w:val="auto"/>
                <w:sz w:val="21"/>
                <w:szCs w:val="21"/>
                <w:lang w:val="en-US" w:eastAsia="zh-CN"/>
              </w:rPr>
              <w:t>40</w:t>
            </w:r>
            <w:r>
              <w:rPr>
                <w:rFonts w:hint="eastAsia" w:ascii="宋体" w:hAnsi="宋体" w:eastAsia="宋体" w:cs="宋体"/>
                <w:color w:val="auto"/>
                <w:sz w:val="21"/>
                <w:szCs w:val="21"/>
                <w:lang w:val="en-US" w:eastAsia="zh-CN"/>
              </w:rPr>
              <w:t>分。</w:t>
            </w:r>
          </w:p>
          <w:p w14:paraId="0A514BE8">
            <w:pPr>
              <w:adjustRightInd w:val="0"/>
              <w:snapToGrid w:val="0"/>
              <w:spacing w:line="240" w:lineRule="atLeas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lang w:val="zh-CN" w:eastAsia="zh-CN"/>
              </w:rPr>
              <w:t>近</w:t>
            </w:r>
            <w:r>
              <w:rPr>
                <w:rFonts w:hint="eastAsia" w:ascii="宋体" w:hAnsi="宋体" w:cs="宋体"/>
                <w:color w:val="auto"/>
                <w:sz w:val="21"/>
                <w:szCs w:val="21"/>
                <w:lang w:val="en-US" w:eastAsia="zh-CN"/>
              </w:rPr>
              <w:t>201</w:t>
            </w:r>
            <w:r>
              <w:rPr>
                <w:rFonts w:hint="eastAsia" w:ascii="宋体" w:hAnsi="宋体" w:cs="宋体"/>
                <w:color w:val="000000" w:themeColor="text1"/>
                <w:sz w:val="21"/>
                <w:szCs w:val="21"/>
                <w:lang w:val="en-US" w:eastAsia="zh-CN"/>
                <w14:textFill>
                  <w14:solidFill>
                    <w14:schemeClr w14:val="tx1"/>
                  </w14:solidFill>
                </w14:textFill>
              </w:rPr>
              <w:t>8年1月1日至本项目投标截止日前</w:t>
            </w: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以竣工验收证明载明的最晚日期</w:t>
            </w:r>
            <w:r>
              <w:rPr>
                <w:rFonts w:hint="eastAsia" w:ascii="宋体" w:hAnsi="宋体" w:cs="宋体"/>
                <w:color w:val="000000" w:themeColor="text1"/>
                <w:sz w:val="21"/>
                <w:szCs w:val="21"/>
                <w:lang w:val="en-US" w:eastAsia="zh-CN"/>
                <w14:textFill>
                  <w14:solidFill>
                    <w14:schemeClr w14:val="tx1"/>
                  </w14:solidFill>
                </w14:textFill>
              </w:rPr>
              <w:t>为准</w:t>
            </w: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以项目负责人职位负责的</w:t>
            </w:r>
            <w:r>
              <w:rPr>
                <w:rFonts w:hint="eastAsia" w:ascii="宋体" w:hAnsi="宋体" w:cs="宋体"/>
                <w:color w:val="000000" w:themeColor="text1"/>
                <w:sz w:val="21"/>
                <w:szCs w:val="21"/>
                <w:lang w:val="en-US" w:eastAsia="zh-CN"/>
                <w14:textFill>
                  <w14:solidFill>
                    <w14:schemeClr w14:val="tx1"/>
                  </w14:solidFill>
                </w14:textFill>
              </w:rPr>
              <w:t>拆除面积不少于10000平方米</w:t>
            </w:r>
            <w:r>
              <w:rPr>
                <w:rFonts w:hint="eastAsia" w:ascii="宋体" w:hAnsi="宋体" w:eastAsia="宋体" w:cs="宋体"/>
                <w:color w:val="000000" w:themeColor="text1"/>
                <w:sz w:val="21"/>
                <w:szCs w:val="21"/>
                <w:lang w:val="en-US" w:eastAsia="zh-CN"/>
                <w14:textFill>
                  <w14:solidFill>
                    <w14:schemeClr w14:val="tx1"/>
                  </w14:solidFill>
                </w14:textFill>
              </w:rPr>
              <w:t>的房屋建筑物拆除工程业绩</w:t>
            </w:r>
            <w:r>
              <w:rPr>
                <w:rFonts w:hint="eastAsia" w:ascii="宋体" w:hAnsi="宋体" w:cs="宋体"/>
                <w:color w:val="000000" w:themeColor="text1"/>
                <w:sz w:val="21"/>
                <w:szCs w:val="21"/>
                <w:lang w:val="en-US" w:eastAsia="zh-CN"/>
                <w14:textFill>
                  <w14:solidFill>
                    <w14:schemeClr w14:val="tx1"/>
                  </w14:solidFill>
                </w14:textFill>
              </w:rPr>
              <w:t>，得60分。</w:t>
            </w:r>
          </w:p>
          <w:p w14:paraId="16F025C0">
            <w:pPr>
              <w:pStyle w:val="48"/>
              <w:adjustRightInd w:val="0"/>
              <w:snapToGrid w:val="0"/>
              <w:spacing w:line="240" w:lineRule="atLeast"/>
              <w:jc w:val="both"/>
              <w:rPr>
                <w:rFonts w:hint="eastAsia" w:ascii="宋体" w:hAnsi="宋体" w:eastAsia="宋体" w:cs="宋体"/>
                <w:color w:val="000000"/>
                <w:sz w:val="22"/>
                <w:szCs w:val="22"/>
              </w:rPr>
            </w:pPr>
            <w:r>
              <w:rPr>
                <w:rFonts w:hint="eastAsia" w:ascii="宋体" w:hAnsi="宋体" w:eastAsia="宋体" w:cs="宋体"/>
                <w:b/>
                <w:color w:val="000000"/>
                <w:kern w:val="2"/>
                <w:sz w:val="21"/>
                <w:szCs w:val="21"/>
                <w:highlight w:val="none"/>
                <w:lang w:val="en-US" w:eastAsia="zh-CN" w:bidi="ar-SA"/>
              </w:rPr>
              <w:t>二、评分依据：</w:t>
            </w:r>
          </w:p>
          <w:p w14:paraId="139D0B02">
            <w:pPr>
              <w:adjustRightInd w:val="0"/>
              <w:snapToGrid w:val="0"/>
              <w:spacing w:line="240" w:lineRule="atLeas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在职员工证明：提供投标截止日前投标人缴纳的近3个月（由于社保部门原因最近一个月的社保证明无法提供的可往前顺延一个月）的社保证明作为自有员工的证明依据；如供应商为新成立企业且成立时间不足三个月可提供情况说明或证明材料亦视为符合；</w:t>
            </w:r>
          </w:p>
          <w:p w14:paraId="1575BAD0">
            <w:pPr>
              <w:adjustRightInd w:val="0"/>
              <w:snapToGrid w:val="0"/>
              <w:spacing w:line="240" w:lineRule="atLeas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2、提供有效的证明材料；</w:t>
            </w:r>
          </w:p>
          <w:p w14:paraId="427E224E">
            <w:pPr>
              <w:adjustRightInd w:val="0"/>
              <w:snapToGrid w:val="0"/>
              <w:spacing w:line="240" w:lineRule="atLeas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提供项目合同关键页【应包含但不限于、项目（合同）名称、涉及业绩评分的服务内容、项目负责人姓名、签订合同时间、签约主体公章等关键信息】扫描件，若通过合同关键信息页无法判断是否得分的，还需同时提供合同甲方出具的证明资料（加盖合同甲方公章或业务章）；</w:t>
            </w:r>
          </w:p>
          <w:p w14:paraId="196A2652">
            <w:pPr>
              <w:adjustRightInd w:val="0"/>
              <w:snapToGrid w:val="0"/>
              <w:spacing w:line="240" w:lineRule="atLeast"/>
              <w:rPr>
                <w:rFonts w:hint="eastAsia" w:ascii="宋体" w:hAnsi="宋体" w:cs="宋体"/>
                <w:color w:val="000000"/>
                <w:szCs w:val="21"/>
                <w:highlight w:val="none"/>
              </w:rPr>
            </w:pPr>
            <w:r>
              <w:rPr>
                <w:rFonts w:hint="eastAsia" w:ascii="宋体" w:hAnsi="宋体" w:cs="宋体"/>
                <w:color w:val="000000"/>
                <w:sz w:val="21"/>
                <w:szCs w:val="21"/>
                <w:lang w:val="en-US" w:eastAsia="zh-CN"/>
              </w:rPr>
              <w:t>4、以上资料均要求提供扫描件，原件备查。评分中出现无证明资料或专家无法凭所提供资料判断是否得分的情况，一律作不得分处理。</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4C1B3469">
            <w:pPr>
              <w:pageBreakBefore w:val="0"/>
              <w:widowControl/>
              <w:kinsoku/>
              <w:overflowPunct/>
              <w:bidi w:val="0"/>
              <w:spacing w:line="40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zh-CN"/>
              </w:rPr>
              <w:t>采购小组</w:t>
            </w:r>
            <w:r>
              <w:rPr>
                <w:rFonts w:hint="eastAsia" w:ascii="宋体" w:hAnsi="宋体" w:cs="宋体"/>
                <w:color w:val="000000"/>
                <w:kern w:val="0"/>
                <w:szCs w:val="21"/>
                <w:highlight w:val="none"/>
              </w:rPr>
              <w:t>打分</w:t>
            </w:r>
          </w:p>
        </w:tc>
      </w:tr>
      <w:tr w14:paraId="2DBF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blHeader/>
          <w:jc w:val="center"/>
        </w:trPr>
        <w:tc>
          <w:tcPr>
            <w:tcW w:w="583"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7FB44FE3">
            <w:pPr>
              <w:pageBreakBefore w:val="0"/>
              <w:kinsoku/>
              <w:overflowPunct/>
              <w:bidi w:val="0"/>
              <w:spacing w:line="400" w:lineRule="exact"/>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6</w:t>
            </w:r>
          </w:p>
        </w:tc>
        <w:tc>
          <w:tcPr>
            <w:tcW w:w="1302"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49A3D304">
            <w:pPr>
              <w:pageBreakBefore w:val="0"/>
              <w:kinsoku/>
              <w:overflowPunct/>
              <w:bidi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拟派团队成员情况（项目</w:t>
            </w:r>
            <w:r>
              <w:rPr>
                <w:rFonts w:hint="eastAsia" w:ascii="宋体" w:hAnsi="宋体" w:cs="宋体"/>
                <w:color w:val="000000"/>
                <w:sz w:val="21"/>
                <w:szCs w:val="21"/>
                <w:lang w:val="en-US" w:eastAsia="zh-CN"/>
              </w:rPr>
              <w:t>负责人</w:t>
            </w:r>
            <w:r>
              <w:rPr>
                <w:rFonts w:hint="eastAsia" w:ascii="宋体" w:hAnsi="宋体" w:eastAsia="宋体" w:cs="宋体"/>
                <w:color w:val="000000"/>
                <w:sz w:val="21"/>
                <w:szCs w:val="21"/>
              </w:rPr>
              <w:t>除外）</w:t>
            </w:r>
          </w:p>
        </w:tc>
        <w:tc>
          <w:tcPr>
            <w:tcW w:w="868"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3B6BFC88">
            <w:pPr>
              <w:pageBreakBefore w:val="0"/>
              <w:kinsoku/>
              <w:overflowPunct/>
              <w:bidi w:val="0"/>
              <w:spacing w:line="400" w:lineRule="exact"/>
              <w:jc w:val="center"/>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8</w:t>
            </w:r>
            <w:bookmarkStart w:id="16" w:name="_GoBack"/>
            <w:bookmarkEnd w:id="16"/>
          </w:p>
        </w:tc>
        <w:tc>
          <w:tcPr>
            <w:tcW w:w="4949"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5606DA7A">
            <w:pPr>
              <w:wordWrap w:val="0"/>
              <w:textAlignment w:val="top"/>
              <w:rPr>
                <w:rFonts w:hint="eastAsia" w:ascii="宋体" w:hAnsi="宋体" w:eastAsia="宋体" w:cs="宋体"/>
                <w:b/>
                <w:bCs/>
                <w:color w:val="000000"/>
                <w:sz w:val="21"/>
                <w:szCs w:val="21"/>
              </w:rPr>
            </w:pPr>
            <w:r>
              <w:rPr>
                <w:rFonts w:hint="eastAsia" w:ascii="宋体" w:hAnsi="宋体" w:cs="宋体"/>
                <w:b/>
                <w:bCs/>
                <w:color w:val="000000"/>
                <w:sz w:val="21"/>
                <w:szCs w:val="21"/>
                <w:lang w:val="en-US" w:eastAsia="zh-CN"/>
              </w:rPr>
              <w:t>一、</w:t>
            </w:r>
            <w:r>
              <w:rPr>
                <w:rFonts w:hint="eastAsia" w:ascii="宋体" w:hAnsi="宋体" w:cs="宋体"/>
                <w:b/>
                <w:bCs/>
                <w:color w:val="000000"/>
                <w:sz w:val="21"/>
                <w:szCs w:val="21"/>
                <w:lang w:eastAsia="zh-CN"/>
              </w:rPr>
              <w:t>评审内容</w:t>
            </w:r>
            <w:r>
              <w:rPr>
                <w:rFonts w:hint="eastAsia" w:ascii="宋体" w:hAnsi="宋体" w:eastAsia="宋体" w:cs="宋体"/>
                <w:b/>
                <w:bCs/>
                <w:color w:val="000000"/>
                <w:sz w:val="21"/>
                <w:szCs w:val="21"/>
              </w:rPr>
              <w:t>：</w:t>
            </w:r>
          </w:p>
          <w:p w14:paraId="05F98A73">
            <w:pPr>
              <w:wordWrap w:val="0"/>
              <w:textAlignment w:val="top"/>
              <w:rPr>
                <w:rFonts w:hint="eastAsia" w:ascii="宋体" w:hAnsi="宋体" w:eastAsia="宋体" w:cs="宋体"/>
                <w:b/>
                <w:bCs/>
                <w:color w:val="auto"/>
                <w:sz w:val="21"/>
                <w:szCs w:val="21"/>
              </w:rPr>
            </w:pPr>
            <w:r>
              <w:rPr>
                <w:rFonts w:hint="eastAsia" w:ascii="宋体" w:hAnsi="宋体" w:eastAsia="宋体" w:cs="宋体"/>
                <w:color w:val="000000"/>
                <w:sz w:val="21"/>
                <w:szCs w:val="21"/>
              </w:rPr>
              <w:t>拟派团队成员情况（项目</w:t>
            </w:r>
            <w:r>
              <w:rPr>
                <w:rFonts w:hint="eastAsia" w:ascii="宋体" w:hAnsi="宋体" w:cs="宋体"/>
                <w:color w:val="000000"/>
                <w:sz w:val="21"/>
                <w:szCs w:val="21"/>
                <w:lang w:val="en-US" w:eastAsia="zh-CN"/>
              </w:rPr>
              <w:t>负责人</w:t>
            </w:r>
            <w:r>
              <w:rPr>
                <w:rFonts w:hint="eastAsia" w:ascii="宋体" w:hAnsi="宋体" w:eastAsia="宋体" w:cs="宋体"/>
                <w:color w:val="000000"/>
                <w:sz w:val="21"/>
                <w:szCs w:val="21"/>
              </w:rPr>
              <w:t>除外）需为投标人</w:t>
            </w:r>
            <w:r>
              <w:rPr>
                <w:rFonts w:hint="eastAsia" w:ascii="宋体" w:hAnsi="宋体" w:cs="宋体"/>
                <w:color w:val="000000"/>
                <w:sz w:val="21"/>
                <w:szCs w:val="21"/>
                <w:lang w:val="en-US" w:eastAsia="zh-CN"/>
              </w:rPr>
              <w:t>在职</w:t>
            </w:r>
            <w:r>
              <w:rPr>
                <w:rFonts w:hint="eastAsia" w:ascii="宋体" w:hAnsi="宋体" w:eastAsia="宋体" w:cs="宋体"/>
                <w:color w:val="000000"/>
                <w:sz w:val="21"/>
                <w:szCs w:val="21"/>
              </w:rPr>
              <w:t>员工，否则</w:t>
            </w:r>
            <w:r>
              <w:rPr>
                <w:rFonts w:hint="eastAsia" w:ascii="宋体" w:hAnsi="宋体" w:eastAsia="宋体" w:cs="宋体"/>
                <w:color w:val="auto"/>
                <w:sz w:val="21"/>
                <w:szCs w:val="21"/>
              </w:rPr>
              <w:t>本项不得分：</w:t>
            </w:r>
          </w:p>
          <w:p w14:paraId="73D34F43">
            <w:pPr>
              <w:adjustRightInd w:val="0"/>
              <w:snapToGrid w:val="0"/>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w:t>
            </w:r>
            <w:r>
              <w:rPr>
                <w:rFonts w:hint="eastAsia" w:ascii="宋体" w:hAnsi="宋体" w:cs="宋体"/>
                <w:color w:val="auto"/>
                <w:sz w:val="21"/>
                <w:szCs w:val="21"/>
                <w:lang w:val="en-US" w:eastAsia="zh-CN"/>
              </w:rPr>
              <w:t>相应岗位的建筑类职称资格证书或技工证，其中要求：技术人员2名，得50分</w:t>
            </w:r>
            <w:r>
              <w:rPr>
                <w:rFonts w:hint="eastAsia" w:ascii="宋体" w:hAnsi="宋体" w:eastAsia="宋体" w:cs="宋体"/>
                <w:color w:val="auto"/>
                <w:sz w:val="21"/>
                <w:szCs w:val="21"/>
                <w:lang w:val="en-US" w:eastAsia="zh-CN"/>
              </w:rPr>
              <w:t>。</w:t>
            </w:r>
          </w:p>
          <w:p w14:paraId="320F056E">
            <w:pPr>
              <w:adjustRightInd w:val="0"/>
              <w:snapToGrid w:val="0"/>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2、提供成员的相关证书</w:t>
            </w:r>
            <w:r>
              <w:rPr>
                <w:rFonts w:hint="eastAsia"/>
                <w:color w:val="auto"/>
                <w:lang w:eastAsia="zh-CN"/>
              </w:rPr>
              <w:t>（</w:t>
            </w:r>
            <w:r>
              <w:rPr>
                <w:rFonts w:hint="eastAsia"/>
                <w:color w:val="auto"/>
                <w:lang w:val="en-US" w:eastAsia="zh-CN"/>
              </w:rPr>
              <w:t>建筑类职称证、建筑类技工证）</w:t>
            </w:r>
            <w:r>
              <w:rPr>
                <w:rFonts w:hint="eastAsia" w:ascii="宋体" w:hAnsi="宋体" w:eastAsia="宋体" w:cs="宋体"/>
                <w:color w:val="auto"/>
                <w:sz w:val="21"/>
                <w:szCs w:val="21"/>
                <w:lang w:val="en-US" w:eastAsia="zh-CN"/>
              </w:rPr>
              <w:t>、近三个月社保证明（投标人缴纳）</w:t>
            </w:r>
            <w:r>
              <w:rPr>
                <w:rFonts w:hint="eastAsia" w:ascii="宋体" w:hAnsi="宋体" w:cs="宋体"/>
                <w:color w:val="auto"/>
                <w:sz w:val="21"/>
                <w:szCs w:val="21"/>
                <w:lang w:val="en-US" w:eastAsia="zh-CN"/>
              </w:rPr>
              <w:t>，得50分</w:t>
            </w:r>
            <w:r>
              <w:rPr>
                <w:rFonts w:hint="eastAsia" w:ascii="宋体" w:hAnsi="宋体" w:eastAsia="宋体" w:cs="宋体"/>
                <w:color w:val="auto"/>
                <w:sz w:val="21"/>
                <w:szCs w:val="21"/>
                <w:lang w:val="en-US" w:eastAsia="zh-CN"/>
              </w:rPr>
              <w:t>。</w:t>
            </w:r>
          </w:p>
          <w:p w14:paraId="06268CEC">
            <w:pPr>
              <w:adjustRightInd w:val="0"/>
              <w:snapToGrid w:val="0"/>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（以上证书的注册单位应与投标单位保持一致且不包含下属机构，否则不得分。）</w:t>
            </w:r>
          </w:p>
          <w:p w14:paraId="1E21DD5A">
            <w:pPr>
              <w:pStyle w:val="2"/>
              <w:spacing w:line="240" w:lineRule="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同</w:t>
            </w:r>
            <w:r>
              <w:rPr>
                <w:rFonts w:hint="eastAsia" w:ascii="宋体" w:hAnsi="宋体" w:eastAsia="宋体" w:cs="宋体"/>
                <w:b/>
                <w:bCs/>
                <w:color w:val="auto"/>
                <w:sz w:val="21"/>
                <w:szCs w:val="21"/>
              </w:rPr>
              <w:t>一人同时满足上述多项要求的，不可以累加计分</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按单项最高标准计分</w:t>
            </w:r>
            <w:r>
              <w:rPr>
                <w:rFonts w:hint="eastAsia" w:ascii="宋体" w:hAnsi="宋体" w:eastAsia="宋体" w:cs="宋体"/>
                <w:b/>
                <w:bCs/>
                <w:color w:val="auto"/>
                <w:sz w:val="21"/>
                <w:szCs w:val="21"/>
              </w:rPr>
              <w:t>。</w:t>
            </w:r>
          </w:p>
          <w:p w14:paraId="002F5B10">
            <w:pPr>
              <w:pStyle w:val="48"/>
              <w:adjustRightInd w:val="0"/>
              <w:snapToGrid w:val="0"/>
              <w:spacing w:line="240" w:lineRule="atLeast"/>
              <w:jc w:val="both"/>
              <w:rPr>
                <w:rFonts w:hint="eastAsia" w:ascii="宋体" w:hAnsi="宋体" w:eastAsia="宋体" w:cs="宋体"/>
                <w:color w:val="auto"/>
                <w:sz w:val="22"/>
                <w:szCs w:val="22"/>
              </w:rPr>
            </w:pPr>
            <w:r>
              <w:rPr>
                <w:rFonts w:hint="eastAsia" w:ascii="宋体" w:hAnsi="宋体" w:eastAsia="宋体" w:cs="宋体"/>
                <w:b/>
                <w:color w:val="auto"/>
                <w:kern w:val="2"/>
                <w:sz w:val="21"/>
                <w:szCs w:val="21"/>
                <w:highlight w:val="none"/>
                <w:lang w:val="en-US" w:eastAsia="zh-CN" w:bidi="ar-SA"/>
              </w:rPr>
              <w:t>二、评分依据：</w:t>
            </w:r>
          </w:p>
          <w:p w14:paraId="41F318D5">
            <w:pPr>
              <w:adjustRightInd w:val="0"/>
              <w:snapToGrid w:val="0"/>
              <w:spacing w:line="240" w:lineRule="atLeast"/>
              <w:rPr>
                <w:rFonts w:hint="default" w:ascii="宋体" w:hAnsi="宋体" w:eastAsia="宋体" w:cs="宋体"/>
                <w:color w:val="000000"/>
                <w:sz w:val="21"/>
                <w:szCs w:val="21"/>
                <w:lang w:val="en-US" w:eastAsia="zh-CN"/>
              </w:rPr>
            </w:pPr>
            <w:r>
              <w:rPr>
                <w:rFonts w:hint="eastAsia" w:ascii="宋体" w:hAnsi="宋体" w:cs="宋体"/>
                <w:color w:val="auto"/>
                <w:sz w:val="21"/>
                <w:szCs w:val="21"/>
                <w:lang w:val="en-US" w:eastAsia="zh-CN"/>
              </w:rPr>
              <w:t>1、在职员工证明：提供投</w:t>
            </w:r>
            <w:r>
              <w:rPr>
                <w:rFonts w:hint="eastAsia" w:ascii="宋体" w:hAnsi="宋体" w:cs="宋体"/>
                <w:color w:val="000000"/>
                <w:sz w:val="21"/>
                <w:szCs w:val="21"/>
                <w:lang w:val="en-US" w:eastAsia="zh-CN"/>
              </w:rPr>
              <w:t>标截止日前投标人缴纳的近3个月（由于社保部门原因最近一个月的社保证明无法提供的可往前顺延一个月）的社保证明作为自有员工的证明依据；如供应商为新成立企业且成立时间不足三个月可提供情况说明或证明材料亦视为符合；</w:t>
            </w:r>
          </w:p>
          <w:p w14:paraId="78A740B2">
            <w:pPr>
              <w:adjustRightInd w:val="0"/>
              <w:snapToGrid w:val="0"/>
              <w:spacing w:line="240" w:lineRule="atLeas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2、提供有效的证明材料；</w:t>
            </w:r>
          </w:p>
          <w:p w14:paraId="2E589631">
            <w:pPr>
              <w:adjustRightInd w:val="0"/>
              <w:snapToGrid w:val="0"/>
              <w:spacing w:line="240" w:lineRule="atLeast"/>
              <w:rPr>
                <w:rFonts w:hint="eastAsia" w:ascii="宋体" w:hAnsi="宋体" w:eastAsia="宋体" w:cs="宋体"/>
                <w:color w:val="000000"/>
                <w:sz w:val="21"/>
                <w:szCs w:val="21"/>
              </w:rPr>
            </w:pPr>
            <w:r>
              <w:rPr>
                <w:rFonts w:hint="eastAsia" w:ascii="宋体" w:hAnsi="宋体" w:cs="宋体"/>
                <w:color w:val="000000"/>
                <w:sz w:val="21"/>
                <w:szCs w:val="21"/>
                <w:lang w:val="en-US" w:eastAsia="zh-CN"/>
              </w:rPr>
              <w:t>3、以上资料均要求提供扫描件，原件备查。评分中出现无证明资料或专家无法凭所提供资料判断是否得分的情况，一律作不得分处理。</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722D5B86">
            <w:pPr>
              <w:pageBreakBefore w:val="0"/>
              <w:widowControl/>
              <w:kinsoku/>
              <w:overflowPunct/>
              <w:bidi w:val="0"/>
              <w:spacing w:line="40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zh-CN"/>
              </w:rPr>
              <w:t>采购小组</w:t>
            </w:r>
            <w:r>
              <w:rPr>
                <w:rFonts w:hint="eastAsia" w:ascii="宋体" w:hAnsi="宋体" w:cs="宋体"/>
                <w:color w:val="000000"/>
                <w:kern w:val="0"/>
                <w:szCs w:val="21"/>
                <w:highlight w:val="none"/>
              </w:rPr>
              <w:t>打分</w:t>
            </w:r>
          </w:p>
        </w:tc>
      </w:tr>
      <w:tr w14:paraId="2483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02" w:type="dxa"/>
            <w:gridSpan w:val="4"/>
            <w:tcBorders>
              <w:top w:val="single" w:color="809FD9" w:sz="8" w:space="0"/>
              <w:left w:val="single" w:color="809FD9" w:sz="8" w:space="0"/>
              <w:bottom w:val="single" w:color="809FD9" w:sz="8" w:space="0"/>
              <w:right w:val="single" w:color="809FD9" w:sz="8" w:space="0"/>
            </w:tcBorders>
            <w:shd w:val="clear" w:color="auto" w:fill="FEFEFE"/>
            <w:vAlign w:val="center"/>
          </w:tcPr>
          <w:p w14:paraId="411E3004">
            <w:pPr>
              <w:pageBreakBefore w:val="0"/>
              <w:kinsoku/>
              <w:overflowPunct/>
              <w:bidi w:val="0"/>
              <w:spacing w:after="78" w:afterLines="25" w:line="400" w:lineRule="exact"/>
              <w:jc w:val="center"/>
              <w:rPr>
                <w:rFonts w:ascii="宋体" w:hAnsi="宋体"/>
                <w:b/>
                <w:bCs/>
                <w:color w:val="000000"/>
                <w:szCs w:val="21"/>
                <w:highlight w:val="none"/>
              </w:rPr>
            </w:pPr>
            <w:r>
              <w:rPr>
                <w:rFonts w:hint="eastAsia" w:ascii="宋体" w:hAnsi="宋体"/>
                <w:b/>
                <w:color w:val="000000"/>
                <w:szCs w:val="21"/>
                <w:highlight w:val="none"/>
                <w:lang w:val="zh-CN"/>
              </w:rPr>
              <w:t>三、综合实力部分</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425E1CD9">
            <w:pPr>
              <w:pageBreakBefore w:val="0"/>
              <w:kinsoku/>
              <w:overflowPunct/>
              <w:bidi w:val="0"/>
              <w:spacing w:after="78" w:afterLines="25" w:line="400" w:lineRule="exact"/>
              <w:jc w:val="center"/>
              <w:rPr>
                <w:rFonts w:hint="default" w:ascii="宋体" w:hAnsi="宋体"/>
                <w:b/>
                <w:bCs/>
                <w:color w:val="000000"/>
                <w:szCs w:val="21"/>
                <w:highlight w:val="none"/>
                <w:lang w:val="en-US"/>
              </w:rPr>
            </w:pPr>
            <w:r>
              <w:rPr>
                <w:rFonts w:hint="eastAsia" w:ascii="宋体" w:hAnsi="宋体"/>
                <w:b/>
                <w:bCs/>
                <w:color w:val="000000"/>
                <w:szCs w:val="21"/>
                <w:highlight w:val="none"/>
                <w:lang w:val="en-US" w:eastAsia="zh-CN"/>
              </w:rPr>
              <w:t>15</w:t>
            </w:r>
          </w:p>
        </w:tc>
      </w:tr>
      <w:tr w14:paraId="4E14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3"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72AE1F95">
            <w:pPr>
              <w:pageBreakBefore w:val="0"/>
              <w:kinsoku/>
              <w:wordWrap w:val="0"/>
              <w:overflowPunct/>
              <w:bidi w:val="0"/>
              <w:spacing w:after="78" w:afterLines="25" w:line="400" w:lineRule="exact"/>
              <w:jc w:val="center"/>
              <w:rPr>
                <w:rFonts w:ascii="宋体" w:hAnsi="宋体" w:cs="宋体"/>
                <w:color w:val="000000"/>
                <w:szCs w:val="21"/>
                <w:highlight w:val="none"/>
              </w:rPr>
            </w:pPr>
            <w:r>
              <w:rPr>
                <w:rFonts w:hint="eastAsia" w:ascii="宋体" w:hAnsi="宋体"/>
                <w:color w:val="000000"/>
                <w:szCs w:val="21"/>
                <w:highlight w:val="none"/>
              </w:rPr>
              <w:t>序号</w:t>
            </w:r>
          </w:p>
        </w:tc>
        <w:tc>
          <w:tcPr>
            <w:tcW w:w="1302"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176AE1F5">
            <w:pPr>
              <w:pageBreakBefore w:val="0"/>
              <w:kinsoku/>
              <w:wordWrap w:val="0"/>
              <w:overflowPunct/>
              <w:bidi w:val="0"/>
              <w:spacing w:after="78" w:afterLines="25" w:line="400" w:lineRule="exact"/>
              <w:jc w:val="center"/>
              <w:rPr>
                <w:rFonts w:ascii="宋体" w:hAnsi="宋体" w:cs="宋体"/>
                <w:color w:val="000000"/>
                <w:szCs w:val="21"/>
                <w:highlight w:val="none"/>
              </w:rPr>
            </w:pPr>
            <w:r>
              <w:rPr>
                <w:rFonts w:hint="eastAsia" w:ascii="宋体" w:hAnsi="宋体"/>
                <w:color w:val="000000"/>
                <w:szCs w:val="21"/>
                <w:highlight w:val="none"/>
              </w:rPr>
              <w:t>内容</w:t>
            </w:r>
          </w:p>
        </w:tc>
        <w:tc>
          <w:tcPr>
            <w:tcW w:w="868"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3C0FA302">
            <w:pPr>
              <w:pageBreakBefore w:val="0"/>
              <w:kinsoku/>
              <w:wordWrap w:val="0"/>
              <w:overflowPunct/>
              <w:bidi w:val="0"/>
              <w:spacing w:after="78" w:afterLines="25" w:line="400" w:lineRule="exact"/>
              <w:jc w:val="center"/>
              <w:rPr>
                <w:rFonts w:ascii="宋体" w:hAnsi="宋体" w:cs="宋体"/>
                <w:color w:val="000000"/>
                <w:szCs w:val="21"/>
                <w:highlight w:val="none"/>
              </w:rPr>
            </w:pPr>
            <w:r>
              <w:rPr>
                <w:rFonts w:hint="eastAsia" w:ascii="宋体" w:hAnsi="宋体" w:cs="宋体"/>
                <w:color w:val="000000"/>
                <w:szCs w:val="21"/>
                <w:highlight w:val="none"/>
              </w:rPr>
              <w:t>权重</w:t>
            </w:r>
          </w:p>
        </w:tc>
        <w:tc>
          <w:tcPr>
            <w:tcW w:w="4949"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113EAC34">
            <w:pPr>
              <w:pageBreakBefore w:val="0"/>
              <w:kinsoku/>
              <w:wordWrap w:val="0"/>
              <w:overflowPunct/>
              <w:bidi w:val="0"/>
              <w:spacing w:after="78" w:afterLines="25" w:line="400" w:lineRule="exact"/>
              <w:jc w:val="center"/>
              <w:rPr>
                <w:rFonts w:ascii="宋体" w:hAnsi="宋体" w:cs="宋体"/>
                <w:color w:val="000000"/>
                <w:szCs w:val="21"/>
                <w:highlight w:val="none"/>
              </w:rPr>
            </w:pPr>
            <w:r>
              <w:rPr>
                <w:rFonts w:hint="eastAsia" w:ascii="宋体" w:hAnsi="宋体"/>
                <w:color w:val="000000"/>
                <w:szCs w:val="21"/>
                <w:highlight w:val="none"/>
              </w:rPr>
              <w:t>评分规则</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4E21B926">
            <w:pPr>
              <w:pageBreakBefore w:val="0"/>
              <w:kinsoku/>
              <w:overflowPunct/>
              <w:bidi w:val="0"/>
              <w:spacing w:after="78" w:afterLines="25" w:line="400" w:lineRule="exact"/>
              <w:jc w:val="center"/>
              <w:rPr>
                <w:rFonts w:ascii="宋体" w:hAnsi="宋体"/>
                <w:color w:val="000000"/>
                <w:szCs w:val="21"/>
                <w:highlight w:val="none"/>
              </w:rPr>
            </w:pPr>
            <w:r>
              <w:rPr>
                <w:rFonts w:hint="eastAsia" w:ascii="宋体" w:hAnsi="宋体"/>
                <w:color w:val="000000"/>
                <w:szCs w:val="21"/>
                <w:highlight w:val="none"/>
              </w:rPr>
              <w:t>评分方式</w:t>
            </w:r>
          </w:p>
        </w:tc>
      </w:tr>
      <w:tr w14:paraId="3A7C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blHeader/>
          <w:jc w:val="center"/>
        </w:trPr>
        <w:tc>
          <w:tcPr>
            <w:tcW w:w="583"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5104AF73">
            <w:pPr>
              <w:pageBreakBefore w:val="0"/>
              <w:kinsoku/>
              <w:overflowPunct/>
              <w:autoSpaceDE w:val="0"/>
              <w:autoSpaceDN w:val="0"/>
              <w:bidi w:val="0"/>
              <w:adjustRightInd w:val="0"/>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lang w:val="zh-CN"/>
              </w:rPr>
              <w:t>1</w:t>
            </w:r>
          </w:p>
        </w:tc>
        <w:tc>
          <w:tcPr>
            <w:tcW w:w="1302"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4DF1B561">
            <w:pPr>
              <w:pageBreakBefore w:val="0"/>
              <w:kinsoku/>
              <w:overflowPunct/>
              <w:autoSpaceDE w:val="0"/>
              <w:autoSpaceDN w:val="0"/>
              <w:bidi w:val="0"/>
              <w:adjustRightInd w:val="0"/>
              <w:spacing w:line="400" w:lineRule="exact"/>
              <w:jc w:val="center"/>
              <w:rPr>
                <w:rFonts w:hint="eastAsia" w:ascii="宋体" w:hAnsi="宋体" w:cs="宋体"/>
                <w:color w:val="000000"/>
                <w:szCs w:val="21"/>
                <w:highlight w:val="none"/>
              </w:rPr>
            </w:pPr>
            <w:r>
              <w:rPr>
                <w:rFonts w:hint="eastAsia" w:ascii="宋体" w:hAnsi="宋体" w:eastAsia="宋体" w:cs="宋体"/>
                <w:color w:val="000000"/>
                <w:sz w:val="22"/>
                <w:szCs w:val="22"/>
              </w:rPr>
              <w:t>同类业绩</w:t>
            </w:r>
          </w:p>
        </w:tc>
        <w:tc>
          <w:tcPr>
            <w:tcW w:w="868"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6B66A7B5">
            <w:pPr>
              <w:pageBreakBefore w:val="0"/>
              <w:kinsoku/>
              <w:overflowPunct/>
              <w:autoSpaceDE w:val="0"/>
              <w:autoSpaceDN w:val="0"/>
              <w:bidi w:val="0"/>
              <w:adjustRightInd w:val="0"/>
              <w:spacing w:line="40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rPr>
              <w:t>10</w:t>
            </w:r>
          </w:p>
        </w:tc>
        <w:tc>
          <w:tcPr>
            <w:tcW w:w="4949" w:type="dxa"/>
            <w:tcBorders>
              <w:top w:val="single" w:color="809FD9" w:sz="8" w:space="0"/>
              <w:left w:val="single" w:color="809FD9" w:sz="8" w:space="0"/>
              <w:bottom w:val="single" w:color="809FD9" w:sz="8" w:space="0"/>
              <w:right w:val="single" w:color="809FD9" w:sz="8" w:space="0"/>
            </w:tcBorders>
            <w:shd w:val="clear" w:color="auto" w:fill="FEFEFE"/>
            <w:vAlign w:val="top"/>
          </w:tcPr>
          <w:p w14:paraId="76F4D629">
            <w:pPr>
              <w:wordWrap w:val="0"/>
              <w:textAlignment w:val="top"/>
              <w:rPr>
                <w:rFonts w:hint="eastAsia" w:ascii="宋体" w:hAnsi="宋体" w:eastAsia="宋体" w:cs="宋体"/>
                <w:color w:val="000000"/>
                <w:sz w:val="21"/>
                <w:szCs w:val="21"/>
              </w:rPr>
            </w:pPr>
            <w:r>
              <w:rPr>
                <w:rFonts w:hint="eastAsia" w:ascii="宋体" w:hAnsi="宋体" w:cs="宋体"/>
                <w:b/>
                <w:bCs/>
                <w:color w:val="000000"/>
                <w:sz w:val="21"/>
                <w:szCs w:val="21"/>
                <w:lang w:val="en-US" w:eastAsia="zh-CN"/>
              </w:rPr>
              <w:t>一、</w:t>
            </w:r>
            <w:r>
              <w:rPr>
                <w:rFonts w:hint="eastAsia" w:ascii="宋体" w:hAnsi="宋体" w:cs="宋体"/>
                <w:b/>
                <w:bCs/>
                <w:color w:val="000000"/>
                <w:sz w:val="21"/>
                <w:szCs w:val="21"/>
                <w:lang w:eastAsia="zh-CN"/>
              </w:rPr>
              <w:t>评审内容</w:t>
            </w:r>
            <w:r>
              <w:rPr>
                <w:rFonts w:hint="eastAsia" w:ascii="宋体" w:hAnsi="宋体" w:eastAsia="宋体" w:cs="宋体"/>
                <w:color w:val="000000"/>
                <w:sz w:val="21"/>
                <w:szCs w:val="21"/>
              </w:rPr>
              <w:t xml:space="preserve">： </w:t>
            </w:r>
          </w:p>
          <w:p w14:paraId="66B571D7">
            <w:pPr>
              <w:adjustRightInd w:val="0"/>
              <w:snapToGrid w:val="0"/>
              <w:spacing w:line="240" w:lineRule="atLeas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w:t>
            </w:r>
            <w:r>
              <w:rPr>
                <w:rFonts w:hint="eastAsia" w:ascii="宋体" w:hAnsi="宋体" w:cs="宋体"/>
                <w:color w:val="000000"/>
                <w:sz w:val="21"/>
                <w:szCs w:val="21"/>
                <w:lang w:val="en-US" w:eastAsia="zh-CN"/>
              </w:rPr>
              <w:t>2018年1月1日至本项目投标截止日前</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以合同签订日期为准</w:t>
            </w:r>
            <w:r>
              <w:rPr>
                <w:rFonts w:hint="eastAsia" w:ascii="宋体" w:hAnsi="宋体" w:eastAsia="宋体" w:cs="宋体"/>
                <w:color w:val="000000"/>
                <w:sz w:val="21"/>
                <w:szCs w:val="21"/>
                <w:lang w:val="en-US" w:eastAsia="zh-CN"/>
              </w:rPr>
              <w:t>）的</w:t>
            </w:r>
            <w:r>
              <w:rPr>
                <w:rFonts w:hint="eastAsia" w:ascii="宋体" w:hAnsi="宋体" w:cs="宋体"/>
                <w:color w:val="000000"/>
                <w:sz w:val="21"/>
                <w:szCs w:val="21"/>
                <w:lang w:val="en-US" w:eastAsia="zh-CN"/>
              </w:rPr>
              <w:t>，承担过</w:t>
            </w:r>
            <w:r>
              <w:rPr>
                <w:rFonts w:hint="eastAsia" w:ascii="宋体" w:hAnsi="宋体" w:eastAsia="宋体" w:cs="宋体"/>
                <w:color w:val="000000"/>
                <w:sz w:val="21"/>
                <w:szCs w:val="21"/>
                <w:lang w:val="en-US" w:eastAsia="zh-CN"/>
              </w:rPr>
              <w:t>房屋建筑物拆除工程业绩</w:t>
            </w:r>
            <w:r>
              <w:rPr>
                <w:rFonts w:hint="eastAsia" w:ascii="宋体" w:hAnsi="宋体" w:cs="宋体"/>
                <w:color w:val="000000"/>
                <w:sz w:val="21"/>
                <w:szCs w:val="21"/>
                <w:lang w:val="en-US" w:eastAsia="zh-CN"/>
              </w:rPr>
              <w:t>，每个项目拆除面积不少于10000平方米，每提供一个得15分，本项最高得100分</w:t>
            </w:r>
            <w:r>
              <w:rPr>
                <w:rFonts w:hint="eastAsia" w:ascii="宋体" w:hAnsi="宋体" w:eastAsia="宋体" w:cs="宋体"/>
                <w:color w:val="000000"/>
                <w:sz w:val="21"/>
                <w:szCs w:val="21"/>
                <w:lang w:val="en-US" w:eastAsia="zh-CN"/>
              </w:rPr>
              <w:t>。</w:t>
            </w:r>
          </w:p>
          <w:p w14:paraId="0BA9A092">
            <w:pPr>
              <w:pStyle w:val="48"/>
              <w:adjustRightInd w:val="0"/>
              <w:snapToGrid w:val="0"/>
              <w:spacing w:line="240" w:lineRule="atLeast"/>
              <w:jc w:val="both"/>
              <w:rPr>
                <w:rFonts w:hint="eastAsia" w:ascii="宋体" w:hAnsi="宋体" w:eastAsia="宋体" w:cs="宋体"/>
                <w:color w:val="000000"/>
                <w:sz w:val="22"/>
                <w:szCs w:val="22"/>
              </w:rPr>
            </w:pPr>
            <w:r>
              <w:rPr>
                <w:rFonts w:hint="eastAsia" w:ascii="宋体" w:hAnsi="宋体" w:eastAsia="宋体" w:cs="宋体"/>
                <w:b/>
                <w:color w:val="000000"/>
                <w:kern w:val="2"/>
                <w:sz w:val="21"/>
                <w:szCs w:val="21"/>
                <w:highlight w:val="none"/>
                <w:lang w:val="en-US" w:eastAsia="zh-CN" w:bidi="ar-SA"/>
              </w:rPr>
              <w:t>二、评分依据：</w:t>
            </w:r>
          </w:p>
          <w:p w14:paraId="5CAB9C9F">
            <w:pPr>
              <w:numPr>
                <w:ilvl w:val="0"/>
                <w:numId w:val="4"/>
              </w:numPr>
              <w:adjustRightInd w:val="0"/>
              <w:snapToGrid w:val="0"/>
              <w:spacing w:line="240" w:lineRule="atLeas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提供合同</w:t>
            </w:r>
            <w:r>
              <w:rPr>
                <w:rFonts w:hint="eastAsia" w:ascii="宋体" w:hAnsi="宋体" w:cs="宋体"/>
                <w:color w:val="000000" w:themeColor="text1"/>
                <w:sz w:val="21"/>
                <w:szCs w:val="21"/>
                <w:lang w:val="en-US" w:eastAsia="zh-CN"/>
                <w14:textFill>
                  <w14:solidFill>
                    <w14:schemeClr w14:val="tx1"/>
                  </w14:solidFill>
                </w14:textFill>
              </w:rPr>
              <w:t>关键页【包括但不限于合同（项目）名称、服务内容、合同双方签字盖章页、合同签订日期】</w:t>
            </w:r>
            <w:r>
              <w:rPr>
                <w:rFonts w:hint="eastAsia" w:ascii="宋体" w:hAnsi="宋体" w:eastAsia="宋体" w:cs="宋体"/>
                <w:color w:val="000000" w:themeColor="text1"/>
                <w:sz w:val="21"/>
                <w:szCs w:val="21"/>
                <w:lang w:val="en-US" w:eastAsia="zh-CN"/>
                <w14:textFill>
                  <w14:solidFill>
                    <w14:schemeClr w14:val="tx1"/>
                  </w14:solidFill>
                </w14:textFill>
              </w:rPr>
              <w:t>扫描件</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通过合同</w:t>
            </w:r>
            <w:r>
              <w:rPr>
                <w:rFonts w:hint="eastAsia" w:ascii="宋体" w:hAnsi="宋体" w:cs="宋体"/>
                <w:color w:val="000000" w:themeColor="text1"/>
                <w:sz w:val="21"/>
                <w:szCs w:val="21"/>
                <w:lang w:val="en-US" w:eastAsia="zh-CN"/>
                <w14:textFill>
                  <w14:solidFill>
                    <w14:schemeClr w14:val="tx1"/>
                  </w14:solidFill>
                </w14:textFill>
              </w:rPr>
              <w:t>关键页</w:t>
            </w:r>
            <w:r>
              <w:rPr>
                <w:rFonts w:hint="eastAsia" w:ascii="宋体" w:hAnsi="宋体" w:eastAsia="宋体" w:cs="宋体"/>
                <w:color w:val="000000" w:themeColor="text1"/>
                <w:sz w:val="21"/>
                <w:szCs w:val="21"/>
                <w:lang w:val="en-US" w:eastAsia="zh-CN"/>
                <w14:textFill>
                  <w14:solidFill>
                    <w14:schemeClr w14:val="tx1"/>
                  </w14:solidFill>
                </w14:textFill>
              </w:rPr>
              <w:t>无法判断是否得分的，还须同时提供</w:t>
            </w:r>
            <w:r>
              <w:rPr>
                <w:rFonts w:hint="eastAsia" w:ascii="宋体" w:hAnsi="宋体" w:cs="宋体"/>
                <w:color w:val="000000" w:themeColor="text1"/>
                <w:sz w:val="21"/>
                <w:szCs w:val="21"/>
                <w:lang w:val="en-US" w:eastAsia="zh-CN"/>
                <w14:textFill>
                  <w14:solidFill>
                    <w14:schemeClr w14:val="tx1"/>
                  </w14:solidFill>
                </w14:textFill>
              </w:rPr>
              <w:t>合同甲方出具的</w:t>
            </w:r>
            <w:r>
              <w:rPr>
                <w:rFonts w:hint="eastAsia" w:ascii="宋体" w:hAnsi="宋体" w:eastAsia="宋体" w:cs="宋体"/>
                <w:color w:val="000000" w:themeColor="text1"/>
                <w:sz w:val="21"/>
                <w:szCs w:val="21"/>
                <w:lang w:val="en-US" w:eastAsia="zh-CN"/>
                <w14:textFill>
                  <w14:solidFill>
                    <w14:schemeClr w14:val="tx1"/>
                  </w14:solidFill>
                </w14:textFill>
              </w:rPr>
              <w:t>证明资料（</w:t>
            </w:r>
            <w:r>
              <w:rPr>
                <w:rFonts w:hint="eastAsia" w:ascii="宋体" w:hAnsi="宋体" w:cs="宋体"/>
                <w:color w:val="000000" w:themeColor="text1"/>
                <w:sz w:val="21"/>
                <w:szCs w:val="21"/>
                <w:lang w:val="en-US" w:eastAsia="zh-CN"/>
                <w14:textFill>
                  <w14:solidFill>
                    <w14:schemeClr w14:val="tx1"/>
                  </w14:solidFill>
                </w14:textFill>
              </w:rPr>
              <w:t>证明资料加盖合同甲方公章或业务章</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w:t>
            </w:r>
          </w:p>
          <w:p w14:paraId="174712FD">
            <w:pPr>
              <w:adjustRightInd w:val="0"/>
              <w:snapToGrid w:val="0"/>
              <w:spacing w:line="240" w:lineRule="atLeast"/>
              <w:rPr>
                <w:rFonts w:hint="eastAsia"/>
                <w:color w:val="000000"/>
                <w:highlight w:val="none"/>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评分中出现无证明资料或专家无法凭所提供资料判断是否得分的情况，一律作不得分处理</w:t>
            </w:r>
            <w:r>
              <w:rPr>
                <w:rFonts w:hint="eastAsia" w:ascii="宋体" w:hAnsi="宋体" w:cs="宋体"/>
                <w:color w:val="000000" w:themeColor="text1"/>
                <w:sz w:val="21"/>
                <w:szCs w:val="21"/>
                <w:lang w:val="en-US" w:eastAsia="zh-CN"/>
                <w14:textFill>
                  <w14:solidFill>
                    <w14:schemeClr w14:val="tx1"/>
                  </w14:solidFill>
                </w14:textFill>
              </w:rPr>
              <w:t>。</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3FC1685A">
            <w:pPr>
              <w:pageBreakBefore w:val="0"/>
              <w:widowControl/>
              <w:kinsoku/>
              <w:overflowPunct/>
              <w:bidi w:val="0"/>
              <w:spacing w:line="40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zh-CN"/>
              </w:rPr>
              <w:t>采购小组</w:t>
            </w:r>
            <w:r>
              <w:rPr>
                <w:rFonts w:hint="eastAsia" w:ascii="宋体" w:hAnsi="宋体" w:cs="宋体"/>
                <w:color w:val="000000"/>
                <w:kern w:val="0"/>
                <w:szCs w:val="21"/>
                <w:highlight w:val="none"/>
              </w:rPr>
              <w:t>打分</w:t>
            </w:r>
          </w:p>
        </w:tc>
      </w:tr>
      <w:tr w14:paraId="49DE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blHeader/>
          <w:jc w:val="center"/>
        </w:trPr>
        <w:tc>
          <w:tcPr>
            <w:tcW w:w="583"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70BE2363">
            <w:pPr>
              <w:pageBreakBefore w:val="0"/>
              <w:kinsoku/>
              <w:overflowPunct/>
              <w:autoSpaceDE w:val="0"/>
              <w:autoSpaceDN w:val="0"/>
              <w:bidi w:val="0"/>
              <w:adjustRightInd w:val="0"/>
              <w:spacing w:line="40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3</w:t>
            </w:r>
          </w:p>
        </w:tc>
        <w:tc>
          <w:tcPr>
            <w:tcW w:w="1302"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4C18B20C">
            <w:pPr>
              <w:pageBreakBefore w:val="0"/>
              <w:kinsoku/>
              <w:overflowPunct/>
              <w:autoSpaceDE w:val="0"/>
              <w:autoSpaceDN w:val="0"/>
              <w:bidi w:val="0"/>
              <w:adjustRightInd w:val="0"/>
              <w:spacing w:line="400" w:lineRule="exact"/>
              <w:jc w:val="center"/>
              <w:rPr>
                <w:rFonts w:hint="eastAsia" w:ascii="宋体" w:hAnsi="宋体" w:cs="宋体"/>
                <w:color w:val="000000"/>
                <w:szCs w:val="21"/>
                <w:highlight w:val="none"/>
              </w:rPr>
            </w:pPr>
            <w:r>
              <w:rPr>
                <w:rFonts w:hint="eastAsia" w:ascii="宋体" w:hAnsi="宋体" w:eastAsia="宋体" w:cs="宋体"/>
                <w:color w:val="000000"/>
                <w:sz w:val="21"/>
                <w:szCs w:val="21"/>
              </w:rPr>
              <w:t>企业荣誉</w:t>
            </w:r>
          </w:p>
        </w:tc>
        <w:tc>
          <w:tcPr>
            <w:tcW w:w="868"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1B20A312">
            <w:pPr>
              <w:pageBreakBefore w:val="0"/>
              <w:kinsoku/>
              <w:overflowPunct/>
              <w:autoSpaceDE w:val="0"/>
              <w:autoSpaceDN w:val="0"/>
              <w:bidi w:val="0"/>
              <w:adjustRightInd w:val="0"/>
              <w:spacing w:line="40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5</w:t>
            </w:r>
          </w:p>
        </w:tc>
        <w:tc>
          <w:tcPr>
            <w:tcW w:w="4949" w:type="dxa"/>
            <w:tcBorders>
              <w:top w:val="single" w:color="809FD9" w:sz="8" w:space="0"/>
              <w:left w:val="single" w:color="809FD9" w:sz="8" w:space="0"/>
              <w:bottom w:val="single" w:color="809FD9" w:sz="8" w:space="0"/>
              <w:right w:val="single" w:color="809FD9" w:sz="8" w:space="0"/>
            </w:tcBorders>
            <w:shd w:val="clear" w:color="auto" w:fill="FEFEFE"/>
            <w:vAlign w:val="top"/>
          </w:tcPr>
          <w:p w14:paraId="5ED7EAF6">
            <w:pPr>
              <w:wordWrap w:val="0"/>
              <w:textAlignment w:val="top"/>
              <w:rPr>
                <w:rFonts w:hint="eastAsia" w:ascii="宋体" w:hAnsi="宋体" w:eastAsia="宋体" w:cs="宋体"/>
                <w:b/>
                <w:bCs/>
                <w:color w:val="000000"/>
                <w:sz w:val="21"/>
                <w:szCs w:val="21"/>
              </w:rPr>
            </w:pPr>
            <w:r>
              <w:rPr>
                <w:rFonts w:hint="eastAsia" w:ascii="宋体" w:hAnsi="宋体" w:cs="宋体"/>
                <w:b/>
                <w:bCs/>
                <w:color w:val="000000"/>
                <w:sz w:val="21"/>
                <w:szCs w:val="21"/>
                <w:lang w:val="en-US" w:eastAsia="zh-CN"/>
              </w:rPr>
              <w:t>一、</w:t>
            </w:r>
            <w:r>
              <w:rPr>
                <w:rFonts w:hint="eastAsia" w:ascii="宋体" w:hAnsi="宋体" w:eastAsia="宋体" w:cs="宋体"/>
                <w:b/>
                <w:bCs/>
                <w:color w:val="000000"/>
                <w:sz w:val="21"/>
                <w:szCs w:val="21"/>
                <w:lang w:eastAsia="zh-CN"/>
              </w:rPr>
              <w:t>评审内容</w:t>
            </w:r>
            <w:r>
              <w:rPr>
                <w:rFonts w:hint="eastAsia" w:ascii="宋体" w:hAnsi="宋体" w:eastAsia="宋体" w:cs="宋体"/>
                <w:b/>
                <w:bCs/>
                <w:color w:val="000000"/>
                <w:sz w:val="21"/>
                <w:szCs w:val="21"/>
              </w:rPr>
              <w:t>：</w:t>
            </w:r>
          </w:p>
          <w:p w14:paraId="3FBC5BFE">
            <w:pPr>
              <w:wordWrap w:val="0"/>
              <w:textAlignment w:val="top"/>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1、20</w:t>
            </w:r>
            <w:r>
              <w:rPr>
                <w:rFonts w:hint="eastAsia" w:ascii="宋体" w:hAnsi="宋体" w:cs="宋体"/>
                <w:color w:val="000000"/>
                <w:sz w:val="21"/>
                <w:szCs w:val="21"/>
                <w:lang w:val="en-US" w:eastAsia="zh-CN"/>
              </w:rPr>
              <w:t>18</w:t>
            </w:r>
            <w:r>
              <w:rPr>
                <w:rFonts w:hint="eastAsia" w:ascii="宋体" w:hAnsi="宋体" w:eastAsia="宋体" w:cs="宋体"/>
                <w:color w:val="000000"/>
                <w:sz w:val="21"/>
                <w:szCs w:val="21"/>
              </w:rPr>
              <w:t>年1月1日起至本项目投标截止之日</w:t>
            </w:r>
            <w:r>
              <w:rPr>
                <w:rFonts w:hint="eastAsia" w:ascii="宋体" w:hAnsi="宋体" w:cs="宋体"/>
                <w:color w:val="000000"/>
                <w:sz w:val="21"/>
                <w:szCs w:val="21"/>
                <w:lang w:eastAsia="zh-CN"/>
              </w:rPr>
              <w:t>（以</w:t>
            </w:r>
            <w:r>
              <w:rPr>
                <w:rFonts w:hint="eastAsia" w:ascii="宋体" w:hAnsi="宋体" w:cs="宋体"/>
                <w:color w:val="000000"/>
                <w:sz w:val="21"/>
                <w:szCs w:val="21"/>
                <w:lang w:val="en-US" w:eastAsia="zh-CN"/>
              </w:rPr>
              <w:t>荣誉授权</w:t>
            </w:r>
            <w:r>
              <w:rPr>
                <w:rFonts w:hint="eastAsia" w:ascii="宋体" w:hAnsi="宋体" w:cs="宋体"/>
                <w:color w:val="000000"/>
                <w:sz w:val="21"/>
                <w:szCs w:val="21"/>
                <w:lang w:eastAsia="zh-CN"/>
              </w:rPr>
              <w:t>日期为准）</w:t>
            </w:r>
            <w:r>
              <w:rPr>
                <w:rFonts w:hint="eastAsia" w:ascii="宋体" w:hAnsi="宋体" w:eastAsia="宋体" w:cs="宋体"/>
                <w:color w:val="000000"/>
                <w:sz w:val="21"/>
                <w:szCs w:val="21"/>
              </w:rPr>
              <w:t>，</w:t>
            </w:r>
            <w:r>
              <w:rPr>
                <w:rFonts w:hint="eastAsia" w:ascii="宋体" w:hAnsi="宋体" w:cs="宋体"/>
                <w:color w:val="000000"/>
                <w:sz w:val="21"/>
                <w:szCs w:val="21"/>
                <w:lang w:eastAsia="zh-CN"/>
              </w:rPr>
              <w:t>在</w:t>
            </w:r>
            <w:r>
              <w:rPr>
                <w:rFonts w:hint="eastAsia" w:ascii="宋体" w:hAnsi="宋体" w:cs="宋体"/>
                <w:color w:val="000000"/>
                <w:sz w:val="21"/>
                <w:szCs w:val="21"/>
                <w:lang w:val="en-US" w:eastAsia="zh-CN"/>
              </w:rPr>
              <w:t>施工方面</w:t>
            </w:r>
            <w:r>
              <w:rPr>
                <w:rFonts w:hint="eastAsia" w:ascii="宋体" w:hAnsi="宋体" w:cs="宋体"/>
                <w:color w:val="000000"/>
                <w:sz w:val="21"/>
                <w:szCs w:val="21"/>
                <w:lang w:eastAsia="zh-CN"/>
              </w:rPr>
              <w:t>获得</w:t>
            </w:r>
            <w:r>
              <w:rPr>
                <w:rFonts w:hint="eastAsia"/>
                <w:lang w:eastAsia="zh-CN"/>
              </w:rPr>
              <w:t>相关</w:t>
            </w:r>
            <w:r>
              <w:rPr>
                <w:rFonts w:hint="eastAsia"/>
                <w:lang w:val="en-US" w:eastAsia="zh-CN"/>
              </w:rPr>
              <w:t>的</w:t>
            </w:r>
            <w:r>
              <w:rPr>
                <w:rFonts w:hint="eastAsia"/>
                <w:lang w:eastAsia="zh-CN"/>
              </w:rPr>
              <w:t>荣誉或奖项</w:t>
            </w:r>
            <w:r>
              <w:rPr>
                <w:rFonts w:hint="eastAsia"/>
                <w:lang w:val="en-US" w:eastAsia="zh-CN"/>
              </w:rPr>
              <w:t>的，每得一个荣誉得30分，本项最高100分</w:t>
            </w:r>
            <w:r>
              <w:rPr>
                <w:rFonts w:hint="eastAsia"/>
                <w:lang w:eastAsia="zh-CN"/>
              </w:rPr>
              <w:t>；</w:t>
            </w:r>
          </w:p>
          <w:p w14:paraId="7A6E2F34">
            <w:pPr>
              <w:wordWrap w:val="0"/>
              <w:textAlignment w:val="top"/>
              <w:rPr>
                <w:rFonts w:hint="eastAsia" w:ascii="宋体" w:hAnsi="宋体" w:eastAsia="宋体" w:cs="宋体"/>
                <w:b/>
                <w:bCs/>
                <w:color w:val="000000"/>
                <w:sz w:val="21"/>
                <w:szCs w:val="21"/>
              </w:rPr>
            </w:pPr>
            <w:r>
              <w:rPr>
                <w:rFonts w:hint="eastAsia" w:ascii="宋体" w:hAnsi="宋体" w:eastAsia="宋体" w:cs="宋体"/>
                <w:b/>
                <w:color w:val="000000"/>
                <w:kern w:val="2"/>
                <w:sz w:val="21"/>
                <w:szCs w:val="21"/>
                <w:highlight w:val="none"/>
                <w:lang w:val="en-US" w:eastAsia="zh-CN" w:bidi="ar-SA"/>
              </w:rPr>
              <w:t>二、评分依据</w:t>
            </w:r>
            <w:r>
              <w:rPr>
                <w:rFonts w:hint="eastAsia" w:ascii="宋体" w:hAnsi="宋体" w:eastAsia="宋体" w:cs="宋体"/>
                <w:b/>
                <w:bCs/>
                <w:color w:val="000000"/>
                <w:sz w:val="21"/>
                <w:szCs w:val="21"/>
              </w:rPr>
              <w:t>：</w:t>
            </w:r>
          </w:p>
          <w:p w14:paraId="353511B0">
            <w:pPr>
              <w:wordWrap w:val="0"/>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提供相关的表扬信</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荣誉牌或其它履约评价证明</w:t>
            </w:r>
            <w:r>
              <w:rPr>
                <w:rFonts w:hint="eastAsia" w:ascii="宋体" w:hAnsi="宋体" w:eastAsia="宋体" w:cs="宋体"/>
                <w:color w:val="000000"/>
                <w:sz w:val="21"/>
                <w:szCs w:val="21"/>
              </w:rPr>
              <w:t>材料扫描件，原件备查。</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623720F6">
            <w:pPr>
              <w:pageBreakBefore w:val="0"/>
              <w:widowControl/>
              <w:kinsoku/>
              <w:overflowPunct/>
              <w:bidi w:val="0"/>
              <w:spacing w:line="40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zh-CN"/>
              </w:rPr>
              <w:t>采购小组</w:t>
            </w:r>
            <w:r>
              <w:rPr>
                <w:rFonts w:hint="eastAsia" w:ascii="宋体" w:hAnsi="宋体" w:cs="宋体"/>
                <w:color w:val="000000"/>
                <w:kern w:val="0"/>
                <w:szCs w:val="21"/>
                <w:highlight w:val="none"/>
              </w:rPr>
              <w:t>打分</w:t>
            </w:r>
          </w:p>
        </w:tc>
      </w:tr>
      <w:tr w14:paraId="10DD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blHeader/>
          <w:jc w:val="center"/>
        </w:trPr>
        <w:tc>
          <w:tcPr>
            <w:tcW w:w="7702" w:type="dxa"/>
            <w:gridSpan w:val="4"/>
            <w:tcBorders>
              <w:top w:val="single" w:color="809FD9" w:sz="8" w:space="0"/>
              <w:left w:val="single" w:color="809FD9" w:sz="8" w:space="0"/>
              <w:bottom w:val="single" w:color="809FD9" w:sz="8" w:space="0"/>
              <w:right w:val="single" w:color="809FD9" w:sz="8" w:space="0"/>
            </w:tcBorders>
            <w:shd w:val="clear" w:color="auto" w:fill="FEFEFE"/>
            <w:vAlign w:val="center"/>
          </w:tcPr>
          <w:p w14:paraId="08E7DBE8">
            <w:pPr>
              <w:pageBreakBefore w:val="0"/>
              <w:kinsoku/>
              <w:overflowPunct/>
              <w:bidi w:val="0"/>
              <w:spacing w:after="78" w:afterLines="25" w:line="400" w:lineRule="exact"/>
              <w:jc w:val="center"/>
              <w:rPr>
                <w:rFonts w:hint="eastAsia" w:hAnsi="宋体" w:cs="宋体"/>
                <w:color w:val="000000"/>
                <w:sz w:val="21"/>
                <w:szCs w:val="21"/>
                <w:highlight w:val="none"/>
              </w:rPr>
            </w:pPr>
            <w:r>
              <w:rPr>
                <w:rFonts w:hint="eastAsia" w:ascii="宋体" w:hAnsi="宋体"/>
                <w:b/>
                <w:color w:val="000000"/>
                <w:szCs w:val="21"/>
                <w:highlight w:val="none"/>
                <w:lang w:val="zh-CN"/>
              </w:rPr>
              <w:t>四、诚信部分</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75C936E8">
            <w:pPr>
              <w:pageBreakBefore w:val="0"/>
              <w:kinsoku/>
              <w:overflowPunct/>
              <w:bidi w:val="0"/>
              <w:spacing w:after="78" w:afterLines="25" w:line="400" w:lineRule="exact"/>
              <w:jc w:val="center"/>
              <w:rPr>
                <w:rFonts w:hint="eastAsia" w:ascii="宋体" w:hAnsi="宋体" w:cs="宋体"/>
                <w:color w:val="000000"/>
                <w:kern w:val="0"/>
                <w:szCs w:val="21"/>
                <w:highlight w:val="none"/>
              </w:rPr>
            </w:pPr>
            <w:r>
              <w:rPr>
                <w:rFonts w:hint="eastAsia" w:ascii="宋体" w:hAnsi="宋体"/>
                <w:b/>
                <w:bCs/>
                <w:color w:val="000000"/>
                <w:szCs w:val="21"/>
                <w:highlight w:val="none"/>
                <w:lang w:val="en-US" w:eastAsia="zh-CN"/>
              </w:rPr>
              <w:t>5</w:t>
            </w:r>
          </w:p>
        </w:tc>
      </w:tr>
      <w:tr w14:paraId="63A5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blHeader/>
          <w:jc w:val="center"/>
        </w:trPr>
        <w:tc>
          <w:tcPr>
            <w:tcW w:w="583"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4CBFD843">
            <w:pPr>
              <w:pageBreakBefore w:val="0"/>
              <w:kinsoku/>
              <w:wordWrap w:val="0"/>
              <w:overflowPunct/>
              <w:bidi w:val="0"/>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1</w:t>
            </w:r>
          </w:p>
        </w:tc>
        <w:tc>
          <w:tcPr>
            <w:tcW w:w="1302"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62A2E84C">
            <w:pPr>
              <w:pageBreakBefore w:val="0"/>
              <w:kinsoku/>
              <w:wordWrap w:val="0"/>
              <w:overflowPunct/>
              <w:bidi w:val="0"/>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诚信情况</w:t>
            </w:r>
          </w:p>
        </w:tc>
        <w:tc>
          <w:tcPr>
            <w:tcW w:w="868"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1659F329">
            <w:pPr>
              <w:pageBreakBefore w:val="0"/>
              <w:kinsoku/>
              <w:wordWrap w:val="0"/>
              <w:overflowPunct/>
              <w:bidi w:val="0"/>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4949"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12F2CBAF">
            <w:pPr>
              <w:wordWrap w:val="0"/>
              <w:textAlignment w:val="top"/>
              <w:rPr>
                <w:rFonts w:hint="eastAsia" w:ascii="宋体" w:hAnsi="宋体" w:eastAsia="宋体" w:cs="宋体"/>
                <w:b/>
                <w:bCs/>
                <w:color w:val="000000"/>
                <w:sz w:val="21"/>
                <w:szCs w:val="21"/>
                <w:lang w:val="sq-AL"/>
              </w:rPr>
            </w:pPr>
            <w:r>
              <w:rPr>
                <w:rFonts w:hint="eastAsia" w:ascii="宋体" w:hAnsi="宋体" w:eastAsia="宋体" w:cs="宋体"/>
                <w:b/>
                <w:bCs/>
                <w:color w:val="000000"/>
                <w:sz w:val="21"/>
                <w:szCs w:val="21"/>
                <w:lang w:val="en-US" w:eastAsia="zh-CN"/>
              </w:rPr>
              <w:t>一、</w:t>
            </w:r>
            <w:r>
              <w:rPr>
                <w:rFonts w:hint="eastAsia" w:ascii="宋体" w:hAnsi="宋体" w:eastAsia="宋体" w:cs="宋体"/>
                <w:b/>
                <w:bCs/>
                <w:color w:val="000000"/>
                <w:sz w:val="21"/>
                <w:szCs w:val="21"/>
                <w:lang w:val="sq-AL"/>
              </w:rPr>
              <w:t>评审</w:t>
            </w:r>
            <w:r>
              <w:rPr>
                <w:rFonts w:hint="eastAsia" w:ascii="宋体" w:hAnsi="宋体" w:eastAsia="宋体" w:cs="宋体"/>
                <w:b/>
                <w:bCs/>
                <w:color w:val="000000"/>
                <w:sz w:val="21"/>
                <w:szCs w:val="21"/>
                <w:lang w:eastAsia="zh-CN"/>
              </w:rPr>
              <w:t>内容</w:t>
            </w:r>
            <w:r>
              <w:rPr>
                <w:rFonts w:hint="eastAsia" w:ascii="宋体" w:hAnsi="宋体" w:eastAsia="宋体" w:cs="宋体"/>
                <w:b/>
                <w:bCs/>
                <w:color w:val="000000"/>
                <w:sz w:val="21"/>
                <w:szCs w:val="21"/>
                <w:lang w:val="sq-AL"/>
              </w:rPr>
              <w:t>：</w:t>
            </w:r>
          </w:p>
          <w:p w14:paraId="6A743C30">
            <w:pPr>
              <w:wordWrap w:val="0"/>
              <w:textAlignment w:val="top"/>
              <w:rPr>
                <w:rFonts w:hint="eastAsia" w:ascii="宋体" w:hAnsi="宋体" w:eastAsia="宋体" w:cs="宋体"/>
                <w:color w:val="000000"/>
                <w:sz w:val="21"/>
                <w:szCs w:val="21"/>
                <w:lang w:val="sq-AL"/>
              </w:rPr>
            </w:pPr>
            <w:r>
              <w:rPr>
                <w:rFonts w:hint="eastAsia" w:ascii="宋体" w:hAnsi="宋体" w:eastAsia="宋体" w:cs="宋体"/>
                <w:color w:val="000000"/>
                <w:sz w:val="21"/>
                <w:szCs w:val="21"/>
                <w:lang w:val="sq-AL"/>
              </w:rPr>
              <w:t>根据深圳市财政委员会政府采购诚信管理相关规定，对投标人被记录诚信档案的情况进行评审（对于受过行政处罚供应商，行政处罚期满后，可参与政府采购活动，其诚信分不再扣减。）</w:t>
            </w:r>
          </w:p>
          <w:p w14:paraId="105A413E">
            <w:pPr>
              <w:wordWrap w:val="0"/>
              <w:textAlignment w:val="top"/>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二、</w:t>
            </w:r>
            <w:r>
              <w:rPr>
                <w:rFonts w:hint="eastAsia" w:ascii="宋体" w:hAnsi="宋体" w:eastAsia="宋体" w:cs="宋体"/>
                <w:b/>
                <w:color w:val="000000"/>
                <w:kern w:val="2"/>
                <w:sz w:val="21"/>
                <w:szCs w:val="21"/>
                <w:highlight w:val="none"/>
                <w:lang w:val="en-US" w:eastAsia="zh-CN" w:bidi="ar-SA"/>
              </w:rPr>
              <w:t>评分依据</w:t>
            </w:r>
            <w:r>
              <w:rPr>
                <w:rFonts w:hint="eastAsia" w:ascii="宋体" w:hAnsi="宋体" w:eastAsia="宋体" w:cs="宋体"/>
                <w:b/>
                <w:bCs/>
                <w:color w:val="000000"/>
                <w:sz w:val="21"/>
                <w:szCs w:val="21"/>
                <w:lang w:val="en-US" w:eastAsia="zh-CN"/>
              </w:rPr>
              <w:t>：</w:t>
            </w:r>
          </w:p>
          <w:p w14:paraId="690D828C">
            <w:pPr>
              <w:pageBreakBefore w:val="0"/>
              <w:kinsoku/>
              <w:overflowPunct/>
              <w:bidi w:val="0"/>
              <w:spacing w:line="400" w:lineRule="exact"/>
              <w:rPr>
                <w:rFonts w:hint="eastAsia"/>
                <w:color w:val="000000"/>
                <w:highlight w:val="none"/>
              </w:rPr>
            </w:pPr>
            <w:r>
              <w:rPr>
                <w:rFonts w:hint="eastAsia" w:ascii="宋体" w:hAnsi="宋体" w:eastAsia="宋体" w:cs="宋体"/>
                <w:color w:val="000000"/>
                <w:sz w:val="21"/>
                <w:szCs w:val="21"/>
                <w:lang w:val="sq-AL"/>
              </w:rPr>
              <w:t>须提供《诚信承诺函》，如若投标人承诺与实际情况不相符，将按照虚假投标的情况报相关主管部门处理，承诺函应按招标文件格式填写原件加盖投标人公章。</w:t>
            </w:r>
          </w:p>
        </w:tc>
        <w:tc>
          <w:tcPr>
            <w:tcW w:w="1265" w:type="dxa"/>
            <w:tcBorders>
              <w:top w:val="single" w:color="809FD9" w:sz="8" w:space="0"/>
              <w:left w:val="single" w:color="809FD9" w:sz="8" w:space="0"/>
              <w:bottom w:val="single" w:color="809FD9" w:sz="8" w:space="0"/>
              <w:right w:val="single" w:color="809FD9" w:sz="8" w:space="0"/>
            </w:tcBorders>
            <w:shd w:val="clear" w:color="auto" w:fill="FEFEFE"/>
            <w:vAlign w:val="center"/>
          </w:tcPr>
          <w:p w14:paraId="7E388230">
            <w:pPr>
              <w:pageBreakBefore w:val="0"/>
              <w:widowControl/>
              <w:kinsoku/>
              <w:overflowPunct/>
              <w:bidi w:val="0"/>
              <w:spacing w:line="4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zh-CN"/>
              </w:rPr>
              <w:t>采购小组</w:t>
            </w:r>
            <w:r>
              <w:rPr>
                <w:rFonts w:hint="eastAsia" w:ascii="宋体" w:hAnsi="宋体" w:cs="宋体"/>
                <w:color w:val="000000"/>
                <w:kern w:val="0"/>
                <w:szCs w:val="21"/>
                <w:highlight w:val="none"/>
              </w:rPr>
              <w:t>打分</w:t>
            </w:r>
          </w:p>
        </w:tc>
      </w:tr>
    </w:tbl>
    <w:p w14:paraId="03DDF3D9">
      <w:pPr>
        <w:bidi w:val="0"/>
        <w:rPr>
          <w:rFonts w:hint="eastAsia"/>
          <w:lang w:val="sq-AL" w:eastAsia="sq-AL"/>
        </w:rPr>
      </w:pPr>
    </w:p>
    <w:bookmarkEnd w:id="12"/>
    <w:bookmarkEnd w:id="13"/>
    <w:bookmarkEnd w:id="14"/>
    <w:bookmarkEnd w:id="15"/>
    <w:p w14:paraId="3E1A6115">
      <w:pPr>
        <w:pStyle w:val="36"/>
        <w:pageBreakBefore w:val="0"/>
        <w:kinsoku/>
        <w:overflowPunct/>
        <w:bidi w:val="0"/>
        <w:spacing w:beforeLines="0" w:line="400" w:lineRule="exact"/>
        <w:rPr>
          <w:rFonts w:hint="eastAsia" w:cs="黑体" w:asciiTheme="minorEastAsia" w:hAnsiTheme="minorEastAsia" w:eastAsiaTheme="minorEastAsia"/>
          <w:bCs w:val="0"/>
          <w:highlight w:val="none"/>
          <w:lang w:val="sq-AL" w:eastAsia="sq-AL"/>
        </w:rPr>
      </w:pPr>
      <w:r>
        <w:rPr>
          <w:rFonts w:hint="eastAsia" w:cs="黑体" w:asciiTheme="minorEastAsia" w:hAnsiTheme="minorEastAsia" w:eastAsiaTheme="minorEastAsia"/>
          <w:bCs w:val="0"/>
          <w:highlight w:val="none"/>
          <w:lang w:val="en-US" w:eastAsia="zh-CN"/>
        </w:rPr>
        <w:t>七</w:t>
      </w:r>
      <w:r>
        <w:rPr>
          <w:rFonts w:hint="eastAsia" w:cs="黑体" w:asciiTheme="minorEastAsia" w:hAnsiTheme="minorEastAsia" w:eastAsiaTheme="minorEastAsia"/>
          <w:bCs w:val="0"/>
          <w:highlight w:val="none"/>
          <w:lang w:val="sq-AL" w:eastAsia="zh-CN"/>
        </w:rPr>
        <w:t>、</w:t>
      </w:r>
      <w:r>
        <w:rPr>
          <w:rFonts w:hint="eastAsia" w:cs="黑体" w:asciiTheme="minorEastAsia" w:hAnsiTheme="minorEastAsia" w:eastAsiaTheme="minorEastAsia"/>
          <w:bCs w:val="0"/>
          <w:highlight w:val="none"/>
          <w:lang w:val="sq-AL" w:eastAsia="sq-AL"/>
        </w:rPr>
        <w:t>履约评价</w:t>
      </w:r>
    </w:p>
    <w:p w14:paraId="02FC8001">
      <w:pPr>
        <w:pStyle w:val="37"/>
        <w:pageBreakBefore w:val="0"/>
        <w:kinsoku/>
        <w:overflowPunct/>
        <w:bidi w:val="0"/>
        <w:spacing w:line="400" w:lineRule="exact"/>
        <w:ind w:right="964" w:firstLine="562" w:firstLineChars="200"/>
        <w:rPr>
          <w:rFonts w:hint="eastAsia" w:cs="楷体_GB2312" w:asciiTheme="minorEastAsia" w:hAnsiTheme="minorEastAsia" w:eastAsiaTheme="minorEastAsia"/>
          <w:b/>
          <w:highlight w:val="none"/>
        </w:rPr>
      </w:pPr>
      <w:r>
        <w:rPr>
          <w:rFonts w:hint="eastAsia" w:cs="楷体_GB2312" w:asciiTheme="minorEastAsia" w:hAnsiTheme="minorEastAsia" w:eastAsiaTheme="minorEastAsia"/>
          <w:b/>
          <w:highlight w:val="none"/>
          <w:lang w:val="en-US" w:eastAsia="zh-CN"/>
        </w:rPr>
        <w:t>7</w:t>
      </w:r>
      <w:r>
        <w:rPr>
          <w:rFonts w:hint="eastAsia" w:cs="楷体_GB2312" w:asciiTheme="minorEastAsia" w:hAnsiTheme="minorEastAsia" w:eastAsiaTheme="minorEastAsia"/>
          <w:b/>
          <w:highlight w:val="none"/>
        </w:rPr>
        <w:t>.1评</w:t>
      </w:r>
      <w:r>
        <w:rPr>
          <w:rFonts w:hint="eastAsia" w:cs="楷体_GB2312" w:asciiTheme="minorEastAsia" w:hAnsiTheme="minorEastAsia" w:eastAsiaTheme="minorEastAsia"/>
          <w:b/>
          <w:highlight w:val="none"/>
          <w:lang w:eastAsia="zh-CN"/>
        </w:rPr>
        <w:t>价</w:t>
      </w:r>
      <w:r>
        <w:rPr>
          <w:rFonts w:hint="eastAsia" w:cs="楷体_GB2312" w:asciiTheme="minorEastAsia" w:hAnsiTheme="minorEastAsia" w:eastAsiaTheme="minorEastAsia"/>
          <w:b/>
          <w:highlight w:val="none"/>
        </w:rPr>
        <w:t>方法</w:t>
      </w:r>
    </w:p>
    <w:p w14:paraId="7CC566A8">
      <w:pPr>
        <w:pStyle w:val="19"/>
        <w:numPr>
          <w:ilvl w:val="-1"/>
          <w:numId w:val="0"/>
        </w:numPr>
        <w:spacing w:line="400" w:lineRule="exact"/>
        <w:ind w:left="0" w:leftChars="0" w:firstLine="480"/>
        <w:rPr>
          <w:rFonts w:hint="eastAsia" w:cs="仿宋_GB2312" w:asciiTheme="minorEastAsia" w:hAnsiTheme="minorEastAsia" w:eastAsiaTheme="minorEastAsia"/>
          <w:color w:val="000000"/>
          <w:sz w:val="24"/>
          <w:highlight w:val="none"/>
          <w:lang w:eastAsia="zh-CN"/>
        </w:rPr>
      </w:pPr>
      <w:r>
        <w:rPr>
          <w:rFonts w:hint="eastAsia" w:cs="仿宋_GB2312" w:asciiTheme="minorEastAsia" w:hAnsiTheme="minorEastAsia" w:eastAsiaTheme="minorEastAsia"/>
          <w:color w:val="000000"/>
          <w:sz w:val="24"/>
          <w:highlight w:val="none"/>
          <w:lang w:eastAsia="zh-CN"/>
        </w:rPr>
        <w:t>中标方每次申请付款时，采购方应当对中标方当期服务进行评价，并填写《合同验收履约评价记录表》（附件</w:t>
      </w:r>
      <w:r>
        <w:rPr>
          <w:rFonts w:hint="eastAsia" w:cs="仿宋_GB2312" w:asciiTheme="minorEastAsia" w:hAnsiTheme="minorEastAsia" w:eastAsiaTheme="minorEastAsia"/>
          <w:color w:val="000000"/>
          <w:sz w:val="24"/>
          <w:highlight w:val="none"/>
          <w:lang w:val="en-US" w:eastAsia="zh-CN"/>
        </w:rPr>
        <w:t>3</w:t>
      </w:r>
      <w:r>
        <w:rPr>
          <w:rFonts w:hint="eastAsia" w:cs="仿宋_GB2312" w:asciiTheme="minorEastAsia" w:hAnsiTheme="minorEastAsia" w:eastAsiaTheme="minorEastAsia"/>
          <w:color w:val="000000"/>
          <w:sz w:val="24"/>
          <w:highlight w:val="none"/>
          <w:lang w:eastAsia="zh-CN"/>
        </w:rPr>
        <w:t>）。</w:t>
      </w:r>
    </w:p>
    <w:p w14:paraId="41FC804D">
      <w:pPr>
        <w:pStyle w:val="18"/>
        <w:rPr>
          <w:rFonts w:hint="eastAsia"/>
          <w:lang w:eastAsia="zh-CN"/>
        </w:rPr>
      </w:pPr>
    </w:p>
    <w:p w14:paraId="2ACC9BE7">
      <w:pPr>
        <w:pStyle w:val="37"/>
        <w:pageBreakBefore w:val="0"/>
        <w:kinsoku/>
        <w:overflowPunct/>
        <w:bidi w:val="0"/>
        <w:spacing w:line="400" w:lineRule="exact"/>
        <w:ind w:firstLine="562"/>
        <w:rPr>
          <w:rFonts w:hint="eastAsia" w:cs="楷体_GB2312" w:asciiTheme="minorEastAsia" w:hAnsiTheme="minorEastAsia" w:eastAsiaTheme="minorEastAsia"/>
          <w:b/>
          <w:highlight w:val="none"/>
          <w:lang w:eastAsia="zh-CN"/>
        </w:rPr>
      </w:pPr>
      <w:r>
        <w:rPr>
          <w:rFonts w:hint="eastAsia" w:cs="楷体_GB2312" w:asciiTheme="minorEastAsia" w:hAnsiTheme="minorEastAsia" w:eastAsiaTheme="minorEastAsia"/>
          <w:b/>
          <w:highlight w:val="none"/>
          <w:lang w:val="en-US" w:eastAsia="zh-CN"/>
        </w:rPr>
        <w:t>7</w:t>
      </w:r>
      <w:r>
        <w:rPr>
          <w:rFonts w:hint="eastAsia" w:cs="楷体_GB2312" w:asciiTheme="minorEastAsia" w:hAnsiTheme="minorEastAsia" w:eastAsiaTheme="minorEastAsia"/>
          <w:b/>
          <w:highlight w:val="none"/>
        </w:rPr>
        <w:t>.2评</w:t>
      </w:r>
      <w:r>
        <w:rPr>
          <w:rFonts w:hint="eastAsia" w:cs="楷体_GB2312" w:asciiTheme="minorEastAsia" w:hAnsiTheme="minorEastAsia" w:eastAsiaTheme="minorEastAsia"/>
          <w:b/>
          <w:highlight w:val="none"/>
          <w:lang w:eastAsia="zh-CN"/>
        </w:rPr>
        <w:t>价标准</w:t>
      </w:r>
    </w:p>
    <w:p w14:paraId="3048D34A">
      <w:pPr>
        <w:pStyle w:val="19"/>
        <w:numPr>
          <w:ilvl w:val="-1"/>
          <w:numId w:val="0"/>
        </w:numPr>
        <w:spacing w:line="400" w:lineRule="exact"/>
        <w:ind w:left="0" w:leftChars="0" w:firstLine="480"/>
        <w:rPr>
          <w:rFonts w:hint="default"/>
          <w:color w:val="FF0000"/>
          <w:lang w:val="en-US" w:eastAsia="zh-CN"/>
        </w:rPr>
      </w:pPr>
      <w:r>
        <w:rPr>
          <w:rFonts w:hint="eastAsia" w:cs="仿宋_GB2312" w:asciiTheme="minorEastAsia" w:hAnsiTheme="minorEastAsia" w:eastAsiaTheme="minorEastAsia"/>
          <w:color w:val="000000"/>
          <w:sz w:val="24"/>
          <w:highlight w:val="none"/>
          <w:lang w:eastAsia="zh-CN"/>
        </w:rPr>
        <w:t>（</w:t>
      </w:r>
      <w:r>
        <w:rPr>
          <w:rFonts w:hint="eastAsia" w:cs="仿宋_GB2312" w:asciiTheme="minorEastAsia" w:hAnsiTheme="minorEastAsia" w:eastAsiaTheme="minorEastAsia"/>
          <w:color w:val="000000"/>
          <w:sz w:val="24"/>
          <w:highlight w:val="none"/>
          <w:lang w:val="en-US" w:eastAsia="zh-CN"/>
        </w:rPr>
        <w:t>1）</w:t>
      </w:r>
      <w:r>
        <w:rPr>
          <w:rFonts w:hint="eastAsia" w:cs="仿宋_GB2312" w:asciiTheme="minorEastAsia" w:hAnsiTheme="minorEastAsia" w:eastAsiaTheme="minorEastAsia"/>
          <w:color w:val="000000"/>
          <w:sz w:val="24"/>
          <w:highlight w:val="none"/>
          <w:lang w:eastAsia="zh-CN"/>
        </w:rPr>
        <w:t>服务质量：</w:t>
      </w:r>
      <w:r>
        <w:rPr>
          <w:rFonts w:hint="default" w:ascii="Calibri" w:hAnsi="Calibri" w:cs="Calibri" w:eastAsiaTheme="minorEastAsia"/>
          <w:color w:val="auto"/>
          <w:sz w:val="24"/>
          <w:highlight w:val="none"/>
        </w:rPr>
        <w:t>中标方按时、无安全事故完成拆除，未在政府规定的拆除施工时间以外收到居民投诉的，评价为优；平均每个月有收到3次及以内政府规定的拆除施工时间以外居民投诉的，评价为良；平均每个月有收到6次及以内政府规定的拆除施工时间以外居民投诉的，评价为中；平均每个月有收到6次以上政府规定的拆除施工时间以外居民投诉，或发生安全事故的，评价为差。</w:t>
      </w:r>
    </w:p>
    <w:p w14:paraId="13EE65FC">
      <w:pPr>
        <w:pStyle w:val="19"/>
        <w:numPr>
          <w:ilvl w:val="-1"/>
          <w:numId w:val="0"/>
        </w:numPr>
        <w:spacing w:line="400" w:lineRule="exact"/>
        <w:ind w:left="0" w:leftChars="0" w:firstLine="480"/>
        <w:rPr>
          <w:rFonts w:hint="eastAsia" w:cs="仿宋_GB2312" w:asciiTheme="minorEastAsia" w:hAnsiTheme="minorEastAsia" w:eastAsiaTheme="minorEastAsia"/>
          <w:color w:val="000000"/>
          <w:sz w:val="24"/>
          <w:highlight w:val="none"/>
          <w:lang w:eastAsia="zh-CN"/>
        </w:rPr>
      </w:pPr>
      <w:r>
        <w:rPr>
          <w:rFonts w:hint="eastAsia" w:cs="仿宋_GB2312" w:asciiTheme="minorEastAsia" w:hAnsiTheme="minorEastAsia" w:eastAsiaTheme="minorEastAsia"/>
          <w:color w:val="000000"/>
          <w:sz w:val="24"/>
          <w:highlight w:val="none"/>
          <w:lang w:eastAsia="zh-CN"/>
        </w:rPr>
        <w:t>（2）服务态度：中标方服务态度良好，未接到采购方相关工作人员投诉的，评价为优；中标方服务态度较好，接到采购方相关工作人员投诉1-3次，并能立即改正的，评价为良；中标方服务态度一般，接到采购方相关工作人员投诉4-1</w:t>
      </w:r>
      <w:r>
        <w:rPr>
          <w:rFonts w:hint="eastAsia" w:cs="仿宋_GB2312" w:asciiTheme="minorEastAsia" w:hAnsiTheme="minorEastAsia" w:eastAsiaTheme="minorEastAsia"/>
          <w:color w:val="000000"/>
          <w:sz w:val="24"/>
          <w:highlight w:val="none"/>
          <w:lang w:val="en-US" w:eastAsia="zh-CN"/>
        </w:rPr>
        <w:t>0</w:t>
      </w:r>
      <w:r>
        <w:rPr>
          <w:rFonts w:hint="eastAsia" w:cs="仿宋_GB2312" w:asciiTheme="minorEastAsia" w:hAnsiTheme="minorEastAsia" w:eastAsiaTheme="minorEastAsia"/>
          <w:color w:val="000000"/>
          <w:sz w:val="24"/>
          <w:highlight w:val="none"/>
          <w:lang w:eastAsia="zh-CN"/>
        </w:rPr>
        <w:t>次，并能立即改正的，评价为中；中标方服务态度较差，接到采购方相关工作人员投诉超过1</w:t>
      </w:r>
      <w:r>
        <w:rPr>
          <w:rFonts w:hint="eastAsia" w:cs="仿宋_GB2312" w:asciiTheme="minorEastAsia" w:hAnsiTheme="minorEastAsia" w:eastAsiaTheme="minorEastAsia"/>
          <w:color w:val="000000"/>
          <w:sz w:val="24"/>
          <w:highlight w:val="none"/>
          <w:lang w:val="en-US" w:eastAsia="zh-CN"/>
        </w:rPr>
        <w:t>0</w:t>
      </w:r>
      <w:r>
        <w:rPr>
          <w:rFonts w:hint="eastAsia" w:cs="仿宋_GB2312" w:asciiTheme="minorEastAsia" w:hAnsiTheme="minorEastAsia" w:eastAsiaTheme="minorEastAsia"/>
          <w:color w:val="000000"/>
          <w:sz w:val="24"/>
          <w:highlight w:val="none"/>
          <w:lang w:eastAsia="zh-CN"/>
        </w:rPr>
        <w:t>次的，评价为差。</w:t>
      </w:r>
    </w:p>
    <w:p w14:paraId="6FA880BB">
      <w:pPr>
        <w:pStyle w:val="19"/>
        <w:numPr>
          <w:ilvl w:val="-1"/>
          <w:numId w:val="0"/>
        </w:numPr>
        <w:spacing w:line="400" w:lineRule="exact"/>
        <w:ind w:left="0" w:leftChars="0" w:firstLine="480"/>
        <w:rPr>
          <w:rFonts w:hint="eastAsia" w:cs="仿宋_GB2312" w:asciiTheme="minorEastAsia" w:hAnsiTheme="minorEastAsia" w:eastAsiaTheme="minorEastAsia"/>
          <w:color w:val="000000"/>
          <w:sz w:val="24"/>
          <w:highlight w:val="none"/>
          <w:lang w:eastAsia="zh-CN"/>
        </w:rPr>
      </w:pPr>
      <w:r>
        <w:rPr>
          <w:rFonts w:hint="eastAsia" w:cs="仿宋_GB2312" w:asciiTheme="minorEastAsia" w:hAnsiTheme="minorEastAsia" w:eastAsiaTheme="minorEastAsia"/>
          <w:color w:val="000000"/>
          <w:sz w:val="24"/>
          <w:highlight w:val="none"/>
          <w:lang w:eastAsia="zh-CN"/>
        </w:rPr>
        <w:t>（3）响应时间：中标方根据采购方提出的工作时限，按时完成工作任务的，评价为优；中标方根据采购方提出的工作时限，存在10次以内延期完成工作任务，且未对采购方工作造成影响的，评价为良；中标方根据采购方提出的工作时限，存在10次以上延期完成工作任务的，但未对采购方工作造成影响的，评价为中；中标方根据采购方提出的工作时限，存在延期完成工作任务的，且对采购方工作造成严重后果的，评价为差。</w:t>
      </w:r>
    </w:p>
    <w:p w14:paraId="56385FB0">
      <w:pPr>
        <w:pStyle w:val="19"/>
        <w:numPr>
          <w:ilvl w:val="-1"/>
          <w:numId w:val="0"/>
        </w:numPr>
        <w:spacing w:line="400" w:lineRule="exact"/>
        <w:ind w:left="0" w:leftChars="0" w:firstLine="480"/>
        <w:rPr>
          <w:rFonts w:hint="eastAsia" w:asciiTheme="minorEastAsia" w:hAnsiTheme="minorEastAsia" w:eastAsiaTheme="minorEastAsia"/>
          <w:sz w:val="24"/>
          <w:highlight w:val="none"/>
          <w:lang w:eastAsia="zh-CN"/>
        </w:rPr>
      </w:pPr>
      <w:r>
        <w:rPr>
          <w:rFonts w:hint="eastAsia" w:cs="仿宋_GB2312" w:asciiTheme="minorEastAsia" w:hAnsiTheme="minorEastAsia" w:eastAsiaTheme="minorEastAsia"/>
          <w:color w:val="000000"/>
          <w:sz w:val="24"/>
          <w:highlight w:val="none"/>
          <w:lang w:eastAsia="zh-CN"/>
        </w:rPr>
        <w:t>（4）总体评价：存在1项或以下评价为“良”，其他评价为“优”，总体评价为优；存在1项以上评价为“良”，其他评价不存在“中”或“差”，总体评价为良；存在1项或以上评价为“中”，其他评价不存在“差”，总体评价为中</w:t>
      </w:r>
      <w:r>
        <w:rPr>
          <w:rFonts w:hint="eastAsia" w:asciiTheme="minorEastAsia" w:hAnsiTheme="minorEastAsia" w:eastAsiaTheme="minorEastAsia"/>
          <w:sz w:val="24"/>
          <w:highlight w:val="none"/>
          <w:lang w:eastAsia="zh-CN"/>
        </w:rPr>
        <w:t>；存在1项或以上评价为“差”，总体评价为差，</w:t>
      </w:r>
      <w:r>
        <w:rPr>
          <w:rFonts w:hint="eastAsia" w:cs="仿宋_GB2312" w:asciiTheme="minorEastAsia" w:hAnsiTheme="minorEastAsia" w:eastAsiaTheme="minorEastAsia"/>
          <w:color w:val="000000"/>
          <w:sz w:val="24"/>
          <w:highlight w:val="none"/>
          <w:lang w:eastAsia="zh-CN"/>
        </w:rPr>
        <w:t>采购方有权单方解除本合同，给采购方造成的经济损失由中标方负责赔偿</w:t>
      </w:r>
      <w:r>
        <w:rPr>
          <w:rFonts w:hint="eastAsia" w:asciiTheme="minorEastAsia" w:hAnsiTheme="minorEastAsia" w:eastAsiaTheme="minorEastAsia"/>
          <w:sz w:val="24"/>
          <w:highlight w:val="none"/>
          <w:lang w:eastAsia="zh-CN"/>
        </w:rPr>
        <w:t>。</w:t>
      </w:r>
    </w:p>
    <w:p w14:paraId="2FAD86AE">
      <w:pPr>
        <w:pStyle w:val="19"/>
        <w:numPr>
          <w:ilvl w:val="-1"/>
          <w:numId w:val="0"/>
        </w:numPr>
        <w:ind w:left="0" w:leftChars="0" w:firstLine="0" w:firstLineChars="0"/>
        <w:rPr>
          <w:rFonts w:hint="eastAsia" w:asciiTheme="minorEastAsia" w:hAnsiTheme="minorEastAsia" w:eastAsiaTheme="minorEastAsia"/>
          <w:sz w:val="24"/>
          <w:highlight w:val="none"/>
        </w:rPr>
      </w:pPr>
    </w:p>
    <w:p w14:paraId="4A8FDB3C">
      <w:pPr>
        <w:pStyle w:val="18"/>
        <w:rPr>
          <w:rFonts w:hint="eastAsia" w:asciiTheme="minorEastAsia" w:hAnsiTheme="minorEastAsia" w:eastAsiaTheme="minorEastAsia"/>
          <w:sz w:val="24"/>
          <w:highlight w:val="none"/>
        </w:rPr>
      </w:pPr>
    </w:p>
    <w:p w14:paraId="293BA02F">
      <w:pPr>
        <w:pStyle w:val="18"/>
        <w:rPr>
          <w:rFonts w:hint="eastAsia" w:asciiTheme="minorEastAsia" w:hAnsiTheme="minorEastAsia" w:eastAsiaTheme="minorEastAsia"/>
          <w:sz w:val="24"/>
          <w:highlight w:val="none"/>
        </w:rPr>
      </w:pPr>
    </w:p>
    <w:p w14:paraId="5CC668E2">
      <w:pPr>
        <w:pStyle w:val="18"/>
        <w:rPr>
          <w:rFonts w:hint="eastAsia" w:asciiTheme="minorEastAsia" w:hAnsiTheme="minorEastAsia" w:eastAsiaTheme="minorEastAsia"/>
          <w:sz w:val="24"/>
          <w:highlight w:val="none"/>
        </w:rPr>
      </w:pPr>
    </w:p>
    <w:p w14:paraId="2D6BF62A">
      <w:pPr>
        <w:pStyle w:val="18"/>
        <w:rPr>
          <w:rFonts w:hint="eastAsia" w:asciiTheme="minorEastAsia" w:hAnsiTheme="minorEastAsia" w:eastAsiaTheme="minorEastAsia"/>
          <w:sz w:val="24"/>
          <w:highlight w:val="none"/>
        </w:rPr>
      </w:pPr>
    </w:p>
    <w:p w14:paraId="4639CA2B">
      <w:pPr>
        <w:pStyle w:val="18"/>
        <w:rPr>
          <w:rFonts w:hint="eastAsia" w:asciiTheme="minorEastAsia" w:hAnsiTheme="minorEastAsia" w:eastAsiaTheme="minorEastAsia"/>
          <w:sz w:val="24"/>
          <w:highlight w:val="none"/>
        </w:rPr>
      </w:pPr>
    </w:p>
    <w:p w14:paraId="6F01BB00">
      <w:pPr>
        <w:pStyle w:val="18"/>
        <w:rPr>
          <w:rFonts w:hint="eastAsia" w:asciiTheme="minorEastAsia" w:hAnsiTheme="minorEastAsia" w:eastAsiaTheme="minorEastAsia"/>
          <w:sz w:val="24"/>
          <w:highlight w:val="none"/>
        </w:rPr>
      </w:pPr>
    </w:p>
    <w:p w14:paraId="48DA7CD0">
      <w:pPr>
        <w:pStyle w:val="18"/>
        <w:rPr>
          <w:rFonts w:hint="eastAsia" w:asciiTheme="minorEastAsia" w:hAnsiTheme="minorEastAsia" w:eastAsiaTheme="minorEastAsia"/>
          <w:sz w:val="24"/>
          <w:highlight w:val="none"/>
        </w:rPr>
      </w:pPr>
    </w:p>
    <w:p w14:paraId="0D55CE65">
      <w:pPr>
        <w:pStyle w:val="18"/>
        <w:rPr>
          <w:rFonts w:hint="eastAsia" w:asciiTheme="minorEastAsia" w:hAnsiTheme="minorEastAsia" w:eastAsiaTheme="minorEastAsia"/>
          <w:sz w:val="24"/>
          <w:highlight w:val="none"/>
        </w:rPr>
      </w:pPr>
    </w:p>
    <w:p w14:paraId="63982C16">
      <w:pPr>
        <w:pStyle w:val="18"/>
        <w:rPr>
          <w:rFonts w:hint="eastAsia" w:asciiTheme="minorEastAsia" w:hAnsiTheme="minorEastAsia" w:eastAsiaTheme="minorEastAsia"/>
          <w:sz w:val="24"/>
          <w:highlight w:val="none"/>
        </w:rPr>
      </w:pPr>
    </w:p>
    <w:p w14:paraId="57069900">
      <w:pPr>
        <w:pStyle w:val="18"/>
        <w:rPr>
          <w:rFonts w:hint="eastAsia" w:asciiTheme="minorEastAsia" w:hAnsiTheme="minorEastAsia" w:eastAsiaTheme="minorEastAsia"/>
          <w:sz w:val="24"/>
          <w:highlight w:val="none"/>
        </w:rPr>
      </w:pPr>
    </w:p>
    <w:p w14:paraId="17091416">
      <w:pPr>
        <w:pStyle w:val="19"/>
        <w:numPr>
          <w:ilvl w:val="-1"/>
          <w:numId w:val="0"/>
        </w:numPr>
        <w:ind w:left="0" w:leftChars="0" w:firstLine="0" w:firstLineChars="0"/>
        <w:rPr>
          <w:rFonts w:hint="eastAsia" w:ascii="宋体" w:hAnsi="宋体" w:eastAsia="宋体" w:cs="宋体"/>
          <w:b/>
          <w:sz w:val="24"/>
          <w:highlight w:val="none"/>
          <w:lang w:val="en-US" w:eastAsia="zh-CN"/>
        </w:rPr>
      </w:pPr>
      <w:r>
        <w:rPr>
          <w:rFonts w:hint="eastAsia" w:ascii="宋体" w:hAnsi="宋体" w:eastAsia="宋体" w:cs="宋体"/>
          <w:b/>
          <w:sz w:val="24"/>
          <w:highlight w:val="none"/>
          <w:lang w:eastAsia="zh-CN"/>
        </w:rPr>
        <w:t>附件</w:t>
      </w:r>
      <w:r>
        <w:rPr>
          <w:rFonts w:hint="eastAsia" w:ascii="宋体" w:hAnsi="宋体" w:eastAsia="宋体" w:cs="宋体"/>
          <w:b/>
          <w:sz w:val="24"/>
          <w:highlight w:val="none"/>
          <w:lang w:val="en-US" w:eastAsia="zh-CN"/>
        </w:rPr>
        <w:t>3：</w:t>
      </w:r>
    </w:p>
    <w:p w14:paraId="1F155C1D">
      <w:pPr>
        <w:widowControl/>
        <w:spacing w:line="560" w:lineRule="exact"/>
        <w:jc w:val="center"/>
        <w:rPr>
          <w:rFonts w:ascii="黑体" w:hAnsi="黑体" w:eastAsia="黑体" w:cs="黑体"/>
          <w:bCs/>
          <w:color w:val="000000"/>
          <w:sz w:val="40"/>
          <w:szCs w:val="40"/>
        </w:rPr>
      </w:pPr>
      <w:r>
        <w:rPr>
          <w:rFonts w:hint="eastAsia" w:ascii="黑体" w:hAnsi="黑体" w:eastAsia="黑体" w:cs="黑体"/>
          <w:bCs/>
          <w:color w:val="000000"/>
          <w:sz w:val="40"/>
          <w:szCs w:val="40"/>
        </w:rPr>
        <w:t>履约评价表</w:t>
      </w:r>
    </w:p>
    <w:p w14:paraId="46C9B4D6">
      <w:pPr>
        <w:jc w:val="left"/>
        <w:rPr>
          <w:rFonts w:hint="eastAsia" w:ascii="仿宋" w:hAnsi="仿宋" w:eastAsia="仿宋" w:cs="仿宋"/>
          <w:b/>
          <w:bCs/>
          <w:sz w:val="24"/>
          <w:szCs w:val="24"/>
        </w:rPr>
      </w:pPr>
      <w:r>
        <w:rPr>
          <w:rFonts w:hint="eastAsia" w:ascii="仿宋" w:hAnsi="仿宋" w:eastAsia="仿宋" w:cs="仿宋"/>
          <w:b/>
          <w:bCs/>
          <w:sz w:val="24"/>
          <w:szCs w:val="24"/>
        </w:rPr>
        <w:t>采购单位名称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235"/>
        <w:gridCol w:w="1552"/>
        <w:gridCol w:w="1543"/>
        <w:gridCol w:w="2716"/>
      </w:tblGrid>
      <w:tr w14:paraId="3182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63" w:type="pct"/>
            <w:vAlign w:val="center"/>
          </w:tcPr>
          <w:p w14:paraId="778CAF4B">
            <w:pPr>
              <w:jc w:val="center"/>
              <w:rPr>
                <w:rFonts w:ascii="仿宋" w:hAnsi="仿宋" w:eastAsia="仿宋" w:cs="仿宋"/>
                <w:szCs w:val="21"/>
              </w:rPr>
            </w:pPr>
            <w:r>
              <w:rPr>
                <w:rFonts w:hint="eastAsia" w:ascii="仿宋" w:hAnsi="仿宋" w:eastAsia="仿宋" w:cs="仿宋"/>
                <w:szCs w:val="21"/>
              </w:rPr>
              <w:t>采购项目</w:t>
            </w:r>
          </w:p>
          <w:p w14:paraId="519B4A06">
            <w:pPr>
              <w:jc w:val="center"/>
              <w:rPr>
                <w:rFonts w:ascii="仿宋" w:hAnsi="仿宋" w:eastAsia="仿宋" w:cs="仿宋"/>
                <w:szCs w:val="21"/>
              </w:rPr>
            </w:pPr>
            <w:r>
              <w:rPr>
                <w:rFonts w:hint="eastAsia" w:ascii="仿宋" w:hAnsi="仿宋" w:eastAsia="仿宋" w:cs="仿宋"/>
                <w:szCs w:val="21"/>
              </w:rPr>
              <w:t>名称</w:t>
            </w:r>
          </w:p>
        </w:tc>
        <w:tc>
          <w:tcPr>
            <w:tcW w:w="1686" w:type="pct"/>
            <w:gridSpan w:val="2"/>
            <w:vAlign w:val="center"/>
          </w:tcPr>
          <w:p w14:paraId="1E77ED02">
            <w:pPr>
              <w:jc w:val="center"/>
              <w:rPr>
                <w:rFonts w:ascii="仿宋" w:hAnsi="仿宋" w:eastAsia="仿宋" w:cs="仿宋"/>
                <w:szCs w:val="21"/>
              </w:rPr>
            </w:pPr>
          </w:p>
        </w:tc>
        <w:tc>
          <w:tcPr>
            <w:tcW w:w="931" w:type="pct"/>
            <w:vAlign w:val="center"/>
          </w:tcPr>
          <w:p w14:paraId="7BCB15CC">
            <w:pPr>
              <w:jc w:val="center"/>
              <w:rPr>
                <w:rFonts w:ascii="仿宋" w:hAnsi="仿宋" w:eastAsia="仿宋" w:cs="仿宋"/>
                <w:szCs w:val="21"/>
              </w:rPr>
            </w:pPr>
            <w:r>
              <w:rPr>
                <w:rFonts w:hint="eastAsia" w:ascii="仿宋" w:hAnsi="仿宋" w:eastAsia="仿宋" w:cs="仿宋"/>
                <w:szCs w:val="21"/>
              </w:rPr>
              <w:t>项目编号</w:t>
            </w:r>
          </w:p>
          <w:p w14:paraId="62E22D16">
            <w:pPr>
              <w:jc w:val="center"/>
              <w:rPr>
                <w:rFonts w:ascii="仿宋" w:hAnsi="仿宋" w:eastAsia="仿宋" w:cs="仿宋"/>
                <w:szCs w:val="21"/>
              </w:rPr>
            </w:pPr>
            <w:r>
              <w:rPr>
                <w:rFonts w:hint="eastAsia" w:ascii="仿宋" w:hAnsi="仿宋" w:eastAsia="仿宋" w:cs="仿宋"/>
                <w:szCs w:val="21"/>
              </w:rPr>
              <w:t>（如有）</w:t>
            </w:r>
          </w:p>
        </w:tc>
        <w:tc>
          <w:tcPr>
            <w:tcW w:w="1618" w:type="pct"/>
            <w:vAlign w:val="center"/>
          </w:tcPr>
          <w:p w14:paraId="44ED2B61">
            <w:pPr>
              <w:jc w:val="center"/>
              <w:rPr>
                <w:rFonts w:ascii="仿宋" w:hAnsi="仿宋" w:eastAsia="仿宋" w:cs="仿宋"/>
                <w:szCs w:val="21"/>
              </w:rPr>
            </w:pPr>
          </w:p>
        </w:tc>
      </w:tr>
      <w:tr w14:paraId="4C5A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Align w:val="center"/>
          </w:tcPr>
          <w:p w14:paraId="43126C10">
            <w:pPr>
              <w:jc w:val="center"/>
              <w:rPr>
                <w:rFonts w:ascii="仿宋" w:hAnsi="仿宋" w:eastAsia="仿宋" w:cs="仿宋"/>
                <w:szCs w:val="21"/>
              </w:rPr>
            </w:pPr>
            <w:r>
              <w:rPr>
                <w:rFonts w:hint="eastAsia" w:ascii="仿宋" w:hAnsi="仿宋" w:eastAsia="仿宋" w:cs="仿宋"/>
                <w:szCs w:val="21"/>
              </w:rPr>
              <w:t>中标/成交供应商</w:t>
            </w:r>
          </w:p>
        </w:tc>
        <w:tc>
          <w:tcPr>
            <w:tcW w:w="1686" w:type="pct"/>
            <w:gridSpan w:val="2"/>
            <w:vAlign w:val="center"/>
          </w:tcPr>
          <w:p w14:paraId="5E6A7AE5">
            <w:pPr>
              <w:jc w:val="center"/>
              <w:rPr>
                <w:rFonts w:ascii="仿宋" w:hAnsi="仿宋" w:eastAsia="仿宋" w:cs="仿宋"/>
                <w:szCs w:val="21"/>
              </w:rPr>
            </w:pPr>
          </w:p>
        </w:tc>
        <w:tc>
          <w:tcPr>
            <w:tcW w:w="931" w:type="pct"/>
            <w:vAlign w:val="center"/>
          </w:tcPr>
          <w:p w14:paraId="2AF98EDE">
            <w:pPr>
              <w:jc w:val="center"/>
              <w:rPr>
                <w:rFonts w:ascii="仿宋" w:hAnsi="仿宋" w:eastAsia="仿宋" w:cs="仿宋"/>
                <w:szCs w:val="21"/>
              </w:rPr>
            </w:pPr>
            <w:r>
              <w:rPr>
                <w:rFonts w:hint="eastAsia" w:ascii="仿宋" w:hAnsi="仿宋" w:eastAsia="仿宋" w:cs="仿宋"/>
                <w:szCs w:val="21"/>
              </w:rPr>
              <w:t>供应商</w:t>
            </w:r>
          </w:p>
          <w:p w14:paraId="5FD99135">
            <w:pPr>
              <w:jc w:val="center"/>
              <w:rPr>
                <w:rFonts w:ascii="仿宋" w:hAnsi="仿宋" w:eastAsia="仿宋" w:cs="仿宋"/>
                <w:szCs w:val="21"/>
              </w:rPr>
            </w:pPr>
            <w:r>
              <w:rPr>
                <w:rFonts w:hint="eastAsia" w:ascii="仿宋" w:hAnsi="仿宋" w:eastAsia="仿宋" w:cs="仿宋"/>
                <w:szCs w:val="21"/>
              </w:rPr>
              <w:t>联系人及电话</w:t>
            </w:r>
          </w:p>
        </w:tc>
        <w:tc>
          <w:tcPr>
            <w:tcW w:w="1618" w:type="pct"/>
            <w:vAlign w:val="center"/>
          </w:tcPr>
          <w:p w14:paraId="25459D4B">
            <w:pPr>
              <w:jc w:val="center"/>
              <w:rPr>
                <w:rFonts w:ascii="仿宋" w:hAnsi="仿宋" w:eastAsia="仿宋" w:cs="仿宋"/>
                <w:szCs w:val="21"/>
              </w:rPr>
            </w:pPr>
          </w:p>
        </w:tc>
      </w:tr>
      <w:tr w14:paraId="24A0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3" w:type="pct"/>
            <w:vAlign w:val="center"/>
          </w:tcPr>
          <w:p w14:paraId="0FEE9589">
            <w:pPr>
              <w:jc w:val="center"/>
              <w:rPr>
                <w:rFonts w:ascii="仿宋" w:hAnsi="仿宋" w:eastAsia="仿宋" w:cs="仿宋"/>
                <w:szCs w:val="21"/>
              </w:rPr>
            </w:pPr>
            <w:r>
              <w:rPr>
                <w:rFonts w:hint="eastAsia" w:ascii="仿宋" w:hAnsi="仿宋" w:eastAsia="仿宋" w:cs="仿宋"/>
                <w:szCs w:val="21"/>
              </w:rPr>
              <w:t>项目面积</w:t>
            </w:r>
          </w:p>
        </w:tc>
        <w:tc>
          <w:tcPr>
            <w:tcW w:w="1686" w:type="pct"/>
            <w:gridSpan w:val="2"/>
            <w:vAlign w:val="center"/>
          </w:tcPr>
          <w:p w14:paraId="3222635A">
            <w:pPr>
              <w:jc w:val="center"/>
              <w:rPr>
                <w:rFonts w:ascii="仿宋" w:hAnsi="仿宋" w:eastAsia="仿宋" w:cs="仿宋"/>
                <w:szCs w:val="21"/>
              </w:rPr>
            </w:pPr>
          </w:p>
        </w:tc>
        <w:tc>
          <w:tcPr>
            <w:tcW w:w="931" w:type="pct"/>
            <w:vAlign w:val="center"/>
          </w:tcPr>
          <w:p w14:paraId="3AE06688">
            <w:pPr>
              <w:jc w:val="center"/>
              <w:rPr>
                <w:rFonts w:ascii="仿宋" w:hAnsi="仿宋" w:eastAsia="仿宋" w:cs="仿宋"/>
                <w:szCs w:val="21"/>
              </w:rPr>
            </w:pPr>
            <w:r>
              <w:rPr>
                <w:rFonts w:hint="eastAsia" w:ascii="仿宋" w:hAnsi="仿宋" w:eastAsia="仿宋" w:cs="仿宋"/>
                <w:szCs w:val="21"/>
              </w:rPr>
              <w:t>合同履约时间</w:t>
            </w:r>
          </w:p>
        </w:tc>
        <w:tc>
          <w:tcPr>
            <w:tcW w:w="1618" w:type="pct"/>
            <w:vAlign w:val="center"/>
          </w:tcPr>
          <w:p w14:paraId="1939B089">
            <w:pPr>
              <w:jc w:val="center"/>
              <w:rPr>
                <w:rFonts w:ascii="仿宋" w:hAnsi="仿宋" w:eastAsia="仿宋" w:cs="仿宋"/>
                <w:szCs w:val="21"/>
              </w:rPr>
            </w:pPr>
          </w:p>
        </w:tc>
      </w:tr>
      <w:tr w14:paraId="4EFD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63" w:type="pct"/>
            <w:vMerge w:val="restart"/>
            <w:vAlign w:val="center"/>
          </w:tcPr>
          <w:p w14:paraId="7B658F05">
            <w:pPr>
              <w:jc w:val="center"/>
              <w:rPr>
                <w:rFonts w:ascii="仿宋" w:hAnsi="仿宋" w:eastAsia="仿宋" w:cs="仿宋"/>
                <w:szCs w:val="21"/>
              </w:rPr>
            </w:pPr>
            <w:r>
              <w:rPr>
                <w:rFonts w:hint="eastAsia" w:ascii="仿宋" w:hAnsi="仿宋" w:eastAsia="仿宋" w:cs="仿宋"/>
                <w:szCs w:val="21"/>
              </w:rPr>
              <w:t>履约情况</w:t>
            </w:r>
          </w:p>
          <w:p w14:paraId="519A8B2A">
            <w:pPr>
              <w:jc w:val="center"/>
              <w:rPr>
                <w:rFonts w:ascii="仿宋" w:hAnsi="仿宋" w:eastAsia="仿宋" w:cs="仿宋"/>
                <w:szCs w:val="21"/>
              </w:rPr>
            </w:pPr>
            <w:r>
              <w:rPr>
                <w:rFonts w:hint="eastAsia" w:ascii="仿宋" w:hAnsi="仿宋" w:eastAsia="仿宋" w:cs="仿宋"/>
                <w:szCs w:val="21"/>
              </w:rPr>
              <w:t>评价</w:t>
            </w:r>
          </w:p>
        </w:tc>
        <w:tc>
          <w:tcPr>
            <w:tcW w:w="1686" w:type="pct"/>
            <w:gridSpan w:val="2"/>
            <w:vAlign w:val="center"/>
          </w:tcPr>
          <w:p w14:paraId="7EBD65FE">
            <w:pPr>
              <w:jc w:val="center"/>
              <w:rPr>
                <w:rFonts w:ascii="仿宋" w:hAnsi="仿宋" w:eastAsia="仿宋" w:cs="仿宋"/>
                <w:szCs w:val="21"/>
              </w:rPr>
            </w:pPr>
            <w:r>
              <w:rPr>
                <w:rFonts w:hint="eastAsia" w:ascii="仿宋" w:hAnsi="仿宋" w:eastAsia="仿宋" w:cs="仿宋"/>
                <w:szCs w:val="21"/>
              </w:rPr>
              <w:t>总体评价</w:t>
            </w:r>
          </w:p>
        </w:tc>
        <w:tc>
          <w:tcPr>
            <w:tcW w:w="2549" w:type="pct"/>
            <w:gridSpan w:val="2"/>
            <w:vAlign w:val="center"/>
          </w:tcPr>
          <w:p w14:paraId="0E0BCCFF">
            <w:pPr>
              <w:jc w:val="left"/>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优    □ 良    □ 中    □ 差</w:t>
            </w:r>
          </w:p>
        </w:tc>
      </w:tr>
      <w:tr w14:paraId="5DA8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63" w:type="pct"/>
            <w:vMerge w:val="continue"/>
            <w:vAlign w:val="center"/>
          </w:tcPr>
          <w:p w14:paraId="098282A6">
            <w:pPr>
              <w:jc w:val="center"/>
              <w:rPr>
                <w:rFonts w:ascii="仿宋" w:hAnsi="仿宋" w:eastAsia="仿宋" w:cs="仿宋"/>
                <w:szCs w:val="21"/>
              </w:rPr>
            </w:pPr>
          </w:p>
        </w:tc>
        <w:tc>
          <w:tcPr>
            <w:tcW w:w="750" w:type="pct"/>
            <w:vAlign w:val="center"/>
          </w:tcPr>
          <w:p w14:paraId="4C204DCF">
            <w:pPr>
              <w:jc w:val="center"/>
              <w:rPr>
                <w:rFonts w:ascii="仿宋" w:hAnsi="仿宋" w:eastAsia="仿宋" w:cs="仿宋"/>
                <w:szCs w:val="21"/>
              </w:rPr>
            </w:pPr>
            <w:r>
              <w:rPr>
                <w:rFonts w:hint="eastAsia" w:ascii="仿宋" w:hAnsi="仿宋" w:eastAsia="仿宋" w:cs="仿宋"/>
                <w:szCs w:val="21"/>
              </w:rPr>
              <w:t>分项评价</w:t>
            </w:r>
          </w:p>
        </w:tc>
        <w:tc>
          <w:tcPr>
            <w:tcW w:w="936" w:type="pct"/>
            <w:vAlign w:val="center"/>
          </w:tcPr>
          <w:p w14:paraId="17DB94F1">
            <w:pPr>
              <w:jc w:val="center"/>
              <w:rPr>
                <w:rFonts w:ascii="仿宋" w:hAnsi="仿宋" w:eastAsia="仿宋" w:cs="仿宋"/>
                <w:szCs w:val="21"/>
              </w:rPr>
            </w:pPr>
            <w:r>
              <w:rPr>
                <w:rFonts w:hint="eastAsia" w:ascii="仿宋" w:hAnsi="仿宋" w:eastAsia="仿宋" w:cs="仿宋"/>
                <w:szCs w:val="21"/>
              </w:rPr>
              <w:t>具体评价标准</w:t>
            </w:r>
          </w:p>
        </w:tc>
        <w:tc>
          <w:tcPr>
            <w:tcW w:w="2549" w:type="pct"/>
            <w:gridSpan w:val="2"/>
            <w:vAlign w:val="center"/>
          </w:tcPr>
          <w:p w14:paraId="2164D88A">
            <w:pPr>
              <w:jc w:val="center"/>
              <w:rPr>
                <w:rFonts w:ascii="仿宋" w:hAnsi="仿宋" w:eastAsia="仿宋" w:cs="仿宋"/>
                <w:szCs w:val="21"/>
              </w:rPr>
            </w:pPr>
          </w:p>
        </w:tc>
      </w:tr>
      <w:tr w14:paraId="1A00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63" w:type="pct"/>
            <w:vMerge w:val="continue"/>
            <w:vAlign w:val="center"/>
          </w:tcPr>
          <w:p w14:paraId="3FC887D6">
            <w:pPr>
              <w:jc w:val="center"/>
              <w:rPr>
                <w:rFonts w:ascii="仿宋" w:hAnsi="仿宋" w:eastAsia="仿宋" w:cs="仿宋"/>
                <w:szCs w:val="21"/>
              </w:rPr>
            </w:pPr>
          </w:p>
        </w:tc>
        <w:tc>
          <w:tcPr>
            <w:tcW w:w="750" w:type="pct"/>
            <w:vAlign w:val="center"/>
          </w:tcPr>
          <w:p w14:paraId="01994322">
            <w:pPr>
              <w:jc w:val="center"/>
              <w:rPr>
                <w:rFonts w:ascii="仿宋" w:hAnsi="仿宋" w:eastAsia="仿宋" w:cs="仿宋"/>
                <w:szCs w:val="21"/>
              </w:rPr>
            </w:pPr>
            <w:r>
              <w:rPr>
                <w:rFonts w:hint="eastAsia" w:ascii="仿宋" w:hAnsi="仿宋" w:eastAsia="仿宋" w:cs="仿宋"/>
                <w:szCs w:val="21"/>
              </w:rPr>
              <w:t>服务质量</w:t>
            </w:r>
          </w:p>
        </w:tc>
        <w:tc>
          <w:tcPr>
            <w:tcW w:w="936" w:type="pct"/>
            <w:vAlign w:val="center"/>
          </w:tcPr>
          <w:p w14:paraId="6D7FC088">
            <w:pPr>
              <w:jc w:val="center"/>
              <w:rPr>
                <w:rFonts w:ascii="仿宋" w:hAnsi="仿宋" w:eastAsia="仿宋" w:cs="仿宋"/>
                <w:szCs w:val="21"/>
              </w:rPr>
            </w:pPr>
          </w:p>
        </w:tc>
        <w:tc>
          <w:tcPr>
            <w:tcW w:w="2549" w:type="pct"/>
            <w:gridSpan w:val="2"/>
            <w:vAlign w:val="center"/>
          </w:tcPr>
          <w:p w14:paraId="38681B67">
            <w:pPr>
              <w:jc w:val="left"/>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 xml:space="preserve"> 优    □ 良     □ 中     □ 差</w:t>
            </w:r>
          </w:p>
        </w:tc>
      </w:tr>
      <w:tr w14:paraId="4A76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3" w:type="pct"/>
            <w:vMerge w:val="continue"/>
            <w:vAlign w:val="center"/>
          </w:tcPr>
          <w:p w14:paraId="55379978">
            <w:pPr>
              <w:jc w:val="center"/>
              <w:rPr>
                <w:rFonts w:ascii="仿宋" w:hAnsi="仿宋" w:eastAsia="仿宋" w:cs="仿宋"/>
                <w:szCs w:val="21"/>
              </w:rPr>
            </w:pPr>
          </w:p>
        </w:tc>
        <w:tc>
          <w:tcPr>
            <w:tcW w:w="750" w:type="pct"/>
            <w:vAlign w:val="center"/>
          </w:tcPr>
          <w:p w14:paraId="0D5403E6">
            <w:pPr>
              <w:jc w:val="center"/>
              <w:rPr>
                <w:rFonts w:ascii="仿宋" w:hAnsi="仿宋" w:eastAsia="仿宋" w:cs="仿宋"/>
                <w:szCs w:val="21"/>
              </w:rPr>
            </w:pPr>
            <w:r>
              <w:rPr>
                <w:rFonts w:hint="eastAsia" w:ascii="仿宋" w:hAnsi="仿宋" w:eastAsia="仿宋" w:cs="仿宋"/>
                <w:szCs w:val="21"/>
              </w:rPr>
              <w:t>服务态度</w:t>
            </w:r>
          </w:p>
        </w:tc>
        <w:tc>
          <w:tcPr>
            <w:tcW w:w="936" w:type="pct"/>
            <w:vAlign w:val="center"/>
          </w:tcPr>
          <w:p w14:paraId="7F8372BF">
            <w:pPr>
              <w:jc w:val="center"/>
              <w:rPr>
                <w:rFonts w:ascii="仿宋" w:hAnsi="仿宋" w:eastAsia="仿宋" w:cs="仿宋"/>
                <w:szCs w:val="21"/>
              </w:rPr>
            </w:pPr>
          </w:p>
        </w:tc>
        <w:tc>
          <w:tcPr>
            <w:tcW w:w="2549" w:type="pct"/>
            <w:gridSpan w:val="2"/>
            <w:vAlign w:val="center"/>
          </w:tcPr>
          <w:p w14:paraId="4BCF9C90">
            <w:pPr>
              <w:jc w:val="left"/>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 xml:space="preserve"> 优    □ 良     □ 中     □ 差</w:t>
            </w:r>
          </w:p>
        </w:tc>
      </w:tr>
      <w:tr w14:paraId="518F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3" w:type="pct"/>
            <w:vMerge w:val="continue"/>
            <w:vAlign w:val="center"/>
          </w:tcPr>
          <w:p w14:paraId="389EF8B6">
            <w:pPr>
              <w:jc w:val="center"/>
              <w:rPr>
                <w:rFonts w:ascii="仿宋" w:hAnsi="仿宋" w:eastAsia="仿宋" w:cs="仿宋"/>
                <w:szCs w:val="21"/>
              </w:rPr>
            </w:pPr>
          </w:p>
        </w:tc>
        <w:tc>
          <w:tcPr>
            <w:tcW w:w="750" w:type="pct"/>
            <w:vAlign w:val="center"/>
          </w:tcPr>
          <w:p w14:paraId="455884E5">
            <w:pPr>
              <w:jc w:val="center"/>
              <w:rPr>
                <w:rFonts w:ascii="仿宋" w:hAnsi="仿宋" w:eastAsia="仿宋" w:cs="仿宋"/>
                <w:szCs w:val="21"/>
              </w:rPr>
            </w:pPr>
            <w:r>
              <w:rPr>
                <w:rFonts w:hint="eastAsia" w:ascii="仿宋" w:hAnsi="仿宋" w:eastAsia="仿宋" w:cs="仿宋"/>
                <w:szCs w:val="21"/>
              </w:rPr>
              <w:t>响应时间</w:t>
            </w:r>
          </w:p>
        </w:tc>
        <w:tc>
          <w:tcPr>
            <w:tcW w:w="936" w:type="pct"/>
            <w:vAlign w:val="center"/>
          </w:tcPr>
          <w:p w14:paraId="62A32F8D">
            <w:pPr>
              <w:jc w:val="center"/>
              <w:rPr>
                <w:rFonts w:ascii="仿宋" w:hAnsi="仿宋" w:eastAsia="仿宋" w:cs="仿宋"/>
                <w:szCs w:val="21"/>
              </w:rPr>
            </w:pPr>
          </w:p>
        </w:tc>
        <w:tc>
          <w:tcPr>
            <w:tcW w:w="2549" w:type="pct"/>
            <w:gridSpan w:val="2"/>
            <w:vAlign w:val="center"/>
          </w:tcPr>
          <w:p w14:paraId="198E0FD6">
            <w:pPr>
              <w:jc w:val="left"/>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 xml:space="preserve"> 优    □ 良     □ 中     □ 差</w:t>
            </w:r>
          </w:p>
        </w:tc>
      </w:tr>
      <w:tr w14:paraId="3E61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3" w:type="pct"/>
            <w:vMerge w:val="continue"/>
            <w:vAlign w:val="center"/>
          </w:tcPr>
          <w:p w14:paraId="3A1D5BFC">
            <w:pPr>
              <w:jc w:val="center"/>
              <w:rPr>
                <w:rFonts w:ascii="仿宋" w:hAnsi="仿宋" w:eastAsia="仿宋" w:cs="仿宋"/>
                <w:szCs w:val="21"/>
              </w:rPr>
            </w:pPr>
          </w:p>
        </w:tc>
        <w:tc>
          <w:tcPr>
            <w:tcW w:w="750" w:type="pct"/>
            <w:vAlign w:val="center"/>
          </w:tcPr>
          <w:p w14:paraId="3F865F3B">
            <w:pPr>
              <w:jc w:val="center"/>
              <w:rPr>
                <w:rFonts w:ascii="仿宋" w:hAnsi="仿宋" w:eastAsia="仿宋" w:cs="仿宋"/>
                <w:szCs w:val="21"/>
              </w:rPr>
            </w:pPr>
            <w:r>
              <w:rPr>
                <w:rFonts w:hint="eastAsia" w:ascii="仿宋" w:hAnsi="仿宋" w:eastAsia="仿宋" w:cs="仿宋"/>
                <w:szCs w:val="21"/>
              </w:rPr>
              <w:t>总体评价</w:t>
            </w:r>
          </w:p>
        </w:tc>
        <w:tc>
          <w:tcPr>
            <w:tcW w:w="936" w:type="pct"/>
            <w:vAlign w:val="center"/>
          </w:tcPr>
          <w:p w14:paraId="7A3BF2F1">
            <w:pPr>
              <w:jc w:val="center"/>
              <w:rPr>
                <w:rFonts w:ascii="仿宋" w:hAnsi="仿宋" w:eastAsia="仿宋" w:cs="仿宋"/>
                <w:szCs w:val="21"/>
              </w:rPr>
            </w:pPr>
          </w:p>
        </w:tc>
        <w:tc>
          <w:tcPr>
            <w:tcW w:w="2549" w:type="pct"/>
            <w:gridSpan w:val="2"/>
            <w:vAlign w:val="center"/>
          </w:tcPr>
          <w:p w14:paraId="7ABC68D7">
            <w:pPr>
              <w:jc w:val="left"/>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 xml:space="preserve"> 优    □ 良     □ 中     □ 差</w:t>
            </w:r>
          </w:p>
        </w:tc>
      </w:tr>
      <w:tr w14:paraId="366B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63" w:type="pct"/>
            <w:vAlign w:val="center"/>
          </w:tcPr>
          <w:p w14:paraId="50E67975">
            <w:pPr>
              <w:jc w:val="center"/>
              <w:rPr>
                <w:rFonts w:ascii="仿宋" w:hAnsi="仿宋" w:eastAsia="仿宋" w:cs="仿宋"/>
                <w:szCs w:val="21"/>
              </w:rPr>
            </w:pPr>
            <w:r>
              <w:rPr>
                <w:rFonts w:hint="eastAsia" w:ascii="仿宋" w:hAnsi="仿宋" w:eastAsia="仿宋" w:cs="仿宋"/>
                <w:szCs w:val="21"/>
              </w:rPr>
              <w:t>具体情况</w:t>
            </w:r>
          </w:p>
          <w:p w14:paraId="5BA6850F">
            <w:pPr>
              <w:jc w:val="center"/>
              <w:rPr>
                <w:rFonts w:ascii="仿宋" w:hAnsi="仿宋" w:eastAsia="仿宋" w:cs="仿宋"/>
                <w:szCs w:val="21"/>
              </w:rPr>
            </w:pPr>
            <w:r>
              <w:rPr>
                <w:rFonts w:hint="eastAsia" w:ascii="仿宋" w:hAnsi="仿宋" w:eastAsia="仿宋" w:cs="仿宋"/>
                <w:szCs w:val="21"/>
              </w:rPr>
              <w:t>说明</w:t>
            </w:r>
          </w:p>
        </w:tc>
        <w:tc>
          <w:tcPr>
            <w:tcW w:w="4236" w:type="pct"/>
            <w:gridSpan w:val="4"/>
            <w:vAlign w:val="center"/>
          </w:tcPr>
          <w:p w14:paraId="18F00111">
            <w:pPr>
              <w:ind w:firstLine="420" w:firstLineChars="200"/>
              <w:rPr>
                <w:rFonts w:ascii="仿宋" w:hAnsi="仿宋" w:eastAsia="仿宋" w:cs="仿宋"/>
                <w:szCs w:val="21"/>
              </w:rPr>
            </w:pPr>
          </w:p>
        </w:tc>
      </w:tr>
      <w:tr w14:paraId="0B4D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763" w:type="pct"/>
            <w:vAlign w:val="center"/>
          </w:tcPr>
          <w:p w14:paraId="6F5B899A">
            <w:pPr>
              <w:jc w:val="center"/>
              <w:rPr>
                <w:rFonts w:ascii="仿宋" w:hAnsi="仿宋" w:eastAsia="仿宋" w:cs="仿宋"/>
                <w:szCs w:val="21"/>
              </w:rPr>
            </w:pPr>
            <w:r>
              <w:rPr>
                <w:rFonts w:hint="eastAsia" w:ascii="仿宋" w:hAnsi="仿宋" w:eastAsia="仿宋" w:cs="仿宋"/>
                <w:szCs w:val="21"/>
              </w:rPr>
              <w:t>采购单位</w:t>
            </w:r>
          </w:p>
          <w:p w14:paraId="4512C614">
            <w:pPr>
              <w:jc w:val="center"/>
              <w:rPr>
                <w:rFonts w:ascii="仿宋" w:hAnsi="仿宋" w:eastAsia="仿宋" w:cs="仿宋"/>
                <w:szCs w:val="21"/>
              </w:rPr>
            </w:pPr>
            <w:r>
              <w:rPr>
                <w:rFonts w:hint="eastAsia" w:ascii="仿宋" w:hAnsi="仿宋" w:eastAsia="仿宋" w:cs="仿宋"/>
                <w:szCs w:val="21"/>
              </w:rPr>
              <w:t>确认</w:t>
            </w:r>
          </w:p>
          <w:p w14:paraId="61D5504D">
            <w:pPr>
              <w:pStyle w:val="19"/>
              <w:ind w:firstLine="0"/>
              <w:jc w:val="center"/>
              <w:rPr>
                <w:rFonts w:ascii="仿宋" w:hAnsi="仿宋" w:eastAsia="仿宋" w:cs="仿宋"/>
                <w:sz w:val="21"/>
                <w:szCs w:val="21"/>
              </w:rPr>
            </w:pPr>
            <w:r>
              <w:rPr>
                <w:rFonts w:hint="eastAsia" w:ascii="仿宋" w:hAnsi="仿宋" w:eastAsia="仿宋" w:cs="仿宋"/>
                <w:sz w:val="21"/>
                <w:szCs w:val="21"/>
              </w:rPr>
              <w:t>（公章）</w:t>
            </w:r>
          </w:p>
        </w:tc>
        <w:tc>
          <w:tcPr>
            <w:tcW w:w="4236" w:type="pct"/>
            <w:gridSpan w:val="4"/>
            <w:vAlign w:val="bottom"/>
          </w:tcPr>
          <w:p w14:paraId="5E150F85">
            <w:pPr>
              <w:wordWrap w:val="0"/>
              <w:jc w:val="center"/>
              <w:rPr>
                <w:rFonts w:ascii="仿宋" w:hAnsi="仿宋" w:eastAsia="仿宋" w:cs="仿宋"/>
                <w:szCs w:val="21"/>
              </w:rPr>
            </w:pPr>
          </w:p>
          <w:p w14:paraId="7D420253">
            <w:pPr>
              <w:wordWrap w:val="0"/>
              <w:jc w:val="center"/>
              <w:rPr>
                <w:rFonts w:ascii="仿宋" w:hAnsi="仿宋" w:eastAsia="仿宋" w:cs="仿宋"/>
                <w:szCs w:val="21"/>
              </w:rPr>
            </w:pPr>
          </w:p>
          <w:p w14:paraId="6CA53113">
            <w:pPr>
              <w:wordWrap w:val="0"/>
              <w:jc w:val="center"/>
              <w:rPr>
                <w:rFonts w:ascii="仿宋" w:hAnsi="仿宋" w:eastAsia="仿宋" w:cs="仿宋"/>
                <w:szCs w:val="21"/>
              </w:rPr>
            </w:pPr>
          </w:p>
          <w:p w14:paraId="597C8AFE">
            <w:pPr>
              <w:wordWrap w:val="0"/>
              <w:jc w:val="center"/>
              <w:rPr>
                <w:rFonts w:ascii="仿宋" w:hAnsi="仿宋" w:eastAsia="仿宋" w:cs="仿宋"/>
                <w:szCs w:val="21"/>
              </w:rPr>
            </w:pPr>
            <w:r>
              <w:rPr>
                <w:rFonts w:hint="eastAsia" w:ascii="仿宋" w:hAnsi="仿宋" w:eastAsia="仿宋" w:cs="仿宋"/>
                <w:szCs w:val="21"/>
              </w:rPr>
              <w:t xml:space="preserve">验收小组签名：       </w:t>
            </w:r>
          </w:p>
          <w:p w14:paraId="4B947E6A">
            <w:pPr>
              <w:jc w:val="right"/>
              <w:rPr>
                <w:rFonts w:ascii="仿宋" w:hAnsi="仿宋" w:eastAsia="仿宋" w:cs="仿宋"/>
                <w:szCs w:val="21"/>
              </w:rPr>
            </w:pPr>
            <w:r>
              <w:rPr>
                <w:rFonts w:hint="eastAsia" w:ascii="仿宋" w:hAnsi="仿宋" w:eastAsia="仿宋" w:cs="仿宋"/>
                <w:szCs w:val="21"/>
              </w:rPr>
              <w:t xml:space="preserve">日期：  </w:t>
            </w:r>
            <w:r>
              <w:rPr>
                <w:rFonts w:ascii="仿宋" w:hAnsi="仿宋" w:eastAsia="仿宋" w:cs="仿宋"/>
                <w:szCs w:val="21"/>
              </w:rPr>
              <w:t xml:space="preserve"> </w:t>
            </w:r>
            <w:r>
              <w:rPr>
                <w:rFonts w:hint="eastAsia" w:ascii="仿宋" w:hAnsi="仿宋" w:eastAsia="仿宋" w:cs="仿宋"/>
                <w:szCs w:val="21"/>
              </w:rPr>
              <w:t xml:space="preserve"> 年   </w:t>
            </w:r>
            <w:r>
              <w:rPr>
                <w:rFonts w:ascii="仿宋" w:hAnsi="仿宋" w:eastAsia="仿宋" w:cs="仿宋"/>
                <w:szCs w:val="21"/>
              </w:rPr>
              <w:t xml:space="preserve"> </w:t>
            </w:r>
            <w:r>
              <w:rPr>
                <w:rFonts w:hint="eastAsia" w:ascii="仿宋" w:hAnsi="仿宋" w:eastAsia="仿宋" w:cs="仿宋"/>
                <w:szCs w:val="21"/>
              </w:rPr>
              <w:t>月   日</w:t>
            </w:r>
          </w:p>
        </w:tc>
      </w:tr>
      <w:tr w14:paraId="3295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63" w:type="pct"/>
            <w:vAlign w:val="center"/>
          </w:tcPr>
          <w:p w14:paraId="0C225F4C">
            <w:pPr>
              <w:jc w:val="center"/>
              <w:rPr>
                <w:rFonts w:ascii="仿宋" w:hAnsi="仿宋" w:eastAsia="仿宋" w:cs="仿宋"/>
                <w:szCs w:val="21"/>
              </w:rPr>
            </w:pPr>
            <w:r>
              <w:rPr>
                <w:rFonts w:hint="eastAsia" w:ascii="仿宋" w:hAnsi="仿宋" w:eastAsia="仿宋" w:cs="仿宋"/>
                <w:szCs w:val="21"/>
              </w:rPr>
              <w:t>供应商确认</w:t>
            </w:r>
          </w:p>
          <w:p w14:paraId="22EC92A3">
            <w:pPr>
              <w:jc w:val="center"/>
              <w:rPr>
                <w:rFonts w:ascii="仿宋" w:hAnsi="仿宋" w:eastAsia="仿宋" w:cs="仿宋"/>
                <w:szCs w:val="21"/>
              </w:rPr>
            </w:pPr>
            <w:r>
              <w:rPr>
                <w:rFonts w:hint="eastAsia" w:ascii="仿宋" w:hAnsi="仿宋" w:eastAsia="仿宋" w:cs="仿宋"/>
                <w:szCs w:val="21"/>
              </w:rPr>
              <w:t>（公章）</w:t>
            </w:r>
          </w:p>
        </w:tc>
        <w:tc>
          <w:tcPr>
            <w:tcW w:w="4236" w:type="pct"/>
            <w:gridSpan w:val="4"/>
            <w:vAlign w:val="bottom"/>
          </w:tcPr>
          <w:p w14:paraId="42721D91">
            <w:pPr>
              <w:wordWrap w:val="0"/>
              <w:jc w:val="center"/>
              <w:rPr>
                <w:rFonts w:ascii="仿宋" w:hAnsi="仿宋" w:eastAsia="仿宋" w:cs="仿宋"/>
                <w:szCs w:val="21"/>
              </w:rPr>
            </w:pPr>
            <w:r>
              <w:rPr>
                <w:rFonts w:hint="eastAsia" w:ascii="仿宋" w:hAnsi="仿宋" w:eastAsia="仿宋" w:cs="仿宋"/>
                <w:szCs w:val="21"/>
              </w:rPr>
              <w:t xml:space="preserve">供应商签名：         </w:t>
            </w:r>
          </w:p>
          <w:p w14:paraId="514A5F38">
            <w:pPr>
              <w:jc w:val="right"/>
              <w:rPr>
                <w:rFonts w:ascii="仿宋" w:hAnsi="仿宋" w:eastAsia="仿宋" w:cs="仿宋"/>
                <w:szCs w:val="21"/>
              </w:rPr>
            </w:pPr>
            <w:r>
              <w:rPr>
                <w:rFonts w:hint="eastAsia" w:ascii="仿宋" w:hAnsi="仿宋" w:eastAsia="仿宋" w:cs="仿宋"/>
                <w:szCs w:val="21"/>
              </w:rPr>
              <w:t xml:space="preserve">日期：  </w:t>
            </w:r>
            <w:r>
              <w:rPr>
                <w:rFonts w:ascii="仿宋" w:hAnsi="仿宋" w:eastAsia="仿宋" w:cs="仿宋"/>
                <w:szCs w:val="21"/>
              </w:rPr>
              <w:t xml:space="preserve"> </w:t>
            </w:r>
            <w:r>
              <w:rPr>
                <w:rFonts w:hint="eastAsia" w:ascii="仿宋" w:hAnsi="仿宋" w:eastAsia="仿宋" w:cs="仿宋"/>
                <w:szCs w:val="21"/>
              </w:rPr>
              <w:t xml:space="preserve"> 年  </w:t>
            </w:r>
            <w:r>
              <w:rPr>
                <w:rFonts w:ascii="仿宋" w:hAnsi="仿宋" w:eastAsia="仿宋" w:cs="仿宋"/>
                <w:szCs w:val="21"/>
              </w:rPr>
              <w:t xml:space="preserve"> </w:t>
            </w:r>
            <w:r>
              <w:rPr>
                <w:rFonts w:hint="eastAsia" w:ascii="仿宋" w:hAnsi="仿宋" w:eastAsia="仿宋" w:cs="仿宋"/>
                <w:szCs w:val="21"/>
              </w:rPr>
              <w:t xml:space="preserve"> 月   日</w:t>
            </w:r>
          </w:p>
        </w:tc>
      </w:tr>
    </w:tbl>
    <w:p w14:paraId="5074E3FE">
      <w:pPr>
        <w:adjustRightInd w:val="0"/>
        <w:snapToGrid w:val="0"/>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w:t>
      </w:r>
      <w:r>
        <w:rPr>
          <w:rFonts w:ascii="仿宋_GB2312" w:hAnsi="仿宋_GB2312" w:eastAsia="仿宋_GB2312" w:cs="仿宋_GB2312"/>
          <w:szCs w:val="21"/>
        </w:rPr>
        <w:t>1</w:t>
      </w:r>
      <w:r>
        <w:rPr>
          <w:rFonts w:hint="eastAsia" w:ascii="仿宋_GB2312" w:hAnsi="仿宋_GB2312" w:eastAsia="仿宋_GB2312" w:cs="仿宋_GB2312"/>
          <w:szCs w:val="21"/>
        </w:rPr>
        <w:t>、以上评价内容可根据项目进行增加或删减；</w:t>
      </w:r>
    </w:p>
    <w:p w14:paraId="530C2759">
      <w:pPr>
        <w:numPr>
          <w:ilvl w:val="0"/>
          <w:numId w:val="4"/>
        </w:numPr>
        <w:ind w:left="0" w:leftChars="0" w:firstLine="0" w:firstLineChars="0"/>
        <w:rPr>
          <w:rFonts w:hint="eastAsia" w:ascii="仿宋_GB2312" w:hAnsi="仿宋_GB2312" w:eastAsia="仿宋_GB2312" w:cs="仿宋_GB2312"/>
          <w:szCs w:val="21"/>
        </w:rPr>
      </w:pPr>
      <w:r>
        <w:rPr>
          <w:rFonts w:hint="eastAsia" w:ascii="仿宋_GB2312" w:hAnsi="仿宋_GB2312" w:eastAsia="仿宋_GB2312" w:cs="仿宋_GB2312"/>
          <w:szCs w:val="21"/>
        </w:rPr>
        <w:t>履约情况评价分为优、良、中、差四个等级，请在对应的框前打“√”，然后在“具体情况说明”一栏详细说明有关情况。</w:t>
      </w:r>
    </w:p>
    <w:p w14:paraId="499F6F07">
      <w:pPr>
        <w:pStyle w:val="12"/>
        <w:numPr>
          <w:ilvl w:val="0"/>
          <w:numId w:val="0"/>
        </w:numPr>
        <w:rPr>
          <w:rFonts w:hint="eastAsia" w:ascii="仿宋_GB2312" w:hAnsi="仿宋_GB2312" w:eastAsia="仿宋_GB2312" w:cs="仿宋_GB2312"/>
          <w:szCs w:val="21"/>
        </w:rPr>
      </w:pPr>
    </w:p>
    <w:p w14:paraId="2A77D312">
      <w:pPr>
        <w:pStyle w:val="12"/>
        <w:numPr>
          <w:ilvl w:val="0"/>
          <w:numId w:val="0"/>
        </w:numPr>
        <w:rPr>
          <w:rFonts w:hint="eastAsia" w:ascii="仿宋_GB2312" w:hAnsi="仿宋_GB2312" w:eastAsia="仿宋_GB2312" w:cs="仿宋_GB2312"/>
          <w:szCs w:val="21"/>
        </w:rPr>
      </w:pPr>
    </w:p>
    <w:p w14:paraId="31969CCB">
      <w:pPr>
        <w:pStyle w:val="12"/>
        <w:numPr>
          <w:ilvl w:val="0"/>
          <w:numId w:val="0"/>
        </w:numPr>
        <w:rPr>
          <w:rFonts w:hint="eastAsia" w:ascii="仿宋_GB2312" w:hAnsi="仿宋_GB2312" w:eastAsia="仿宋_GB2312" w:cs="仿宋_GB2312"/>
          <w:szCs w:val="21"/>
        </w:rPr>
      </w:pPr>
    </w:p>
    <w:p w14:paraId="54AA8560">
      <w:pPr>
        <w:pStyle w:val="12"/>
        <w:numPr>
          <w:ilvl w:val="0"/>
          <w:numId w:val="0"/>
        </w:numPr>
        <w:rPr>
          <w:rFonts w:hint="eastAsia" w:ascii="仿宋_GB2312" w:hAnsi="仿宋_GB2312" w:eastAsia="仿宋_GB2312" w:cs="仿宋_GB2312"/>
          <w:szCs w:val="21"/>
        </w:rPr>
      </w:pPr>
    </w:p>
    <w:p w14:paraId="4155B69B">
      <w:pPr>
        <w:pStyle w:val="12"/>
        <w:numPr>
          <w:ilvl w:val="0"/>
          <w:numId w:val="0"/>
        </w:numPr>
        <w:rPr>
          <w:rFonts w:hint="eastAsia" w:ascii="仿宋_GB2312" w:hAnsi="仿宋_GB2312" w:eastAsia="仿宋_GB2312" w:cs="仿宋_GB2312"/>
          <w:szCs w:val="21"/>
        </w:rPr>
      </w:pPr>
    </w:p>
    <w:p w14:paraId="6E11901B">
      <w:pPr>
        <w:pStyle w:val="12"/>
        <w:numPr>
          <w:ilvl w:val="0"/>
          <w:numId w:val="0"/>
        </w:numPr>
        <w:rPr>
          <w:rFonts w:hint="eastAsia" w:ascii="仿宋_GB2312" w:hAnsi="仿宋_GB2312" w:eastAsia="仿宋_GB2312" w:cs="仿宋_GB2312"/>
          <w:szCs w:val="21"/>
        </w:rPr>
      </w:pPr>
    </w:p>
    <w:p w14:paraId="1CFFEA14">
      <w:pPr>
        <w:pStyle w:val="19"/>
        <w:numPr>
          <w:ilvl w:val="-1"/>
          <w:numId w:val="0"/>
        </w:numPr>
        <w:ind w:left="0" w:leftChars="0" w:firstLine="0" w:firstLineChars="0"/>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附件</w:t>
      </w:r>
      <w:r>
        <w:rPr>
          <w:rFonts w:hint="eastAsia" w:ascii="宋体" w:hAnsi="宋体" w:eastAsia="宋体" w:cs="宋体"/>
          <w:b/>
          <w:color w:val="000000" w:themeColor="text1"/>
          <w:sz w:val="24"/>
          <w:highlight w:val="none"/>
          <w:lang w:val="en-US" w:eastAsia="zh-CN"/>
          <w14:textFill>
            <w14:solidFill>
              <w14:schemeClr w14:val="tx1"/>
            </w14:solidFill>
          </w14:textFill>
        </w:rPr>
        <w:t>4：</w:t>
      </w:r>
    </w:p>
    <w:p w14:paraId="37825256">
      <w:pPr>
        <w:pStyle w:val="50"/>
        <w:spacing w:before="156"/>
        <w:ind w:firstLine="0" w:firstLineChars="0"/>
        <w:jc w:val="center"/>
        <w:rPr>
          <w:rFonts w:hint="eastAsia"/>
          <w:b/>
          <w:bCs w:val="0"/>
          <w:color w:val="000000" w:themeColor="text1"/>
          <w:sz w:val="30"/>
          <w:szCs w:val="30"/>
          <w14:textFill>
            <w14:solidFill>
              <w14:schemeClr w14:val="tx1"/>
            </w14:solidFill>
          </w14:textFill>
        </w:rPr>
      </w:pPr>
    </w:p>
    <w:p w14:paraId="2EFDE41B">
      <w:pPr>
        <w:pStyle w:val="50"/>
        <w:spacing w:before="156"/>
        <w:ind w:firstLine="0" w:firstLineChars="0"/>
        <w:jc w:val="center"/>
        <w:rPr>
          <w:rFonts w:hint="eastAsia" w:eastAsia="宋体"/>
          <w:b/>
          <w:bCs w:val="0"/>
          <w:color w:val="000000" w:themeColor="text1"/>
          <w:sz w:val="30"/>
          <w:szCs w:val="30"/>
          <w:lang w:eastAsia="zh-CN"/>
          <w14:textFill>
            <w14:solidFill>
              <w14:schemeClr w14:val="tx1"/>
            </w14:solidFill>
          </w14:textFill>
        </w:rPr>
      </w:pPr>
      <w:r>
        <w:rPr>
          <w:rFonts w:hint="eastAsia"/>
          <w:b/>
          <w:bCs w:val="0"/>
          <w:color w:val="000000" w:themeColor="text1"/>
          <w:sz w:val="30"/>
          <w:szCs w:val="30"/>
          <w14:textFill>
            <w14:solidFill>
              <w14:schemeClr w14:val="tx1"/>
            </w14:solidFill>
          </w14:textFill>
        </w:rPr>
        <w:t>拟派项目团队成员情况一览表</w:t>
      </w:r>
    </w:p>
    <w:tbl>
      <w:tblPr>
        <w:tblStyle w:val="2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623"/>
        <w:gridCol w:w="869"/>
        <w:gridCol w:w="976"/>
        <w:gridCol w:w="1171"/>
        <w:gridCol w:w="1240"/>
        <w:gridCol w:w="1366"/>
        <w:gridCol w:w="712"/>
      </w:tblGrid>
      <w:tr w14:paraId="4562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11CDBC0F">
            <w:pPr>
              <w:jc w:val="center"/>
              <w:rPr>
                <w:rFonts w:hint="eastAsia"/>
              </w:rPr>
            </w:pPr>
            <w:r>
              <w:rPr>
                <w:rFonts w:hint="eastAsia"/>
              </w:rPr>
              <w:t>序号</w:t>
            </w:r>
          </w:p>
        </w:tc>
        <w:tc>
          <w:tcPr>
            <w:tcW w:w="1623" w:type="dxa"/>
            <w:noWrap w:val="0"/>
            <w:vAlign w:val="center"/>
          </w:tcPr>
          <w:p w14:paraId="49B54C96">
            <w:pPr>
              <w:jc w:val="center"/>
              <w:rPr>
                <w:rFonts w:hint="eastAsia"/>
              </w:rPr>
            </w:pPr>
            <w:r>
              <w:rPr>
                <w:rFonts w:hint="eastAsia"/>
              </w:rPr>
              <w:t>拟任项目机构岗位职务</w:t>
            </w:r>
          </w:p>
        </w:tc>
        <w:tc>
          <w:tcPr>
            <w:tcW w:w="869" w:type="dxa"/>
            <w:noWrap w:val="0"/>
            <w:vAlign w:val="center"/>
          </w:tcPr>
          <w:p w14:paraId="39B03CF2">
            <w:pPr>
              <w:jc w:val="center"/>
            </w:pPr>
            <w:r>
              <w:rPr>
                <w:rFonts w:hint="eastAsia"/>
              </w:rPr>
              <w:t>姓名</w:t>
            </w:r>
          </w:p>
        </w:tc>
        <w:tc>
          <w:tcPr>
            <w:tcW w:w="976" w:type="dxa"/>
            <w:noWrap w:val="0"/>
            <w:vAlign w:val="center"/>
          </w:tcPr>
          <w:p w14:paraId="51E589BE">
            <w:pPr>
              <w:jc w:val="center"/>
            </w:pPr>
            <w:r>
              <w:rPr>
                <w:rFonts w:hint="eastAsia"/>
              </w:rPr>
              <w:t>职称</w:t>
            </w:r>
          </w:p>
        </w:tc>
        <w:tc>
          <w:tcPr>
            <w:tcW w:w="1171" w:type="dxa"/>
            <w:noWrap w:val="0"/>
            <w:vAlign w:val="center"/>
          </w:tcPr>
          <w:p w14:paraId="1A87F211">
            <w:pPr>
              <w:jc w:val="center"/>
              <w:rPr>
                <w:rFonts w:hint="eastAsia"/>
              </w:rPr>
            </w:pPr>
            <w:r>
              <w:rPr>
                <w:rFonts w:hint="eastAsia"/>
              </w:rPr>
              <w:t>执业资</w:t>
            </w:r>
          </w:p>
          <w:p w14:paraId="597FE84C">
            <w:pPr>
              <w:jc w:val="center"/>
              <w:rPr>
                <w:rFonts w:hint="eastAsia"/>
                <w:lang w:val="en-US" w:eastAsia="zh-CN"/>
              </w:rPr>
            </w:pPr>
            <w:r>
              <w:rPr>
                <w:rFonts w:hint="eastAsia"/>
              </w:rPr>
              <w:t>格类别</w:t>
            </w:r>
            <w:r>
              <w:rPr>
                <w:rFonts w:hint="eastAsia"/>
                <w:lang w:eastAsia="zh-CN"/>
              </w:rPr>
              <w:t>（</w:t>
            </w:r>
            <w:r>
              <w:rPr>
                <w:rFonts w:hint="eastAsia"/>
                <w:lang w:val="en-US" w:eastAsia="zh-CN"/>
              </w:rPr>
              <w:t>或上岗证书</w:t>
            </w:r>
            <w:r>
              <w:rPr>
                <w:rFonts w:hint="eastAsia"/>
                <w:lang w:eastAsia="zh-CN"/>
              </w:rPr>
              <w:t>）</w:t>
            </w:r>
          </w:p>
        </w:tc>
        <w:tc>
          <w:tcPr>
            <w:tcW w:w="1240" w:type="dxa"/>
            <w:noWrap w:val="0"/>
            <w:vAlign w:val="center"/>
          </w:tcPr>
          <w:p w14:paraId="29482344">
            <w:pPr>
              <w:jc w:val="center"/>
            </w:pPr>
            <w:r>
              <w:rPr>
                <w:rFonts w:hint="eastAsia"/>
              </w:rPr>
              <w:t>注册专业</w:t>
            </w:r>
          </w:p>
        </w:tc>
        <w:tc>
          <w:tcPr>
            <w:tcW w:w="1366" w:type="dxa"/>
            <w:noWrap w:val="0"/>
            <w:vAlign w:val="center"/>
          </w:tcPr>
          <w:p w14:paraId="7723C137">
            <w:pPr>
              <w:jc w:val="center"/>
              <w:rPr>
                <w:rFonts w:hint="eastAsia"/>
              </w:rPr>
            </w:pPr>
            <w:r>
              <w:rPr>
                <w:rFonts w:hint="eastAsia"/>
              </w:rPr>
              <w:t>注册证</w:t>
            </w:r>
          </w:p>
          <w:p w14:paraId="0882A0B5">
            <w:pPr>
              <w:jc w:val="center"/>
            </w:pPr>
            <w:r>
              <w:rPr>
                <w:rFonts w:hint="eastAsia"/>
              </w:rPr>
              <w:t>书编号</w:t>
            </w:r>
          </w:p>
        </w:tc>
        <w:tc>
          <w:tcPr>
            <w:tcW w:w="712" w:type="dxa"/>
            <w:noWrap w:val="0"/>
            <w:vAlign w:val="center"/>
          </w:tcPr>
          <w:p w14:paraId="30D4B12D">
            <w:pPr>
              <w:jc w:val="center"/>
            </w:pPr>
            <w:r>
              <w:rPr>
                <w:rFonts w:hint="eastAsia"/>
              </w:rPr>
              <w:t>备注</w:t>
            </w:r>
          </w:p>
        </w:tc>
      </w:tr>
      <w:tr w14:paraId="3C5C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6AB7812F">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623" w:type="dxa"/>
            <w:noWrap w:val="0"/>
            <w:vAlign w:val="center"/>
          </w:tcPr>
          <w:p w14:paraId="3F276585">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869" w:type="dxa"/>
            <w:noWrap w:val="0"/>
            <w:vAlign w:val="center"/>
          </w:tcPr>
          <w:p w14:paraId="4A66D845">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976" w:type="dxa"/>
            <w:noWrap w:val="0"/>
            <w:vAlign w:val="center"/>
          </w:tcPr>
          <w:p w14:paraId="40D62CBA">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171" w:type="dxa"/>
            <w:noWrap w:val="0"/>
            <w:vAlign w:val="center"/>
          </w:tcPr>
          <w:p w14:paraId="2A3FA1EF">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240" w:type="dxa"/>
            <w:noWrap w:val="0"/>
            <w:vAlign w:val="center"/>
          </w:tcPr>
          <w:p w14:paraId="08BF127C">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366" w:type="dxa"/>
            <w:noWrap w:val="0"/>
            <w:vAlign w:val="center"/>
          </w:tcPr>
          <w:p w14:paraId="049F53F6">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712" w:type="dxa"/>
            <w:noWrap w:val="0"/>
            <w:vAlign w:val="center"/>
          </w:tcPr>
          <w:p w14:paraId="2EBCF528">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r>
      <w:tr w14:paraId="3280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14:paraId="2FFE6EE8">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623" w:type="dxa"/>
            <w:noWrap w:val="0"/>
            <w:vAlign w:val="top"/>
          </w:tcPr>
          <w:p w14:paraId="26A0C851">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869" w:type="dxa"/>
            <w:noWrap w:val="0"/>
            <w:vAlign w:val="top"/>
          </w:tcPr>
          <w:p w14:paraId="08541241">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976" w:type="dxa"/>
            <w:noWrap w:val="0"/>
            <w:vAlign w:val="top"/>
          </w:tcPr>
          <w:p w14:paraId="5AD8DDA8">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171" w:type="dxa"/>
            <w:noWrap w:val="0"/>
            <w:vAlign w:val="top"/>
          </w:tcPr>
          <w:p w14:paraId="4341A563">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240" w:type="dxa"/>
            <w:noWrap w:val="0"/>
            <w:vAlign w:val="top"/>
          </w:tcPr>
          <w:p w14:paraId="32D48FF5">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366" w:type="dxa"/>
            <w:noWrap w:val="0"/>
            <w:vAlign w:val="top"/>
          </w:tcPr>
          <w:p w14:paraId="45CCF580">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712" w:type="dxa"/>
            <w:noWrap w:val="0"/>
            <w:vAlign w:val="top"/>
          </w:tcPr>
          <w:p w14:paraId="6A35654E">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r>
      <w:tr w14:paraId="3CF6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14:paraId="419C368A">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623" w:type="dxa"/>
            <w:noWrap w:val="0"/>
            <w:vAlign w:val="top"/>
          </w:tcPr>
          <w:p w14:paraId="7C8EB3D9">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869" w:type="dxa"/>
            <w:noWrap w:val="0"/>
            <w:vAlign w:val="top"/>
          </w:tcPr>
          <w:p w14:paraId="59938ADF">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976" w:type="dxa"/>
            <w:noWrap w:val="0"/>
            <w:vAlign w:val="top"/>
          </w:tcPr>
          <w:p w14:paraId="6B911BF5">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171" w:type="dxa"/>
            <w:noWrap w:val="0"/>
            <w:vAlign w:val="top"/>
          </w:tcPr>
          <w:p w14:paraId="109B6F6A">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240" w:type="dxa"/>
            <w:noWrap w:val="0"/>
            <w:vAlign w:val="top"/>
          </w:tcPr>
          <w:p w14:paraId="44293AF7">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366" w:type="dxa"/>
            <w:noWrap w:val="0"/>
            <w:vAlign w:val="top"/>
          </w:tcPr>
          <w:p w14:paraId="521A95D6">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712" w:type="dxa"/>
            <w:noWrap w:val="0"/>
            <w:vAlign w:val="top"/>
          </w:tcPr>
          <w:p w14:paraId="2661F46B">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r>
      <w:tr w14:paraId="042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14:paraId="5A23DCD4">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623" w:type="dxa"/>
            <w:noWrap w:val="0"/>
            <w:vAlign w:val="top"/>
          </w:tcPr>
          <w:p w14:paraId="4B79F093">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869" w:type="dxa"/>
            <w:noWrap w:val="0"/>
            <w:vAlign w:val="top"/>
          </w:tcPr>
          <w:p w14:paraId="592E999D">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976" w:type="dxa"/>
            <w:noWrap w:val="0"/>
            <w:vAlign w:val="top"/>
          </w:tcPr>
          <w:p w14:paraId="053280CE">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171" w:type="dxa"/>
            <w:noWrap w:val="0"/>
            <w:vAlign w:val="top"/>
          </w:tcPr>
          <w:p w14:paraId="619EE02A">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240" w:type="dxa"/>
            <w:noWrap w:val="0"/>
            <w:vAlign w:val="top"/>
          </w:tcPr>
          <w:p w14:paraId="385CFA14">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366" w:type="dxa"/>
            <w:noWrap w:val="0"/>
            <w:vAlign w:val="top"/>
          </w:tcPr>
          <w:p w14:paraId="6E088B88">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712" w:type="dxa"/>
            <w:noWrap w:val="0"/>
            <w:vAlign w:val="top"/>
          </w:tcPr>
          <w:p w14:paraId="49F24335">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r>
      <w:tr w14:paraId="09ED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14:paraId="2EC93741">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623" w:type="dxa"/>
            <w:noWrap w:val="0"/>
            <w:vAlign w:val="top"/>
          </w:tcPr>
          <w:p w14:paraId="5A51AF94">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869" w:type="dxa"/>
            <w:noWrap w:val="0"/>
            <w:vAlign w:val="top"/>
          </w:tcPr>
          <w:p w14:paraId="3247A354">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976" w:type="dxa"/>
            <w:noWrap w:val="0"/>
            <w:vAlign w:val="top"/>
          </w:tcPr>
          <w:p w14:paraId="6F2B9CF3">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171" w:type="dxa"/>
            <w:noWrap w:val="0"/>
            <w:vAlign w:val="top"/>
          </w:tcPr>
          <w:p w14:paraId="036F203A">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240" w:type="dxa"/>
            <w:noWrap w:val="0"/>
            <w:vAlign w:val="top"/>
          </w:tcPr>
          <w:p w14:paraId="180A7B0F">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366" w:type="dxa"/>
            <w:noWrap w:val="0"/>
            <w:vAlign w:val="top"/>
          </w:tcPr>
          <w:p w14:paraId="735D3CD9">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712" w:type="dxa"/>
            <w:noWrap w:val="0"/>
            <w:vAlign w:val="top"/>
          </w:tcPr>
          <w:p w14:paraId="508D6177">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r>
      <w:tr w14:paraId="71AA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14:paraId="0CB69A53">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623" w:type="dxa"/>
            <w:noWrap w:val="0"/>
            <w:vAlign w:val="top"/>
          </w:tcPr>
          <w:p w14:paraId="596672A4">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869" w:type="dxa"/>
            <w:noWrap w:val="0"/>
            <w:vAlign w:val="top"/>
          </w:tcPr>
          <w:p w14:paraId="504C92C5">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976" w:type="dxa"/>
            <w:noWrap w:val="0"/>
            <w:vAlign w:val="top"/>
          </w:tcPr>
          <w:p w14:paraId="4C915362">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171" w:type="dxa"/>
            <w:noWrap w:val="0"/>
            <w:vAlign w:val="top"/>
          </w:tcPr>
          <w:p w14:paraId="309D6E52">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240" w:type="dxa"/>
            <w:noWrap w:val="0"/>
            <w:vAlign w:val="top"/>
          </w:tcPr>
          <w:p w14:paraId="7DC1ACF4">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366" w:type="dxa"/>
            <w:noWrap w:val="0"/>
            <w:vAlign w:val="top"/>
          </w:tcPr>
          <w:p w14:paraId="2ADBE0AC">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712" w:type="dxa"/>
            <w:noWrap w:val="0"/>
            <w:vAlign w:val="top"/>
          </w:tcPr>
          <w:p w14:paraId="6E2E948B">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r>
      <w:tr w14:paraId="683A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14:paraId="2949037D">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623" w:type="dxa"/>
            <w:noWrap w:val="0"/>
            <w:vAlign w:val="top"/>
          </w:tcPr>
          <w:p w14:paraId="0130B4AF">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869" w:type="dxa"/>
            <w:noWrap w:val="0"/>
            <w:vAlign w:val="top"/>
          </w:tcPr>
          <w:p w14:paraId="19588194">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976" w:type="dxa"/>
            <w:noWrap w:val="0"/>
            <w:vAlign w:val="top"/>
          </w:tcPr>
          <w:p w14:paraId="125052EF">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171" w:type="dxa"/>
            <w:noWrap w:val="0"/>
            <w:vAlign w:val="top"/>
          </w:tcPr>
          <w:p w14:paraId="247AB203">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240" w:type="dxa"/>
            <w:noWrap w:val="0"/>
            <w:vAlign w:val="top"/>
          </w:tcPr>
          <w:p w14:paraId="3CAFB4C0">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1366" w:type="dxa"/>
            <w:noWrap w:val="0"/>
            <w:vAlign w:val="top"/>
          </w:tcPr>
          <w:p w14:paraId="31C179C5">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c>
          <w:tcPr>
            <w:tcW w:w="712" w:type="dxa"/>
            <w:noWrap w:val="0"/>
            <w:vAlign w:val="top"/>
          </w:tcPr>
          <w:p w14:paraId="02E62315">
            <w:pPr>
              <w:pStyle w:val="50"/>
              <w:keepNext w:val="0"/>
              <w:keepLines w:val="0"/>
              <w:pageBreakBefore w:val="0"/>
              <w:widowControl/>
              <w:kinsoku/>
              <w:wordWrap/>
              <w:overflowPunct/>
              <w:topLinePunct w:val="0"/>
              <w:autoSpaceDE w:val="0"/>
              <w:autoSpaceDN w:val="0"/>
              <w:bidi w:val="0"/>
              <w:adjustRightInd w:val="0"/>
              <w:snapToGrid/>
              <w:spacing w:line="360" w:lineRule="auto"/>
              <w:ind w:firstLine="0" w:firstLineChars="0"/>
              <w:jc w:val="center"/>
              <w:textAlignment w:val="baseline"/>
              <w:rPr>
                <w:rFonts w:hint="eastAsia" w:cs="宋体"/>
                <w:color w:val="000000" w:themeColor="text1"/>
                <w:sz w:val="21"/>
                <w:szCs w:val="21"/>
                <w14:textFill>
                  <w14:solidFill>
                    <w14:schemeClr w14:val="tx1"/>
                  </w14:solidFill>
                </w14:textFill>
              </w:rPr>
            </w:pPr>
          </w:p>
        </w:tc>
      </w:tr>
    </w:tbl>
    <w:p w14:paraId="30F491CA">
      <w:pPr>
        <w:pStyle w:val="13"/>
        <w:spacing w:line="360" w:lineRule="auto"/>
        <w:ind w:left="0" w:leftChars="0" w:firstLine="0" w:firstLineChars="0"/>
        <w:rPr>
          <w:rFonts w:hint="eastAsia" w:eastAsia="宋体"/>
          <w:color w:val="000000" w:themeColor="text1"/>
          <w:lang w:eastAsia="zh-CN"/>
          <w14:textFill>
            <w14:solidFill>
              <w14:schemeClr w14:val="tx1"/>
            </w14:solidFill>
          </w14:textFill>
        </w:rPr>
      </w:pPr>
      <w:r>
        <w:rPr>
          <w:rFonts w:hint="eastAsia" w:ascii="宋体" w:hAnsi="宋体" w:eastAsia="宋体" w:cs="仿宋"/>
          <w:bCs/>
          <w:color w:val="000000" w:themeColor="text1"/>
          <w:sz w:val="21"/>
          <w:szCs w:val="21"/>
          <w14:textFill>
            <w14:solidFill>
              <w14:schemeClr w14:val="tx1"/>
            </w14:solidFill>
          </w14:textFill>
        </w:rPr>
        <w:t>注：</w:t>
      </w:r>
      <w:r>
        <w:rPr>
          <w:rFonts w:hint="eastAsia"/>
          <w:color w:val="000000" w:themeColor="text1"/>
          <w14:textFill>
            <w14:solidFill>
              <w14:schemeClr w14:val="tx1"/>
            </w14:solidFill>
          </w14:textFill>
        </w:rPr>
        <w:t>提供上述人员的相关证书，以上证明材料均需提供</w:t>
      </w:r>
      <w:r>
        <w:rPr>
          <w:rFonts w:hint="eastAsia"/>
          <w:color w:val="000000" w:themeColor="text1"/>
          <w:lang w:val="en-US" w:eastAsia="zh-CN"/>
          <w14:textFill>
            <w14:solidFill>
              <w14:schemeClr w14:val="tx1"/>
            </w14:solidFill>
          </w14:textFill>
        </w:rPr>
        <w:t>原件扫描件</w:t>
      </w:r>
      <w:r>
        <w:rPr>
          <w:rFonts w:hint="eastAsia"/>
          <w:color w:val="000000" w:themeColor="text1"/>
          <w14:textFill>
            <w14:solidFill>
              <w14:schemeClr w14:val="tx1"/>
            </w14:solidFill>
          </w14:textFill>
        </w:rPr>
        <w:t>。</w:t>
      </w:r>
    </w:p>
    <w:p w14:paraId="4E4500A8"/>
    <w:p w14:paraId="27CA570B">
      <w:pPr>
        <w:pStyle w:val="12"/>
        <w:numPr>
          <w:ilvl w:val="0"/>
          <w:numId w:val="0"/>
        </w:numPr>
        <w:rPr>
          <w:rFonts w:hint="default" w:ascii="仿宋_GB2312" w:hAnsi="仿宋_GB2312" w:eastAsia="仿宋_GB2312" w:cs="仿宋_GB2312"/>
          <w:szCs w:val="21"/>
          <w:lang w:val="sq-AL" w:eastAsia="sq-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13343"/>
    <w:multiLevelType w:val="singleLevel"/>
    <w:tmpl w:val="91C13343"/>
    <w:lvl w:ilvl="0" w:tentative="0">
      <w:start w:val="1"/>
      <w:numFmt w:val="decimal"/>
      <w:suff w:val="nothing"/>
      <w:lvlText w:val="%1、"/>
      <w:lvlJc w:val="left"/>
    </w:lvl>
  </w:abstractNum>
  <w:abstractNum w:abstractNumId="1">
    <w:nsid w:val="EF932B36"/>
    <w:multiLevelType w:val="singleLevel"/>
    <w:tmpl w:val="EF932B36"/>
    <w:lvl w:ilvl="0" w:tentative="0">
      <w:start w:val="1"/>
      <w:numFmt w:val="chineseCounting"/>
      <w:suff w:val="nothing"/>
      <w:lvlText w:val="%1、"/>
      <w:lvlJc w:val="left"/>
      <w:rPr>
        <w:rFonts w:hint="eastAsia"/>
      </w:rPr>
    </w:lvl>
  </w:abstractNum>
  <w:abstractNum w:abstractNumId="2">
    <w:nsid w:val="258EC8C7"/>
    <w:multiLevelType w:val="singleLevel"/>
    <w:tmpl w:val="258EC8C7"/>
    <w:lvl w:ilvl="0" w:tentative="0">
      <w:start w:val="1"/>
      <w:numFmt w:val="chineseCounting"/>
      <w:suff w:val="nothing"/>
      <w:lvlText w:val="%1、"/>
      <w:lvlJc w:val="left"/>
      <w:rPr>
        <w:rFonts w:hint="eastAsia"/>
      </w:rPr>
    </w:lvl>
  </w:abstractNum>
  <w:abstractNum w:abstractNumId="3">
    <w:nsid w:val="38F42158"/>
    <w:multiLevelType w:val="multilevel"/>
    <w:tmpl w:val="38F42158"/>
    <w:lvl w:ilvl="0" w:tentative="0">
      <w:start w:val="1"/>
      <w:numFmt w:val="japaneseCounting"/>
      <w:lvlText w:val="%1、"/>
      <w:lvlJc w:val="left"/>
      <w:pPr>
        <w:tabs>
          <w:tab w:val="left" w:pos="0"/>
        </w:tabs>
        <w:ind w:left="720" w:hanging="7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ZTY0M2ZjMDhhZjk3MjhhMjJiY2NiYzZjNzFjYzUifQ=="/>
  </w:docVars>
  <w:rsids>
    <w:rsidRoot w:val="00CC33FB"/>
    <w:rsid w:val="0000193C"/>
    <w:rsid w:val="00006335"/>
    <w:rsid w:val="00013394"/>
    <w:rsid w:val="00014B38"/>
    <w:rsid w:val="000276CB"/>
    <w:rsid w:val="0002790B"/>
    <w:rsid w:val="00044AD1"/>
    <w:rsid w:val="0007044B"/>
    <w:rsid w:val="00074D13"/>
    <w:rsid w:val="00075303"/>
    <w:rsid w:val="000804CA"/>
    <w:rsid w:val="00084022"/>
    <w:rsid w:val="000D1C03"/>
    <w:rsid w:val="000D563C"/>
    <w:rsid w:val="000E3B80"/>
    <w:rsid w:val="000E7401"/>
    <w:rsid w:val="001006FD"/>
    <w:rsid w:val="00104209"/>
    <w:rsid w:val="00124805"/>
    <w:rsid w:val="00134915"/>
    <w:rsid w:val="001450EA"/>
    <w:rsid w:val="001571F2"/>
    <w:rsid w:val="00186ED1"/>
    <w:rsid w:val="001A0412"/>
    <w:rsid w:val="001A7A7C"/>
    <w:rsid w:val="001C6408"/>
    <w:rsid w:val="001D1912"/>
    <w:rsid w:val="001D31A3"/>
    <w:rsid w:val="001E1B22"/>
    <w:rsid w:val="00210496"/>
    <w:rsid w:val="00275E9E"/>
    <w:rsid w:val="00287F5D"/>
    <w:rsid w:val="00293258"/>
    <w:rsid w:val="002A1510"/>
    <w:rsid w:val="002B1D81"/>
    <w:rsid w:val="002B514A"/>
    <w:rsid w:val="002D068F"/>
    <w:rsid w:val="0030100F"/>
    <w:rsid w:val="00321657"/>
    <w:rsid w:val="00323878"/>
    <w:rsid w:val="00333131"/>
    <w:rsid w:val="00336389"/>
    <w:rsid w:val="00352891"/>
    <w:rsid w:val="003671F3"/>
    <w:rsid w:val="00371C2D"/>
    <w:rsid w:val="003C6A46"/>
    <w:rsid w:val="003E0C8E"/>
    <w:rsid w:val="003F3FC0"/>
    <w:rsid w:val="003F6D90"/>
    <w:rsid w:val="00411D76"/>
    <w:rsid w:val="00483731"/>
    <w:rsid w:val="00495A87"/>
    <w:rsid w:val="004C4322"/>
    <w:rsid w:val="004D3D84"/>
    <w:rsid w:val="004E026A"/>
    <w:rsid w:val="004E3C13"/>
    <w:rsid w:val="00506546"/>
    <w:rsid w:val="00532D28"/>
    <w:rsid w:val="005A7A64"/>
    <w:rsid w:val="005D3C4F"/>
    <w:rsid w:val="005F18C0"/>
    <w:rsid w:val="00602677"/>
    <w:rsid w:val="00614A4B"/>
    <w:rsid w:val="00626F53"/>
    <w:rsid w:val="00647875"/>
    <w:rsid w:val="00666DFC"/>
    <w:rsid w:val="00680DDE"/>
    <w:rsid w:val="00685A21"/>
    <w:rsid w:val="00686E17"/>
    <w:rsid w:val="00697ADB"/>
    <w:rsid w:val="006C5137"/>
    <w:rsid w:val="006C5501"/>
    <w:rsid w:val="00715635"/>
    <w:rsid w:val="00716DF1"/>
    <w:rsid w:val="00730C61"/>
    <w:rsid w:val="00731E25"/>
    <w:rsid w:val="00741B4A"/>
    <w:rsid w:val="00744BF6"/>
    <w:rsid w:val="007515A5"/>
    <w:rsid w:val="00781F96"/>
    <w:rsid w:val="007823AE"/>
    <w:rsid w:val="007948DD"/>
    <w:rsid w:val="007A052C"/>
    <w:rsid w:val="007A46E8"/>
    <w:rsid w:val="007C7456"/>
    <w:rsid w:val="007D27BA"/>
    <w:rsid w:val="007D5B2D"/>
    <w:rsid w:val="00813068"/>
    <w:rsid w:val="00814C19"/>
    <w:rsid w:val="0081702B"/>
    <w:rsid w:val="00833E88"/>
    <w:rsid w:val="00847762"/>
    <w:rsid w:val="008527A5"/>
    <w:rsid w:val="008717B2"/>
    <w:rsid w:val="008878DA"/>
    <w:rsid w:val="008A1726"/>
    <w:rsid w:val="008B401F"/>
    <w:rsid w:val="008C5461"/>
    <w:rsid w:val="008D238F"/>
    <w:rsid w:val="008E5B6C"/>
    <w:rsid w:val="00935624"/>
    <w:rsid w:val="00940460"/>
    <w:rsid w:val="009450B8"/>
    <w:rsid w:val="00960749"/>
    <w:rsid w:val="00964E29"/>
    <w:rsid w:val="00992AB7"/>
    <w:rsid w:val="009A6977"/>
    <w:rsid w:val="009B3F19"/>
    <w:rsid w:val="009B67F3"/>
    <w:rsid w:val="009D6AB0"/>
    <w:rsid w:val="009E41AB"/>
    <w:rsid w:val="009F4223"/>
    <w:rsid w:val="00A3295D"/>
    <w:rsid w:val="00A43F8D"/>
    <w:rsid w:val="00A61C13"/>
    <w:rsid w:val="00A64331"/>
    <w:rsid w:val="00A73802"/>
    <w:rsid w:val="00A8633E"/>
    <w:rsid w:val="00AA584B"/>
    <w:rsid w:val="00AB2E74"/>
    <w:rsid w:val="00B0538F"/>
    <w:rsid w:val="00B4702B"/>
    <w:rsid w:val="00B7414A"/>
    <w:rsid w:val="00B75ED7"/>
    <w:rsid w:val="00B854B1"/>
    <w:rsid w:val="00B91613"/>
    <w:rsid w:val="00BB3C40"/>
    <w:rsid w:val="00BD28A2"/>
    <w:rsid w:val="00BE0B21"/>
    <w:rsid w:val="00C0091B"/>
    <w:rsid w:val="00C073E6"/>
    <w:rsid w:val="00C27017"/>
    <w:rsid w:val="00C40015"/>
    <w:rsid w:val="00C53E74"/>
    <w:rsid w:val="00C574FA"/>
    <w:rsid w:val="00C770F5"/>
    <w:rsid w:val="00C82951"/>
    <w:rsid w:val="00C93840"/>
    <w:rsid w:val="00CC33FB"/>
    <w:rsid w:val="00CC5C91"/>
    <w:rsid w:val="00CC745B"/>
    <w:rsid w:val="00CD3C8B"/>
    <w:rsid w:val="00CE1B54"/>
    <w:rsid w:val="00D10147"/>
    <w:rsid w:val="00D53AFA"/>
    <w:rsid w:val="00DC30D3"/>
    <w:rsid w:val="00DD144F"/>
    <w:rsid w:val="00DE684C"/>
    <w:rsid w:val="00DE7CE8"/>
    <w:rsid w:val="00DF6DBC"/>
    <w:rsid w:val="00E007A8"/>
    <w:rsid w:val="00E103F3"/>
    <w:rsid w:val="00E120A2"/>
    <w:rsid w:val="00E21DC3"/>
    <w:rsid w:val="00E226B0"/>
    <w:rsid w:val="00E240BD"/>
    <w:rsid w:val="00E345F2"/>
    <w:rsid w:val="00E35572"/>
    <w:rsid w:val="00E401AD"/>
    <w:rsid w:val="00E504D7"/>
    <w:rsid w:val="00E53D6E"/>
    <w:rsid w:val="00E55526"/>
    <w:rsid w:val="00E9636D"/>
    <w:rsid w:val="00EA4829"/>
    <w:rsid w:val="00EB28DE"/>
    <w:rsid w:val="00EB4F8B"/>
    <w:rsid w:val="00EC35FF"/>
    <w:rsid w:val="00EE74A0"/>
    <w:rsid w:val="00F007BE"/>
    <w:rsid w:val="00F130B2"/>
    <w:rsid w:val="00F21ECC"/>
    <w:rsid w:val="00F33421"/>
    <w:rsid w:val="00F427F9"/>
    <w:rsid w:val="00F968E9"/>
    <w:rsid w:val="00FC7D7A"/>
    <w:rsid w:val="00FF2272"/>
    <w:rsid w:val="011112A6"/>
    <w:rsid w:val="011E5087"/>
    <w:rsid w:val="012911EC"/>
    <w:rsid w:val="016A6FD7"/>
    <w:rsid w:val="01712D82"/>
    <w:rsid w:val="02A14C7A"/>
    <w:rsid w:val="02C80459"/>
    <w:rsid w:val="02CE3403"/>
    <w:rsid w:val="02D432A2"/>
    <w:rsid w:val="030868D3"/>
    <w:rsid w:val="034614D7"/>
    <w:rsid w:val="034A34F5"/>
    <w:rsid w:val="035E700F"/>
    <w:rsid w:val="03836A76"/>
    <w:rsid w:val="03BE7AAE"/>
    <w:rsid w:val="04436E0D"/>
    <w:rsid w:val="0449381C"/>
    <w:rsid w:val="04510922"/>
    <w:rsid w:val="049C1B9D"/>
    <w:rsid w:val="04AC5B58"/>
    <w:rsid w:val="04D31337"/>
    <w:rsid w:val="04D56E5D"/>
    <w:rsid w:val="04F05D5E"/>
    <w:rsid w:val="050634BB"/>
    <w:rsid w:val="051536FE"/>
    <w:rsid w:val="05906158"/>
    <w:rsid w:val="05965135"/>
    <w:rsid w:val="05A76699"/>
    <w:rsid w:val="05CD5D86"/>
    <w:rsid w:val="05F146D3"/>
    <w:rsid w:val="064E3ACE"/>
    <w:rsid w:val="066E30C6"/>
    <w:rsid w:val="068E5516"/>
    <w:rsid w:val="06AD6722"/>
    <w:rsid w:val="06DF3FC3"/>
    <w:rsid w:val="07632E46"/>
    <w:rsid w:val="07AD5E6F"/>
    <w:rsid w:val="07E35D35"/>
    <w:rsid w:val="08304A21"/>
    <w:rsid w:val="08937128"/>
    <w:rsid w:val="08A450DD"/>
    <w:rsid w:val="08B872DC"/>
    <w:rsid w:val="08DA7138"/>
    <w:rsid w:val="08F16230"/>
    <w:rsid w:val="09336C26"/>
    <w:rsid w:val="09864BCA"/>
    <w:rsid w:val="0A0A75A9"/>
    <w:rsid w:val="0AE75B3C"/>
    <w:rsid w:val="0AEE2A27"/>
    <w:rsid w:val="0AF36A40"/>
    <w:rsid w:val="0B1A4002"/>
    <w:rsid w:val="0B2F6744"/>
    <w:rsid w:val="0B444954"/>
    <w:rsid w:val="0BA45E9D"/>
    <w:rsid w:val="0BA53A2D"/>
    <w:rsid w:val="0C2030B4"/>
    <w:rsid w:val="0C405504"/>
    <w:rsid w:val="0C4F1BEB"/>
    <w:rsid w:val="0C5965C6"/>
    <w:rsid w:val="0C5B233E"/>
    <w:rsid w:val="0DAE649D"/>
    <w:rsid w:val="0DED16BC"/>
    <w:rsid w:val="0E1053AA"/>
    <w:rsid w:val="0E320E7D"/>
    <w:rsid w:val="0E3C619F"/>
    <w:rsid w:val="0EAF4B58"/>
    <w:rsid w:val="0ED168E7"/>
    <w:rsid w:val="0EFF6EAE"/>
    <w:rsid w:val="0F5660FF"/>
    <w:rsid w:val="0F572F8D"/>
    <w:rsid w:val="0F5733CA"/>
    <w:rsid w:val="0F5F777E"/>
    <w:rsid w:val="0FD3668F"/>
    <w:rsid w:val="0FF24C9A"/>
    <w:rsid w:val="0FF36470"/>
    <w:rsid w:val="104355C3"/>
    <w:rsid w:val="1059709B"/>
    <w:rsid w:val="10A818CA"/>
    <w:rsid w:val="10AD37FB"/>
    <w:rsid w:val="110D797F"/>
    <w:rsid w:val="11D57C3A"/>
    <w:rsid w:val="12902616"/>
    <w:rsid w:val="12F26E2C"/>
    <w:rsid w:val="13141D5A"/>
    <w:rsid w:val="13166FBF"/>
    <w:rsid w:val="1360648C"/>
    <w:rsid w:val="13856B95"/>
    <w:rsid w:val="13AC16D1"/>
    <w:rsid w:val="13D41450"/>
    <w:rsid w:val="142544A5"/>
    <w:rsid w:val="14E82BDD"/>
    <w:rsid w:val="14F0383F"/>
    <w:rsid w:val="1508539E"/>
    <w:rsid w:val="156F5AF3"/>
    <w:rsid w:val="158F3058"/>
    <w:rsid w:val="15B4486D"/>
    <w:rsid w:val="15CF16A7"/>
    <w:rsid w:val="15DB1200"/>
    <w:rsid w:val="161868C4"/>
    <w:rsid w:val="16193722"/>
    <w:rsid w:val="16695657"/>
    <w:rsid w:val="16B5089D"/>
    <w:rsid w:val="16B8213B"/>
    <w:rsid w:val="16BF796D"/>
    <w:rsid w:val="16E43100"/>
    <w:rsid w:val="16F06A76"/>
    <w:rsid w:val="170F61FF"/>
    <w:rsid w:val="17314489"/>
    <w:rsid w:val="174F484D"/>
    <w:rsid w:val="17612369"/>
    <w:rsid w:val="17CB1D98"/>
    <w:rsid w:val="1817295B"/>
    <w:rsid w:val="1820443C"/>
    <w:rsid w:val="18610CDC"/>
    <w:rsid w:val="18C51230"/>
    <w:rsid w:val="18D07F42"/>
    <w:rsid w:val="18F60201"/>
    <w:rsid w:val="191C4C03"/>
    <w:rsid w:val="19510D51"/>
    <w:rsid w:val="1954439D"/>
    <w:rsid w:val="198D3D53"/>
    <w:rsid w:val="199F0FBE"/>
    <w:rsid w:val="19DFFB74"/>
    <w:rsid w:val="1A733B2E"/>
    <w:rsid w:val="1A81583A"/>
    <w:rsid w:val="1AD2194F"/>
    <w:rsid w:val="1B7C5E2D"/>
    <w:rsid w:val="1B8276EA"/>
    <w:rsid w:val="1BE61B8C"/>
    <w:rsid w:val="1BFC2ACA"/>
    <w:rsid w:val="1C0C71B1"/>
    <w:rsid w:val="1C436A37"/>
    <w:rsid w:val="1C592CD5"/>
    <w:rsid w:val="1C6D7C98"/>
    <w:rsid w:val="1CB810E7"/>
    <w:rsid w:val="1D0964C0"/>
    <w:rsid w:val="1D1327C1"/>
    <w:rsid w:val="1D2A00BA"/>
    <w:rsid w:val="1D4604A0"/>
    <w:rsid w:val="1D575F87"/>
    <w:rsid w:val="1D7768AC"/>
    <w:rsid w:val="1D882867"/>
    <w:rsid w:val="1D8B05A9"/>
    <w:rsid w:val="1DEE7547"/>
    <w:rsid w:val="1E0068A1"/>
    <w:rsid w:val="1E57D1F6"/>
    <w:rsid w:val="1EB02E2A"/>
    <w:rsid w:val="1EF04B68"/>
    <w:rsid w:val="1F2C21F2"/>
    <w:rsid w:val="1F3F28B5"/>
    <w:rsid w:val="1FB00F01"/>
    <w:rsid w:val="1FC97167"/>
    <w:rsid w:val="200435FC"/>
    <w:rsid w:val="20062169"/>
    <w:rsid w:val="200A3A07"/>
    <w:rsid w:val="205C7FDB"/>
    <w:rsid w:val="20C55B80"/>
    <w:rsid w:val="20E24984"/>
    <w:rsid w:val="20E64209"/>
    <w:rsid w:val="20F95208"/>
    <w:rsid w:val="211D0063"/>
    <w:rsid w:val="21245613"/>
    <w:rsid w:val="21AB746C"/>
    <w:rsid w:val="21CF0904"/>
    <w:rsid w:val="21E60A59"/>
    <w:rsid w:val="21EE19C2"/>
    <w:rsid w:val="21F63E59"/>
    <w:rsid w:val="21FD77E3"/>
    <w:rsid w:val="220D1A6D"/>
    <w:rsid w:val="221D1D08"/>
    <w:rsid w:val="229511AD"/>
    <w:rsid w:val="22C47F17"/>
    <w:rsid w:val="23203542"/>
    <w:rsid w:val="239D1CC9"/>
    <w:rsid w:val="23A317BB"/>
    <w:rsid w:val="24431BDE"/>
    <w:rsid w:val="248E11A6"/>
    <w:rsid w:val="250F7D12"/>
    <w:rsid w:val="261A4BC0"/>
    <w:rsid w:val="26307F40"/>
    <w:rsid w:val="265A6D6B"/>
    <w:rsid w:val="269E30FB"/>
    <w:rsid w:val="274E1CC2"/>
    <w:rsid w:val="277A7FC0"/>
    <w:rsid w:val="27BC5F2F"/>
    <w:rsid w:val="284857E5"/>
    <w:rsid w:val="284D4DD9"/>
    <w:rsid w:val="28667C49"/>
    <w:rsid w:val="287E2C7B"/>
    <w:rsid w:val="28BF701F"/>
    <w:rsid w:val="28FA63E6"/>
    <w:rsid w:val="293715E5"/>
    <w:rsid w:val="2A6E1037"/>
    <w:rsid w:val="2AD510B6"/>
    <w:rsid w:val="2B1D749B"/>
    <w:rsid w:val="2B2D658B"/>
    <w:rsid w:val="2B345DDC"/>
    <w:rsid w:val="2B5621F6"/>
    <w:rsid w:val="2BCC4F9B"/>
    <w:rsid w:val="2C0C6D59"/>
    <w:rsid w:val="2C1D4AC2"/>
    <w:rsid w:val="2C35005E"/>
    <w:rsid w:val="2C384C76"/>
    <w:rsid w:val="2C4C53A8"/>
    <w:rsid w:val="2C7F415D"/>
    <w:rsid w:val="2C907DD8"/>
    <w:rsid w:val="2CB01DDA"/>
    <w:rsid w:val="2CBC252D"/>
    <w:rsid w:val="2CEF2C1E"/>
    <w:rsid w:val="2D1E755B"/>
    <w:rsid w:val="2D1F6E84"/>
    <w:rsid w:val="2D6A01DB"/>
    <w:rsid w:val="2D78844A"/>
    <w:rsid w:val="2E277E7A"/>
    <w:rsid w:val="2E6B420B"/>
    <w:rsid w:val="2E6C1D31"/>
    <w:rsid w:val="2F000DF7"/>
    <w:rsid w:val="2F241835"/>
    <w:rsid w:val="2F333EC4"/>
    <w:rsid w:val="2F44049C"/>
    <w:rsid w:val="2F816216"/>
    <w:rsid w:val="2F884949"/>
    <w:rsid w:val="2FFA3A98"/>
    <w:rsid w:val="300761B5"/>
    <w:rsid w:val="303D3985"/>
    <w:rsid w:val="305F7D9F"/>
    <w:rsid w:val="306B6744"/>
    <w:rsid w:val="30744ECD"/>
    <w:rsid w:val="31082276"/>
    <w:rsid w:val="310D30FC"/>
    <w:rsid w:val="315E3BB3"/>
    <w:rsid w:val="31996B4C"/>
    <w:rsid w:val="322841C1"/>
    <w:rsid w:val="33B201E6"/>
    <w:rsid w:val="33B96C11"/>
    <w:rsid w:val="33E65FC1"/>
    <w:rsid w:val="33FD8C18"/>
    <w:rsid w:val="348C6744"/>
    <w:rsid w:val="34A9025B"/>
    <w:rsid w:val="34DD31C7"/>
    <w:rsid w:val="350050A0"/>
    <w:rsid w:val="35831E3A"/>
    <w:rsid w:val="35E11256"/>
    <w:rsid w:val="360635C7"/>
    <w:rsid w:val="36185150"/>
    <w:rsid w:val="3624775F"/>
    <w:rsid w:val="362F5B1E"/>
    <w:rsid w:val="36C166CA"/>
    <w:rsid w:val="36F32FEF"/>
    <w:rsid w:val="36FF3742"/>
    <w:rsid w:val="37046FAB"/>
    <w:rsid w:val="372D6365"/>
    <w:rsid w:val="37B13A6E"/>
    <w:rsid w:val="38543F62"/>
    <w:rsid w:val="385950D4"/>
    <w:rsid w:val="38673C95"/>
    <w:rsid w:val="388E4FAA"/>
    <w:rsid w:val="389311D8"/>
    <w:rsid w:val="38CC3AF8"/>
    <w:rsid w:val="38DF2E5B"/>
    <w:rsid w:val="39224BC9"/>
    <w:rsid w:val="39745342"/>
    <w:rsid w:val="397B39BA"/>
    <w:rsid w:val="398A4D2C"/>
    <w:rsid w:val="39B32F0A"/>
    <w:rsid w:val="39EE7A9E"/>
    <w:rsid w:val="3A286675"/>
    <w:rsid w:val="3A83468A"/>
    <w:rsid w:val="3AF37A62"/>
    <w:rsid w:val="3B0A0908"/>
    <w:rsid w:val="3B0A6B5A"/>
    <w:rsid w:val="3B1E32D7"/>
    <w:rsid w:val="3B304F9A"/>
    <w:rsid w:val="3B59226A"/>
    <w:rsid w:val="3BEF243F"/>
    <w:rsid w:val="3C923AF5"/>
    <w:rsid w:val="3CDD7E68"/>
    <w:rsid w:val="3D73C067"/>
    <w:rsid w:val="3DC5375C"/>
    <w:rsid w:val="3DFDDFEA"/>
    <w:rsid w:val="3DFF77BA"/>
    <w:rsid w:val="3E422CA3"/>
    <w:rsid w:val="3E7A2248"/>
    <w:rsid w:val="3EB25F65"/>
    <w:rsid w:val="3F7E2DDD"/>
    <w:rsid w:val="400973E0"/>
    <w:rsid w:val="401D281B"/>
    <w:rsid w:val="405A40DF"/>
    <w:rsid w:val="40933F33"/>
    <w:rsid w:val="40F41E3E"/>
    <w:rsid w:val="411B6CE5"/>
    <w:rsid w:val="413D4E0D"/>
    <w:rsid w:val="41B370D6"/>
    <w:rsid w:val="425F778B"/>
    <w:rsid w:val="42711BEB"/>
    <w:rsid w:val="42BB69C1"/>
    <w:rsid w:val="42E12896"/>
    <w:rsid w:val="43212C92"/>
    <w:rsid w:val="43657023"/>
    <w:rsid w:val="43B2241F"/>
    <w:rsid w:val="43BE7757"/>
    <w:rsid w:val="44517CDA"/>
    <w:rsid w:val="445D5F4C"/>
    <w:rsid w:val="44895908"/>
    <w:rsid w:val="44940FCC"/>
    <w:rsid w:val="449E3321"/>
    <w:rsid w:val="44B86CFF"/>
    <w:rsid w:val="450C2378"/>
    <w:rsid w:val="451726A2"/>
    <w:rsid w:val="45BA6F71"/>
    <w:rsid w:val="46D9517B"/>
    <w:rsid w:val="474A6C5C"/>
    <w:rsid w:val="47D66741"/>
    <w:rsid w:val="48063A4D"/>
    <w:rsid w:val="4854575F"/>
    <w:rsid w:val="48625C45"/>
    <w:rsid w:val="487675DC"/>
    <w:rsid w:val="48B54B62"/>
    <w:rsid w:val="48EE7EF5"/>
    <w:rsid w:val="49C978F3"/>
    <w:rsid w:val="4A210E39"/>
    <w:rsid w:val="4A317C5F"/>
    <w:rsid w:val="4A49230C"/>
    <w:rsid w:val="4A87395C"/>
    <w:rsid w:val="4AA743C5"/>
    <w:rsid w:val="4B0D06CC"/>
    <w:rsid w:val="4B1F5D09"/>
    <w:rsid w:val="4B315A3D"/>
    <w:rsid w:val="4B4A38E1"/>
    <w:rsid w:val="4B775B45"/>
    <w:rsid w:val="4B96350F"/>
    <w:rsid w:val="4BD44D46"/>
    <w:rsid w:val="4BE40D01"/>
    <w:rsid w:val="4BEF7DD1"/>
    <w:rsid w:val="4C9D782D"/>
    <w:rsid w:val="4D2E66D8"/>
    <w:rsid w:val="4D7C5695"/>
    <w:rsid w:val="4E000105"/>
    <w:rsid w:val="4E2C040F"/>
    <w:rsid w:val="4E751FC2"/>
    <w:rsid w:val="4E796078"/>
    <w:rsid w:val="4EB26E94"/>
    <w:rsid w:val="4EBE7F2F"/>
    <w:rsid w:val="4EC8490A"/>
    <w:rsid w:val="4F0F501C"/>
    <w:rsid w:val="4FAB2261"/>
    <w:rsid w:val="4FB53B0A"/>
    <w:rsid w:val="4FBA6948"/>
    <w:rsid w:val="4FFF1412"/>
    <w:rsid w:val="502D0EC8"/>
    <w:rsid w:val="50D14E54"/>
    <w:rsid w:val="51220301"/>
    <w:rsid w:val="514566E6"/>
    <w:rsid w:val="51A60F32"/>
    <w:rsid w:val="51C25640"/>
    <w:rsid w:val="51E573D4"/>
    <w:rsid w:val="51F35113"/>
    <w:rsid w:val="52043EAB"/>
    <w:rsid w:val="522229B5"/>
    <w:rsid w:val="524202E5"/>
    <w:rsid w:val="52D27B05"/>
    <w:rsid w:val="52D6084F"/>
    <w:rsid w:val="52E57DCB"/>
    <w:rsid w:val="52F44BC9"/>
    <w:rsid w:val="530109FD"/>
    <w:rsid w:val="53650979"/>
    <w:rsid w:val="539354E6"/>
    <w:rsid w:val="53CB16BD"/>
    <w:rsid w:val="54111A16"/>
    <w:rsid w:val="546C379C"/>
    <w:rsid w:val="547D6652"/>
    <w:rsid w:val="54F63F7F"/>
    <w:rsid w:val="554B1FB6"/>
    <w:rsid w:val="555667CB"/>
    <w:rsid w:val="556630C4"/>
    <w:rsid w:val="5585783B"/>
    <w:rsid w:val="559807D0"/>
    <w:rsid w:val="55F57FBA"/>
    <w:rsid w:val="56116B96"/>
    <w:rsid w:val="562855FA"/>
    <w:rsid w:val="565371AF"/>
    <w:rsid w:val="56C738DA"/>
    <w:rsid w:val="571D0C2A"/>
    <w:rsid w:val="57423543"/>
    <w:rsid w:val="574A054E"/>
    <w:rsid w:val="576A0C54"/>
    <w:rsid w:val="57CC0FC7"/>
    <w:rsid w:val="57FCBC9B"/>
    <w:rsid w:val="58831FCD"/>
    <w:rsid w:val="588D4BFA"/>
    <w:rsid w:val="592117E6"/>
    <w:rsid w:val="594F0101"/>
    <w:rsid w:val="59683F4D"/>
    <w:rsid w:val="59E20CE8"/>
    <w:rsid w:val="59F2647E"/>
    <w:rsid w:val="59FD190B"/>
    <w:rsid w:val="5ABD72ED"/>
    <w:rsid w:val="5AEA5DC4"/>
    <w:rsid w:val="5B19492B"/>
    <w:rsid w:val="5BB406F0"/>
    <w:rsid w:val="5BE17615"/>
    <w:rsid w:val="5CDA7E6E"/>
    <w:rsid w:val="5E0D6F82"/>
    <w:rsid w:val="5E3C677A"/>
    <w:rsid w:val="5E3D49CC"/>
    <w:rsid w:val="5E3E6996"/>
    <w:rsid w:val="5EC35198"/>
    <w:rsid w:val="5F4116ED"/>
    <w:rsid w:val="5F64242D"/>
    <w:rsid w:val="5F93061C"/>
    <w:rsid w:val="5FB23C0C"/>
    <w:rsid w:val="5FFEA3A5"/>
    <w:rsid w:val="60592C21"/>
    <w:rsid w:val="61340B1D"/>
    <w:rsid w:val="614F0688"/>
    <w:rsid w:val="616F7114"/>
    <w:rsid w:val="61D40CD6"/>
    <w:rsid w:val="62326812"/>
    <w:rsid w:val="626C104E"/>
    <w:rsid w:val="62960B4F"/>
    <w:rsid w:val="62C90F25"/>
    <w:rsid w:val="63365CEA"/>
    <w:rsid w:val="635421E4"/>
    <w:rsid w:val="63B33502"/>
    <w:rsid w:val="643A7788"/>
    <w:rsid w:val="64CD2E6D"/>
    <w:rsid w:val="6578278E"/>
    <w:rsid w:val="657D7B91"/>
    <w:rsid w:val="65907AD8"/>
    <w:rsid w:val="659F41BF"/>
    <w:rsid w:val="65BD63F3"/>
    <w:rsid w:val="65D869F3"/>
    <w:rsid w:val="66044022"/>
    <w:rsid w:val="663D5082"/>
    <w:rsid w:val="6660394E"/>
    <w:rsid w:val="668C4743"/>
    <w:rsid w:val="66DF3B52"/>
    <w:rsid w:val="66FD0D29"/>
    <w:rsid w:val="677F6ABD"/>
    <w:rsid w:val="67BA0E3C"/>
    <w:rsid w:val="67FF3F79"/>
    <w:rsid w:val="685272C6"/>
    <w:rsid w:val="68680898"/>
    <w:rsid w:val="68FB6945"/>
    <w:rsid w:val="690E58E3"/>
    <w:rsid w:val="691427CE"/>
    <w:rsid w:val="69796AD5"/>
    <w:rsid w:val="69A91168"/>
    <w:rsid w:val="69C57CCD"/>
    <w:rsid w:val="6A2A43BC"/>
    <w:rsid w:val="6A652199"/>
    <w:rsid w:val="6A77107E"/>
    <w:rsid w:val="6A9811DC"/>
    <w:rsid w:val="6ADA35A3"/>
    <w:rsid w:val="6BA02A3F"/>
    <w:rsid w:val="6BB32772"/>
    <w:rsid w:val="6BC15144"/>
    <w:rsid w:val="6C1F6A8A"/>
    <w:rsid w:val="6C4B7645"/>
    <w:rsid w:val="6C6B77FD"/>
    <w:rsid w:val="6C876C23"/>
    <w:rsid w:val="6C94123A"/>
    <w:rsid w:val="6CBC13F4"/>
    <w:rsid w:val="6D0019E7"/>
    <w:rsid w:val="6D0FA46C"/>
    <w:rsid w:val="6D2D0302"/>
    <w:rsid w:val="6D3416A0"/>
    <w:rsid w:val="6D3AFDAE"/>
    <w:rsid w:val="6D6F1C0F"/>
    <w:rsid w:val="6D7FAE16"/>
    <w:rsid w:val="6DBA39FC"/>
    <w:rsid w:val="6DC161E7"/>
    <w:rsid w:val="6DCF3167"/>
    <w:rsid w:val="6DFF25E2"/>
    <w:rsid w:val="6E216BE3"/>
    <w:rsid w:val="6E262C96"/>
    <w:rsid w:val="6E2A65EF"/>
    <w:rsid w:val="6EB45447"/>
    <w:rsid w:val="6EBB0CA1"/>
    <w:rsid w:val="6EBB3C94"/>
    <w:rsid w:val="6ECD58F9"/>
    <w:rsid w:val="6F2060A9"/>
    <w:rsid w:val="6F433E0D"/>
    <w:rsid w:val="6F5A638B"/>
    <w:rsid w:val="6F65C000"/>
    <w:rsid w:val="6FFFED20"/>
    <w:rsid w:val="700E15EF"/>
    <w:rsid w:val="70194B6E"/>
    <w:rsid w:val="704A2F79"/>
    <w:rsid w:val="706C770F"/>
    <w:rsid w:val="709760D6"/>
    <w:rsid w:val="70F73101"/>
    <w:rsid w:val="711D41EA"/>
    <w:rsid w:val="71ED1E0E"/>
    <w:rsid w:val="72A9667D"/>
    <w:rsid w:val="72CB4E89"/>
    <w:rsid w:val="73361A7B"/>
    <w:rsid w:val="7338518F"/>
    <w:rsid w:val="737F1CC7"/>
    <w:rsid w:val="73A60956"/>
    <w:rsid w:val="73BB0416"/>
    <w:rsid w:val="742A1F32"/>
    <w:rsid w:val="74856C75"/>
    <w:rsid w:val="74B80DF9"/>
    <w:rsid w:val="74F95A8D"/>
    <w:rsid w:val="75410DEE"/>
    <w:rsid w:val="75739149"/>
    <w:rsid w:val="75A849CA"/>
    <w:rsid w:val="75AB44BA"/>
    <w:rsid w:val="75CD09A9"/>
    <w:rsid w:val="75F314F4"/>
    <w:rsid w:val="75F67432"/>
    <w:rsid w:val="76AD2E3A"/>
    <w:rsid w:val="76FE5846"/>
    <w:rsid w:val="773974C1"/>
    <w:rsid w:val="773F6F92"/>
    <w:rsid w:val="775FC800"/>
    <w:rsid w:val="77C5780E"/>
    <w:rsid w:val="77D777E8"/>
    <w:rsid w:val="77DE4F1A"/>
    <w:rsid w:val="77FF4347"/>
    <w:rsid w:val="785E75C1"/>
    <w:rsid w:val="788731E0"/>
    <w:rsid w:val="78BA40C0"/>
    <w:rsid w:val="78BB0EB8"/>
    <w:rsid w:val="79283BD2"/>
    <w:rsid w:val="797B7403"/>
    <w:rsid w:val="79833437"/>
    <w:rsid w:val="798B40D7"/>
    <w:rsid w:val="79B31A36"/>
    <w:rsid w:val="79F83DD8"/>
    <w:rsid w:val="7A195E96"/>
    <w:rsid w:val="7A344A7E"/>
    <w:rsid w:val="7A914C04"/>
    <w:rsid w:val="7AA8721A"/>
    <w:rsid w:val="7AC676A0"/>
    <w:rsid w:val="7AE34CE0"/>
    <w:rsid w:val="7AF34939"/>
    <w:rsid w:val="7B2965AD"/>
    <w:rsid w:val="7B2E4015"/>
    <w:rsid w:val="7B3754F1"/>
    <w:rsid w:val="7B7A66D8"/>
    <w:rsid w:val="7B9A1258"/>
    <w:rsid w:val="7BA63759"/>
    <w:rsid w:val="7BF751A5"/>
    <w:rsid w:val="7BF7E91C"/>
    <w:rsid w:val="7C084414"/>
    <w:rsid w:val="7CFD5650"/>
    <w:rsid w:val="7D2840E2"/>
    <w:rsid w:val="7D44147C"/>
    <w:rsid w:val="7DBFB160"/>
    <w:rsid w:val="7DEE0627"/>
    <w:rsid w:val="7DF750B8"/>
    <w:rsid w:val="7DFE933A"/>
    <w:rsid w:val="7DFF928F"/>
    <w:rsid w:val="7E575BE9"/>
    <w:rsid w:val="7E576F8D"/>
    <w:rsid w:val="7E793112"/>
    <w:rsid w:val="7E951522"/>
    <w:rsid w:val="7EC02D84"/>
    <w:rsid w:val="7F135E5A"/>
    <w:rsid w:val="7F1592EF"/>
    <w:rsid w:val="7F2C21C7"/>
    <w:rsid w:val="7F370E9A"/>
    <w:rsid w:val="7F725617"/>
    <w:rsid w:val="7FA2D595"/>
    <w:rsid w:val="7FD32D83"/>
    <w:rsid w:val="7FEF4E93"/>
    <w:rsid w:val="7FF8479F"/>
    <w:rsid w:val="7FFAAE04"/>
    <w:rsid w:val="7FFB4BFD"/>
    <w:rsid w:val="7FFEAEF4"/>
    <w:rsid w:val="7FFF2ADB"/>
    <w:rsid w:val="978F41DD"/>
    <w:rsid w:val="AF720D18"/>
    <w:rsid w:val="AFFF86B4"/>
    <w:rsid w:val="B3CF939B"/>
    <w:rsid w:val="B46FD9C4"/>
    <w:rsid w:val="B5459F27"/>
    <w:rsid w:val="B9BF521C"/>
    <w:rsid w:val="BA7B23C6"/>
    <w:rsid w:val="BBFC7C4F"/>
    <w:rsid w:val="BFCFD8B1"/>
    <w:rsid w:val="CCEC19A8"/>
    <w:rsid w:val="CDE7C2ED"/>
    <w:rsid w:val="CDECC373"/>
    <w:rsid w:val="CF77D265"/>
    <w:rsid w:val="D8F8F3E9"/>
    <w:rsid w:val="D8FDEA17"/>
    <w:rsid w:val="DBFB11F2"/>
    <w:rsid w:val="DFBDC035"/>
    <w:rsid w:val="E4FFC708"/>
    <w:rsid w:val="E5FE5939"/>
    <w:rsid w:val="E76DA3EC"/>
    <w:rsid w:val="EBBFEF04"/>
    <w:rsid w:val="EDEE9D33"/>
    <w:rsid w:val="F1DB7C4D"/>
    <w:rsid w:val="F1DFCC6E"/>
    <w:rsid w:val="F355B911"/>
    <w:rsid w:val="F47F15C1"/>
    <w:rsid w:val="F5F6D8C2"/>
    <w:rsid w:val="F5FB18DF"/>
    <w:rsid w:val="F7472EC2"/>
    <w:rsid w:val="F75E80B0"/>
    <w:rsid w:val="F78D1BCC"/>
    <w:rsid w:val="F95FEE72"/>
    <w:rsid w:val="FBE92252"/>
    <w:rsid w:val="FBFBFE79"/>
    <w:rsid w:val="FDF777EE"/>
    <w:rsid w:val="FDFD0B04"/>
    <w:rsid w:val="FE7C6AFD"/>
    <w:rsid w:val="FEFF306E"/>
    <w:rsid w:val="FEFF901E"/>
    <w:rsid w:val="FFEF7AEE"/>
    <w:rsid w:val="FFF52E25"/>
    <w:rsid w:val="FFFBD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paragraph" w:styleId="4">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5">
    <w:name w:val="Normal Indent"/>
    <w:basedOn w:val="1"/>
    <w:qFormat/>
    <w:uiPriority w:val="0"/>
    <w:pPr>
      <w:ind w:firstLine="200" w:firstLineChars="200"/>
    </w:pPr>
  </w:style>
  <w:style w:type="paragraph" w:styleId="6">
    <w:name w:val="Document Map"/>
    <w:basedOn w:val="1"/>
    <w:link w:val="43"/>
    <w:unhideWhenUsed/>
    <w:qFormat/>
    <w:uiPriority w:val="99"/>
    <w:rPr>
      <w:rFonts w:ascii="宋体"/>
      <w:sz w:val="18"/>
      <w:szCs w:val="18"/>
    </w:rPr>
  </w:style>
  <w:style w:type="paragraph" w:styleId="7">
    <w:name w:val="annotation text"/>
    <w:basedOn w:val="1"/>
    <w:link w:val="38"/>
    <w:unhideWhenUsed/>
    <w:qFormat/>
    <w:uiPriority w:val="99"/>
    <w:pPr>
      <w:jc w:val="left"/>
    </w:pPr>
    <w:rPr>
      <w:sz w:val="24"/>
      <w:szCs w:val="28"/>
    </w:rPr>
  </w:style>
  <w:style w:type="paragraph" w:styleId="8">
    <w:name w:val="Body Text Indent"/>
    <w:basedOn w:val="1"/>
    <w:qFormat/>
    <w:uiPriority w:val="0"/>
    <w:pPr>
      <w:ind w:firstLine="720"/>
    </w:pPr>
    <w:rPr>
      <w:rFonts w:ascii="Times New Roman" w:hAnsi="Times New Roman"/>
      <w:sz w:val="28"/>
      <w:szCs w:val="28"/>
    </w:rPr>
  </w:style>
  <w:style w:type="paragraph" w:styleId="9">
    <w:name w:val="Balloon Text"/>
    <w:basedOn w:val="1"/>
    <w:link w:val="39"/>
    <w:unhideWhenUsed/>
    <w:qFormat/>
    <w:uiPriority w:val="99"/>
    <w:rPr>
      <w:sz w:val="18"/>
      <w:szCs w:val="18"/>
    </w:rPr>
  </w:style>
  <w:style w:type="paragraph" w:styleId="10">
    <w:name w:val="footer"/>
    <w:basedOn w:val="1"/>
    <w:link w:val="3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13">
    <w:name w:val="toc 2"/>
    <w:basedOn w:val="1"/>
    <w:next w:val="1"/>
    <w:semiHidden/>
    <w:qFormat/>
    <w:uiPriority w:val="0"/>
    <w:pPr>
      <w:tabs>
        <w:tab w:val="right" w:leader="dot" w:pos="8296"/>
      </w:tabs>
      <w:ind w:left="210"/>
      <w:jc w:val="left"/>
    </w:pPr>
    <w:rPr>
      <w:smallCaps/>
    </w:rPr>
  </w:style>
  <w:style w:type="paragraph" w:styleId="14">
    <w:name w:val="Body Text 2"/>
    <w:basedOn w:val="1"/>
    <w:qFormat/>
    <w:uiPriority w:val="0"/>
    <w:pPr>
      <w:spacing w:line="360" w:lineRule="auto"/>
    </w:pPr>
    <w:rPr>
      <w:sz w:val="24"/>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16">
    <w:name w:val="Title"/>
    <w:basedOn w:val="1"/>
    <w:qFormat/>
    <w:uiPriority w:val="0"/>
    <w:pPr>
      <w:spacing w:before="240" w:after="60"/>
      <w:jc w:val="center"/>
      <w:outlineLvl w:val="0"/>
    </w:pPr>
    <w:rPr>
      <w:rFonts w:ascii="Arial" w:hAnsi="Arial"/>
      <w:b/>
      <w:sz w:val="32"/>
    </w:rPr>
  </w:style>
  <w:style w:type="paragraph" w:styleId="17">
    <w:name w:val="annotation subject"/>
    <w:basedOn w:val="7"/>
    <w:next w:val="7"/>
    <w:link w:val="40"/>
    <w:unhideWhenUsed/>
    <w:qFormat/>
    <w:uiPriority w:val="99"/>
    <w:rPr>
      <w:b/>
      <w:bCs/>
      <w:sz w:val="21"/>
      <w:szCs w:val="24"/>
    </w:rPr>
  </w:style>
  <w:style w:type="paragraph" w:styleId="18">
    <w:name w:val="Body Text First Indent"/>
    <w:basedOn w:val="2"/>
    <w:qFormat/>
    <w:uiPriority w:val="0"/>
  </w:style>
  <w:style w:type="paragraph" w:styleId="19">
    <w:name w:val="Body Text First Indent 2"/>
    <w:basedOn w:val="8"/>
    <w:next w:val="18"/>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000000"/>
      <w:sz w:val="18"/>
      <w:szCs w:val="18"/>
      <w:u w:val="none"/>
    </w:rPr>
  </w:style>
  <w:style w:type="character" w:styleId="24">
    <w:name w:val="Hyperlink"/>
    <w:basedOn w:val="22"/>
    <w:semiHidden/>
    <w:unhideWhenUsed/>
    <w:qFormat/>
    <w:uiPriority w:val="99"/>
    <w:rPr>
      <w:color w:val="000000"/>
      <w:sz w:val="18"/>
      <w:szCs w:val="18"/>
      <w:u w:val="none"/>
    </w:rPr>
  </w:style>
  <w:style w:type="character" w:styleId="25">
    <w:name w:val="annotation reference"/>
    <w:basedOn w:val="22"/>
    <w:unhideWhenUsed/>
    <w:qFormat/>
    <w:uiPriority w:val="99"/>
    <w:rPr>
      <w:sz w:val="21"/>
      <w:szCs w:val="21"/>
    </w:rPr>
  </w:style>
  <w:style w:type="paragraph" w:styleId="26">
    <w:name w:val="Quote"/>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27">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8">
    <w:name w:val="方正小标宋"/>
    <w:basedOn w:val="16"/>
    <w:qFormat/>
    <w:uiPriority w:val="0"/>
    <w:pPr>
      <w:ind w:firstLine="880" w:firstLineChars="200"/>
      <w:jc w:val="left"/>
    </w:pPr>
    <w:rPr>
      <w:rFonts w:eastAsia="仿宋_GB2312" w:cstheme="minorBidi"/>
      <w:b w:val="0"/>
    </w:rPr>
  </w:style>
  <w:style w:type="character" w:customStyle="1" w:styleId="29">
    <w:name w:val="页眉 字符"/>
    <w:basedOn w:val="22"/>
    <w:link w:val="11"/>
    <w:qFormat/>
    <w:uiPriority w:val="99"/>
    <w:rPr>
      <w:sz w:val="18"/>
      <w:szCs w:val="18"/>
    </w:rPr>
  </w:style>
  <w:style w:type="character" w:customStyle="1" w:styleId="30">
    <w:name w:val="页脚 字符"/>
    <w:basedOn w:val="22"/>
    <w:link w:val="10"/>
    <w:qFormat/>
    <w:uiPriority w:val="99"/>
    <w:rPr>
      <w:sz w:val="18"/>
      <w:szCs w:val="18"/>
    </w:rPr>
  </w:style>
  <w:style w:type="paragraph" w:customStyle="1" w:styleId="31">
    <w:name w:val="封1-"/>
    <w:next w:val="32"/>
    <w:qFormat/>
    <w:uiPriority w:val="0"/>
    <w:pPr>
      <w:spacing w:beforeLines="50" w:afterLines="50"/>
      <w:jc w:val="center"/>
    </w:pPr>
    <w:rPr>
      <w:rFonts w:ascii="黑体" w:hAnsi="Times New Roman" w:eastAsia="黑体" w:cs="Arial"/>
      <w:snapToGrid w:val="0"/>
      <w:sz w:val="44"/>
      <w:szCs w:val="44"/>
      <w:lang w:val="sq-AL" w:eastAsia="zh-CN" w:bidi="ar-SA"/>
    </w:rPr>
  </w:style>
  <w:style w:type="paragraph" w:customStyle="1" w:styleId="32">
    <w:name w:val="Ｒ07-!正!"/>
    <w:qFormat/>
    <w:uiPriority w:val="0"/>
    <w:pPr>
      <w:wordWrap w:val="0"/>
      <w:spacing w:afterLines="20" w:line="360" w:lineRule="auto"/>
      <w:ind w:firstLine="200" w:firstLineChars="200"/>
    </w:pPr>
    <w:rPr>
      <w:rFonts w:ascii="宋体" w:hAnsi="Times New Roman" w:eastAsia="宋体" w:cs="宋体"/>
      <w:snapToGrid w:val="0"/>
      <w:spacing w:val="8"/>
      <w:sz w:val="24"/>
      <w:szCs w:val="24"/>
      <w:lang w:val="en-US" w:eastAsia="zh-CN" w:bidi="ar-SA"/>
    </w:rPr>
  </w:style>
  <w:style w:type="paragraph" w:customStyle="1" w:styleId="33">
    <w:name w:val="封3-"/>
    <w:basedOn w:val="32"/>
    <w:qFormat/>
    <w:uiPriority w:val="0"/>
    <w:pPr>
      <w:spacing w:afterLines="0" w:line="240" w:lineRule="auto"/>
      <w:ind w:firstLine="0" w:firstLineChars="0"/>
      <w:jc w:val="center"/>
    </w:pPr>
    <w:rPr>
      <w:rFonts w:ascii="黑体" w:eastAsia="黑体"/>
      <w:sz w:val="32"/>
      <w:szCs w:val="32"/>
      <w:lang w:val="sq-AL" w:eastAsia="sq-AL"/>
    </w:rPr>
  </w:style>
  <w:style w:type="paragraph" w:customStyle="1" w:styleId="34">
    <w:name w:val="封W-2"/>
    <w:next w:val="1"/>
    <w:qFormat/>
    <w:uiPriority w:val="0"/>
    <w:pPr>
      <w:jc w:val="center"/>
    </w:pPr>
    <w:rPr>
      <w:rFonts w:ascii="宋体" w:hAnsi="Times New Roman" w:eastAsia="宋体" w:cs="Arial"/>
      <w:b/>
      <w:snapToGrid w:val="0"/>
      <w:spacing w:val="30"/>
      <w:sz w:val="32"/>
      <w:szCs w:val="32"/>
      <w:lang w:val="sq-AL" w:eastAsia="zh-CN" w:bidi="ar-SA"/>
    </w:rPr>
  </w:style>
  <w:style w:type="paragraph" w:styleId="35">
    <w:name w:val="List Paragraph"/>
    <w:basedOn w:val="1"/>
    <w:qFormat/>
    <w:uiPriority w:val="0"/>
    <w:pPr>
      <w:ind w:firstLine="200" w:firstLineChars="200"/>
    </w:pPr>
    <w:rPr>
      <w:rFonts w:ascii="Calibri" w:hAnsi="Calibri"/>
      <w:szCs w:val="22"/>
    </w:rPr>
  </w:style>
  <w:style w:type="paragraph" w:customStyle="1" w:styleId="36">
    <w:name w:val="Ｒ01-daL"/>
    <w:next w:val="32"/>
    <w:qFormat/>
    <w:uiPriority w:val="0"/>
    <w:pPr>
      <w:spacing w:beforeLines="50" w:line="360" w:lineRule="auto"/>
      <w:outlineLvl w:val="0"/>
    </w:pPr>
    <w:rPr>
      <w:rFonts w:ascii="华文细黑" w:hAnsi="Times New Roman" w:eastAsia="华文细黑" w:cs="Arial"/>
      <w:b/>
      <w:bCs/>
      <w:snapToGrid w:val="0"/>
      <w:sz w:val="30"/>
      <w:szCs w:val="30"/>
      <w:lang w:val="en-US" w:eastAsia="zh-CN" w:bidi="ar-SA"/>
    </w:rPr>
  </w:style>
  <w:style w:type="paragraph" w:customStyle="1" w:styleId="37">
    <w:name w:val="Ｒ03－xoL"/>
    <w:next w:val="32"/>
    <w:qFormat/>
    <w:uiPriority w:val="0"/>
    <w:pPr>
      <w:spacing w:line="360" w:lineRule="auto"/>
      <w:ind w:firstLine="200" w:firstLineChars="200"/>
      <w:outlineLvl w:val="2"/>
    </w:pPr>
    <w:rPr>
      <w:rFonts w:ascii="黑体" w:hAnsi="Times New Roman" w:eastAsia="黑体" w:cs="Arial"/>
      <w:bCs/>
      <w:snapToGrid w:val="0"/>
      <w:sz w:val="28"/>
      <w:szCs w:val="28"/>
      <w:lang w:val="en-US" w:eastAsia="zh-CN" w:bidi="ar-SA"/>
    </w:rPr>
  </w:style>
  <w:style w:type="character" w:customStyle="1" w:styleId="38">
    <w:name w:val="批注文字 字符"/>
    <w:basedOn w:val="22"/>
    <w:link w:val="7"/>
    <w:semiHidden/>
    <w:qFormat/>
    <w:uiPriority w:val="99"/>
    <w:rPr>
      <w:rFonts w:ascii="Times New Roman" w:hAnsi="Times New Roman" w:eastAsia="宋体" w:cs="Times New Roman"/>
      <w:sz w:val="24"/>
      <w:szCs w:val="28"/>
    </w:rPr>
  </w:style>
  <w:style w:type="character" w:customStyle="1" w:styleId="39">
    <w:name w:val="批注框文本 字符"/>
    <w:basedOn w:val="22"/>
    <w:link w:val="9"/>
    <w:semiHidden/>
    <w:qFormat/>
    <w:uiPriority w:val="99"/>
    <w:rPr>
      <w:rFonts w:ascii="Times New Roman" w:hAnsi="Times New Roman" w:eastAsia="宋体" w:cs="Times New Roman"/>
      <w:sz w:val="18"/>
      <w:szCs w:val="18"/>
    </w:rPr>
  </w:style>
  <w:style w:type="character" w:customStyle="1" w:styleId="40">
    <w:name w:val="批注主题 字符"/>
    <w:basedOn w:val="38"/>
    <w:link w:val="17"/>
    <w:semiHidden/>
    <w:qFormat/>
    <w:uiPriority w:val="99"/>
    <w:rPr>
      <w:rFonts w:ascii="Times New Roman" w:hAnsi="Times New Roman" w:eastAsia="宋体" w:cs="Times New Roman"/>
      <w:b/>
      <w:bCs/>
      <w:sz w:val="24"/>
      <w:szCs w:val="24"/>
    </w:rPr>
  </w:style>
  <w:style w:type="paragraph" w:customStyle="1" w:styleId="41">
    <w:name w:val="列出段落1"/>
    <w:basedOn w:val="1"/>
    <w:qFormat/>
    <w:uiPriority w:val="0"/>
    <w:pPr>
      <w:ind w:firstLine="200" w:firstLineChars="200"/>
    </w:pPr>
    <w:rPr>
      <w:rFonts w:ascii="Calibri" w:hAnsi="Calibri"/>
      <w:szCs w:val="22"/>
    </w:rPr>
  </w:style>
  <w:style w:type="paragraph" w:customStyle="1" w:styleId="42">
    <w:name w:val="Table Paragraph"/>
    <w:basedOn w:val="1"/>
    <w:qFormat/>
    <w:uiPriority w:val="0"/>
    <w:pPr>
      <w:autoSpaceDE w:val="0"/>
      <w:autoSpaceDN w:val="0"/>
      <w:adjustRightInd w:val="0"/>
      <w:jc w:val="left"/>
    </w:pPr>
    <w:rPr>
      <w:rFonts w:ascii="宋体" w:hAnsi="宋体" w:cs="宋体" w:eastAsiaTheme="minorEastAsia"/>
      <w:kern w:val="0"/>
      <w:sz w:val="24"/>
    </w:rPr>
  </w:style>
  <w:style w:type="character" w:customStyle="1" w:styleId="43">
    <w:name w:val="文档结构图 字符"/>
    <w:basedOn w:val="22"/>
    <w:link w:val="6"/>
    <w:semiHidden/>
    <w:qFormat/>
    <w:uiPriority w:val="99"/>
    <w:rPr>
      <w:rFonts w:ascii="宋体" w:hAnsi="Times New Roman" w:eastAsia="宋体" w:cs="Times New Roman"/>
      <w:sz w:val="18"/>
      <w:szCs w:val="18"/>
    </w:rPr>
  </w:style>
  <w:style w:type="paragraph" w:customStyle="1" w:styleId="4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font21"/>
    <w:basedOn w:val="22"/>
    <w:qFormat/>
    <w:uiPriority w:val="0"/>
    <w:rPr>
      <w:rFonts w:hint="eastAsia" w:ascii="宋体" w:hAnsi="宋体" w:eastAsia="宋体" w:cs="宋体"/>
      <w:color w:val="000000"/>
      <w:sz w:val="20"/>
      <w:szCs w:val="20"/>
      <w:u w:val="none"/>
    </w:rPr>
  </w:style>
  <w:style w:type="character" w:customStyle="1" w:styleId="46">
    <w:name w:val="font41"/>
    <w:basedOn w:val="22"/>
    <w:qFormat/>
    <w:uiPriority w:val="0"/>
    <w:rPr>
      <w:rFonts w:hint="eastAsia" w:ascii="宋体" w:hAnsi="宋体" w:eastAsia="宋体" w:cs="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表格"/>
    <w:basedOn w:val="1"/>
    <w:qFormat/>
    <w:uiPriority w:val="0"/>
    <w:pPr>
      <w:jc w:val="center"/>
    </w:pPr>
    <w:rPr>
      <w:rFonts w:hint="eastAsia" w:ascii="仿宋" w:hAnsi="仿宋" w:eastAsia="仿宋" w:cs="仿宋"/>
      <w:kern w:val="0"/>
      <w:sz w:val="24"/>
    </w:rPr>
  </w:style>
  <w:style w:type="paragraph" w:customStyle="1" w:styleId="49">
    <w:name w:val="Normal_2"/>
    <w:qFormat/>
    <w:uiPriority w:val="0"/>
    <w:pPr>
      <w:widowControl w:val="0"/>
      <w:jc w:val="both"/>
    </w:pPr>
    <w:rPr>
      <w:rFonts w:ascii="等线" w:hAnsi="等线" w:eastAsia="等线" w:cs="Times New Roman"/>
      <w:sz w:val="21"/>
      <w:szCs w:val="22"/>
      <w:lang w:val="en-US" w:eastAsia="zh-CN" w:bidi="ar-SA"/>
    </w:rPr>
  </w:style>
  <w:style w:type="paragraph" w:customStyle="1" w:styleId="50">
    <w:name w:val="样式3"/>
    <w:basedOn w:val="11"/>
    <w:qFormat/>
    <w:uiPriority w:val="0"/>
    <w:pPr>
      <w:pBdr>
        <w:bottom w:val="none" w:color="auto" w:sz="0" w:space="0"/>
      </w:pBdr>
      <w:autoSpaceDE w:val="0"/>
      <w:autoSpaceDN w:val="0"/>
      <w:adjustRightInd w:val="0"/>
      <w:snapToGrid/>
      <w:textAlignment w:val="baseline"/>
    </w:pPr>
    <w:rPr>
      <w:rFonts w:ascii="宋体"/>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18</Pages>
  <Words>2134</Words>
  <Characters>2252</Characters>
  <Lines>96</Lines>
  <Paragraphs>27</Paragraphs>
  <TotalTime>2</TotalTime>
  <ScaleCrop>false</ScaleCrop>
  <LinksUpToDate>false</LinksUpToDate>
  <CharactersWithSpaces>2263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2019-08-28T04:10:00Z</dcterms:created>
  <dc:creator>Vicky Wei</dc:creator>
  <cp:lastModifiedBy>樱莫华道</cp:lastModifiedBy>
  <cp:lastPrinted>2024-06-06T08:40:00Z</cp:lastPrinted>
  <dcterms:modified xsi:type="dcterms:W3CDTF">2025-12-12T06:27:21Z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734E518318C74EF38CC86DEC7461D296</vt:lpwstr>
  </property>
  <property fmtid="{D5CDD505-2E9C-101B-9397-08002B2CF9AE}" pid="4" name="KSOTemplateDocerSaveRecord">
    <vt:lpwstr>eyJoZGlkIjoiMzMwNDdlZThjYTAzNDk0OTZlNmY4ZjliYzNiNGIzOTUiLCJ1c2VySWQiOiI0ODY3Nzg5MDkifQ==</vt:lpwstr>
  </property>
</Properties>
</file>