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42672">
      <w:pPr>
        <w:tabs>
          <w:tab w:val="left" w:pos="7560"/>
        </w:tabs>
        <w:spacing w:line="360" w:lineRule="auto"/>
        <w:jc w:val="center"/>
        <w:rPr>
          <w:rFonts w:hint="eastAsia" w:ascii="宋体" w:hAnsi="宋体" w:cs="宋体"/>
          <w:b/>
          <w:color w:val="000000"/>
          <w:sz w:val="30"/>
          <w:szCs w:val="30"/>
        </w:rPr>
      </w:pPr>
      <w:r>
        <w:rPr>
          <w:rFonts w:hint="eastAsia" w:ascii="宋体" w:hAnsi="宋体" w:cs="宋体"/>
          <w:b/>
          <w:color w:val="000000"/>
          <w:sz w:val="30"/>
          <w:szCs w:val="30"/>
        </w:rPr>
        <w:t>埔地吓三期202</w:t>
      </w:r>
      <w:r>
        <w:rPr>
          <w:rFonts w:hint="eastAsia" w:ascii="宋体" w:hAnsi="宋体" w:cs="宋体"/>
          <w:b/>
          <w:color w:val="000000"/>
          <w:sz w:val="30"/>
          <w:szCs w:val="30"/>
          <w:lang w:val="en-US" w:eastAsia="zh-CN"/>
        </w:rPr>
        <w:t>6</w:t>
      </w:r>
      <w:r>
        <w:rPr>
          <w:rFonts w:hint="eastAsia" w:ascii="宋体" w:hAnsi="宋体" w:cs="宋体"/>
          <w:b/>
          <w:color w:val="000000"/>
          <w:sz w:val="30"/>
          <w:szCs w:val="30"/>
        </w:rPr>
        <w:t>-202</w:t>
      </w:r>
      <w:r>
        <w:rPr>
          <w:rFonts w:hint="eastAsia" w:ascii="宋体" w:hAnsi="宋体" w:cs="宋体"/>
          <w:b/>
          <w:color w:val="000000"/>
          <w:sz w:val="30"/>
          <w:szCs w:val="30"/>
          <w:lang w:val="en-US" w:eastAsia="zh-CN"/>
        </w:rPr>
        <w:t>7</w:t>
      </w:r>
      <w:r>
        <w:rPr>
          <w:rFonts w:hint="eastAsia" w:ascii="宋体" w:hAnsi="宋体" w:cs="宋体"/>
          <w:b/>
          <w:color w:val="000000"/>
          <w:sz w:val="30"/>
          <w:szCs w:val="30"/>
        </w:rPr>
        <w:t>年</w:t>
      </w:r>
    </w:p>
    <w:p w14:paraId="47752A9A">
      <w:pPr>
        <w:tabs>
          <w:tab w:val="left" w:pos="7560"/>
        </w:tabs>
        <w:spacing w:line="360" w:lineRule="auto"/>
        <w:jc w:val="center"/>
        <w:rPr>
          <w:rFonts w:hint="eastAsia" w:ascii="宋体" w:hAnsi="宋体" w:cs="宋体"/>
          <w:b/>
          <w:color w:val="000000"/>
          <w:sz w:val="30"/>
          <w:szCs w:val="30"/>
        </w:rPr>
      </w:pPr>
      <w:r>
        <w:rPr>
          <w:rFonts w:hint="eastAsia" w:ascii="宋体" w:hAnsi="宋体" w:cs="宋体"/>
          <w:b/>
          <w:color w:val="000000"/>
          <w:sz w:val="30"/>
          <w:szCs w:val="30"/>
        </w:rPr>
        <w:t>绿化、保洁综合服务合同</w:t>
      </w:r>
      <w:bookmarkStart w:id="0" w:name="_GoBack"/>
      <w:bookmarkEnd w:id="0"/>
    </w:p>
    <w:p w14:paraId="2BA64F18">
      <w:pPr>
        <w:spacing w:line="360" w:lineRule="auto"/>
        <w:jc w:val="center"/>
        <w:rPr>
          <w:rFonts w:hint="eastAsia" w:ascii="宋体" w:hAnsi="宋体" w:cs="宋体"/>
          <w:b/>
          <w:color w:val="000000"/>
          <w:szCs w:val="21"/>
        </w:rPr>
      </w:pPr>
    </w:p>
    <w:p w14:paraId="1AFD86F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发包方：</w:t>
      </w:r>
      <w:r>
        <w:rPr>
          <w:rFonts w:hint="eastAsia" w:ascii="宋体" w:hAnsi="宋体" w:cs="宋体"/>
          <w:color w:val="000000"/>
          <w:szCs w:val="21"/>
          <w:u w:val="single"/>
        </w:rPr>
        <w:t xml:space="preserve"> 深圳市环水启航水质净化有限公司   </w:t>
      </w:r>
      <w:r>
        <w:rPr>
          <w:rFonts w:hint="eastAsia" w:ascii="宋体" w:hAnsi="宋体" w:cs="宋体"/>
          <w:color w:val="000000"/>
          <w:szCs w:val="21"/>
        </w:rPr>
        <w:t>（以下简称“甲方”）</w:t>
      </w:r>
    </w:p>
    <w:p w14:paraId="0FEF983D">
      <w:pPr>
        <w:spacing w:line="360" w:lineRule="auto"/>
        <w:ind w:firstLine="420" w:firstLineChars="200"/>
      </w:pPr>
      <w:r>
        <w:rPr>
          <w:rFonts w:hint="eastAsia"/>
        </w:rPr>
        <w:t>统一社会信用代码：91440300MA5FXE1JXY</w:t>
      </w:r>
    </w:p>
    <w:p w14:paraId="05A81B8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承包方：</w:t>
      </w:r>
      <w:r>
        <w:rPr>
          <w:rFonts w:hint="eastAsia" w:ascii="宋体" w:hAnsi="宋体" w:cs="宋体"/>
          <w:color w:val="000000"/>
          <w:szCs w:val="21"/>
          <w:u w:val="single"/>
        </w:rPr>
        <w:t xml:space="preserve"> 深圳市林青物业管理有限公司     </w:t>
      </w:r>
      <w:r>
        <w:rPr>
          <w:rFonts w:hint="eastAsia" w:ascii="宋体" w:hAnsi="宋体" w:cs="宋体"/>
          <w:color w:val="000000"/>
          <w:szCs w:val="21"/>
        </w:rPr>
        <w:t>（以下简称“乙方”）</w:t>
      </w:r>
    </w:p>
    <w:p w14:paraId="74436D5A">
      <w:pPr>
        <w:spacing w:line="360" w:lineRule="auto"/>
        <w:ind w:firstLine="420" w:firstLineChars="200"/>
      </w:pPr>
      <w:r>
        <w:rPr>
          <w:rFonts w:hint="eastAsia"/>
        </w:rPr>
        <w:t>统一社会信用代码：91440300MA5DQKTA03</w:t>
      </w:r>
    </w:p>
    <w:p w14:paraId="37461E5B">
      <w:pPr>
        <w:spacing w:line="360" w:lineRule="auto"/>
        <w:ind w:firstLine="420" w:firstLineChars="200"/>
        <w:rPr>
          <w:rFonts w:hint="eastAsia" w:ascii="宋体" w:hAnsi="宋体" w:cs="宋体"/>
          <w:color w:val="000000"/>
          <w:szCs w:val="21"/>
        </w:rPr>
      </w:pPr>
    </w:p>
    <w:p w14:paraId="119CA20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根据《中华人民共和国民法典》和国家相关法律法规，本着诚实、平等、互利的原则，经甲、乙双方友好协商，就乙方承包甲方办公、住宿、生产区域的清扫保洁及绿化养护服务项目（以下简称“项目”）达成一致意见，特订立如下合同条款，以共同遵守。</w:t>
      </w:r>
    </w:p>
    <w:p w14:paraId="1CBA1C89">
      <w:pPr>
        <w:spacing w:line="360" w:lineRule="auto"/>
        <w:ind w:firstLine="420" w:firstLineChars="200"/>
        <w:rPr>
          <w:rFonts w:hint="eastAsia" w:ascii="宋体" w:hAnsi="宋体" w:cs="宋体"/>
          <w:color w:val="000000"/>
          <w:szCs w:val="21"/>
        </w:rPr>
      </w:pPr>
    </w:p>
    <w:p w14:paraId="44672FAA">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一、服务</w:t>
      </w:r>
      <w:r>
        <w:fldChar w:fldCharType="begin"/>
      </w:r>
      <w:r>
        <w:instrText xml:space="preserve"> HYPERLINK "http://www.rztong.com.cn/xm" \t "_blank" </w:instrText>
      </w:r>
      <w:r>
        <w:fldChar w:fldCharType="separate"/>
      </w:r>
      <w:r>
        <w:rPr>
          <w:rFonts w:hint="eastAsia" w:ascii="宋体" w:hAnsi="宋体" w:cs="宋体"/>
          <w:b/>
          <w:color w:val="000000"/>
          <w:szCs w:val="21"/>
        </w:rPr>
        <w:t>项目</w:t>
      </w:r>
      <w:r>
        <w:rPr>
          <w:rFonts w:hint="eastAsia" w:ascii="宋体" w:hAnsi="宋体" w:cs="宋体"/>
          <w:b/>
          <w:color w:val="000000"/>
          <w:szCs w:val="21"/>
        </w:rPr>
        <w:fldChar w:fldCharType="end"/>
      </w:r>
      <w:r>
        <w:rPr>
          <w:rFonts w:hint="eastAsia" w:ascii="宋体" w:hAnsi="宋体" w:cs="宋体"/>
          <w:b/>
          <w:color w:val="000000"/>
          <w:szCs w:val="21"/>
        </w:rPr>
        <w:t>地址、名称</w:t>
      </w:r>
    </w:p>
    <w:p w14:paraId="4783C192">
      <w:pPr>
        <w:spacing w:line="360" w:lineRule="auto"/>
        <w:ind w:firstLine="420" w:firstLineChars="200"/>
      </w:pPr>
      <w:r>
        <w:rPr>
          <w:rFonts w:hint="eastAsia" w:ascii="宋体" w:hAnsi="宋体" w:cs="宋体"/>
          <w:color w:val="000000"/>
          <w:szCs w:val="21"/>
        </w:rPr>
        <w:t>甲方的办公、住宿、生产区域的清扫保洁及绿化养护服务，具体指</w:t>
      </w:r>
      <w:r>
        <w:rPr>
          <w:rFonts w:hint="eastAsia" w:ascii="宋体" w:hAnsi="宋体" w:cs="宋体"/>
          <w:color w:val="000000"/>
          <w:szCs w:val="21"/>
          <w:u w:val="single"/>
        </w:rPr>
        <w:t xml:space="preserve">  埔地吓三期厂区红线范围内的所有区域   </w:t>
      </w:r>
    </w:p>
    <w:p w14:paraId="70C4E734">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二、服务期限</w:t>
      </w:r>
    </w:p>
    <w:p w14:paraId="25E61245">
      <w:pPr>
        <w:spacing w:line="360" w:lineRule="auto"/>
        <w:ind w:firstLine="525" w:firstLineChars="250"/>
        <w:rPr>
          <w:rFonts w:hint="eastAsia" w:ascii="宋体" w:hAnsi="宋体" w:cs="宋体"/>
          <w:color w:val="000000"/>
          <w:szCs w:val="21"/>
        </w:rPr>
      </w:pPr>
      <w:r>
        <w:rPr>
          <w:rFonts w:hint="eastAsia" w:ascii="宋体" w:hAnsi="宋体" w:cs="宋体"/>
          <w:color w:val="000000"/>
          <w:szCs w:val="21"/>
        </w:rPr>
        <w:t>本合同服务期限为</w:t>
      </w:r>
      <w:r>
        <w:rPr>
          <w:rFonts w:hint="eastAsia" w:ascii="宋体" w:hAnsi="宋体" w:cs="宋体"/>
          <w:color w:val="000000"/>
          <w:szCs w:val="21"/>
          <w:u w:val="single"/>
        </w:rPr>
        <w:t xml:space="preserve"> 12 </w:t>
      </w:r>
      <w:r>
        <w:rPr>
          <w:rFonts w:hint="eastAsia" w:ascii="宋体" w:hAnsi="宋体" w:cs="宋体"/>
          <w:color w:val="000000"/>
          <w:szCs w:val="21"/>
        </w:rPr>
        <w:t>个月，从</w:t>
      </w:r>
      <w:r>
        <w:rPr>
          <w:rFonts w:hint="eastAsia" w:ascii="宋体" w:hAnsi="宋体" w:cs="宋体"/>
          <w:color w:val="000000"/>
          <w:szCs w:val="21"/>
          <w:u w:val="single"/>
        </w:rPr>
        <w:t xml:space="preserve"> 202</w:t>
      </w:r>
      <w:r>
        <w:rPr>
          <w:rFonts w:hint="eastAsia" w:ascii="宋体" w:hAnsi="宋体" w:cs="宋体"/>
          <w:color w:val="000000"/>
          <w:szCs w:val="21"/>
          <w:u w:val="single"/>
          <w:lang w:val="en-US" w:eastAsia="zh-CN"/>
        </w:rPr>
        <w:t>6</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12 </w:t>
      </w:r>
      <w:r>
        <w:rPr>
          <w:rFonts w:hint="eastAsia" w:ascii="宋体" w:hAnsi="宋体" w:cs="宋体"/>
          <w:color w:val="000000"/>
          <w:szCs w:val="21"/>
        </w:rPr>
        <w:t>月</w:t>
      </w:r>
      <w:r>
        <w:rPr>
          <w:rFonts w:hint="eastAsia" w:ascii="宋体" w:hAnsi="宋体" w:cs="宋体"/>
          <w:color w:val="000000"/>
          <w:szCs w:val="21"/>
          <w:u w:val="single"/>
        </w:rPr>
        <w:t xml:space="preserve"> 5 </w:t>
      </w:r>
      <w:r>
        <w:rPr>
          <w:rFonts w:hint="eastAsia" w:ascii="宋体" w:hAnsi="宋体" w:cs="宋体"/>
          <w:color w:val="000000"/>
          <w:szCs w:val="21"/>
        </w:rPr>
        <w:t>日起至</w:t>
      </w:r>
      <w:r>
        <w:rPr>
          <w:rFonts w:hint="eastAsia" w:ascii="宋体" w:hAnsi="宋体" w:cs="宋体"/>
          <w:color w:val="000000"/>
          <w:szCs w:val="21"/>
          <w:u w:val="single"/>
        </w:rPr>
        <w:t xml:space="preserve"> 202</w:t>
      </w:r>
      <w:r>
        <w:rPr>
          <w:rFonts w:hint="eastAsia" w:ascii="宋体" w:hAnsi="宋体" w:cs="宋体"/>
          <w:color w:val="000000"/>
          <w:szCs w:val="21"/>
          <w:u w:val="single"/>
          <w:lang w:val="en-US" w:eastAsia="zh-CN"/>
        </w:rPr>
        <w:t>7</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12 </w:t>
      </w:r>
      <w:r>
        <w:rPr>
          <w:rFonts w:hint="eastAsia" w:ascii="宋体" w:hAnsi="宋体" w:cs="宋体"/>
          <w:color w:val="000000"/>
          <w:szCs w:val="21"/>
        </w:rPr>
        <w:t>月</w:t>
      </w:r>
      <w:r>
        <w:rPr>
          <w:rFonts w:hint="eastAsia" w:ascii="宋体" w:hAnsi="宋体" w:cs="宋体"/>
          <w:color w:val="000000"/>
          <w:szCs w:val="21"/>
          <w:u w:val="single"/>
        </w:rPr>
        <w:t xml:space="preserve"> 4 </w:t>
      </w:r>
      <w:r>
        <w:rPr>
          <w:rFonts w:hint="eastAsia" w:ascii="宋体" w:hAnsi="宋体" w:cs="宋体"/>
          <w:color w:val="000000"/>
          <w:szCs w:val="21"/>
        </w:rPr>
        <w:t>日止。本次为续签合同，经双方协商一致可进行续签。本次续签为第二次续签，合同期满后，相关业务需按照集团招采管理规定，重新通过招采平台履行采购流程。</w:t>
      </w:r>
    </w:p>
    <w:p w14:paraId="70BD848E">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三、服务费用标准及支付方式</w:t>
      </w:r>
    </w:p>
    <w:p w14:paraId="373C5D7F">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1、服务费用标准：</w:t>
      </w:r>
    </w:p>
    <w:p w14:paraId="33EEFDD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（1）甲方按以下标准向乙方支付清扫保洁及绿化养护服务费用：</w:t>
      </w:r>
    </w:p>
    <w:p w14:paraId="102E63F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本合同总计人民币</w:t>
      </w:r>
      <w:r>
        <w:rPr>
          <w:rFonts w:hint="eastAsia" w:ascii="宋体" w:hAnsi="宋体" w:cs="宋体"/>
          <w:color w:val="000000"/>
          <w:szCs w:val="21"/>
          <w:u w:val="single"/>
        </w:rPr>
        <w:t xml:space="preserve">  238,800.00  </w:t>
      </w:r>
      <w:r>
        <w:rPr>
          <w:rFonts w:hint="eastAsia" w:ascii="宋体" w:hAnsi="宋体" w:cs="宋体"/>
          <w:color w:val="000000"/>
          <w:szCs w:val="21"/>
        </w:rPr>
        <w:t>元（￥：</w:t>
      </w:r>
      <w:r>
        <w:rPr>
          <w:rFonts w:hint="eastAsia" w:ascii="宋体" w:hAnsi="宋体" w:cs="宋体"/>
          <w:color w:val="000000"/>
          <w:szCs w:val="21"/>
          <w:u w:val="single"/>
        </w:rPr>
        <w:t xml:space="preserve"> 贰拾叁万捌仟捌佰 </w:t>
      </w:r>
      <w:r>
        <w:rPr>
          <w:rFonts w:hint="eastAsia" w:ascii="宋体" w:hAnsi="宋体" w:cs="宋体"/>
          <w:color w:val="000000"/>
          <w:szCs w:val="21"/>
        </w:rPr>
        <w:t xml:space="preserve">元整），甲方每月应付服务费用为人民币 </w:t>
      </w:r>
      <w:r>
        <w:rPr>
          <w:rFonts w:hint="eastAsia" w:ascii="宋体" w:hAnsi="宋体" w:cs="宋体"/>
          <w:color w:val="000000"/>
          <w:szCs w:val="21"/>
          <w:u w:val="single"/>
        </w:rPr>
        <w:t xml:space="preserve"> 19,900.00 </w:t>
      </w:r>
      <w:r>
        <w:rPr>
          <w:rFonts w:hint="eastAsia" w:ascii="宋体" w:hAnsi="宋体" w:cs="宋体"/>
          <w:color w:val="000000"/>
          <w:szCs w:val="21"/>
        </w:rPr>
        <w:t xml:space="preserve"> 元（￥：</w:t>
      </w:r>
      <w:r>
        <w:rPr>
          <w:rFonts w:hint="eastAsia" w:ascii="宋体" w:hAnsi="宋体" w:cs="宋体"/>
          <w:color w:val="000000"/>
          <w:szCs w:val="21"/>
          <w:u w:val="single"/>
        </w:rPr>
        <w:t xml:space="preserve"> 壹万玖仟玖佰 </w:t>
      </w:r>
      <w:r>
        <w:rPr>
          <w:rFonts w:hint="eastAsia" w:ascii="宋体" w:hAnsi="宋体" w:cs="宋体"/>
          <w:color w:val="000000"/>
          <w:szCs w:val="21"/>
        </w:rPr>
        <w:t>元整）。</w:t>
      </w:r>
    </w:p>
    <w:p w14:paraId="4E92D19A">
      <w:pPr>
        <w:pStyle w:val="9"/>
        <w:spacing w:line="360" w:lineRule="auto"/>
        <w:ind w:left="0" w:leftChars="0"/>
      </w:pPr>
      <w:r>
        <w:rPr>
          <w:rFonts w:hint="eastAsia"/>
        </w:rPr>
        <w:t>以上价格为含税价，乙方将提供3%增值税</w:t>
      </w:r>
      <w:r>
        <w:rPr>
          <w:rFonts w:hint="eastAsia"/>
          <w:lang w:val="en-US" w:eastAsia="zh-CN"/>
        </w:rPr>
        <w:t>专用</w:t>
      </w:r>
      <w:r>
        <w:rPr>
          <w:rFonts w:hint="eastAsia"/>
        </w:rPr>
        <w:t>发票。（本合同不含税价格不因国家税率变化而变化，在合同履行期间如遇国家税率调整，合同价税合计相应调整，以开具发票的时间为准。）</w:t>
      </w:r>
      <w:r>
        <w:rPr>
          <w:rFonts w:hint="eastAsia"/>
        </w:rPr>
        <w:tab/>
      </w:r>
    </w:p>
    <w:p w14:paraId="3933A354">
      <w:pPr>
        <w:spacing w:line="360" w:lineRule="auto"/>
        <w:ind w:firstLine="420" w:firstLineChars="200"/>
        <w:rPr>
          <w:rFonts w:hint="eastAsia" w:ascii="宋体" w:hAnsi="宋体" w:cs="宋体"/>
          <w:bCs/>
          <w:color w:val="000000"/>
          <w:szCs w:val="21"/>
        </w:rPr>
      </w:pPr>
      <w:r>
        <w:rPr>
          <w:rFonts w:hint="eastAsia" w:ascii="宋体" w:hAnsi="宋体" w:cs="宋体"/>
          <w:bCs/>
          <w:color w:val="000000"/>
          <w:szCs w:val="21"/>
        </w:rPr>
        <w:t>2、支付方式：</w:t>
      </w:r>
    </w:p>
    <w:p w14:paraId="29DB701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服务费按月支付，每月15日前（遇节假日顺延），甲方以银行转账方式向乙方结算支付上一月清扫保洁及绿化养护服务费用；乙方须于每月5日前向甲方提供正规发票。</w:t>
      </w:r>
    </w:p>
    <w:p w14:paraId="65FC02A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3、特别说明</w:t>
      </w:r>
    </w:p>
    <w:p w14:paraId="6F13807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除本合同及附件明确约定的情形外，双方人员均无权调整本合同及附件约定的服务费用标准；确需调整服务费用标准的，经双方协商签署书面合同后方可生效。</w:t>
      </w:r>
    </w:p>
    <w:p w14:paraId="4B3BA62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4、本合同约定的服务费用已经包含乙方提供服务的全部成本，包括但不限于乙方服务所需设备、人工成本以及其他成本。</w:t>
      </w:r>
    </w:p>
    <w:p w14:paraId="51C8688E">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四、 双方权利义务</w:t>
      </w:r>
    </w:p>
    <w:p w14:paraId="036AA463">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（一）甲方的权利义务：</w:t>
      </w:r>
    </w:p>
    <w:p w14:paraId="4E816E95">
      <w:pPr>
        <w:pStyle w:val="9"/>
        <w:ind w:left="0" w:leftChars="0" w:firstLine="0" w:firstLineChars="0"/>
      </w:pPr>
      <w:r>
        <w:rPr>
          <w:rFonts w:hint="eastAsia"/>
        </w:rPr>
        <w:t xml:space="preserve">    1、甲方免费提供工作餐。乙方或乙方服务人员无需另行支付费用。</w:t>
      </w:r>
    </w:p>
    <w:p w14:paraId="7623D9C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2、提供清洁绿化使用之水电，并提供一间房间供乙方放置清洁绿化器械、材料等物品。</w:t>
      </w:r>
    </w:p>
    <w:p w14:paraId="771B61E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负责派员监督乙方承包范围内的清洁绿化综合服务质量，发现问题及时告知乙方，以便乙方立即整改。对乙方合理之工作协助的要求及建议，甲方应予以支持；如对乙方服务人员有意见或不满意之处，可要求乙方调换服务人员。</w:t>
      </w:r>
    </w:p>
    <w:p w14:paraId="19DDA38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4、如遇特殊清洁工作需求时，可以提前通知乙方安排专业人员进行清洁工作。</w:t>
      </w:r>
    </w:p>
    <w:p w14:paraId="47A2C26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5、有权制定相应的管理措施，以保证乙方按照合同及其他双方议定之要求提供服务。</w:t>
      </w:r>
    </w:p>
    <w:p w14:paraId="785E65EA">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（二） 乙方的权利义务：</w:t>
      </w:r>
    </w:p>
    <w:p w14:paraId="5AD5916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乙方须严格按照双方所共同制订的各项作业标准（具体标准参见合同附件之相关规定），提供专业清洁绿化综合服务，并严格教育、培训和管理其清洁人员。保持良好的工作环境和秩序，爱护甲方的财产，维护甲方良好的形象。对有违法乱纪的乙方员工，甲方有权要求乙方立即更换，乙方须予以严肃处理。</w:t>
      </w:r>
    </w:p>
    <w:p w14:paraId="300B132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乙方须选派素质良好、服务热情、形象健康之专业人员（包括常驻现场负责人）进驻现场工作。指定现场主管人员，具体安排并全面督导日常清洁综合服务工作，巡检（分自检和参与甲方联检）现场清洁卫生情况及工作日记，及时处理甲方整改或投诉意见并向甲方相关人员书面汇报处理结果，与甲方相关负责人保持日常联系，以便于工作配合与协调。</w:t>
      </w:r>
    </w:p>
    <w:p w14:paraId="3ED5AD5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乙方派出甲方工作的全部工作人员均应为乙方的合法用工人员，乙方须与该等人员签订合法的劳动合同并按劳动合同约定按时、足额支付薪酬福利、依法购买工伤保险。在乙方提供服务期间，其与其员工之间产生的一切劳动、劳务纠纷均应由乙方自行处理并承担全部责任。</w:t>
      </w:r>
    </w:p>
    <w:p w14:paraId="3FB9AFF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乙方工作人员由乙方自行管理，甲方不负责管理。乙方工作人员在甲方工作期间因非甲方原因造成的意外或工伤事故由乙方负全责，甲方负责积极配合救治和协助乙方处理相关事宜但不承担任何经济赔偿或补偿责任，甲方因此产生或垫付的费用应由乙方全额承担。</w:t>
      </w:r>
    </w:p>
    <w:p w14:paraId="7F5BD61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5、已制定的日常清洁绿化作业计划如需修正或调整必须及时通知甲方，经甲方同意后方可执行新计划。</w:t>
      </w:r>
    </w:p>
    <w:p w14:paraId="232D61E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6、每季度至少一次指派高层管理人员（非派出工作人员）到甲方检查承包范围内的清洁卫生情况，并积极与甲方相关负责人征询意见、加强沟通，不断提高服务品质。</w:t>
      </w:r>
    </w:p>
    <w:p w14:paraId="1982BB1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7、负责承担乙方员工之安全责任保险、工资、劳保福利及其他一切费用，管理好员工并严格要求遵守各项规章制度。</w:t>
      </w:r>
    </w:p>
    <w:p w14:paraId="6A94DDF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8、乙方自行负责承包业务所需全部设备、工具、清洁材料及清洁保养技术，按合同规定的清洁绿化范围和工作要求，保质保量完成各项工作，并严守有关安全作业规定。</w:t>
      </w:r>
    </w:p>
    <w:p w14:paraId="0B084F1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9、乙方派出不少于</w:t>
      </w:r>
      <w:r>
        <w:rPr>
          <w:rFonts w:hint="eastAsia" w:ascii="宋体" w:hAnsi="宋体" w:cs="宋体"/>
          <w:color w:val="000000"/>
          <w:szCs w:val="21"/>
          <w:u w:val="single"/>
        </w:rPr>
        <w:t xml:space="preserve">   3   </w:t>
      </w:r>
      <w:r>
        <w:rPr>
          <w:rFonts w:hint="eastAsia" w:ascii="宋体" w:hAnsi="宋体" w:cs="宋体"/>
          <w:color w:val="000000"/>
          <w:szCs w:val="21"/>
        </w:rPr>
        <w:t>人到甲方处负责清洁工作；派出甲方的所有工作人员，必须统一办理工作证，向甲方提交所有人员的身份证等其他相关证件复印件。在工作时间必须统一身着乙方作业工作、佩带工作证，着装整齐有序，并在工作时间内不行随意离开其工作岗位。</w:t>
      </w:r>
    </w:p>
    <w:p w14:paraId="3A4C8D9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10、乙方应自行安排绿化养护工人的通勤。</w:t>
      </w:r>
    </w:p>
    <w:p w14:paraId="41B37BA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11、乙方应积极听取甲方对清洁服务工作的意见，认真配合并完成其他特殊清洁事项。如遇台风、水浸等意外情况，有义务在甲方的统一指挥下参加抢险工作。</w:t>
      </w:r>
    </w:p>
    <w:p w14:paraId="1D2BA3A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12、遇有关部门的工作检查，乙方必须配合做好清洁工作并保证检查合格。</w:t>
      </w:r>
    </w:p>
    <w:p w14:paraId="553977F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13、乙方自行做好员工思想道德教育和相关安全培训。</w:t>
      </w:r>
    </w:p>
    <w:p w14:paraId="1C19618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14、乙方须确保所有员工精神面貌良好，仪表端正，头发整齐，制服干净整洁，统一服装。</w:t>
      </w:r>
    </w:p>
    <w:p w14:paraId="3FB03DD9">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五、关于各方关系的特别声明</w:t>
      </w:r>
    </w:p>
    <w:p w14:paraId="5EFCCD2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1、各方确认：</w:t>
      </w:r>
    </w:p>
    <w:p w14:paraId="64AE2FA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（1）甲乙双方不建立劳务派遣关系或类似关系，乙方应向其员工承担用人单位的全部责任。</w:t>
      </w:r>
    </w:p>
    <w:p w14:paraId="2E5CBE6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（2）甲方不对乙方员工承担任何用人单位或劳务派遣用工单位的责任。</w:t>
      </w:r>
    </w:p>
    <w:p w14:paraId="631E7F2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（3）无论因任何原因导致甲方向乙方员工或雇员承担任何责任的，甲方有权向乙方追偿。</w:t>
      </w:r>
    </w:p>
    <w:p w14:paraId="6DC65DD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2、乙方应与其员工签署劳动合同，依法缴纳社会保险，对员工承担用人单位的全部法定责任。</w:t>
      </w:r>
    </w:p>
    <w:p w14:paraId="715D64C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3、如因服务需要，乙方服务人员需要使用甲方提供的工作服装、员工卡等，均不能作为乙方服务人员与甲方建立劳动关系或甲方对其进行用工管理的依据。</w:t>
      </w:r>
    </w:p>
    <w:p w14:paraId="19AFA8F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4、乙方应向其员工明确告知甲方与乙方员工无劳动关系或劳务派遣关系，乙方员工不得向甲方主张用人单位或雇主的责任。</w:t>
      </w:r>
    </w:p>
    <w:p w14:paraId="0E316B7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5、甲乙双方不构成代理关系，乙方不得以甲方名义对外签署或发布任何文件、制度等。</w:t>
      </w:r>
    </w:p>
    <w:p w14:paraId="5330E01C">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六、安全防护及事故处理</w:t>
      </w:r>
    </w:p>
    <w:p w14:paraId="33881EB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1、一般要求</w:t>
      </w:r>
    </w:p>
    <w:p w14:paraId="51DB155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合同签订后，乙方应与另行甲方签订安全目标责任书，以保证乙方在服务期间，严格遵守安全生产作业的有关管理制度，并随时接受行业安全检查人员依法实施的监督检查，采取必要的安全防护措施，消除安全隐患。由于乙方安全措施不力造成事故的责任和因此发生的费用，由乙方承担。</w:t>
      </w:r>
    </w:p>
    <w:p w14:paraId="681FDDA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（2）乙方应对其在养护场地的工作人员进行安全教育，并对他们的安全负责。</w:t>
      </w:r>
    </w:p>
    <w:p w14:paraId="3A74C6B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（3）甲方不得要求乙方违反安全管理的规定进行养护工作。因甲方原因导致的安全事故，由甲方承担相应责任及发生的费用。</w:t>
      </w:r>
    </w:p>
    <w:p w14:paraId="3AB52D6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2、事故处理</w:t>
      </w:r>
    </w:p>
    <w:p w14:paraId="69C48DD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（1）服务期间，若发生重大伤亡及其他安全事故，乙方应按有关规定立即上报有关部门并通知甲方代表，同时按政府有关部门要求处理，由事故责任方承担发生的费用。</w:t>
      </w:r>
    </w:p>
    <w:p w14:paraId="1A66C8B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（2）甲方、乙方对事故责任有争议时，应按政府有关部门的认定处理。</w:t>
      </w:r>
    </w:p>
    <w:p w14:paraId="326DC18D">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七、违约责任</w:t>
      </w:r>
    </w:p>
    <w:p w14:paraId="4534E5F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1、甲方违约责任 </w:t>
      </w:r>
    </w:p>
    <w:p w14:paraId="7F413AA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甲方应按合同约定，及时向乙方支付服务费用，如有逾期，乙方可及时与甲方管理人员沟通费用支付问题。</w:t>
      </w:r>
    </w:p>
    <w:p w14:paraId="1A55300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2、乙方违约责任</w:t>
      </w:r>
    </w:p>
    <w:p w14:paraId="32E41A5A">
      <w:pPr>
        <w:pStyle w:val="3"/>
        <w:numPr>
          <w:ilvl w:val="0"/>
          <w:numId w:val="0"/>
        </w:numPr>
        <w:ind w:firstLine="462" w:firstLineChars="200"/>
        <w:rPr>
          <w:rFonts w:hint="eastAsia" w:ascii="宋体" w:hAnsi="宋体" w:eastAsia="宋体" w:cs="宋体"/>
          <w:b w:val="0"/>
          <w:bCs/>
          <w:color w:val="000000"/>
          <w:sz w:val="21"/>
          <w:szCs w:val="21"/>
        </w:rPr>
      </w:pPr>
      <w:r>
        <w:rPr>
          <w:rFonts w:hint="eastAsia" w:ascii="宋体" w:hAnsi="宋体" w:eastAsia="宋体" w:cs="宋体"/>
          <w:b w:val="0"/>
          <w:bCs/>
          <w:color w:val="000000"/>
          <w:sz w:val="21"/>
          <w:szCs w:val="21"/>
        </w:rPr>
        <w:t>（1）甲方每月对乙方服务质量进行一次评审（详见附件一：清洁综合服务质量验收月评分表）：如在评审中，</w:t>
      </w:r>
      <w:r>
        <w:rPr>
          <w:rFonts w:hint="eastAsia" w:ascii="宋体" w:hAnsi="宋体" w:eastAsia="宋体" w:cs="宋体"/>
          <w:b w:val="0"/>
          <w:bCs/>
          <w:kern w:val="0"/>
          <w:sz w:val="21"/>
          <w:szCs w:val="21"/>
        </w:rPr>
        <w:t>服务质量评分低于80分的，甲方将扣除当月服务费的10%作为不当履行违约金，服务质量评分低于60分的，甲方将扣除当月服务费的20%作为不当履行违约金。</w:t>
      </w:r>
    </w:p>
    <w:p w14:paraId="1D62FF6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kern w:val="0"/>
          <w:szCs w:val="21"/>
        </w:rPr>
        <w:t>如连续两个月的检查得分低于70分，甲方有权解除合同。</w:t>
      </w:r>
    </w:p>
    <w:p w14:paraId="63A060E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（3）未经甲方同意，乙方擅自更改、调整服务方案，给甲方造成损失的，应承担赔偿责任。</w:t>
      </w:r>
    </w:p>
    <w:p w14:paraId="22DCDFD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（4）未经甲方同意，乙方擅自将服务项目进行分包或转包给他人，经甲方发现,甲方可随时终止合同,要求乙方返还已支付服务费用并赔偿甲方损失。</w:t>
      </w:r>
    </w:p>
    <w:p w14:paraId="49231DB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（5）违反本合同关于安全防护及事故处理的约定，造成不良后果的，甲方可单方终止合同,并要求乙方赔偿甲方损失。</w:t>
      </w:r>
    </w:p>
    <w:p w14:paraId="65751BF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在合同期内，如出现政策调整或服务范围所在场地被征作他用、扩容扩建等影响本合同继续执行的情况，甲方可提前终止合同并于终止合同前一个月以上通知乙方。合同终止后，甲方无需对乙方作任何补偿或赔偿。</w:t>
      </w:r>
    </w:p>
    <w:p w14:paraId="69247C38">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八、保密</w:t>
      </w:r>
    </w:p>
    <w:p w14:paraId="3B62AF9F">
      <w:pPr>
        <w:pStyle w:val="3"/>
        <w:numPr>
          <w:ilvl w:val="0"/>
          <w:numId w:val="0"/>
        </w:numPr>
        <w:ind w:firstLine="462" w:firstLineChars="200"/>
        <w:rPr>
          <w:rFonts w:hint="eastAsia" w:ascii="宋体" w:hAnsi="宋体" w:eastAsia="宋体" w:cs="宋体"/>
          <w:b w:val="0"/>
          <w:bCs/>
          <w:kern w:val="0"/>
          <w:sz w:val="21"/>
          <w:szCs w:val="21"/>
        </w:rPr>
      </w:pPr>
      <w:r>
        <w:rPr>
          <w:rFonts w:hint="eastAsia" w:ascii="宋体" w:hAnsi="宋体" w:eastAsia="宋体" w:cs="宋体"/>
          <w:b w:val="0"/>
          <w:bCs/>
          <w:kern w:val="0"/>
          <w:sz w:val="21"/>
          <w:szCs w:val="21"/>
        </w:rPr>
        <w:t>1、乙方因履行本合同或在本合同期间知悉的或收到的甲方的商务、财务、技术、产品的信息、用户资料或其他标明保密的文件或信息（以下简称“保密信息”）予以保密，未经甲方事先书面同意，不得向本合同以外的任何第三方披露。</w:t>
      </w:r>
    </w:p>
    <w:p w14:paraId="39BFE380">
      <w:pPr>
        <w:pStyle w:val="3"/>
        <w:numPr>
          <w:ilvl w:val="0"/>
          <w:numId w:val="0"/>
        </w:numPr>
        <w:ind w:firstLine="462" w:firstLineChars="200"/>
        <w:rPr>
          <w:rFonts w:hint="eastAsia" w:ascii="宋体" w:hAnsi="宋体" w:eastAsia="宋体" w:cs="宋体"/>
          <w:b w:val="0"/>
          <w:bCs/>
          <w:kern w:val="0"/>
          <w:sz w:val="21"/>
          <w:szCs w:val="21"/>
        </w:rPr>
      </w:pPr>
      <w:r>
        <w:rPr>
          <w:rFonts w:hint="eastAsia" w:ascii="宋体" w:hAnsi="宋体" w:eastAsia="宋体" w:cs="宋体"/>
          <w:b w:val="0"/>
          <w:bCs/>
          <w:kern w:val="0"/>
          <w:sz w:val="21"/>
          <w:szCs w:val="21"/>
        </w:rPr>
        <w:t>2、本合同解除或终止后，乙方仍需遵守本条约定的保密义务。</w:t>
      </w:r>
    </w:p>
    <w:p w14:paraId="5B0ABF5D">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九、反商业贿赂</w:t>
      </w:r>
    </w:p>
    <w:p w14:paraId="594B9747">
      <w:pPr>
        <w:pStyle w:val="3"/>
        <w:numPr>
          <w:ilvl w:val="0"/>
          <w:numId w:val="0"/>
        </w:numPr>
        <w:ind w:firstLine="462" w:firstLineChars="200"/>
        <w:rPr>
          <w:rFonts w:hint="eastAsia" w:ascii="宋体" w:hAnsi="宋体" w:eastAsia="宋体" w:cs="宋体"/>
          <w:b w:val="0"/>
          <w:bCs/>
          <w:kern w:val="0"/>
          <w:sz w:val="21"/>
          <w:szCs w:val="21"/>
        </w:rPr>
      </w:pPr>
      <w:r>
        <w:rPr>
          <w:rFonts w:hint="eastAsia" w:ascii="宋体" w:hAnsi="宋体" w:eastAsia="宋体" w:cs="宋体"/>
          <w:b w:val="0"/>
          <w:bCs/>
          <w:kern w:val="0"/>
          <w:sz w:val="21"/>
          <w:szCs w:val="21"/>
        </w:rPr>
        <w:t>双方均不得向对方或对方经办人、工作人员或其他相关人员索要、收受、提供、给予合同约定外的任何利益，包括但不限于明扣、暗扣、现金、购物卡、实物、有价证券、旅游或其他非物质性利益等，否则构成重大违约，一经查实，甲方有权解除合同并根据法律法规进行相应处理。</w:t>
      </w:r>
    </w:p>
    <w:p w14:paraId="45D67EFA">
      <w:pPr>
        <w:spacing w:line="360" w:lineRule="auto"/>
        <w:ind w:firstLine="422" w:firstLineChars="200"/>
        <w:rPr>
          <w:rFonts w:hint="eastAsia" w:ascii="宋体" w:hAnsi="宋体" w:cs="宋体"/>
          <w:b/>
          <w:bCs/>
          <w:color w:val="000000"/>
          <w:szCs w:val="21"/>
        </w:rPr>
      </w:pPr>
      <w:r>
        <w:rPr>
          <w:rFonts w:hint="eastAsia" w:ascii="宋体" w:hAnsi="宋体" w:cs="宋体"/>
          <w:b/>
          <w:bCs/>
          <w:color w:val="000000"/>
          <w:szCs w:val="21"/>
        </w:rPr>
        <w:t>十、通知与送达</w:t>
      </w:r>
    </w:p>
    <w:p w14:paraId="5646625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甲乙双方所有经济行政关系往来，一律采用书面形式，双方应及时办理签收。双方均采用书面形式送达对方（包括但不限于纸质书面、传真、电子邮件、电报、电子数据交换等可以有形地表现所载内容的形式）的文件方为有效。</w:t>
      </w:r>
    </w:p>
    <w:p w14:paraId="3EAD3A4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本合同所约定的通知方式以当面方式交付的，则签收时间视为送达。以电子邮件形式发送，则数据电文以联系人发出的首次时间，视为送达。以邮寄形式发送，则通知自双方向本合同载明的地址寄出次日视为送达。以传真形式发送，则传真发出当日视为送达。甲方行使合同单方解除权的，本合同自解除合同通知书送达乙方之次日起即解除。</w:t>
      </w:r>
    </w:p>
    <w:p w14:paraId="0ECC569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3、本协议载明的下列双方的地址或电子邮件地址为有效送达地址。</w:t>
      </w:r>
    </w:p>
    <w:p w14:paraId="71E0EC1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甲方指定联系人：   郑睿</w:t>
      </w:r>
    </w:p>
    <w:p w14:paraId="11C1B2E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联系电话：  18030017335</w:t>
      </w:r>
    </w:p>
    <w:p w14:paraId="1D10BBC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有效通讯地址：  龙岗区布吉街道西环路布吉水质净化厂三期</w:t>
      </w:r>
    </w:p>
    <w:p w14:paraId="2C32B0E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邮箱： 36946119@qq.com</w:t>
      </w:r>
    </w:p>
    <w:p w14:paraId="4D1B53E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乙方指定联系人：  伍浩林</w:t>
      </w:r>
    </w:p>
    <w:p w14:paraId="32F0AFB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联系电话：   13760101108</w:t>
      </w:r>
    </w:p>
    <w:p w14:paraId="6C54324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有效通讯地址：  龙华新区观澜街道观光路1171-5  </w:t>
      </w:r>
    </w:p>
    <w:p w14:paraId="7BABD4B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邮箱: 498096607@qq.com</w:t>
      </w:r>
    </w:p>
    <w:p w14:paraId="04CFB2B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如一方指定联系人、地址、电话、传真号码有变更，应在变更当天书面通知对方，否则，另一方向前述原联系方式送达的，视为有效送达。一方未及时通知并影响本合同履行或造成损失的，应承担相应的赔偿责任。</w:t>
      </w:r>
    </w:p>
    <w:p w14:paraId="13BF680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5、双方确认，若双方发生纠纷，在仲裁过程中，仲裁机构在送达各项法律文书（包括但不限于仲裁申请书、证据、裁决书等）时，一经向本合同注明的地址投递视为送达，无须公告。</w:t>
      </w:r>
    </w:p>
    <w:p w14:paraId="71B74E52">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十一、争议解决</w:t>
      </w:r>
    </w:p>
    <w:p w14:paraId="1FEB5C9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与本合同在关的争议，首先由双方协商解决，协商不成的，任何一方均有权向深圳国际仲裁院提起仲裁，由该院按照届时有效的仲裁规则裁决。</w:t>
      </w:r>
    </w:p>
    <w:p w14:paraId="2F965400">
      <w:pPr>
        <w:spacing w:line="360" w:lineRule="auto"/>
        <w:ind w:firstLine="422" w:firstLineChars="200"/>
        <w:rPr>
          <w:rFonts w:hint="eastAsia" w:ascii="宋体" w:hAnsi="宋体" w:cs="宋体"/>
          <w:b/>
          <w:color w:val="000000"/>
          <w:szCs w:val="21"/>
        </w:rPr>
      </w:pPr>
      <w:r>
        <w:rPr>
          <w:rFonts w:hint="eastAsia" w:ascii="宋体" w:hAnsi="宋体" w:cs="宋体"/>
          <w:b/>
          <w:color w:val="000000"/>
          <w:szCs w:val="21"/>
        </w:rPr>
        <w:t>十二、附则</w:t>
      </w:r>
    </w:p>
    <w:p w14:paraId="13A097C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 双方本着友好合作的原则商定，合同期内，若因服务范围扩大而增加工作量，需增加人工费用时，双方协商议定。</w:t>
      </w:r>
    </w:p>
    <w:p w14:paraId="664C211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2、其他未尽事宜可另外签署备忘录，或按照《中华人民共和国民法典》规定办理或签订补充协议，备忘录和补充协议与本合同具有同等法律效力。</w:t>
      </w:r>
    </w:p>
    <w:p w14:paraId="5FDEE1B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3、本合同一式肆份，甲、乙双方各执两份，经双方有权代表签字并加盖公章后生效，每份具同等法律效力。</w:t>
      </w:r>
    </w:p>
    <w:p w14:paraId="239B1DC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4、本合同附件与合同正文均为合同之组成部分，同具法律效力，并自合同签订之日起一并生效。</w:t>
      </w:r>
    </w:p>
    <w:p w14:paraId="38A7ECE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5、本合同之的订立、效力、解除、履行及争议解决均受中华人民共和国法律的保护和管辖。</w:t>
      </w:r>
    </w:p>
    <w:p w14:paraId="4FC39E65">
      <w:pPr>
        <w:spacing w:line="360" w:lineRule="auto"/>
        <w:jc w:val="center"/>
        <w:rPr>
          <w:rFonts w:hint="eastAsia" w:ascii="宋体" w:hAnsi="宋体" w:cs="宋体"/>
          <w:color w:val="000000"/>
          <w:szCs w:val="21"/>
        </w:rPr>
      </w:pPr>
      <w:r>
        <w:rPr>
          <w:rFonts w:hint="eastAsia" w:ascii="宋体" w:hAnsi="宋体" w:cs="宋体"/>
          <w:color w:val="000000"/>
          <w:szCs w:val="21"/>
        </w:rPr>
        <w:t>（以下无正文）</w:t>
      </w:r>
    </w:p>
    <w:p w14:paraId="4B2950CE">
      <w:pPr>
        <w:rPr>
          <w:rFonts w:hint="eastAsia" w:ascii="宋体" w:hAnsi="宋体" w:cs="宋体"/>
          <w:b/>
          <w:kern w:val="0"/>
          <w:szCs w:val="21"/>
        </w:rPr>
      </w:pPr>
      <w:r>
        <w:rPr>
          <w:rFonts w:hint="eastAsia" w:ascii="宋体" w:hAnsi="宋体" w:cs="宋体"/>
          <w:b/>
          <w:kern w:val="0"/>
          <w:szCs w:val="21"/>
        </w:rPr>
        <w:br w:type="page"/>
      </w:r>
    </w:p>
    <w:p w14:paraId="3C8B8394">
      <w:pPr>
        <w:pStyle w:val="9"/>
      </w:pPr>
    </w:p>
    <w:p w14:paraId="036644B1">
      <w:pPr>
        <w:jc w:val="left"/>
        <w:rPr>
          <w:rFonts w:hint="eastAsia" w:ascii="宋体" w:hAnsi="宋体" w:cs="宋体"/>
          <w:b/>
          <w:kern w:val="0"/>
          <w:szCs w:val="21"/>
        </w:rPr>
      </w:pPr>
      <w:r>
        <w:rPr>
          <w:rFonts w:hint="eastAsia" w:ascii="宋体" w:hAnsi="宋体" w:cs="宋体"/>
          <w:b/>
          <w:kern w:val="0"/>
          <w:szCs w:val="21"/>
        </w:rPr>
        <w:t>本页为签署页</w:t>
      </w:r>
    </w:p>
    <w:p w14:paraId="402A9E96">
      <w:pPr>
        <w:jc w:val="left"/>
        <w:rPr>
          <w:rFonts w:hint="eastAsia" w:ascii="宋体" w:hAnsi="宋体" w:cs="宋体"/>
          <w:kern w:val="0"/>
          <w:szCs w:val="21"/>
        </w:rPr>
      </w:pPr>
    </w:p>
    <w:p w14:paraId="28F50E13">
      <w:pPr>
        <w:spacing w:line="360" w:lineRule="auto"/>
        <w:rPr>
          <w:rFonts w:hint="eastAsia" w:ascii="宋体" w:hAnsi="宋体" w:cs="宋体"/>
          <w:szCs w:val="21"/>
        </w:rPr>
      </w:pPr>
      <w:r>
        <w:rPr>
          <w:rFonts w:hint="eastAsia" w:ascii="宋体" w:hAnsi="宋体" w:cs="宋体"/>
          <w:szCs w:val="21"/>
        </w:rPr>
        <w:t>发包方：（公章）</w:t>
      </w:r>
      <w:r>
        <w:rPr>
          <w:rFonts w:hint="eastAsia" w:ascii="宋体" w:hAnsi="宋体" w:cs="宋体"/>
          <w:szCs w:val="21"/>
          <w:u w:val="single"/>
        </w:rPr>
        <w:t xml:space="preserve">  深圳市环水启航水质净化有限公司 </w:t>
      </w:r>
      <w:r>
        <w:rPr>
          <w:rFonts w:hint="eastAsia" w:ascii="宋体" w:hAnsi="宋体" w:cs="宋体"/>
          <w:szCs w:val="21"/>
        </w:rPr>
        <w:t xml:space="preserve"> </w:t>
      </w:r>
    </w:p>
    <w:p w14:paraId="335237EC">
      <w:pPr>
        <w:spacing w:line="360" w:lineRule="auto"/>
        <w:rPr>
          <w:rFonts w:hint="eastAsia" w:ascii="宋体" w:hAnsi="宋体" w:cs="宋体"/>
          <w:szCs w:val="21"/>
        </w:rPr>
      </w:pPr>
      <w:r>
        <w:rPr>
          <w:rFonts w:hint="eastAsia" w:ascii="宋体" w:hAnsi="宋体" w:cs="宋体"/>
          <w:szCs w:val="21"/>
        </w:rPr>
        <w:t xml:space="preserve">法定代表人： </w:t>
      </w:r>
      <w:r>
        <w:rPr>
          <w:rFonts w:hint="eastAsia" w:ascii="宋体" w:hAnsi="宋体" w:cs="宋体"/>
          <w:szCs w:val="21"/>
          <w:u w:val="single"/>
        </w:rPr>
        <w:t xml:space="preserve">                       </w:t>
      </w:r>
      <w:r>
        <w:rPr>
          <w:rFonts w:hint="eastAsia" w:ascii="宋体" w:hAnsi="宋体" w:cs="宋体"/>
          <w:szCs w:val="21"/>
        </w:rPr>
        <w:t xml:space="preserve"> </w:t>
      </w:r>
    </w:p>
    <w:p w14:paraId="4AA9DFB7">
      <w:pPr>
        <w:spacing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w:t>
      </w:r>
    </w:p>
    <w:p w14:paraId="74C44FF6">
      <w:pPr>
        <w:spacing w:line="360" w:lineRule="auto"/>
        <w:rPr>
          <w:rFonts w:hint="eastAsia" w:ascii="宋体" w:hAnsi="宋体" w:cs="宋体"/>
          <w:szCs w:val="21"/>
          <w:u w:val="single"/>
        </w:rPr>
      </w:pPr>
      <w:r>
        <w:rPr>
          <w:rFonts w:hint="eastAsia" w:ascii="宋体" w:hAnsi="宋体" w:cs="宋体"/>
          <w:szCs w:val="21"/>
        </w:rPr>
        <w:t>开户银行：</w:t>
      </w:r>
      <w:r>
        <w:rPr>
          <w:rFonts w:hint="eastAsia" w:ascii="宋体" w:hAnsi="宋体" w:cs="宋体"/>
          <w:szCs w:val="21"/>
          <w:u w:val="single"/>
        </w:rPr>
        <w:t xml:space="preserve">                          </w:t>
      </w:r>
    </w:p>
    <w:p w14:paraId="5AF40B01">
      <w:pPr>
        <w:spacing w:line="360" w:lineRule="auto"/>
        <w:rPr>
          <w:rFonts w:hint="eastAsia" w:ascii="宋体" w:hAnsi="宋体" w:cs="宋体"/>
          <w:szCs w:val="21"/>
          <w:u w:val="single"/>
        </w:rPr>
      </w:pPr>
      <w:r>
        <w:rPr>
          <w:rFonts w:hint="eastAsia" w:ascii="宋体" w:hAnsi="宋体" w:cs="宋体"/>
          <w:szCs w:val="21"/>
        </w:rPr>
        <w:t>帐号：</w:t>
      </w:r>
      <w:r>
        <w:rPr>
          <w:rFonts w:hint="eastAsia" w:ascii="宋体" w:hAnsi="宋体" w:cs="宋体"/>
          <w:szCs w:val="21"/>
          <w:u w:val="single"/>
        </w:rPr>
        <w:t xml:space="preserve">                        </w:t>
      </w:r>
    </w:p>
    <w:p w14:paraId="6B346D6A">
      <w:pPr>
        <w:pStyle w:val="9"/>
        <w:ind w:left="0" w:leftChars="0" w:firstLine="0" w:firstLineChars="0"/>
      </w:pPr>
      <w:r>
        <w:rPr>
          <w:rFonts w:hint="eastAsia" w:ascii="宋体" w:hAnsi="宋体" w:cs="宋体"/>
          <w:szCs w:val="21"/>
          <w:u w:val="single"/>
        </w:rPr>
        <w:t>签约日期</w:t>
      </w:r>
      <w:r>
        <w:rPr>
          <w:rFonts w:hint="eastAsia" w:ascii="宋体" w:hAnsi="宋体" w:cs="宋体"/>
          <w:szCs w:val="21"/>
        </w:rPr>
        <w:t>：</w:t>
      </w:r>
      <w:r>
        <w:rPr>
          <w:rFonts w:hint="eastAsia" w:ascii="宋体" w:hAnsi="宋体" w:cs="宋体"/>
          <w:szCs w:val="21"/>
          <w:u w:val="single"/>
        </w:rPr>
        <w:t xml:space="preserve">                        </w:t>
      </w:r>
    </w:p>
    <w:p w14:paraId="768CB04D">
      <w:pPr>
        <w:pStyle w:val="9"/>
        <w:spacing w:line="360" w:lineRule="auto"/>
        <w:ind w:left="0" w:leftChars="0" w:firstLine="0" w:firstLineChars="0"/>
        <w:rPr>
          <w:rFonts w:hint="eastAsia" w:ascii="宋体" w:hAnsi="宋体" w:cs="宋体"/>
          <w:szCs w:val="21"/>
          <w:u w:val="single"/>
        </w:rPr>
      </w:pPr>
    </w:p>
    <w:p w14:paraId="6DDA1CEE">
      <w:pPr>
        <w:spacing w:line="360" w:lineRule="auto"/>
        <w:rPr>
          <w:rFonts w:hint="eastAsia" w:ascii="宋体" w:hAnsi="宋体" w:cs="宋体"/>
          <w:szCs w:val="21"/>
        </w:rPr>
      </w:pPr>
      <w:r>
        <w:rPr>
          <w:rFonts w:hint="eastAsia" w:ascii="宋体" w:hAnsi="宋体" w:cs="宋体"/>
          <w:szCs w:val="21"/>
        </w:rPr>
        <w:t>承包方：（公章）</w:t>
      </w:r>
      <w:r>
        <w:rPr>
          <w:rFonts w:hint="eastAsia" w:ascii="宋体" w:hAnsi="宋体" w:cs="宋体"/>
          <w:szCs w:val="21"/>
          <w:u w:val="single"/>
        </w:rPr>
        <w:t xml:space="preserve">  </w:t>
      </w:r>
      <w:r>
        <w:rPr>
          <w:rFonts w:hint="eastAsia" w:ascii="宋体" w:hAnsi="宋体" w:cs="宋体"/>
          <w:color w:val="000000"/>
          <w:szCs w:val="21"/>
          <w:u w:val="single"/>
        </w:rPr>
        <w:t>深圳市林青物业管理有限公司</w:t>
      </w:r>
      <w:r>
        <w:rPr>
          <w:rFonts w:hint="eastAsia" w:ascii="宋体" w:hAnsi="宋体" w:cs="宋体"/>
          <w:szCs w:val="21"/>
          <w:u w:val="single"/>
        </w:rPr>
        <w:t xml:space="preserve">       </w:t>
      </w:r>
    </w:p>
    <w:p w14:paraId="53BDBEFE">
      <w:pPr>
        <w:spacing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 xml:space="preserve"> </w:t>
      </w:r>
    </w:p>
    <w:p w14:paraId="382488F9">
      <w:pPr>
        <w:spacing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w:t>
      </w:r>
    </w:p>
    <w:p w14:paraId="23452BA4">
      <w:pPr>
        <w:spacing w:line="360" w:lineRule="auto"/>
        <w:rPr>
          <w:rFonts w:hint="eastAsia" w:ascii="宋体" w:hAnsi="宋体" w:cs="宋体"/>
          <w:szCs w:val="21"/>
        </w:rPr>
      </w:pPr>
      <w:r>
        <w:rPr>
          <w:rFonts w:hint="eastAsia" w:ascii="宋体" w:hAnsi="宋体" w:cs="宋体"/>
          <w:spacing w:val="44"/>
          <w:szCs w:val="21"/>
        </w:rPr>
        <w:t>开户银</w:t>
      </w:r>
      <w:r>
        <w:rPr>
          <w:rFonts w:hint="eastAsia" w:ascii="宋体" w:hAnsi="宋体" w:cs="宋体"/>
          <w:szCs w:val="21"/>
        </w:rPr>
        <w:t>行：</w:t>
      </w:r>
      <w:r>
        <w:rPr>
          <w:rFonts w:hint="eastAsia" w:ascii="宋体" w:hAnsi="宋体" w:cs="宋体"/>
          <w:szCs w:val="21"/>
          <w:u w:val="single"/>
        </w:rPr>
        <w:t xml:space="preserve">  深圳农村商业银行新澜支行  </w:t>
      </w:r>
      <w:r>
        <w:rPr>
          <w:rFonts w:hint="eastAsia" w:ascii="宋体" w:hAnsi="宋体" w:cs="宋体"/>
          <w:szCs w:val="21"/>
        </w:rPr>
        <w:t xml:space="preserve">  </w:t>
      </w:r>
    </w:p>
    <w:p w14:paraId="2E3CCBAC">
      <w:pPr>
        <w:spacing w:line="360" w:lineRule="auto"/>
        <w:rPr>
          <w:rFonts w:hint="eastAsia" w:ascii="宋体" w:hAnsi="宋体" w:cs="宋体"/>
          <w:szCs w:val="21"/>
        </w:rPr>
      </w:pPr>
      <w:r>
        <w:rPr>
          <w:rFonts w:hint="eastAsia" w:ascii="宋体" w:hAnsi="宋体" w:cs="宋体"/>
          <w:szCs w:val="21"/>
        </w:rPr>
        <w:t>帐号：</w:t>
      </w:r>
      <w:r>
        <w:rPr>
          <w:rFonts w:hint="eastAsia" w:ascii="宋体" w:hAnsi="宋体" w:cs="宋体"/>
          <w:szCs w:val="21"/>
          <w:u w:val="single"/>
        </w:rPr>
        <w:t xml:space="preserve">  000233977688  </w:t>
      </w:r>
      <w:r>
        <w:rPr>
          <w:rFonts w:hint="eastAsia" w:ascii="宋体" w:hAnsi="宋体" w:cs="宋体"/>
          <w:szCs w:val="21"/>
        </w:rPr>
        <w:t xml:space="preserve">  </w:t>
      </w:r>
    </w:p>
    <w:p w14:paraId="444EC285">
      <w:pPr>
        <w:pStyle w:val="9"/>
        <w:ind w:left="0" w:leftChars="0" w:firstLine="0" w:firstLineChars="0"/>
      </w:pPr>
      <w:r>
        <w:rPr>
          <w:rFonts w:hint="eastAsia" w:ascii="宋体" w:hAnsi="宋体" w:cs="宋体"/>
          <w:szCs w:val="21"/>
          <w:u w:val="single"/>
        </w:rPr>
        <w:t>签约日期</w:t>
      </w:r>
      <w:r>
        <w:rPr>
          <w:rFonts w:hint="eastAsia" w:ascii="宋体" w:hAnsi="宋体" w:cs="宋体"/>
          <w:szCs w:val="21"/>
        </w:rPr>
        <w:t>：</w:t>
      </w:r>
      <w:r>
        <w:rPr>
          <w:rFonts w:hint="eastAsia" w:ascii="宋体" w:hAnsi="宋体" w:cs="宋体"/>
          <w:szCs w:val="21"/>
          <w:u w:val="single"/>
        </w:rPr>
        <w:t xml:space="preserve">                        </w:t>
      </w:r>
    </w:p>
    <w:p w14:paraId="69D5C47A">
      <w:pPr>
        <w:spacing w:line="360" w:lineRule="auto"/>
        <w:rPr>
          <w:rFonts w:hint="eastAsia" w:ascii="宋体" w:hAnsi="宋体" w:cs="宋体"/>
          <w:szCs w:val="21"/>
        </w:rPr>
      </w:pPr>
    </w:p>
    <w:p w14:paraId="321D28D8">
      <w:pPr>
        <w:spacing w:line="360" w:lineRule="auto"/>
        <w:rPr>
          <w:rFonts w:hint="eastAsia" w:ascii="宋体" w:hAnsi="宋体" w:cs="宋体"/>
          <w:bCs/>
          <w:szCs w:val="21"/>
        </w:rPr>
      </w:pPr>
      <w:r>
        <w:rPr>
          <w:rFonts w:hint="eastAsia" w:ascii="宋体" w:hAnsi="宋体" w:cs="宋体"/>
          <w:bCs/>
          <w:szCs w:val="21"/>
        </w:rPr>
        <w:br w:type="page"/>
      </w:r>
      <w:r>
        <w:rPr>
          <w:rFonts w:hint="eastAsia" w:ascii="宋体" w:hAnsi="宋体" w:cs="宋体"/>
          <w:bCs/>
          <w:szCs w:val="21"/>
        </w:rPr>
        <w:t>合同附件一：清洁综合服务质量验收月评分表</w:t>
      </w:r>
    </w:p>
    <w:p w14:paraId="58EB56F6">
      <w:pPr>
        <w:spacing w:line="360" w:lineRule="auto"/>
        <w:ind w:firstLine="479" w:firstLineChars="227"/>
        <w:jc w:val="center"/>
        <w:rPr>
          <w:rFonts w:hint="eastAsia" w:ascii="宋体" w:hAnsi="宋体" w:cs="宋体"/>
          <w:b/>
          <w:kern w:val="0"/>
          <w:szCs w:val="21"/>
        </w:rPr>
      </w:pPr>
    </w:p>
    <w:p w14:paraId="07B07215">
      <w:pPr>
        <w:spacing w:line="360" w:lineRule="auto"/>
        <w:ind w:firstLine="479" w:firstLineChars="227"/>
        <w:jc w:val="center"/>
        <w:rPr>
          <w:rFonts w:hint="eastAsia" w:ascii="宋体" w:hAnsi="宋体" w:cs="宋体"/>
          <w:b/>
          <w:kern w:val="0"/>
          <w:szCs w:val="21"/>
        </w:rPr>
      </w:pPr>
      <w:r>
        <w:rPr>
          <w:rFonts w:hint="eastAsia" w:ascii="宋体" w:hAnsi="宋体" w:cs="宋体"/>
          <w:b/>
          <w:kern w:val="0"/>
          <w:szCs w:val="21"/>
        </w:rPr>
        <w:t>清洁综合服务质量验收月评分表</w:t>
      </w:r>
    </w:p>
    <w:p w14:paraId="39EFAB87">
      <w:pPr>
        <w:spacing w:line="360" w:lineRule="auto"/>
        <w:ind w:firstLine="476" w:firstLineChars="227"/>
        <w:rPr>
          <w:rFonts w:hint="eastAsia" w:ascii="宋体" w:hAnsi="宋体" w:cs="宋体"/>
          <w:kern w:val="0"/>
          <w:szCs w:val="21"/>
        </w:rPr>
      </w:pPr>
      <w:r>
        <w:rPr>
          <w:rFonts w:hint="eastAsia" w:ascii="宋体" w:hAnsi="宋体" w:cs="宋体"/>
          <w:kern w:val="0"/>
          <w:szCs w:val="21"/>
        </w:rPr>
        <w:t>本保洁服务验收表综合办进行考评。考评结果将作为清洁服务费支付的依据：根据《清洁综合服务合同》，如服务质量评分低于80分的，甲方将扣除当月对服务费的10%作为不当履行违约金，服务质量评分低于60分的，甲方将扣除当月对服务费的20%作为不当履行违约金。</w:t>
      </w:r>
    </w:p>
    <w:tbl>
      <w:tblPr>
        <w:tblStyle w:val="10"/>
        <w:tblW w:w="4981" w:type="pct"/>
        <w:jc w:val="center"/>
        <w:tblLayout w:type="autofit"/>
        <w:tblCellMar>
          <w:top w:w="0" w:type="dxa"/>
          <w:left w:w="108" w:type="dxa"/>
          <w:bottom w:w="0" w:type="dxa"/>
          <w:right w:w="108" w:type="dxa"/>
        </w:tblCellMar>
      </w:tblPr>
      <w:tblGrid>
        <w:gridCol w:w="1486"/>
        <w:gridCol w:w="3210"/>
        <w:gridCol w:w="2161"/>
        <w:gridCol w:w="690"/>
        <w:gridCol w:w="943"/>
      </w:tblGrid>
      <w:tr w14:paraId="7B53B93F">
        <w:tblPrEx>
          <w:tblCellMar>
            <w:top w:w="0" w:type="dxa"/>
            <w:left w:w="108" w:type="dxa"/>
            <w:bottom w:w="0" w:type="dxa"/>
            <w:right w:w="108" w:type="dxa"/>
          </w:tblCellMar>
        </w:tblPrEx>
        <w:trPr>
          <w:trHeight w:val="846" w:hRule="atLeast"/>
          <w:jc w:val="center"/>
        </w:trPr>
        <w:tc>
          <w:tcPr>
            <w:tcW w:w="875" w:type="pct"/>
            <w:tcBorders>
              <w:top w:val="single" w:color="auto" w:sz="4" w:space="0"/>
              <w:left w:val="single" w:color="auto" w:sz="4" w:space="0"/>
              <w:bottom w:val="single" w:color="auto" w:sz="4" w:space="0"/>
              <w:right w:val="nil"/>
            </w:tcBorders>
            <w:noWrap/>
            <w:vAlign w:val="center"/>
          </w:tcPr>
          <w:p w14:paraId="0EAC8600">
            <w:pPr>
              <w:widowControl/>
              <w:spacing w:line="360" w:lineRule="auto"/>
              <w:jc w:val="center"/>
              <w:rPr>
                <w:rFonts w:hint="eastAsia" w:ascii="宋体" w:hAnsi="宋体" w:cs="宋体"/>
                <w:kern w:val="0"/>
                <w:szCs w:val="21"/>
              </w:rPr>
            </w:pPr>
          </w:p>
        </w:tc>
        <w:tc>
          <w:tcPr>
            <w:tcW w:w="1890" w:type="pct"/>
            <w:tcBorders>
              <w:top w:val="single" w:color="auto" w:sz="8" w:space="0"/>
              <w:left w:val="single" w:color="auto" w:sz="8" w:space="0"/>
              <w:bottom w:val="single" w:color="auto" w:sz="8" w:space="0"/>
              <w:right w:val="single" w:color="000000" w:sz="8" w:space="0"/>
            </w:tcBorders>
            <w:vAlign w:val="center"/>
          </w:tcPr>
          <w:p w14:paraId="1FBE6845">
            <w:pPr>
              <w:widowControl/>
              <w:spacing w:line="360" w:lineRule="auto"/>
              <w:jc w:val="center"/>
              <w:rPr>
                <w:rFonts w:hint="eastAsia" w:ascii="宋体" w:hAnsi="宋体" w:cs="宋体"/>
                <w:b/>
                <w:bCs/>
                <w:kern w:val="0"/>
                <w:szCs w:val="21"/>
              </w:rPr>
            </w:pPr>
            <w:r>
              <w:rPr>
                <w:rFonts w:hint="eastAsia" w:ascii="宋体" w:hAnsi="宋体" w:cs="宋体"/>
                <w:b/>
                <w:bCs/>
                <w:kern w:val="0"/>
                <w:szCs w:val="21"/>
              </w:rPr>
              <w:t>考核项目</w:t>
            </w:r>
          </w:p>
        </w:tc>
        <w:tc>
          <w:tcPr>
            <w:tcW w:w="1272" w:type="pct"/>
            <w:tcBorders>
              <w:top w:val="single" w:color="auto" w:sz="8" w:space="0"/>
              <w:left w:val="nil"/>
              <w:bottom w:val="single" w:color="auto" w:sz="8" w:space="0"/>
              <w:right w:val="single" w:color="auto" w:sz="8" w:space="0"/>
            </w:tcBorders>
            <w:vAlign w:val="center"/>
          </w:tcPr>
          <w:p w14:paraId="45814CC3">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得分/扣分标准</w:t>
            </w:r>
          </w:p>
        </w:tc>
        <w:tc>
          <w:tcPr>
            <w:tcW w:w="406" w:type="pct"/>
            <w:tcBorders>
              <w:top w:val="single" w:color="auto" w:sz="8" w:space="0"/>
              <w:left w:val="nil"/>
              <w:bottom w:val="single" w:color="auto" w:sz="8" w:space="0"/>
              <w:right w:val="single" w:color="auto" w:sz="8" w:space="0"/>
            </w:tcBorders>
            <w:vAlign w:val="center"/>
          </w:tcPr>
          <w:p w14:paraId="366514F2">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分值</w:t>
            </w:r>
          </w:p>
        </w:tc>
        <w:tc>
          <w:tcPr>
            <w:tcW w:w="555" w:type="pct"/>
            <w:tcBorders>
              <w:top w:val="single" w:color="auto" w:sz="8" w:space="0"/>
              <w:left w:val="nil"/>
              <w:bottom w:val="single" w:color="auto" w:sz="8" w:space="0"/>
              <w:right w:val="single" w:color="auto" w:sz="8" w:space="0"/>
            </w:tcBorders>
            <w:vAlign w:val="center"/>
          </w:tcPr>
          <w:p w14:paraId="55C40005">
            <w:pPr>
              <w:widowControl/>
              <w:spacing w:line="360" w:lineRule="auto"/>
              <w:jc w:val="center"/>
              <w:rPr>
                <w:rFonts w:hint="eastAsia" w:ascii="宋体" w:hAnsi="宋体" w:cs="宋体"/>
                <w:b/>
                <w:bCs/>
                <w:kern w:val="0"/>
                <w:szCs w:val="21"/>
              </w:rPr>
            </w:pPr>
            <w:r>
              <w:rPr>
                <w:rFonts w:hint="eastAsia" w:ascii="宋体" w:hAnsi="宋体" w:cs="宋体"/>
                <w:b/>
                <w:bCs/>
                <w:kern w:val="0"/>
                <w:szCs w:val="21"/>
              </w:rPr>
              <w:t>得分</w:t>
            </w:r>
          </w:p>
        </w:tc>
      </w:tr>
      <w:tr w14:paraId="5BA44726">
        <w:tblPrEx>
          <w:tblCellMar>
            <w:top w:w="0" w:type="dxa"/>
            <w:left w:w="108" w:type="dxa"/>
            <w:bottom w:w="0" w:type="dxa"/>
            <w:right w:w="108" w:type="dxa"/>
          </w:tblCellMar>
        </w:tblPrEx>
        <w:trPr>
          <w:trHeight w:val="360" w:hRule="atLeast"/>
          <w:jc w:val="center"/>
        </w:trPr>
        <w:tc>
          <w:tcPr>
            <w:tcW w:w="875" w:type="pct"/>
            <w:vMerge w:val="restart"/>
            <w:tcBorders>
              <w:top w:val="single" w:color="auto" w:sz="4" w:space="0"/>
              <w:left w:val="single" w:color="auto" w:sz="8" w:space="0"/>
              <w:bottom w:val="single" w:color="000000" w:sz="8" w:space="0"/>
              <w:right w:val="single" w:color="auto" w:sz="8" w:space="0"/>
            </w:tcBorders>
            <w:vAlign w:val="center"/>
          </w:tcPr>
          <w:p w14:paraId="4B38B26B">
            <w:pPr>
              <w:widowControl/>
              <w:spacing w:line="360" w:lineRule="auto"/>
              <w:jc w:val="center"/>
              <w:rPr>
                <w:rFonts w:hint="eastAsia" w:ascii="宋体" w:hAnsi="宋体" w:cs="宋体"/>
                <w:kern w:val="0"/>
                <w:szCs w:val="21"/>
              </w:rPr>
            </w:pPr>
            <w:r>
              <w:rPr>
                <w:rFonts w:hint="eastAsia" w:ascii="宋体" w:hAnsi="宋体" w:cs="宋体"/>
                <w:kern w:val="0"/>
                <w:szCs w:val="21"/>
              </w:rPr>
              <w:t>劳务纪律管理</w:t>
            </w:r>
          </w:p>
          <w:p w14:paraId="709F3F42">
            <w:pPr>
              <w:widowControl/>
              <w:spacing w:line="360" w:lineRule="auto"/>
              <w:jc w:val="center"/>
              <w:rPr>
                <w:rFonts w:hint="eastAsia" w:ascii="宋体" w:hAnsi="宋体" w:cs="宋体"/>
                <w:kern w:val="0"/>
                <w:szCs w:val="21"/>
              </w:rPr>
            </w:pPr>
            <w:r>
              <w:rPr>
                <w:rFonts w:hint="eastAsia" w:ascii="宋体" w:hAnsi="宋体" w:cs="宋体"/>
                <w:kern w:val="0"/>
                <w:szCs w:val="21"/>
              </w:rPr>
              <w:t>（20分）</w:t>
            </w:r>
          </w:p>
        </w:tc>
        <w:tc>
          <w:tcPr>
            <w:tcW w:w="1890" w:type="pct"/>
            <w:tcBorders>
              <w:top w:val="single" w:color="auto" w:sz="8" w:space="0"/>
              <w:left w:val="nil"/>
              <w:bottom w:val="single" w:color="auto" w:sz="8" w:space="0"/>
              <w:right w:val="single" w:color="000000" w:sz="8" w:space="0"/>
            </w:tcBorders>
            <w:vAlign w:val="center"/>
          </w:tcPr>
          <w:p w14:paraId="0A66E672">
            <w:pPr>
              <w:widowControl/>
              <w:spacing w:line="360" w:lineRule="auto"/>
              <w:jc w:val="center"/>
              <w:rPr>
                <w:rFonts w:hint="eastAsia" w:ascii="宋体" w:hAnsi="宋体" w:cs="宋体"/>
                <w:kern w:val="0"/>
                <w:szCs w:val="21"/>
              </w:rPr>
            </w:pPr>
            <w:r>
              <w:rPr>
                <w:rFonts w:hint="eastAsia" w:ascii="宋体" w:hAnsi="宋体" w:cs="宋体"/>
                <w:kern w:val="0"/>
                <w:szCs w:val="21"/>
              </w:rPr>
              <w:t>上月检查提出需整改的问题</w:t>
            </w:r>
          </w:p>
        </w:tc>
        <w:tc>
          <w:tcPr>
            <w:tcW w:w="1272" w:type="pct"/>
            <w:tcBorders>
              <w:top w:val="nil"/>
              <w:left w:val="nil"/>
              <w:bottom w:val="single" w:color="auto" w:sz="8" w:space="0"/>
              <w:right w:val="single" w:color="auto" w:sz="8" w:space="0"/>
            </w:tcBorders>
            <w:vAlign w:val="center"/>
          </w:tcPr>
          <w:p w14:paraId="5C54E893">
            <w:pPr>
              <w:widowControl/>
              <w:spacing w:line="360" w:lineRule="auto"/>
              <w:jc w:val="center"/>
              <w:rPr>
                <w:rFonts w:hint="eastAsia" w:ascii="宋体" w:hAnsi="宋体" w:cs="宋体"/>
                <w:kern w:val="0"/>
                <w:szCs w:val="21"/>
              </w:rPr>
            </w:pPr>
            <w:r>
              <w:rPr>
                <w:rFonts w:hint="eastAsia" w:ascii="宋体" w:hAnsi="宋体" w:cs="宋体"/>
                <w:kern w:val="0"/>
                <w:szCs w:val="21"/>
              </w:rPr>
              <w:t>对于上月提出的问题未整改的，每项扣1分</w:t>
            </w:r>
          </w:p>
        </w:tc>
        <w:tc>
          <w:tcPr>
            <w:tcW w:w="406" w:type="pct"/>
            <w:tcBorders>
              <w:top w:val="nil"/>
              <w:left w:val="nil"/>
              <w:bottom w:val="single" w:color="auto" w:sz="8" w:space="0"/>
              <w:right w:val="single" w:color="auto" w:sz="8" w:space="0"/>
            </w:tcBorders>
            <w:vAlign w:val="center"/>
          </w:tcPr>
          <w:p w14:paraId="1FCD7714">
            <w:pPr>
              <w:widowControl/>
              <w:spacing w:line="360" w:lineRule="auto"/>
              <w:jc w:val="center"/>
              <w:rPr>
                <w:rFonts w:hint="eastAsia" w:ascii="宋体" w:hAnsi="宋体" w:cs="宋体"/>
                <w:kern w:val="0"/>
                <w:szCs w:val="21"/>
              </w:rPr>
            </w:pPr>
            <w:r>
              <w:rPr>
                <w:rFonts w:hint="eastAsia" w:ascii="宋体" w:hAnsi="宋体" w:cs="宋体"/>
                <w:kern w:val="0"/>
                <w:szCs w:val="21"/>
              </w:rPr>
              <w:t>5</w:t>
            </w:r>
          </w:p>
        </w:tc>
        <w:tc>
          <w:tcPr>
            <w:tcW w:w="555" w:type="pct"/>
            <w:tcBorders>
              <w:top w:val="nil"/>
              <w:left w:val="nil"/>
              <w:bottom w:val="single" w:color="auto" w:sz="8" w:space="0"/>
              <w:right w:val="single" w:color="auto" w:sz="8" w:space="0"/>
            </w:tcBorders>
            <w:vAlign w:val="center"/>
          </w:tcPr>
          <w:p w14:paraId="7C8D850A">
            <w:pPr>
              <w:widowControl/>
              <w:spacing w:line="360" w:lineRule="auto"/>
              <w:jc w:val="center"/>
              <w:rPr>
                <w:rFonts w:hint="eastAsia" w:ascii="宋体" w:hAnsi="宋体" w:cs="宋体"/>
                <w:kern w:val="0"/>
                <w:szCs w:val="21"/>
              </w:rPr>
            </w:pPr>
          </w:p>
        </w:tc>
      </w:tr>
      <w:tr w14:paraId="144C31CE">
        <w:tblPrEx>
          <w:tblCellMar>
            <w:top w:w="0" w:type="dxa"/>
            <w:left w:w="108" w:type="dxa"/>
            <w:bottom w:w="0" w:type="dxa"/>
            <w:right w:w="108" w:type="dxa"/>
          </w:tblCellMar>
        </w:tblPrEx>
        <w:trPr>
          <w:trHeight w:val="360" w:hRule="atLeast"/>
          <w:jc w:val="center"/>
        </w:trPr>
        <w:tc>
          <w:tcPr>
            <w:tcW w:w="875" w:type="pct"/>
            <w:vMerge w:val="continue"/>
            <w:tcBorders>
              <w:top w:val="nil"/>
              <w:left w:val="single" w:color="auto" w:sz="8" w:space="0"/>
              <w:bottom w:val="single" w:color="000000" w:sz="8" w:space="0"/>
              <w:right w:val="single" w:color="auto" w:sz="8" w:space="0"/>
            </w:tcBorders>
            <w:vAlign w:val="center"/>
          </w:tcPr>
          <w:p w14:paraId="6C5350CE">
            <w:pPr>
              <w:widowControl/>
              <w:spacing w:line="360" w:lineRule="auto"/>
              <w:jc w:val="center"/>
              <w:rPr>
                <w:rFonts w:hint="eastAsia" w:ascii="宋体" w:hAnsi="宋体" w:cs="宋体"/>
                <w:kern w:val="0"/>
                <w:szCs w:val="21"/>
              </w:rPr>
            </w:pPr>
          </w:p>
        </w:tc>
        <w:tc>
          <w:tcPr>
            <w:tcW w:w="1890" w:type="pct"/>
            <w:tcBorders>
              <w:top w:val="single" w:color="auto" w:sz="8" w:space="0"/>
              <w:left w:val="nil"/>
              <w:bottom w:val="single" w:color="auto" w:sz="8" w:space="0"/>
              <w:right w:val="single" w:color="000000" w:sz="8" w:space="0"/>
            </w:tcBorders>
            <w:vAlign w:val="center"/>
          </w:tcPr>
          <w:p w14:paraId="3B9E22A0">
            <w:pPr>
              <w:widowControl/>
              <w:spacing w:line="360" w:lineRule="auto"/>
              <w:jc w:val="center"/>
              <w:rPr>
                <w:rFonts w:hint="eastAsia" w:ascii="宋体" w:hAnsi="宋体" w:cs="宋体"/>
                <w:kern w:val="0"/>
                <w:szCs w:val="21"/>
              </w:rPr>
            </w:pPr>
            <w:r>
              <w:rPr>
                <w:rFonts w:hint="eastAsia" w:ascii="宋体" w:hAnsi="宋体" w:cs="宋体"/>
                <w:kern w:val="0"/>
                <w:szCs w:val="21"/>
              </w:rPr>
              <w:t>派遣人数是否达最低标准</w:t>
            </w:r>
          </w:p>
        </w:tc>
        <w:tc>
          <w:tcPr>
            <w:tcW w:w="1272" w:type="pct"/>
            <w:tcBorders>
              <w:top w:val="nil"/>
              <w:left w:val="nil"/>
              <w:bottom w:val="single" w:color="auto" w:sz="4" w:space="0"/>
              <w:right w:val="single" w:color="auto" w:sz="8" w:space="0"/>
            </w:tcBorders>
            <w:vAlign w:val="center"/>
          </w:tcPr>
          <w:p w14:paraId="521F8C90">
            <w:pPr>
              <w:widowControl/>
              <w:spacing w:line="360" w:lineRule="auto"/>
              <w:jc w:val="center"/>
              <w:rPr>
                <w:rFonts w:hint="eastAsia" w:ascii="宋体" w:hAnsi="宋体" w:cs="宋体"/>
                <w:kern w:val="0"/>
                <w:szCs w:val="21"/>
              </w:rPr>
            </w:pPr>
            <w:r>
              <w:rPr>
                <w:rFonts w:hint="eastAsia" w:ascii="宋体" w:hAnsi="宋体" w:cs="宋体"/>
                <w:kern w:val="0"/>
                <w:szCs w:val="21"/>
              </w:rPr>
              <w:t>每少一人扣5分</w:t>
            </w:r>
          </w:p>
        </w:tc>
        <w:tc>
          <w:tcPr>
            <w:tcW w:w="406" w:type="pct"/>
            <w:tcBorders>
              <w:top w:val="nil"/>
              <w:left w:val="nil"/>
              <w:bottom w:val="single" w:color="auto" w:sz="4" w:space="0"/>
              <w:right w:val="single" w:color="auto" w:sz="8" w:space="0"/>
            </w:tcBorders>
            <w:vAlign w:val="center"/>
          </w:tcPr>
          <w:p w14:paraId="6893820E">
            <w:pPr>
              <w:widowControl/>
              <w:spacing w:line="360" w:lineRule="auto"/>
              <w:jc w:val="center"/>
              <w:rPr>
                <w:rFonts w:hint="eastAsia" w:ascii="宋体" w:hAnsi="宋体" w:cs="宋体"/>
                <w:kern w:val="0"/>
                <w:szCs w:val="21"/>
              </w:rPr>
            </w:pPr>
            <w:r>
              <w:rPr>
                <w:rFonts w:hint="eastAsia" w:ascii="宋体" w:hAnsi="宋体" w:cs="宋体"/>
                <w:kern w:val="0"/>
                <w:szCs w:val="21"/>
              </w:rPr>
              <w:t>10</w:t>
            </w:r>
          </w:p>
        </w:tc>
        <w:tc>
          <w:tcPr>
            <w:tcW w:w="555" w:type="pct"/>
            <w:tcBorders>
              <w:top w:val="nil"/>
              <w:left w:val="nil"/>
              <w:bottom w:val="single" w:color="auto" w:sz="4" w:space="0"/>
              <w:right w:val="single" w:color="auto" w:sz="8" w:space="0"/>
            </w:tcBorders>
            <w:vAlign w:val="center"/>
          </w:tcPr>
          <w:p w14:paraId="5B55503C">
            <w:pPr>
              <w:widowControl/>
              <w:spacing w:line="360" w:lineRule="auto"/>
              <w:jc w:val="center"/>
              <w:rPr>
                <w:rFonts w:hint="eastAsia" w:ascii="宋体" w:hAnsi="宋体" w:cs="宋体"/>
                <w:kern w:val="0"/>
                <w:szCs w:val="21"/>
              </w:rPr>
            </w:pPr>
          </w:p>
        </w:tc>
      </w:tr>
      <w:tr w14:paraId="64923A55">
        <w:tblPrEx>
          <w:tblCellMar>
            <w:top w:w="0" w:type="dxa"/>
            <w:left w:w="108" w:type="dxa"/>
            <w:bottom w:w="0" w:type="dxa"/>
            <w:right w:w="108" w:type="dxa"/>
          </w:tblCellMar>
        </w:tblPrEx>
        <w:trPr>
          <w:trHeight w:val="956" w:hRule="atLeast"/>
          <w:jc w:val="center"/>
        </w:trPr>
        <w:tc>
          <w:tcPr>
            <w:tcW w:w="875" w:type="pct"/>
            <w:vMerge w:val="continue"/>
            <w:tcBorders>
              <w:top w:val="nil"/>
              <w:left w:val="single" w:color="auto" w:sz="8" w:space="0"/>
              <w:bottom w:val="single" w:color="000000" w:sz="8" w:space="0"/>
              <w:right w:val="single" w:color="auto" w:sz="8" w:space="0"/>
            </w:tcBorders>
            <w:vAlign w:val="center"/>
          </w:tcPr>
          <w:p w14:paraId="243091A6">
            <w:pPr>
              <w:widowControl/>
              <w:spacing w:line="360" w:lineRule="auto"/>
              <w:jc w:val="center"/>
              <w:rPr>
                <w:rFonts w:hint="eastAsia" w:ascii="宋体" w:hAnsi="宋体" w:cs="宋体"/>
                <w:kern w:val="0"/>
                <w:szCs w:val="21"/>
              </w:rPr>
            </w:pPr>
          </w:p>
        </w:tc>
        <w:tc>
          <w:tcPr>
            <w:tcW w:w="1890" w:type="pct"/>
            <w:tcBorders>
              <w:top w:val="single" w:color="auto" w:sz="8" w:space="0"/>
              <w:left w:val="nil"/>
              <w:right w:val="single" w:color="auto" w:sz="4" w:space="0"/>
            </w:tcBorders>
            <w:vAlign w:val="center"/>
          </w:tcPr>
          <w:p w14:paraId="727CDFC0">
            <w:pPr>
              <w:widowControl/>
              <w:spacing w:line="360" w:lineRule="auto"/>
              <w:jc w:val="center"/>
              <w:rPr>
                <w:rFonts w:hint="eastAsia" w:ascii="宋体" w:hAnsi="宋体" w:cs="宋体"/>
                <w:kern w:val="0"/>
                <w:szCs w:val="21"/>
              </w:rPr>
            </w:pPr>
            <w:r>
              <w:rPr>
                <w:rFonts w:hint="eastAsia" w:ascii="宋体" w:hAnsi="宋体" w:cs="宋体"/>
                <w:kern w:val="0"/>
                <w:szCs w:val="21"/>
              </w:rPr>
              <w:t>上班时间离岗、上班不穿制服</w:t>
            </w:r>
          </w:p>
        </w:tc>
        <w:tc>
          <w:tcPr>
            <w:tcW w:w="1272" w:type="pct"/>
            <w:tcBorders>
              <w:top w:val="single" w:color="auto" w:sz="4" w:space="0"/>
              <w:left w:val="single" w:color="auto" w:sz="4" w:space="0"/>
              <w:bottom w:val="single" w:color="auto" w:sz="4" w:space="0"/>
              <w:right w:val="single" w:color="auto" w:sz="4" w:space="0"/>
            </w:tcBorders>
            <w:vAlign w:val="center"/>
          </w:tcPr>
          <w:p w14:paraId="24140EB9">
            <w:pPr>
              <w:widowControl/>
              <w:spacing w:line="360" w:lineRule="auto"/>
              <w:jc w:val="center"/>
              <w:rPr>
                <w:rFonts w:hint="eastAsia" w:ascii="宋体" w:hAnsi="宋体" w:cs="宋体"/>
                <w:kern w:val="0"/>
                <w:szCs w:val="21"/>
              </w:rPr>
            </w:pPr>
            <w:r>
              <w:rPr>
                <w:rFonts w:hint="eastAsia" w:ascii="宋体" w:hAnsi="宋体" w:cs="宋体"/>
                <w:kern w:val="0"/>
                <w:szCs w:val="21"/>
              </w:rPr>
              <w:t>每发现一次扣1分</w:t>
            </w:r>
          </w:p>
        </w:tc>
        <w:tc>
          <w:tcPr>
            <w:tcW w:w="406" w:type="pct"/>
            <w:tcBorders>
              <w:top w:val="single" w:color="auto" w:sz="4" w:space="0"/>
              <w:left w:val="single" w:color="auto" w:sz="4" w:space="0"/>
              <w:bottom w:val="single" w:color="auto" w:sz="4" w:space="0"/>
              <w:right w:val="single" w:color="auto" w:sz="4" w:space="0"/>
            </w:tcBorders>
            <w:vAlign w:val="center"/>
          </w:tcPr>
          <w:p w14:paraId="4FC69CF6">
            <w:pPr>
              <w:widowControl/>
              <w:spacing w:line="360" w:lineRule="auto"/>
              <w:jc w:val="center"/>
              <w:rPr>
                <w:rFonts w:hint="eastAsia" w:ascii="宋体" w:hAnsi="宋体" w:cs="宋体"/>
                <w:kern w:val="0"/>
                <w:szCs w:val="21"/>
              </w:rPr>
            </w:pPr>
            <w:r>
              <w:rPr>
                <w:rFonts w:hint="eastAsia" w:ascii="宋体" w:hAnsi="宋体" w:cs="宋体"/>
                <w:kern w:val="0"/>
                <w:szCs w:val="21"/>
              </w:rPr>
              <w:t>5</w:t>
            </w:r>
          </w:p>
        </w:tc>
        <w:tc>
          <w:tcPr>
            <w:tcW w:w="555" w:type="pct"/>
            <w:tcBorders>
              <w:top w:val="single" w:color="auto" w:sz="4" w:space="0"/>
              <w:left w:val="single" w:color="auto" w:sz="4" w:space="0"/>
              <w:bottom w:val="single" w:color="auto" w:sz="4" w:space="0"/>
              <w:right w:val="single" w:color="auto" w:sz="4" w:space="0"/>
            </w:tcBorders>
            <w:vAlign w:val="center"/>
          </w:tcPr>
          <w:p w14:paraId="45109869">
            <w:pPr>
              <w:widowControl/>
              <w:spacing w:line="360" w:lineRule="auto"/>
              <w:jc w:val="center"/>
              <w:rPr>
                <w:rFonts w:hint="eastAsia" w:ascii="宋体" w:hAnsi="宋体" w:cs="宋体"/>
                <w:kern w:val="0"/>
                <w:szCs w:val="21"/>
              </w:rPr>
            </w:pPr>
          </w:p>
        </w:tc>
      </w:tr>
      <w:tr w14:paraId="043EA03A">
        <w:tblPrEx>
          <w:tblCellMar>
            <w:top w:w="0" w:type="dxa"/>
            <w:left w:w="108" w:type="dxa"/>
            <w:bottom w:w="0" w:type="dxa"/>
            <w:right w:w="108" w:type="dxa"/>
          </w:tblCellMar>
        </w:tblPrEx>
        <w:trPr>
          <w:trHeight w:val="1031" w:hRule="atLeast"/>
          <w:jc w:val="center"/>
        </w:trPr>
        <w:tc>
          <w:tcPr>
            <w:tcW w:w="875" w:type="pct"/>
            <w:vMerge w:val="restart"/>
            <w:tcBorders>
              <w:top w:val="nil"/>
              <w:left w:val="single" w:color="auto" w:sz="8" w:space="0"/>
              <w:right w:val="single" w:color="auto" w:sz="8" w:space="0"/>
            </w:tcBorders>
            <w:vAlign w:val="center"/>
          </w:tcPr>
          <w:p w14:paraId="74D3A5F5">
            <w:pPr>
              <w:widowControl/>
              <w:spacing w:line="360" w:lineRule="auto"/>
              <w:jc w:val="center"/>
              <w:rPr>
                <w:rFonts w:hint="eastAsia" w:ascii="宋体" w:hAnsi="宋体" w:cs="宋体"/>
                <w:kern w:val="0"/>
                <w:szCs w:val="21"/>
              </w:rPr>
            </w:pPr>
            <w:r>
              <w:rPr>
                <w:rFonts w:hint="eastAsia" w:ascii="宋体" w:hAnsi="宋体" w:cs="宋体"/>
                <w:kern w:val="0"/>
                <w:szCs w:val="21"/>
              </w:rPr>
              <w:t>绿化服务（40）</w:t>
            </w:r>
          </w:p>
        </w:tc>
        <w:tc>
          <w:tcPr>
            <w:tcW w:w="1890" w:type="pct"/>
            <w:tcBorders>
              <w:top w:val="single" w:color="auto" w:sz="8" w:space="0"/>
              <w:left w:val="nil"/>
              <w:bottom w:val="single" w:color="auto" w:sz="8" w:space="0"/>
              <w:right w:val="single" w:color="auto" w:sz="4" w:space="0"/>
            </w:tcBorders>
            <w:vAlign w:val="center"/>
          </w:tcPr>
          <w:p w14:paraId="79748B20">
            <w:pPr>
              <w:widowControl/>
              <w:spacing w:line="360" w:lineRule="auto"/>
              <w:jc w:val="center"/>
              <w:rPr>
                <w:rFonts w:hint="eastAsia" w:ascii="宋体" w:hAnsi="宋体" w:cs="宋体"/>
                <w:kern w:val="0"/>
                <w:szCs w:val="21"/>
              </w:rPr>
            </w:pPr>
            <w:r>
              <w:rPr>
                <w:rFonts w:hint="eastAsia" w:ascii="宋体" w:hAnsi="宋体" w:cs="宋体"/>
                <w:kern w:val="0"/>
                <w:szCs w:val="21"/>
              </w:rPr>
              <w:t>未达到绿化要求</w:t>
            </w:r>
          </w:p>
        </w:tc>
        <w:tc>
          <w:tcPr>
            <w:tcW w:w="1272" w:type="pct"/>
            <w:tcBorders>
              <w:top w:val="single" w:color="auto" w:sz="4" w:space="0"/>
              <w:left w:val="single" w:color="auto" w:sz="4" w:space="0"/>
              <w:bottom w:val="single" w:color="auto" w:sz="4" w:space="0"/>
              <w:right w:val="single" w:color="auto" w:sz="4" w:space="0"/>
            </w:tcBorders>
            <w:vAlign w:val="center"/>
          </w:tcPr>
          <w:p w14:paraId="2B844116">
            <w:pPr>
              <w:widowControl/>
              <w:spacing w:line="360" w:lineRule="auto"/>
              <w:jc w:val="center"/>
              <w:rPr>
                <w:rFonts w:hint="eastAsia" w:ascii="宋体" w:hAnsi="宋体" w:cs="宋体"/>
                <w:kern w:val="0"/>
                <w:szCs w:val="21"/>
              </w:rPr>
            </w:pPr>
            <w:r>
              <w:rPr>
                <w:rFonts w:hint="eastAsia" w:ascii="宋体" w:hAnsi="宋体" w:cs="宋体"/>
                <w:kern w:val="0"/>
                <w:szCs w:val="21"/>
              </w:rPr>
              <w:t>未发现的得满分，每发现一次扣3分</w:t>
            </w:r>
          </w:p>
        </w:tc>
        <w:tc>
          <w:tcPr>
            <w:tcW w:w="406" w:type="pct"/>
            <w:tcBorders>
              <w:top w:val="single" w:color="auto" w:sz="4" w:space="0"/>
              <w:left w:val="single" w:color="auto" w:sz="4" w:space="0"/>
              <w:bottom w:val="single" w:color="auto" w:sz="4" w:space="0"/>
              <w:right w:val="single" w:color="auto" w:sz="4" w:space="0"/>
            </w:tcBorders>
            <w:vAlign w:val="center"/>
          </w:tcPr>
          <w:p w14:paraId="46A78A23">
            <w:pPr>
              <w:widowControl/>
              <w:spacing w:line="360" w:lineRule="auto"/>
              <w:jc w:val="center"/>
              <w:rPr>
                <w:rFonts w:hint="eastAsia" w:ascii="宋体" w:hAnsi="宋体" w:cs="宋体"/>
                <w:kern w:val="0"/>
                <w:szCs w:val="21"/>
              </w:rPr>
            </w:pPr>
            <w:r>
              <w:rPr>
                <w:rFonts w:hint="eastAsia" w:ascii="宋体" w:hAnsi="宋体" w:cs="宋体"/>
                <w:kern w:val="0"/>
                <w:szCs w:val="21"/>
              </w:rPr>
              <w:t>30</w:t>
            </w:r>
          </w:p>
        </w:tc>
        <w:tc>
          <w:tcPr>
            <w:tcW w:w="555" w:type="pct"/>
            <w:tcBorders>
              <w:top w:val="single" w:color="auto" w:sz="4" w:space="0"/>
              <w:left w:val="single" w:color="auto" w:sz="4" w:space="0"/>
              <w:bottom w:val="single" w:color="auto" w:sz="4" w:space="0"/>
              <w:right w:val="single" w:color="auto" w:sz="4" w:space="0"/>
            </w:tcBorders>
            <w:vAlign w:val="center"/>
          </w:tcPr>
          <w:p w14:paraId="38BCA986">
            <w:pPr>
              <w:widowControl/>
              <w:spacing w:line="360" w:lineRule="auto"/>
              <w:jc w:val="center"/>
              <w:rPr>
                <w:rFonts w:hint="eastAsia" w:ascii="宋体" w:hAnsi="宋体" w:cs="宋体"/>
                <w:kern w:val="0"/>
                <w:szCs w:val="21"/>
              </w:rPr>
            </w:pPr>
          </w:p>
        </w:tc>
      </w:tr>
      <w:tr w14:paraId="6D14A2F9">
        <w:tblPrEx>
          <w:tblCellMar>
            <w:top w:w="0" w:type="dxa"/>
            <w:left w:w="108" w:type="dxa"/>
            <w:bottom w:w="0" w:type="dxa"/>
            <w:right w:w="108" w:type="dxa"/>
          </w:tblCellMar>
        </w:tblPrEx>
        <w:trPr>
          <w:trHeight w:val="858" w:hRule="atLeast"/>
          <w:jc w:val="center"/>
        </w:trPr>
        <w:tc>
          <w:tcPr>
            <w:tcW w:w="875" w:type="pct"/>
            <w:vMerge w:val="continue"/>
            <w:tcBorders>
              <w:left w:val="single" w:color="auto" w:sz="8" w:space="0"/>
              <w:bottom w:val="single" w:color="auto" w:sz="8" w:space="0"/>
              <w:right w:val="single" w:color="auto" w:sz="8" w:space="0"/>
            </w:tcBorders>
            <w:vAlign w:val="center"/>
          </w:tcPr>
          <w:p w14:paraId="6F1EDDA4">
            <w:pPr>
              <w:widowControl/>
              <w:spacing w:line="360" w:lineRule="auto"/>
              <w:jc w:val="center"/>
              <w:rPr>
                <w:rFonts w:hint="eastAsia" w:ascii="宋体" w:hAnsi="宋体" w:cs="宋体"/>
                <w:kern w:val="0"/>
                <w:szCs w:val="21"/>
              </w:rPr>
            </w:pPr>
          </w:p>
        </w:tc>
        <w:tc>
          <w:tcPr>
            <w:tcW w:w="1890" w:type="pct"/>
            <w:tcBorders>
              <w:top w:val="single" w:color="auto" w:sz="8" w:space="0"/>
              <w:left w:val="nil"/>
              <w:bottom w:val="single" w:color="auto" w:sz="8" w:space="0"/>
              <w:right w:val="single" w:color="000000" w:sz="8" w:space="0"/>
            </w:tcBorders>
            <w:vAlign w:val="center"/>
          </w:tcPr>
          <w:p w14:paraId="0015D93D">
            <w:pPr>
              <w:widowControl/>
              <w:spacing w:line="360" w:lineRule="auto"/>
              <w:jc w:val="center"/>
              <w:rPr>
                <w:rFonts w:hint="eastAsia" w:ascii="宋体" w:hAnsi="宋体" w:cs="宋体"/>
                <w:kern w:val="0"/>
                <w:szCs w:val="21"/>
              </w:rPr>
            </w:pPr>
            <w:r>
              <w:rPr>
                <w:rFonts w:hint="eastAsia" w:ascii="宋体" w:hAnsi="宋体" w:cs="宋体"/>
                <w:kern w:val="0"/>
                <w:szCs w:val="21"/>
              </w:rPr>
              <w:t>未能2小时内响应</w:t>
            </w:r>
          </w:p>
        </w:tc>
        <w:tc>
          <w:tcPr>
            <w:tcW w:w="1272" w:type="pct"/>
            <w:tcBorders>
              <w:top w:val="single" w:color="auto" w:sz="4" w:space="0"/>
              <w:left w:val="nil"/>
              <w:bottom w:val="single" w:color="auto" w:sz="8" w:space="0"/>
              <w:right w:val="single" w:color="auto" w:sz="8" w:space="0"/>
            </w:tcBorders>
            <w:vAlign w:val="center"/>
          </w:tcPr>
          <w:p w14:paraId="58177FF7">
            <w:pPr>
              <w:widowControl/>
              <w:spacing w:line="360" w:lineRule="auto"/>
              <w:jc w:val="center"/>
              <w:rPr>
                <w:rFonts w:hint="eastAsia" w:ascii="宋体" w:hAnsi="宋体" w:cs="宋体"/>
                <w:kern w:val="0"/>
                <w:szCs w:val="21"/>
              </w:rPr>
            </w:pPr>
            <w:r>
              <w:rPr>
                <w:rFonts w:hint="eastAsia" w:ascii="宋体" w:hAnsi="宋体" w:cs="宋体"/>
                <w:kern w:val="0"/>
                <w:szCs w:val="21"/>
              </w:rPr>
              <w:t>每发现一次扣1分</w:t>
            </w:r>
          </w:p>
        </w:tc>
        <w:tc>
          <w:tcPr>
            <w:tcW w:w="406" w:type="pct"/>
            <w:tcBorders>
              <w:top w:val="single" w:color="auto" w:sz="4" w:space="0"/>
              <w:left w:val="nil"/>
              <w:bottom w:val="single" w:color="auto" w:sz="8" w:space="0"/>
              <w:right w:val="single" w:color="auto" w:sz="8" w:space="0"/>
            </w:tcBorders>
            <w:vAlign w:val="center"/>
          </w:tcPr>
          <w:p w14:paraId="2BAC55D9">
            <w:pPr>
              <w:widowControl/>
              <w:spacing w:line="360" w:lineRule="auto"/>
              <w:jc w:val="center"/>
              <w:rPr>
                <w:rFonts w:hint="eastAsia" w:ascii="宋体" w:hAnsi="宋体" w:cs="宋体"/>
                <w:kern w:val="0"/>
                <w:szCs w:val="21"/>
              </w:rPr>
            </w:pPr>
            <w:r>
              <w:rPr>
                <w:rFonts w:hint="eastAsia" w:ascii="宋体" w:hAnsi="宋体" w:cs="宋体"/>
                <w:kern w:val="0"/>
                <w:szCs w:val="21"/>
              </w:rPr>
              <w:t>10</w:t>
            </w:r>
          </w:p>
        </w:tc>
        <w:tc>
          <w:tcPr>
            <w:tcW w:w="555" w:type="pct"/>
            <w:tcBorders>
              <w:top w:val="single" w:color="auto" w:sz="4" w:space="0"/>
              <w:left w:val="nil"/>
              <w:bottom w:val="single" w:color="auto" w:sz="8" w:space="0"/>
              <w:right w:val="single" w:color="auto" w:sz="8" w:space="0"/>
            </w:tcBorders>
            <w:vAlign w:val="center"/>
          </w:tcPr>
          <w:p w14:paraId="3C925991">
            <w:pPr>
              <w:widowControl/>
              <w:spacing w:line="360" w:lineRule="auto"/>
              <w:jc w:val="center"/>
              <w:rPr>
                <w:rFonts w:hint="eastAsia" w:ascii="宋体" w:hAnsi="宋体" w:cs="宋体"/>
                <w:kern w:val="0"/>
                <w:szCs w:val="21"/>
              </w:rPr>
            </w:pPr>
          </w:p>
        </w:tc>
      </w:tr>
      <w:tr w14:paraId="7C828A76">
        <w:tblPrEx>
          <w:tblCellMar>
            <w:top w:w="0" w:type="dxa"/>
            <w:left w:w="108" w:type="dxa"/>
            <w:bottom w:w="0" w:type="dxa"/>
            <w:right w:w="108" w:type="dxa"/>
          </w:tblCellMar>
        </w:tblPrEx>
        <w:trPr>
          <w:trHeight w:val="1008" w:hRule="atLeast"/>
          <w:jc w:val="center"/>
        </w:trPr>
        <w:tc>
          <w:tcPr>
            <w:tcW w:w="875" w:type="pct"/>
            <w:vMerge w:val="restart"/>
            <w:tcBorders>
              <w:top w:val="nil"/>
              <w:left w:val="single" w:color="auto" w:sz="8" w:space="0"/>
              <w:right w:val="single" w:color="auto" w:sz="8" w:space="0"/>
            </w:tcBorders>
            <w:vAlign w:val="center"/>
          </w:tcPr>
          <w:p w14:paraId="340463EF">
            <w:pPr>
              <w:widowControl/>
              <w:spacing w:line="360" w:lineRule="auto"/>
              <w:jc w:val="center"/>
              <w:rPr>
                <w:rFonts w:hint="eastAsia" w:ascii="宋体" w:hAnsi="宋体" w:cs="宋体"/>
                <w:kern w:val="0"/>
                <w:szCs w:val="21"/>
              </w:rPr>
            </w:pPr>
            <w:r>
              <w:rPr>
                <w:rFonts w:hint="eastAsia" w:ascii="宋体" w:hAnsi="宋体" w:cs="宋体"/>
                <w:kern w:val="0"/>
                <w:szCs w:val="21"/>
              </w:rPr>
              <w:t>保洁服务（40）</w:t>
            </w:r>
          </w:p>
        </w:tc>
        <w:tc>
          <w:tcPr>
            <w:tcW w:w="1890" w:type="pct"/>
            <w:tcBorders>
              <w:top w:val="single" w:color="auto" w:sz="8" w:space="0"/>
              <w:left w:val="nil"/>
              <w:bottom w:val="single" w:color="auto" w:sz="8" w:space="0"/>
              <w:right w:val="single" w:color="000000" w:sz="8" w:space="0"/>
            </w:tcBorders>
            <w:vAlign w:val="center"/>
          </w:tcPr>
          <w:p w14:paraId="21E8C457">
            <w:pPr>
              <w:widowControl/>
              <w:spacing w:line="360" w:lineRule="auto"/>
              <w:jc w:val="center"/>
              <w:rPr>
                <w:rFonts w:hint="eastAsia" w:ascii="宋体" w:hAnsi="宋体" w:cs="宋体"/>
                <w:kern w:val="0"/>
                <w:szCs w:val="21"/>
              </w:rPr>
            </w:pPr>
            <w:r>
              <w:rPr>
                <w:rFonts w:hint="eastAsia" w:ascii="宋体" w:hAnsi="宋体" w:cs="宋体"/>
                <w:kern w:val="0"/>
                <w:szCs w:val="21"/>
              </w:rPr>
              <w:t>厂区、生产区保洁服务未达标</w:t>
            </w:r>
          </w:p>
        </w:tc>
        <w:tc>
          <w:tcPr>
            <w:tcW w:w="1272" w:type="pct"/>
            <w:tcBorders>
              <w:top w:val="nil"/>
              <w:left w:val="nil"/>
              <w:bottom w:val="single" w:color="auto" w:sz="8" w:space="0"/>
              <w:right w:val="single" w:color="auto" w:sz="8" w:space="0"/>
            </w:tcBorders>
            <w:vAlign w:val="center"/>
          </w:tcPr>
          <w:p w14:paraId="692054D9">
            <w:pPr>
              <w:widowControl/>
              <w:spacing w:line="360" w:lineRule="auto"/>
              <w:jc w:val="center"/>
              <w:rPr>
                <w:rFonts w:hint="eastAsia" w:ascii="宋体" w:hAnsi="宋体" w:cs="宋体"/>
                <w:kern w:val="0"/>
                <w:szCs w:val="21"/>
              </w:rPr>
            </w:pPr>
            <w:r>
              <w:rPr>
                <w:rFonts w:hint="eastAsia" w:ascii="宋体" w:hAnsi="宋体" w:cs="宋体"/>
                <w:kern w:val="0"/>
                <w:szCs w:val="21"/>
              </w:rPr>
              <w:t>参照保洁服务要求执行</w:t>
            </w:r>
          </w:p>
        </w:tc>
        <w:tc>
          <w:tcPr>
            <w:tcW w:w="406" w:type="pct"/>
            <w:tcBorders>
              <w:top w:val="nil"/>
              <w:left w:val="nil"/>
              <w:bottom w:val="single" w:color="auto" w:sz="8" w:space="0"/>
              <w:right w:val="single" w:color="auto" w:sz="8" w:space="0"/>
            </w:tcBorders>
            <w:vAlign w:val="center"/>
          </w:tcPr>
          <w:p w14:paraId="716D44CB">
            <w:pPr>
              <w:widowControl/>
              <w:spacing w:line="360" w:lineRule="auto"/>
              <w:jc w:val="center"/>
              <w:rPr>
                <w:rFonts w:hint="eastAsia" w:ascii="宋体" w:hAnsi="宋体" w:cs="宋体"/>
                <w:kern w:val="0"/>
                <w:szCs w:val="21"/>
              </w:rPr>
            </w:pPr>
            <w:r>
              <w:rPr>
                <w:rFonts w:hint="eastAsia" w:ascii="宋体" w:hAnsi="宋体" w:cs="宋体"/>
                <w:kern w:val="0"/>
                <w:szCs w:val="21"/>
              </w:rPr>
              <w:t>20</w:t>
            </w:r>
          </w:p>
        </w:tc>
        <w:tc>
          <w:tcPr>
            <w:tcW w:w="555" w:type="pct"/>
            <w:tcBorders>
              <w:top w:val="nil"/>
              <w:left w:val="nil"/>
              <w:bottom w:val="single" w:color="auto" w:sz="8" w:space="0"/>
              <w:right w:val="single" w:color="auto" w:sz="8" w:space="0"/>
            </w:tcBorders>
            <w:vAlign w:val="center"/>
          </w:tcPr>
          <w:p w14:paraId="472A3C0D">
            <w:pPr>
              <w:widowControl/>
              <w:spacing w:line="360" w:lineRule="auto"/>
              <w:jc w:val="center"/>
              <w:rPr>
                <w:rFonts w:hint="eastAsia" w:ascii="宋体" w:hAnsi="宋体" w:cs="宋体"/>
                <w:kern w:val="0"/>
                <w:szCs w:val="21"/>
              </w:rPr>
            </w:pPr>
          </w:p>
        </w:tc>
      </w:tr>
      <w:tr w14:paraId="5473AA02">
        <w:tblPrEx>
          <w:tblCellMar>
            <w:top w:w="0" w:type="dxa"/>
            <w:left w:w="108" w:type="dxa"/>
            <w:bottom w:w="0" w:type="dxa"/>
            <w:right w:w="108" w:type="dxa"/>
          </w:tblCellMar>
        </w:tblPrEx>
        <w:trPr>
          <w:trHeight w:val="888" w:hRule="atLeast"/>
          <w:jc w:val="center"/>
        </w:trPr>
        <w:tc>
          <w:tcPr>
            <w:tcW w:w="875" w:type="pct"/>
            <w:vMerge w:val="continue"/>
            <w:tcBorders>
              <w:left w:val="single" w:color="auto" w:sz="8" w:space="0"/>
              <w:bottom w:val="single" w:color="auto" w:sz="8" w:space="0"/>
              <w:right w:val="single" w:color="auto" w:sz="8" w:space="0"/>
            </w:tcBorders>
            <w:vAlign w:val="center"/>
          </w:tcPr>
          <w:p w14:paraId="5A2888AC">
            <w:pPr>
              <w:widowControl/>
              <w:spacing w:line="360" w:lineRule="auto"/>
              <w:jc w:val="center"/>
              <w:rPr>
                <w:rFonts w:hint="eastAsia" w:ascii="宋体" w:hAnsi="宋体" w:cs="宋体"/>
                <w:kern w:val="0"/>
                <w:szCs w:val="21"/>
              </w:rPr>
            </w:pPr>
          </w:p>
        </w:tc>
        <w:tc>
          <w:tcPr>
            <w:tcW w:w="1890" w:type="pct"/>
            <w:tcBorders>
              <w:top w:val="single" w:color="auto" w:sz="8" w:space="0"/>
              <w:left w:val="nil"/>
              <w:bottom w:val="single" w:color="auto" w:sz="8" w:space="0"/>
              <w:right w:val="single" w:color="000000" w:sz="8" w:space="0"/>
            </w:tcBorders>
            <w:vAlign w:val="center"/>
          </w:tcPr>
          <w:p w14:paraId="319C1A46">
            <w:pPr>
              <w:widowControl/>
              <w:spacing w:line="360" w:lineRule="auto"/>
              <w:jc w:val="center"/>
              <w:rPr>
                <w:rFonts w:hint="eastAsia" w:ascii="宋体" w:hAnsi="宋体" w:cs="宋体"/>
                <w:kern w:val="0"/>
                <w:szCs w:val="21"/>
              </w:rPr>
            </w:pPr>
            <w:r>
              <w:rPr>
                <w:rFonts w:hint="eastAsia" w:ascii="宋体" w:hAnsi="宋体" w:cs="宋体"/>
                <w:kern w:val="0"/>
                <w:szCs w:val="21"/>
              </w:rPr>
              <w:t>综合楼、宿舍楼保洁服务未达标</w:t>
            </w:r>
          </w:p>
        </w:tc>
        <w:tc>
          <w:tcPr>
            <w:tcW w:w="1272" w:type="pct"/>
            <w:tcBorders>
              <w:top w:val="nil"/>
              <w:left w:val="nil"/>
              <w:bottom w:val="single" w:color="auto" w:sz="8" w:space="0"/>
              <w:right w:val="single" w:color="auto" w:sz="8" w:space="0"/>
            </w:tcBorders>
            <w:vAlign w:val="center"/>
          </w:tcPr>
          <w:p w14:paraId="7C7F79FD">
            <w:pPr>
              <w:widowControl/>
              <w:spacing w:line="360" w:lineRule="auto"/>
              <w:jc w:val="center"/>
              <w:rPr>
                <w:rFonts w:hint="eastAsia" w:ascii="宋体" w:hAnsi="宋体" w:cs="宋体"/>
                <w:kern w:val="0"/>
                <w:szCs w:val="21"/>
              </w:rPr>
            </w:pPr>
            <w:r>
              <w:rPr>
                <w:rFonts w:hint="eastAsia" w:ascii="宋体" w:hAnsi="宋体" w:cs="宋体"/>
                <w:kern w:val="0"/>
                <w:szCs w:val="21"/>
              </w:rPr>
              <w:t>参照保洁服务要求执行</w:t>
            </w:r>
          </w:p>
        </w:tc>
        <w:tc>
          <w:tcPr>
            <w:tcW w:w="406" w:type="pct"/>
            <w:tcBorders>
              <w:top w:val="nil"/>
              <w:left w:val="nil"/>
              <w:bottom w:val="single" w:color="auto" w:sz="8" w:space="0"/>
              <w:right w:val="single" w:color="auto" w:sz="8" w:space="0"/>
            </w:tcBorders>
            <w:vAlign w:val="center"/>
          </w:tcPr>
          <w:p w14:paraId="19B6E210">
            <w:pPr>
              <w:widowControl/>
              <w:spacing w:line="360" w:lineRule="auto"/>
              <w:jc w:val="center"/>
              <w:rPr>
                <w:rFonts w:hint="eastAsia" w:ascii="宋体" w:hAnsi="宋体" w:cs="宋体"/>
                <w:kern w:val="0"/>
                <w:szCs w:val="21"/>
              </w:rPr>
            </w:pPr>
            <w:r>
              <w:rPr>
                <w:rFonts w:hint="eastAsia" w:ascii="宋体" w:hAnsi="宋体" w:cs="宋体"/>
                <w:kern w:val="0"/>
                <w:szCs w:val="21"/>
              </w:rPr>
              <w:t>20</w:t>
            </w:r>
          </w:p>
        </w:tc>
        <w:tc>
          <w:tcPr>
            <w:tcW w:w="555" w:type="pct"/>
            <w:tcBorders>
              <w:top w:val="nil"/>
              <w:left w:val="nil"/>
              <w:bottom w:val="single" w:color="auto" w:sz="8" w:space="0"/>
              <w:right w:val="single" w:color="auto" w:sz="8" w:space="0"/>
            </w:tcBorders>
            <w:vAlign w:val="center"/>
          </w:tcPr>
          <w:p w14:paraId="004F6068">
            <w:pPr>
              <w:widowControl/>
              <w:spacing w:line="360" w:lineRule="auto"/>
              <w:jc w:val="center"/>
              <w:rPr>
                <w:rFonts w:hint="eastAsia" w:ascii="宋体" w:hAnsi="宋体" w:cs="宋体"/>
                <w:kern w:val="0"/>
                <w:szCs w:val="21"/>
              </w:rPr>
            </w:pPr>
          </w:p>
        </w:tc>
      </w:tr>
      <w:tr w14:paraId="25FCF7E0">
        <w:tblPrEx>
          <w:tblCellMar>
            <w:top w:w="0" w:type="dxa"/>
            <w:left w:w="108" w:type="dxa"/>
            <w:bottom w:w="0" w:type="dxa"/>
            <w:right w:w="108" w:type="dxa"/>
          </w:tblCellMar>
        </w:tblPrEx>
        <w:trPr>
          <w:trHeight w:val="360" w:hRule="atLeast"/>
          <w:jc w:val="center"/>
        </w:trPr>
        <w:tc>
          <w:tcPr>
            <w:tcW w:w="875" w:type="pct"/>
            <w:tcBorders>
              <w:top w:val="nil"/>
              <w:left w:val="single" w:color="auto" w:sz="8" w:space="0"/>
              <w:bottom w:val="single" w:color="auto" w:sz="8" w:space="0"/>
              <w:right w:val="single" w:color="auto" w:sz="8" w:space="0"/>
            </w:tcBorders>
            <w:vAlign w:val="center"/>
          </w:tcPr>
          <w:p w14:paraId="58E64F2B">
            <w:pPr>
              <w:widowControl/>
              <w:spacing w:line="360" w:lineRule="auto"/>
              <w:jc w:val="center"/>
              <w:rPr>
                <w:rFonts w:hint="eastAsia" w:ascii="宋体" w:hAnsi="宋体" w:cs="宋体"/>
                <w:kern w:val="0"/>
                <w:szCs w:val="21"/>
              </w:rPr>
            </w:pPr>
          </w:p>
        </w:tc>
        <w:tc>
          <w:tcPr>
            <w:tcW w:w="1890" w:type="pct"/>
            <w:tcBorders>
              <w:top w:val="single" w:color="auto" w:sz="8" w:space="0"/>
              <w:left w:val="nil"/>
              <w:bottom w:val="single" w:color="auto" w:sz="8" w:space="0"/>
              <w:right w:val="single" w:color="000000" w:sz="8" w:space="0"/>
            </w:tcBorders>
            <w:vAlign w:val="center"/>
          </w:tcPr>
          <w:p w14:paraId="20133C06">
            <w:pPr>
              <w:widowControl/>
              <w:spacing w:line="360" w:lineRule="auto"/>
              <w:jc w:val="center"/>
              <w:rPr>
                <w:rFonts w:hint="eastAsia" w:ascii="宋体" w:hAnsi="宋体" w:cs="宋体"/>
                <w:kern w:val="0"/>
                <w:szCs w:val="21"/>
              </w:rPr>
            </w:pPr>
            <w:r>
              <w:rPr>
                <w:rFonts w:hint="eastAsia" w:ascii="宋体" w:hAnsi="宋体" w:cs="宋体"/>
                <w:kern w:val="0"/>
                <w:szCs w:val="21"/>
              </w:rPr>
              <w:t>合计</w:t>
            </w:r>
          </w:p>
        </w:tc>
        <w:tc>
          <w:tcPr>
            <w:tcW w:w="1272" w:type="pct"/>
            <w:tcBorders>
              <w:top w:val="nil"/>
              <w:left w:val="nil"/>
              <w:bottom w:val="single" w:color="auto" w:sz="8" w:space="0"/>
              <w:right w:val="single" w:color="auto" w:sz="8" w:space="0"/>
            </w:tcBorders>
            <w:vAlign w:val="center"/>
          </w:tcPr>
          <w:p w14:paraId="569B1E20">
            <w:pPr>
              <w:widowControl/>
              <w:spacing w:line="360" w:lineRule="auto"/>
              <w:jc w:val="center"/>
              <w:rPr>
                <w:rFonts w:hint="eastAsia" w:ascii="宋体" w:hAnsi="宋体" w:cs="宋体"/>
                <w:kern w:val="0"/>
                <w:szCs w:val="21"/>
              </w:rPr>
            </w:pPr>
          </w:p>
        </w:tc>
        <w:tc>
          <w:tcPr>
            <w:tcW w:w="406" w:type="pct"/>
            <w:tcBorders>
              <w:top w:val="nil"/>
              <w:left w:val="nil"/>
              <w:bottom w:val="single" w:color="auto" w:sz="8" w:space="0"/>
              <w:right w:val="single" w:color="auto" w:sz="8" w:space="0"/>
            </w:tcBorders>
            <w:vAlign w:val="center"/>
          </w:tcPr>
          <w:p w14:paraId="4FDC01E8">
            <w:pPr>
              <w:widowControl/>
              <w:spacing w:line="360" w:lineRule="auto"/>
              <w:jc w:val="center"/>
              <w:rPr>
                <w:rFonts w:hint="eastAsia" w:ascii="宋体" w:hAnsi="宋体" w:cs="宋体"/>
                <w:kern w:val="0"/>
                <w:szCs w:val="21"/>
              </w:rPr>
            </w:pPr>
            <w:r>
              <w:rPr>
                <w:rFonts w:hint="eastAsia" w:ascii="宋体" w:hAnsi="宋体" w:cs="宋体"/>
                <w:kern w:val="0"/>
                <w:szCs w:val="21"/>
              </w:rPr>
              <w:t>100</w:t>
            </w:r>
          </w:p>
        </w:tc>
        <w:tc>
          <w:tcPr>
            <w:tcW w:w="555" w:type="pct"/>
            <w:tcBorders>
              <w:top w:val="nil"/>
              <w:left w:val="nil"/>
              <w:bottom w:val="single" w:color="auto" w:sz="8" w:space="0"/>
              <w:right w:val="single" w:color="auto" w:sz="8" w:space="0"/>
            </w:tcBorders>
            <w:vAlign w:val="center"/>
          </w:tcPr>
          <w:p w14:paraId="4D86421E">
            <w:pPr>
              <w:widowControl/>
              <w:spacing w:line="360" w:lineRule="auto"/>
              <w:jc w:val="center"/>
              <w:rPr>
                <w:rFonts w:hint="eastAsia" w:ascii="宋体" w:hAnsi="宋体" w:cs="宋体"/>
                <w:kern w:val="0"/>
                <w:szCs w:val="21"/>
              </w:rPr>
            </w:pPr>
          </w:p>
        </w:tc>
      </w:tr>
    </w:tbl>
    <w:p w14:paraId="0652CB53">
      <w:pPr>
        <w:spacing w:line="360" w:lineRule="auto"/>
        <w:rPr>
          <w:rFonts w:hint="eastAsia" w:ascii="宋体" w:hAnsi="宋体" w:cs="宋体"/>
          <w:kern w:val="0"/>
          <w:szCs w:val="21"/>
        </w:rPr>
      </w:pPr>
    </w:p>
    <w:p w14:paraId="0E4CB8F6">
      <w:pPr>
        <w:spacing w:line="360" w:lineRule="auto"/>
        <w:rPr>
          <w:rFonts w:hint="eastAsia" w:ascii="宋体" w:hAnsi="宋体" w:cs="宋体"/>
          <w:kern w:val="0"/>
          <w:szCs w:val="21"/>
        </w:rPr>
      </w:pPr>
      <w:r>
        <w:rPr>
          <w:rFonts w:hint="eastAsia" w:ascii="宋体" w:hAnsi="宋体" w:cs="宋体"/>
          <w:kern w:val="0"/>
          <w:szCs w:val="21"/>
        </w:rPr>
        <w:t>绿化养护服务扣分原因：</w:t>
      </w:r>
    </w:p>
    <w:p w14:paraId="12976550">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7A618FFF">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37359537">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068BDC87">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10C81121">
      <w:pPr>
        <w:spacing w:line="360" w:lineRule="auto"/>
        <w:rPr>
          <w:rFonts w:hint="eastAsia" w:ascii="宋体" w:hAnsi="宋体" w:cs="宋体"/>
          <w:kern w:val="0"/>
          <w:szCs w:val="21"/>
          <w:u w:val="single"/>
        </w:rPr>
      </w:pPr>
    </w:p>
    <w:p w14:paraId="0A5FFA56">
      <w:pPr>
        <w:spacing w:line="360" w:lineRule="auto"/>
        <w:rPr>
          <w:rFonts w:hint="eastAsia" w:ascii="宋体" w:hAnsi="宋体" w:cs="宋体"/>
          <w:kern w:val="0"/>
          <w:szCs w:val="21"/>
        </w:rPr>
      </w:pPr>
      <w:r>
        <w:rPr>
          <w:rFonts w:hint="eastAsia" w:ascii="宋体" w:hAnsi="宋体" w:cs="宋体"/>
          <w:kern w:val="0"/>
          <w:szCs w:val="21"/>
        </w:rPr>
        <w:t>检查后</w:t>
      </w:r>
      <w:r>
        <w:rPr>
          <w:rFonts w:hint="eastAsia" w:ascii="宋体" w:hAnsi="宋体" w:cs="宋体"/>
          <w:kern w:val="0"/>
          <w:szCs w:val="21"/>
          <w:u w:val="single"/>
        </w:rPr>
        <w:t>需要</w:t>
      </w:r>
      <w:r>
        <w:rPr>
          <w:rFonts w:hint="eastAsia" w:ascii="宋体" w:hAnsi="宋体" w:cs="宋体"/>
          <w:kern w:val="0"/>
          <w:szCs w:val="21"/>
        </w:rPr>
        <w:t>整改的问题：</w:t>
      </w:r>
    </w:p>
    <w:p w14:paraId="49D6D969">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26958FE6">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682EA084">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2C780322">
      <w:pPr>
        <w:spacing w:line="360" w:lineRule="auto"/>
        <w:rPr>
          <w:rFonts w:hint="eastAsia" w:ascii="宋体" w:hAnsi="宋体" w:cs="宋体"/>
          <w:kern w:val="0"/>
          <w:szCs w:val="21"/>
          <w:u w:val="single"/>
        </w:rPr>
      </w:pPr>
      <w:r>
        <w:rPr>
          <w:rFonts w:hint="eastAsia" w:ascii="宋体" w:hAnsi="宋体" w:cs="宋体"/>
          <w:kern w:val="0"/>
          <w:szCs w:val="21"/>
          <w:u w:val="single"/>
        </w:rPr>
        <w:t xml:space="preserve">                                                                                      </w:t>
      </w:r>
    </w:p>
    <w:p w14:paraId="17FE2036">
      <w:pPr>
        <w:spacing w:line="360" w:lineRule="auto"/>
        <w:rPr>
          <w:rFonts w:hint="eastAsia" w:ascii="宋体" w:hAnsi="宋体" w:cs="宋体"/>
          <w:kern w:val="0"/>
          <w:szCs w:val="21"/>
          <w:u w:val="single"/>
        </w:rPr>
      </w:pPr>
    </w:p>
    <w:p w14:paraId="25511607">
      <w:pPr>
        <w:spacing w:line="360" w:lineRule="auto"/>
        <w:rPr>
          <w:rFonts w:hint="eastAsia" w:ascii="宋体" w:hAnsi="宋体" w:cs="宋体"/>
          <w:szCs w:val="21"/>
        </w:rPr>
      </w:pPr>
      <w:r>
        <w:rPr>
          <w:rFonts w:hint="eastAsia" w:ascii="宋体" w:hAnsi="宋体" w:cs="宋体"/>
          <w:szCs w:val="21"/>
        </w:rPr>
        <w:t>检查考评单位盖章：</w:t>
      </w:r>
    </w:p>
    <w:p w14:paraId="3546A9F5">
      <w:pPr>
        <w:spacing w:line="360" w:lineRule="auto"/>
        <w:rPr>
          <w:rFonts w:hint="eastAsia" w:ascii="宋体" w:hAnsi="宋体" w:cs="宋体"/>
          <w:szCs w:val="21"/>
          <w:u w:val="single"/>
        </w:rPr>
      </w:pPr>
    </w:p>
    <w:p w14:paraId="5B914DCF">
      <w:pPr>
        <w:spacing w:line="360" w:lineRule="auto"/>
        <w:rPr>
          <w:rFonts w:hint="eastAsia" w:ascii="宋体" w:hAnsi="宋体" w:cs="宋体"/>
          <w:szCs w:val="21"/>
          <w:u w:val="single"/>
        </w:rPr>
      </w:pPr>
      <w:r>
        <w:rPr>
          <w:rFonts w:hint="eastAsia" w:ascii="宋体" w:hAnsi="宋体" w:cs="宋体"/>
          <w:szCs w:val="21"/>
        </w:rPr>
        <w:t>保洁服务单位驻场负责人签字确认：</w:t>
      </w:r>
      <w:r>
        <w:rPr>
          <w:rFonts w:hint="eastAsia" w:ascii="宋体" w:hAnsi="宋体" w:cs="宋体"/>
          <w:szCs w:val="21"/>
          <w:u w:val="single"/>
        </w:rPr>
        <w:t xml:space="preserve">               </w:t>
      </w:r>
      <w:r>
        <w:rPr>
          <w:rFonts w:hint="eastAsia" w:ascii="宋体" w:hAnsi="宋体" w:cs="宋体"/>
          <w:szCs w:val="21"/>
        </w:rPr>
        <w:t xml:space="preserve"> </w:t>
      </w:r>
    </w:p>
    <w:p w14:paraId="074DFAB4">
      <w:pPr>
        <w:spacing w:line="360" w:lineRule="auto"/>
        <w:rPr>
          <w:rFonts w:hint="eastAsia" w:ascii="宋体" w:hAnsi="宋体" w:cs="宋体"/>
          <w:szCs w:val="21"/>
        </w:rPr>
      </w:pPr>
      <w:r>
        <w:rPr>
          <w:rFonts w:hint="eastAsia" w:ascii="宋体" w:hAnsi="宋体" w:cs="宋体"/>
          <w:szCs w:val="21"/>
        </w:rPr>
        <w:t xml:space="preserve"> </w:t>
      </w:r>
    </w:p>
    <w:p w14:paraId="423CB829">
      <w:pPr>
        <w:spacing w:line="360" w:lineRule="auto"/>
        <w:rPr>
          <w:rFonts w:hint="eastAsia" w:ascii="宋体" w:hAnsi="宋体" w:cs="宋体"/>
          <w:szCs w:val="21"/>
        </w:rPr>
      </w:pPr>
      <w:r>
        <w:rPr>
          <w:rFonts w:hint="eastAsia" w:ascii="宋体" w:hAnsi="宋体" w:cs="宋体"/>
          <w:szCs w:val="21"/>
        </w:rPr>
        <w:t>检查日期：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C547E9F">
      <w:pPr>
        <w:widowControl/>
        <w:spacing w:line="360" w:lineRule="auto"/>
        <w:jc w:val="left"/>
        <w:rPr>
          <w:rFonts w:hint="eastAsia" w:ascii="宋体" w:hAnsi="宋体" w:cs="宋体"/>
          <w:b/>
          <w:szCs w:val="21"/>
        </w:rPr>
      </w:pPr>
    </w:p>
    <w:p w14:paraId="01D7FBA0">
      <w:pPr>
        <w:widowControl/>
        <w:spacing w:line="360" w:lineRule="auto"/>
        <w:jc w:val="left"/>
        <w:rPr>
          <w:rFonts w:hint="eastAsia" w:ascii="宋体" w:hAnsi="宋体" w:cs="宋体"/>
          <w:b/>
          <w:szCs w:val="21"/>
        </w:rPr>
      </w:pPr>
      <w:r>
        <w:rPr>
          <w:rFonts w:hint="eastAsia" w:ascii="宋体" w:hAnsi="宋体" w:cs="宋体"/>
          <w:b/>
          <w:szCs w:val="21"/>
        </w:rPr>
        <w:t>注：此评分表一式两份，双方各执一份,每月留存备案。</w:t>
      </w:r>
    </w:p>
    <w:p w14:paraId="6FE7E14F">
      <w:pPr>
        <w:spacing w:line="360" w:lineRule="auto"/>
        <w:rPr>
          <w:rFonts w:hint="eastAsia" w:ascii="宋体" w:hAnsi="宋体" w:cs="宋体"/>
          <w:b/>
          <w:bCs/>
          <w:color w:val="000000"/>
          <w:szCs w:val="21"/>
        </w:rPr>
      </w:pPr>
    </w:p>
    <w:p w14:paraId="3347F0D1"/>
    <w:p w14:paraId="0742E444">
      <w:pPr>
        <w:pStyle w:val="9"/>
      </w:pPr>
    </w:p>
    <w:p w14:paraId="0B101E38">
      <w:pPr>
        <w:pStyle w:val="9"/>
      </w:pPr>
    </w:p>
    <w:p w14:paraId="065A172A">
      <w:pPr>
        <w:pStyle w:val="9"/>
      </w:pPr>
    </w:p>
    <w:p w14:paraId="6DF87A55">
      <w:pPr>
        <w:pStyle w:val="9"/>
      </w:pPr>
    </w:p>
    <w:p w14:paraId="0B357A2F">
      <w:pPr>
        <w:pStyle w:val="9"/>
      </w:pPr>
    </w:p>
    <w:p w14:paraId="0A6D84FF">
      <w:pPr>
        <w:pStyle w:val="9"/>
      </w:pPr>
    </w:p>
    <w:p w14:paraId="6172EE8A">
      <w:pPr>
        <w:pStyle w:val="9"/>
      </w:pPr>
    </w:p>
    <w:p w14:paraId="55AAF1DC">
      <w:pPr>
        <w:pStyle w:val="9"/>
      </w:pPr>
    </w:p>
    <w:p w14:paraId="4ED61FF1">
      <w:pPr>
        <w:pStyle w:val="9"/>
      </w:pPr>
    </w:p>
    <w:p w14:paraId="502BBA48">
      <w:pPr>
        <w:pStyle w:val="9"/>
      </w:pPr>
    </w:p>
    <w:p w14:paraId="422C424B">
      <w:pPr>
        <w:pStyle w:val="9"/>
      </w:pPr>
    </w:p>
    <w:p w14:paraId="41731C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A01C1"/>
    <w:multiLevelType w:val="multilevel"/>
    <w:tmpl w:val="2F3A01C1"/>
    <w:lvl w:ilvl="0" w:tentative="0">
      <w:start w:val="1"/>
      <w:numFmt w:val="chineseCountingThousand"/>
      <w:pStyle w:val="2"/>
      <w:suff w:val="space"/>
      <w:lvlText w:val="第%1章"/>
      <w:lvlJc w:val="center"/>
      <w:pPr>
        <w:ind w:left="0" w:firstLine="0"/>
      </w:pPr>
      <w:rPr>
        <w:rFonts w:hint="eastAsia"/>
        <w:b/>
        <w:i w:val="0"/>
        <w:color w:val="000000"/>
      </w:rPr>
    </w:lvl>
    <w:lvl w:ilvl="1" w:tentative="0">
      <w:start w:val="1"/>
      <w:numFmt w:val="decimal"/>
      <w:pStyle w:val="3"/>
      <w:isLgl/>
      <w:suff w:val="space"/>
      <w:lvlText w:val="%1.%2"/>
      <w:lvlJc w:val="left"/>
      <w:pPr>
        <w:ind w:left="0" w:firstLine="0"/>
      </w:pPr>
      <w:rPr>
        <w:rFonts w:hint="eastAsia"/>
      </w:rPr>
    </w:lvl>
    <w:lvl w:ilvl="2" w:tentative="0">
      <w:start w:val="1"/>
      <w:numFmt w:val="decimal"/>
      <w:isLgl/>
      <w:suff w:val="space"/>
      <w:lvlText w:val="%1.%2.%3 "/>
      <w:lvlJc w:val="left"/>
      <w:pPr>
        <w:ind w:left="411" w:firstLine="44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jMWI5YjY4ZTk1OGU0Yzc2MjJlNzFkNWQ3MTI3NjYifQ=="/>
  </w:docVars>
  <w:rsids>
    <w:rsidRoot w:val="00502D70"/>
    <w:rsid w:val="00027921"/>
    <w:rsid w:val="000D61BD"/>
    <w:rsid w:val="001A0387"/>
    <w:rsid w:val="00244E30"/>
    <w:rsid w:val="00260365"/>
    <w:rsid w:val="004B3891"/>
    <w:rsid w:val="00502D70"/>
    <w:rsid w:val="005B1D16"/>
    <w:rsid w:val="0097663A"/>
    <w:rsid w:val="00A244DA"/>
    <w:rsid w:val="00B26FB8"/>
    <w:rsid w:val="00DF40D1"/>
    <w:rsid w:val="06FB3367"/>
    <w:rsid w:val="0CC47302"/>
    <w:rsid w:val="13BF50BA"/>
    <w:rsid w:val="150F40A9"/>
    <w:rsid w:val="16F530C6"/>
    <w:rsid w:val="17B368F0"/>
    <w:rsid w:val="19A70ABF"/>
    <w:rsid w:val="1B375D24"/>
    <w:rsid w:val="20176947"/>
    <w:rsid w:val="202C2F5E"/>
    <w:rsid w:val="237E64DF"/>
    <w:rsid w:val="277B0FAE"/>
    <w:rsid w:val="2ED653A9"/>
    <w:rsid w:val="304670FA"/>
    <w:rsid w:val="31811277"/>
    <w:rsid w:val="3A2378D0"/>
    <w:rsid w:val="3BE1438F"/>
    <w:rsid w:val="42822638"/>
    <w:rsid w:val="4DED20EF"/>
    <w:rsid w:val="51C32F11"/>
    <w:rsid w:val="56010A4F"/>
    <w:rsid w:val="590003B9"/>
    <w:rsid w:val="59E20F76"/>
    <w:rsid w:val="5C585635"/>
    <w:rsid w:val="5D03621E"/>
    <w:rsid w:val="5D355A75"/>
    <w:rsid w:val="5D583DD9"/>
    <w:rsid w:val="5E9E4199"/>
    <w:rsid w:val="629F2DF6"/>
    <w:rsid w:val="643D148B"/>
    <w:rsid w:val="654C7BEB"/>
    <w:rsid w:val="68667E50"/>
    <w:rsid w:val="6C221959"/>
    <w:rsid w:val="6EC32201"/>
    <w:rsid w:val="75475B14"/>
    <w:rsid w:val="771A0D62"/>
    <w:rsid w:val="77690E6F"/>
    <w:rsid w:val="77F07ACE"/>
    <w:rsid w:val="7BBE64B6"/>
    <w:rsid w:val="7C556DFE"/>
    <w:rsid w:val="7C872AFB"/>
    <w:rsid w:val="7F995383"/>
    <w:rsid w:val="7FC71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numPr>
        <w:ilvl w:val="0"/>
        <w:numId w:val="1"/>
      </w:numPr>
      <w:spacing w:line="300" w:lineRule="auto"/>
      <w:jc w:val="center"/>
      <w:outlineLvl w:val="0"/>
    </w:pPr>
    <w:rPr>
      <w:rFonts w:ascii="仿宋" w:hAnsi="仿宋" w:eastAsia="仿宋"/>
      <w:b/>
      <w:w w:val="110"/>
      <w:sz w:val="32"/>
      <w:szCs w:val="32"/>
    </w:rPr>
  </w:style>
  <w:style w:type="paragraph" w:styleId="3">
    <w:name w:val="heading 2"/>
    <w:basedOn w:val="2"/>
    <w:next w:val="1"/>
    <w:unhideWhenUsed/>
    <w:qFormat/>
    <w:uiPriority w:val="9"/>
    <w:pPr>
      <w:numPr>
        <w:ilvl w:val="1"/>
      </w:numPr>
      <w:jc w:val="left"/>
      <w:outlineLvl w:val="1"/>
    </w:pPr>
    <w:rPr>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4"/>
    <w:qFormat/>
    <w:uiPriority w:val="0"/>
    <w:pPr>
      <w:jc w:val="left"/>
    </w:pPr>
  </w:style>
  <w:style w:type="paragraph" w:styleId="5">
    <w:name w:val="Body Text Indent"/>
    <w:basedOn w:val="1"/>
    <w:semiHidden/>
    <w:qFormat/>
    <w:uiPriority w:val="99"/>
    <w:pPr>
      <w:spacing w:after="120"/>
      <w:ind w:left="420" w:leftChars="200"/>
    </w:p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uiPriority w:val="0"/>
    <w:pPr>
      <w:tabs>
        <w:tab w:val="center" w:pos="4153"/>
        <w:tab w:val="right" w:pos="8306"/>
      </w:tabs>
      <w:snapToGrid w:val="0"/>
      <w:jc w:val="center"/>
    </w:pPr>
    <w:rPr>
      <w:sz w:val="18"/>
      <w:szCs w:val="18"/>
    </w:rPr>
  </w:style>
  <w:style w:type="paragraph" w:styleId="8">
    <w:name w:val="annotation subject"/>
    <w:basedOn w:val="4"/>
    <w:next w:val="4"/>
    <w:link w:val="15"/>
    <w:qFormat/>
    <w:uiPriority w:val="0"/>
    <w:rPr>
      <w:b/>
      <w:bCs/>
    </w:rPr>
  </w:style>
  <w:style w:type="paragraph" w:styleId="9">
    <w:name w:val="Body Text First Indent 2"/>
    <w:basedOn w:val="5"/>
    <w:unhideWhenUsed/>
    <w:qFormat/>
    <w:uiPriority w:val="99"/>
    <w:pPr>
      <w:ind w:firstLine="420" w:firstLineChars="200"/>
    </w:pPr>
  </w:style>
  <w:style w:type="character" w:styleId="12">
    <w:name w:val="annotation reference"/>
    <w:basedOn w:val="11"/>
    <w:qFormat/>
    <w:uiPriority w:val="0"/>
    <w:rPr>
      <w:sz w:val="21"/>
      <w:szCs w:val="21"/>
    </w:rPr>
  </w:style>
  <w:style w:type="paragraph" w:customStyle="1" w:styleId="13">
    <w:name w:val="修订1"/>
    <w:hidden/>
    <w:unhideWhenUsed/>
    <w:qFormat/>
    <w:uiPriority w:val="99"/>
    <w:rPr>
      <w:rFonts w:ascii="Calibri" w:hAnsi="Calibri" w:eastAsia="宋体" w:cs="Times New Roman"/>
      <w:kern w:val="2"/>
      <w:sz w:val="21"/>
      <w:szCs w:val="22"/>
      <w:lang w:val="en-US" w:eastAsia="zh-CN" w:bidi="ar-SA"/>
    </w:rPr>
  </w:style>
  <w:style w:type="character" w:customStyle="1" w:styleId="14">
    <w:name w:val="批注文字 字符"/>
    <w:basedOn w:val="11"/>
    <w:link w:val="4"/>
    <w:qFormat/>
    <w:uiPriority w:val="0"/>
    <w:rPr>
      <w:rFonts w:ascii="Calibri" w:hAnsi="Calibri" w:eastAsia="宋体" w:cs="Times New Roman"/>
      <w:kern w:val="2"/>
      <w:sz w:val="21"/>
      <w:szCs w:val="22"/>
    </w:rPr>
  </w:style>
  <w:style w:type="character" w:customStyle="1" w:styleId="15">
    <w:name w:val="批注主题 字符"/>
    <w:basedOn w:val="14"/>
    <w:link w:val="8"/>
    <w:qFormat/>
    <w:uiPriority w:val="0"/>
    <w:rPr>
      <w:rFonts w:ascii="Calibri" w:hAnsi="Calibri" w:eastAsia="宋体" w:cs="Times New Roman"/>
      <w:b/>
      <w:bCs/>
      <w:kern w:val="2"/>
      <w:sz w:val="21"/>
      <w:szCs w:val="22"/>
    </w:rPr>
  </w:style>
  <w:style w:type="paragraph" w:customStyle="1" w:styleId="16">
    <w:name w:val="Revision"/>
    <w:hidden/>
    <w:unhideWhenUsed/>
    <w:qFormat/>
    <w:uiPriority w:val="99"/>
    <w:rPr>
      <w:rFonts w:ascii="Calibri" w:hAnsi="Calibri" w:eastAsia="宋体" w:cs="Times New Roman"/>
      <w:kern w:val="2"/>
      <w:sz w:val="21"/>
      <w:szCs w:val="22"/>
      <w:lang w:val="en-US" w:eastAsia="zh-CN" w:bidi="ar-SA"/>
    </w:rPr>
  </w:style>
  <w:style w:type="character" w:customStyle="1" w:styleId="17">
    <w:name w:val="页眉 字符"/>
    <w:basedOn w:val="11"/>
    <w:link w:val="7"/>
    <w:uiPriority w:val="0"/>
    <w:rPr>
      <w:rFonts w:ascii="Calibri" w:hAnsi="Calibri" w:eastAsia="宋体" w:cs="Times New Roman"/>
      <w:kern w:val="2"/>
      <w:sz w:val="18"/>
      <w:szCs w:val="18"/>
    </w:rPr>
  </w:style>
  <w:style w:type="character" w:customStyle="1" w:styleId="18">
    <w:name w:val="页脚 字符"/>
    <w:basedOn w:val="11"/>
    <w:link w:val="6"/>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5073</Words>
  <Characters>5237</Characters>
  <Lines>46</Lines>
  <Paragraphs>13</Paragraphs>
  <TotalTime>1</TotalTime>
  <ScaleCrop>false</ScaleCrop>
  <LinksUpToDate>false</LinksUpToDate>
  <CharactersWithSpaces>6284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2022-09-19T01:19:00Z</dcterms:created>
  <dc:creator>65686</dc:creator>
  <cp:lastModifiedBy>木子香</cp:lastModifiedBy>
  <dcterms:modified xsi:type="dcterms:W3CDTF">2026-07-28T02:56:17Z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7E004D514A74488AB33539C940A52F9C_13</vt:lpwstr>
  </property>
  <property fmtid="{D5CDD505-2E9C-101B-9397-08002B2CF9AE}" pid="4" name="KSOTemplateDocerSaveRecord">
    <vt:lpwstr>eyJoZGlkIjoiMTQ0YTM5MTI0ZGVlODBhMjM5OGRjZGYwYWUyNTMyOTciLCJ1c2VySWQiOiI5OTg2MTQ3NTQifQ==</vt:lpwstr>
  </property>
</Properties>
</file>