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bookmarkStart w:id="8" w:name="_GoBack"/>
      <w:bookmarkEnd w:id="8"/>
    </w:p>
    <w:p>
      <w:pPr>
        <w:pStyle w:val="2"/>
        <w:ind w:firstLine="480"/>
      </w:pPr>
    </w:p>
    <w:p>
      <w:pPr>
        <w:jc w:val="center"/>
        <w:rPr>
          <w:rFonts w:ascii="宋体" w:hAnsi="宋体" w:cs="宋体"/>
        </w:rPr>
      </w:pPr>
      <w:r>
        <w:rPr>
          <w:rFonts w:hint="eastAsia" w:ascii="宋体" w:hAnsi="宋体" w:cs="宋体"/>
          <w:b/>
          <w:bCs/>
          <w:sz w:val="96"/>
          <w:szCs w:val="96"/>
        </w:rPr>
        <w:t>大数据辅助分析系统查询服务</w:t>
      </w:r>
    </w:p>
    <w:p>
      <w:pPr>
        <w:jc w:val="center"/>
        <w:rPr>
          <w:rFonts w:ascii="宋体" w:hAnsi="宋体" w:cs="宋体"/>
          <w:sz w:val="52"/>
          <w:szCs w:val="52"/>
        </w:rPr>
      </w:pPr>
    </w:p>
    <w:p>
      <w:pPr>
        <w:jc w:val="center"/>
        <w:rPr>
          <w:rFonts w:ascii="宋体" w:hAnsi="宋体" w:cs="宋体"/>
          <w:b/>
          <w:bCs/>
          <w:sz w:val="72"/>
          <w:szCs w:val="72"/>
        </w:rPr>
      </w:pPr>
      <w:r>
        <w:rPr>
          <w:rFonts w:hint="eastAsia" w:ascii="宋体" w:hAnsi="宋体" w:cs="宋体"/>
          <w:b/>
          <w:bCs/>
          <w:sz w:val="72"/>
          <w:szCs w:val="72"/>
        </w:rPr>
        <w:t>询 价 文 件</w:t>
      </w:r>
    </w:p>
    <w:p>
      <w:pPr>
        <w:rPr>
          <w:rFonts w:ascii="宋体" w:hAnsi="宋体" w:cs="宋体"/>
          <w:b/>
          <w:bCs/>
          <w:sz w:val="36"/>
          <w:szCs w:val="36"/>
        </w:rPr>
      </w:pPr>
    </w:p>
    <w:p>
      <w:pPr>
        <w:ind w:firstLine="1084" w:firstLineChars="300"/>
        <w:rPr>
          <w:rFonts w:ascii="宋体" w:hAnsi="宋体" w:cs="宋体"/>
          <w:b/>
          <w:bCs/>
          <w:sz w:val="36"/>
          <w:szCs w:val="36"/>
        </w:rPr>
      </w:pPr>
    </w:p>
    <w:p>
      <w:pPr>
        <w:ind w:firstLine="1084" w:firstLineChars="300"/>
        <w:rPr>
          <w:rFonts w:ascii="宋体" w:hAnsi="宋体" w:cs="宋体"/>
          <w:b/>
          <w:bCs/>
          <w:sz w:val="36"/>
          <w:szCs w:val="36"/>
        </w:rPr>
      </w:pPr>
    </w:p>
    <w:p>
      <w:pPr>
        <w:ind w:firstLine="1084" w:firstLineChars="300"/>
        <w:rPr>
          <w:rFonts w:ascii="宋体" w:hAnsi="宋体" w:cs="宋体"/>
          <w:b/>
          <w:bCs/>
          <w:sz w:val="36"/>
          <w:szCs w:val="36"/>
        </w:rPr>
      </w:pPr>
    </w:p>
    <w:p>
      <w:pPr>
        <w:ind w:firstLine="1084" w:firstLineChars="300"/>
        <w:rPr>
          <w:rFonts w:ascii="宋体" w:hAnsi="宋体" w:cs="宋体"/>
          <w:b/>
          <w:bCs/>
          <w:sz w:val="36"/>
          <w:szCs w:val="36"/>
        </w:rPr>
      </w:pPr>
      <w:r>
        <w:rPr>
          <w:rFonts w:hint="eastAsia" w:ascii="宋体" w:hAnsi="宋体" w:cs="宋体"/>
          <w:b/>
          <w:bCs/>
          <w:sz w:val="36"/>
          <w:szCs w:val="36"/>
        </w:rPr>
        <w:t>项目编号：</w:t>
      </w:r>
    </w:p>
    <w:p>
      <w:pPr>
        <w:ind w:firstLine="1084" w:firstLineChars="300"/>
        <w:rPr>
          <w:rFonts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pPr>
        <w:pStyle w:val="14"/>
        <w:ind w:firstLine="1084" w:firstLineChars="300"/>
        <w:rPr>
          <w:rFonts w:ascii="宋体" w:hAnsi="宋体" w:cs="宋体"/>
          <w:b/>
          <w:bCs/>
          <w:sz w:val="36"/>
          <w:szCs w:val="36"/>
        </w:rPr>
      </w:pPr>
      <w:r>
        <w:rPr>
          <w:rFonts w:hint="eastAsia" w:ascii="宋体" w:hAnsi="宋体" w:cs="宋体"/>
          <w:b/>
          <w:bCs/>
          <w:sz w:val="36"/>
          <w:szCs w:val="36"/>
        </w:rPr>
        <w:t>采购人： 深圳市公安局刑事侦查支队</w:t>
      </w:r>
    </w:p>
    <w:p>
      <w:pPr>
        <w:pStyle w:val="14"/>
        <w:rPr>
          <w:rFonts w:ascii="宋体" w:hAnsi="宋体" w:cs="宋体"/>
          <w:sz w:val="48"/>
        </w:rPr>
      </w:pPr>
    </w:p>
    <w:p>
      <w:pPr>
        <w:snapToGrid w:val="0"/>
        <w:jc w:val="center"/>
        <w:rPr>
          <w:rFonts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第一章 询价公告</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pPr>
        <w:widowControl/>
        <w:adjustRightInd w:val="0"/>
        <w:ind w:firstLine="422" w:firstLineChars="200"/>
        <w:rPr>
          <w:rFonts w:ascii="宋体" w:hAnsi="宋体" w:cs="宋体"/>
          <w:b/>
          <w:kern w:val="0"/>
          <w:szCs w:val="21"/>
        </w:rPr>
      </w:pPr>
      <w:r>
        <w:rPr>
          <w:rFonts w:hint="eastAsia" w:ascii="宋体" w:hAnsi="宋体" w:cs="宋体"/>
          <w:b/>
          <w:kern w:val="0"/>
          <w:szCs w:val="21"/>
        </w:rPr>
        <w:t>（一）供应商询价程序</w:t>
      </w:r>
    </w:p>
    <w:p>
      <w:pPr>
        <w:pStyle w:val="17"/>
        <w:shd w:val="clear" w:color="auto" w:fill="FFFFFF"/>
        <w:spacing w:before="0" w:beforeAutospacing="0" w:after="0" w:afterAutospacing="0"/>
        <w:ind w:firstLine="422"/>
        <w:jc w:val="both"/>
        <w:rPr>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pPr>
        <w:pStyle w:val="17"/>
        <w:shd w:val="clear" w:color="auto" w:fill="FFFFFF"/>
        <w:spacing w:before="0" w:beforeAutospacing="0" w:after="0" w:afterAutospacing="0"/>
        <w:ind w:firstLine="422"/>
        <w:jc w:val="both"/>
        <w:rPr>
          <w:sz w:val="21"/>
          <w:szCs w:val="21"/>
        </w:rPr>
      </w:pPr>
      <w:r>
        <w:rPr>
          <w:rFonts w:hint="eastAsia"/>
          <w:sz w:val="21"/>
          <w:szCs w:val="21"/>
        </w:rPr>
        <w:t>（2）报价并提交询价应答文件。</w:t>
      </w:r>
    </w:p>
    <w:p>
      <w:pPr>
        <w:pStyle w:val="17"/>
        <w:shd w:val="clear" w:color="auto" w:fill="FFFFFF"/>
        <w:spacing w:before="0" w:beforeAutospacing="0" w:after="0" w:afterAutospacing="0"/>
        <w:ind w:firstLine="422"/>
        <w:jc w:val="both"/>
        <w:rPr>
          <w:sz w:val="21"/>
          <w:szCs w:val="21"/>
        </w:rPr>
      </w:pPr>
      <w:r>
        <w:rPr>
          <w:rFonts w:hint="eastAsia"/>
          <w:sz w:val="21"/>
          <w:szCs w:val="21"/>
        </w:rPr>
        <w:t>（3）确定询价结果。采购人按照成交原则，确定成交人。</w:t>
      </w:r>
    </w:p>
    <w:p>
      <w:pPr>
        <w:pStyle w:val="17"/>
        <w:shd w:val="clear" w:color="auto" w:fill="FFFFFF"/>
        <w:spacing w:before="0" w:beforeAutospacing="0" w:after="0" w:afterAutospacing="0"/>
        <w:ind w:firstLine="422"/>
        <w:jc w:val="both"/>
        <w:rPr>
          <w:sz w:val="21"/>
          <w:szCs w:val="21"/>
        </w:rPr>
      </w:pPr>
      <w:r>
        <w:rPr>
          <w:rFonts w:hint="eastAsia"/>
          <w:sz w:val="21"/>
          <w:szCs w:val="21"/>
        </w:rPr>
        <w:t>（4）发布成交公告。在确定成交人后发布成交公告。</w:t>
      </w:r>
    </w:p>
    <w:p>
      <w:pPr>
        <w:pStyle w:val="17"/>
        <w:shd w:val="clear" w:color="auto" w:fill="FFFFFF"/>
        <w:spacing w:before="0" w:beforeAutospacing="0" w:after="0" w:afterAutospacing="0"/>
        <w:ind w:firstLine="422"/>
        <w:jc w:val="both"/>
        <w:rPr>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ascii="宋体" w:hAnsi="宋体" w:cs="宋体"/>
          <w:kern w:val="0"/>
          <w:szCs w:val="21"/>
        </w:rPr>
      </w:pPr>
      <w:r>
        <w:rPr>
          <w:rFonts w:hint="eastAsia" w:ascii="宋体" w:hAnsi="宋体" w:cs="宋体"/>
          <w:b/>
          <w:kern w:val="0"/>
          <w:szCs w:val="21"/>
        </w:rPr>
        <w:t>（二）询价文件主要内容：</w:t>
      </w:r>
    </w:p>
    <w:p>
      <w:pPr>
        <w:widowControl/>
        <w:adjustRightInd w:val="0"/>
        <w:ind w:firstLine="420" w:firstLineChars="200"/>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pPr>
        <w:widowControl/>
        <w:adjustRightInd w:val="0"/>
        <w:ind w:firstLine="420" w:firstLineChars="200"/>
        <w:rPr>
          <w:rFonts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ascii="宋体" w:hAnsi="宋体" w:cs="宋体"/>
          <w:kern w:val="0"/>
          <w:szCs w:val="21"/>
        </w:rPr>
      </w:pPr>
      <w:r>
        <w:rPr>
          <w:rFonts w:hint="eastAsia" w:ascii="宋体" w:hAnsi="宋体" w:cs="宋体"/>
          <w:kern w:val="0"/>
          <w:szCs w:val="21"/>
        </w:rPr>
        <w:t>3、询价公告和询价用户需求书出现不一致时，按以下优先顺序解释：</w:t>
      </w:r>
    </w:p>
    <w:p>
      <w:pPr>
        <w:widowControl/>
        <w:adjustRightInd w:val="0"/>
        <w:ind w:firstLine="420" w:firstLineChars="200"/>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pPr>
        <w:widowControl/>
        <w:adjustRightInd w:val="0"/>
        <w:ind w:firstLine="420" w:firstLineChars="200"/>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pPr>
        <w:widowControl/>
        <w:adjustRightInd w:val="0"/>
        <w:ind w:firstLine="420" w:firstLineChars="200"/>
        <w:rPr>
          <w:rFonts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（三）询价成交原则：</w:t>
      </w:r>
    </w:p>
    <w:p>
      <w:pPr>
        <w:widowControl/>
        <w:adjustRightInd w:val="0"/>
        <w:ind w:firstLine="422" w:firstLineChars="200"/>
        <w:rPr>
          <w:rFonts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pPr>
        <w:widowControl/>
        <w:adjustRightInd w:val="0"/>
        <w:ind w:firstLine="422" w:firstLineChars="200"/>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pPr>
        <w:widowControl/>
        <w:adjustRightInd w:val="0"/>
        <w:ind w:firstLine="420" w:firstLineChars="200"/>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pPr>
        <w:widowControl/>
        <w:adjustRightInd w:val="0"/>
        <w:ind w:firstLine="420" w:firstLineChars="200"/>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ascii="宋体" w:hAnsi="宋体" w:cs="宋体"/>
          <w:kern w:val="0"/>
          <w:szCs w:val="21"/>
        </w:rPr>
      </w:pPr>
      <w:r>
        <w:rPr>
          <w:rFonts w:hint="eastAsia" w:ascii="宋体" w:hAnsi="宋体" w:cs="宋体"/>
          <w:kern w:val="0"/>
          <w:szCs w:val="21"/>
        </w:rPr>
        <w:t>6、供应商应答文件未按询价应答文件格式规定内容、格式提交或填写不完整。</w:t>
      </w:r>
    </w:p>
    <w:p>
      <w:pPr>
        <w:widowControl/>
        <w:adjustRightInd w:val="0"/>
        <w:ind w:firstLine="420" w:firstLineChars="200"/>
        <w:rPr>
          <w:rFonts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（五）询价争议的解决：</w:t>
      </w:r>
    </w:p>
    <w:p>
      <w:pPr>
        <w:ind w:firstLine="411" w:firstLineChars="196"/>
        <w:rPr>
          <w:rFonts w:ascii="宋体" w:hAnsi="宋体"/>
          <w:szCs w:val="21"/>
          <w:highlight w:val="yellow"/>
        </w:rPr>
      </w:pPr>
      <w:r>
        <w:rPr>
          <w:rFonts w:hint="eastAsia" w:ascii="宋体" w:hAnsi="宋体"/>
          <w:szCs w:val="21"/>
          <w:highlight w:val="yellow"/>
        </w:rPr>
        <w:t>投标文件报价出现前后不一致的，除另有规定外，按照下列规定修正：</w:t>
      </w:r>
    </w:p>
    <w:p>
      <w:pPr>
        <w:ind w:firstLine="411" w:firstLineChars="196"/>
        <w:rPr>
          <w:rFonts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pPr>
        <w:ind w:firstLine="411" w:firstLineChars="196"/>
        <w:rPr>
          <w:rFonts w:ascii="宋体" w:hAnsi="宋体"/>
          <w:szCs w:val="21"/>
          <w:highlight w:val="yellow"/>
        </w:rPr>
      </w:pPr>
      <w:r>
        <w:rPr>
          <w:rFonts w:hint="eastAsia" w:ascii="宋体" w:hAnsi="宋体"/>
          <w:szCs w:val="21"/>
          <w:highlight w:val="yellow"/>
        </w:rPr>
        <w:t>2、大写金额和小写金额不一致的，以大写金额为准；</w:t>
      </w:r>
    </w:p>
    <w:p>
      <w:pPr>
        <w:ind w:firstLine="411" w:firstLineChars="196"/>
        <w:rPr>
          <w:rFonts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pPr>
        <w:ind w:firstLine="411" w:firstLineChars="196"/>
        <w:rPr>
          <w:rFonts w:ascii="宋体" w:hAnsi="宋体"/>
          <w:szCs w:val="21"/>
          <w:highlight w:val="yellow"/>
        </w:rPr>
      </w:pPr>
      <w:r>
        <w:rPr>
          <w:rFonts w:hint="eastAsia" w:ascii="宋体" w:hAnsi="宋体"/>
          <w:szCs w:val="21"/>
          <w:highlight w:val="yellow"/>
        </w:rPr>
        <w:t>4、总价金额与按单价汇总金额不一致的，以单价金额计算结果为准。</w:t>
      </w:r>
    </w:p>
    <w:p>
      <w:pPr>
        <w:ind w:firstLine="411" w:firstLineChars="196"/>
        <w:rPr>
          <w:rFonts w:ascii="宋体" w:hAnsi="宋体" w:cs="宋体"/>
          <w:kern w:val="0"/>
          <w:szCs w:val="21"/>
          <w:highlight w:val="yellow"/>
        </w:rPr>
      </w:pPr>
      <w:r>
        <w:rPr>
          <w:rFonts w:hint="eastAsia" w:ascii="宋体" w:hAnsi="宋体"/>
          <w:szCs w:val="21"/>
          <w:highlight w:val="yellow"/>
        </w:rPr>
        <w:t>5、同时出现两种以上不一致的，按照前款规定的顺序修正。</w:t>
      </w:r>
    </w:p>
    <w:p>
      <w:pPr>
        <w:widowControl/>
        <w:adjustRightInd w:val="0"/>
        <w:ind w:firstLine="420" w:firstLineChars="200"/>
        <w:rPr>
          <w:rFonts w:ascii="宋体" w:hAnsi="宋体" w:cs="宋体"/>
          <w:kern w:val="0"/>
          <w:szCs w:val="21"/>
        </w:rPr>
      </w:pPr>
      <w:r>
        <w:rPr>
          <w:rFonts w:hint="eastAsia" w:ascii="宋体" w:hAnsi="宋体" w:cs="宋体"/>
          <w:kern w:val="0"/>
          <w:szCs w:val="21"/>
          <w:highlight w:val="yellow"/>
        </w:rPr>
        <w:t>采购人以修正后的分项报价之和为成交金额并签订合同。</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（六）询价有关情况处理：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1、公开询价有效供应商不足三家的，项目根据以下情况开展：</w:t>
      </w:r>
    </w:p>
    <w:p>
      <w:pPr>
        <w:widowControl/>
        <w:adjustRightInd w:val="0"/>
        <w:ind w:firstLine="420" w:firstLineChars="200"/>
        <w:rPr>
          <w:rFonts w:ascii="宋体" w:hAnsi="宋体" w:cs="宋体"/>
          <w:b/>
          <w:bCs/>
          <w:kern w:val="0"/>
          <w:szCs w:val="21"/>
        </w:rPr>
      </w:pPr>
      <w:r>
        <w:rPr/>
        <w:sym w:font="Wingdings 2" w:char="0052"/>
      </w:r>
      <w:commentRangeStart w:id="0"/>
      <w:r>
        <w:rPr>
          <w:rFonts w:hint="eastAsia" w:ascii="宋体" w:hAnsi="宋体" w:cs="宋体"/>
          <w:b/>
          <w:bCs/>
          <w:kern w:val="0"/>
          <w:szCs w:val="21"/>
        </w:rPr>
        <w:t>1.1采购人可选择继续开展项目，按以下规则处理：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ascii="宋体" w:hAnsi="宋体" w:cs="宋体"/>
          <w:kern w:val="0"/>
          <w:szCs w:val="21"/>
        </w:rPr>
      </w:pPr>
      <w:r>
        <w:rPr>
          <w:rFonts w:hint="eastAsia" w:ascii="宋体" w:hAnsi="宋体" w:cs="宋体"/>
          <w:kern w:val="0"/>
          <w:szCs w:val="21"/>
        </w:rPr>
        <w:t>1.1.3.无有效供应商的，项目询价失败，另行组织采购。</w:t>
      </w:r>
    </w:p>
    <w:p>
      <w:pPr>
        <w:widowControl/>
        <w:adjustRightInd w:val="0"/>
        <w:ind w:firstLine="420" w:firstLineChars="200"/>
        <w:rPr>
          <w:rFonts w:ascii="宋体" w:hAnsi="宋体" w:cs="宋体"/>
          <w:b/>
          <w:bCs/>
          <w:kern w:val="0"/>
          <w:szCs w:val="21"/>
        </w:rPr>
      </w:pPr>
      <w:r>
        <w:rPr/>
        <w:sym w:font="Wingdings 2" w:char="F0A3"/>
      </w:r>
      <w:r>
        <w:rPr>
          <w:rFonts w:hint="eastAsia" w:ascii="宋体" w:hAnsi="宋体" w:cs="宋体"/>
          <w:b/>
          <w:bCs/>
          <w:kern w:val="0"/>
          <w:szCs w:val="21"/>
        </w:rPr>
        <w:t>1.2采购人可选择项目询价失败，重新采购。</w:t>
      </w:r>
      <w:commentRangeEnd w:id="0"/>
      <w:r>
        <w:rPr>
          <w:rStyle w:val="22"/>
        </w:rPr>
        <w:commentReference w:id="0"/>
      </w:r>
    </w:p>
    <w:p>
      <w:pPr>
        <w:widowControl/>
        <w:adjustRightInd w:val="0"/>
        <w:ind w:firstLine="420" w:firstLineChars="200"/>
        <w:rPr>
          <w:rFonts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pPr>
        <w:widowControl/>
        <w:adjustRightInd w:val="0"/>
        <w:ind w:firstLine="420" w:firstLineChars="200"/>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pPr>
        <w:widowControl/>
        <w:adjustRightInd w:val="0"/>
        <w:ind w:firstLine="422" w:firstLineChars="200"/>
        <w:rPr>
          <w:rFonts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ascii="宋体" w:hAnsi="宋体" w:cs="宋体"/>
          <w:kern w:val="0"/>
          <w:szCs w:val="21"/>
        </w:rPr>
      </w:pPr>
      <w:commentRangeStart w:id="1"/>
      <w:r>
        <w:rPr>
          <w:rFonts w:ascii="宋体" w:hAnsi="宋体" w:cs="宋体"/>
          <w:kern w:val="0"/>
          <w:szCs w:val="21"/>
        </w:rPr>
        <w:t>本项目设计供应商：无</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ascii="宋体" w:hAnsi="宋体" w:cs="宋体"/>
          <w:kern w:val="0"/>
          <w:szCs w:val="21"/>
        </w:rPr>
      </w:pPr>
      <w:r>
        <w:rPr>
          <w:rFonts w:ascii="宋体" w:hAnsi="宋体" w:cs="宋体"/>
          <w:kern w:val="0"/>
          <w:szCs w:val="21"/>
        </w:rPr>
        <w:t>本项目检测供应商：无</w:t>
      </w:r>
      <w:commentRangeEnd w:id="1"/>
      <w:r>
        <w:rPr>
          <w:rStyle w:val="22"/>
        </w:rPr>
        <w:commentReference w:id="1"/>
      </w:r>
    </w:p>
    <w:p>
      <w:pPr>
        <w:widowControl/>
        <w:adjustRightInd w:val="0"/>
        <w:ind w:firstLine="422" w:firstLineChars="200"/>
        <w:rPr>
          <w:rFonts w:ascii="宋体" w:hAnsi="宋体" w:cs="宋体"/>
          <w:b/>
          <w:kern w:val="0"/>
          <w:szCs w:val="21"/>
        </w:rPr>
      </w:pPr>
      <w:r>
        <w:rPr>
          <w:rFonts w:hint="eastAsia" w:ascii="宋体" w:hAnsi="宋体" w:cs="宋体"/>
          <w:b/>
          <w:kern w:val="0"/>
          <w:szCs w:val="21"/>
        </w:rPr>
        <w:t>（十一）本文件最终解释权归采购人</w:t>
      </w:r>
    </w:p>
    <w:p>
      <w:pPr>
        <w:widowControl/>
        <w:jc w:val="left"/>
        <w:rPr>
          <w:rFonts w:ascii="宋体" w:hAnsi="宋体" w:cs="宋体"/>
          <w:b/>
          <w:kern w:val="0"/>
          <w:sz w:val="36"/>
          <w:szCs w:val="36"/>
        </w:rPr>
      </w:pPr>
      <w:r>
        <w:rPr>
          <w:rFonts w:hint="eastAsia" w:ascii="宋体" w:hAnsi="宋体" w:cs="宋体"/>
          <w:b/>
          <w:kern w:val="0"/>
          <w:sz w:val="36"/>
          <w:szCs w:val="36"/>
        </w:rPr>
        <w:br w:type="page"/>
      </w:r>
    </w:p>
    <w:p>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ascii="宋体" w:hAnsi="宋体" w:cs="宋体"/>
          <w:b/>
          <w:bCs/>
          <w:kern w:val="0"/>
          <w:szCs w:val="21"/>
        </w:rPr>
      </w:pPr>
    </w:p>
    <w:p>
      <w:pPr>
        <w:ind w:firstLine="562" w:firstLineChars="200"/>
        <w:rPr>
          <w:rFonts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3"/>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3402" w:type="dxa"/>
            <w:shd w:val="clear" w:color="auto" w:fill="C6D9F1"/>
            <w:vAlign w:val="center"/>
          </w:tcPr>
          <w:p>
            <w:pPr>
              <w:spacing w:line="360" w:lineRule="auto"/>
              <w:jc w:val="center"/>
              <w:rPr>
                <w:b/>
                <w:szCs w:val="21"/>
              </w:rPr>
            </w:pPr>
            <w:r>
              <w:rPr>
                <w:rFonts w:hint="eastAsia"/>
                <w:b/>
                <w:szCs w:val="21"/>
              </w:rPr>
              <w:t>服务名称</w:t>
            </w:r>
          </w:p>
        </w:tc>
        <w:tc>
          <w:tcPr>
            <w:tcW w:w="732" w:type="dxa"/>
            <w:shd w:val="clear" w:color="auto" w:fill="C6D9F1"/>
            <w:vAlign w:val="center"/>
          </w:tcPr>
          <w:p>
            <w:pPr>
              <w:spacing w:line="360" w:lineRule="auto"/>
              <w:jc w:val="center"/>
              <w:rPr>
                <w:b/>
                <w:szCs w:val="21"/>
              </w:rPr>
            </w:pPr>
            <w:r>
              <w:rPr>
                <w:rFonts w:hint="eastAsia"/>
                <w:b/>
                <w:szCs w:val="21"/>
              </w:rPr>
              <w:t>数量</w:t>
            </w:r>
          </w:p>
        </w:tc>
        <w:tc>
          <w:tcPr>
            <w:tcW w:w="855" w:type="dxa"/>
            <w:shd w:val="clear" w:color="auto" w:fill="C6D9F1"/>
          </w:tcPr>
          <w:p>
            <w:pPr>
              <w:spacing w:line="360" w:lineRule="auto"/>
              <w:jc w:val="center"/>
              <w:rPr>
                <w:b/>
                <w:szCs w:val="21"/>
              </w:rPr>
            </w:pPr>
            <w:r>
              <w:rPr>
                <w:rFonts w:hint="eastAsia"/>
                <w:b/>
                <w:szCs w:val="21"/>
              </w:rPr>
              <w:t>单位</w:t>
            </w:r>
          </w:p>
        </w:tc>
        <w:tc>
          <w:tcPr>
            <w:tcW w:w="1839" w:type="dxa"/>
            <w:shd w:val="clear" w:color="auto" w:fill="C6D9F1"/>
            <w:vAlign w:val="center"/>
          </w:tcPr>
          <w:p>
            <w:pPr>
              <w:spacing w:line="360" w:lineRule="auto"/>
              <w:jc w:val="center"/>
              <w:rPr>
                <w:b/>
                <w:szCs w:val="21"/>
              </w:rPr>
            </w:pPr>
            <w:r>
              <w:rPr>
                <w:rFonts w:hint="eastAsia"/>
                <w:b/>
                <w:szCs w:val="21"/>
              </w:rPr>
              <w:t>预算金额（元）</w:t>
            </w:r>
          </w:p>
        </w:tc>
        <w:tc>
          <w:tcPr>
            <w:tcW w:w="850"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Align w:val="center"/>
          </w:tcPr>
          <w:p>
            <w:pPr>
              <w:spacing w:line="360" w:lineRule="auto"/>
              <w:jc w:val="center"/>
              <w:rPr>
                <w:rFonts w:ascii="宋体" w:hAnsi="宋体"/>
                <w:szCs w:val="21"/>
              </w:rPr>
            </w:pPr>
            <w:r>
              <w:rPr>
                <w:rFonts w:hint="eastAsia" w:ascii="宋体" w:hAnsi="宋体"/>
                <w:szCs w:val="21"/>
              </w:rPr>
              <w:t>1</w:t>
            </w:r>
          </w:p>
        </w:tc>
        <w:tc>
          <w:tcPr>
            <w:tcW w:w="3402" w:type="dxa"/>
            <w:vAlign w:val="center"/>
          </w:tcPr>
          <w:p>
            <w:pPr>
              <w:spacing w:line="360" w:lineRule="auto"/>
              <w:jc w:val="center"/>
              <w:rPr>
                <w:rFonts w:ascii="宋体" w:hAnsi="宋体"/>
                <w:szCs w:val="21"/>
              </w:rPr>
            </w:pPr>
            <w:r>
              <w:rPr>
                <w:rFonts w:hint="eastAsia" w:ascii="宋体" w:hAnsi="宋体" w:cs="宋体"/>
                <w:color w:val="000000"/>
                <w:kern w:val="0"/>
                <w:sz w:val="24"/>
                <w:lang w:bidi="ar"/>
              </w:rPr>
              <w:t>大数据辅助分析系统查询服务</w:t>
            </w:r>
          </w:p>
        </w:tc>
        <w:tc>
          <w:tcPr>
            <w:tcW w:w="732" w:type="dxa"/>
            <w:vAlign w:val="center"/>
          </w:tcPr>
          <w:p>
            <w:pPr>
              <w:spacing w:line="360" w:lineRule="auto"/>
              <w:jc w:val="center"/>
              <w:rPr>
                <w:rFonts w:ascii="宋体" w:hAnsi="宋体"/>
                <w:szCs w:val="21"/>
              </w:rPr>
            </w:pPr>
            <w:r>
              <w:rPr>
                <w:rFonts w:ascii="宋体" w:hAnsi="宋体"/>
                <w:szCs w:val="21"/>
              </w:rPr>
              <w:t>2</w:t>
            </w:r>
          </w:p>
        </w:tc>
        <w:tc>
          <w:tcPr>
            <w:tcW w:w="855" w:type="dxa"/>
          </w:tcPr>
          <w:p>
            <w:pPr>
              <w:spacing w:line="360" w:lineRule="auto"/>
              <w:jc w:val="center"/>
              <w:rPr>
                <w:rFonts w:ascii="宋体" w:hAnsi="宋体"/>
                <w:szCs w:val="21"/>
              </w:rPr>
            </w:pPr>
            <w:r>
              <w:rPr>
                <w:rFonts w:hint="eastAsia" w:ascii="宋体" w:hAnsi="宋体"/>
                <w:szCs w:val="21"/>
              </w:rPr>
              <w:t>个</w:t>
            </w:r>
          </w:p>
        </w:tc>
        <w:tc>
          <w:tcPr>
            <w:tcW w:w="1839" w:type="dxa"/>
            <w:vAlign w:val="center"/>
          </w:tcPr>
          <w:p>
            <w:pPr>
              <w:spacing w:line="360" w:lineRule="auto"/>
              <w:jc w:val="center"/>
              <w:rPr>
                <w:rFonts w:ascii="宋体" w:hAnsi="宋体"/>
                <w:szCs w:val="21"/>
              </w:rPr>
            </w:pPr>
            <w:r>
              <w:rPr>
                <w:rFonts w:ascii="宋体" w:hAnsi="宋体"/>
                <w:szCs w:val="21"/>
              </w:rPr>
              <w:t>198000</w:t>
            </w:r>
          </w:p>
        </w:tc>
        <w:tc>
          <w:tcPr>
            <w:tcW w:w="850" w:type="dxa"/>
            <w:vAlign w:val="center"/>
          </w:tcPr>
          <w:p>
            <w:pPr>
              <w:spacing w:line="360" w:lineRule="auto"/>
              <w:jc w:val="center"/>
              <w:rPr>
                <w:szCs w:val="21"/>
              </w:rPr>
            </w:pPr>
          </w:p>
        </w:tc>
      </w:tr>
    </w:tbl>
    <w:p>
      <w:pPr>
        <w:rPr>
          <w:rFonts w:ascii="宋体" w:hAnsi="宋体"/>
          <w:b/>
          <w:bCs/>
          <w:snapToGrid w:val="0"/>
          <w:color w:val="000000"/>
          <w:kern w:val="0"/>
          <w:szCs w:val="21"/>
        </w:rPr>
      </w:pPr>
    </w:p>
    <w:p>
      <w:pPr>
        <w:ind w:firstLine="422" w:firstLineChars="200"/>
        <w:rPr>
          <w:rFonts w:ascii="宋体" w:hAnsi="宋体" w:cs="宋体"/>
          <w:b/>
          <w:kern w:val="0"/>
          <w:szCs w:val="21"/>
        </w:rPr>
      </w:pPr>
    </w:p>
    <w:p>
      <w:pPr>
        <w:ind w:firstLine="562" w:firstLineChars="200"/>
        <w:rPr>
          <w:rFonts w:ascii="宋体" w:hAnsi="宋体" w:cs="宋体"/>
          <w:b/>
          <w:kern w:val="0"/>
          <w:sz w:val="28"/>
          <w:szCs w:val="28"/>
        </w:rPr>
      </w:pPr>
      <w:r>
        <w:rPr>
          <w:rFonts w:hint="eastAsia" w:ascii="宋体" w:hAnsi="宋体" w:cs="宋体"/>
          <w:b/>
          <w:kern w:val="0"/>
          <w:sz w:val="28"/>
          <w:szCs w:val="28"/>
        </w:rPr>
        <w:t>（二）实质性条款</w:t>
      </w:r>
    </w:p>
    <w:tbl>
      <w:tblPr>
        <w:tblStyle w:val="23"/>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ascii="宋体" w:hAnsi="宋体" w:cs="宋体"/>
          <w:b/>
          <w:kern w:val="0"/>
          <w:sz w:val="28"/>
          <w:szCs w:val="28"/>
        </w:rPr>
      </w:pPr>
      <w:r>
        <w:rPr>
          <w:rFonts w:hint="eastAsia" w:ascii="宋体" w:hAnsi="宋体" w:cs="宋体"/>
          <w:b/>
          <w:kern w:val="0"/>
          <w:sz w:val="28"/>
          <w:szCs w:val="28"/>
        </w:rPr>
        <w:t>★（三）技术要求</w:t>
      </w:r>
    </w:p>
    <w:tbl>
      <w:tblPr>
        <w:tblStyle w:val="2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15"/>
        <w:gridCol w:w="1092"/>
        <w:gridCol w:w="1537"/>
        <w:gridCol w:w="936"/>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40"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序号</w:t>
            </w:r>
          </w:p>
        </w:tc>
        <w:tc>
          <w:tcPr>
            <w:tcW w:w="3144" w:type="dxa"/>
            <w:gridSpan w:val="3"/>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功能模块</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许可数（个）</w:t>
            </w:r>
          </w:p>
        </w:tc>
        <w:tc>
          <w:tcPr>
            <w:tcW w:w="3239"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最大服务数（次）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restart"/>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1</w:t>
            </w:r>
          </w:p>
        </w:tc>
        <w:tc>
          <w:tcPr>
            <w:tcW w:w="1607" w:type="dxa"/>
            <w:gridSpan w:val="2"/>
            <w:vMerge w:val="restart"/>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全息画像</w:t>
            </w: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特征码信息</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画像推测</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线上行为</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常连WiFi</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关系图谱</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历史IP</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点位管理</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点位分析</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关联基站</w:t>
            </w:r>
          </w:p>
        </w:tc>
        <w:tc>
          <w:tcPr>
            <w:tcW w:w="936"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1607" w:type="dxa"/>
            <w:gridSpan w:val="2"/>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WiFi画像</w:t>
            </w: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WiFi画像</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3</w:t>
            </w:r>
          </w:p>
        </w:tc>
        <w:tc>
          <w:tcPr>
            <w:tcW w:w="1607" w:type="dxa"/>
            <w:gridSpan w:val="2"/>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基站画像</w:t>
            </w:r>
          </w:p>
        </w:tc>
        <w:tc>
          <w:tcPr>
            <w:tcW w:w="1537"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基站画像</w:t>
            </w:r>
          </w:p>
        </w:tc>
        <w:tc>
          <w:tcPr>
            <w:tcW w:w="936" w:type="dxa"/>
            <w:shd w:val="clear" w:color="auto" w:fill="auto"/>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auto" w:fill="auto"/>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shd w:val="clear" w:color="000000" w:fill="FFFFFF"/>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4</w:t>
            </w:r>
          </w:p>
        </w:tc>
        <w:tc>
          <w:tcPr>
            <w:tcW w:w="1607" w:type="dxa"/>
            <w:gridSpan w:val="2"/>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网关画像</w:t>
            </w:r>
          </w:p>
        </w:tc>
        <w:tc>
          <w:tcPr>
            <w:tcW w:w="1537"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网关画像</w:t>
            </w:r>
          </w:p>
        </w:tc>
        <w:tc>
          <w:tcPr>
            <w:tcW w:w="936"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000000" w:fill="FFFFFF"/>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restart"/>
            <w:shd w:val="clear" w:color="000000" w:fill="FFFFFF"/>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5</w:t>
            </w:r>
          </w:p>
        </w:tc>
        <w:tc>
          <w:tcPr>
            <w:tcW w:w="1607" w:type="dxa"/>
            <w:gridSpan w:val="2"/>
            <w:vMerge w:val="restart"/>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空间提数</w:t>
            </w:r>
          </w:p>
        </w:tc>
        <w:tc>
          <w:tcPr>
            <w:tcW w:w="1537"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基站提数</w:t>
            </w:r>
          </w:p>
        </w:tc>
        <w:tc>
          <w:tcPr>
            <w:tcW w:w="936"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000000" w:fill="FFFFFF"/>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围栏提数</w:t>
            </w:r>
          </w:p>
        </w:tc>
        <w:tc>
          <w:tcPr>
            <w:tcW w:w="936"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000000" w:fill="FFFFFF"/>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restart"/>
            <w:shd w:val="clear" w:color="000000" w:fill="FFFFFF"/>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6</w:t>
            </w:r>
          </w:p>
        </w:tc>
        <w:tc>
          <w:tcPr>
            <w:tcW w:w="1607" w:type="dxa"/>
            <w:gridSpan w:val="2"/>
            <w:vMerge w:val="restart"/>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智能研判</w:t>
            </w:r>
          </w:p>
        </w:tc>
        <w:tc>
          <w:tcPr>
            <w:tcW w:w="1537"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WiFi碰撞</w:t>
            </w:r>
          </w:p>
        </w:tc>
        <w:tc>
          <w:tcPr>
            <w:tcW w:w="936"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000000" w:fill="FFFFFF"/>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0" w:type="dxa"/>
            <w:vMerge w:val="continue"/>
            <w:vAlign w:val="center"/>
          </w:tcPr>
          <w:p>
            <w:pPr>
              <w:widowControl/>
              <w:spacing w:after="0" w:line="240" w:lineRule="auto"/>
              <w:jc w:val="left"/>
              <w:rPr>
                <w:rFonts w:ascii="宋体" w:hAnsi="宋体" w:cs="宋体"/>
                <w:kern w:val="0"/>
                <w:sz w:val="24"/>
              </w:rPr>
            </w:pPr>
          </w:p>
        </w:tc>
        <w:tc>
          <w:tcPr>
            <w:tcW w:w="1607" w:type="dxa"/>
            <w:gridSpan w:val="2"/>
            <w:vMerge w:val="continue"/>
            <w:vAlign w:val="center"/>
          </w:tcPr>
          <w:p>
            <w:pPr>
              <w:widowControl/>
              <w:spacing w:after="0" w:line="240" w:lineRule="auto"/>
              <w:jc w:val="left"/>
              <w:rPr>
                <w:rFonts w:ascii="宋体" w:hAnsi="宋体" w:cs="宋体"/>
                <w:kern w:val="0"/>
                <w:sz w:val="24"/>
              </w:rPr>
            </w:pPr>
          </w:p>
        </w:tc>
        <w:tc>
          <w:tcPr>
            <w:tcW w:w="1537"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全息批查</w:t>
            </w:r>
          </w:p>
        </w:tc>
        <w:tc>
          <w:tcPr>
            <w:tcW w:w="936" w:type="dxa"/>
            <w:shd w:val="clear" w:color="000000" w:fill="FFFFFF"/>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3239" w:type="dxa"/>
            <w:shd w:val="clear" w:color="000000" w:fill="FFFFFF"/>
            <w:noWrap/>
            <w:vAlign w:val="center"/>
          </w:tcPr>
          <w:p>
            <w:pPr>
              <w:widowControl/>
              <w:spacing w:after="0" w:line="240" w:lineRule="auto"/>
              <w:jc w:val="center"/>
              <w:rPr>
                <w:rFonts w:ascii="宋体" w:hAnsi="宋体" w:cs="宋体"/>
                <w:kern w:val="0"/>
                <w:sz w:val="24"/>
              </w:rPr>
            </w:pPr>
            <w:r>
              <w:rPr>
                <w:rFonts w:hint="eastAsia" w:ascii="宋体" w:hAnsi="宋体" w:cs="宋体"/>
                <w:kern w:val="0"/>
                <w:sz w:val="24"/>
              </w:rPr>
              <w:t>100次（任务数）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35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ascii="宋体" w:hAnsi="宋体" w:cs="宋体"/>
                <w:b/>
                <w:bCs/>
                <w:kern w:val="0"/>
                <w:sz w:val="24"/>
              </w:rPr>
            </w:pPr>
            <w:r>
              <w:rPr>
                <w:rFonts w:hint="eastAsia" w:ascii="宋体" w:hAnsi="宋体" w:cs="宋体"/>
                <w:b/>
                <w:bCs/>
                <w:kern w:val="0"/>
                <w:sz w:val="24"/>
              </w:rPr>
              <w:t>系统主要功能说明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功能模块</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特征码信息</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通过对方提供的设备数据，查询其相关数据分析结果。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画像推测</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大数据画像，对设备打标签。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线上行为</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分析设备安装的APP列表，并进行分类提示。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常连WiFi</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分析近段时间特定设备的常连WiFi。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关系图谱</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分析目标数据信息的关系图谱，寻找目标数据之间的相互关系。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历史IP</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展示设备关联的历史IP信息。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点位管理</w:t>
            </w:r>
          </w:p>
        </w:tc>
        <w:tc>
          <w:tcPr>
            <w:tcW w:w="6804"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分析和实现点位回溯功能。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点位分析</w:t>
            </w:r>
          </w:p>
        </w:tc>
        <w:tc>
          <w:tcPr>
            <w:tcW w:w="6804"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分析设备近期点位。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关联基站</w:t>
            </w:r>
          </w:p>
        </w:tc>
        <w:tc>
          <w:tcPr>
            <w:tcW w:w="6804"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通过对目标设备的关联基站进行查询，可查看设备连接的基站和连接时间。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WiFi画像</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对指定WiFi设备进行查询筛选。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基站画像</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根据基站信息查询基站画像，包含基站位置分布与基站热力图。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网关画像</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支持查询网关设备下关联的网络环境、设备等信息。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基站提数</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对指定基站设备进行查询筛选。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围栏提数</w:t>
            </w:r>
          </w:p>
        </w:tc>
        <w:tc>
          <w:tcPr>
            <w:tcW w:w="680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对指定时间段围栏下的设备进行筛选。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WiFi碰撞</w:t>
            </w:r>
          </w:p>
        </w:tc>
        <w:tc>
          <w:tcPr>
            <w:tcW w:w="6804"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通过多个目标WiFi的碰撞，分析出关联的设备情况。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5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after="0" w:line="240" w:lineRule="auto"/>
              <w:jc w:val="center"/>
              <w:rPr>
                <w:rFonts w:hint="eastAsia" w:ascii="宋体" w:hAnsi="宋体" w:cs="宋体"/>
                <w:kern w:val="0"/>
                <w:sz w:val="24"/>
              </w:rPr>
            </w:pPr>
            <w:r>
              <w:rPr>
                <w:rFonts w:hint="eastAsia" w:ascii="宋体" w:hAnsi="宋体" w:cs="宋体"/>
                <w:kern w:val="0"/>
                <w:sz w:val="24"/>
              </w:rPr>
              <w:t>全息批查</w:t>
            </w:r>
          </w:p>
        </w:tc>
        <w:tc>
          <w:tcPr>
            <w:tcW w:w="6804"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after="0" w:line="240" w:lineRule="auto"/>
              <w:jc w:val="left"/>
              <w:rPr>
                <w:rFonts w:hint="eastAsia" w:ascii="宋体" w:hAnsi="宋体" w:cs="宋体"/>
                <w:kern w:val="0"/>
                <w:sz w:val="24"/>
              </w:rPr>
            </w:pPr>
            <w:r>
              <w:rPr>
                <w:rFonts w:hint="eastAsia" w:ascii="宋体" w:hAnsi="宋体" w:cs="宋体"/>
                <w:kern w:val="0"/>
                <w:sz w:val="24"/>
              </w:rPr>
              <w:t>支持批量查询设备信息，查询其相关数据分析结果。</w:t>
            </w:r>
          </w:p>
        </w:tc>
      </w:tr>
    </w:tbl>
    <w:p>
      <w:pPr>
        <w:ind w:firstLine="562" w:firstLineChars="200"/>
        <w:rPr>
          <w:rFonts w:ascii="宋体" w:hAnsi="宋体" w:cs="宋体"/>
          <w:b/>
          <w:kern w:val="0"/>
          <w:sz w:val="28"/>
          <w:szCs w:val="28"/>
        </w:rPr>
      </w:pPr>
      <w:r>
        <w:rPr>
          <w:rFonts w:hint="eastAsia" w:ascii="宋体" w:hAnsi="宋体" w:cs="宋体"/>
          <w:b/>
          <w:kern w:val="0"/>
          <w:sz w:val="28"/>
          <w:szCs w:val="28"/>
        </w:rPr>
        <w:t>★（四）商务要求</w:t>
      </w:r>
    </w:p>
    <w:tbl>
      <w:tblPr>
        <w:tblStyle w:val="23"/>
        <w:tblW w:w="9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14"/>
        <w:gridCol w:w="6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jc w:val="center"/>
              <w:rPr>
                <w:rFonts w:ascii="宋体" w:hAnsi="宋体"/>
                <w:b/>
                <w:color w:val="auto"/>
                <w:sz w:val="21"/>
                <w:szCs w:val="21"/>
              </w:rPr>
            </w:pPr>
            <w:r>
              <w:rPr>
                <w:rFonts w:ascii="宋体" w:hAnsi="宋体"/>
                <w:b/>
                <w:color w:val="auto"/>
                <w:sz w:val="21"/>
                <w:szCs w:val="21"/>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pStyle w:val="44"/>
              <w:spacing w:line="360" w:lineRule="auto"/>
              <w:jc w:val="center"/>
              <w:rPr>
                <w:rFonts w:ascii="宋体" w:hAnsi="宋体"/>
                <w:b/>
                <w:color w:val="auto"/>
                <w:sz w:val="21"/>
                <w:szCs w:val="21"/>
              </w:rPr>
            </w:pPr>
            <w:r>
              <w:rPr>
                <w:rFonts w:hint="eastAsia" w:ascii="宋体" w:hAnsi="宋体"/>
                <w:b/>
                <w:color w:val="auto"/>
                <w:sz w:val="21"/>
                <w:szCs w:val="21"/>
              </w:rPr>
              <w:t>商务要求</w:t>
            </w:r>
          </w:p>
        </w:tc>
        <w:tc>
          <w:tcPr>
            <w:tcW w:w="663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jc w:val="center"/>
              <w:rPr>
                <w:rFonts w:ascii="宋体" w:hAnsi="宋体"/>
                <w:b/>
                <w:color w:val="auto"/>
                <w:sz w:val="21"/>
                <w:szCs w:val="21"/>
              </w:rPr>
            </w:pPr>
            <w:r>
              <w:rPr>
                <w:rFonts w:ascii="宋体" w:hAnsi="宋体"/>
                <w:b/>
                <w:color w:val="auto"/>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pStyle w:val="44"/>
              <w:numPr>
                <w:ilvl w:val="0"/>
                <w:numId w:val="1"/>
              </w:numPr>
              <w:tabs>
                <w:tab w:val="left" w:pos="453"/>
              </w:tabs>
              <w:spacing w:line="360" w:lineRule="auto"/>
              <w:rPr>
                <w:rFonts w:ascii="宋体" w:hAnsi="宋体"/>
                <w:b/>
                <w:color w:val="auto"/>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pStyle w:val="44"/>
              <w:spacing w:line="360" w:lineRule="auto"/>
              <w:jc w:val="center"/>
              <w:rPr>
                <w:rFonts w:ascii="宋体" w:hAnsi="宋体"/>
                <w:b/>
                <w:color w:val="auto"/>
                <w:sz w:val="21"/>
                <w:szCs w:val="21"/>
              </w:rPr>
            </w:pPr>
            <w:r>
              <w:rPr>
                <w:rFonts w:hint="eastAsia" w:ascii="宋体" w:hAnsi="宋体"/>
                <w:b/>
                <w:color w:val="auto"/>
                <w:sz w:val="21"/>
                <w:szCs w:val="22"/>
              </w:rPr>
              <w:t>履约时间和地点</w:t>
            </w:r>
          </w:p>
        </w:tc>
        <w:tc>
          <w:tcPr>
            <w:tcW w:w="663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rPr>
                <w:rFonts w:ascii="宋体" w:hAnsi="宋体"/>
                <w:b/>
                <w:color w:val="auto"/>
                <w:sz w:val="21"/>
                <w:szCs w:val="21"/>
              </w:rPr>
            </w:pPr>
            <w:r>
              <w:rPr>
                <w:rFonts w:ascii="宋体" w:hAnsi="宋体"/>
                <w:color w:val="auto"/>
                <w:sz w:val="21"/>
                <w:szCs w:val="22"/>
              </w:rPr>
              <w:t>甲方（用户）指定</w:t>
            </w:r>
            <w:r>
              <w:rPr>
                <w:rFonts w:hint="eastAsia" w:ascii="宋体" w:hAnsi="宋体"/>
                <w:color w:val="auto"/>
                <w:sz w:val="21"/>
                <w:szCs w:val="22"/>
              </w:rPr>
              <w:t>时间</w:t>
            </w:r>
            <w:r>
              <w:rPr>
                <w:rFonts w:ascii="宋体" w:hAnsi="宋体"/>
                <w:color w:val="auto"/>
                <w:sz w:val="21"/>
                <w:szCs w:val="22"/>
              </w:rPr>
              <w:t>。详细地址为：</w:t>
            </w:r>
            <w:r>
              <w:rPr>
                <w:rFonts w:hint="eastAsia" w:ascii="宋体" w:hAnsi="宋体"/>
                <w:color w:val="auto"/>
                <w:sz w:val="21"/>
                <w:szCs w:val="22"/>
              </w:rPr>
              <w:t>深圳市南山区东滨路3115号深圳CID大厦。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pStyle w:val="44"/>
              <w:numPr>
                <w:ilvl w:val="0"/>
                <w:numId w:val="1"/>
              </w:numPr>
              <w:tabs>
                <w:tab w:val="left" w:pos="453"/>
              </w:tabs>
              <w:spacing w:line="360" w:lineRule="auto"/>
              <w:jc w:val="center"/>
              <w:rPr>
                <w:rFonts w:ascii="宋体" w:hAnsi="宋体"/>
                <w:b/>
                <w:color w:val="auto"/>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ascii="宋体" w:hAnsi="宋体"/>
                <w:b/>
                <w:szCs w:val="21"/>
              </w:rPr>
            </w:pPr>
            <w:r>
              <w:rPr>
                <w:rFonts w:hint="eastAsia" w:ascii="宋体" w:hAnsi="宋体" w:cs="宋体"/>
                <w:b/>
                <w:bCs/>
                <w:szCs w:val="21"/>
              </w:rPr>
              <w:t>服务期限</w:t>
            </w:r>
          </w:p>
        </w:tc>
        <w:tc>
          <w:tcPr>
            <w:tcW w:w="6639" w:type="dxa"/>
            <w:tcBorders>
              <w:top w:val="single" w:color="auto" w:sz="4" w:space="0"/>
              <w:left w:val="single" w:color="auto" w:sz="4" w:space="0"/>
              <w:bottom w:val="single" w:color="auto" w:sz="4" w:space="0"/>
              <w:right w:val="single" w:color="auto" w:sz="4" w:space="0"/>
            </w:tcBorders>
            <w:vAlign w:val="center"/>
          </w:tcPr>
          <w:p>
            <w:pPr>
              <w:pStyle w:val="45"/>
              <w:spacing w:line="360" w:lineRule="auto"/>
              <w:rPr>
                <w:rFonts w:ascii="宋体" w:hAnsi="宋体"/>
                <w:szCs w:val="21"/>
              </w:rPr>
            </w:pPr>
            <w:r>
              <w:rPr>
                <w:rFonts w:hint="eastAsia" w:ascii="宋体" w:hAnsi="宋体" w:cs="仿宋"/>
                <w:color w:val="000000" w:themeColor="text1"/>
                <w:szCs w:val="21"/>
                <w14:textFill>
                  <w14:solidFill>
                    <w14:schemeClr w14:val="tx1"/>
                  </w14:solidFill>
                </w14:textFill>
              </w:rPr>
              <w:t>自合同签订生效之日起一年。本项目为长期服务类项目，一年期满，根据《深圳经济特区政府采购条例》第三十八条关于长期服务合同的规定，采购方可根据主管部门要求及中标供应商履约情况确定合同期限是否延长，如采购单位对履约情况不满意，采购单位不再续约。合同履行期限最长不得超过三十六个月，合同一年一签，特殊情况需要延长的，经主管部门批准可以适当延长，但是延长期限最长不得超过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720" w:type="dxa"/>
            <w:tcBorders>
              <w:top w:val="single" w:color="auto" w:sz="4" w:space="0"/>
              <w:left w:val="single" w:color="auto" w:sz="4" w:space="0"/>
              <w:right w:val="single" w:color="auto" w:sz="4" w:space="0"/>
            </w:tcBorders>
            <w:vAlign w:val="center"/>
          </w:tcPr>
          <w:p>
            <w:pPr>
              <w:pStyle w:val="44"/>
              <w:numPr>
                <w:ilvl w:val="0"/>
                <w:numId w:val="1"/>
              </w:numPr>
              <w:tabs>
                <w:tab w:val="left" w:pos="453"/>
              </w:tabs>
              <w:spacing w:line="360" w:lineRule="auto"/>
              <w:jc w:val="center"/>
              <w:rPr>
                <w:rFonts w:ascii="宋体" w:hAnsi="宋体"/>
                <w:b/>
                <w:color w:val="auto"/>
                <w:sz w:val="21"/>
                <w:szCs w:val="21"/>
              </w:rPr>
            </w:pPr>
          </w:p>
        </w:tc>
        <w:tc>
          <w:tcPr>
            <w:tcW w:w="1814" w:type="dxa"/>
            <w:tcBorders>
              <w:top w:val="single" w:color="auto" w:sz="4" w:space="0"/>
              <w:left w:val="single" w:color="auto" w:sz="4" w:space="0"/>
              <w:right w:val="single" w:color="auto" w:sz="4" w:space="0"/>
            </w:tcBorders>
            <w:vAlign w:val="center"/>
          </w:tcPr>
          <w:p>
            <w:pPr>
              <w:pStyle w:val="45"/>
              <w:spacing w:line="360" w:lineRule="auto"/>
              <w:jc w:val="center"/>
              <w:rPr>
                <w:rFonts w:ascii="宋体" w:hAnsi="宋体"/>
                <w:b/>
                <w:szCs w:val="21"/>
              </w:rPr>
            </w:pPr>
            <w:r>
              <w:rPr>
                <w:rFonts w:ascii="宋体" w:hAnsi="宋体"/>
                <w:b/>
                <w:szCs w:val="21"/>
              </w:rPr>
              <w:t>付款方式</w:t>
            </w:r>
          </w:p>
        </w:tc>
        <w:tc>
          <w:tcPr>
            <w:tcW w:w="6639" w:type="dxa"/>
            <w:tcBorders>
              <w:top w:val="single" w:color="auto" w:sz="4" w:space="0"/>
              <w:left w:val="single" w:color="auto" w:sz="4" w:space="0"/>
              <w:right w:val="single" w:color="auto" w:sz="4" w:space="0"/>
            </w:tcBorders>
            <w:vAlign w:val="center"/>
          </w:tcPr>
          <w:p>
            <w:pPr>
              <w:pStyle w:val="45"/>
              <w:spacing w:line="360" w:lineRule="auto"/>
            </w:pPr>
            <w:r>
              <w:rPr>
                <w:rFonts w:hint="eastAsia" w:ascii="宋体" w:hAnsi="宋体" w:cs="仿宋"/>
                <w:color w:val="000000" w:themeColor="text1"/>
                <w:szCs w:val="21"/>
                <w14:textFill>
                  <w14:solidFill>
                    <w14:schemeClr w14:val="tx1"/>
                  </w14:solidFill>
                </w14:textFill>
              </w:rPr>
              <w:t>采购人10个工作日内按中标价的70%首期款支付中标价款项，剩余中标价的30%款项待合同期满经履约验收合格后支付。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pStyle w:val="44"/>
              <w:numPr>
                <w:ilvl w:val="0"/>
                <w:numId w:val="1"/>
              </w:numPr>
              <w:tabs>
                <w:tab w:val="left" w:pos="453"/>
              </w:tabs>
              <w:spacing w:line="360" w:lineRule="auto"/>
              <w:jc w:val="center"/>
              <w:rPr>
                <w:rFonts w:ascii="宋体" w:hAnsi="宋体"/>
                <w:b/>
                <w:color w:val="auto"/>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ascii="宋体" w:hAnsi="宋体"/>
                <w:b/>
                <w:szCs w:val="21"/>
              </w:rPr>
            </w:pPr>
            <w:r>
              <w:rPr>
                <w:rFonts w:ascii="宋体" w:hAnsi="宋体"/>
                <w:b/>
                <w:szCs w:val="21"/>
              </w:rPr>
              <w:t>付款要求</w:t>
            </w:r>
          </w:p>
        </w:tc>
        <w:tc>
          <w:tcPr>
            <w:tcW w:w="6639" w:type="dxa"/>
            <w:tcBorders>
              <w:top w:val="single" w:color="auto" w:sz="4" w:space="0"/>
              <w:left w:val="single" w:color="auto" w:sz="4" w:space="0"/>
              <w:bottom w:val="single" w:color="auto" w:sz="4" w:space="0"/>
              <w:right w:val="single" w:color="auto" w:sz="4" w:space="0"/>
            </w:tcBorders>
            <w:vAlign w:val="center"/>
          </w:tcPr>
          <w:p>
            <w:pPr>
              <w:pStyle w:val="45"/>
              <w:numPr>
                <w:ilvl w:val="0"/>
                <w:numId w:val="2"/>
              </w:numPr>
              <w:spacing w:line="360" w:lineRule="auto"/>
              <w:jc w:val="left"/>
              <w:rPr>
                <w:rFonts w:ascii="宋体" w:hAnsi="宋体"/>
              </w:rPr>
            </w:pPr>
            <w:r>
              <w:rPr>
                <w:rFonts w:hint="eastAsia" w:ascii="宋体" w:hAnsi="宋体"/>
              </w:rPr>
              <w:t>付款前，</w:t>
            </w:r>
            <w:r>
              <w:rPr>
                <w:rFonts w:ascii="宋体" w:hAnsi="宋体"/>
              </w:rPr>
              <w:t>乙方须向甲方提供依法纳税的服务费发票。</w:t>
            </w:r>
          </w:p>
          <w:p>
            <w:pPr>
              <w:pStyle w:val="45"/>
              <w:numPr>
                <w:ilvl w:val="0"/>
                <w:numId w:val="2"/>
              </w:numPr>
              <w:spacing w:line="360" w:lineRule="auto"/>
              <w:jc w:val="left"/>
              <w:rPr>
                <w:rFonts w:ascii="宋体" w:hAnsi="宋体"/>
              </w:rPr>
            </w:pPr>
            <w:r>
              <w:rPr>
                <w:rFonts w:ascii="宋体" w:hAnsi="宋体"/>
              </w:rPr>
              <w:t>服务费以转账方式转入乙方的银行账户。</w:t>
            </w:r>
          </w:p>
          <w:p>
            <w:pPr>
              <w:pStyle w:val="45"/>
              <w:numPr>
                <w:ilvl w:val="0"/>
                <w:numId w:val="2"/>
              </w:numPr>
              <w:spacing w:line="360" w:lineRule="auto"/>
              <w:jc w:val="left"/>
              <w:rPr>
                <w:rFonts w:ascii="宋体" w:hAnsi="宋体"/>
                <w:szCs w:val="21"/>
              </w:rPr>
            </w:pPr>
            <w:r>
              <w:rPr>
                <w:rFonts w:ascii="宋体" w:hAnsi="宋体"/>
              </w:rPr>
              <w:t>收款方、出具发票方、合同乙方均必须与中标（成交）供应商名称一致。</w:t>
            </w:r>
          </w:p>
          <w:p>
            <w:pPr>
              <w:pStyle w:val="45"/>
              <w:numPr>
                <w:ilvl w:val="0"/>
                <w:numId w:val="2"/>
              </w:numPr>
              <w:spacing w:line="360" w:lineRule="auto"/>
              <w:jc w:val="left"/>
              <w:rPr>
                <w:rFonts w:ascii="宋体" w:hAnsi="宋体"/>
                <w:szCs w:val="21"/>
              </w:rPr>
            </w:pPr>
            <w:r>
              <w:rPr>
                <w:rFonts w:hint="eastAsia" w:ascii="宋体" w:hAnsi="宋体" w:cs="宋体"/>
                <w:szCs w:val="24"/>
              </w:rPr>
              <w:t>“付款”是指甲方向主管部门发出申请付款文件。</w:t>
            </w:r>
          </w:p>
          <w:p>
            <w:pPr>
              <w:pStyle w:val="45"/>
              <w:numPr>
                <w:ilvl w:val="0"/>
                <w:numId w:val="2"/>
              </w:numPr>
              <w:spacing w:line="360" w:lineRule="auto"/>
              <w:jc w:val="left"/>
              <w:rPr>
                <w:rFonts w:ascii="宋体" w:hAnsi="宋体"/>
                <w:szCs w:val="21"/>
              </w:rPr>
            </w:pPr>
            <w:r>
              <w:rPr>
                <w:rFonts w:hint="eastAsia" w:ascii="宋体" w:hAnsi="宋体"/>
                <w:szCs w:val="21"/>
              </w:rPr>
              <w:t>乙方应理解甲方付款的相关程序，因甲方使用的是财政资金，甲方在前款规定的付款时间为向财政支付部门提出办理财政支付申请手续的时间，不含财政支付部门审核的时间，甲方在约定期限内向财政支付部门发出付款申请即视为甲方已按期支付。因财政支付审批流程及办理手续而造成项目支付进度有所推延，甲方不承担逾期付款违约责任。（若因政府财政部门年底封账导致逾期付款，甲方不承担逾期付款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pStyle w:val="44"/>
              <w:numPr>
                <w:ilvl w:val="0"/>
                <w:numId w:val="1"/>
              </w:numPr>
              <w:tabs>
                <w:tab w:val="left" w:pos="453"/>
              </w:tabs>
              <w:spacing w:line="360" w:lineRule="auto"/>
              <w:jc w:val="center"/>
              <w:rPr>
                <w:rFonts w:ascii="宋体" w:hAnsi="宋体"/>
                <w:b/>
                <w:color w:val="auto"/>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ascii="宋体" w:hAnsi="宋体"/>
                <w:b/>
                <w:szCs w:val="21"/>
              </w:rPr>
            </w:pPr>
            <w:r>
              <w:rPr>
                <w:rFonts w:ascii="宋体" w:hAnsi="宋体"/>
                <w:b/>
                <w:bCs/>
              </w:rPr>
              <w:t>验收要求</w:t>
            </w:r>
          </w:p>
        </w:tc>
        <w:tc>
          <w:tcPr>
            <w:tcW w:w="663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rPr>
                <w:rFonts w:ascii="宋体" w:hAnsi="宋体"/>
                <w:color w:val="auto"/>
                <w:sz w:val="21"/>
                <w:szCs w:val="21"/>
              </w:rPr>
            </w:pPr>
            <w:r>
              <w:rPr>
                <w:rFonts w:hint="eastAsia" w:ascii="宋体" w:hAnsi="宋体"/>
                <w:color w:val="auto"/>
                <w:sz w:val="21"/>
                <w:szCs w:val="21"/>
              </w:rPr>
              <w:t>甲方在收到乙方项目验收建议之日起7个工作日内按照合同的约定对履约情况进行验收。乙方需为验收提供必需的一切条件及相关费用，并提供本项目的相关文档和验收所需资料，积极配合甲方完成验收工作。甲方的验收是初步的、不完全的，验收合格不视为豁免乙方的服务/产品质量等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pStyle w:val="44"/>
              <w:numPr>
                <w:ilvl w:val="0"/>
                <w:numId w:val="1"/>
              </w:numPr>
              <w:tabs>
                <w:tab w:val="left" w:pos="453"/>
              </w:tabs>
              <w:spacing w:line="360" w:lineRule="auto"/>
              <w:jc w:val="center"/>
              <w:rPr>
                <w:rFonts w:ascii="宋体" w:hAnsi="宋体"/>
                <w:b/>
                <w:color w:val="auto"/>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ascii="宋体" w:hAnsi="宋体"/>
                <w:b/>
                <w:bCs/>
              </w:rPr>
            </w:pPr>
            <w:r>
              <w:rPr>
                <w:rFonts w:ascii="宋体" w:hAnsi="宋体"/>
                <w:b/>
                <w:bCs/>
              </w:rPr>
              <w:t>违约责任</w:t>
            </w:r>
          </w:p>
        </w:tc>
        <w:tc>
          <w:tcPr>
            <w:tcW w:w="663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rPr>
                <w:rFonts w:ascii="宋体" w:hAnsi="宋体"/>
                <w:color w:val="auto"/>
                <w:sz w:val="21"/>
                <w:szCs w:val="21"/>
              </w:rPr>
            </w:pPr>
            <w:r>
              <w:rPr>
                <w:rFonts w:hint="eastAsia" w:ascii="宋体" w:hAnsi="宋体"/>
                <w:color w:val="auto"/>
                <w:sz w:val="21"/>
                <w:szCs w:val="21"/>
              </w:rPr>
              <w:t>乙方未按要求履行合同义务时，须从违约之日起每日按合同总额的5‰比例向甲方支付违约金；逾期30日以上时，甲方有权解除合同，由此造成甲方的经济损失由乙方承担。违约金不足以弥补损失的，乙方应按全额赔偿。</w:t>
            </w:r>
          </w:p>
          <w:p>
            <w:pPr>
              <w:pStyle w:val="44"/>
              <w:spacing w:line="360" w:lineRule="auto"/>
              <w:rPr>
                <w:rFonts w:ascii="宋体" w:hAnsi="宋体"/>
                <w:color w:val="auto"/>
                <w:sz w:val="21"/>
                <w:szCs w:val="21"/>
              </w:rPr>
            </w:pPr>
            <w:r>
              <w:rPr>
                <w:rFonts w:hint="eastAsia" w:ascii="宋体" w:hAnsi="宋体"/>
                <w:color w:val="auto"/>
                <w:sz w:val="21"/>
                <w:szCs w:val="21"/>
              </w:rPr>
              <w:t>双方对违约责任未明确约定的，相关违约责任按法律法规的有关规定执行。本合同项下所称甲方损失，包括但不限于第三方索赔、已支付款项和孳息、因乙方违约行为而发生的诉讼费、律师费、鉴定评估费、财产保全费、差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pStyle w:val="44"/>
              <w:numPr>
                <w:ilvl w:val="0"/>
                <w:numId w:val="1"/>
              </w:numPr>
              <w:tabs>
                <w:tab w:val="left" w:pos="453"/>
              </w:tabs>
              <w:spacing w:line="360" w:lineRule="auto"/>
              <w:jc w:val="center"/>
              <w:rPr>
                <w:rFonts w:ascii="宋体" w:hAnsi="宋体"/>
                <w:b/>
                <w:color w:val="auto"/>
                <w:sz w:val="21"/>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rPr>
                <w:rFonts w:ascii="宋体" w:hAnsi="宋体"/>
                <w:b/>
                <w:bCs/>
              </w:rPr>
            </w:pPr>
            <w:r>
              <w:rPr>
                <w:rFonts w:ascii="宋体" w:hAnsi="宋体"/>
                <w:b/>
                <w:bCs/>
              </w:rPr>
              <w:t>争议解决</w:t>
            </w:r>
          </w:p>
        </w:tc>
        <w:tc>
          <w:tcPr>
            <w:tcW w:w="663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rPr>
                <w:rFonts w:ascii="宋体" w:hAnsi="宋体"/>
                <w:color w:val="auto"/>
                <w:sz w:val="21"/>
                <w:szCs w:val="21"/>
              </w:rPr>
            </w:pPr>
            <w:r>
              <w:rPr>
                <w:rFonts w:hint="eastAsia" w:ascii="宋体" w:hAnsi="宋体"/>
                <w:color w:val="auto"/>
                <w:sz w:val="21"/>
                <w:szCs w:val="21"/>
              </w:rPr>
              <w:t>合同履行过程中发生的任何争议，如双方未能通过友好协商解决，应向甲方所在地人民法院提起诉讼。</w:t>
            </w:r>
          </w:p>
          <w:p>
            <w:pPr>
              <w:pStyle w:val="44"/>
              <w:spacing w:line="360" w:lineRule="auto"/>
              <w:rPr>
                <w:rFonts w:ascii="宋体" w:hAnsi="宋体"/>
                <w:color w:val="auto"/>
                <w:sz w:val="21"/>
                <w:szCs w:val="21"/>
              </w:rPr>
            </w:pPr>
            <w:r>
              <w:rPr>
                <w:rFonts w:hint="eastAsia" w:ascii="宋体" w:hAnsi="宋体"/>
                <w:color w:val="auto"/>
                <w:sz w:val="21"/>
                <w:szCs w:val="21"/>
              </w:rPr>
              <w:t>法院审理期间，除提交法院审理的事项外，其它无争议的事项和条款仍应继续履行。</w:t>
            </w:r>
          </w:p>
        </w:tc>
      </w:tr>
    </w:tbl>
    <w:p>
      <w:pPr>
        <w:ind w:firstLine="422" w:firstLineChars="200"/>
        <w:rPr>
          <w:rFonts w:ascii="宋体" w:hAnsi="宋体" w:cs="宋体"/>
          <w:b/>
          <w:kern w:val="0"/>
          <w:szCs w:val="21"/>
        </w:rPr>
      </w:pPr>
    </w:p>
    <w:p>
      <w:pPr>
        <w:ind w:firstLine="562" w:firstLineChars="200"/>
        <w:rPr>
          <w:rFonts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ascii="宋体" w:hAnsi="宋体"/>
          <w:bCs/>
          <w:snapToGrid w:val="0"/>
          <w:kern w:val="0"/>
          <w:szCs w:val="21"/>
        </w:rPr>
      </w:pPr>
      <w:r>
        <w:rPr>
          <w:rFonts w:hint="eastAsia" w:ascii="宋体" w:hAnsi="宋体"/>
          <w:bCs/>
          <w:snapToGrid w:val="0"/>
          <w:kern w:val="0"/>
          <w:szCs w:val="21"/>
        </w:rPr>
        <w:t>（3） 投标供应商的报价不得超过项目的预算金额。</w:t>
      </w:r>
    </w:p>
    <w:p>
      <w:pPr>
        <w:ind w:firstLine="420" w:firstLineChars="200"/>
        <w:rPr>
          <w:rFonts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pPr>
        <w:ind w:firstLine="420" w:firstLineChars="200"/>
        <w:rPr>
          <w:rFonts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pPr>
        <w:jc w:val="center"/>
        <w:rPr>
          <w:rFonts w:ascii="宋体" w:hAnsi="宋体" w:cs="Arial"/>
          <w:b/>
          <w:bCs/>
          <w:sz w:val="52"/>
          <w:szCs w:val="52"/>
        </w:rPr>
      </w:pPr>
    </w:p>
    <w:p>
      <w:pPr>
        <w:pStyle w:val="2"/>
        <w:ind w:firstLine="480"/>
      </w:pPr>
    </w:p>
    <w:p>
      <w:pPr>
        <w:jc w:val="center"/>
        <w:rPr>
          <w:rFonts w:ascii="宋体" w:hAnsi="宋体" w:cs="Arial"/>
          <w:b/>
          <w:bCs/>
          <w:sz w:val="52"/>
          <w:szCs w:val="52"/>
        </w:rPr>
      </w:pPr>
    </w:p>
    <w:p>
      <w:pPr>
        <w:jc w:val="center"/>
        <w:rPr>
          <w:rFonts w:ascii="宋体" w:cs="Arial"/>
          <w:b/>
          <w:bCs/>
          <w:sz w:val="52"/>
          <w:szCs w:val="52"/>
        </w:rPr>
      </w:pPr>
      <w:r>
        <w:rPr>
          <w:rFonts w:hint="eastAsia" w:ascii="宋体" w:hAnsi="宋体" w:cs="Arial"/>
          <w:b/>
          <w:bCs/>
          <w:sz w:val="52"/>
          <w:szCs w:val="52"/>
        </w:rPr>
        <w:t>询价应答文件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6"/>
        <w:jc w:val="center"/>
      </w:pPr>
      <w:r>
        <w:rPr>
          <w:rFonts w:hint="eastAsia"/>
        </w:rPr>
        <w:t>目录</w:t>
      </w:r>
    </w:p>
    <w:p/>
    <w:p>
      <w:r>
        <w:rPr>
          <w:rFonts w:hint="eastAsia"/>
        </w:rPr>
        <w:t>一、询价承诺函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1" w:name="_Hlk72092634"/>
      <w:r>
        <w:rPr>
          <w:rFonts w:hint="eastAsia"/>
        </w:rPr>
        <w:t>实质性条款响应情况表</w:t>
      </w:r>
      <w:bookmarkEnd w:id="1"/>
    </w:p>
    <w:p>
      <w:r>
        <w:rPr>
          <w:rFonts w:hint="eastAsia"/>
        </w:rPr>
        <w:t>六、报价表</w:t>
      </w:r>
    </w:p>
    <w:p>
      <w:r>
        <w:rPr>
          <w:rFonts w:hint="eastAsia"/>
        </w:rPr>
        <w:t>七、供应商认为需要提供的其它文件（如有）</w:t>
      </w:r>
    </w:p>
    <w:p>
      <w:pPr>
        <w:pStyle w:val="13"/>
      </w:pPr>
    </w:p>
    <w:p>
      <w:pPr>
        <w:widowControl/>
        <w:spacing w:before="100" w:beforeAutospacing="1" w:after="100" w:afterAutospacing="1"/>
        <w:rPr>
          <w:rFonts w:ascii="宋体" w:hAnsi="宋体" w:cs="宋体"/>
          <w:b/>
          <w:bCs/>
          <w:kern w:val="0"/>
          <w:sz w:val="24"/>
          <w:szCs w:val="36"/>
        </w:rPr>
      </w:pPr>
    </w:p>
    <w:p>
      <w:pPr>
        <w:widowControl/>
        <w:jc w:val="left"/>
        <w:rPr>
          <w:rFonts w:ascii="宋体" w:hAnsi="宋体"/>
          <w:b/>
          <w:sz w:val="30"/>
          <w:szCs w:val="30"/>
        </w:rPr>
      </w:pPr>
      <w:r>
        <w:rPr>
          <w:rFonts w:ascii="宋体" w:hAnsi="宋体"/>
          <w:b/>
          <w:sz w:val="30"/>
          <w:szCs w:val="30"/>
        </w:rPr>
        <w:br w:type="page"/>
      </w:r>
    </w:p>
    <w:p>
      <w:pPr>
        <w:pStyle w:val="27"/>
        <w:ind w:firstLine="0" w:firstLineChars="0"/>
        <w:jc w:val="center"/>
        <w:outlineLvl w:val="1"/>
        <w:rPr>
          <w:rFonts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rPr>
        <w:t>询价承诺函</w:t>
      </w:r>
      <w:bookmarkEnd w:id="2"/>
    </w:p>
    <w:p>
      <w:pPr>
        <w:rPr>
          <w:rFonts w:ascii="宋体" w:hAnsi="宋体"/>
        </w:rPr>
      </w:pPr>
      <w:r>
        <w:rPr>
          <w:rFonts w:hint="eastAsia" w:ascii="宋体" w:hAnsi="宋体"/>
        </w:rPr>
        <w:t>致：采购人</w:t>
      </w:r>
    </w:p>
    <w:p>
      <w:pPr>
        <w:ind w:firstLine="420" w:firstLineChars="200"/>
        <w:rPr>
          <w:rFonts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pPr>
        <w:ind w:firstLine="420" w:firstLineChars="200"/>
        <w:rPr>
          <w:rFonts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pPr>
        <w:ind w:firstLine="420" w:firstLineChars="200"/>
        <w:rPr>
          <w:rFonts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ascii="宋体" w:hAnsi="宋体"/>
        </w:rPr>
      </w:pPr>
      <w:r>
        <w:rPr>
          <w:rFonts w:hint="eastAsia" w:ascii="宋体" w:hAnsi="宋体"/>
        </w:rPr>
        <w:t>4、我公司具备《中华人民共和国政府采购法》第二十二条第一款的条件。</w:t>
      </w:r>
    </w:p>
    <w:p>
      <w:pPr>
        <w:ind w:firstLine="420" w:firstLineChars="200"/>
        <w:rPr>
          <w:rFonts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ascii="宋体" w:hAnsi="宋体"/>
        </w:rPr>
      </w:pPr>
      <w:r>
        <w:rPr>
          <w:rFonts w:hint="eastAsia" w:ascii="宋体" w:hAnsi="宋体"/>
        </w:rPr>
        <w:t>特此承诺！</w:t>
      </w:r>
    </w:p>
    <w:p>
      <w:pPr>
        <w:ind w:firstLine="420" w:firstLineChars="200"/>
        <w:rPr>
          <w:rFonts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ascii="宋体" w:hAnsi="宋体" w:cs="Arial"/>
          <w:bCs/>
          <w:szCs w:val="21"/>
        </w:rPr>
      </w:pPr>
      <w:r>
        <w:rPr>
          <w:rFonts w:hint="eastAsia" w:ascii="宋体" w:hAnsi="宋体" w:cs="Arial"/>
          <w:bCs/>
          <w:szCs w:val="21"/>
        </w:rPr>
        <w:t>日  期：       年    月   日</w:t>
      </w:r>
    </w:p>
    <w:p>
      <w:pPr>
        <w:widowControl/>
        <w:jc w:val="center"/>
        <w:rPr>
          <w:rFonts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ascii="宋体" w:hAnsi="宋体"/>
        </w:rPr>
      </w:pPr>
      <w:r>
        <w:rPr>
          <w:rFonts w:hint="eastAsia" w:ascii="宋体" w:hAnsi="宋体"/>
        </w:rPr>
        <w:br w:type="page"/>
      </w: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ascii="宋体" w:hAnsi="宋体" w:cs="宋体"/>
          <w:szCs w:val="21"/>
        </w:rPr>
      </w:pPr>
    </w:p>
    <w:tbl>
      <w:tblPr>
        <w:tblStyle w:val="43"/>
        <w:tblW w:w="83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29"/>
        <w:gridCol w:w="1487"/>
        <w:gridCol w:w="878"/>
        <w:gridCol w:w="735"/>
        <w:gridCol w:w="1109"/>
        <w:gridCol w:w="1392"/>
        <w:gridCol w:w="14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1314" w:type="dxa"/>
            <w:gridSpan w:val="2"/>
            <w:vAlign w:val="center"/>
          </w:tcPr>
          <w:p>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（必填项）</w:t>
            </w:r>
          </w:p>
        </w:tc>
        <w:tc>
          <w:tcPr>
            <w:tcW w:w="2365" w:type="dxa"/>
            <w:gridSpan w:val="2"/>
            <w:vAlign w:val="center"/>
          </w:tcPr>
          <w:p>
            <w:pPr>
              <w:spacing w:after="0" w:line="240" w:lineRule="auto"/>
              <w:rPr>
                <w:rFonts w:ascii="宋体" w:hAnsi="宋体" w:cs="宋体"/>
                <w:szCs w:val="21"/>
              </w:rPr>
            </w:pPr>
          </w:p>
        </w:tc>
        <w:tc>
          <w:tcPr>
            <w:tcW w:w="1844" w:type="dxa"/>
            <w:gridSpan w:val="2"/>
            <w:vAlign w:val="center"/>
          </w:tcPr>
          <w:p>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ascii="宋体" w:hAnsi="宋体" w:cs="宋体"/>
                <w:spacing w:val="-3"/>
                <w:szCs w:val="21"/>
              </w:rPr>
            </w:pPr>
            <w:r>
              <w:rPr>
                <w:rFonts w:hint="eastAsia" w:ascii="宋体" w:hAnsi="宋体" w:cs="宋体"/>
                <w:b/>
                <w:bCs/>
                <w:color w:val="FF0000"/>
                <w:spacing w:val="-4"/>
                <w:szCs w:val="21"/>
                <w:lang w:eastAsia="en-US"/>
              </w:rPr>
              <w:t>（必填项）</w:t>
            </w:r>
          </w:p>
        </w:tc>
        <w:tc>
          <w:tcPr>
            <w:tcW w:w="2794" w:type="dxa"/>
            <w:gridSpan w:val="2"/>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1" w:hRule="atLeast"/>
        </w:trPr>
        <w:tc>
          <w:tcPr>
            <w:tcW w:w="1314" w:type="dxa"/>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ascii="宋体" w:hAnsi="宋体" w:cs="宋体"/>
                <w:spacing w:val="-5"/>
                <w:szCs w:val="21"/>
              </w:rPr>
            </w:pPr>
            <w:r>
              <w:rPr>
                <w:rFonts w:hint="eastAsia" w:ascii="宋体" w:hAnsi="宋体" w:cs="宋体"/>
                <w:b/>
                <w:bCs/>
                <w:color w:val="FF0000"/>
                <w:spacing w:val="-4"/>
                <w:szCs w:val="21"/>
              </w:rPr>
              <w:t>（必填项）</w:t>
            </w:r>
          </w:p>
        </w:tc>
        <w:tc>
          <w:tcPr>
            <w:tcW w:w="2365" w:type="dxa"/>
            <w:gridSpan w:val="2"/>
            <w:vAlign w:val="center"/>
          </w:tcPr>
          <w:p>
            <w:pPr>
              <w:spacing w:after="0" w:line="240" w:lineRule="auto"/>
              <w:rPr>
                <w:rFonts w:ascii="宋体" w:hAnsi="宋体" w:cs="宋体"/>
                <w:szCs w:val="21"/>
              </w:rPr>
            </w:pPr>
          </w:p>
        </w:tc>
        <w:tc>
          <w:tcPr>
            <w:tcW w:w="1844" w:type="dxa"/>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ascii="宋体" w:hAnsi="宋体" w:cs="宋体"/>
                <w:spacing w:val="-3"/>
                <w:szCs w:val="21"/>
              </w:rPr>
            </w:pPr>
            <w:r>
              <w:rPr>
                <w:rFonts w:ascii="宋体" w:hAnsi="宋体" w:cs="宋体"/>
                <w:b/>
                <w:bCs/>
                <w:color w:val="FF0000"/>
                <w:spacing w:val="-4"/>
                <w:szCs w:val="21"/>
                <w:lang w:eastAsia="en-US"/>
              </w:rPr>
              <w:t>（必填项）</w:t>
            </w:r>
          </w:p>
        </w:tc>
        <w:tc>
          <w:tcPr>
            <w:tcW w:w="2794" w:type="dxa"/>
            <w:gridSpan w:val="2"/>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8317" w:type="dxa"/>
            <w:gridSpan w:val="8"/>
            <w:vAlign w:val="center"/>
          </w:tcPr>
          <w:p>
            <w:pPr>
              <w:spacing w:after="0" w:line="198" w:lineRule="auto"/>
              <w:ind w:left="2683"/>
              <w:rPr>
                <w:rFonts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685" w:type="dxa"/>
            <w:vAlign w:val="center"/>
          </w:tcPr>
          <w:p>
            <w:pPr>
              <w:spacing w:after="0" w:line="202" w:lineRule="auto"/>
              <w:ind w:left="145"/>
              <w:rPr>
                <w:rFonts w:ascii="宋体" w:hAnsi="宋体" w:cs="宋体"/>
                <w:spacing w:val="-5"/>
                <w:szCs w:val="21"/>
              </w:rPr>
            </w:pPr>
            <w:r>
              <w:rPr>
                <w:rFonts w:hint="eastAsia" w:ascii="宋体" w:hAnsi="宋体" w:cs="宋体"/>
                <w:spacing w:val="-5"/>
                <w:szCs w:val="21"/>
              </w:rPr>
              <w:t>序号</w:t>
            </w:r>
          </w:p>
        </w:tc>
        <w:tc>
          <w:tcPr>
            <w:tcW w:w="2116" w:type="dxa"/>
            <w:gridSpan w:val="2"/>
            <w:vAlign w:val="center"/>
          </w:tcPr>
          <w:p>
            <w:pPr>
              <w:spacing w:after="0" w:line="202" w:lineRule="auto"/>
              <w:ind w:left="916"/>
              <w:rPr>
                <w:rFonts w:ascii="宋体" w:hAnsi="宋体" w:cs="宋体"/>
                <w:spacing w:val="-6"/>
                <w:szCs w:val="21"/>
              </w:rPr>
            </w:pPr>
            <w:r>
              <w:rPr>
                <w:rFonts w:hint="eastAsia" w:ascii="宋体" w:hAnsi="宋体" w:cs="宋体"/>
                <w:spacing w:val="-6"/>
                <w:szCs w:val="21"/>
              </w:rPr>
              <w:t>职务</w:t>
            </w:r>
          </w:p>
        </w:tc>
        <w:tc>
          <w:tcPr>
            <w:tcW w:w="878" w:type="dxa"/>
            <w:vAlign w:val="center"/>
          </w:tcPr>
          <w:p>
            <w:pPr>
              <w:spacing w:after="0" w:line="203" w:lineRule="auto"/>
              <w:ind w:left="245"/>
              <w:rPr>
                <w:rFonts w:ascii="宋体" w:hAnsi="宋体" w:cs="宋体"/>
                <w:spacing w:val="-4"/>
                <w:szCs w:val="21"/>
              </w:rPr>
            </w:pPr>
            <w:r>
              <w:rPr>
                <w:rFonts w:hint="eastAsia" w:ascii="宋体" w:hAnsi="宋体" w:cs="宋体"/>
                <w:spacing w:val="-4"/>
                <w:szCs w:val="21"/>
              </w:rPr>
              <w:t>姓名</w:t>
            </w:r>
          </w:p>
        </w:tc>
        <w:tc>
          <w:tcPr>
            <w:tcW w:w="1844" w:type="dxa"/>
            <w:gridSpan w:val="2"/>
            <w:vAlign w:val="center"/>
          </w:tcPr>
          <w:p>
            <w:pPr>
              <w:spacing w:after="0" w:line="203" w:lineRule="auto"/>
              <w:ind w:left="410"/>
              <w:rPr>
                <w:rFonts w:ascii="宋体" w:hAnsi="宋体" w:cs="宋体"/>
                <w:spacing w:val="-3"/>
                <w:szCs w:val="21"/>
              </w:rPr>
            </w:pPr>
            <w:r>
              <w:rPr>
                <w:rFonts w:hint="eastAsia" w:ascii="宋体" w:hAnsi="宋体" w:cs="宋体"/>
                <w:spacing w:val="-3"/>
                <w:szCs w:val="21"/>
              </w:rPr>
              <w:t>身份证号码</w:t>
            </w:r>
          </w:p>
        </w:tc>
        <w:tc>
          <w:tcPr>
            <w:tcW w:w="1392" w:type="dxa"/>
            <w:vAlign w:val="center"/>
          </w:tcPr>
          <w:p>
            <w:pPr>
              <w:spacing w:after="0" w:line="191" w:lineRule="auto"/>
              <w:ind w:left="288" w:right="266" w:firstLine="5"/>
              <w:rPr>
                <w:rFonts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ascii="宋体" w:hAnsi="宋体" w:cs="宋体"/>
                <w:spacing w:val="-7"/>
                <w:szCs w:val="21"/>
              </w:rPr>
            </w:pPr>
            <w:r>
              <w:rPr>
                <w:rFonts w:hint="eastAsia" w:ascii="宋体" w:hAnsi="宋体" w:cs="宋体"/>
                <w:spacing w:val="-7"/>
                <w:szCs w:val="21"/>
              </w:rPr>
              <w:t>关系单位</w:t>
            </w:r>
          </w:p>
        </w:tc>
        <w:tc>
          <w:tcPr>
            <w:tcW w:w="1402" w:type="dxa"/>
            <w:vAlign w:val="center"/>
          </w:tcPr>
          <w:p>
            <w:pPr>
              <w:spacing w:after="0" w:line="191" w:lineRule="auto"/>
              <w:ind w:left="271" w:right="262" w:firstLine="8"/>
              <w:rPr>
                <w:rFonts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4" w:hRule="atLeast"/>
        </w:trPr>
        <w:tc>
          <w:tcPr>
            <w:tcW w:w="685" w:type="dxa"/>
            <w:vAlign w:val="center"/>
          </w:tcPr>
          <w:p>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2116" w:type="dxa"/>
            <w:gridSpan w:val="2"/>
            <w:vAlign w:val="center"/>
          </w:tcPr>
          <w:p>
            <w:pPr>
              <w:spacing w:after="0" w:line="203" w:lineRule="auto"/>
              <w:jc w:val="center"/>
              <w:rPr>
                <w:rFonts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878" w:type="dxa"/>
            <w:vAlign w:val="center"/>
          </w:tcPr>
          <w:p>
            <w:pPr>
              <w:spacing w:after="0" w:line="240" w:lineRule="auto"/>
              <w:rPr>
                <w:rFonts w:ascii="宋体" w:hAnsi="宋体" w:cs="宋体"/>
                <w:szCs w:val="21"/>
              </w:rPr>
            </w:pPr>
          </w:p>
        </w:tc>
        <w:tc>
          <w:tcPr>
            <w:tcW w:w="1844" w:type="dxa"/>
            <w:gridSpan w:val="2"/>
            <w:vAlign w:val="center"/>
          </w:tcPr>
          <w:p>
            <w:pPr>
              <w:spacing w:after="0" w:line="240" w:lineRule="auto"/>
              <w:rPr>
                <w:rFonts w:ascii="宋体" w:hAnsi="宋体" w:cs="宋体"/>
                <w:szCs w:val="21"/>
              </w:rPr>
            </w:pPr>
          </w:p>
        </w:tc>
        <w:tc>
          <w:tcPr>
            <w:tcW w:w="1392" w:type="dxa"/>
            <w:vAlign w:val="center"/>
          </w:tcPr>
          <w:p>
            <w:pPr>
              <w:spacing w:after="0" w:line="240" w:lineRule="auto"/>
              <w:rPr>
                <w:rFonts w:ascii="宋体" w:hAnsi="宋体" w:cs="宋体"/>
                <w:szCs w:val="21"/>
              </w:rPr>
            </w:pPr>
          </w:p>
        </w:tc>
        <w:tc>
          <w:tcPr>
            <w:tcW w:w="1402" w:type="dxa"/>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685" w:type="dxa"/>
            <w:vAlign w:val="center"/>
          </w:tcPr>
          <w:p>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2116" w:type="dxa"/>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878" w:type="dxa"/>
            <w:vAlign w:val="center"/>
          </w:tcPr>
          <w:p>
            <w:pPr>
              <w:spacing w:after="0" w:line="240" w:lineRule="auto"/>
              <w:rPr>
                <w:rFonts w:ascii="宋体" w:hAnsi="宋体" w:cs="宋体"/>
                <w:szCs w:val="21"/>
              </w:rPr>
            </w:pPr>
          </w:p>
        </w:tc>
        <w:tc>
          <w:tcPr>
            <w:tcW w:w="1844" w:type="dxa"/>
            <w:gridSpan w:val="2"/>
            <w:vAlign w:val="center"/>
          </w:tcPr>
          <w:p>
            <w:pPr>
              <w:spacing w:after="0" w:line="240" w:lineRule="auto"/>
              <w:rPr>
                <w:rFonts w:ascii="宋体" w:hAnsi="宋体" w:cs="宋体"/>
                <w:szCs w:val="21"/>
              </w:rPr>
            </w:pPr>
          </w:p>
        </w:tc>
        <w:tc>
          <w:tcPr>
            <w:tcW w:w="1392" w:type="dxa"/>
            <w:vAlign w:val="center"/>
          </w:tcPr>
          <w:p>
            <w:pPr>
              <w:spacing w:after="0" w:line="240" w:lineRule="auto"/>
              <w:rPr>
                <w:rFonts w:ascii="宋体" w:hAnsi="宋体" w:cs="宋体"/>
                <w:szCs w:val="21"/>
              </w:rPr>
            </w:pPr>
          </w:p>
        </w:tc>
        <w:tc>
          <w:tcPr>
            <w:tcW w:w="1402" w:type="dxa"/>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685" w:type="dxa"/>
            <w:vAlign w:val="center"/>
          </w:tcPr>
          <w:p>
            <w:pPr>
              <w:spacing w:after="0" w:line="167" w:lineRule="auto"/>
              <w:ind w:left="321"/>
              <w:rPr>
                <w:rFonts w:ascii="宋体" w:hAnsi="宋体" w:cs="宋体"/>
                <w:szCs w:val="21"/>
                <w:lang w:eastAsia="en-US"/>
              </w:rPr>
            </w:pPr>
            <w:r>
              <w:rPr>
                <w:rFonts w:hint="eastAsia" w:ascii="宋体" w:hAnsi="宋体" w:cs="宋体"/>
                <w:szCs w:val="21"/>
                <w:lang w:eastAsia="en-US"/>
              </w:rPr>
              <w:t>3</w:t>
            </w:r>
          </w:p>
        </w:tc>
        <w:tc>
          <w:tcPr>
            <w:tcW w:w="2116" w:type="dxa"/>
            <w:gridSpan w:val="2"/>
            <w:vAlign w:val="center"/>
          </w:tcPr>
          <w:p>
            <w:pPr>
              <w:spacing w:after="0" w:line="201" w:lineRule="auto"/>
              <w:jc w:val="center"/>
              <w:rPr>
                <w:rFonts w:ascii="宋体" w:hAnsi="宋体" w:cs="宋体"/>
                <w:szCs w:val="21"/>
              </w:rPr>
            </w:pPr>
            <w:r>
              <w:rPr>
                <w:rFonts w:hint="eastAsia" w:ascii="宋体" w:hAnsi="宋体" w:cs="宋体"/>
                <w:spacing w:val="-3"/>
                <w:szCs w:val="21"/>
              </w:rPr>
              <w:t>项目负责人（如本项目未安排，可不填写）</w:t>
            </w:r>
          </w:p>
        </w:tc>
        <w:tc>
          <w:tcPr>
            <w:tcW w:w="878" w:type="dxa"/>
            <w:vAlign w:val="center"/>
          </w:tcPr>
          <w:p>
            <w:pPr>
              <w:spacing w:after="0" w:line="240" w:lineRule="auto"/>
              <w:rPr>
                <w:rFonts w:ascii="宋体" w:hAnsi="宋体" w:cs="宋体"/>
                <w:szCs w:val="21"/>
              </w:rPr>
            </w:pPr>
          </w:p>
        </w:tc>
        <w:tc>
          <w:tcPr>
            <w:tcW w:w="1844" w:type="dxa"/>
            <w:gridSpan w:val="2"/>
            <w:vAlign w:val="center"/>
          </w:tcPr>
          <w:p>
            <w:pPr>
              <w:spacing w:after="0" w:line="240" w:lineRule="auto"/>
              <w:rPr>
                <w:rFonts w:ascii="宋体" w:hAnsi="宋体" w:cs="宋体"/>
                <w:szCs w:val="21"/>
              </w:rPr>
            </w:pPr>
          </w:p>
        </w:tc>
        <w:tc>
          <w:tcPr>
            <w:tcW w:w="1392" w:type="dxa"/>
            <w:vAlign w:val="center"/>
          </w:tcPr>
          <w:p>
            <w:pPr>
              <w:spacing w:after="0" w:line="240" w:lineRule="auto"/>
              <w:rPr>
                <w:rFonts w:ascii="宋体" w:hAnsi="宋体" w:cs="宋体"/>
                <w:szCs w:val="21"/>
              </w:rPr>
            </w:pPr>
          </w:p>
        </w:tc>
        <w:tc>
          <w:tcPr>
            <w:tcW w:w="1402" w:type="dxa"/>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685" w:type="dxa"/>
            <w:vAlign w:val="center"/>
          </w:tcPr>
          <w:p>
            <w:pPr>
              <w:spacing w:after="0" w:line="168" w:lineRule="auto"/>
              <w:ind w:left="314"/>
              <w:rPr>
                <w:rFonts w:ascii="宋体" w:hAnsi="宋体" w:cs="宋体"/>
                <w:szCs w:val="21"/>
                <w:lang w:eastAsia="en-US"/>
              </w:rPr>
            </w:pPr>
            <w:r>
              <w:rPr>
                <w:rFonts w:hint="eastAsia" w:ascii="宋体" w:hAnsi="宋体" w:cs="宋体"/>
                <w:szCs w:val="21"/>
                <w:lang w:eastAsia="en-US"/>
              </w:rPr>
              <w:t>4</w:t>
            </w:r>
          </w:p>
        </w:tc>
        <w:tc>
          <w:tcPr>
            <w:tcW w:w="2116" w:type="dxa"/>
            <w:gridSpan w:val="2"/>
            <w:vAlign w:val="center"/>
          </w:tcPr>
          <w:p>
            <w:pPr>
              <w:spacing w:after="0" w:line="202" w:lineRule="auto"/>
              <w:rPr>
                <w:rFonts w:ascii="宋体" w:hAnsi="宋体" w:cs="宋体"/>
                <w:szCs w:val="21"/>
              </w:rPr>
            </w:pPr>
            <w:r>
              <w:rPr>
                <w:rFonts w:hint="eastAsia" w:ascii="宋体" w:hAnsi="宋体" w:cs="宋体"/>
                <w:spacing w:val="-4"/>
                <w:szCs w:val="21"/>
              </w:rPr>
              <w:t>主要技术人员（如本项目未安排，可不填写）</w:t>
            </w:r>
          </w:p>
        </w:tc>
        <w:tc>
          <w:tcPr>
            <w:tcW w:w="878" w:type="dxa"/>
            <w:vAlign w:val="center"/>
          </w:tcPr>
          <w:p>
            <w:pPr>
              <w:spacing w:after="0" w:line="240" w:lineRule="auto"/>
              <w:rPr>
                <w:rFonts w:ascii="宋体" w:hAnsi="宋体" w:cs="宋体"/>
                <w:szCs w:val="21"/>
              </w:rPr>
            </w:pPr>
          </w:p>
        </w:tc>
        <w:tc>
          <w:tcPr>
            <w:tcW w:w="1844" w:type="dxa"/>
            <w:gridSpan w:val="2"/>
            <w:vAlign w:val="center"/>
          </w:tcPr>
          <w:p>
            <w:pPr>
              <w:spacing w:after="0" w:line="240" w:lineRule="auto"/>
              <w:rPr>
                <w:rFonts w:ascii="宋体" w:hAnsi="宋体" w:cs="宋体"/>
                <w:szCs w:val="21"/>
              </w:rPr>
            </w:pPr>
          </w:p>
        </w:tc>
        <w:tc>
          <w:tcPr>
            <w:tcW w:w="1392" w:type="dxa"/>
            <w:vAlign w:val="center"/>
          </w:tcPr>
          <w:p>
            <w:pPr>
              <w:spacing w:after="0" w:line="240" w:lineRule="auto"/>
              <w:rPr>
                <w:rFonts w:ascii="宋体" w:hAnsi="宋体" w:cs="宋体"/>
                <w:szCs w:val="21"/>
              </w:rPr>
            </w:pPr>
          </w:p>
        </w:tc>
        <w:tc>
          <w:tcPr>
            <w:tcW w:w="1402" w:type="dxa"/>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685" w:type="dxa"/>
            <w:vAlign w:val="center"/>
          </w:tcPr>
          <w:p>
            <w:pPr>
              <w:spacing w:after="0" w:line="165" w:lineRule="auto"/>
              <w:ind w:left="325"/>
              <w:rPr>
                <w:rFonts w:ascii="宋体" w:hAnsi="宋体" w:cs="宋体"/>
                <w:szCs w:val="21"/>
                <w:lang w:eastAsia="en-US"/>
              </w:rPr>
            </w:pPr>
            <w:r>
              <w:rPr>
                <w:rFonts w:hint="eastAsia" w:ascii="宋体" w:hAnsi="宋体" w:cs="宋体"/>
                <w:szCs w:val="21"/>
                <w:lang w:eastAsia="en-US"/>
              </w:rPr>
              <w:t>5</w:t>
            </w:r>
          </w:p>
        </w:tc>
        <w:tc>
          <w:tcPr>
            <w:tcW w:w="2116" w:type="dxa"/>
            <w:gridSpan w:val="2"/>
            <w:vAlign w:val="center"/>
          </w:tcPr>
          <w:p>
            <w:pPr>
              <w:spacing w:after="0" w:line="202" w:lineRule="auto"/>
              <w:jc w:val="center"/>
              <w:rPr>
                <w:rFonts w:ascii="宋体" w:hAnsi="宋体" w:cs="宋体"/>
                <w:szCs w:val="21"/>
              </w:rPr>
            </w:pPr>
            <w:r>
              <w:rPr>
                <w:rFonts w:hint="eastAsia" w:ascii="宋体" w:hAnsi="宋体" w:cs="宋体"/>
                <w:b/>
                <w:bCs/>
                <w:color w:val="FF0000"/>
                <w:spacing w:val="-4"/>
                <w:szCs w:val="21"/>
              </w:rPr>
              <w:t>投标文件编制人员（必填项）</w:t>
            </w:r>
          </w:p>
        </w:tc>
        <w:tc>
          <w:tcPr>
            <w:tcW w:w="878" w:type="dxa"/>
            <w:vAlign w:val="center"/>
          </w:tcPr>
          <w:p>
            <w:pPr>
              <w:spacing w:after="0" w:line="240" w:lineRule="auto"/>
              <w:rPr>
                <w:rFonts w:ascii="宋体" w:hAnsi="宋体" w:cs="宋体"/>
                <w:szCs w:val="21"/>
              </w:rPr>
            </w:pPr>
          </w:p>
        </w:tc>
        <w:tc>
          <w:tcPr>
            <w:tcW w:w="1844" w:type="dxa"/>
            <w:gridSpan w:val="2"/>
            <w:vAlign w:val="center"/>
          </w:tcPr>
          <w:p>
            <w:pPr>
              <w:spacing w:after="0" w:line="240" w:lineRule="auto"/>
              <w:rPr>
                <w:rFonts w:ascii="宋体" w:hAnsi="宋体" w:cs="宋体"/>
                <w:szCs w:val="21"/>
              </w:rPr>
            </w:pPr>
          </w:p>
        </w:tc>
        <w:tc>
          <w:tcPr>
            <w:tcW w:w="1392" w:type="dxa"/>
            <w:vAlign w:val="center"/>
          </w:tcPr>
          <w:p>
            <w:pPr>
              <w:spacing w:after="0" w:line="240" w:lineRule="auto"/>
              <w:rPr>
                <w:rFonts w:ascii="宋体" w:hAnsi="宋体" w:cs="宋体"/>
                <w:szCs w:val="21"/>
              </w:rPr>
            </w:pPr>
          </w:p>
        </w:tc>
        <w:tc>
          <w:tcPr>
            <w:tcW w:w="1402" w:type="dxa"/>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8317" w:type="dxa"/>
            <w:gridSpan w:val="8"/>
            <w:vAlign w:val="center"/>
          </w:tcPr>
          <w:p>
            <w:pPr>
              <w:spacing w:after="0" w:line="198" w:lineRule="auto"/>
              <w:ind w:left="120"/>
              <w:rPr>
                <w:rFonts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8317" w:type="dxa"/>
            <w:gridSpan w:val="8"/>
            <w:vAlign w:val="center"/>
          </w:tcPr>
          <w:p>
            <w:pPr>
              <w:spacing w:after="0" w:line="198" w:lineRule="auto"/>
              <w:ind w:left="2683"/>
              <w:rPr>
                <w:rFonts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685" w:type="dxa"/>
            <w:vAlign w:val="center"/>
          </w:tcPr>
          <w:p>
            <w:pPr>
              <w:spacing w:after="0" w:line="202" w:lineRule="auto"/>
              <w:ind w:left="145"/>
              <w:rPr>
                <w:rFonts w:ascii="宋体" w:hAnsi="宋体" w:cs="宋体"/>
                <w:szCs w:val="21"/>
                <w:lang w:eastAsia="en-US"/>
              </w:rPr>
            </w:pPr>
            <w:r>
              <w:rPr>
                <w:rFonts w:hint="eastAsia" w:ascii="宋体" w:hAnsi="宋体" w:cs="宋体"/>
                <w:spacing w:val="-5"/>
                <w:szCs w:val="21"/>
                <w:lang w:eastAsia="en-US"/>
              </w:rPr>
              <w:t>序号</w:t>
            </w:r>
          </w:p>
        </w:tc>
        <w:tc>
          <w:tcPr>
            <w:tcW w:w="2116" w:type="dxa"/>
            <w:gridSpan w:val="2"/>
            <w:vAlign w:val="center"/>
          </w:tcPr>
          <w:p>
            <w:pPr>
              <w:spacing w:after="0" w:line="202" w:lineRule="auto"/>
              <w:ind w:left="436"/>
              <w:rPr>
                <w:rFonts w:ascii="宋体" w:hAnsi="宋体" w:cs="宋体"/>
                <w:szCs w:val="21"/>
                <w:lang w:eastAsia="en-US"/>
              </w:rPr>
            </w:pPr>
            <w:r>
              <w:rPr>
                <w:rFonts w:hint="eastAsia" w:ascii="宋体" w:hAnsi="宋体" w:cs="宋体"/>
                <w:spacing w:val="-3"/>
                <w:szCs w:val="21"/>
                <w:lang w:eastAsia="en-US"/>
              </w:rPr>
              <w:t>关联关系类型</w:t>
            </w:r>
          </w:p>
        </w:tc>
        <w:tc>
          <w:tcPr>
            <w:tcW w:w="1613" w:type="dxa"/>
            <w:gridSpan w:val="2"/>
            <w:vAlign w:val="center"/>
          </w:tcPr>
          <w:p>
            <w:pPr>
              <w:spacing w:after="0" w:line="203" w:lineRule="auto"/>
              <w:ind w:left="166"/>
              <w:rPr>
                <w:rFonts w:ascii="宋体" w:hAnsi="宋体" w:cs="宋体"/>
                <w:szCs w:val="21"/>
                <w:lang w:eastAsia="en-US"/>
              </w:rPr>
            </w:pPr>
            <w:r>
              <w:rPr>
                <w:rFonts w:hint="eastAsia" w:ascii="宋体" w:hAnsi="宋体" w:cs="宋体"/>
                <w:spacing w:val="-3"/>
                <w:szCs w:val="21"/>
                <w:lang w:eastAsia="en-US"/>
              </w:rPr>
              <w:t>关联主体名称</w:t>
            </w:r>
          </w:p>
        </w:tc>
        <w:tc>
          <w:tcPr>
            <w:tcW w:w="3903" w:type="dxa"/>
            <w:gridSpan w:val="3"/>
            <w:vAlign w:val="center"/>
          </w:tcPr>
          <w:p>
            <w:pPr>
              <w:spacing w:after="0" w:line="204" w:lineRule="auto"/>
              <w:ind w:left="1862"/>
              <w:rPr>
                <w:rFonts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82" w:hRule="atLeast"/>
        </w:trPr>
        <w:tc>
          <w:tcPr>
            <w:tcW w:w="685" w:type="dxa"/>
            <w:vAlign w:val="center"/>
          </w:tcPr>
          <w:p>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2116" w:type="dxa"/>
            <w:gridSpan w:val="2"/>
            <w:vAlign w:val="center"/>
          </w:tcPr>
          <w:p>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控股股东（必填项）</w:t>
            </w:r>
          </w:p>
        </w:tc>
        <w:tc>
          <w:tcPr>
            <w:tcW w:w="1613" w:type="dxa"/>
            <w:gridSpan w:val="2"/>
            <w:vAlign w:val="center"/>
          </w:tcPr>
          <w:p>
            <w:pPr>
              <w:spacing w:after="0" w:line="240" w:lineRule="auto"/>
              <w:rPr>
                <w:rFonts w:ascii="宋体" w:hAnsi="宋体" w:cs="宋体"/>
                <w:szCs w:val="21"/>
              </w:rPr>
            </w:pPr>
          </w:p>
        </w:tc>
        <w:tc>
          <w:tcPr>
            <w:tcW w:w="3903" w:type="dxa"/>
            <w:gridSpan w:val="3"/>
            <w:vAlign w:val="center"/>
          </w:tcPr>
          <w:p>
            <w:pPr>
              <w:spacing w:after="0" w:line="240" w:lineRule="auto"/>
              <w:rPr>
                <w:rFonts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685" w:type="dxa"/>
            <w:vAlign w:val="center"/>
          </w:tcPr>
          <w:p>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2116" w:type="dxa"/>
            <w:gridSpan w:val="2"/>
            <w:vAlign w:val="center"/>
          </w:tcPr>
          <w:p>
            <w:pPr>
              <w:spacing w:after="0" w:line="203" w:lineRule="auto"/>
              <w:jc w:val="center"/>
              <w:rPr>
                <w:rFonts w:ascii="宋体" w:hAnsi="宋体" w:cs="宋体"/>
                <w:szCs w:val="21"/>
              </w:rPr>
            </w:pPr>
            <w:r>
              <w:rPr>
                <w:rFonts w:hint="eastAsia" w:ascii="宋体" w:hAnsi="宋体" w:cs="宋体"/>
                <w:spacing w:val="-5"/>
                <w:szCs w:val="21"/>
              </w:rPr>
              <w:t>管理关系（如无，可不填写）</w:t>
            </w:r>
          </w:p>
        </w:tc>
        <w:tc>
          <w:tcPr>
            <w:tcW w:w="1613" w:type="dxa"/>
            <w:gridSpan w:val="2"/>
            <w:vAlign w:val="center"/>
          </w:tcPr>
          <w:p>
            <w:pPr>
              <w:spacing w:after="0" w:line="240" w:lineRule="auto"/>
              <w:rPr>
                <w:rFonts w:ascii="宋体" w:hAnsi="宋体" w:cs="宋体"/>
                <w:szCs w:val="21"/>
              </w:rPr>
            </w:pPr>
          </w:p>
        </w:tc>
        <w:tc>
          <w:tcPr>
            <w:tcW w:w="3903" w:type="dxa"/>
            <w:gridSpan w:val="3"/>
            <w:vAlign w:val="center"/>
          </w:tcPr>
          <w:p>
            <w:pPr>
              <w:spacing w:after="0" w:line="190" w:lineRule="auto"/>
              <w:ind w:right="24"/>
              <w:rPr>
                <w:rFonts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1" w:hRule="atLeast"/>
        </w:trPr>
        <w:tc>
          <w:tcPr>
            <w:tcW w:w="8317" w:type="dxa"/>
            <w:gridSpan w:val="8"/>
            <w:vAlign w:val="center"/>
          </w:tcPr>
          <w:p>
            <w:pPr>
              <w:spacing w:after="0" w:line="180" w:lineRule="auto"/>
              <w:ind w:left="120"/>
              <w:rPr>
                <w:rFonts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11"/>
        <w:ind w:firstLine="408" w:firstLineChars="200"/>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11"/>
        <w:ind w:firstLine="408" w:firstLineChars="200"/>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3.5.投标文件编制人员开标前近一个月的社保缴纳证明：</w:t>
      </w:r>
    </w:p>
    <w:p>
      <w:pPr>
        <w:pStyle w:val="11"/>
        <w:ind w:firstLine="408" w:firstLineChars="200"/>
        <w:rPr>
          <w:rFonts w:ascii="宋体" w:hAnsi="宋体" w:cs="宋体"/>
          <w:spacing w:val="-3"/>
          <w:szCs w:val="21"/>
        </w:rPr>
      </w:pPr>
    </w:p>
    <w:p>
      <w:pPr>
        <w:ind w:firstLine="408" w:firstLineChars="200"/>
        <w:rPr>
          <w:rFonts w:ascii="宋体" w:hAnsi="宋体" w:cs="宋体"/>
          <w:spacing w:val="-3"/>
          <w:szCs w:val="21"/>
        </w:rPr>
      </w:pPr>
      <w:r>
        <w:rPr>
          <w:rFonts w:hint="eastAsia" w:ascii="宋体" w:hAnsi="宋体" w:cs="宋体"/>
          <w:spacing w:val="-3"/>
          <w:szCs w:val="21"/>
        </w:rPr>
        <w:t>注：</w:t>
      </w:r>
    </w:p>
    <w:p>
      <w:pPr>
        <w:ind w:firstLine="408" w:firstLineChars="200"/>
        <w:rPr>
          <w:rFonts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ascii="宋体" w:hAnsi="宋体"/>
          <w:b/>
          <w:bCs/>
        </w:rPr>
      </w:pPr>
      <w:r>
        <w:rPr>
          <w:rFonts w:hint="eastAsia" w:ascii="宋体" w:hAnsi="宋体"/>
          <w:b/>
          <w:bCs/>
        </w:rPr>
        <w:br w:type="page"/>
      </w: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3"/>
        <w:ind w:firstLine="422" w:firstLineChars="200"/>
        <w:rPr>
          <w:rFonts w:ascii="宋体" w:hAnsi="宋体" w:eastAsia="宋体" w:cs="Times New Roman"/>
          <w:b/>
          <w:bCs/>
          <w:color w:val="auto"/>
          <w:kern w:val="2"/>
          <w:sz w:val="21"/>
        </w:rPr>
      </w:pP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ascii="宋体" w:hAnsi="宋体" w:cs="宋体"/>
          <w:spacing w:val="-3"/>
          <w:szCs w:val="21"/>
        </w:rPr>
      </w:pPr>
      <w:r>
        <w:rPr>
          <w:rFonts w:hint="eastAsia" w:ascii="宋体" w:hAnsi="宋体" w:cs="宋体"/>
          <w:spacing w:val="-3"/>
          <w:szCs w:val="21"/>
        </w:rPr>
        <w:t>致：采购人</w:t>
      </w:r>
    </w:p>
    <w:p>
      <w:pPr>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pPr>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line="44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ascii="宋体" w:hAnsi="宋体" w:cs="宋体"/>
          <w:spacing w:val="-3"/>
          <w:szCs w:val="21"/>
        </w:rPr>
      </w:pPr>
      <w:r>
        <w:rPr>
          <w:rFonts w:hint="eastAsia" w:ascii="宋体" w:hAnsi="宋体" w:cs="宋体"/>
          <w:spacing w:val="-3"/>
          <w:szCs w:val="21"/>
        </w:rPr>
        <w:t>特此承诺！</w:t>
      </w:r>
    </w:p>
    <w:p>
      <w:pPr>
        <w:jc w:val="left"/>
        <w:rPr>
          <w:rFonts w:ascii="宋体" w:hAnsi="宋体" w:cs="宋体"/>
          <w:spacing w:val="-3"/>
          <w:szCs w:val="21"/>
        </w:rPr>
      </w:pPr>
    </w:p>
    <w:p>
      <w:pPr>
        <w:jc w:val="center"/>
        <w:rPr>
          <w:rFonts w:ascii="宋体" w:hAnsi="宋体" w:cs="宋体"/>
          <w:spacing w:val="-3"/>
          <w:szCs w:val="21"/>
        </w:rPr>
      </w:pPr>
      <w:r>
        <w:rPr>
          <w:rFonts w:hint="eastAsia" w:ascii="宋体" w:hAnsi="宋体" w:cs="宋体"/>
          <w:spacing w:val="-3"/>
          <w:szCs w:val="21"/>
        </w:rPr>
        <w:t xml:space="preserve">                               供应商名称： </w:t>
      </w:r>
    </w:p>
    <w:p>
      <w:pPr>
        <w:jc w:val="right"/>
        <w:rPr>
          <w:rFonts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pPr>
        <w:rPr>
          <w:rFonts w:ascii="宋体" w:hAnsi="宋体"/>
          <w:b/>
          <w:sz w:val="30"/>
          <w:szCs w:val="30"/>
        </w:rPr>
      </w:pPr>
      <w:r>
        <w:rPr>
          <w:rFonts w:hint="eastAsia" w:ascii="宋体" w:hAnsi="宋体"/>
          <w:b/>
          <w:sz w:val="30"/>
          <w:szCs w:val="30"/>
        </w:rPr>
        <w:br w:type="page"/>
      </w:r>
    </w:p>
    <w:p>
      <w:pPr>
        <w:pStyle w:val="27"/>
        <w:ind w:firstLine="0" w:firstLineChars="0"/>
        <w:jc w:val="center"/>
        <w:outlineLvl w:val="1"/>
        <w:rPr>
          <w:rFonts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ascii="宋体" w:hAnsi="宋体"/>
          <w:b/>
          <w:sz w:val="30"/>
          <w:szCs w:val="30"/>
        </w:rPr>
      </w:pPr>
      <w:r>
        <w:rPr>
          <w:rFonts w:ascii="宋体" w:hAnsi="宋体"/>
          <w:b/>
          <w:sz w:val="30"/>
          <w:szCs w:val="30"/>
        </w:rPr>
        <w:br w:type="page"/>
      </w:r>
    </w:p>
    <w:p>
      <w:pPr>
        <w:pStyle w:val="27"/>
        <w:ind w:firstLine="0" w:firstLineChars="0"/>
        <w:jc w:val="center"/>
        <w:outlineLvl w:val="1"/>
        <w:rPr>
          <w:rFonts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ascii="宋体" w:hAnsi="宋体"/>
        </w:rPr>
      </w:pPr>
    </w:p>
    <w:p>
      <w:pPr>
        <w:widowControl/>
        <w:jc w:val="left"/>
        <w:rPr>
          <w:rFonts w:ascii="宋体" w:hAnsi="宋体"/>
          <w:b/>
          <w:sz w:val="30"/>
          <w:szCs w:val="30"/>
        </w:rPr>
      </w:pPr>
      <w:r>
        <w:rPr>
          <w:rFonts w:ascii="宋体" w:hAnsi="宋体"/>
          <w:b/>
          <w:sz w:val="30"/>
          <w:szCs w:val="30"/>
        </w:rPr>
        <w:br w:type="page"/>
      </w:r>
    </w:p>
    <w:p>
      <w:pPr>
        <w:pStyle w:val="6"/>
        <w:jc w:val="center"/>
        <w:rPr>
          <w:rFonts w:ascii="宋体" w:hAnsi="宋体"/>
          <w:sz w:val="30"/>
          <w:szCs w:val="30"/>
        </w:rPr>
      </w:pPr>
      <w:r>
        <w:rPr>
          <w:rFonts w:hint="eastAsia" w:ascii="宋体" w:hAnsi="宋体"/>
          <w:sz w:val="30"/>
          <w:szCs w:val="30"/>
        </w:rPr>
        <w:t>五、实质性条款响应情况表</w:t>
      </w:r>
    </w:p>
    <w:tbl>
      <w:tblPr>
        <w:tblStyle w:val="2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ascii="宋体" w:hAnsi="宋体"/>
                <w:kern w:val="0"/>
                <w:szCs w:val="21"/>
              </w:rPr>
            </w:pPr>
            <w:bookmarkStart w:id="5"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ascii="宋体" w:hAnsi="宋体"/>
                <w:kern w:val="0"/>
                <w:szCs w:val="21"/>
              </w:rPr>
            </w:pPr>
            <w:r>
              <w:rPr>
                <w:rFonts w:hint="eastAsia"/>
              </w:rPr>
              <w:t>说明</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ascii="宋体" w:hAnsi="宋体"/>
                <w:kern w:val="0"/>
                <w:szCs w:val="21"/>
              </w:rPr>
            </w:pPr>
          </w:p>
        </w:tc>
        <w:tc>
          <w:tcPr>
            <w:tcW w:w="1134" w:type="dxa"/>
            <w:vAlign w:val="center"/>
          </w:tcPr>
          <w:p>
            <w:pPr>
              <w:adjustRightInd w:val="0"/>
              <w:snapToGrid w:val="0"/>
              <w:spacing w:after="0" w:line="240" w:lineRule="auto"/>
              <w:rPr>
                <w:rFonts w:ascii="宋体" w:hAnsi="宋体"/>
                <w:kern w:val="0"/>
                <w:szCs w:val="21"/>
              </w:rPr>
            </w:pPr>
          </w:p>
        </w:tc>
        <w:tc>
          <w:tcPr>
            <w:tcW w:w="851" w:type="dxa"/>
            <w:vAlign w:val="center"/>
          </w:tcPr>
          <w:p>
            <w:pPr>
              <w:adjustRightInd w:val="0"/>
              <w:snapToGrid w:val="0"/>
              <w:spacing w:after="0" w:line="240" w:lineRule="auto"/>
              <w:rPr>
                <w:rFonts w:ascii="宋体" w:hAnsi="宋体"/>
                <w:kern w:val="0"/>
                <w:szCs w:val="21"/>
              </w:rPr>
            </w:pPr>
          </w:p>
        </w:tc>
      </w:tr>
    </w:tbl>
    <w:p>
      <w:pPr>
        <w:pStyle w:val="27"/>
        <w:ind w:firstLine="0" w:firstLineChars="0"/>
        <w:jc w:val="center"/>
        <w:outlineLvl w:val="1"/>
        <w:rPr>
          <w:rFonts w:ascii="宋体" w:hAnsi="宋体"/>
          <w:b/>
          <w:sz w:val="30"/>
          <w:szCs w:val="30"/>
        </w:rPr>
      </w:pPr>
    </w:p>
    <w:p>
      <w:pPr>
        <w:pStyle w:val="2"/>
        <w:ind w:firstLine="480"/>
      </w:pPr>
      <w:r>
        <w:rPr>
          <w:rFonts w:hint="eastAsia"/>
        </w:rPr>
        <w:br w:type="page"/>
      </w:r>
    </w:p>
    <w:p>
      <w:pPr>
        <w:pStyle w:val="27"/>
        <w:ind w:firstLine="0" w:firstLineChars="0"/>
        <w:jc w:val="center"/>
        <w:outlineLvl w:val="1"/>
      </w:pPr>
      <w:r>
        <w:rPr>
          <w:rFonts w:hint="eastAsia" w:ascii="宋体" w:hAnsi="宋体"/>
          <w:b/>
          <w:sz w:val="30"/>
          <w:szCs w:val="30"/>
        </w:rPr>
        <w:t>六、报价表</w:t>
      </w:r>
    </w:p>
    <w:p>
      <w:pPr>
        <w:pStyle w:val="27"/>
        <w:ind w:firstLine="0" w:firstLineChars="0"/>
        <w:jc w:val="center"/>
        <w:outlineLvl w:val="2"/>
        <w:rPr>
          <w:rFonts w:ascii="宋体" w:hAnsi="宋体" w:cs="宋体"/>
          <w:b/>
          <w:bCs/>
          <w:sz w:val="28"/>
          <w:szCs w:val="28"/>
        </w:rPr>
      </w:pPr>
      <w:r>
        <w:rPr>
          <w:rFonts w:hint="eastAsia" w:ascii="宋体" w:hAnsi="宋体" w:cs="宋体"/>
          <w:b/>
          <w:bCs/>
          <w:sz w:val="28"/>
          <w:szCs w:val="28"/>
        </w:rPr>
        <w:t>（一）报价一</w:t>
      </w:r>
      <w:commentRangeStart w:id="2"/>
      <w:r>
        <w:rPr>
          <w:rFonts w:hint="eastAsia" w:ascii="宋体" w:hAnsi="宋体" w:cs="宋体"/>
          <w:b/>
          <w:bCs/>
          <w:sz w:val="28"/>
          <w:szCs w:val="28"/>
        </w:rPr>
        <w:t>览表</w:t>
      </w:r>
      <w:commentRangeEnd w:id="2"/>
      <w:r>
        <w:rPr>
          <w:rFonts w:ascii="宋体" w:hAnsi="宋体" w:cs="宋体"/>
          <w:b/>
          <w:bCs/>
          <w:sz w:val="28"/>
          <w:szCs w:val="28"/>
        </w:rPr>
        <w:commentReference w:id="2"/>
      </w:r>
      <w:bookmarkStart w:id="6" w:name="OLE_LINK48"/>
      <w:bookmarkStart w:id="7" w:name="OLE_LINK46"/>
    </w:p>
    <w:p>
      <w:pPr>
        <w:spacing w:line="360" w:lineRule="auto"/>
        <w:rPr>
          <w:rFonts w:ascii="宋体" w:hAnsi="宋体" w:cs="宋体"/>
          <w:szCs w:val="21"/>
        </w:rPr>
      </w:pPr>
      <w:r>
        <w:rPr>
          <w:rFonts w:hint="eastAsia" w:ascii="宋体" w:hAnsi="宋体" w:cs="宋体"/>
          <w:szCs w:val="21"/>
        </w:rPr>
        <w:t>项目编号：</w:t>
      </w:r>
    </w:p>
    <w:tbl>
      <w:tblPr>
        <w:tblStyle w:val="23"/>
        <w:tblW w:w="792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62"/>
        <w:gridCol w:w="3261"/>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2962" w:type="dxa"/>
            <w:vAlign w:val="center"/>
          </w:tcPr>
          <w:p>
            <w:pPr>
              <w:pStyle w:val="12"/>
              <w:jc w:val="center"/>
              <w:rPr>
                <w:rFonts w:hAnsi="宋体" w:cs="宋体"/>
                <w:szCs w:val="21"/>
              </w:rPr>
            </w:pPr>
            <w:r>
              <w:rPr>
                <w:rFonts w:hint="eastAsia" w:hAnsi="宋体" w:cs="宋体"/>
                <w:szCs w:val="21"/>
              </w:rPr>
              <w:t>项目名称</w:t>
            </w:r>
          </w:p>
        </w:tc>
        <w:tc>
          <w:tcPr>
            <w:tcW w:w="3261" w:type="dxa"/>
            <w:vAlign w:val="center"/>
          </w:tcPr>
          <w:p>
            <w:pPr>
              <w:pStyle w:val="12"/>
              <w:jc w:val="center"/>
              <w:rPr>
                <w:rFonts w:hAnsi="宋体" w:cs="宋体"/>
                <w:szCs w:val="21"/>
              </w:rPr>
            </w:pPr>
            <w:r>
              <w:rPr>
                <w:rFonts w:hint="eastAsia" w:hAnsi="宋体" w:cs="宋体"/>
                <w:szCs w:val="21"/>
              </w:rPr>
              <w:t>报价总价</w:t>
            </w:r>
          </w:p>
          <w:p>
            <w:pPr>
              <w:pStyle w:val="12"/>
              <w:jc w:val="center"/>
              <w:rPr>
                <w:rFonts w:hAnsi="宋体" w:cs="宋体"/>
                <w:szCs w:val="21"/>
              </w:rPr>
            </w:pPr>
            <w:r>
              <w:rPr>
                <w:rFonts w:hint="eastAsia" w:hAnsi="宋体" w:cs="宋体"/>
                <w:szCs w:val="21"/>
              </w:rPr>
              <w:t>（人民币/元）</w:t>
            </w:r>
          </w:p>
        </w:tc>
        <w:tc>
          <w:tcPr>
            <w:tcW w:w="1700" w:type="dxa"/>
            <w:vAlign w:val="center"/>
          </w:tcPr>
          <w:p>
            <w:pPr>
              <w:pStyle w:val="12"/>
              <w:jc w:val="center"/>
              <w:rPr>
                <w:rFonts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7" w:hRule="atLeast"/>
          <w:jc w:val="center"/>
        </w:trPr>
        <w:tc>
          <w:tcPr>
            <w:tcW w:w="2962" w:type="dxa"/>
            <w:vAlign w:val="center"/>
          </w:tcPr>
          <w:p>
            <w:pPr>
              <w:pStyle w:val="12"/>
              <w:rPr>
                <w:rFonts w:hAnsi="宋体" w:cs="宋体"/>
                <w:szCs w:val="21"/>
              </w:rPr>
            </w:pPr>
          </w:p>
        </w:tc>
        <w:tc>
          <w:tcPr>
            <w:tcW w:w="3261" w:type="dxa"/>
            <w:vAlign w:val="center"/>
          </w:tcPr>
          <w:p>
            <w:pPr>
              <w:pStyle w:val="12"/>
              <w:rPr>
                <w:rFonts w:hAnsi="宋体" w:cs="宋体"/>
                <w:szCs w:val="21"/>
              </w:rPr>
            </w:pPr>
          </w:p>
          <w:p>
            <w:pPr>
              <w:pStyle w:val="12"/>
              <w:rPr>
                <w:rFonts w:hAnsi="宋体" w:cs="宋体"/>
                <w:szCs w:val="21"/>
              </w:rPr>
            </w:pPr>
            <w:r>
              <w:rPr>
                <w:rFonts w:hint="eastAsia" w:hAnsi="宋体" w:cs="宋体"/>
                <w:szCs w:val="21"/>
              </w:rPr>
              <w:t>小写：</w:t>
            </w:r>
          </w:p>
          <w:p>
            <w:pPr>
              <w:pStyle w:val="12"/>
              <w:rPr>
                <w:rFonts w:hAnsi="宋体" w:cs="宋体"/>
                <w:szCs w:val="21"/>
              </w:rPr>
            </w:pPr>
          </w:p>
          <w:p>
            <w:pPr>
              <w:pStyle w:val="12"/>
              <w:rPr>
                <w:rFonts w:hAnsi="宋体" w:cs="宋体"/>
                <w:szCs w:val="21"/>
              </w:rPr>
            </w:pPr>
            <w:r>
              <w:rPr>
                <w:rFonts w:hint="eastAsia" w:hAnsi="宋体" w:cs="宋体"/>
                <w:szCs w:val="21"/>
              </w:rPr>
              <w:t>大写：</w:t>
            </w:r>
          </w:p>
          <w:p>
            <w:pPr>
              <w:pStyle w:val="12"/>
              <w:rPr>
                <w:rFonts w:hAnsi="宋体" w:cs="宋体"/>
                <w:szCs w:val="21"/>
              </w:rPr>
            </w:pPr>
          </w:p>
        </w:tc>
        <w:tc>
          <w:tcPr>
            <w:tcW w:w="1700" w:type="dxa"/>
            <w:vAlign w:val="center"/>
          </w:tcPr>
          <w:p>
            <w:pPr>
              <w:pStyle w:val="12"/>
              <w:rPr>
                <w:rFonts w:hAnsi="宋体" w:cs="宋体"/>
                <w:szCs w:val="21"/>
              </w:rPr>
            </w:pPr>
          </w:p>
        </w:tc>
      </w:tr>
    </w:tbl>
    <w:p>
      <w:pPr>
        <w:rPr>
          <w:rFonts w:ascii="宋体" w:hAnsi="宋体" w:cs="宋体"/>
          <w:szCs w:val="21"/>
        </w:rPr>
      </w:pPr>
    </w:p>
    <w:p>
      <w:pPr>
        <w:widowControl/>
        <w:spacing w:line="360" w:lineRule="auto"/>
        <w:ind w:firstLine="420" w:firstLineChars="200"/>
        <w:rPr>
          <w:rFonts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日期：</w:t>
      </w:r>
    </w:p>
    <w:p>
      <w:pPr>
        <w:jc w:val="center"/>
        <w:rPr>
          <w:rFonts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pPr>
        <w:pStyle w:val="27"/>
        <w:ind w:firstLine="0" w:firstLineChars="0"/>
        <w:rPr>
          <w:rFonts w:ascii="宋体" w:hAnsi="宋体"/>
          <w:b/>
          <w:sz w:val="30"/>
          <w:szCs w:val="30"/>
        </w:rPr>
      </w:pPr>
    </w:p>
    <w:p>
      <w:pPr>
        <w:widowControl/>
        <w:jc w:val="left"/>
        <w:rPr>
          <w:rFonts w:ascii="宋体" w:hAnsi="宋体"/>
          <w:b/>
          <w:sz w:val="30"/>
          <w:szCs w:val="30"/>
        </w:rPr>
      </w:pPr>
      <w:r>
        <w:rPr>
          <w:rFonts w:ascii="宋体" w:hAnsi="宋体"/>
          <w:b/>
          <w:sz w:val="30"/>
          <w:szCs w:val="30"/>
        </w:rPr>
        <w:br w:type="page"/>
      </w:r>
    </w:p>
    <w:p>
      <w:pPr>
        <w:pStyle w:val="27"/>
        <w:ind w:firstLine="0" w:firstLineChars="0"/>
        <w:jc w:val="center"/>
        <w:outlineLvl w:val="1"/>
        <w:rPr>
          <w:rFonts w:ascii="宋体" w:hAnsi="宋体"/>
          <w:b/>
          <w:sz w:val="30"/>
          <w:szCs w:val="30"/>
        </w:rPr>
      </w:pPr>
      <w:r>
        <w:rPr>
          <w:rFonts w:hint="eastAsia" w:ascii="宋体" w:hAnsi="宋体"/>
          <w:b/>
          <w:sz w:val="30"/>
          <w:szCs w:val="30"/>
        </w:rPr>
        <w:t>七、供应商认为需要提供的其它文件（如有）</w:t>
      </w:r>
    </w:p>
    <w:p>
      <w:pPr>
        <w:widowControl/>
        <w:jc w:val="left"/>
        <w:rPr>
          <w:rFonts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rPr>
          <w:rFonts w:ascii="仿宋_GB2312" w:eastAsia="仿宋_GB2312"/>
          <w:sz w:val="30"/>
          <w:szCs w:val="30"/>
        </w:rPr>
      </w:pPr>
    </w:p>
    <w:p>
      <w:pPr>
        <w:widowControl/>
        <w:jc w:val="left"/>
        <w:rPr>
          <w:rFonts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第六章 供应商询价操作流程</w:t>
      </w:r>
    </w:p>
    <w:p>
      <w:pPr>
        <w:rPr>
          <w:rFonts w:ascii="宋体" w:hAnsi="宋体"/>
          <w:szCs w:val="21"/>
        </w:rPr>
      </w:pPr>
      <w:r>
        <w:rPr>
          <w:rFonts w:hint="eastAsia" w:ascii="宋体" w:hAnsi="宋体"/>
          <w:bCs/>
          <w:szCs w:val="21"/>
        </w:rPr>
        <w:t>（1）</w:t>
      </w:r>
      <w:r>
        <w:rPr>
          <w:rFonts w:hint="eastAsia" w:ascii="宋体" w:hAnsi="宋体"/>
          <w:szCs w:val="21"/>
        </w:rPr>
        <w:t>供应商登录系统</w:t>
      </w:r>
    </w:p>
    <w:p>
      <w:pPr>
        <w:rPr>
          <w:rFonts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w:t>
      </w:r>
      <w:r>
        <w:rPr>
          <w:rFonts w:hint="eastAsia" w:ascii="宋体" w:hAnsi="宋体"/>
          <w:szCs w:val="21"/>
        </w:rPr>
        <w:t>.【我的投标情况】中的各功能解答</w:t>
      </w:r>
    </w:p>
    <w:p>
      <w:pPr>
        <w:rPr>
          <w:rFonts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2.1</w:t>
      </w:r>
      <w:r>
        <w:rPr>
          <w:rFonts w:hint="eastAsia" w:ascii="宋体" w:hAnsi="宋体"/>
          <w:szCs w:val="21"/>
        </w:rPr>
        <w:t>【询价公告】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ascii="等线" w:hAnsi="等线" w:eastAsia="等线"/>
          <w:szCs w:val="21"/>
        </w:rPr>
      </w:pPr>
    </w:p>
    <w:p>
      <w:pPr>
        <w:ind w:firstLine="417" w:firstLineChars="199"/>
        <w:jc w:val="left"/>
        <w:rPr>
          <w:rFonts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5:14:00Z" w:initials="政府采购业务分公司">
    <w:p w14:paraId="36EC29A6">
      <w:pPr>
        <w:pStyle w:val="9"/>
      </w:pPr>
      <w:r>
        <w:rPr>
          <w:rFonts w:hint="eastAsia"/>
        </w:rPr>
        <w:t>采购人根据项目实际情况，二选一，选择后将不需要的表述删除</w:t>
      </w:r>
    </w:p>
  </w:comment>
  <w:comment w:id="1" w:author="政府采购业务分公司" w:date="2025-01-14T14:07:00Z" w:initials="政府采购业务分公司">
    <w:p w14:paraId="6FB207EA">
      <w:pPr>
        <w:pStyle w:val="9"/>
      </w:pPr>
      <w:r>
        <w:rPr>
          <w:rFonts w:hint="eastAsia"/>
        </w:rPr>
        <w:t>采购人根据项目实际开展情况填写</w:t>
      </w:r>
    </w:p>
  </w:comment>
  <w:comment w:id="2" w:author="政府采购业务分公司" w:date="2025-01-13T16:12:00Z" w:initials="政府采购业务分公司">
    <w:p w14:paraId="6C391885">
      <w:pPr>
        <w:pStyle w:val="9"/>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EC29A6" w15:done="0"/>
  <w15:commentEx w15:paraId="6FB207EA" w15:done="0"/>
  <w15:commentEx w15:paraId="6C3918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H Yb 2gj">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K+b&#10;flu2AQAAWQ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6293"/>
    <w:multiLevelType w:val="multilevel"/>
    <w:tmpl w:val="5CEB6293"/>
    <w:lvl w:ilvl="0" w:tentative="0">
      <w:start w:val="1"/>
      <w:numFmt w:val="decimal"/>
      <w:lvlText w:val="(%1)"/>
      <w:lvlJc w:val="left"/>
      <w:pPr>
        <w:ind w:left="420" w:hanging="420"/>
      </w:pPr>
      <w:rPr>
        <w:rFonts w:hint="eastAsia" w:asciiTheme="minorEastAsia" w:hAnsiTheme="minorEastAsia"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207E0B"/>
    <w:multiLevelType w:val="multilevel"/>
    <w:tmpl w:val="7D207E0B"/>
    <w:lvl w:ilvl="0" w:tentative="0">
      <w:start w:val="1"/>
      <w:numFmt w:val="decimal"/>
      <w:suff w:val="nothing"/>
      <w:lvlText w:val="%1."/>
      <w:lvlJc w:val="left"/>
      <w:pPr>
        <w:ind w:left="453" w:hanging="453"/>
      </w:pPr>
      <w:rPr>
        <w:rFonts w:hint="eastAsia"/>
      </w:rPr>
    </w:lvl>
    <w:lvl w:ilvl="1" w:tentative="0">
      <w:start w:val="1"/>
      <w:numFmt w:val="lowerLetter"/>
      <w:lvlText w:val="%2)"/>
      <w:lvlJc w:val="left"/>
      <w:pPr>
        <w:tabs>
          <w:tab w:val="left" w:pos="783"/>
        </w:tabs>
        <w:ind w:left="783" w:hanging="420"/>
      </w:pPr>
      <w:rPr>
        <w:rFonts w:hint="eastAsia"/>
      </w:rPr>
    </w:lvl>
    <w:lvl w:ilvl="2" w:tentative="0">
      <w:start w:val="1"/>
      <w:numFmt w:val="lowerRoman"/>
      <w:lvlText w:val="%3."/>
      <w:lvlJc w:val="right"/>
      <w:pPr>
        <w:tabs>
          <w:tab w:val="left" w:pos="1203"/>
        </w:tabs>
        <w:ind w:left="1203" w:hanging="420"/>
      </w:pPr>
      <w:rPr>
        <w:rFonts w:hint="eastAsia"/>
      </w:rPr>
    </w:lvl>
    <w:lvl w:ilvl="3" w:tentative="0">
      <w:start w:val="1"/>
      <w:numFmt w:val="decimal"/>
      <w:lvlText w:val="%4."/>
      <w:lvlJc w:val="left"/>
      <w:pPr>
        <w:tabs>
          <w:tab w:val="left" w:pos="1623"/>
        </w:tabs>
        <w:ind w:left="1623" w:hanging="420"/>
      </w:pPr>
      <w:rPr>
        <w:rFonts w:hint="eastAsia"/>
      </w:rPr>
    </w:lvl>
    <w:lvl w:ilvl="4" w:tentative="0">
      <w:start w:val="1"/>
      <w:numFmt w:val="lowerLetter"/>
      <w:lvlText w:val="%5)"/>
      <w:lvlJc w:val="left"/>
      <w:pPr>
        <w:tabs>
          <w:tab w:val="left" w:pos="2043"/>
        </w:tabs>
        <w:ind w:left="2043" w:hanging="420"/>
      </w:pPr>
      <w:rPr>
        <w:rFonts w:hint="eastAsia"/>
      </w:rPr>
    </w:lvl>
    <w:lvl w:ilvl="5" w:tentative="0">
      <w:start w:val="1"/>
      <w:numFmt w:val="lowerRoman"/>
      <w:lvlText w:val="%6."/>
      <w:lvlJc w:val="right"/>
      <w:pPr>
        <w:tabs>
          <w:tab w:val="left" w:pos="2463"/>
        </w:tabs>
        <w:ind w:left="2463" w:hanging="420"/>
      </w:pPr>
      <w:rPr>
        <w:rFonts w:hint="eastAsia"/>
      </w:rPr>
    </w:lvl>
    <w:lvl w:ilvl="6" w:tentative="0">
      <w:start w:val="1"/>
      <w:numFmt w:val="decimal"/>
      <w:lvlText w:val="%7."/>
      <w:lvlJc w:val="left"/>
      <w:pPr>
        <w:tabs>
          <w:tab w:val="left" w:pos="2883"/>
        </w:tabs>
        <w:ind w:left="2883" w:hanging="420"/>
      </w:pPr>
      <w:rPr>
        <w:rFonts w:hint="eastAsia"/>
      </w:rPr>
    </w:lvl>
    <w:lvl w:ilvl="7" w:tentative="0">
      <w:start w:val="1"/>
      <w:numFmt w:val="lowerLetter"/>
      <w:lvlText w:val="%8)"/>
      <w:lvlJc w:val="left"/>
      <w:pPr>
        <w:tabs>
          <w:tab w:val="left" w:pos="3303"/>
        </w:tabs>
        <w:ind w:left="3303" w:hanging="420"/>
      </w:pPr>
      <w:rPr>
        <w:rFonts w:hint="eastAsia"/>
      </w:rPr>
    </w:lvl>
    <w:lvl w:ilvl="8" w:tentative="0">
      <w:start w:val="1"/>
      <w:numFmt w:val="lowerRoman"/>
      <w:lvlText w:val="%9."/>
      <w:lvlJc w:val="right"/>
      <w:pPr>
        <w:tabs>
          <w:tab w:val="left" w:pos="3723"/>
        </w:tabs>
        <w:ind w:left="3723" w:hanging="42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E7826"/>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29D"/>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37CF"/>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157E4"/>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4CBB"/>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84A"/>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6CF9"/>
    <w:rsid w:val="002F7BE9"/>
    <w:rsid w:val="00302A50"/>
    <w:rsid w:val="00304CCB"/>
    <w:rsid w:val="003074C2"/>
    <w:rsid w:val="003147CC"/>
    <w:rsid w:val="00314F0B"/>
    <w:rsid w:val="00315CD7"/>
    <w:rsid w:val="0032032F"/>
    <w:rsid w:val="00320E00"/>
    <w:rsid w:val="0032183A"/>
    <w:rsid w:val="00322458"/>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061A"/>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0207"/>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4E03"/>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091A"/>
    <w:rsid w:val="005942CC"/>
    <w:rsid w:val="00594D54"/>
    <w:rsid w:val="005A039E"/>
    <w:rsid w:val="005A053D"/>
    <w:rsid w:val="005A236F"/>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138"/>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664"/>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3E15"/>
    <w:rsid w:val="0077538E"/>
    <w:rsid w:val="0077544B"/>
    <w:rsid w:val="00776569"/>
    <w:rsid w:val="00780321"/>
    <w:rsid w:val="00781E36"/>
    <w:rsid w:val="0078317B"/>
    <w:rsid w:val="00784AD2"/>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4D8B"/>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3545"/>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170D0"/>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405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23CA"/>
    <w:rsid w:val="00B43FBA"/>
    <w:rsid w:val="00B45FCE"/>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2FFE"/>
    <w:rsid w:val="00B95EC9"/>
    <w:rsid w:val="00BA04C9"/>
    <w:rsid w:val="00BA4064"/>
    <w:rsid w:val="00BA5243"/>
    <w:rsid w:val="00BA531A"/>
    <w:rsid w:val="00BA5EA4"/>
    <w:rsid w:val="00BA5FDA"/>
    <w:rsid w:val="00BA776D"/>
    <w:rsid w:val="00BB3A55"/>
    <w:rsid w:val="00BB3A82"/>
    <w:rsid w:val="00BB41A6"/>
    <w:rsid w:val="00BB7CFE"/>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0E95"/>
    <w:rsid w:val="00C419E1"/>
    <w:rsid w:val="00C41B46"/>
    <w:rsid w:val="00C42842"/>
    <w:rsid w:val="00C43087"/>
    <w:rsid w:val="00C437BD"/>
    <w:rsid w:val="00C4384E"/>
    <w:rsid w:val="00C44650"/>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379B"/>
    <w:rsid w:val="00CC5CD5"/>
    <w:rsid w:val="00CC63A4"/>
    <w:rsid w:val="00CC726F"/>
    <w:rsid w:val="00CD1B91"/>
    <w:rsid w:val="00CD1E2A"/>
    <w:rsid w:val="00CE09BD"/>
    <w:rsid w:val="00CE2838"/>
    <w:rsid w:val="00CE7AA6"/>
    <w:rsid w:val="00CF196E"/>
    <w:rsid w:val="00CF51B9"/>
    <w:rsid w:val="00CF5255"/>
    <w:rsid w:val="00CF5580"/>
    <w:rsid w:val="00CF6186"/>
    <w:rsid w:val="00CF6F06"/>
    <w:rsid w:val="00CF7FAE"/>
    <w:rsid w:val="00D01EA3"/>
    <w:rsid w:val="00D04000"/>
    <w:rsid w:val="00D04542"/>
    <w:rsid w:val="00D062B4"/>
    <w:rsid w:val="00D066C5"/>
    <w:rsid w:val="00D073F5"/>
    <w:rsid w:val="00D07B89"/>
    <w:rsid w:val="00D10F27"/>
    <w:rsid w:val="00D119A7"/>
    <w:rsid w:val="00D128B7"/>
    <w:rsid w:val="00D12A08"/>
    <w:rsid w:val="00D13EBB"/>
    <w:rsid w:val="00D1622D"/>
    <w:rsid w:val="00D1752D"/>
    <w:rsid w:val="00D26264"/>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467EB"/>
    <w:rsid w:val="00E500C4"/>
    <w:rsid w:val="00E50E87"/>
    <w:rsid w:val="00E51BBE"/>
    <w:rsid w:val="00E54AC9"/>
    <w:rsid w:val="00E55724"/>
    <w:rsid w:val="00E604D4"/>
    <w:rsid w:val="00E60574"/>
    <w:rsid w:val="00E66DCF"/>
    <w:rsid w:val="00E678BE"/>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2EA8"/>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E7927"/>
    <w:rsid w:val="00EF18E7"/>
    <w:rsid w:val="00EF2DFD"/>
    <w:rsid w:val="00EF6B1E"/>
    <w:rsid w:val="00EF7412"/>
    <w:rsid w:val="00EF7DD8"/>
    <w:rsid w:val="00F0270C"/>
    <w:rsid w:val="00F04D3B"/>
    <w:rsid w:val="00F13A1B"/>
    <w:rsid w:val="00F13A58"/>
    <w:rsid w:val="00F14C0D"/>
    <w:rsid w:val="00F15299"/>
    <w:rsid w:val="00F15E97"/>
    <w:rsid w:val="00F24E7A"/>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D1D7568"/>
    <w:rsid w:val="1D232E70"/>
    <w:rsid w:val="1D393246"/>
    <w:rsid w:val="1D8636DD"/>
    <w:rsid w:val="1DD00AB6"/>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E57296"/>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C7948"/>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CAE1252"/>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A06F8"/>
    <w:rsid w:val="64EE6A20"/>
    <w:rsid w:val="66E05D15"/>
    <w:rsid w:val="673D43D6"/>
    <w:rsid w:val="68144CE6"/>
    <w:rsid w:val="68F147C3"/>
    <w:rsid w:val="694B5840"/>
    <w:rsid w:val="6A015822"/>
    <w:rsid w:val="6A325FF9"/>
    <w:rsid w:val="6A576651"/>
    <w:rsid w:val="6AA96333"/>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2BF06E3"/>
    <w:rsid w:val="72D87E05"/>
    <w:rsid w:val="72EE0533"/>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annotation subject"/>
    <w:basedOn w:val="9"/>
    <w:next w:val="9"/>
    <w:link w:val="31"/>
    <w:qFormat/>
    <w:uiPriority w:val="0"/>
    <w:rPr>
      <w:b/>
      <w:bCs/>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Normal Indent"/>
    <w:basedOn w:val="1"/>
    <w:next w:val="2"/>
    <w:link w:val="28"/>
    <w:qFormat/>
    <w:uiPriority w:val="0"/>
    <w:pPr>
      <w:ind w:firstLine="420"/>
    </w:pPr>
    <w:rPr>
      <w:szCs w:val="20"/>
    </w:r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Balloon Text"/>
    <w:basedOn w:val="1"/>
    <w:link w:val="29"/>
    <w:qFormat/>
    <w:uiPriority w:val="0"/>
    <w:rPr>
      <w:sz w:val="18"/>
      <w:szCs w:val="18"/>
    </w:rPr>
  </w:style>
  <w:style w:type="paragraph" w:styleId="15">
    <w:name w:val="footer"/>
    <w:basedOn w:val="1"/>
    <w:link w:val="26"/>
    <w:qFormat/>
    <w:uiPriority w:val="0"/>
    <w:pPr>
      <w:tabs>
        <w:tab w:val="center" w:pos="4153"/>
        <w:tab w:val="right" w:pos="8306"/>
      </w:tabs>
      <w:snapToGrid w:val="0"/>
      <w:jc w:val="left"/>
    </w:pPr>
    <w:rPr>
      <w:sz w:val="18"/>
      <w:szCs w:val="18"/>
    </w:rPr>
  </w:style>
  <w:style w:type="paragraph" w:styleId="1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character" w:styleId="20">
    <w:name w:val="FollowedHyperlink"/>
    <w:basedOn w:val="19"/>
    <w:unhideWhenUsed/>
    <w:qFormat/>
    <w:uiPriority w:val="0"/>
    <w:rPr>
      <w:color w:val="800080"/>
      <w:u w:val="single"/>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5">
    <w:name w:val="页眉 字符"/>
    <w:basedOn w:val="19"/>
    <w:link w:val="16"/>
    <w:qFormat/>
    <w:uiPriority w:val="0"/>
    <w:rPr>
      <w:kern w:val="2"/>
      <w:sz w:val="18"/>
      <w:szCs w:val="18"/>
    </w:rPr>
  </w:style>
  <w:style w:type="character" w:customStyle="1" w:styleId="26">
    <w:name w:val="页脚 字符"/>
    <w:basedOn w:val="19"/>
    <w:link w:val="15"/>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19"/>
    <w:link w:val="11"/>
    <w:qFormat/>
    <w:uiPriority w:val="0"/>
    <w:rPr>
      <w:kern w:val="2"/>
      <w:sz w:val="21"/>
    </w:rPr>
  </w:style>
  <w:style w:type="character" w:customStyle="1" w:styleId="29">
    <w:name w:val="批注框文本 字符"/>
    <w:basedOn w:val="19"/>
    <w:link w:val="14"/>
    <w:qFormat/>
    <w:uiPriority w:val="0"/>
    <w:rPr>
      <w:kern w:val="2"/>
      <w:sz w:val="18"/>
      <w:szCs w:val="18"/>
    </w:rPr>
  </w:style>
  <w:style w:type="character" w:customStyle="1" w:styleId="30">
    <w:name w:val="批注文字 字符"/>
    <w:basedOn w:val="19"/>
    <w:link w:val="9"/>
    <w:qFormat/>
    <w:uiPriority w:val="0"/>
    <w:rPr>
      <w:kern w:val="2"/>
      <w:sz w:val="21"/>
      <w:szCs w:val="24"/>
    </w:rPr>
  </w:style>
  <w:style w:type="character" w:customStyle="1" w:styleId="31">
    <w:name w:val="批注主题 字符"/>
    <w:basedOn w:val="30"/>
    <w:link w:val="8"/>
    <w:qFormat/>
    <w:uiPriority w:val="0"/>
    <w:rPr>
      <w:b/>
      <w:bCs/>
      <w:kern w:val="2"/>
      <w:sz w:val="21"/>
      <w:szCs w:val="24"/>
    </w:rPr>
  </w:style>
  <w:style w:type="character" w:customStyle="1" w:styleId="32">
    <w:name w:val="标题 3 字符"/>
    <w:basedOn w:val="19"/>
    <w:link w:val="6"/>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19"/>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tblPr>
      <w:tblLayout w:type="fixed"/>
      <w:tblCellMar>
        <w:top w:w="0" w:type="dxa"/>
        <w:left w:w="0" w:type="dxa"/>
        <w:bottom w:w="0" w:type="dxa"/>
        <w:right w:w="0" w:type="dxa"/>
      </w:tblCellMar>
    </w:tblPr>
  </w:style>
  <w:style w:type="paragraph" w:customStyle="1" w:styleId="44">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5">
    <w:name w:val="正文_4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1480</Words>
  <Characters>8436</Characters>
  <Lines>70</Lines>
  <Paragraphs>19</Paragraphs>
  <TotalTime>32</TotalTime>
  <ScaleCrop>false</ScaleCrop>
  <LinksUpToDate>false</LinksUpToDate>
  <CharactersWithSpaces>9897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073157</cp:lastModifiedBy>
  <dcterms:modified xsi:type="dcterms:W3CDTF">2025-11-26T12:33:24Z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8EAC7E938F0F4BFBAC8B53FFD9C775FE_13</vt:lpwstr>
  </property>
  <property fmtid="{D5CDD505-2E9C-101B-9397-08002B2CF9AE}" pid="4" name="KSOTemplateDocerSaveRecord">
    <vt:lpwstr>eyJoZGlkIjoiYmJlNDdmNGU3ZmIyZjAwMzAyNmM4MGEyNDY5Y2NiMDciLCJ1c2VySWQiOiIzOTc5OTU2OTcifQ==</vt:lpwstr>
  </property>
</Properties>
</file>