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960"/>
        <w:jc w:val="both"/>
        <w:rPr>
          <w:rFonts w:ascii="宋体" w:hAnsi="宋体"/>
          <w:b/>
          <w:bCs/>
          <w:sz w:val="32"/>
          <w:szCs w:val="32"/>
        </w:rPr>
      </w:pPr>
      <w:bookmarkStart w:id="0" w:name="_Hlk80341432"/>
      <w:r>
        <w:rPr>
          <w:rFonts w:hint="eastAsia" w:ascii="宋体" w:hAnsi="宋体"/>
          <w:b/>
          <w:bCs/>
          <w:sz w:val="32"/>
          <w:szCs w:val="32"/>
        </w:rPr>
        <w:t>合同编号：</w:t>
      </w:r>
    </w:p>
    <w:p>
      <w:pPr>
        <w:jc w:val="center"/>
        <w:rPr>
          <w:rFonts w:ascii="宋体" w:hAnsi="宋体"/>
          <w:sz w:val="52"/>
          <w:highlight w:val="yellow"/>
        </w:rPr>
      </w:pPr>
    </w:p>
    <w:p>
      <w:pPr>
        <w:jc w:val="center"/>
        <w:rPr>
          <w:rFonts w:ascii="宋体" w:hAnsi="宋体"/>
          <w:sz w:val="52"/>
        </w:rPr>
      </w:pPr>
    </w:p>
    <w:p>
      <w:pPr>
        <w:jc w:val="center"/>
        <w:rPr>
          <w:rFonts w:ascii="宋体" w:hAnsi="宋体"/>
          <w:sz w:val="52"/>
        </w:rPr>
      </w:pPr>
    </w:p>
    <w:p>
      <w:pPr>
        <w:jc w:val="center"/>
        <w:rPr>
          <w:rFonts w:ascii="宋体" w:hAnsi="宋体"/>
          <w:sz w:val="52"/>
        </w:rPr>
      </w:pPr>
    </w:p>
    <w:p>
      <w:pPr>
        <w:jc w:val="center"/>
        <w:rPr>
          <w:rFonts w:ascii="宋体" w:hAnsi="宋体"/>
          <w:sz w:val="36"/>
        </w:rPr>
      </w:pPr>
      <w:bookmarkStart w:id="1" w:name="_Hlk132292332"/>
      <w:r>
        <w:rPr>
          <w:rFonts w:hint="eastAsia" w:ascii="仿宋_GB2312" w:hAnsi="宋体"/>
          <w:b/>
          <w:snapToGrid w:val="0"/>
          <w:color w:val="000000"/>
          <w:sz w:val="44"/>
          <w:szCs w:val="44"/>
        </w:rPr>
        <w:t>大连深能环保有限公司2</w:t>
      </w:r>
      <w:r>
        <w:rPr>
          <w:rFonts w:ascii="仿宋_GB2312" w:hAnsi="宋体"/>
          <w:b/>
          <w:snapToGrid w:val="0"/>
          <w:color w:val="000000"/>
          <w:sz w:val="44"/>
          <w:szCs w:val="44"/>
        </w:rPr>
        <w:t>02</w:t>
      </w:r>
      <w:r>
        <w:rPr>
          <w:rFonts w:hint="eastAsia" w:ascii="仿宋_GB2312" w:hAnsi="宋体"/>
          <w:b/>
          <w:snapToGrid w:val="0"/>
          <w:color w:val="000000"/>
          <w:sz w:val="44"/>
          <w:szCs w:val="44"/>
          <w:lang w:val="en-US" w:eastAsia="zh-CN"/>
        </w:rPr>
        <w:t>6-2027年度</w:t>
      </w:r>
      <w:r>
        <w:rPr>
          <w:rFonts w:hint="eastAsia" w:ascii="仿宋_GB2312" w:hAnsi="宋体"/>
          <w:b/>
          <w:snapToGrid w:val="0"/>
          <w:color w:val="000000"/>
          <w:sz w:val="44"/>
          <w:szCs w:val="44"/>
        </w:rPr>
        <w:t>年度</w:t>
      </w:r>
      <w:r>
        <w:rPr>
          <w:rFonts w:hint="eastAsia" w:ascii="仿宋_GB2312" w:hAnsi="宋体"/>
          <w:b/>
          <w:snapToGrid w:val="0"/>
          <w:color w:val="000000"/>
          <w:sz w:val="44"/>
          <w:szCs w:val="44"/>
          <w:lang w:val="en-US" w:eastAsia="zh-CN"/>
        </w:rPr>
        <w:t>汽车吊、随车吊、登高车、挖掘机及吸污车</w:t>
      </w:r>
      <w:r>
        <w:rPr>
          <w:rFonts w:hint="eastAsia" w:ascii="仿宋_GB2312" w:hAnsi="宋体"/>
          <w:b/>
          <w:snapToGrid w:val="0"/>
          <w:color w:val="000000"/>
          <w:sz w:val="44"/>
          <w:szCs w:val="44"/>
        </w:rPr>
        <w:t>租赁合同</w:t>
      </w:r>
    </w:p>
    <w:bookmarkEnd w:id="1"/>
    <w:p>
      <w:pPr>
        <w:jc w:val="center"/>
        <w:rPr>
          <w:rFonts w:ascii="宋体" w:hAnsi="宋体"/>
          <w:sz w:val="36"/>
        </w:rPr>
      </w:pPr>
    </w:p>
    <w:p>
      <w:pPr>
        <w:jc w:val="center"/>
        <w:rPr>
          <w:rFonts w:ascii="宋体" w:hAnsi="宋体"/>
          <w:sz w:val="36"/>
        </w:rPr>
      </w:pPr>
    </w:p>
    <w:p>
      <w:pP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spacing w:line="312" w:lineRule="auto"/>
        <w:rPr>
          <w:rFonts w:ascii="宋体" w:hAnsi="宋体"/>
          <w:sz w:val="18"/>
        </w:rPr>
      </w:pPr>
      <w:r>
        <w:rPr>
          <w:rFonts w:ascii="宋体" w:hAnsi="宋体"/>
          <w:sz w:val="36"/>
        </w:rPr>
        <w:t xml:space="preserve">     </w:t>
      </w:r>
    </w:p>
    <w:p>
      <w:pPr>
        <w:spacing w:line="360" w:lineRule="auto"/>
        <w:ind w:firstLine="803" w:firstLineChars="250"/>
        <w:rPr>
          <w:rFonts w:ascii="宋体" w:hAnsi="宋体"/>
          <w:b/>
          <w:bCs/>
          <w:sz w:val="36"/>
        </w:rPr>
      </w:pPr>
      <w:r>
        <w:rPr>
          <w:rFonts w:hint="eastAsia" w:ascii="宋体" w:hAnsi="宋体"/>
          <w:b/>
          <w:bCs/>
          <w:sz w:val="32"/>
          <w:szCs w:val="32"/>
        </w:rPr>
        <w:t>委托方(甲方)：</w:t>
      </w:r>
      <w:r>
        <w:rPr>
          <w:rFonts w:hint="eastAsia" w:ascii="宋体" w:hAnsi="宋体"/>
          <w:sz w:val="30"/>
          <w:u w:val="single"/>
        </w:rPr>
        <w:t>大连深能环保有限公司</w:t>
      </w:r>
    </w:p>
    <w:p>
      <w:pPr>
        <w:spacing w:line="360" w:lineRule="auto"/>
        <w:ind w:firstLine="803" w:firstLineChars="250"/>
        <w:rPr>
          <w:rFonts w:hint="default" w:ascii="宋体" w:hAnsi="宋体" w:eastAsiaTheme="minorEastAsia"/>
          <w:sz w:val="36"/>
          <w:lang w:val="en-US" w:eastAsia="zh-CN"/>
        </w:rPr>
      </w:pPr>
      <w:r>
        <w:rPr>
          <w:rFonts w:hint="eastAsia" w:ascii="宋体" w:hAnsi="宋体"/>
          <w:b/>
          <w:bCs/>
          <w:sz w:val="32"/>
          <w:szCs w:val="32"/>
        </w:rPr>
        <w:t>受托方(乙方)</w:t>
      </w:r>
      <w:r>
        <w:rPr>
          <w:rFonts w:hint="eastAsia" w:ascii="宋体" w:hAnsi="宋体"/>
          <w:sz w:val="32"/>
          <w:szCs w:val="32"/>
        </w:rPr>
        <w:t>：</w:t>
      </w:r>
      <w:r>
        <w:rPr>
          <w:rFonts w:hint="eastAsia" w:ascii="宋体" w:hAnsi="宋体"/>
          <w:sz w:val="32"/>
          <w:szCs w:val="32"/>
          <w:u w:val="single"/>
          <w:lang w:val="en-US" w:eastAsia="zh-CN"/>
        </w:rPr>
        <w:t>大连鑫珂润机械设备租赁有限公司</w:t>
      </w:r>
    </w:p>
    <w:p>
      <w:pPr>
        <w:spacing w:line="360" w:lineRule="auto"/>
        <w:ind w:firstLine="803" w:firstLineChars="250"/>
        <w:rPr>
          <w:rFonts w:ascii="宋体" w:hAnsi="宋体"/>
          <w:b/>
          <w:bCs/>
          <w:sz w:val="36"/>
        </w:rPr>
      </w:pPr>
      <w:r>
        <w:rPr>
          <w:rFonts w:hint="eastAsia" w:ascii="宋体" w:hAnsi="宋体"/>
          <w:b/>
          <w:bCs/>
          <w:sz w:val="32"/>
          <w:szCs w:val="32"/>
        </w:rPr>
        <w:t>签订地点：</w:t>
      </w:r>
      <w:r>
        <w:rPr>
          <w:rFonts w:hint="eastAsia" w:ascii="宋体" w:hAnsi="宋体"/>
          <w:sz w:val="30"/>
          <w:u w:val="single"/>
        </w:rPr>
        <w:t xml:space="preserve">     辽宁省大连市甘井子区      </w:t>
      </w:r>
    </w:p>
    <w:bookmarkEnd w:id="0"/>
    <w:p/>
    <w:p>
      <w:pPr>
        <w:widowControl/>
        <w:spacing w:before="225" w:after="100" w:afterAutospacing="1" w:line="465" w:lineRule="atLeast"/>
        <w:jc w:val="center"/>
        <w:outlineLvl w:val="0"/>
        <w:rPr>
          <w:rFonts w:ascii="宋体" w:hAnsi="宋体" w:eastAsia="宋体" w:cs="宋体"/>
          <w:b/>
          <w:bCs/>
          <w:color w:val="000000"/>
          <w:spacing w:val="-15"/>
          <w:kern w:val="36"/>
          <w:sz w:val="39"/>
          <w:szCs w:val="39"/>
        </w:rPr>
        <w:sectPr>
          <w:footerReference r:id="rId3" w:type="default"/>
          <w:pgSz w:w="11906" w:h="16838"/>
          <w:pgMar w:top="1440" w:right="1800" w:bottom="1440" w:left="1800" w:header="851" w:footer="992" w:gutter="0"/>
          <w:cols w:space="425" w:num="1"/>
          <w:docGrid w:type="lines" w:linePitch="312" w:charSpace="0"/>
        </w:sectPr>
      </w:pPr>
    </w:p>
    <w:p>
      <w:pPr>
        <w:widowControl/>
        <w:spacing w:line="336" w:lineRule="auto"/>
        <w:jc w:val="center"/>
        <w:rPr>
          <w:rFonts w:ascii="宋体" w:hAnsi="宋体" w:eastAsia="宋体" w:cs="宋体"/>
          <w:b/>
          <w:bCs/>
          <w:color w:val="222222"/>
          <w:kern w:val="0"/>
          <w:sz w:val="30"/>
          <w:szCs w:val="30"/>
        </w:rPr>
      </w:pPr>
      <w:r>
        <w:rPr>
          <w:rFonts w:hint="eastAsia" w:ascii="宋体" w:hAnsi="宋体" w:eastAsia="宋体" w:cs="宋体"/>
          <w:b/>
          <w:bCs/>
          <w:color w:val="222222"/>
          <w:kern w:val="0"/>
          <w:sz w:val="30"/>
          <w:szCs w:val="30"/>
        </w:rPr>
        <w:t>大连深能环保有限公司202</w:t>
      </w:r>
      <w:r>
        <w:rPr>
          <w:rFonts w:hint="eastAsia" w:ascii="宋体" w:hAnsi="宋体" w:eastAsia="宋体" w:cs="宋体"/>
          <w:b/>
          <w:bCs/>
          <w:color w:val="222222"/>
          <w:kern w:val="0"/>
          <w:sz w:val="30"/>
          <w:szCs w:val="30"/>
          <w:lang w:val="en-US" w:eastAsia="zh-CN"/>
        </w:rPr>
        <w:t>6-2027</w:t>
      </w:r>
      <w:r>
        <w:rPr>
          <w:rFonts w:hint="eastAsia" w:ascii="宋体" w:hAnsi="宋体" w:eastAsia="宋体" w:cs="宋体"/>
          <w:b/>
          <w:bCs/>
          <w:color w:val="222222"/>
          <w:kern w:val="0"/>
          <w:sz w:val="30"/>
          <w:szCs w:val="30"/>
        </w:rPr>
        <w:t>年度</w:t>
      </w:r>
      <w:r>
        <w:rPr>
          <w:rFonts w:hint="eastAsia" w:ascii="宋体" w:hAnsi="宋体" w:eastAsia="宋体" w:cs="宋体"/>
          <w:b/>
          <w:bCs/>
          <w:color w:val="222222"/>
          <w:kern w:val="0"/>
          <w:sz w:val="30"/>
          <w:szCs w:val="30"/>
          <w:lang w:val="en-US" w:eastAsia="zh-CN"/>
        </w:rPr>
        <w:t>汽车吊、随车吊、登高车、挖掘机及吸污车</w:t>
      </w:r>
      <w:r>
        <w:rPr>
          <w:rFonts w:hint="eastAsia" w:ascii="宋体" w:hAnsi="宋体" w:eastAsia="宋体" w:cs="宋体"/>
          <w:b/>
          <w:bCs/>
          <w:color w:val="222222"/>
          <w:kern w:val="0"/>
          <w:sz w:val="30"/>
          <w:szCs w:val="30"/>
        </w:rPr>
        <w:t>租赁合同</w:t>
      </w:r>
    </w:p>
    <w:p>
      <w:pPr>
        <w:widowControl/>
        <w:spacing w:line="336" w:lineRule="auto"/>
        <w:jc w:val="left"/>
        <w:rPr>
          <w:rFonts w:cs="宋体" w:asciiTheme="minorEastAsia" w:hAnsiTheme="minorEastAsia"/>
          <w:b/>
          <w:color w:val="222222"/>
          <w:kern w:val="0"/>
          <w:sz w:val="28"/>
          <w:szCs w:val="24"/>
        </w:rPr>
      </w:pPr>
      <w:r>
        <w:rPr>
          <w:rFonts w:cs="宋体" w:asciiTheme="minorEastAsia" w:hAnsiTheme="minorEastAsia"/>
          <w:b/>
          <w:color w:val="222222"/>
          <w:kern w:val="0"/>
          <w:sz w:val="28"/>
          <w:szCs w:val="24"/>
        </w:rPr>
        <w:t>甲方：</w:t>
      </w:r>
      <w:r>
        <w:rPr>
          <w:rFonts w:hint="eastAsia" w:cs="宋体" w:asciiTheme="minorEastAsia" w:hAnsiTheme="minorEastAsia"/>
          <w:b/>
          <w:color w:val="222222"/>
          <w:kern w:val="0"/>
          <w:sz w:val="28"/>
          <w:szCs w:val="24"/>
          <w:u w:val="single"/>
        </w:rPr>
        <w:t>大连深能环保有限公司</w:t>
      </w:r>
    </w:p>
    <w:p>
      <w:pPr>
        <w:widowControl/>
        <w:spacing w:line="336" w:lineRule="auto"/>
        <w:jc w:val="left"/>
        <w:rPr>
          <w:rFonts w:hint="default" w:cs="宋体" w:asciiTheme="minorEastAsia" w:hAnsiTheme="minorEastAsia" w:eastAsiaTheme="minorEastAsia"/>
          <w:color w:val="222222"/>
          <w:kern w:val="0"/>
          <w:sz w:val="24"/>
          <w:szCs w:val="24"/>
          <w:lang w:val="en-US" w:eastAsia="zh-CN"/>
        </w:rPr>
      </w:pPr>
      <w:r>
        <w:rPr>
          <w:rFonts w:cs="宋体" w:asciiTheme="minorEastAsia" w:hAnsiTheme="minorEastAsia"/>
          <w:b/>
          <w:color w:val="222222"/>
          <w:kern w:val="0"/>
          <w:sz w:val="28"/>
          <w:szCs w:val="24"/>
        </w:rPr>
        <w:t>乙方：</w:t>
      </w:r>
      <w:r>
        <w:rPr>
          <w:rFonts w:hint="eastAsia" w:cs="宋体" w:asciiTheme="minorEastAsia" w:hAnsiTheme="minorEastAsia"/>
          <w:b/>
          <w:color w:val="222222"/>
          <w:kern w:val="0"/>
          <w:sz w:val="28"/>
          <w:szCs w:val="24"/>
          <w:u w:val="single"/>
          <w:lang w:val="en-US" w:eastAsia="zh-CN"/>
        </w:rPr>
        <w:t>大连鑫珂润机械设备租赁有限公司</w:t>
      </w:r>
    </w:p>
    <w:p>
      <w:pPr>
        <w:widowControl/>
        <w:spacing w:line="336" w:lineRule="auto"/>
        <w:jc w:val="left"/>
        <w:rPr>
          <w:rFonts w:cs="宋体" w:asciiTheme="minorEastAsia" w:hAnsiTheme="minorEastAsia"/>
          <w:color w:val="222222"/>
          <w:kern w:val="0"/>
          <w:sz w:val="24"/>
          <w:szCs w:val="24"/>
        </w:rPr>
      </w:pPr>
      <w:r>
        <w:rPr>
          <w:rFonts w:cs="宋体" w:asciiTheme="minorEastAsia" w:hAnsiTheme="minorEastAsia"/>
          <w:color w:val="222222"/>
          <w:kern w:val="0"/>
          <w:sz w:val="24"/>
          <w:szCs w:val="24"/>
        </w:rPr>
        <w:t>　　</w:t>
      </w:r>
      <w:r>
        <w:rPr>
          <w:rFonts w:hint="eastAsia" w:cs="宋体" w:asciiTheme="minorEastAsia" w:hAnsiTheme="minorEastAsia"/>
          <w:color w:val="222222"/>
          <w:kern w:val="0"/>
          <w:sz w:val="24"/>
          <w:szCs w:val="24"/>
        </w:rPr>
        <w:t>根据《中华人民共和国民法典》及其他有关法律、法规、规章，并结合本项目的具体情况，遵循平等、自愿、公平和诚实信用的原则，甲、乙双方就大连深能环保有限公司202</w:t>
      </w:r>
      <w:r>
        <w:rPr>
          <w:rFonts w:hint="eastAsia" w:cs="宋体" w:asciiTheme="minorEastAsia" w:hAnsiTheme="minorEastAsia"/>
          <w:color w:val="222222"/>
          <w:kern w:val="0"/>
          <w:sz w:val="24"/>
          <w:szCs w:val="24"/>
          <w:lang w:val="en-US" w:eastAsia="zh-CN"/>
        </w:rPr>
        <w:t>6-2027</w:t>
      </w:r>
      <w:r>
        <w:rPr>
          <w:rFonts w:hint="eastAsia" w:cs="宋体" w:asciiTheme="minorEastAsia" w:hAnsiTheme="minorEastAsia"/>
          <w:color w:val="222222"/>
          <w:kern w:val="0"/>
          <w:sz w:val="24"/>
          <w:szCs w:val="24"/>
        </w:rPr>
        <w:t>年度</w:t>
      </w:r>
      <w:r>
        <w:rPr>
          <w:rFonts w:hint="eastAsia" w:cs="宋体" w:asciiTheme="minorEastAsia" w:hAnsiTheme="minorEastAsia"/>
          <w:color w:val="222222"/>
          <w:kern w:val="0"/>
          <w:sz w:val="24"/>
          <w:szCs w:val="24"/>
          <w:lang w:val="en-US" w:eastAsia="zh-CN"/>
        </w:rPr>
        <w:t>汽车吊、随车吊、登高车、挖掘机及吸污车</w:t>
      </w:r>
      <w:r>
        <w:rPr>
          <w:rFonts w:hint="eastAsia" w:cs="宋体" w:asciiTheme="minorEastAsia" w:hAnsiTheme="minorEastAsia"/>
          <w:color w:val="222222"/>
          <w:kern w:val="0"/>
          <w:sz w:val="24"/>
          <w:szCs w:val="24"/>
        </w:rPr>
        <w:t>租赁项目事项协商一致，同意签订本合同，双方共同遵守下列条款</w:t>
      </w:r>
      <w:r>
        <w:rPr>
          <w:rFonts w:cs="宋体" w:asciiTheme="minorEastAsia" w:hAnsiTheme="minorEastAsia"/>
          <w:color w:val="222222"/>
          <w:kern w:val="0"/>
          <w:sz w:val="24"/>
          <w:szCs w:val="24"/>
        </w:rPr>
        <w:t>：</w:t>
      </w:r>
    </w:p>
    <w:p>
      <w:pPr>
        <w:widowControl/>
        <w:spacing w:before="100" w:beforeAutospacing="1" w:after="100" w:afterAutospacing="1" w:line="336" w:lineRule="auto"/>
        <w:ind w:left="480"/>
        <w:jc w:val="left"/>
        <w:rPr>
          <w:rFonts w:asciiTheme="minorEastAsia" w:hAnsiTheme="minorEastAsia"/>
          <w:b/>
          <w:color w:val="222222"/>
          <w:sz w:val="24"/>
          <w:szCs w:val="24"/>
        </w:rPr>
      </w:pPr>
      <w:r>
        <w:rPr>
          <w:rFonts w:hint="eastAsia" w:asciiTheme="minorEastAsia" w:hAnsiTheme="minorEastAsia"/>
          <w:b/>
          <w:color w:val="222222"/>
          <w:sz w:val="24"/>
          <w:szCs w:val="24"/>
        </w:rPr>
        <w:t>第一条 租赁设备内容、费用及结算</w:t>
      </w:r>
    </w:p>
    <w:p>
      <w:pPr>
        <w:widowControl/>
        <w:spacing w:line="336" w:lineRule="auto"/>
        <w:ind w:left="480"/>
        <w:jc w:val="left"/>
        <w:rPr>
          <w:rFonts w:ascii="宋体" w:hAnsi="宋体"/>
          <w:color w:val="000000"/>
          <w:sz w:val="24"/>
          <w:szCs w:val="24"/>
        </w:rPr>
      </w:pPr>
      <w:r>
        <w:rPr>
          <w:rFonts w:hint="eastAsia" w:asciiTheme="minorEastAsia" w:hAnsiTheme="minorEastAsia"/>
          <w:color w:val="222222"/>
          <w:sz w:val="24"/>
          <w:szCs w:val="24"/>
        </w:rPr>
        <w:t>1、租赁设备清单、预估次数及费用详见下表：</w:t>
      </w:r>
    </w:p>
    <w:tbl>
      <w:tblPr>
        <w:tblStyle w:val="18"/>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384"/>
        <w:gridCol w:w="1560"/>
        <w:gridCol w:w="1559"/>
        <w:gridCol w:w="198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5" w:type="dxa"/>
            <w:gridSpan w:val="6"/>
            <w:shd w:val="clear" w:color="auto" w:fill="auto"/>
          </w:tcPr>
          <w:p>
            <w:pPr>
              <w:pStyle w:val="26"/>
              <w:tabs>
                <w:tab w:val="left" w:pos="540"/>
              </w:tabs>
              <w:spacing w:before="100" w:beforeAutospacing="1" w:after="100" w:afterAutospacing="1"/>
              <w:ind w:firstLine="0" w:firstLineChars="0"/>
              <w:jc w:val="center"/>
              <w:rPr>
                <w:rFonts w:ascii="宋体" w:hAnsi="宋体"/>
                <w:b/>
                <w:sz w:val="24"/>
                <w:szCs w:val="24"/>
              </w:rPr>
            </w:pPr>
            <w:r>
              <w:rPr>
                <w:rFonts w:hint="eastAsia" w:ascii="宋体" w:hAnsi="宋体"/>
                <w:b/>
                <w:sz w:val="24"/>
                <w:szCs w:val="24"/>
              </w:rPr>
              <w:t>吊车租赁大连垃圾发电厂报价单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序号</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设备名称</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规格型号</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使用量/每年</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单价（元/班台）</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1</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汽车吊</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25</w:t>
            </w:r>
            <w:r>
              <w:rPr>
                <w:rFonts w:ascii="宋体" w:hAnsi="宋体"/>
                <w:sz w:val="24"/>
                <w:szCs w:val="24"/>
              </w:rPr>
              <w:t>T</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20</w:t>
            </w:r>
            <w:r>
              <w:rPr>
                <w:rFonts w:hint="eastAsia" w:ascii="宋体" w:hAnsi="宋体"/>
                <w:sz w:val="24"/>
                <w:szCs w:val="24"/>
              </w:rPr>
              <w:t>次</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1100</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2</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随车吊</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25</w:t>
            </w:r>
            <w:r>
              <w:rPr>
                <w:rFonts w:ascii="宋体" w:hAnsi="宋体"/>
                <w:sz w:val="24"/>
                <w:szCs w:val="24"/>
              </w:rPr>
              <w:t>T</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20</w:t>
            </w:r>
            <w:r>
              <w:rPr>
                <w:rFonts w:hint="eastAsia" w:ascii="宋体" w:hAnsi="宋体"/>
                <w:sz w:val="24"/>
                <w:szCs w:val="24"/>
              </w:rPr>
              <w:t>次</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1100</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5</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登高车</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25</w:t>
            </w:r>
            <w:r>
              <w:rPr>
                <w:rFonts w:hint="eastAsia" w:ascii="宋体" w:hAnsi="宋体"/>
                <w:sz w:val="24"/>
                <w:szCs w:val="24"/>
                <w:lang w:val="en-US" w:eastAsia="zh-CN"/>
              </w:rPr>
              <w:t>m</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60</w:t>
            </w:r>
            <w:r>
              <w:rPr>
                <w:rFonts w:hint="eastAsia" w:ascii="宋体" w:hAnsi="宋体"/>
                <w:sz w:val="24"/>
                <w:szCs w:val="24"/>
              </w:rPr>
              <w:t>次</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1050</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63000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hint="eastAsia" w:ascii="宋体" w:hAnsi="宋体" w:eastAsiaTheme="minorEastAsia"/>
                <w:sz w:val="24"/>
                <w:szCs w:val="24"/>
                <w:lang w:val="en-US" w:eastAsia="zh-CN"/>
              </w:rPr>
            </w:pPr>
            <w:r>
              <w:rPr>
                <w:rFonts w:hint="eastAsia" w:ascii="宋体" w:hAnsi="宋体"/>
                <w:sz w:val="24"/>
                <w:szCs w:val="24"/>
                <w:lang w:val="en-US" w:eastAsia="zh-CN"/>
              </w:rPr>
              <w:t>4</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轮胎式挖掘机</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85式</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lang w:val="en-US" w:eastAsia="zh-CN"/>
              </w:rPr>
              <w:t>20</w:t>
            </w:r>
            <w:r>
              <w:rPr>
                <w:rFonts w:hint="eastAsia" w:ascii="宋体" w:hAnsi="宋体"/>
                <w:sz w:val="24"/>
                <w:szCs w:val="24"/>
              </w:rPr>
              <w:t>次</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900</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5</w:t>
            </w:r>
          </w:p>
        </w:tc>
        <w:tc>
          <w:tcPr>
            <w:tcW w:w="13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吸污车</w:t>
            </w:r>
          </w:p>
        </w:tc>
        <w:tc>
          <w:tcPr>
            <w:tcW w:w="1560"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12m3</w:t>
            </w:r>
          </w:p>
        </w:tc>
        <w:tc>
          <w:tcPr>
            <w:tcW w:w="1559"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12次</w:t>
            </w:r>
          </w:p>
        </w:tc>
        <w:tc>
          <w:tcPr>
            <w:tcW w:w="1984"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400</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9" w:type="dxa"/>
            <w:gridSpan w:val="5"/>
            <w:shd w:val="clear" w:color="auto" w:fill="auto"/>
            <w:vAlign w:val="center"/>
          </w:tcPr>
          <w:p>
            <w:pPr>
              <w:pStyle w:val="26"/>
              <w:tabs>
                <w:tab w:val="left" w:pos="540"/>
              </w:tabs>
              <w:spacing w:before="100" w:beforeAutospacing="1" w:after="100" w:afterAutospacing="1"/>
              <w:ind w:firstLine="0" w:firstLineChars="0"/>
              <w:jc w:val="center"/>
              <w:rPr>
                <w:rFonts w:ascii="宋体" w:hAnsi="宋体"/>
                <w:sz w:val="24"/>
                <w:szCs w:val="24"/>
              </w:rPr>
            </w:pPr>
            <w:r>
              <w:rPr>
                <w:rFonts w:hint="eastAsia" w:ascii="宋体" w:hAnsi="宋体"/>
                <w:sz w:val="24"/>
                <w:szCs w:val="24"/>
              </w:rPr>
              <w:t>合计</w:t>
            </w:r>
          </w:p>
        </w:tc>
        <w:tc>
          <w:tcPr>
            <w:tcW w:w="1276" w:type="dxa"/>
            <w:shd w:val="clear" w:color="auto" w:fill="auto"/>
            <w:vAlign w:val="center"/>
          </w:tcPr>
          <w:p>
            <w:pPr>
              <w:pStyle w:val="26"/>
              <w:tabs>
                <w:tab w:val="left" w:pos="540"/>
              </w:tabs>
              <w:spacing w:before="100" w:beforeAutospacing="1" w:after="100" w:afterAutospacing="1"/>
              <w:ind w:firstLine="0" w:firstLineChars="0"/>
              <w:jc w:val="center"/>
              <w:rPr>
                <w:rFonts w:hint="default" w:ascii="宋体" w:hAnsi="宋体" w:eastAsiaTheme="minorEastAsia"/>
                <w:sz w:val="24"/>
                <w:szCs w:val="24"/>
                <w:lang w:val="en-US" w:eastAsia="zh-CN"/>
              </w:rPr>
            </w:pPr>
            <w:r>
              <w:rPr>
                <w:rFonts w:hint="eastAsia" w:ascii="宋体" w:hAnsi="宋体"/>
                <w:sz w:val="24"/>
                <w:szCs w:val="24"/>
                <w:lang w:val="en-US" w:eastAsia="zh-CN"/>
              </w:rPr>
              <w:t>129800</w:t>
            </w:r>
          </w:p>
        </w:tc>
      </w:tr>
    </w:tbl>
    <w:p>
      <w:pPr>
        <w:widowControl/>
        <w:spacing w:line="336" w:lineRule="auto"/>
        <w:jc w:val="left"/>
        <w:rPr>
          <w:rFonts w:cs="宋体" w:asciiTheme="minorEastAsia" w:hAnsiTheme="minorEastAsia"/>
          <w:color w:val="222222"/>
          <w:kern w:val="0"/>
          <w:sz w:val="24"/>
          <w:szCs w:val="24"/>
        </w:rPr>
      </w:pPr>
      <w:r>
        <w:rPr>
          <w:rFonts w:hint="eastAsia" w:cs="宋体" w:asciiTheme="minorEastAsia" w:hAnsiTheme="minorEastAsia"/>
          <w:color w:val="222222"/>
          <w:kern w:val="0"/>
          <w:sz w:val="24"/>
          <w:szCs w:val="24"/>
        </w:rPr>
        <w:t>备注：</w:t>
      </w:r>
      <w:r>
        <w:rPr>
          <w:rFonts w:hint="eastAsia" w:ascii="宋体" w:hAnsi="宋体"/>
          <w:color w:val="000000"/>
          <w:sz w:val="24"/>
          <w:szCs w:val="24"/>
        </w:rPr>
        <w:t>4小时内算半个班，8小时内算一个班。计时从吊车入厂至吊车工作结束（收吊）。另外加班单价：汽车吊2</w:t>
      </w:r>
      <w:r>
        <w:rPr>
          <w:rFonts w:ascii="宋体" w:hAnsi="宋体"/>
          <w:color w:val="000000"/>
          <w:sz w:val="24"/>
          <w:szCs w:val="24"/>
        </w:rPr>
        <w:t>5T</w:t>
      </w:r>
      <w:r>
        <w:rPr>
          <w:rFonts w:hint="eastAsia" w:ascii="宋体" w:hAnsi="宋体"/>
          <w:color w:val="000000"/>
          <w:sz w:val="24"/>
          <w:szCs w:val="24"/>
        </w:rPr>
        <w:t>每小时</w:t>
      </w:r>
      <w:r>
        <w:rPr>
          <w:rFonts w:hint="eastAsia" w:ascii="宋体" w:hAnsi="宋体"/>
          <w:color w:val="000000"/>
          <w:sz w:val="24"/>
          <w:szCs w:val="24"/>
          <w:lang w:val="en-US" w:eastAsia="zh-CN"/>
        </w:rPr>
        <w:t>137.5</w:t>
      </w:r>
      <w:r>
        <w:rPr>
          <w:rFonts w:hint="eastAsia" w:ascii="宋体" w:hAnsi="宋体"/>
          <w:color w:val="000000"/>
          <w:sz w:val="24"/>
          <w:szCs w:val="24"/>
        </w:rPr>
        <w:t>元，</w:t>
      </w:r>
      <w:r>
        <w:rPr>
          <w:rFonts w:hint="eastAsia" w:ascii="宋体" w:hAnsi="宋体"/>
          <w:color w:val="000000"/>
          <w:sz w:val="24"/>
          <w:szCs w:val="24"/>
          <w:lang w:val="en-US" w:eastAsia="zh-CN"/>
        </w:rPr>
        <w:t>随车</w:t>
      </w:r>
      <w:r>
        <w:rPr>
          <w:rFonts w:hint="eastAsia" w:ascii="宋体" w:hAnsi="宋体"/>
          <w:color w:val="000000"/>
          <w:sz w:val="24"/>
          <w:szCs w:val="24"/>
        </w:rPr>
        <w:t>吊</w:t>
      </w:r>
      <w:r>
        <w:rPr>
          <w:rFonts w:hint="eastAsia" w:ascii="宋体" w:hAnsi="宋体"/>
          <w:color w:val="000000"/>
          <w:sz w:val="24"/>
          <w:szCs w:val="24"/>
          <w:lang w:val="en-US" w:eastAsia="zh-CN"/>
        </w:rPr>
        <w:t>25</w:t>
      </w:r>
      <w:r>
        <w:rPr>
          <w:rFonts w:ascii="宋体" w:hAnsi="宋体"/>
          <w:color w:val="000000"/>
          <w:sz w:val="24"/>
          <w:szCs w:val="24"/>
        </w:rPr>
        <w:t>T</w:t>
      </w:r>
      <w:r>
        <w:rPr>
          <w:rFonts w:hint="eastAsia" w:ascii="宋体" w:hAnsi="宋体"/>
          <w:color w:val="000000"/>
          <w:sz w:val="24"/>
          <w:szCs w:val="24"/>
        </w:rPr>
        <w:t>每小时</w:t>
      </w:r>
      <w:r>
        <w:rPr>
          <w:rFonts w:hint="eastAsia" w:ascii="宋体" w:hAnsi="宋体"/>
          <w:color w:val="000000"/>
          <w:sz w:val="24"/>
          <w:szCs w:val="24"/>
          <w:lang w:val="en-US" w:eastAsia="zh-CN"/>
        </w:rPr>
        <w:t>137.5</w:t>
      </w:r>
      <w:r>
        <w:rPr>
          <w:rFonts w:hint="eastAsia" w:ascii="宋体" w:hAnsi="宋体"/>
          <w:color w:val="000000"/>
          <w:sz w:val="24"/>
          <w:szCs w:val="24"/>
        </w:rPr>
        <w:t>元，</w:t>
      </w:r>
      <w:r>
        <w:rPr>
          <w:rFonts w:hint="eastAsia" w:ascii="宋体" w:hAnsi="宋体"/>
          <w:color w:val="000000"/>
          <w:sz w:val="24"/>
          <w:szCs w:val="24"/>
          <w:lang w:val="en-US" w:eastAsia="zh-CN"/>
        </w:rPr>
        <w:t>登高车</w:t>
      </w:r>
      <w:r>
        <w:rPr>
          <w:rFonts w:hint="eastAsia" w:ascii="宋体" w:hAnsi="宋体"/>
          <w:color w:val="000000"/>
          <w:sz w:val="24"/>
          <w:szCs w:val="24"/>
        </w:rPr>
        <w:t>2</w:t>
      </w:r>
      <w:r>
        <w:rPr>
          <w:rFonts w:ascii="宋体" w:hAnsi="宋体"/>
          <w:color w:val="000000"/>
          <w:sz w:val="24"/>
          <w:szCs w:val="24"/>
        </w:rPr>
        <w:t>5</w:t>
      </w:r>
      <w:r>
        <w:rPr>
          <w:rFonts w:hint="eastAsia" w:ascii="宋体" w:hAnsi="宋体"/>
          <w:color w:val="000000"/>
          <w:sz w:val="24"/>
          <w:szCs w:val="24"/>
          <w:lang w:val="en-US" w:eastAsia="zh-CN"/>
        </w:rPr>
        <w:t>m</w:t>
      </w:r>
      <w:r>
        <w:rPr>
          <w:rFonts w:hint="eastAsia" w:ascii="宋体" w:hAnsi="宋体"/>
          <w:color w:val="000000"/>
          <w:sz w:val="24"/>
          <w:szCs w:val="24"/>
        </w:rPr>
        <w:t>每小时</w:t>
      </w:r>
      <w:r>
        <w:rPr>
          <w:rFonts w:hint="eastAsia" w:ascii="宋体" w:hAnsi="宋体"/>
          <w:color w:val="000000"/>
          <w:sz w:val="24"/>
          <w:szCs w:val="24"/>
          <w:highlight w:val="none"/>
          <w:lang w:val="en-US" w:eastAsia="zh-CN"/>
        </w:rPr>
        <w:t>131.25</w:t>
      </w:r>
      <w:r>
        <w:rPr>
          <w:rFonts w:hint="eastAsia" w:ascii="宋体" w:hAnsi="宋体"/>
          <w:color w:val="000000"/>
          <w:sz w:val="24"/>
          <w:szCs w:val="24"/>
        </w:rPr>
        <w:t>元，</w:t>
      </w:r>
      <w:r>
        <w:rPr>
          <w:rFonts w:hint="eastAsia" w:ascii="宋体" w:hAnsi="宋体"/>
          <w:sz w:val="24"/>
          <w:szCs w:val="24"/>
          <w:lang w:val="en-US" w:eastAsia="zh-CN"/>
        </w:rPr>
        <w:t>轮胎式挖掘机</w:t>
      </w:r>
      <w:r>
        <w:rPr>
          <w:rFonts w:hint="eastAsia" w:ascii="宋体" w:hAnsi="宋体"/>
          <w:color w:val="000000"/>
          <w:sz w:val="24"/>
          <w:szCs w:val="24"/>
          <w:lang w:val="en-US" w:eastAsia="zh-CN"/>
        </w:rPr>
        <w:t>85式</w:t>
      </w:r>
      <w:r>
        <w:rPr>
          <w:rFonts w:hint="eastAsia" w:ascii="宋体" w:hAnsi="宋体"/>
          <w:color w:val="000000"/>
          <w:sz w:val="24"/>
          <w:szCs w:val="24"/>
        </w:rPr>
        <w:t>每小时</w:t>
      </w:r>
      <w:r>
        <w:rPr>
          <w:rFonts w:hint="eastAsia" w:ascii="宋体" w:hAnsi="宋体"/>
          <w:color w:val="000000"/>
          <w:sz w:val="24"/>
          <w:szCs w:val="24"/>
          <w:lang w:val="en-US" w:eastAsia="zh-CN"/>
        </w:rPr>
        <w:t>112.5</w:t>
      </w:r>
      <w:r>
        <w:rPr>
          <w:rFonts w:hint="eastAsia" w:ascii="宋体" w:hAnsi="宋体"/>
          <w:color w:val="000000"/>
          <w:sz w:val="24"/>
          <w:szCs w:val="24"/>
        </w:rPr>
        <w:t>元</w:t>
      </w:r>
      <w:r>
        <w:rPr>
          <w:rFonts w:hint="eastAsia" w:ascii="宋体" w:hAnsi="宋体"/>
          <w:color w:val="000000"/>
          <w:sz w:val="24"/>
          <w:szCs w:val="24"/>
          <w:lang w:eastAsia="zh-CN"/>
        </w:rPr>
        <w:t>，</w:t>
      </w:r>
      <w:r>
        <w:rPr>
          <w:rFonts w:hint="eastAsia" w:ascii="宋体" w:hAnsi="宋体"/>
          <w:color w:val="000000"/>
          <w:sz w:val="24"/>
          <w:szCs w:val="24"/>
          <w:lang w:val="en-US" w:eastAsia="zh-CN"/>
        </w:rPr>
        <w:t>吸污车12m3每小时</w:t>
      </w:r>
      <w:r>
        <w:rPr>
          <w:rFonts w:hint="eastAsia" w:ascii="宋体" w:hAnsi="宋体"/>
          <w:color w:val="000000"/>
          <w:sz w:val="24"/>
          <w:szCs w:val="24"/>
          <w:highlight w:val="none"/>
          <w:lang w:val="en-US" w:eastAsia="zh-CN"/>
        </w:rPr>
        <w:t>50元</w:t>
      </w:r>
      <w:r>
        <w:rPr>
          <w:rFonts w:hint="eastAsia" w:ascii="宋体" w:hAnsi="宋体"/>
          <w:color w:val="000000"/>
          <w:sz w:val="24"/>
          <w:szCs w:val="24"/>
        </w:rPr>
        <w:t>。</w:t>
      </w:r>
    </w:p>
    <w:p>
      <w:pPr>
        <w:widowControl/>
        <w:spacing w:line="336" w:lineRule="auto"/>
        <w:ind w:firstLine="480"/>
        <w:jc w:val="left"/>
        <w:rPr>
          <w:rFonts w:cs="宋体" w:asciiTheme="minorEastAsia" w:hAnsiTheme="minorEastAsia"/>
          <w:color w:val="222222"/>
          <w:kern w:val="0"/>
          <w:sz w:val="24"/>
          <w:szCs w:val="24"/>
        </w:rPr>
      </w:pPr>
      <w:r>
        <w:rPr>
          <w:rFonts w:hint="eastAsia" w:cs="宋体" w:asciiTheme="minorEastAsia" w:hAnsiTheme="minorEastAsia"/>
          <w:color w:val="222222"/>
          <w:kern w:val="0"/>
          <w:sz w:val="24"/>
          <w:szCs w:val="24"/>
        </w:rPr>
        <w:t>2、上述单价租赁服务费用已包括乙方服务全过程所有可能发生的全部费用，已经包括但不限于机械设备的</w:t>
      </w:r>
      <w:r>
        <w:rPr>
          <w:rFonts w:hint="eastAsia" w:cs="宋体" w:asciiTheme="minorEastAsia" w:hAnsiTheme="minorEastAsia"/>
          <w:color w:val="222222"/>
          <w:kern w:val="0"/>
          <w:sz w:val="24"/>
          <w:szCs w:val="24"/>
          <w:lang w:val="en-US" w:eastAsia="zh-CN"/>
        </w:rPr>
        <w:t>设备装卸、</w:t>
      </w:r>
      <w:r>
        <w:rPr>
          <w:rFonts w:hint="eastAsia" w:cs="宋体" w:asciiTheme="minorEastAsia" w:hAnsiTheme="minorEastAsia"/>
          <w:color w:val="222222"/>
          <w:kern w:val="0"/>
          <w:sz w:val="24"/>
          <w:szCs w:val="24"/>
        </w:rPr>
        <w:t>购置、保险、养路费、车船税及保养维修等费用，人工、油费、过路桥费、运杂费、交通违规违法罚款赔偿费、机械操作人员工资、补贴、劳保、福利、医疗、保险、管理、利润、税金和安全文明措施费及有关保险、责任等各种可能发生的费用，以及上述这些费用成本上涨增加等所有风险因素等。</w:t>
      </w:r>
    </w:p>
    <w:p>
      <w:pPr>
        <w:widowControl/>
        <w:spacing w:line="336" w:lineRule="auto"/>
        <w:ind w:firstLine="480"/>
        <w:jc w:val="left"/>
        <w:rPr>
          <w:rFonts w:cs="宋体" w:asciiTheme="minorEastAsia" w:hAnsiTheme="minorEastAsia"/>
          <w:color w:val="222222"/>
          <w:kern w:val="0"/>
          <w:sz w:val="24"/>
          <w:szCs w:val="24"/>
        </w:rPr>
      </w:pPr>
      <w:r>
        <w:rPr>
          <w:rFonts w:hint="eastAsia" w:cs="宋体" w:asciiTheme="minorEastAsia" w:hAnsiTheme="minorEastAsia"/>
          <w:color w:val="222222"/>
          <w:kern w:val="0"/>
          <w:sz w:val="24"/>
          <w:szCs w:val="24"/>
        </w:rPr>
        <w:t>3、甲乙双方同意：对上述机械设备租赁服务单价，无论租赁时间的增减以及租赁过程中各种可能发生的费用的成本升降等均不再调整。另外，双方同意在本合同有效期内的上述租赁服务综合单价将不再调整。本合同暂定总价为</w:t>
      </w:r>
    </w:p>
    <w:p>
      <w:pPr>
        <w:widowControl/>
        <w:spacing w:line="336" w:lineRule="auto"/>
        <w:jc w:val="left"/>
        <w:rPr>
          <w:rFonts w:cs="宋体" w:asciiTheme="minorEastAsia" w:hAnsiTheme="minorEastAsia"/>
          <w:color w:val="222222"/>
          <w:kern w:val="0"/>
          <w:sz w:val="24"/>
          <w:szCs w:val="24"/>
        </w:rPr>
      </w:pPr>
      <w:r>
        <w:rPr>
          <w:rFonts w:cs="宋体" w:asciiTheme="minorEastAsia" w:hAnsiTheme="minorEastAsia"/>
          <w:color w:val="222222"/>
          <w:kern w:val="0"/>
          <w:sz w:val="24"/>
          <w:szCs w:val="24"/>
        </w:rPr>
        <w:t xml:space="preserve"> </w:t>
      </w:r>
      <w:r>
        <w:rPr>
          <w:rFonts w:hint="eastAsia" w:cs="宋体" w:asciiTheme="minorEastAsia" w:hAnsiTheme="minorEastAsia"/>
          <w:b/>
          <w:bCs/>
          <w:color w:val="222222"/>
          <w:kern w:val="0"/>
          <w:sz w:val="24"/>
          <w:szCs w:val="24"/>
        </w:rPr>
        <w:t>￥</w:t>
      </w:r>
      <w:r>
        <w:rPr>
          <w:rFonts w:hint="eastAsia" w:cs="宋体" w:asciiTheme="minorEastAsia" w:hAnsiTheme="minorEastAsia"/>
          <w:b/>
          <w:bCs/>
          <w:color w:val="222222"/>
          <w:kern w:val="0"/>
          <w:sz w:val="24"/>
          <w:szCs w:val="24"/>
          <w:highlight w:val="none"/>
          <w:u w:val="single"/>
          <w:lang w:val="en-US" w:eastAsia="zh-CN"/>
        </w:rPr>
        <w:t>129,800.00</w:t>
      </w:r>
      <w:r>
        <w:rPr>
          <w:rFonts w:hint="eastAsia" w:cs="宋体" w:asciiTheme="minorEastAsia" w:hAnsiTheme="minorEastAsia"/>
          <w:b/>
          <w:bCs/>
          <w:color w:val="222222"/>
          <w:kern w:val="0"/>
          <w:sz w:val="24"/>
          <w:szCs w:val="24"/>
          <w:u w:val="single"/>
          <w:lang w:val="en-US" w:eastAsia="zh-CN"/>
        </w:rPr>
        <w:t>元</w:t>
      </w:r>
      <w:r>
        <w:rPr>
          <w:rFonts w:hint="eastAsia" w:cs="宋体" w:asciiTheme="minorEastAsia" w:hAnsiTheme="minorEastAsia"/>
          <w:b/>
          <w:bCs/>
          <w:color w:val="222222"/>
          <w:kern w:val="0"/>
          <w:sz w:val="24"/>
          <w:szCs w:val="24"/>
          <w:u w:val="single"/>
        </w:rPr>
        <w:t>（大写金额：壹拾贰万玖仟捌佰元整）</w:t>
      </w:r>
      <w:r>
        <w:rPr>
          <w:rFonts w:hint="eastAsia" w:cs="宋体" w:asciiTheme="minorEastAsia" w:hAnsiTheme="minorEastAsia"/>
          <w:color w:val="222222"/>
          <w:kern w:val="0"/>
          <w:sz w:val="24"/>
          <w:szCs w:val="24"/>
        </w:rPr>
        <w:t>，结算时按照上述单价及经双方确认的实际使用时间折算的台班数进行结算，</w:t>
      </w:r>
      <w:r>
        <w:rPr>
          <w:rFonts w:hint="eastAsia" w:ascii="宋体" w:hAnsi="宋体"/>
          <w:color w:val="000000"/>
          <w:sz w:val="24"/>
          <w:szCs w:val="24"/>
        </w:rPr>
        <w:t>合同单价为每个班台（8小时）的价格，超出时间按《中华人民共和国劳动法》的要求，4小时内算半个班，8小时内算一个班。计时从吊车入厂至吊车工作结束（收吊）。</w:t>
      </w:r>
    </w:p>
    <w:p>
      <w:pPr>
        <w:widowControl/>
        <w:spacing w:line="336" w:lineRule="auto"/>
        <w:ind w:firstLine="480"/>
        <w:jc w:val="left"/>
        <w:rPr>
          <w:rFonts w:cs="宋体" w:asciiTheme="minorEastAsia" w:hAnsiTheme="minorEastAsia"/>
          <w:color w:val="222222"/>
          <w:kern w:val="0"/>
          <w:sz w:val="24"/>
          <w:szCs w:val="24"/>
        </w:rPr>
      </w:pPr>
      <w:r>
        <w:rPr>
          <w:rFonts w:hint="eastAsia" w:cs="宋体" w:asciiTheme="minorEastAsia" w:hAnsiTheme="minorEastAsia"/>
          <w:color w:val="222222"/>
          <w:kern w:val="0"/>
          <w:sz w:val="24"/>
          <w:szCs w:val="24"/>
        </w:rPr>
        <w:t>4、付款方式：本项目按季度进行结算。</w:t>
      </w:r>
      <w:bookmarkStart w:id="2" w:name="_Hlk86328213"/>
      <w:r>
        <w:rPr>
          <w:rFonts w:hint="eastAsia" w:cs="宋体" w:asciiTheme="minorEastAsia" w:hAnsiTheme="minorEastAsia"/>
          <w:color w:val="222222"/>
          <w:kern w:val="0"/>
          <w:sz w:val="24"/>
          <w:szCs w:val="24"/>
        </w:rPr>
        <w:t>每季度甲乙双方对实际租赁台班数进行核对，编制结算单并且签字盖章确认，乙方按照结算单审定金额向甲方开具发票后，甲方</w:t>
      </w:r>
      <w:r>
        <w:rPr>
          <w:rFonts w:cs="宋体" w:asciiTheme="minorEastAsia" w:hAnsiTheme="minorEastAsia"/>
          <w:color w:val="222222"/>
          <w:kern w:val="0"/>
          <w:sz w:val="24"/>
          <w:szCs w:val="24"/>
        </w:rPr>
        <w:t>30</w:t>
      </w:r>
      <w:r>
        <w:rPr>
          <w:rFonts w:hint="eastAsia" w:cs="宋体" w:asciiTheme="minorEastAsia" w:hAnsiTheme="minorEastAsia"/>
          <w:color w:val="222222"/>
          <w:kern w:val="0"/>
          <w:sz w:val="24"/>
          <w:szCs w:val="24"/>
        </w:rPr>
        <w:t>个工作日内向乙方支付相应款项。</w:t>
      </w:r>
      <w:bookmarkEnd w:id="2"/>
    </w:p>
    <w:p>
      <w:pPr>
        <w:widowControl/>
        <w:spacing w:line="336" w:lineRule="auto"/>
        <w:ind w:firstLine="480"/>
        <w:jc w:val="left"/>
        <w:rPr>
          <w:rFonts w:cs="宋体" w:asciiTheme="minorEastAsia" w:hAnsiTheme="minorEastAsia"/>
          <w:color w:val="222222"/>
          <w:kern w:val="0"/>
          <w:sz w:val="24"/>
          <w:szCs w:val="24"/>
        </w:rPr>
      </w:pPr>
      <w:r>
        <w:rPr>
          <w:rFonts w:hint="eastAsia" w:cs="宋体" w:asciiTheme="minorEastAsia" w:hAnsiTheme="minorEastAsia"/>
          <w:color w:val="222222"/>
          <w:kern w:val="0"/>
          <w:sz w:val="24"/>
          <w:szCs w:val="24"/>
        </w:rPr>
        <w:t>5、在每次办理付款时，承包人需向发包人开具增值税专用发票，税率执行国家相关税法规定。若承包人实际开具增值税专用发票税率与合同签订时约定的税率不符，税差相应调整，但以下情况除外：合同签订阶段，承包人为小规模纳税人，在后续执行过程中变更为一般纳税人，则其因此开具高于合同约定的税率而产生的税差由承包人自行承担，发包人不予补偿。本合同约定税率为</w:t>
      </w:r>
      <w:r>
        <w:rPr>
          <w:rFonts w:hint="eastAsia" w:cs="宋体" w:asciiTheme="minorEastAsia" w:hAnsiTheme="minorEastAsia"/>
          <w:b/>
          <w:bCs/>
          <w:color w:val="222222"/>
          <w:kern w:val="0"/>
          <w:sz w:val="24"/>
          <w:szCs w:val="24"/>
          <w:highlight w:val="none"/>
          <w:u w:val="single"/>
        </w:rPr>
        <w:t>6%增值税专用发票</w:t>
      </w:r>
      <w:r>
        <w:rPr>
          <w:rFonts w:hint="eastAsia" w:cs="宋体" w:asciiTheme="minorEastAsia" w:hAnsiTheme="minorEastAsia"/>
          <w:color w:val="222222"/>
          <w:kern w:val="0"/>
          <w:sz w:val="24"/>
          <w:szCs w:val="24"/>
        </w:rPr>
        <w:t>。开票资料如下：</w:t>
      </w:r>
    </w:p>
    <w:p>
      <w:pPr>
        <w:widowControl/>
        <w:spacing w:line="336" w:lineRule="auto"/>
        <w:ind w:firstLine="480"/>
        <w:jc w:val="left"/>
        <w:rPr>
          <w:rFonts w:cs="宋体" w:asciiTheme="minorEastAsia" w:hAnsiTheme="minorEastAsia"/>
          <w:b w:val="0"/>
          <w:bCs w:val="0"/>
          <w:color w:val="222222"/>
          <w:kern w:val="0"/>
          <w:sz w:val="24"/>
          <w:szCs w:val="24"/>
        </w:rPr>
      </w:pPr>
      <w:r>
        <w:rPr>
          <w:rFonts w:hint="eastAsia" w:cs="宋体" w:asciiTheme="minorEastAsia" w:hAnsiTheme="minorEastAsia"/>
          <w:b w:val="0"/>
          <w:bCs w:val="0"/>
          <w:color w:val="222222"/>
          <w:kern w:val="0"/>
          <w:sz w:val="24"/>
          <w:szCs w:val="24"/>
        </w:rPr>
        <w:t>公司全称：大连深能环保有限公司</w:t>
      </w:r>
    </w:p>
    <w:p>
      <w:pPr>
        <w:widowControl/>
        <w:spacing w:line="336" w:lineRule="auto"/>
        <w:ind w:firstLine="480"/>
        <w:jc w:val="left"/>
        <w:rPr>
          <w:rFonts w:cs="宋体" w:asciiTheme="minorEastAsia" w:hAnsiTheme="minorEastAsia"/>
          <w:b w:val="0"/>
          <w:bCs w:val="0"/>
          <w:color w:val="222222"/>
          <w:kern w:val="0"/>
          <w:sz w:val="24"/>
          <w:szCs w:val="24"/>
        </w:rPr>
      </w:pPr>
      <w:r>
        <w:rPr>
          <w:rFonts w:hint="eastAsia" w:cs="宋体" w:asciiTheme="minorEastAsia" w:hAnsiTheme="minorEastAsia"/>
          <w:b w:val="0"/>
          <w:bCs w:val="0"/>
          <w:color w:val="222222"/>
          <w:kern w:val="0"/>
          <w:sz w:val="24"/>
          <w:szCs w:val="24"/>
        </w:rPr>
        <w:t>纳税人识别号：</w:t>
      </w:r>
      <w:r>
        <w:rPr>
          <w:rFonts w:cs="宋体" w:asciiTheme="minorEastAsia" w:hAnsiTheme="minorEastAsia"/>
          <w:b w:val="0"/>
          <w:bCs w:val="0"/>
          <w:color w:val="222222"/>
          <w:kern w:val="0"/>
          <w:sz w:val="24"/>
          <w:szCs w:val="24"/>
        </w:rPr>
        <w:t>91210211MA0YX9PQ47</w:t>
      </w:r>
      <w:r>
        <w:rPr>
          <w:rFonts w:hint="eastAsia" w:cs="宋体" w:asciiTheme="minorEastAsia" w:hAnsiTheme="minorEastAsia"/>
          <w:b w:val="0"/>
          <w:bCs w:val="0"/>
          <w:color w:val="222222"/>
          <w:kern w:val="0"/>
          <w:sz w:val="24"/>
          <w:szCs w:val="24"/>
        </w:rPr>
        <w:t xml:space="preserve">       </w:t>
      </w:r>
    </w:p>
    <w:p>
      <w:pPr>
        <w:widowControl/>
        <w:spacing w:line="336" w:lineRule="auto"/>
        <w:ind w:firstLine="480"/>
        <w:jc w:val="left"/>
        <w:rPr>
          <w:rFonts w:cs="宋体" w:asciiTheme="minorEastAsia" w:hAnsiTheme="minorEastAsia"/>
          <w:b w:val="0"/>
          <w:bCs w:val="0"/>
          <w:color w:val="222222"/>
          <w:kern w:val="0"/>
          <w:sz w:val="24"/>
          <w:szCs w:val="24"/>
        </w:rPr>
      </w:pPr>
      <w:r>
        <w:rPr>
          <w:rFonts w:hint="eastAsia" w:cs="宋体" w:asciiTheme="minorEastAsia" w:hAnsiTheme="minorEastAsia"/>
          <w:b w:val="0"/>
          <w:bCs w:val="0"/>
          <w:color w:val="222222"/>
          <w:kern w:val="0"/>
          <w:sz w:val="24"/>
          <w:szCs w:val="24"/>
        </w:rPr>
        <w:t>开票地址：辽宁省大连市甘井子区</w:t>
      </w:r>
      <w:r>
        <w:rPr>
          <w:rFonts w:hint="eastAsia" w:cs="宋体" w:asciiTheme="minorEastAsia" w:hAnsiTheme="minorEastAsia"/>
          <w:b w:val="0"/>
          <w:bCs w:val="0"/>
          <w:color w:val="222222"/>
          <w:kern w:val="0"/>
          <w:sz w:val="24"/>
          <w:szCs w:val="24"/>
          <w:lang w:val="en-US" w:eastAsia="zh-CN"/>
        </w:rPr>
        <w:t>启新街6号</w:t>
      </w:r>
    </w:p>
    <w:p>
      <w:pPr>
        <w:widowControl/>
        <w:spacing w:line="336" w:lineRule="auto"/>
        <w:ind w:firstLine="480"/>
        <w:jc w:val="left"/>
        <w:rPr>
          <w:rFonts w:cs="宋体" w:asciiTheme="minorEastAsia" w:hAnsiTheme="minorEastAsia"/>
          <w:b w:val="0"/>
          <w:bCs w:val="0"/>
          <w:color w:val="222222"/>
          <w:kern w:val="0"/>
          <w:sz w:val="24"/>
          <w:szCs w:val="24"/>
        </w:rPr>
      </w:pPr>
      <w:r>
        <w:rPr>
          <w:rFonts w:hint="eastAsia" w:cs="宋体" w:asciiTheme="minorEastAsia" w:hAnsiTheme="minorEastAsia"/>
          <w:b w:val="0"/>
          <w:bCs w:val="0"/>
          <w:color w:val="222222"/>
          <w:kern w:val="0"/>
          <w:sz w:val="24"/>
          <w:szCs w:val="24"/>
        </w:rPr>
        <w:t>电    话：</w:t>
      </w:r>
      <w:r>
        <w:rPr>
          <w:rFonts w:cs="宋体" w:asciiTheme="minorEastAsia" w:hAnsiTheme="minorEastAsia"/>
          <w:b w:val="0"/>
          <w:bCs w:val="0"/>
          <w:color w:val="222222"/>
          <w:kern w:val="0"/>
          <w:sz w:val="24"/>
          <w:szCs w:val="24"/>
        </w:rPr>
        <w:t>0411-39890800</w:t>
      </w:r>
      <w:r>
        <w:rPr>
          <w:rFonts w:hint="eastAsia" w:cs="宋体" w:asciiTheme="minorEastAsia" w:hAnsiTheme="minorEastAsia"/>
          <w:b w:val="0"/>
          <w:bCs w:val="0"/>
          <w:color w:val="222222"/>
          <w:kern w:val="0"/>
          <w:sz w:val="24"/>
          <w:szCs w:val="24"/>
        </w:rPr>
        <w:t xml:space="preserve">    </w:t>
      </w:r>
    </w:p>
    <w:p>
      <w:pPr>
        <w:widowControl/>
        <w:spacing w:line="336" w:lineRule="auto"/>
        <w:ind w:firstLine="480"/>
        <w:jc w:val="left"/>
        <w:rPr>
          <w:rFonts w:cs="宋体" w:asciiTheme="minorEastAsia" w:hAnsiTheme="minorEastAsia"/>
          <w:b w:val="0"/>
          <w:bCs w:val="0"/>
          <w:color w:val="222222"/>
          <w:kern w:val="0"/>
          <w:sz w:val="24"/>
          <w:szCs w:val="24"/>
        </w:rPr>
      </w:pPr>
      <w:r>
        <w:rPr>
          <w:rFonts w:hint="eastAsia" w:cs="宋体" w:asciiTheme="minorEastAsia" w:hAnsiTheme="minorEastAsia"/>
          <w:b w:val="0"/>
          <w:bCs w:val="0"/>
          <w:color w:val="222222"/>
          <w:kern w:val="0"/>
          <w:sz w:val="24"/>
          <w:szCs w:val="24"/>
        </w:rPr>
        <w:t>帐    号：</w:t>
      </w:r>
      <w:r>
        <w:rPr>
          <w:rFonts w:hint="eastAsia" w:cs="宋体" w:asciiTheme="minorEastAsia" w:hAnsiTheme="minorEastAsia"/>
          <w:b w:val="0"/>
          <w:bCs w:val="0"/>
          <w:color w:val="222222"/>
          <w:kern w:val="0"/>
          <w:sz w:val="24"/>
          <w:szCs w:val="24"/>
          <w:lang w:val="en-US" w:eastAsia="zh-CN"/>
        </w:rPr>
        <w:t>34038001040016820</w:t>
      </w:r>
      <w:r>
        <w:rPr>
          <w:rFonts w:hint="eastAsia" w:cs="宋体" w:asciiTheme="minorEastAsia" w:hAnsiTheme="minorEastAsia"/>
          <w:b w:val="0"/>
          <w:bCs w:val="0"/>
          <w:color w:val="222222"/>
          <w:kern w:val="0"/>
          <w:sz w:val="24"/>
          <w:szCs w:val="24"/>
        </w:rPr>
        <w:t xml:space="preserve">                              </w:t>
      </w:r>
    </w:p>
    <w:p>
      <w:pPr>
        <w:widowControl/>
        <w:spacing w:line="336" w:lineRule="auto"/>
        <w:ind w:firstLine="480"/>
        <w:jc w:val="left"/>
        <w:rPr>
          <w:rFonts w:cs="宋体" w:asciiTheme="minorEastAsia" w:hAnsiTheme="minorEastAsia"/>
          <w:color w:val="222222"/>
          <w:kern w:val="0"/>
          <w:sz w:val="24"/>
          <w:szCs w:val="24"/>
        </w:rPr>
      </w:pPr>
      <w:r>
        <w:rPr>
          <w:rFonts w:hint="eastAsia" w:cs="宋体" w:asciiTheme="minorEastAsia" w:hAnsiTheme="minorEastAsia"/>
          <w:b w:val="0"/>
          <w:bCs w:val="0"/>
          <w:color w:val="222222"/>
          <w:kern w:val="0"/>
          <w:sz w:val="24"/>
          <w:szCs w:val="24"/>
        </w:rPr>
        <w:t>开户银行：</w:t>
      </w:r>
      <w:r>
        <w:rPr>
          <w:rFonts w:hint="eastAsia" w:cs="宋体" w:asciiTheme="minorEastAsia" w:hAnsiTheme="minorEastAsia"/>
          <w:b w:val="0"/>
          <w:bCs w:val="0"/>
          <w:color w:val="222222"/>
          <w:kern w:val="0"/>
          <w:sz w:val="24"/>
          <w:szCs w:val="24"/>
          <w:lang w:val="en-US" w:eastAsia="zh-CN"/>
        </w:rPr>
        <w:t>中国农业银行股份有限公司大连大连湾支行</w:t>
      </w:r>
      <w:r>
        <w:rPr>
          <w:rFonts w:hint="eastAsia" w:cs="宋体" w:asciiTheme="minorEastAsia" w:hAnsiTheme="minorEastAsia"/>
          <w:b w:val="0"/>
          <w:bCs w:val="0"/>
          <w:color w:val="222222"/>
          <w:kern w:val="0"/>
          <w:sz w:val="24"/>
          <w:szCs w:val="24"/>
        </w:rPr>
        <w:t xml:space="preserve"> </w:t>
      </w:r>
      <w:r>
        <w:rPr>
          <w:rFonts w:hint="eastAsia" w:cs="宋体" w:asciiTheme="minorEastAsia" w:hAnsiTheme="minorEastAsia"/>
          <w:color w:val="222222"/>
          <w:kern w:val="0"/>
          <w:sz w:val="24"/>
          <w:szCs w:val="24"/>
        </w:rPr>
        <w:t xml:space="preserve">  </w:t>
      </w:r>
    </w:p>
    <w:p>
      <w:pPr>
        <w:widowControl/>
        <w:spacing w:line="336" w:lineRule="auto"/>
        <w:ind w:firstLine="480"/>
        <w:jc w:val="left"/>
        <w:rPr>
          <w:rFonts w:cs="宋体" w:asciiTheme="minorEastAsia" w:hAnsiTheme="minorEastAsia"/>
          <w:b/>
          <w:bCs w:val="0"/>
          <w:color w:val="222222"/>
          <w:kern w:val="0"/>
          <w:sz w:val="24"/>
          <w:szCs w:val="24"/>
        </w:rPr>
      </w:pPr>
      <w:r>
        <w:rPr>
          <w:rFonts w:cs="宋体" w:asciiTheme="minorEastAsia" w:hAnsiTheme="minorEastAsia"/>
          <w:b/>
          <w:bCs w:val="0"/>
          <w:color w:val="222222"/>
          <w:kern w:val="0"/>
          <w:sz w:val="24"/>
          <w:szCs w:val="24"/>
        </w:rPr>
        <w:t>6</w:t>
      </w:r>
      <w:r>
        <w:rPr>
          <w:rFonts w:hint="eastAsia" w:cs="宋体" w:asciiTheme="minorEastAsia" w:hAnsiTheme="minorEastAsia"/>
          <w:b/>
          <w:bCs w:val="0"/>
          <w:color w:val="222222"/>
          <w:kern w:val="0"/>
          <w:sz w:val="24"/>
          <w:szCs w:val="24"/>
        </w:rPr>
        <w:t>、</w:t>
      </w:r>
      <w:r>
        <w:rPr>
          <w:rFonts w:cs="宋体" w:asciiTheme="minorEastAsia" w:hAnsiTheme="minorEastAsia"/>
          <w:b/>
          <w:bCs w:val="0"/>
          <w:color w:val="222222"/>
          <w:kern w:val="0"/>
          <w:sz w:val="24"/>
          <w:szCs w:val="24"/>
        </w:rPr>
        <w:t>租赁期限</w:t>
      </w:r>
      <w:r>
        <w:rPr>
          <w:rFonts w:hint="eastAsia" w:cs="宋体" w:asciiTheme="minorEastAsia" w:hAnsiTheme="minorEastAsia"/>
          <w:b/>
          <w:bCs w:val="0"/>
          <w:color w:val="222222"/>
          <w:kern w:val="0"/>
          <w:sz w:val="24"/>
          <w:szCs w:val="24"/>
        </w:rPr>
        <w:t>：自</w:t>
      </w:r>
      <w:r>
        <w:rPr>
          <w:rFonts w:hint="eastAsia" w:cs="宋体" w:asciiTheme="minorEastAsia" w:hAnsiTheme="minorEastAsia"/>
          <w:b/>
          <w:bCs w:val="0"/>
          <w:color w:val="222222"/>
          <w:kern w:val="0"/>
          <w:sz w:val="24"/>
          <w:szCs w:val="24"/>
          <w:lang w:val="en-US" w:eastAsia="zh-CN"/>
        </w:rPr>
        <w:t>2026年4月29日至2027年4月28日止</w:t>
      </w:r>
      <w:r>
        <w:rPr>
          <w:rFonts w:hint="eastAsia" w:cs="宋体" w:asciiTheme="minorEastAsia" w:hAnsiTheme="minorEastAsia"/>
          <w:b/>
          <w:bCs w:val="0"/>
          <w:color w:val="222222"/>
          <w:kern w:val="0"/>
          <w:sz w:val="24"/>
          <w:szCs w:val="24"/>
        </w:rPr>
        <w:t>。</w:t>
      </w:r>
    </w:p>
    <w:p>
      <w:pPr>
        <w:widowControl/>
        <w:spacing w:before="100" w:beforeAutospacing="1" w:after="100" w:afterAutospacing="1" w:line="336" w:lineRule="auto"/>
        <w:ind w:left="480"/>
        <w:jc w:val="left"/>
        <w:rPr>
          <w:rFonts w:cs="宋体" w:asciiTheme="minorEastAsia" w:hAnsiTheme="minorEastAsia"/>
          <w:b/>
          <w:color w:val="222222"/>
          <w:kern w:val="0"/>
          <w:sz w:val="24"/>
          <w:szCs w:val="24"/>
        </w:rPr>
      </w:pPr>
      <w:r>
        <w:rPr>
          <w:rFonts w:hint="eastAsia" w:asciiTheme="minorEastAsia" w:hAnsiTheme="minorEastAsia"/>
          <w:b/>
          <w:color w:val="222222"/>
          <w:sz w:val="24"/>
          <w:szCs w:val="24"/>
        </w:rPr>
        <w:t xml:space="preserve">第二条 </w:t>
      </w:r>
      <w:r>
        <w:rPr>
          <w:rFonts w:hint="eastAsia" w:cs="宋体" w:asciiTheme="minorEastAsia" w:hAnsiTheme="minorEastAsia"/>
          <w:b/>
          <w:color w:val="222222"/>
          <w:kern w:val="0"/>
          <w:sz w:val="24"/>
          <w:szCs w:val="24"/>
        </w:rPr>
        <w:t>工作内容</w:t>
      </w:r>
    </w:p>
    <w:p>
      <w:pPr>
        <w:pStyle w:val="16"/>
        <w:spacing w:before="0" w:beforeAutospacing="0" w:after="0" w:afterAutospacing="0" w:line="336" w:lineRule="auto"/>
        <w:ind w:firstLine="482"/>
        <w:rPr>
          <w:rFonts w:asciiTheme="minorEastAsia" w:hAnsiTheme="minorEastAsia" w:eastAsiaTheme="minorEastAsia"/>
          <w:color w:val="222222"/>
        </w:rPr>
      </w:pPr>
      <w:r>
        <w:rPr>
          <w:rFonts w:asciiTheme="minorEastAsia" w:hAnsiTheme="minorEastAsia" w:eastAsiaTheme="minorEastAsia"/>
          <w:color w:val="222222"/>
        </w:rPr>
        <w:t>1</w:t>
      </w:r>
      <w:r>
        <w:rPr>
          <w:rFonts w:hint="eastAsia" w:asciiTheme="minorEastAsia" w:hAnsiTheme="minorEastAsia" w:eastAsiaTheme="minorEastAsia"/>
          <w:color w:val="222222"/>
        </w:rPr>
        <w:t>、工程地址</w:t>
      </w:r>
      <w:r>
        <w:rPr>
          <w:rFonts w:asciiTheme="minorEastAsia" w:hAnsiTheme="minorEastAsia" w:eastAsiaTheme="minorEastAsia"/>
          <w:color w:val="222222"/>
        </w:rPr>
        <w:t>：</w:t>
      </w:r>
      <w:r>
        <w:rPr>
          <w:rFonts w:hint="eastAsia" w:asciiTheme="minorEastAsia" w:hAnsiTheme="minorEastAsia" w:eastAsiaTheme="minorEastAsia"/>
          <w:color w:val="222222"/>
        </w:rPr>
        <w:t>辽宁省大连市甘井子区</w:t>
      </w:r>
      <w:r>
        <w:rPr>
          <w:rFonts w:hint="eastAsia" w:asciiTheme="minorEastAsia" w:hAnsiTheme="minorEastAsia" w:eastAsiaTheme="minorEastAsia"/>
          <w:color w:val="222222"/>
          <w:lang w:val="en-US" w:eastAsia="zh-CN"/>
        </w:rPr>
        <w:t>启新街6号</w:t>
      </w:r>
      <w:r>
        <w:rPr>
          <w:rFonts w:hint="eastAsia" w:asciiTheme="minorEastAsia" w:hAnsiTheme="minorEastAsia" w:eastAsiaTheme="minorEastAsia"/>
          <w:color w:val="222222"/>
        </w:rPr>
        <w:t>。</w:t>
      </w:r>
    </w:p>
    <w:p>
      <w:pPr>
        <w:pStyle w:val="16"/>
        <w:spacing w:before="0" w:beforeAutospacing="0" w:after="0" w:afterAutospacing="0" w:line="336" w:lineRule="auto"/>
        <w:ind w:firstLine="482"/>
        <w:rPr>
          <w:rFonts w:asciiTheme="minorEastAsia" w:hAnsiTheme="minorEastAsia" w:eastAsiaTheme="minorEastAsia"/>
          <w:color w:val="222222"/>
        </w:rPr>
      </w:pPr>
      <w:r>
        <w:rPr>
          <w:rFonts w:asciiTheme="minorEastAsia" w:hAnsiTheme="minorEastAsia" w:eastAsiaTheme="minorEastAsia"/>
          <w:color w:val="222222"/>
        </w:rPr>
        <w:t>2</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工作内容</w:t>
      </w:r>
      <w:r>
        <w:rPr>
          <w:rFonts w:hint="eastAsia" w:asciiTheme="minorEastAsia" w:hAnsiTheme="minorEastAsia" w:eastAsiaTheme="minorEastAsia"/>
          <w:color w:val="222222"/>
        </w:rPr>
        <w:t>及管理规定</w:t>
      </w:r>
      <w:r>
        <w:rPr>
          <w:rFonts w:asciiTheme="minorEastAsia" w:hAnsiTheme="minorEastAsia" w:eastAsiaTheme="minorEastAsia"/>
          <w:color w:val="222222"/>
        </w:rPr>
        <w:t>：</w:t>
      </w:r>
      <w:r>
        <w:rPr>
          <w:rFonts w:hint="eastAsia" w:asciiTheme="minorEastAsia" w:hAnsiTheme="minorEastAsia" w:eastAsiaTheme="minorEastAsia"/>
          <w:color w:val="222222"/>
        </w:rPr>
        <w:t>乙</w:t>
      </w:r>
      <w:r>
        <w:rPr>
          <w:rFonts w:asciiTheme="minorEastAsia" w:hAnsiTheme="minorEastAsia" w:eastAsiaTheme="minorEastAsia"/>
          <w:color w:val="222222"/>
        </w:rPr>
        <w:t>方</w:t>
      </w:r>
      <w:r>
        <w:rPr>
          <w:rFonts w:hint="eastAsia" w:asciiTheme="minorEastAsia" w:hAnsiTheme="minorEastAsia" w:eastAsiaTheme="minorEastAsia"/>
          <w:color w:val="222222"/>
        </w:rPr>
        <w:t>同</w:t>
      </w:r>
      <w:r>
        <w:rPr>
          <w:rFonts w:asciiTheme="minorEastAsia" w:hAnsiTheme="minorEastAsia" w:eastAsiaTheme="minorEastAsia"/>
          <w:color w:val="222222"/>
        </w:rPr>
        <w:t>意</w:t>
      </w:r>
      <w:r>
        <w:rPr>
          <w:rFonts w:hint="eastAsia" w:asciiTheme="minorEastAsia" w:hAnsiTheme="minorEastAsia" w:eastAsiaTheme="minorEastAsia"/>
          <w:color w:val="222222"/>
        </w:rPr>
        <w:t>协助甲</w:t>
      </w:r>
      <w:r>
        <w:rPr>
          <w:rFonts w:asciiTheme="minorEastAsia" w:hAnsiTheme="minorEastAsia" w:eastAsiaTheme="minorEastAsia"/>
          <w:color w:val="222222"/>
        </w:rPr>
        <w:t>方,在租赁期内</w:t>
      </w:r>
      <w:r>
        <w:rPr>
          <w:rFonts w:hint="eastAsia" w:asciiTheme="minorEastAsia" w:hAnsiTheme="minorEastAsia" w:eastAsiaTheme="minorEastAsia"/>
          <w:color w:val="222222"/>
        </w:rPr>
        <w:t>根据甲方要求提供专用机械设备用于大连垃圾发电厂二期生产现场的设备或货物的转运以及相关的日常检修维护工作，部分高空作业和吊装作业等各类项目。详细工作内容和施工组织、现场安全管理等详见附件一《2025年大连深能环保有限公司汽车吊、随车吊、登高车、挖掘机及吸污车租赁项目技术规范书》</w:t>
      </w:r>
      <w:r>
        <w:rPr>
          <w:rFonts w:hint="eastAsia" w:asciiTheme="minorEastAsia" w:hAnsiTheme="minorEastAsia" w:eastAsiaTheme="minorEastAsia"/>
          <w:color w:val="222222"/>
          <w:lang w:eastAsia="zh-CN"/>
        </w:rPr>
        <w:t>（</w:t>
      </w:r>
      <w:r>
        <w:rPr>
          <w:rFonts w:hint="eastAsia" w:asciiTheme="minorEastAsia" w:hAnsiTheme="minorEastAsia" w:eastAsiaTheme="minorEastAsia"/>
          <w:color w:val="222222"/>
          <w:lang w:val="en-US" w:eastAsia="zh-CN"/>
        </w:rPr>
        <w:t>单独成册）</w:t>
      </w:r>
      <w:r>
        <w:rPr>
          <w:rFonts w:hint="eastAsia" w:asciiTheme="minorEastAsia" w:hAnsiTheme="minorEastAsia" w:eastAsiaTheme="minorEastAsia"/>
          <w:color w:val="222222"/>
        </w:rPr>
        <w:t>。</w:t>
      </w:r>
    </w:p>
    <w:p>
      <w:pPr>
        <w:pStyle w:val="16"/>
        <w:spacing w:before="0" w:beforeAutospacing="0" w:after="0" w:afterAutospacing="0" w:line="336" w:lineRule="auto"/>
        <w:ind w:firstLine="482"/>
        <w:rPr>
          <w:rFonts w:asciiTheme="minorEastAsia" w:hAnsiTheme="minorEastAsia"/>
          <w:b/>
          <w:color w:val="222222"/>
        </w:rPr>
      </w:pPr>
    </w:p>
    <w:p>
      <w:pPr>
        <w:pStyle w:val="16"/>
        <w:spacing w:before="0" w:beforeAutospacing="0" w:after="0" w:afterAutospacing="0" w:line="336" w:lineRule="auto"/>
        <w:ind w:firstLine="482"/>
        <w:rPr>
          <w:rFonts w:asciiTheme="minorEastAsia" w:hAnsiTheme="minorEastAsia"/>
          <w:b/>
          <w:color w:val="222222"/>
        </w:rPr>
      </w:pPr>
    </w:p>
    <w:p>
      <w:pPr>
        <w:pStyle w:val="16"/>
        <w:spacing w:before="0" w:beforeAutospacing="0" w:after="0" w:afterAutospacing="0" w:line="336" w:lineRule="auto"/>
        <w:ind w:firstLine="482"/>
        <w:rPr>
          <w:rFonts w:asciiTheme="minorEastAsia" w:hAnsiTheme="minorEastAsia"/>
          <w:b/>
          <w:color w:val="222222"/>
        </w:rPr>
      </w:pPr>
      <w:r>
        <w:rPr>
          <w:rFonts w:hint="eastAsia" w:asciiTheme="minorEastAsia" w:hAnsiTheme="minorEastAsia"/>
          <w:b/>
          <w:color w:val="222222"/>
        </w:rPr>
        <w:t xml:space="preserve">第三条 </w:t>
      </w:r>
      <w:r>
        <w:rPr>
          <w:rFonts w:asciiTheme="minorEastAsia" w:hAnsiTheme="minorEastAsia"/>
          <w:b/>
          <w:color w:val="222222"/>
        </w:rPr>
        <w:t>租赁方式及所有权</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1</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租赁方</w:t>
      </w:r>
      <w:r>
        <w:rPr>
          <w:rFonts w:asciiTheme="minorEastAsia" w:hAnsiTheme="minorEastAsia" w:eastAsiaTheme="minorEastAsia"/>
        </w:rPr>
        <w:t>式：本设备的租赁由</w:t>
      </w:r>
      <w:r>
        <w:rPr>
          <w:rFonts w:hint="eastAsia" w:asciiTheme="minorEastAsia" w:hAnsiTheme="minorEastAsia" w:eastAsiaTheme="minorEastAsia"/>
        </w:rPr>
        <w:t>乙方</w:t>
      </w:r>
      <w:r>
        <w:rPr>
          <w:rFonts w:asciiTheme="minorEastAsia" w:hAnsiTheme="minorEastAsia" w:eastAsiaTheme="minorEastAsia"/>
        </w:rPr>
        <w:t>配备操作人员。</w:t>
      </w:r>
      <w:r>
        <w:rPr>
          <w:rFonts w:hint="eastAsia" w:asciiTheme="minorEastAsia" w:hAnsiTheme="minorEastAsia" w:eastAsiaTheme="minorEastAsia"/>
        </w:rPr>
        <w:t>乙</w:t>
      </w:r>
      <w:r>
        <w:rPr>
          <w:rFonts w:asciiTheme="minorEastAsia" w:hAnsiTheme="minorEastAsia" w:eastAsiaTheme="minorEastAsia"/>
        </w:rPr>
        <w:t>方负</w:t>
      </w:r>
      <w:r>
        <w:rPr>
          <w:rFonts w:asciiTheme="minorEastAsia" w:hAnsiTheme="minorEastAsia" w:eastAsiaTheme="minorEastAsia"/>
          <w:color w:val="222222"/>
        </w:rPr>
        <w:t>责设备的操作和维护保养工作</w:t>
      </w:r>
      <w:r>
        <w:rPr>
          <w:rFonts w:hint="eastAsia" w:asciiTheme="minorEastAsia" w:hAnsiTheme="minorEastAsia" w:eastAsiaTheme="minorEastAsia"/>
          <w:color w:val="222222"/>
        </w:rPr>
        <w:t>,乙</w:t>
      </w:r>
      <w:r>
        <w:rPr>
          <w:rFonts w:asciiTheme="minorEastAsia" w:hAnsiTheme="minorEastAsia" w:eastAsiaTheme="minorEastAsia"/>
          <w:color w:val="222222"/>
        </w:rPr>
        <w:t>方</w:t>
      </w:r>
      <w:r>
        <w:rPr>
          <w:rFonts w:hint="eastAsia" w:asciiTheme="minorEastAsia" w:hAnsiTheme="minorEastAsia" w:eastAsiaTheme="minorEastAsia"/>
          <w:color w:val="222222"/>
        </w:rPr>
        <w:t>负责租</w:t>
      </w:r>
      <w:r>
        <w:rPr>
          <w:rFonts w:asciiTheme="minorEastAsia" w:hAnsiTheme="minorEastAsia" w:eastAsiaTheme="minorEastAsia"/>
          <w:color w:val="222222"/>
        </w:rPr>
        <w:t>赁期内</w:t>
      </w:r>
      <w:r>
        <w:rPr>
          <w:rFonts w:hint="eastAsia" w:asciiTheme="minorEastAsia" w:hAnsiTheme="minorEastAsia" w:eastAsiaTheme="minorEastAsia"/>
          <w:color w:val="222222"/>
        </w:rPr>
        <w:t>机械设备</w:t>
      </w:r>
      <w:r>
        <w:rPr>
          <w:rFonts w:asciiTheme="minorEastAsia" w:hAnsiTheme="minorEastAsia" w:eastAsiaTheme="minorEastAsia"/>
          <w:color w:val="222222"/>
        </w:rPr>
        <w:t>的</w:t>
      </w:r>
      <w:r>
        <w:rPr>
          <w:rFonts w:hint="eastAsia" w:asciiTheme="minorEastAsia" w:hAnsiTheme="minorEastAsia" w:eastAsiaTheme="minorEastAsia"/>
          <w:color w:val="222222"/>
        </w:rPr>
        <w:t>运</w:t>
      </w:r>
      <w:r>
        <w:rPr>
          <w:rFonts w:asciiTheme="minorEastAsia" w:hAnsiTheme="minorEastAsia" w:eastAsiaTheme="minorEastAsia"/>
          <w:color w:val="222222"/>
        </w:rPr>
        <w:t>行</w:t>
      </w:r>
      <w:r>
        <w:rPr>
          <w:rFonts w:hint="eastAsia" w:asciiTheme="minorEastAsia" w:hAnsiTheme="minorEastAsia" w:eastAsiaTheme="minorEastAsia"/>
          <w:color w:val="222222"/>
        </w:rPr>
        <w:t>所</w:t>
      </w:r>
      <w:r>
        <w:rPr>
          <w:rFonts w:asciiTheme="minorEastAsia" w:hAnsiTheme="minorEastAsia" w:eastAsiaTheme="minorEastAsia"/>
          <w:color w:val="222222"/>
        </w:rPr>
        <w:t>需的燃油</w:t>
      </w:r>
      <w:r>
        <w:rPr>
          <w:rFonts w:hint="eastAsia" w:asciiTheme="minorEastAsia" w:hAnsiTheme="minorEastAsia" w:eastAsiaTheme="minorEastAsia"/>
          <w:color w:val="222222"/>
        </w:rPr>
        <w:t>补给。</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2</w:t>
      </w:r>
      <w:r>
        <w:rPr>
          <w:rFonts w:hint="eastAsia" w:asciiTheme="minorEastAsia" w:hAnsiTheme="minorEastAsia" w:eastAsiaTheme="minorEastAsia"/>
          <w:color w:val="222222"/>
        </w:rPr>
        <w:t>、</w:t>
      </w:r>
      <w:r>
        <w:rPr>
          <w:rFonts w:asciiTheme="minorEastAsia" w:hAnsiTheme="minorEastAsia" w:eastAsiaTheme="minorEastAsia"/>
          <w:color w:val="222222"/>
        </w:rPr>
        <w:t>租赁设备的所有权：合同所列租赁设备的所有权属于</w:t>
      </w:r>
      <w:r>
        <w:rPr>
          <w:rFonts w:hint="eastAsia" w:asciiTheme="minorEastAsia" w:hAnsiTheme="minorEastAsia" w:eastAsiaTheme="minorEastAsia"/>
          <w:color w:val="222222"/>
        </w:rPr>
        <w:t>乙方</w:t>
      </w:r>
      <w:r>
        <w:rPr>
          <w:rFonts w:asciiTheme="minorEastAsia" w:hAnsiTheme="minorEastAsia" w:eastAsiaTheme="minorEastAsia"/>
          <w:color w:val="222222"/>
        </w:rPr>
        <w:t>，</w:t>
      </w:r>
      <w:r>
        <w:rPr>
          <w:rFonts w:hint="eastAsia" w:asciiTheme="minorEastAsia" w:hAnsiTheme="minorEastAsia" w:eastAsiaTheme="minorEastAsia"/>
          <w:color w:val="222222"/>
        </w:rPr>
        <w:t>甲方</w:t>
      </w:r>
      <w:r>
        <w:rPr>
          <w:rFonts w:asciiTheme="minorEastAsia" w:hAnsiTheme="minorEastAsia" w:eastAsiaTheme="minorEastAsia"/>
          <w:color w:val="222222"/>
        </w:rPr>
        <w:t>对租赁机械只享有租赁期间的使用权，没有设备的所有权。</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3</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未经</w:t>
      </w:r>
      <w:r>
        <w:rPr>
          <w:rFonts w:hint="eastAsia" w:asciiTheme="minorEastAsia" w:hAnsiTheme="minorEastAsia" w:eastAsiaTheme="minorEastAsia"/>
          <w:color w:val="222222"/>
        </w:rPr>
        <w:t>乙方</w:t>
      </w:r>
      <w:r>
        <w:rPr>
          <w:rFonts w:asciiTheme="minorEastAsia" w:hAnsiTheme="minorEastAsia" w:eastAsiaTheme="minorEastAsia"/>
          <w:color w:val="222222"/>
        </w:rPr>
        <w:t>同意，</w:t>
      </w:r>
      <w:r>
        <w:rPr>
          <w:rFonts w:hint="eastAsia" w:asciiTheme="minorEastAsia" w:hAnsiTheme="minorEastAsia" w:eastAsiaTheme="minorEastAsia"/>
          <w:color w:val="222222"/>
        </w:rPr>
        <w:t>甲方</w:t>
      </w:r>
      <w:r>
        <w:rPr>
          <w:rFonts w:asciiTheme="minorEastAsia" w:hAnsiTheme="minorEastAsia" w:eastAsiaTheme="minorEastAsia"/>
          <w:color w:val="222222"/>
        </w:rPr>
        <w:t>不得在设备上随意增加或减少部件，也不得以任何理由对设备进行抵押，否则由此造成的全部后果由</w:t>
      </w:r>
      <w:r>
        <w:rPr>
          <w:rFonts w:hint="eastAsia" w:asciiTheme="minorEastAsia" w:hAnsiTheme="minorEastAsia" w:eastAsiaTheme="minorEastAsia"/>
          <w:color w:val="222222"/>
        </w:rPr>
        <w:t>甲方</w:t>
      </w:r>
      <w:r>
        <w:rPr>
          <w:rFonts w:asciiTheme="minorEastAsia" w:hAnsiTheme="minorEastAsia" w:eastAsiaTheme="minorEastAsia"/>
          <w:color w:val="222222"/>
        </w:rPr>
        <w:t>承担。</w:t>
      </w:r>
    </w:p>
    <w:p>
      <w:pPr>
        <w:widowControl/>
        <w:spacing w:before="100" w:beforeAutospacing="1" w:after="100" w:afterAutospacing="1" w:line="336" w:lineRule="auto"/>
        <w:ind w:left="480"/>
        <w:jc w:val="left"/>
        <w:rPr>
          <w:rFonts w:cs="宋体" w:asciiTheme="minorEastAsia" w:hAnsiTheme="minorEastAsia"/>
          <w:b/>
          <w:color w:val="222222"/>
          <w:kern w:val="0"/>
          <w:sz w:val="24"/>
          <w:szCs w:val="24"/>
        </w:rPr>
      </w:pPr>
      <w:r>
        <w:rPr>
          <w:rFonts w:asciiTheme="minorEastAsia" w:hAnsiTheme="minorEastAsia"/>
          <w:color w:val="222222"/>
        </w:rPr>
        <w:t>　</w:t>
      </w:r>
      <w:r>
        <w:rPr>
          <w:rFonts w:hint="eastAsia" w:asciiTheme="minorEastAsia" w:hAnsiTheme="minorEastAsia"/>
          <w:b/>
          <w:color w:val="222222"/>
          <w:sz w:val="24"/>
          <w:szCs w:val="24"/>
        </w:rPr>
        <w:t xml:space="preserve">第四条 </w:t>
      </w:r>
      <w:r>
        <w:rPr>
          <w:rFonts w:cs="宋体" w:asciiTheme="minorEastAsia" w:hAnsiTheme="minorEastAsia"/>
          <w:b/>
          <w:color w:val="222222"/>
          <w:kern w:val="0"/>
          <w:sz w:val="24"/>
          <w:szCs w:val="24"/>
        </w:rPr>
        <w:t>双方义务和责任</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xml:space="preserve">　 </w:t>
      </w:r>
      <w:r>
        <w:rPr>
          <w:rFonts w:hint="eastAsia" w:asciiTheme="minorEastAsia" w:hAnsiTheme="minorEastAsia" w:eastAsiaTheme="minorEastAsia"/>
          <w:color w:val="222222"/>
        </w:rPr>
        <w:t>一、乙方</w:t>
      </w:r>
      <w:r>
        <w:rPr>
          <w:rFonts w:asciiTheme="minorEastAsia" w:hAnsiTheme="minorEastAsia" w:eastAsiaTheme="minorEastAsia"/>
          <w:color w:val="222222"/>
        </w:rPr>
        <w:t>的</w:t>
      </w:r>
      <w:r>
        <w:rPr>
          <w:rFonts w:hint="eastAsia" w:asciiTheme="minorEastAsia" w:hAnsiTheme="minorEastAsia" w:eastAsiaTheme="minorEastAsia"/>
          <w:color w:val="222222"/>
        </w:rPr>
        <w:t>责任和义务</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1</w:t>
      </w:r>
      <w:r>
        <w:rPr>
          <w:rFonts w:hint="eastAsia" w:asciiTheme="minorEastAsia" w:hAnsiTheme="minorEastAsia" w:eastAsiaTheme="minorEastAsia"/>
          <w:color w:val="222222"/>
        </w:rPr>
        <w:t>、</w:t>
      </w:r>
      <w:r>
        <w:rPr>
          <w:rFonts w:asciiTheme="minorEastAsia" w:hAnsiTheme="minorEastAsia" w:eastAsiaTheme="minorEastAsia"/>
          <w:color w:val="222222"/>
        </w:rPr>
        <w:t>服从</w:t>
      </w:r>
      <w:r>
        <w:rPr>
          <w:rFonts w:hint="eastAsia" w:asciiTheme="minorEastAsia" w:hAnsiTheme="minorEastAsia" w:eastAsiaTheme="minorEastAsia"/>
          <w:color w:val="222222"/>
        </w:rPr>
        <w:t>甲方现场</w:t>
      </w:r>
      <w:r>
        <w:rPr>
          <w:rFonts w:asciiTheme="minorEastAsia" w:hAnsiTheme="minorEastAsia" w:eastAsiaTheme="minorEastAsia"/>
          <w:color w:val="222222"/>
        </w:rPr>
        <w:t>的</w:t>
      </w:r>
      <w:r>
        <w:rPr>
          <w:rFonts w:hint="eastAsia" w:asciiTheme="minorEastAsia" w:hAnsiTheme="minorEastAsia" w:eastAsiaTheme="minorEastAsia"/>
          <w:color w:val="222222"/>
        </w:rPr>
        <w:t>工作</w:t>
      </w:r>
      <w:r>
        <w:rPr>
          <w:rFonts w:asciiTheme="minorEastAsia" w:hAnsiTheme="minorEastAsia" w:eastAsiaTheme="minorEastAsia"/>
          <w:color w:val="222222"/>
        </w:rPr>
        <w:t>安排，</w:t>
      </w:r>
      <w:r>
        <w:rPr>
          <w:rFonts w:hint="eastAsia" w:asciiTheme="minorEastAsia" w:hAnsiTheme="minorEastAsia" w:eastAsiaTheme="minorEastAsia"/>
          <w:color w:val="222222"/>
        </w:rPr>
        <w:t>确</w:t>
      </w:r>
      <w:r>
        <w:rPr>
          <w:rFonts w:asciiTheme="minorEastAsia" w:hAnsiTheme="minorEastAsia" w:eastAsiaTheme="minorEastAsia"/>
          <w:color w:val="222222"/>
        </w:rPr>
        <w:t>保现场租赁机械运行良好，如有机械需维修影响施工，</w:t>
      </w:r>
      <w:r>
        <w:rPr>
          <w:rFonts w:hint="eastAsia" w:asciiTheme="minorEastAsia" w:hAnsiTheme="minorEastAsia" w:eastAsiaTheme="minorEastAsia"/>
          <w:color w:val="222222"/>
        </w:rPr>
        <w:t>乙方应</w:t>
      </w:r>
      <w:r>
        <w:rPr>
          <w:rFonts w:asciiTheme="minorEastAsia" w:hAnsiTheme="minorEastAsia" w:eastAsiaTheme="minorEastAsia"/>
          <w:color w:val="222222"/>
        </w:rPr>
        <w:t>及时调配相同设备替换，密切配合承租方的施工生产，满足</w:t>
      </w:r>
      <w:r>
        <w:rPr>
          <w:rFonts w:hint="eastAsia" w:asciiTheme="minorEastAsia" w:hAnsiTheme="minorEastAsia" w:eastAsiaTheme="minorEastAsia"/>
          <w:color w:val="222222"/>
        </w:rPr>
        <w:t>甲方现场</w:t>
      </w:r>
      <w:r>
        <w:rPr>
          <w:rFonts w:asciiTheme="minorEastAsia" w:hAnsiTheme="minorEastAsia" w:eastAsiaTheme="minorEastAsia"/>
          <w:color w:val="222222"/>
        </w:rPr>
        <w:t>要求。</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2</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负责配备设备操作，维护人员，负责设备的操作，日常维护保养和故障的处理，确保机械技术状态完好。</w:t>
      </w:r>
      <w:r>
        <w:rPr>
          <w:rFonts w:hint="eastAsia" w:asciiTheme="minorEastAsia" w:hAnsiTheme="minorEastAsia" w:eastAsiaTheme="minorEastAsia"/>
          <w:color w:val="222222"/>
        </w:rPr>
        <w:t>从事特种机械操作人员必须经有关部门培训考试合格，持有特种机械操作证，并由甲方安健环管理部门审查和存档；</w:t>
      </w:r>
      <w:r>
        <w:rPr>
          <w:rFonts w:asciiTheme="minorEastAsia" w:hAnsiTheme="minorEastAsia" w:eastAsiaTheme="minorEastAsia"/>
          <w:color w:val="222222"/>
        </w:rPr>
        <w:t>。</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3</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w:t>
      </w:r>
      <w:r>
        <w:rPr>
          <w:rFonts w:hint="eastAsia" w:asciiTheme="minorEastAsia" w:hAnsiTheme="minorEastAsia" w:eastAsiaTheme="minorEastAsia"/>
          <w:color w:val="222222"/>
        </w:rPr>
        <w:t>根据工作和现场环境的需要和要求，乙方工作员配备必要的个人劳保用品。</w:t>
      </w:r>
    </w:p>
    <w:p>
      <w:pPr>
        <w:pStyle w:val="16"/>
        <w:spacing w:before="0" w:beforeAutospacing="0" w:after="0" w:afterAutospacing="0" w:line="336" w:lineRule="auto"/>
        <w:rPr>
          <w:rFonts w:asciiTheme="minorEastAsia" w:hAnsiTheme="minorEastAsia" w:eastAsiaTheme="minorEastAsia"/>
          <w:color w:val="222222"/>
        </w:rPr>
      </w:pPr>
      <w:r>
        <w:rPr>
          <w:rFonts w:asciiTheme="minorEastAsia" w:hAnsiTheme="minorEastAsia" w:eastAsiaTheme="minorEastAsia"/>
          <w:color w:val="222222"/>
        </w:rPr>
        <w:t>　　4</w:t>
      </w:r>
      <w:r>
        <w:rPr>
          <w:rFonts w:hint="eastAsia" w:asciiTheme="minorEastAsia" w:hAnsiTheme="minorEastAsia" w:eastAsiaTheme="minorEastAsia"/>
          <w:color w:val="222222"/>
        </w:rPr>
        <w:t>、</w:t>
      </w:r>
      <w:r>
        <w:rPr>
          <w:rFonts w:asciiTheme="minorEastAsia" w:hAnsiTheme="minorEastAsia" w:eastAsiaTheme="minorEastAsia"/>
          <w:color w:val="222222"/>
        </w:rPr>
        <w:t xml:space="preserve"> 与</w:t>
      </w:r>
      <w:r>
        <w:rPr>
          <w:rFonts w:hint="eastAsia" w:asciiTheme="minorEastAsia" w:hAnsiTheme="minorEastAsia" w:eastAsiaTheme="minorEastAsia"/>
          <w:color w:val="222222"/>
        </w:rPr>
        <w:t>甲方</w:t>
      </w:r>
      <w:r>
        <w:rPr>
          <w:rFonts w:asciiTheme="minorEastAsia" w:hAnsiTheme="minorEastAsia" w:eastAsiaTheme="minorEastAsia"/>
          <w:color w:val="222222"/>
        </w:rPr>
        <w:t>共同办理机械设备的</w:t>
      </w:r>
      <w:r>
        <w:rPr>
          <w:rFonts w:hint="eastAsia" w:asciiTheme="minorEastAsia" w:hAnsiTheme="minorEastAsia" w:eastAsiaTheme="minorEastAsia"/>
          <w:color w:val="222222"/>
        </w:rPr>
        <w:t>台班</w:t>
      </w:r>
      <w:r>
        <w:rPr>
          <w:rFonts w:asciiTheme="minorEastAsia" w:hAnsiTheme="minorEastAsia" w:eastAsiaTheme="minorEastAsia"/>
          <w:color w:val="222222"/>
        </w:rPr>
        <w:t>签认工作</w:t>
      </w:r>
      <w:r>
        <w:rPr>
          <w:rFonts w:hint="eastAsia" w:asciiTheme="minorEastAsia" w:hAnsiTheme="minorEastAsia" w:eastAsiaTheme="minorEastAsia"/>
          <w:color w:val="222222"/>
        </w:rPr>
        <w:t>，签认</w:t>
      </w:r>
      <w:r>
        <w:rPr>
          <w:rFonts w:asciiTheme="minorEastAsia" w:hAnsiTheme="minorEastAsia" w:eastAsiaTheme="minorEastAsia"/>
          <w:color w:val="222222"/>
        </w:rPr>
        <w:t>单作为支付进度款依据。</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 xml:space="preserve">5、 </w:t>
      </w:r>
      <w:r>
        <w:rPr>
          <w:rFonts w:asciiTheme="minorEastAsia" w:hAnsiTheme="minorEastAsia" w:eastAsiaTheme="minorEastAsia"/>
          <w:color w:val="222222"/>
        </w:rPr>
        <w:t>负责工作期间租赁机械和操作司机的安全，严禁违章</w:t>
      </w:r>
      <w:r>
        <w:rPr>
          <w:rFonts w:hint="eastAsia" w:asciiTheme="minorEastAsia" w:hAnsiTheme="minorEastAsia" w:eastAsiaTheme="minorEastAsia"/>
          <w:color w:val="222222"/>
        </w:rPr>
        <w:t>操作</w:t>
      </w:r>
      <w:r>
        <w:rPr>
          <w:rFonts w:asciiTheme="minorEastAsia" w:hAnsiTheme="minorEastAsia" w:eastAsiaTheme="minorEastAsia"/>
          <w:color w:val="222222"/>
        </w:rPr>
        <w:t>，如违章</w:t>
      </w:r>
      <w:r>
        <w:rPr>
          <w:rFonts w:hint="eastAsia" w:asciiTheme="minorEastAsia" w:hAnsiTheme="minorEastAsia" w:eastAsiaTheme="minorEastAsia"/>
          <w:color w:val="222222"/>
        </w:rPr>
        <w:t>操作</w:t>
      </w:r>
      <w:r>
        <w:rPr>
          <w:rFonts w:asciiTheme="minorEastAsia" w:hAnsiTheme="minorEastAsia" w:eastAsiaTheme="minorEastAsia"/>
          <w:color w:val="222222"/>
        </w:rPr>
        <w:t>造成机械化和人员的损伤，</w:t>
      </w:r>
      <w:r>
        <w:rPr>
          <w:rFonts w:hint="eastAsia" w:asciiTheme="minorEastAsia" w:hAnsiTheme="minorEastAsia" w:eastAsiaTheme="minorEastAsia"/>
          <w:color w:val="222222"/>
        </w:rPr>
        <w:t>乙方</w:t>
      </w:r>
      <w:r>
        <w:rPr>
          <w:rFonts w:asciiTheme="minorEastAsia" w:hAnsiTheme="minorEastAsia" w:eastAsiaTheme="minorEastAsia"/>
          <w:color w:val="222222"/>
        </w:rPr>
        <w:t>承担一切责任损失。</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6、</w:t>
      </w:r>
      <w:r>
        <w:rPr>
          <w:rFonts w:asciiTheme="minorEastAsia" w:hAnsiTheme="minorEastAsia" w:eastAsiaTheme="minorEastAsia"/>
          <w:color w:val="222222"/>
        </w:rPr>
        <w:t>提供合格的燃油及润滑油。因燃油不合格</w:t>
      </w:r>
      <w:r>
        <w:rPr>
          <w:rFonts w:hint="eastAsia" w:asciiTheme="minorEastAsia" w:hAnsiTheme="minorEastAsia" w:eastAsiaTheme="minorEastAsia"/>
          <w:color w:val="222222"/>
        </w:rPr>
        <w:t>造</w:t>
      </w:r>
      <w:r>
        <w:rPr>
          <w:rFonts w:asciiTheme="minorEastAsia" w:hAnsiTheme="minorEastAsia" w:eastAsiaTheme="minorEastAsia"/>
          <w:color w:val="222222"/>
        </w:rPr>
        <w:t>成的停机损失由</w:t>
      </w:r>
      <w:r>
        <w:rPr>
          <w:rFonts w:hint="eastAsia" w:asciiTheme="minorEastAsia" w:hAnsiTheme="minorEastAsia" w:eastAsiaTheme="minorEastAsia"/>
          <w:color w:val="222222"/>
        </w:rPr>
        <w:t>出</w:t>
      </w:r>
      <w:r>
        <w:rPr>
          <w:rFonts w:asciiTheme="minorEastAsia" w:hAnsiTheme="minorEastAsia" w:eastAsiaTheme="minorEastAsia"/>
          <w:color w:val="222222"/>
        </w:rPr>
        <w:t>租方承担。</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7、</w:t>
      </w:r>
      <w:r>
        <w:rPr>
          <w:rFonts w:asciiTheme="minorEastAsia" w:hAnsiTheme="minorEastAsia" w:eastAsiaTheme="minorEastAsia"/>
          <w:color w:val="222222"/>
        </w:rPr>
        <w:t>负责租赁机械进出场运费，负责运输安全，承担运输费用及</w:t>
      </w:r>
      <w:r>
        <w:fldChar w:fldCharType="begin"/>
      </w:r>
      <w:r>
        <w:instrText xml:space="preserve"> HYPERLINK "http://www.xuexila.com/shenghuo/licai/baoxian/" \t "_blank" </w:instrText>
      </w:r>
      <w:r>
        <w:fldChar w:fldCharType="separate"/>
      </w:r>
      <w:r>
        <w:rPr>
          <w:color w:val="222222"/>
        </w:rPr>
        <w:t>保险</w:t>
      </w:r>
      <w:r>
        <w:rPr>
          <w:color w:val="222222"/>
        </w:rPr>
        <w:fldChar w:fldCharType="end"/>
      </w:r>
      <w:r>
        <w:rPr>
          <w:rFonts w:asciiTheme="minorEastAsia" w:hAnsiTheme="minorEastAsia" w:eastAsiaTheme="minorEastAsia"/>
          <w:color w:val="222222"/>
        </w:rPr>
        <w:t>费。</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8、</w:t>
      </w:r>
      <w:r>
        <w:rPr>
          <w:rFonts w:asciiTheme="minorEastAsia" w:hAnsiTheme="minorEastAsia" w:eastAsiaTheme="minorEastAsia"/>
          <w:color w:val="222222"/>
        </w:rPr>
        <w:t>租赁</w:t>
      </w:r>
      <w:r>
        <w:rPr>
          <w:rFonts w:hint="eastAsia" w:asciiTheme="minorEastAsia" w:hAnsiTheme="minorEastAsia" w:eastAsiaTheme="minorEastAsia"/>
          <w:color w:val="222222"/>
        </w:rPr>
        <w:t>的</w:t>
      </w:r>
      <w:r>
        <w:rPr>
          <w:rFonts w:hint="eastAsia"/>
          <w:color w:val="000000"/>
        </w:rPr>
        <w:t>特种车辆要求为5年以内的新车，老旧车辆不得入厂。</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二、甲方</w:t>
      </w:r>
      <w:r>
        <w:rPr>
          <w:rFonts w:asciiTheme="minorEastAsia" w:hAnsiTheme="minorEastAsia" w:eastAsiaTheme="minorEastAsia"/>
          <w:color w:val="222222"/>
        </w:rPr>
        <w:t>的</w:t>
      </w:r>
      <w:r>
        <w:rPr>
          <w:rFonts w:hint="eastAsia" w:asciiTheme="minorEastAsia" w:hAnsiTheme="minorEastAsia" w:eastAsiaTheme="minorEastAsia"/>
          <w:color w:val="222222"/>
        </w:rPr>
        <w:t>责任和义务</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1、</w:t>
      </w:r>
      <w:r>
        <w:rPr>
          <w:rFonts w:asciiTheme="minorEastAsia" w:hAnsiTheme="minorEastAsia" w:eastAsiaTheme="minorEastAsia"/>
          <w:color w:val="222222"/>
        </w:rPr>
        <w:t xml:space="preserve"> 负责租赁设备的进场签认及每月租费的签认工作，负责租费的及时支付。</w:t>
      </w:r>
    </w:p>
    <w:p>
      <w:pPr>
        <w:pStyle w:val="16"/>
        <w:spacing w:before="0" w:beforeAutospacing="0" w:after="0" w:afterAutospacing="0"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2、 负责为乙方提供必要的操作场地。</w:t>
      </w:r>
    </w:p>
    <w:p>
      <w:pPr>
        <w:widowControl/>
        <w:spacing w:before="100" w:beforeAutospacing="1" w:after="100" w:afterAutospacing="1" w:line="336" w:lineRule="auto"/>
        <w:ind w:left="480"/>
        <w:jc w:val="left"/>
        <w:rPr>
          <w:rFonts w:asciiTheme="minorEastAsia" w:hAnsiTheme="minorEastAsia"/>
          <w:b/>
          <w:color w:val="222222"/>
          <w:sz w:val="24"/>
          <w:szCs w:val="24"/>
        </w:rPr>
      </w:pPr>
    </w:p>
    <w:p>
      <w:pPr>
        <w:widowControl/>
        <w:spacing w:before="100" w:beforeAutospacing="1" w:after="100" w:afterAutospacing="1" w:line="336" w:lineRule="auto"/>
        <w:ind w:left="480"/>
        <w:jc w:val="left"/>
        <w:rPr>
          <w:rFonts w:asciiTheme="minorEastAsia" w:hAnsiTheme="minorEastAsia"/>
          <w:b/>
          <w:color w:val="222222"/>
          <w:sz w:val="24"/>
          <w:szCs w:val="24"/>
        </w:rPr>
      </w:pPr>
    </w:p>
    <w:p>
      <w:pPr>
        <w:widowControl/>
        <w:spacing w:before="100" w:beforeAutospacing="1" w:after="100" w:afterAutospacing="1" w:line="336" w:lineRule="auto"/>
        <w:ind w:left="480"/>
        <w:jc w:val="left"/>
        <w:rPr>
          <w:rFonts w:cs="宋体" w:asciiTheme="minorEastAsia" w:hAnsiTheme="minorEastAsia"/>
          <w:b/>
          <w:color w:val="222222"/>
          <w:kern w:val="0"/>
          <w:sz w:val="24"/>
          <w:szCs w:val="24"/>
        </w:rPr>
      </w:pPr>
      <w:r>
        <w:rPr>
          <w:rFonts w:hint="eastAsia" w:asciiTheme="minorEastAsia" w:hAnsiTheme="minorEastAsia"/>
          <w:b/>
          <w:color w:val="222222"/>
          <w:sz w:val="24"/>
          <w:szCs w:val="24"/>
        </w:rPr>
        <w:t xml:space="preserve">第五条 </w:t>
      </w:r>
      <w:r>
        <w:rPr>
          <w:rFonts w:hint="eastAsia" w:cs="宋体" w:asciiTheme="minorEastAsia" w:hAnsiTheme="minorEastAsia"/>
          <w:b/>
          <w:color w:val="222222"/>
          <w:kern w:val="0"/>
          <w:sz w:val="24"/>
          <w:szCs w:val="24"/>
        </w:rPr>
        <w:t>争议解决</w:t>
      </w:r>
    </w:p>
    <w:p>
      <w:pPr>
        <w:pStyle w:val="16"/>
        <w:spacing w:line="336" w:lineRule="auto"/>
        <w:ind w:firstLine="480"/>
        <w:rPr>
          <w:rFonts w:asciiTheme="minorEastAsia" w:hAnsiTheme="minorEastAsia" w:eastAsiaTheme="minorEastAsia"/>
          <w:color w:val="222222"/>
        </w:rPr>
      </w:pPr>
      <w:r>
        <w:rPr>
          <w:rFonts w:hint="eastAsia" w:asciiTheme="minorEastAsia" w:hAnsiTheme="minorEastAsia" w:eastAsiaTheme="minorEastAsia"/>
          <w:color w:val="222222"/>
        </w:rPr>
        <w:t>履行合同中发生争议，甲乙双方应本着友好态度协商解决，若经协商仍不能解决，可要求主管部门调解。调解不成或不愿意调解的，则向</w:t>
      </w:r>
      <w:r>
        <w:rPr>
          <w:rFonts w:hint="eastAsia" w:asciiTheme="minorEastAsia" w:hAnsiTheme="minorEastAsia" w:eastAsiaTheme="minorEastAsia"/>
          <w:color w:val="222222"/>
          <w:lang w:val="en-US" w:eastAsia="zh-CN"/>
        </w:rPr>
        <w:t>大连</w:t>
      </w:r>
      <w:r>
        <w:rPr>
          <w:rFonts w:hint="eastAsia" w:asciiTheme="minorEastAsia" w:hAnsiTheme="minorEastAsia" w:eastAsiaTheme="minorEastAsia"/>
          <w:color w:val="222222"/>
        </w:rPr>
        <w:t>市人民法院提起诉讼。</w:t>
      </w:r>
    </w:p>
    <w:p>
      <w:pPr>
        <w:widowControl/>
        <w:spacing w:before="100" w:beforeAutospacing="1" w:after="100" w:afterAutospacing="1" w:line="336" w:lineRule="auto"/>
        <w:ind w:left="480"/>
        <w:jc w:val="left"/>
        <w:rPr>
          <w:rFonts w:cs="宋体" w:asciiTheme="minorEastAsia" w:hAnsiTheme="minorEastAsia"/>
          <w:b/>
          <w:color w:val="222222"/>
          <w:kern w:val="0"/>
          <w:sz w:val="24"/>
          <w:szCs w:val="24"/>
        </w:rPr>
      </w:pPr>
      <w:r>
        <w:rPr>
          <w:rFonts w:hint="eastAsia" w:asciiTheme="minorEastAsia" w:hAnsiTheme="minorEastAsia"/>
          <w:b/>
          <w:color w:val="222222"/>
          <w:sz w:val="24"/>
          <w:szCs w:val="24"/>
        </w:rPr>
        <w:t xml:space="preserve">第六条 </w:t>
      </w:r>
      <w:r>
        <w:rPr>
          <w:rFonts w:hint="eastAsia" w:cs="宋体" w:asciiTheme="minorEastAsia" w:hAnsiTheme="minorEastAsia"/>
          <w:b/>
          <w:color w:val="222222"/>
          <w:kern w:val="0"/>
          <w:sz w:val="24"/>
          <w:szCs w:val="24"/>
        </w:rPr>
        <w:t>安全协议</w:t>
      </w:r>
    </w:p>
    <w:p>
      <w:pPr>
        <w:pStyle w:val="16"/>
        <w:spacing w:before="0" w:beforeAutospacing="0" w:after="0" w:afterAutospacing="0" w:line="336" w:lineRule="auto"/>
        <w:ind w:firstLine="480" w:firstLineChars="200"/>
        <w:rPr>
          <w:rFonts w:asciiTheme="minorEastAsia" w:hAnsiTheme="minorEastAsia" w:eastAsiaTheme="minorEastAsia"/>
          <w:color w:val="222222"/>
        </w:rPr>
      </w:pPr>
      <w:r>
        <w:rPr>
          <w:rFonts w:hint="eastAsia" w:asciiTheme="minorEastAsia" w:hAnsiTheme="minorEastAsia" w:eastAsiaTheme="minorEastAsia"/>
          <w:color w:val="222222"/>
        </w:rPr>
        <w:t>1、双方签署了附件二《安健环协议》，须严格遵照执行。</w:t>
      </w:r>
    </w:p>
    <w:p>
      <w:pPr>
        <w:widowControl/>
        <w:spacing w:before="100" w:beforeAutospacing="1" w:after="100" w:afterAutospacing="1" w:line="336" w:lineRule="auto"/>
        <w:ind w:left="480"/>
        <w:jc w:val="left"/>
        <w:rPr>
          <w:rFonts w:asciiTheme="minorEastAsia" w:hAnsiTheme="minorEastAsia"/>
          <w:b/>
          <w:color w:val="222222"/>
          <w:sz w:val="24"/>
          <w:szCs w:val="24"/>
        </w:rPr>
      </w:pPr>
      <w:r>
        <w:rPr>
          <w:rFonts w:hint="eastAsia" w:asciiTheme="minorEastAsia" w:hAnsiTheme="minorEastAsia"/>
          <w:b/>
          <w:color w:val="222222"/>
          <w:sz w:val="24"/>
          <w:szCs w:val="24"/>
        </w:rPr>
        <w:t>第七条 违约索赔</w:t>
      </w:r>
    </w:p>
    <w:p>
      <w:pPr>
        <w:pStyle w:val="16"/>
        <w:spacing w:before="0" w:beforeAutospacing="0" w:after="0" w:afterAutospacing="0" w:line="336" w:lineRule="auto"/>
        <w:ind w:firstLine="240" w:firstLineChars="100"/>
        <w:rPr>
          <w:rFonts w:asciiTheme="minorEastAsia" w:hAnsiTheme="minorEastAsia" w:eastAsiaTheme="minorEastAsia"/>
          <w:color w:val="222222"/>
        </w:rPr>
      </w:pPr>
      <w:r>
        <w:rPr>
          <w:rFonts w:hint="eastAsia" w:asciiTheme="minorEastAsia" w:hAnsiTheme="minorEastAsia" w:eastAsiaTheme="minorEastAsia"/>
          <w:color w:val="222222"/>
        </w:rPr>
        <w:t>1、违约的处理：合同双方任何一方不能全面履行合同条款均属违约。违约造成的经济损失，概由违约方承担赔偿。</w:t>
      </w:r>
    </w:p>
    <w:p>
      <w:pPr>
        <w:pStyle w:val="16"/>
        <w:spacing w:before="0" w:beforeAutospacing="0" w:after="0" w:afterAutospacing="0" w:line="336" w:lineRule="auto"/>
        <w:ind w:firstLine="240" w:firstLineChars="100"/>
        <w:rPr>
          <w:rFonts w:asciiTheme="minorEastAsia" w:hAnsiTheme="minorEastAsia" w:eastAsiaTheme="minorEastAsia"/>
          <w:color w:val="222222"/>
        </w:rPr>
      </w:pPr>
      <w:r>
        <w:rPr>
          <w:rFonts w:hint="eastAsia" w:asciiTheme="minorEastAsia" w:hAnsiTheme="minorEastAsia" w:eastAsiaTheme="minorEastAsia"/>
          <w:color w:val="222222"/>
        </w:rPr>
        <w:t>2、违约金的标准：合同履行中任何一方无正当理由而单方提出终止合同，均属单方毁约，毁约方除承担赔偿因此而造成对方全部经济损失外，还必须向对方支付合同价款（3%）的违约金。</w:t>
      </w:r>
    </w:p>
    <w:p>
      <w:pPr>
        <w:widowControl/>
        <w:spacing w:before="100" w:beforeAutospacing="1" w:after="100" w:afterAutospacing="1" w:line="336" w:lineRule="auto"/>
        <w:ind w:left="480"/>
        <w:jc w:val="left"/>
        <w:rPr>
          <w:rFonts w:cs="宋体" w:asciiTheme="minorEastAsia" w:hAnsiTheme="minorEastAsia"/>
          <w:b/>
          <w:color w:val="222222"/>
          <w:kern w:val="0"/>
          <w:sz w:val="24"/>
          <w:szCs w:val="24"/>
        </w:rPr>
      </w:pPr>
      <w:r>
        <w:rPr>
          <w:rFonts w:hint="eastAsia" w:asciiTheme="minorEastAsia" w:hAnsiTheme="minorEastAsia"/>
          <w:b/>
          <w:color w:val="222222"/>
          <w:sz w:val="24"/>
          <w:szCs w:val="24"/>
        </w:rPr>
        <w:t xml:space="preserve">第八条 </w:t>
      </w:r>
      <w:r>
        <w:rPr>
          <w:rFonts w:hint="eastAsia" w:cs="宋体" w:asciiTheme="minorEastAsia" w:hAnsiTheme="minorEastAsia"/>
          <w:b/>
          <w:color w:val="222222"/>
          <w:kern w:val="0"/>
          <w:sz w:val="24"/>
          <w:szCs w:val="24"/>
        </w:rPr>
        <w:t>其他约定</w:t>
      </w:r>
    </w:p>
    <w:p>
      <w:pPr>
        <w:pStyle w:val="16"/>
        <w:spacing w:before="0" w:beforeAutospacing="0" w:after="0" w:afterAutospacing="0" w:line="336" w:lineRule="auto"/>
        <w:ind w:firstLine="240" w:firstLineChars="100"/>
        <w:rPr>
          <w:rFonts w:asciiTheme="minorEastAsia" w:hAnsiTheme="minorEastAsia" w:eastAsiaTheme="minorEastAsia"/>
          <w:color w:val="222222"/>
        </w:rPr>
      </w:pPr>
      <w:r>
        <w:rPr>
          <w:rFonts w:asciiTheme="minorEastAsia" w:hAnsiTheme="minorEastAsia" w:eastAsiaTheme="minorEastAsia"/>
          <w:color w:val="222222"/>
        </w:rPr>
        <w:t> </w:t>
      </w:r>
      <w:r>
        <w:rPr>
          <w:rFonts w:hint="eastAsia" w:asciiTheme="minorEastAsia" w:hAnsiTheme="minorEastAsia" w:eastAsiaTheme="minorEastAsia"/>
          <w:color w:val="222222"/>
        </w:rPr>
        <w:t>1、</w:t>
      </w:r>
      <w:r>
        <w:rPr>
          <w:rFonts w:asciiTheme="minorEastAsia" w:hAnsiTheme="minorEastAsia" w:eastAsiaTheme="minorEastAsia"/>
          <w:color w:val="222222"/>
        </w:rPr>
        <w:t>未经双方事先书面同意，本合同内容款项、权利义务等不得再以任何形式转移（包括但不限于分包、转包、转让、抵押、质押、担保、赠与等）给任何第三方，否则该转移行为内容无效且没有法律约束力，由此所造成的损失由违约方加倍赔偿，守约方有权另行追偿。</w:t>
      </w:r>
    </w:p>
    <w:p>
      <w:pPr>
        <w:pStyle w:val="16"/>
        <w:spacing w:before="0" w:beforeAutospacing="0" w:after="0" w:afterAutospacing="0" w:line="336" w:lineRule="auto"/>
        <w:ind w:firstLine="240" w:firstLineChars="100"/>
        <w:rPr>
          <w:rFonts w:asciiTheme="minorEastAsia" w:hAnsiTheme="minorEastAsia" w:eastAsiaTheme="minorEastAsia"/>
          <w:color w:val="222222"/>
        </w:rPr>
      </w:pPr>
      <w:r>
        <w:rPr>
          <w:rFonts w:hint="eastAsia" w:asciiTheme="minorEastAsia" w:hAnsiTheme="minorEastAsia" w:eastAsiaTheme="minorEastAsia"/>
          <w:color w:val="222222"/>
        </w:rPr>
        <w:t xml:space="preserve">    2、</w:t>
      </w:r>
      <w:r>
        <w:rPr>
          <w:rFonts w:asciiTheme="minorEastAsia" w:hAnsiTheme="minorEastAsia" w:eastAsiaTheme="minorEastAsia"/>
          <w:color w:val="222222"/>
        </w:rPr>
        <w:t>双方对本合同发票的提前出具或提前接收（如有），并不代表对尚未履行合同内容的应收应付、债权债务、权利义务等任何关系的确认或成立。该提前交接的发票，不得作为任何担保质押等的确认凭证，只有到相应合同内容履行完毕后，方依约合规办理验收支付。</w:t>
      </w:r>
    </w:p>
    <w:p>
      <w:pPr>
        <w:pStyle w:val="16"/>
        <w:spacing w:before="0" w:beforeAutospacing="0" w:after="0" w:afterAutospacing="0" w:line="336" w:lineRule="auto"/>
        <w:ind w:firstLine="240" w:firstLineChars="100"/>
        <w:rPr>
          <w:rFonts w:asciiTheme="minorEastAsia" w:hAnsiTheme="minorEastAsia" w:eastAsiaTheme="minorEastAsia"/>
          <w:color w:val="222222"/>
        </w:rPr>
      </w:pPr>
      <w:r>
        <w:rPr>
          <w:rFonts w:hint="eastAsia" w:asciiTheme="minorEastAsia" w:hAnsiTheme="minorEastAsia" w:eastAsiaTheme="minorEastAsia"/>
          <w:color w:val="222222"/>
        </w:rPr>
        <w:t xml:space="preserve">    3、</w:t>
      </w:r>
      <w:r>
        <w:rPr>
          <w:rFonts w:asciiTheme="minorEastAsia" w:hAnsiTheme="minorEastAsia" w:eastAsiaTheme="minorEastAsia"/>
          <w:color w:val="222222"/>
        </w:rPr>
        <w:t>本合同履行过程当中答复的任何询证函（如有），其暂时查对所填写的款额均不是对合同应收或应付账款数额的确认，该回复函不得作为应收应付、债权债务等任何权利义务关系的确认函或确认凭证，更不得用于任何担保质押。</w:t>
      </w:r>
    </w:p>
    <w:p>
      <w:pPr>
        <w:pStyle w:val="16"/>
        <w:spacing w:before="0" w:beforeAutospacing="0" w:after="0" w:afterAutospacing="0" w:line="336" w:lineRule="auto"/>
        <w:ind w:firstLine="480" w:firstLineChars="200"/>
        <w:rPr>
          <w:rFonts w:asciiTheme="minorEastAsia" w:hAnsiTheme="minorEastAsia" w:eastAsiaTheme="minorEastAsia"/>
          <w:color w:val="222222"/>
        </w:rPr>
      </w:pPr>
      <w:r>
        <w:rPr>
          <w:rFonts w:asciiTheme="minorEastAsia" w:hAnsiTheme="minorEastAsia" w:eastAsiaTheme="minorEastAsia"/>
          <w:color w:val="222222"/>
        </w:rPr>
        <w:t>4</w:t>
      </w:r>
      <w:r>
        <w:rPr>
          <w:rFonts w:hint="eastAsia" w:asciiTheme="minorEastAsia" w:hAnsiTheme="minorEastAsia" w:eastAsiaTheme="minorEastAsia"/>
          <w:color w:val="222222"/>
        </w:rPr>
        <w:t>、本合同条款，如有未尽事宜，双方根据具体情况结合有关规定议定附则作为本合同的附件，与本合同具有同等效力，但不得与本合同的原则性条款相抵触。</w:t>
      </w:r>
    </w:p>
    <w:p>
      <w:pPr>
        <w:pStyle w:val="16"/>
        <w:spacing w:before="0" w:beforeAutospacing="0" w:after="0" w:afterAutospacing="0" w:line="336" w:lineRule="auto"/>
        <w:ind w:firstLine="480" w:firstLineChars="200"/>
        <w:rPr>
          <w:rFonts w:asciiTheme="minorEastAsia" w:hAnsiTheme="minorEastAsia" w:eastAsiaTheme="minorEastAsia"/>
          <w:color w:val="222222"/>
        </w:rPr>
      </w:pPr>
      <w:r>
        <w:rPr>
          <w:rFonts w:asciiTheme="minorEastAsia" w:hAnsiTheme="minorEastAsia" w:eastAsiaTheme="minorEastAsia"/>
          <w:color w:val="222222"/>
        </w:rPr>
        <w:t>5</w:t>
      </w:r>
      <w:r>
        <w:rPr>
          <w:rFonts w:hint="eastAsia" w:asciiTheme="minorEastAsia" w:hAnsiTheme="minorEastAsia" w:eastAsiaTheme="minorEastAsia"/>
          <w:color w:val="222222"/>
        </w:rPr>
        <w:t>、本合同一式肆份，甲方执叁份，乙方执壹份，本合同自双方签订之日起生效，均具同等效力。</w:t>
      </w:r>
    </w:p>
    <w:p>
      <w:pPr>
        <w:spacing w:line="336" w:lineRule="auto"/>
        <w:ind w:firstLine="480"/>
        <w:rPr>
          <w:rFonts w:ascii="宋体" w:hAnsi="宋体"/>
          <w:sz w:val="24"/>
        </w:rPr>
      </w:pPr>
      <w:r>
        <w:rPr>
          <w:rFonts w:hint="eastAsia" w:ascii="宋体" w:hAnsi="宋体"/>
          <w:sz w:val="24"/>
        </w:rPr>
        <w:t>6、本合同附件为合同不可分割的一部分，与本合同具有同等法律效力。本合同包括以下附件：</w:t>
      </w:r>
    </w:p>
    <w:p>
      <w:pPr>
        <w:spacing w:line="336" w:lineRule="auto"/>
        <w:ind w:firstLine="480"/>
        <w:rPr>
          <w:rFonts w:hint="default" w:ascii="宋体" w:hAnsi="宋体" w:eastAsiaTheme="minorEastAsia"/>
          <w:sz w:val="24"/>
          <w:lang w:val="en-US" w:eastAsia="zh-CN"/>
        </w:rPr>
      </w:pPr>
      <w:r>
        <w:rPr>
          <w:rFonts w:hint="eastAsia" w:ascii="宋体" w:hAnsi="宋体"/>
          <w:sz w:val="24"/>
        </w:rPr>
        <w:t>附件一：《2025年大连深能环保有限公司汽车吊、随车吊、登高车、挖掘机及吸污车租赁项目技术规范书》</w:t>
      </w:r>
      <w:r>
        <w:rPr>
          <w:rFonts w:hint="eastAsia" w:ascii="宋体" w:hAnsi="宋体"/>
          <w:sz w:val="24"/>
          <w:lang w:eastAsia="zh-CN"/>
        </w:rPr>
        <w:t>（</w:t>
      </w:r>
      <w:r>
        <w:rPr>
          <w:rFonts w:hint="eastAsia" w:ascii="宋体" w:hAnsi="宋体"/>
          <w:sz w:val="24"/>
          <w:lang w:val="en-US" w:eastAsia="zh-CN"/>
        </w:rPr>
        <w:t>单独成册）</w:t>
      </w:r>
    </w:p>
    <w:p>
      <w:pPr>
        <w:spacing w:line="336" w:lineRule="auto"/>
        <w:ind w:firstLine="480"/>
        <w:rPr>
          <w:rFonts w:ascii="宋体" w:hAnsi="宋体"/>
          <w:sz w:val="24"/>
        </w:rPr>
      </w:pPr>
      <w:r>
        <w:rPr>
          <w:rFonts w:hint="eastAsia" w:ascii="宋体" w:hAnsi="宋体"/>
          <w:sz w:val="24"/>
        </w:rPr>
        <w:t>附件二：《安健环协议》</w:t>
      </w: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rPr>
          <w:rFonts w:ascii="宋体" w:hAnsi="宋体"/>
          <w:sz w:val="28"/>
        </w:rPr>
      </w:pPr>
    </w:p>
    <w:p>
      <w:pPr>
        <w:spacing w:line="410" w:lineRule="exact"/>
        <w:jc w:val="center"/>
        <w:rPr>
          <w:rFonts w:ascii="宋体" w:hAnsi="宋体"/>
          <w:sz w:val="28"/>
        </w:rPr>
      </w:pPr>
    </w:p>
    <w:p>
      <w:pPr>
        <w:spacing w:line="410" w:lineRule="exact"/>
        <w:jc w:val="center"/>
        <w:rPr>
          <w:rFonts w:ascii="宋体" w:hAnsi="宋体"/>
          <w:sz w:val="28"/>
        </w:rPr>
      </w:pPr>
    </w:p>
    <w:p>
      <w:pPr>
        <w:spacing w:line="410" w:lineRule="exact"/>
        <w:jc w:val="both"/>
        <w:rPr>
          <w:rFonts w:ascii="宋体" w:hAnsi="宋体"/>
          <w:sz w:val="28"/>
        </w:rPr>
      </w:pPr>
    </w:p>
    <w:p>
      <w:pPr>
        <w:spacing w:line="410" w:lineRule="exact"/>
        <w:jc w:val="center"/>
        <w:rPr>
          <w:rFonts w:ascii="宋体" w:hAnsi="宋体"/>
          <w:sz w:val="28"/>
        </w:rPr>
      </w:pPr>
    </w:p>
    <w:p>
      <w:pPr>
        <w:tabs>
          <w:tab w:val="left" w:pos="993"/>
          <w:tab w:val="left" w:pos="1495"/>
          <w:tab w:val="left" w:pos="1560"/>
        </w:tabs>
        <w:adjustRightInd w:val="0"/>
        <w:snapToGrid w:val="0"/>
        <w:spacing w:line="348" w:lineRule="auto"/>
        <w:rPr>
          <w:rFonts w:ascii="宋体" w:hAnsi="宋体"/>
          <w:sz w:val="24"/>
        </w:rPr>
      </w:pPr>
    </w:p>
    <w:p>
      <w:pPr>
        <w:tabs>
          <w:tab w:val="left" w:pos="993"/>
          <w:tab w:val="left" w:pos="1495"/>
          <w:tab w:val="left" w:pos="1560"/>
        </w:tabs>
        <w:adjustRightInd w:val="0"/>
        <w:snapToGrid w:val="0"/>
        <w:spacing w:line="348" w:lineRule="auto"/>
        <w:jc w:val="center"/>
        <w:rPr>
          <w:rFonts w:hint="eastAsia" w:ascii="宋体" w:hAnsi="宋体"/>
          <w:sz w:val="24"/>
          <w:lang w:val="en-US" w:eastAsia="zh-CN"/>
        </w:rPr>
      </w:pPr>
    </w:p>
    <w:p>
      <w:pPr>
        <w:tabs>
          <w:tab w:val="left" w:pos="993"/>
          <w:tab w:val="left" w:pos="1495"/>
          <w:tab w:val="left" w:pos="1560"/>
        </w:tabs>
        <w:adjustRightInd w:val="0"/>
        <w:snapToGrid w:val="0"/>
        <w:spacing w:line="348" w:lineRule="auto"/>
        <w:jc w:val="center"/>
        <w:rPr>
          <w:rFonts w:hint="eastAsia" w:ascii="宋体" w:hAnsi="宋体"/>
          <w:sz w:val="24"/>
          <w:lang w:val="en-US" w:eastAsia="zh-CN"/>
        </w:rPr>
      </w:pPr>
      <w:r>
        <w:rPr>
          <w:rFonts w:hint="eastAsia" w:ascii="宋体" w:hAnsi="宋体"/>
          <w:sz w:val="24"/>
          <w:lang w:val="en-US" w:eastAsia="zh-CN"/>
        </w:rPr>
        <w:t>（签章页）</w:t>
      </w:r>
    </w:p>
    <w:p>
      <w:pPr>
        <w:tabs>
          <w:tab w:val="left" w:pos="993"/>
          <w:tab w:val="left" w:pos="1495"/>
          <w:tab w:val="left" w:pos="1560"/>
        </w:tabs>
        <w:adjustRightInd w:val="0"/>
        <w:snapToGrid w:val="0"/>
        <w:spacing w:line="348" w:lineRule="auto"/>
        <w:jc w:val="center"/>
        <w:rPr>
          <w:rFonts w:hint="eastAsia" w:ascii="宋体" w:hAnsi="宋体"/>
          <w:sz w:val="24"/>
          <w:lang w:val="en-US"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default" w:ascii="宋体" w:hAnsi="宋体" w:eastAsia="宋体"/>
                <w:color w:val="auto"/>
                <w:sz w:val="24"/>
                <w:vertAlign w:val="baseline"/>
                <w:lang w:val="en-US" w:eastAsia="zh-CN"/>
              </w:rPr>
            </w:pPr>
            <w:r>
              <w:rPr>
                <w:rFonts w:hint="eastAsia" w:ascii="宋体" w:hAnsi="宋体"/>
                <w:color w:val="auto"/>
                <w:sz w:val="24"/>
                <w:vertAlign w:val="baseline"/>
                <w:lang w:val="en-US" w:eastAsia="zh-CN"/>
              </w:rPr>
              <w:t>发包人（甲方）：大连</w:t>
            </w:r>
            <w:r>
              <w:rPr>
                <w:rFonts w:hint="eastAsia" w:hAnsi="宋体"/>
                <w:sz w:val="24"/>
              </w:rPr>
              <w:t>深能环保有限公司</w:t>
            </w:r>
            <w:r>
              <w:rPr>
                <w:rFonts w:hint="eastAsia" w:ascii="宋体" w:hAnsi="宋体"/>
                <w:color w:val="auto"/>
                <w:sz w:val="24"/>
                <w:vertAlign w:val="baseline"/>
                <w:lang w:val="en-US"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default" w:ascii="宋体" w:hAnsi="宋体" w:eastAsia="宋体"/>
                <w:color w:val="auto"/>
                <w:sz w:val="24"/>
                <w:vertAlign w:val="baseline"/>
                <w:lang w:val="en-US" w:eastAsia="zh-CN"/>
              </w:rPr>
            </w:pPr>
            <w:r>
              <w:rPr>
                <w:rFonts w:hint="eastAsia" w:ascii="宋体" w:hAnsi="宋体"/>
                <w:color w:val="auto"/>
                <w:sz w:val="24"/>
                <w:vertAlign w:val="baseline"/>
                <w:lang w:val="en-US" w:eastAsia="zh-CN"/>
              </w:rPr>
              <w:t>法定代表人/委托代表（签字）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地址：辽宁省大连市甘井子区启新街6号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default" w:ascii="宋体" w:hAnsi="宋体"/>
                <w:color w:val="auto"/>
                <w:sz w:val="24"/>
                <w:vertAlign w:val="baseline"/>
                <w:lang w:val="en-US" w:eastAsia="zh-CN"/>
              </w:rPr>
            </w:pPr>
            <w:r>
              <w:rPr>
                <w:rFonts w:hint="eastAsia" w:ascii="宋体" w:hAnsi="宋体"/>
                <w:color w:val="auto"/>
                <w:sz w:val="24"/>
                <w:vertAlign w:val="baseline"/>
                <w:lang w:val="en-US" w:eastAsia="zh-CN"/>
              </w:rPr>
              <w:t>联系人：韩博文</w:t>
            </w:r>
          </w:p>
        </w:tc>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电话：0411-39890800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default" w:ascii="宋体" w:hAnsi="宋体" w:eastAsia="宋体"/>
                <w:color w:val="auto"/>
                <w:sz w:val="24"/>
                <w:vertAlign w:val="baseline"/>
                <w:lang w:val="en-US" w:eastAsia="zh-CN"/>
              </w:rPr>
            </w:pPr>
            <w:r>
              <w:rPr>
                <w:rFonts w:hint="eastAsia" w:ascii="宋体" w:hAnsi="宋体"/>
                <w:color w:val="auto"/>
                <w:sz w:val="24"/>
                <w:vertAlign w:val="baseline"/>
                <w:lang w:val="en-US" w:eastAsia="zh-CN"/>
              </w:rPr>
              <w:t>合同经办人：孙钰和</w:t>
            </w:r>
          </w:p>
        </w:tc>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电话：0411-39890800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账户名称：大连</w:t>
            </w:r>
            <w:r>
              <w:rPr>
                <w:rFonts w:hint="eastAsia" w:hAnsi="宋体"/>
                <w:sz w:val="24"/>
              </w:rPr>
              <w:t>深能环保有限公司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开户银行：中国农业银行股份有限公司大连大连湾支行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账号：34038001040016820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hint="default" w:ascii="宋体" w:hAnsi="宋体" w:eastAsia="宋体"/>
                <w:color w:val="auto"/>
                <w:sz w:val="24"/>
                <w:vertAlign w:val="baseline"/>
                <w:lang w:val="en-US" w:eastAsia="zh-CN"/>
              </w:rPr>
            </w:pPr>
            <w:r>
              <w:rPr>
                <w:rFonts w:hint="eastAsia" w:ascii="宋体" w:hAnsi="宋体"/>
                <w:color w:val="auto"/>
                <w:sz w:val="24"/>
                <w:vertAlign w:val="baseline"/>
                <w:lang w:val="en-US" w:eastAsia="zh-CN"/>
              </w:rPr>
              <w:t>签订日期：2026年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tcPr>
          <w:p>
            <w:pPr>
              <w:spacing w:line="348" w:lineRule="auto"/>
              <w:rPr>
                <w:rFonts w:ascii="宋体" w:hAnsi="宋体"/>
                <w:color w:val="auto"/>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承包人（乙方）：大连鑫珂润机械设备租赁有限公司（盖章）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法定代表人/委托代表（签字）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地址：辽宁省大连经济技术开发区小孤山西里1栋-33-3号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hint="default" w:ascii="宋体" w:hAnsi="宋体"/>
                <w:color w:val="auto"/>
                <w:sz w:val="24"/>
                <w:vertAlign w:val="baseline"/>
                <w:lang w:val="en-US"/>
              </w:rPr>
            </w:pPr>
            <w:r>
              <w:rPr>
                <w:rFonts w:hint="eastAsia" w:ascii="宋体" w:hAnsi="宋体"/>
                <w:color w:val="auto"/>
                <w:sz w:val="24"/>
                <w:vertAlign w:val="baseline"/>
                <w:lang w:val="en-US" w:eastAsia="zh-CN"/>
              </w:rPr>
              <w:t>联系人：朱智</w:t>
            </w:r>
          </w:p>
        </w:tc>
        <w:tc>
          <w:tcPr>
            <w:tcW w:w="4261" w:type="dxa"/>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电话：18640894567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账户名称：大连鑫珂润机械设备租赁有限公司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开户银行：渤海银行股份有限公司大连开发区支行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账号：2051609067000115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dashSmallGap" w:color="auto" w:sz="4" w:space="0"/>
              <w:left w:val="dashSmallGap" w:color="auto" w:sz="4" w:space="0"/>
              <w:bottom w:val="dashSmallGap" w:color="auto" w:sz="4" w:space="0"/>
              <w:right w:val="dashSmallGap" w:color="auto" w:sz="4" w:space="0"/>
            </w:tcBorders>
            <w:shd w:val="clear" w:color="auto" w:fill="auto"/>
            <w:vAlign w:val="top"/>
          </w:tcPr>
          <w:p>
            <w:pPr>
              <w:spacing w:line="348" w:lineRule="auto"/>
              <w:rPr>
                <w:rFonts w:ascii="宋体" w:hAnsi="宋体"/>
                <w:color w:val="auto"/>
                <w:sz w:val="24"/>
                <w:vertAlign w:val="baseline"/>
              </w:rPr>
            </w:pPr>
            <w:r>
              <w:rPr>
                <w:rFonts w:hint="eastAsia" w:ascii="宋体" w:hAnsi="宋体"/>
                <w:color w:val="auto"/>
                <w:sz w:val="24"/>
                <w:vertAlign w:val="baseline"/>
                <w:lang w:val="en-US" w:eastAsia="zh-CN"/>
              </w:rPr>
              <w:t>签订日期：2026年  月  日</w:t>
            </w:r>
          </w:p>
        </w:tc>
      </w:tr>
    </w:tbl>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rFonts w:hint="eastAsia" w:ascii="宋体" w:hAnsi="宋体" w:eastAsia="宋体" w:cs="宋体"/>
          <w:b/>
          <w:bCs/>
          <w:color w:val="222222"/>
          <w:kern w:val="0"/>
          <w:sz w:val="24"/>
          <w:szCs w:val="24"/>
        </w:rPr>
      </w:pPr>
    </w:p>
    <w:p>
      <w:pPr>
        <w:widowControl/>
        <w:jc w:val="left"/>
        <w:rPr>
          <w:color w:val="222222"/>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bCs/>
          <w:color w:val="222222"/>
          <w:kern w:val="0"/>
          <w:sz w:val="28"/>
          <w:szCs w:val="28"/>
        </w:rPr>
        <w:t>附件一：《2025年大连深能环保有限公司汽车吊、随车吊、登高车、挖掘机及吸污车租赁项目技术规范书》</w:t>
      </w:r>
      <w:r>
        <w:rPr>
          <w:rFonts w:hint="eastAsia" w:ascii="宋体" w:hAnsi="宋体" w:eastAsia="宋体" w:cs="宋体"/>
          <w:b/>
          <w:bCs/>
          <w:color w:val="222222"/>
          <w:kern w:val="0"/>
          <w:sz w:val="28"/>
          <w:szCs w:val="28"/>
          <w:lang w:eastAsia="zh-CN"/>
        </w:rPr>
        <w:t>（</w:t>
      </w:r>
      <w:r>
        <w:rPr>
          <w:rFonts w:hint="eastAsia" w:ascii="宋体" w:hAnsi="宋体" w:eastAsia="宋体" w:cs="宋体"/>
          <w:b/>
          <w:bCs/>
          <w:color w:val="222222"/>
          <w:kern w:val="0"/>
          <w:sz w:val="28"/>
          <w:szCs w:val="28"/>
          <w:lang w:val="en-US" w:eastAsia="zh-CN"/>
        </w:rPr>
        <w:t>单独成册）</w:t>
      </w:r>
    </w:p>
    <w:p>
      <w:pPr>
        <w:pStyle w:val="8"/>
        <w:snapToGrid w:val="0"/>
        <w:spacing w:line="360" w:lineRule="auto"/>
        <w:ind w:left="420" w:leftChars="200"/>
        <w:rPr>
          <w:rFonts w:ascii="宋体" w:hAnsi="宋体"/>
          <w:b/>
          <w:bCs/>
          <w:sz w:val="28"/>
          <w:szCs w:val="28"/>
        </w:rPr>
      </w:pPr>
      <w:r>
        <w:rPr>
          <w:rFonts w:hint="eastAsia" w:ascii="宋体" w:hAnsi="宋体"/>
          <w:b/>
          <w:bCs/>
          <w:sz w:val="28"/>
          <w:szCs w:val="28"/>
        </w:rPr>
        <w:t>附件二：《安健环协议》</w:t>
      </w:r>
    </w:p>
    <w:p>
      <w:pPr>
        <w:pStyle w:val="8"/>
        <w:snapToGrid w:val="0"/>
        <w:spacing w:line="360" w:lineRule="auto"/>
        <w:ind w:left="420" w:leftChars="200"/>
        <w:jc w:val="center"/>
        <w:rPr>
          <w:lang w:val="en-GB"/>
        </w:rPr>
      </w:pPr>
      <w:r>
        <w:rPr>
          <w:rFonts w:hint="eastAsia" w:ascii="黑体" w:hAnsi="黑体" w:eastAsia="黑体"/>
          <w:b/>
          <w:sz w:val="44"/>
          <w:szCs w:val="44"/>
        </w:rPr>
        <w:t>安健环协议</w:t>
      </w:r>
    </w:p>
    <w:p>
      <w:pPr>
        <w:pStyle w:val="8"/>
        <w:snapToGrid w:val="0"/>
        <w:spacing w:line="360" w:lineRule="auto"/>
        <w:ind w:left="1625" w:leftChars="200" w:hanging="1205" w:hangingChars="500"/>
        <w:rPr>
          <w:b/>
          <w:u w:val="single"/>
          <w:lang w:val="en-GB"/>
        </w:rPr>
      </w:pPr>
      <w:r>
        <w:rPr>
          <w:rFonts w:hint="eastAsia"/>
          <w:b/>
          <w:lang w:val="en-GB"/>
        </w:rPr>
        <w:t>项目名称：</w:t>
      </w:r>
      <w:r>
        <w:rPr>
          <w:rFonts w:hint="eastAsia"/>
          <w:b/>
          <w:u w:val="single"/>
          <w:lang w:val="en-GB"/>
        </w:rPr>
        <w:t>大连深能环保有限公司</w:t>
      </w:r>
      <w:r>
        <w:rPr>
          <w:rFonts w:hint="eastAsia"/>
          <w:b/>
          <w:u w:val="single"/>
          <w:lang w:val="en-US" w:eastAsia="zh-CN"/>
        </w:rPr>
        <w:t>2026-2027</w:t>
      </w:r>
      <w:bookmarkStart w:id="3" w:name="_GoBack"/>
      <w:bookmarkEnd w:id="3"/>
      <w:r>
        <w:rPr>
          <w:rFonts w:hint="eastAsia"/>
          <w:b/>
          <w:u w:val="single"/>
          <w:lang w:val="en-US" w:eastAsia="zh-CN"/>
        </w:rPr>
        <w:t>年度</w:t>
      </w:r>
      <w:r>
        <w:rPr>
          <w:rFonts w:hint="eastAsia" w:ascii="宋体" w:hAnsi="宋体" w:eastAsia="宋体" w:cs="宋体"/>
          <w:b/>
          <w:bCs/>
          <w:color w:val="222222"/>
          <w:kern w:val="0"/>
          <w:sz w:val="24"/>
          <w:szCs w:val="24"/>
          <w:u w:val="single"/>
          <w:lang w:val="en-US" w:eastAsia="zh-CN"/>
        </w:rPr>
        <w:t>汽车吊、随车吊、登高车</w:t>
      </w:r>
      <w:r>
        <w:rPr>
          <w:rFonts w:hint="eastAsia" w:ascii="宋体" w:hAnsi="宋体" w:cs="宋体"/>
          <w:b/>
          <w:bCs/>
          <w:color w:val="222222"/>
          <w:kern w:val="0"/>
          <w:sz w:val="24"/>
          <w:szCs w:val="24"/>
          <w:u w:val="single"/>
          <w:lang w:val="en-US" w:eastAsia="zh-CN"/>
        </w:rPr>
        <w:t>、</w:t>
      </w:r>
      <w:r>
        <w:rPr>
          <w:rFonts w:hint="eastAsia" w:ascii="宋体" w:hAnsi="宋体" w:eastAsia="宋体" w:cs="宋体"/>
          <w:b/>
          <w:bCs/>
          <w:color w:val="222222"/>
          <w:kern w:val="0"/>
          <w:sz w:val="24"/>
          <w:szCs w:val="24"/>
          <w:u w:val="single"/>
          <w:lang w:val="en-US" w:eastAsia="zh-CN"/>
        </w:rPr>
        <w:t>挖掘机</w:t>
      </w:r>
      <w:r>
        <w:rPr>
          <w:rFonts w:hint="eastAsia" w:ascii="宋体" w:hAnsi="宋体" w:cs="宋体"/>
          <w:b/>
          <w:bCs/>
          <w:color w:val="222222"/>
          <w:kern w:val="0"/>
          <w:sz w:val="24"/>
          <w:szCs w:val="24"/>
          <w:u w:val="single"/>
          <w:lang w:val="en-US" w:eastAsia="zh-CN"/>
        </w:rPr>
        <w:t>及吸污车</w:t>
      </w:r>
      <w:r>
        <w:rPr>
          <w:rFonts w:hint="eastAsia"/>
          <w:b/>
          <w:u w:val="single"/>
          <w:lang w:val="en-GB"/>
        </w:rPr>
        <w:t>租赁合同</w:t>
      </w:r>
    </w:p>
    <w:p>
      <w:pPr>
        <w:pStyle w:val="8"/>
        <w:snapToGrid w:val="0"/>
        <w:spacing w:line="360" w:lineRule="auto"/>
        <w:ind w:left="420" w:leftChars="200"/>
        <w:rPr>
          <w:b/>
          <w:lang w:val="en-GB"/>
        </w:rPr>
      </w:pPr>
      <w:r>
        <w:rPr>
          <w:rFonts w:hint="eastAsia"/>
          <w:b/>
          <w:lang w:val="en-GB"/>
        </w:rPr>
        <w:t>甲方（发包方）：</w:t>
      </w:r>
      <w:r>
        <w:rPr>
          <w:rFonts w:hint="eastAsia" w:ascii="宋体" w:hAnsi="宋体" w:cs="Tahoma"/>
          <w:b/>
          <w:kern w:val="0"/>
          <w:u w:val="single"/>
          <w:lang w:val="en-GB"/>
        </w:rPr>
        <w:t>大连深能环保有限公司</w:t>
      </w:r>
      <w:r>
        <w:rPr>
          <w:b/>
          <w:lang w:val="en-GB"/>
        </w:rPr>
        <w:t xml:space="preserve">                </w:t>
      </w:r>
    </w:p>
    <w:p>
      <w:pPr>
        <w:pStyle w:val="8"/>
        <w:snapToGrid w:val="0"/>
        <w:spacing w:line="360" w:lineRule="auto"/>
        <w:ind w:left="420" w:leftChars="200"/>
      </w:pPr>
      <w:r>
        <w:rPr>
          <w:rFonts w:hint="eastAsia"/>
          <w:b/>
          <w:lang w:val="en-GB"/>
        </w:rPr>
        <w:t>乙方（承包方）：</w:t>
      </w:r>
      <w:r>
        <w:rPr>
          <w:rFonts w:hint="eastAsia"/>
          <w:b/>
          <w:u w:val="single"/>
          <w:lang w:val="en-US" w:eastAsia="zh-CN"/>
        </w:rPr>
        <w:t>大连鑫珂润机械设备租赁有限公司</w:t>
      </w:r>
      <w:r>
        <w:rPr>
          <w:lang w:val="en-GB"/>
        </w:rPr>
        <w:t xml:space="preserve">                  </w:t>
      </w:r>
    </w:p>
    <w:p>
      <w:pPr>
        <w:pStyle w:val="8"/>
        <w:snapToGrid w:val="0"/>
        <w:spacing w:line="360" w:lineRule="auto"/>
        <w:ind w:left="0" w:leftChars="0" w:right="290" w:firstLine="566" w:firstLineChars="236"/>
        <w:rPr>
          <w:rFonts w:hint="eastAsia"/>
        </w:rPr>
      </w:pPr>
      <w:r>
        <w:rPr>
          <w:rFonts w:hint="eastAsia"/>
        </w:rPr>
        <w:t>为加强承包项目实施过程中安全、职业健康和环境保护（简称安健环</w:t>
      </w:r>
      <w:r>
        <w:t>）</w:t>
      </w:r>
      <w:r>
        <w:rPr>
          <w:rFonts w:hint="eastAsia"/>
        </w:rPr>
        <w:t>管理，明确甲乙双方安健环管理职责、应当采取的措施、违约责任及违约金扣缴或处罚等内容，</w:t>
      </w:r>
      <w:r>
        <w:t>最大限度地减少事故、职业病和环境污染的发生</w:t>
      </w:r>
      <w:r>
        <w:rPr>
          <w:rFonts w:hint="eastAsia"/>
        </w:rPr>
        <w:t>，根据国家、行业有关法律法规和规范性文件要求，结合承包项目特点，经双方协商一致签订本协议，并严格遵守。</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定义与解释</w:t>
      </w:r>
    </w:p>
    <w:p>
      <w:pPr>
        <w:pStyle w:val="8"/>
        <w:numPr>
          <w:ilvl w:val="0"/>
          <w:numId w:val="3"/>
        </w:numPr>
        <w:snapToGrid w:val="0"/>
        <w:spacing w:line="360" w:lineRule="auto"/>
        <w:ind w:left="0" w:leftChars="0" w:right="290" w:firstLine="567"/>
        <w:rPr>
          <w:rFonts w:hint="eastAsia"/>
        </w:rPr>
      </w:pPr>
      <w:r>
        <w:rPr>
          <w:rFonts w:hint="eastAsia"/>
        </w:rPr>
        <w:t>定义：(以下定义适用于本协议）</w:t>
      </w:r>
    </w:p>
    <w:p>
      <w:pPr>
        <w:pStyle w:val="8"/>
        <w:snapToGrid w:val="0"/>
        <w:spacing w:line="360" w:lineRule="auto"/>
        <w:ind w:left="0" w:leftChars="0" w:right="290" w:firstLine="566" w:firstLineChars="235"/>
        <w:rPr>
          <w:rFonts w:hint="eastAsia"/>
        </w:rPr>
      </w:pPr>
      <w:r>
        <w:rPr>
          <w:rFonts w:hint="eastAsia"/>
          <w:b/>
        </w:rPr>
        <w:t>中国</w:t>
      </w:r>
      <w:r>
        <w:rPr>
          <w:rFonts w:hint="eastAsia"/>
        </w:rPr>
        <w:t>或</w:t>
      </w:r>
      <w:r>
        <w:rPr>
          <w:rFonts w:hint="eastAsia"/>
          <w:b/>
        </w:rPr>
        <w:t>国家</w:t>
      </w:r>
      <w:r>
        <w:rPr>
          <w:rFonts w:hint="eastAsia"/>
        </w:rPr>
        <w:t>：指中华人民共和国，仅为本协议之目的，不包括香港特别行政区、澳门特别行政区和台湾地区。</w:t>
      </w:r>
    </w:p>
    <w:p>
      <w:pPr>
        <w:pStyle w:val="8"/>
        <w:snapToGrid w:val="0"/>
        <w:spacing w:line="360" w:lineRule="auto"/>
        <w:ind w:left="0" w:leftChars="0" w:right="290" w:firstLine="566" w:firstLineChars="235"/>
        <w:rPr>
          <w:rFonts w:hint="eastAsia"/>
        </w:rPr>
      </w:pPr>
      <w:r>
        <w:rPr>
          <w:rFonts w:hint="eastAsia"/>
          <w:b/>
        </w:rPr>
        <w:t>法律</w:t>
      </w:r>
      <w:r>
        <w:rPr>
          <w:rFonts w:hint="eastAsia"/>
        </w:rPr>
        <w:t>：指所有适用的中国法律、行政法规、规章、自治条例、单行条例、地方性法规、司法解释及其它有法律约束力的规范性文件。本协议适用之法律包括签订生效时已现行发布实施之法律及日后进行重新修订、修改、废除等变更后之法律。</w:t>
      </w:r>
    </w:p>
    <w:p>
      <w:pPr>
        <w:pStyle w:val="8"/>
        <w:snapToGrid w:val="0"/>
        <w:spacing w:line="360" w:lineRule="auto"/>
        <w:ind w:left="0" w:leftChars="0" w:right="290" w:firstLine="566" w:firstLineChars="235"/>
        <w:rPr>
          <w:rFonts w:hint="eastAsia"/>
        </w:rPr>
      </w:pPr>
      <w:r>
        <w:rPr>
          <w:rFonts w:hint="eastAsia"/>
          <w:b/>
        </w:rPr>
        <w:t>法律变更：</w:t>
      </w:r>
      <w:r>
        <w:rPr>
          <w:rFonts w:hint="eastAsia"/>
        </w:rPr>
        <w:t>指在生效日后，中华人民共和国任何立法机构、政府部门或司法机关对本协议生效时所适用的法律、法规、规章、规范性文件</w:t>
      </w:r>
      <w:r>
        <w:t>(</w:t>
      </w:r>
      <w:r>
        <w:rPr>
          <w:rFonts w:hint="eastAsia"/>
        </w:rPr>
        <w:t>包括但不限于与履行本协议有关的各种标准）进行重新修订、修改、废除的情况。还包括项目所在地政府、上级管理部门、甲方及与本协议履行有关的行政机关对现行规范性文件的修改。</w:t>
      </w:r>
    </w:p>
    <w:p>
      <w:pPr>
        <w:pStyle w:val="8"/>
        <w:snapToGrid w:val="0"/>
        <w:spacing w:line="360" w:lineRule="auto"/>
        <w:ind w:left="2" w:leftChars="0" w:right="290" w:firstLine="564" w:firstLineChars="234"/>
        <w:rPr>
          <w:rFonts w:hint="eastAsia"/>
        </w:rPr>
      </w:pPr>
      <w:r>
        <w:rPr>
          <w:rFonts w:hint="eastAsia"/>
          <w:b/>
        </w:rPr>
        <w:t>安健环：</w:t>
      </w:r>
      <w:r>
        <w:rPr>
          <w:rFonts w:hint="eastAsia"/>
        </w:rPr>
        <w:t>指</w:t>
      </w:r>
      <w:r>
        <w:t>安全（safe）、</w:t>
      </w:r>
      <w:r>
        <w:rPr>
          <w:rFonts w:hint="eastAsia"/>
        </w:rPr>
        <w:t>职业</w:t>
      </w:r>
      <w:r>
        <w:t>健康（health）、</w:t>
      </w:r>
      <w:r>
        <w:rPr>
          <w:rFonts w:hint="eastAsia"/>
        </w:rPr>
        <w:t>环境保护</w:t>
      </w:r>
      <w:r>
        <w:t>（environment）</w:t>
      </w:r>
      <w:r>
        <w:rPr>
          <w:rFonts w:hint="eastAsia"/>
        </w:rPr>
        <w:t>，</w:t>
      </w:r>
      <w:r>
        <w:t>安健环（SHE）管理体系是指建立起一种通过系统化的预防管理机制，彻底消除各种事故、环境和职业病隐患，以便最大限度地减少事故、环境污染和职业病的发生，从而达到改善企业安全、环境与健康业绩的管理方法。</w:t>
      </w:r>
    </w:p>
    <w:p>
      <w:pPr>
        <w:pStyle w:val="8"/>
        <w:snapToGrid w:val="0"/>
        <w:spacing w:line="360" w:lineRule="auto"/>
        <w:ind w:left="0" w:leftChars="0" w:right="290" w:firstLine="566" w:firstLineChars="235"/>
        <w:rPr>
          <w:rFonts w:hint="eastAsia"/>
          <w:b/>
        </w:rPr>
      </w:pPr>
      <w:r>
        <w:rPr>
          <w:rFonts w:hint="eastAsia"/>
          <w:b/>
        </w:rPr>
        <w:t>协议</w:t>
      </w:r>
      <w:r>
        <w:rPr>
          <w:rFonts w:hint="eastAsia"/>
        </w:rPr>
        <w:t>或</w:t>
      </w:r>
      <w:r>
        <w:rPr>
          <w:rFonts w:hint="eastAsia"/>
          <w:b/>
        </w:rPr>
        <w:t>本协议</w:t>
      </w:r>
      <w:r>
        <w:rPr>
          <w:rFonts w:hint="eastAsia"/>
        </w:rPr>
        <w:t>：指甲方与乙方之间签订的本《安健环协议》（包含其附件）和目前及日后签订生效的任何承包项目的具体业务合同（包含其附件，简称为项目合同），以及本《安健环协议》和各项目合同两方面日后可能签订之补充协议和附件，上述每一文件均被视为本安健环协议不可分割的一部分。</w:t>
      </w:r>
    </w:p>
    <w:p>
      <w:pPr>
        <w:pStyle w:val="8"/>
        <w:snapToGrid w:val="0"/>
        <w:spacing w:line="360" w:lineRule="auto"/>
        <w:ind w:left="0" w:leftChars="0" w:right="290" w:firstLine="566" w:firstLineChars="235"/>
        <w:rPr>
          <w:rFonts w:hint="eastAsia"/>
        </w:rPr>
      </w:pPr>
      <w:r>
        <w:rPr>
          <w:rFonts w:hint="eastAsia"/>
          <w:b/>
        </w:rPr>
        <w:t>项目</w:t>
      </w:r>
      <w:r>
        <w:rPr>
          <w:rFonts w:hint="eastAsia"/>
        </w:rPr>
        <w:t>：指在本协议签订生效至双方另行签订更新版本的安健环协议生效而被取代之日前，经甲方（发包方）交由乙方(承包方)进行具体承包负责实施完成的建设施工和生产运行阶段每一个业务项目合同范围及内容，也简称为本项目或外包项目等。</w:t>
      </w:r>
    </w:p>
    <w:p>
      <w:pPr>
        <w:pStyle w:val="8"/>
        <w:snapToGrid w:val="0"/>
        <w:spacing w:line="360" w:lineRule="auto"/>
        <w:ind w:left="0" w:leftChars="0" w:right="290" w:firstLine="566" w:firstLineChars="235"/>
        <w:rPr>
          <w:rFonts w:hint="eastAsia"/>
        </w:rPr>
      </w:pPr>
      <w:r>
        <w:rPr>
          <w:rFonts w:hint="eastAsia"/>
          <w:b/>
        </w:rPr>
        <w:t>现场</w:t>
      </w:r>
      <w:r>
        <w:rPr>
          <w:rFonts w:hint="eastAsia"/>
        </w:rPr>
        <w:t>：指在本协议项目</w:t>
      </w:r>
      <w:r>
        <w:rPr>
          <w:rFonts w:hint="eastAsia"/>
          <w:color w:val="auto"/>
          <w:u w:val="none"/>
          <w:lang w:val="en-US" w:eastAsia="zh-CN"/>
        </w:rPr>
        <w:t>实施及</w:t>
      </w:r>
      <w:r>
        <w:rPr>
          <w:rFonts w:hint="eastAsia"/>
        </w:rPr>
        <w:t>甲方（发包方）办公区域、施工场地、厂区范围内的场所或地点。</w:t>
      </w:r>
    </w:p>
    <w:p>
      <w:pPr>
        <w:pStyle w:val="8"/>
        <w:numPr>
          <w:ilvl w:val="0"/>
          <w:numId w:val="3"/>
        </w:numPr>
        <w:snapToGrid w:val="0"/>
        <w:spacing w:line="360" w:lineRule="auto"/>
        <w:ind w:left="0" w:leftChars="0" w:right="290" w:firstLine="567"/>
      </w:pPr>
      <w:r>
        <w:rPr>
          <w:rFonts w:hint="eastAsia"/>
        </w:rPr>
        <w:t>解释：(在本协议中，除非另有明确规定，以下释义适用)</w:t>
      </w:r>
    </w:p>
    <w:p>
      <w:pPr>
        <w:pStyle w:val="8"/>
        <w:numPr>
          <w:ilvl w:val="0"/>
          <w:numId w:val="4"/>
        </w:numPr>
        <w:snapToGrid w:val="0"/>
        <w:spacing w:line="360" w:lineRule="auto"/>
        <w:ind w:left="0" w:leftChars="0" w:right="290" w:firstLine="567"/>
      </w:pPr>
      <w:r>
        <w:rPr>
          <w:rFonts w:hint="eastAsia"/>
        </w:rPr>
        <w:t>一方、双方指本协议的一方或双方，并且包括经允许的替代该方的人或该方的继承人或受让人；</w:t>
      </w:r>
    </w:p>
    <w:p>
      <w:pPr>
        <w:pStyle w:val="8"/>
        <w:numPr>
          <w:ilvl w:val="0"/>
          <w:numId w:val="4"/>
        </w:numPr>
        <w:snapToGrid w:val="0"/>
        <w:spacing w:line="360" w:lineRule="auto"/>
        <w:ind w:left="0" w:leftChars="0" w:right="290" w:firstLine="567"/>
      </w:pPr>
      <w:r>
        <w:rPr>
          <w:rFonts w:hint="eastAsia"/>
        </w:rPr>
        <w:t>条款或附件指本协议的条款或附件；</w:t>
      </w:r>
    </w:p>
    <w:p>
      <w:pPr>
        <w:pStyle w:val="8"/>
        <w:numPr>
          <w:ilvl w:val="0"/>
          <w:numId w:val="4"/>
        </w:numPr>
        <w:snapToGrid w:val="0"/>
        <w:spacing w:line="360" w:lineRule="auto"/>
        <w:ind w:left="0" w:leftChars="0" w:right="290" w:firstLine="567"/>
      </w:pPr>
      <w:r>
        <w:rPr>
          <w:rFonts w:hint="eastAsia"/>
        </w:rPr>
        <w:t>“包括”均应理解为“包括但不限于”的意思；</w:t>
      </w:r>
    </w:p>
    <w:p>
      <w:pPr>
        <w:pStyle w:val="8"/>
        <w:numPr>
          <w:ilvl w:val="0"/>
          <w:numId w:val="4"/>
        </w:numPr>
        <w:snapToGrid w:val="0"/>
        <w:spacing w:line="360" w:lineRule="auto"/>
        <w:ind w:left="0" w:leftChars="0" w:right="290" w:firstLine="567"/>
      </w:pPr>
      <w:r>
        <w:rPr>
          <w:rFonts w:hint="eastAsia"/>
        </w:rPr>
        <w:t>任何协议或文件还指经补充或替代后的该协议或文件；</w:t>
      </w:r>
    </w:p>
    <w:p>
      <w:pPr>
        <w:pStyle w:val="8"/>
        <w:numPr>
          <w:ilvl w:val="0"/>
          <w:numId w:val="4"/>
        </w:numPr>
        <w:snapToGrid w:val="0"/>
        <w:spacing w:line="360" w:lineRule="auto"/>
        <w:ind w:left="0" w:leftChars="0" w:right="290" w:firstLine="567"/>
      </w:pPr>
      <w:r>
        <w:rPr>
          <w:rFonts w:hint="eastAsia"/>
        </w:rPr>
        <w:t>本协议指连同本协议附件、附录及附表在内的本协议，如本协议正文与附件、附录、附表冲突，以本协议正文为准；</w:t>
      </w:r>
    </w:p>
    <w:p>
      <w:pPr>
        <w:pStyle w:val="8"/>
        <w:numPr>
          <w:ilvl w:val="0"/>
          <w:numId w:val="4"/>
        </w:numPr>
        <w:snapToGrid w:val="0"/>
        <w:spacing w:line="360" w:lineRule="auto"/>
        <w:ind w:left="0" w:leftChars="0" w:right="290" w:firstLine="567"/>
      </w:pPr>
      <w:r>
        <w:rPr>
          <w:rFonts w:hint="eastAsia"/>
        </w:rPr>
        <w:t>标题仅供阅读方便而设，不应影响条文的解释。</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总则</w:t>
      </w:r>
    </w:p>
    <w:p>
      <w:pPr>
        <w:pStyle w:val="8"/>
        <w:numPr>
          <w:ilvl w:val="0"/>
          <w:numId w:val="5"/>
        </w:numPr>
        <w:snapToGrid w:val="0"/>
        <w:spacing w:line="360" w:lineRule="auto"/>
        <w:ind w:left="0" w:leftChars="0" w:right="290" w:firstLine="567"/>
        <w:rPr>
          <w:rFonts w:hint="eastAsia"/>
        </w:rPr>
      </w:pPr>
      <w:r>
        <w:rPr>
          <w:rFonts w:hint="eastAsia"/>
        </w:rPr>
        <w:t>甲乙双方必须严格遵守安健环有关</w:t>
      </w:r>
      <w:r>
        <w:t>法律法规</w:t>
      </w:r>
      <w:r>
        <w:rPr>
          <w:rFonts w:hint="eastAsia"/>
        </w:rPr>
        <w:t>和规范性文件要求</w:t>
      </w:r>
      <w:r>
        <w:t>，依法承担</w:t>
      </w:r>
      <w:r>
        <w:rPr>
          <w:rFonts w:hint="eastAsia"/>
        </w:rPr>
        <w:t>安健环</w:t>
      </w:r>
      <w:r>
        <w:t>责任。</w:t>
      </w:r>
    </w:p>
    <w:p>
      <w:pPr>
        <w:pStyle w:val="8"/>
        <w:numPr>
          <w:ilvl w:val="0"/>
          <w:numId w:val="5"/>
        </w:numPr>
        <w:snapToGrid w:val="0"/>
        <w:spacing w:line="360" w:lineRule="auto"/>
        <w:ind w:left="0" w:leftChars="0" w:right="290" w:firstLine="567"/>
        <w:rPr>
          <w:rFonts w:hint="eastAsia"/>
        </w:rPr>
      </w:pPr>
      <w:r>
        <w:rPr>
          <w:rFonts w:hint="eastAsia"/>
        </w:rPr>
        <w:t>甲乙双方履行</w:t>
      </w:r>
      <w:r>
        <w:t>法律</w:t>
      </w:r>
      <w:r>
        <w:rPr>
          <w:rFonts w:hint="eastAsia"/>
        </w:rPr>
        <w:t>法规和规范性文件要求的及项目承包合同和本协议约定应履行的安健环管理职责，采取必要的安健环措施，共同管理本项目实施过程中的安健环工作。</w:t>
      </w:r>
    </w:p>
    <w:p>
      <w:pPr>
        <w:pStyle w:val="8"/>
        <w:numPr>
          <w:ilvl w:val="0"/>
          <w:numId w:val="5"/>
        </w:numPr>
        <w:snapToGrid w:val="0"/>
        <w:spacing w:line="360" w:lineRule="auto"/>
        <w:ind w:left="0" w:leftChars="0" w:right="290" w:firstLine="567"/>
        <w:rPr>
          <w:rFonts w:hint="eastAsia"/>
        </w:rPr>
      </w:pPr>
      <w:r>
        <w:rPr>
          <w:rFonts w:hint="eastAsia"/>
        </w:rPr>
        <w:t>甲方对承包项目具有安健环一票否决权。乙方在项目实施过程中未切实履行有关安健环管理职责、未有效落实有关安健环措施，危及生命财产安全、危及甲方安全生产或可能造成环境污染事故或事件的，甲方可勒令乙方整改、停止作业、</w:t>
      </w:r>
      <w:r>
        <w:t>停工</w:t>
      </w:r>
      <w:r>
        <w:rPr>
          <w:rFonts w:hint="eastAsia"/>
        </w:rPr>
        <w:t>整顿直至解除项目合同，可采取通报批评、</w:t>
      </w:r>
      <w:r>
        <w:t>警告</w:t>
      </w:r>
      <w:r>
        <w:rPr>
          <w:rFonts w:hint="eastAsia"/>
        </w:rPr>
        <w:t>、</w:t>
      </w:r>
      <w:r>
        <w:t>约谈</w:t>
      </w:r>
      <w:r>
        <w:rPr>
          <w:rFonts w:hint="eastAsia"/>
        </w:rPr>
        <w:t>乙方相关负责人、违规人员安全再教育、要求撤换乙方不合格人员等措施，并可根据承包合同、本协议及甲方有关安健环管理规定对乙方给予相应的追责和扣缴违约金或经济处罚。对上述原因造成停止作业、停工整顿产生的损失，甲方不承担任何责任，乙方无权要求调整合同总价、工期等既定条件；上述原因导致解除合同造成损的，由乙方负责赔偿。</w:t>
      </w:r>
    </w:p>
    <w:p>
      <w:pPr>
        <w:pStyle w:val="8"/>
        <w:numPr>
          <w:ilvl w:val="0"/>
          <w:numId w:val="5"/>
        </w:numPr>
        <w:snapToGrid w:val="0"/>
        <w:spacing w:line="360" w:lineRule="auto"/>
        <w:ind w:left="0" w:leftChars="0" w:right="290" w:firstLine="567"/>
        <w:rPr>
          <w:rFonts w:hint="eastAsia"/>
        </w:rPr>
      </w:pPr>
      <w:r>
        <w:rPr>
          <w:rFonts w:hint="eastAsia"/>
        </w:rPr>
        <w:t>本协议适用于甲方因</w:t>
      </w:r>
      <w:r>
        <w:rPr>
          <w:rFonts w:hint="eastAsia"/>
          <w:lang w:val="en-US" w:eastAsia="zh-CN"/>
        </w:rPr>
        <w:t>项目</w:t>
      </w:r>
      <w:r>
        <w:rPr>
          <w:rFonts w:hint="eastAsia"/>
        </w:rPr>
        <w:t>建设、生产经营等需要，委托外部组织在甲方项目现场实施新建、</w:t>
      </w:r>
      <w:r>
        <w:t>改建</w:t>
      </w:r>
      <w:r>
        <w:rPr>
          <w:rFonts w:hint="eastAsia"/>
        </w:rPr>
        <w:t>、扩建等</w:t>
      </w:r>
      <w:r>
        <w:rPr>
          <w:rFonts w:hint="eastAsia"/>
          <w:lang w:val="en-US" w:eastAsia="zh-CN"/>
        </w:rPr>
        <w:t>项目</w:t>
      </w:r>
      <w:r>
        <w:rPr>
          <w:rFonts w:hint="eastAsia" w:ascii="宋体" w:hAnsi="宋体" w:cs="Tahoma"/>
        </w:rPr>
        <w:t>建设，以及</w:t>
      </w:r>
      <w:r>
        <w:rPr>
          <w:rFonts w:hint="eastAsia"/>
        </w:rPr>
        <w:t>进行</w:t>
      </w:r>
      <w:r>
        <w:t>检（维）修、</w:t>
      </w:r>
      <w:r>
        <w:rPr>
          <w:rFonts w:hint="eastAsia"/>
        </w:rPr>
        <w:t>维护、</w:t>
      </w:r>
      <w:r>
        <w:t>安装、试验</w:t>
      </w:r>
      <w:r>
        <w:rPr>
          <w:rFonts w:hint="eastAsia"/>
        </w:rPr>
        <w:t>、装修、拆除、处置、技改、小型基建等现场业务；委托外部组织进行现场物资供应、技术服务、咨询服务、劳务服务（含临时用工</w:t>
      </w:r>
      <w:r>
        <w:t>）</w:t>
      </w:r>
      <w:r>
        <w:rPr>
          <w:rFonts w:hint="eastAsia"/>
        </w:rPr>
        <w:t>及其他服务或信息提供时，涉及外委人员进入甲方</w:t>
      </w:r>
      <w:r>
        <w:rPr>
          <w:rFonts w:hint="eastAsia"/>
          <w:lang w:val="en-US" w:eastAsia="zh-CN"/>
        </w:rPr>
        <w:t>项目</w:t>
      </w:r>
      <w:r>
        <w:t>、生产</w:t>
      </w:r>
      <w:r>
        <w:rPr>
          <w:rFonts w:hint="eastAsia"/>
        </w:rPr>
        <w:t>现场的外包业务，也适用本协议。</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安健环管理目标</w:t>
      </w:r>
    </w:p>
    <w:p>
      <w:pPr>
        <w:pStyle w:val="8"/>
        <w:numPr>
          <w:ilvl w:val="0"/>
          <w:numId w:val="6"/>
        </w:numPr>
        <w:snapToGrid w:val="0"/>
        <w:spacing w:line="360" w:lineRule="auto"/>
        <w:ind w:left="0" w:leftChars="0" w:right="290" w:firstLine="567"/>
        <w:rPr>
          <w:rFonts w:hint="eastAsia"/>
        </w:rPr>
      </w:pPr>
      <w:r>
        <w:rPr>
          <w:rFonts w:hint="eastAsia"/>
        </w:rPr>
        <w:t>不发生安全生产事故；</w:t>
      </w:r>
    </w:p>
    <w:p>
      <w:pPr>
        <w:pStyle w:val="8"/>
        <w:numPr>
          <w:ilvl w:val="0"/>
          <w:numId w:val="6"/>
        </w:numPr>
        <w:snapToGrid w:val="0"/>
        <w:spacing w:line="360" w:lineRule="auto"/>
        <w:ind w:left="0" w:leftChars="0" w:right="290" w:firstLine="567"/>
        <w:rPr>
          <w:rFonts w:hint="eastAsia"/>
        </w:rPr>
      </w:pPr>
      <w:r>
        <w:rPr>
          <w:rFonts w:hint="eastAsia"/>
        </w:rPr>
        <w:t>不发生火灾事故；</w:t>
      </w:r>
    </w:p>
    <w:p>
      <w:pPr>
        <w:pStyle w:val="8"/>
        <w:numPr>
          <w:ilvl w:val="0"/>
          <w:numId w:val="6"/>
        </w:numPr>
        <w:snapToGrid w:val="0"/>
        <w:spacing w:line="360" w:lineRule="auto"/>
        <w:ind w:left="0" w:leftChars="0" w:right="290" w:firstLine="567"/>
        <w:rPr>
          <w:rFonts w:hint="eastAsia"/>
        </w:rPr>
      </w:pPr>
      <w:r>
        <w:rPr>
          <w:rFonts w:hint="eastAsia"/>
        </w:rPr>
        <w:t>不发生交通事故；</w:t>
      </w:r>
    </w:p>
    <w:p>
      <w:pPr>
        <w:pStyle w:val="8"/>
        <w:numPr>
          <w:ilvl w:val="0"/>
          <w:numId w:val="6"/>
        </w:numPr>
        <w:snapToGrid w:val="0"/>
        <w:spacing w:line="360" w:lineRule="auto"/>
        <w:ind w:left="0" w:leftChars="0" w:right="290" w:firstLine="567"/>
        <w:rPr>
          <w:rFonts w:hint="eastAsia"/>
        </w:rPr>
      </w:pPr>
      <w:r>
        <w:rPr>
          <w:rFonts w:hint="eastAsia"/>
        </w:rPr>
        <w:t>不发生责任性全厂停电事故；</w:t>
      </w:r>
    </w:p>
    <w:p>
      <w:pPr>
        <w:pStyle w:val="8"/>
        <w:numPr>
          <w:ilvl w:val="0"/>
          <w:numId w:val="6"/>
        </w:numPr>
        <w:snapToGrid w:val="0"/>
        <w:spacing w:line="360" w:lineRule="auto"/>
        <w:ind w:left="0" w:leftChars="0" w:right="290" w:firstLine="567"/>
        <w:rPr>
          <w:rFonts w:hint="eastAsia"/>
        </w:rPr>
      </w:pPr>
      <w:r>
        <w:rPr>
          <w:rFonts w:hint="eastAsia"/>
        </w:rPr>
        <w:t>不发生职业病危害事故；</w:t>
      </w:r>
    </w:p>
    <w:p>
      <w:pPr>
        <w:pStyle w:val="8"/>
        <w:numPr>
          <w:ilvl w:val="0"/>
          <w:numId w:val="6"/>
        </w:numPr>
        <w:snapToGrid w:val="0"/>
        <w:spacing w:line="360" w:lineRule="auto"/>
        <w:ind w:left="0" w:leftChars="0" w:right="290" w:firstLine="567"/>
        <w:rPr>
          <w:rFonts w:hint="eastAsia"/>
        </w:rPr>
      </w:pPr>
      <w:r>
        <w:rPr>
          <w:rFonts w:hint="eastAsia"/>
        </w:rPr>
        <w:t>不发生污染物超标排放、危险废弃物违法处置、化学品泄漏、环境处罚等环境污染事故、事件；</w:t>
      </w:r>
    </w:p>
    <w:p>
      <w:pPr>
        <w:pStyle w:val="8"/>
        <w:numPr>
          <w:ilvl w:val="0"/>
          <w:numId w:val="6"/>
        </w:numPr>
        <w:snapToGrid w:val="0"/>
        <w:spacing w:line="360" w:lineRule="auto"/>
        <w:ind w:left="0" w:leftChars="0" w:right="290" w:firstLine="567"/>
        <w:rPr>
          <w:rFonts w:hint="eastAsia"/>
        </w:rPr>
      </w:pPr>
      <w:r>
        <w:rPr>
          <w:rFonts w:hint="eastAsia"/>
        </w:rPr>
        <w:t>不发生责任性甲方二类障碍及以上安健环事件等。</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甲方安健环职责</w:t>
      </w:r>
    </w:p>
    <w:p>
      <w:pPr>
        <w:pStyle w:val="8"/>
        <w:numPr>
          <w:ilvl w:val="0"/>
          <w:numId w:val="7"/>
        </w:numPr>
        <w:snapToGrid w:val="0"/>
        <w:spacing w:line="360" w:lineRule="auto"/>
        <w:ind w:left="0" w:leftChars="0" w:right="290" w:firstLine="567"/>
      </w:pPr>
      <w:r>
        <w:rPr>
          <w:rFonts w:hint="eastAsia" w:ascii="宋体" w:hAnsi="宋体"/>
        </w:rPr>
        <w:t>甲方有权根据</w:t>
      </w:r>
      <w:r>
        <w:rPr>
          <w:rFonts w:hint="eastAsia" w:ascii="宋体" w:hAnsi="宋体" w:cs="Tahoma"/>
        </w:rPr>
        <w:t>有关</w:t>
      </w:r>
      <w:r>
        <w:rPr>
          <w:rFonts w:ascii="宋体" w:hAnsi="宋体" w:cs="Tahoma"/>
        </w:rPr>
        <w:t>法律法规</w:t>
      </w:r>
      <w:r>
        <w:rPr>
          <w:rFonts w:hint="eastAsia" w:ascii="宋体" w:hAnsi="宋体" w:cs="Tahoma"/>
        </w:rPr>
        <w:t>和</w:t>
      </w:r>
      <w:r>
        <w:rPr>
          <w:rFonts w:hint="eastAsia" w:ascii="宋体" w:hAnsi="宋体" w:cs="宋体"/>
        </w:rPr>
        <w:t>规范性文件</w:t>
      </w:r>
      <w:r>
        <w:rPr>
          <w:rFonts w:hint="eastAsia" w:ascii="宋体" w:hAnsi="宋体" w:cs="Tahoma"/>
        </w:rPr>
        <w:t>要求，结合</w:t>
      </w:r>
      <w:r>
        <w:rPr>
          <w:rFonts w:hint="eastAsia" w:ascii="宋体" w:hAnsi="宋体"/>
        </w:rPr>
        <w:t>生产运营</w:t>
      </w:r>
      <w:r>
        <w:rPr>
          <w:rFonts w:hint="eastAsia" w:ascii="宋体" w:hAnsi="宋体"/>
          <w:lang w:val="en-US" w:eastAsia="zh-CN"/>
        </w:rPr>
        <w:t>或生产期小型</w:t>
      </w:r>
      <w:r>
        <w:rPr>
          <w:rFonts w:hint="eastAsia" w:ascii="宋体" w:hAnsi="宋体" w:cs="Tahoma"/>
        </w:rPr>
        <w:t>建设</w:t>
      </w:r>
      <w:r>
        <w:rPr>
          <w:rFonts w:hint="eastAsia" w:ascii="宋体" w:hAnsi="宋体"/>
        </w:rPr>
        <w:t>等实际需要，</w:t>
      </w:r>
      <w:r>
        <w:rPr>
          <w:rFonts w:hint="eastAsia"/>
        </w:rPr>
        <w:t>制订并颁布施行</w:t>
      </w:r>
      <w:r>
        <w:rPr>
          <w:rFonts w:hint="eastAsia" w:ascii="宋体" w:hAnsi="宋体" w:cs="Tahoma"/>
        </w:rPr>
        <w:t>安健环</w:t>
      </w:r>
      <w:r>
        <w:rPr>
          <w:rFonts w:hint="eastAsia"/>
        </w:rPr>
        <w:t>相关</w:t>
      </w:r>
      <w:r>
        <w:rPr>
          <w:rFonts w:hint="eastAsia" w:ascii="宋体" w:hAnsi="宋体" w:cs="Tahoma"/>
        </w:rPr>
        <w:t>规章制度。</w:t>
      </w:r>
    </w:p>
    <w:p>
      <w:pPr>
        <w:pStyle w:val="8"/>
        <w:numPr>
          <w:ilvl w:val="0"/>
          <w:numId w:val="7"/>
        </w:numPr>
        <w:snapToGrid w:val="0"/>
        <w:spacing w:line="360" w:lineRule="auto"/>
        <w:ind w:left="0" w:leftChars="0" w:right="290" w:firstLine="567"/>
        <w:rPr>
          <w:rFonts w:hint="eastAsia"/>
        </w:rPr>
      </w:pPr>
      <w:r>
        <w:rPr>
          <w:rFonts w:hint="eastAsia"/>
        </w:rPr>
        <w:t>项目开工前由甲方对乙方进行资质和开工条件审查。</w:t>
      </w:r>
    </w:p>
    <w:p>
      <w:pPr>
        <w:pStyle w:val="8"/>
        <w:numPr>
          <w:ilvl w:val="0"/>
          <w:numId w:val="7"/>
        </w:numPr>
        <w:snapToGrid w:val="0"/>
        <w:spacing w:line="360" w:lineRule="auto"/>
        <w:ind w:left="0" w:leftChars="0" w:right="290" w:firstLine="567"/>
        <w:rPr>
          <w:rFonts w:hint="eastAsia"/>
        </w:rPr>
      </w:pPr>
      <w:r>
        <w:rPr>
          <w:rFonts w:hint="eastAsia"/>
        </w:rPr>
        <w:t>根据法规规定向乙方提供施工现场及毗邻区域内供水、排水、供电、供气、供热、通信、广播电视等地下管线资料，气象和水文观测资料，相邻建筑物和构筑物、地下工程的有关资料，并保证资料的真实、准确、完整。</w:t>
      </w:r>
    </w:p>
    <w:p>
      <w:pPr>
        <w:pStyle w:val="8"/>
        <w:numPr>
          <w:ilvl w:val="0"/>
          <w:numId w:val="7"/>
        </w:numPr>
        <w:snapToGrid w:val="0"/>
        <w:spacing w:line="360" w:lineRule="auto"/>
        <w:ind w:left="0" w:leftChars="0" w:right="290" w:firstLine="567"/>
        <w:rPr>
          <w:rFonts w:hint="eastAsia"/>
        </w:rPr>
      </w:pPr>
      <w:r>
        <w:rPr>
          <w:rFonts w:hint="eastAsia"/>
        </w:rPr>
        <w:t>审查乙方项目安全保证及监督体系、</w:t>
      </w:r>
      <w:r>
        <w:t>安全生产</w:t>
      </w:r>
      <w:r>
        <w:rPr>
          <w:rFonts w:hint="eastAsia"/>
        </w:rPr>
        <w:t>管理组织机构、</w:t>
      </w:r>
      <w:r>
        <w:t>安全生产</w:t>
      </w:r>
      <w:r>
        <w:rPr>
          <w:rFonts w:hint="eastAsia"/>
        </w:rPr>
        <w:t>条件、施工组织设计、安全技术措施、职业健康防治措施、环境保护与污染防治措施</w:t>
      </w:r>
      <w:r>
        <w:rPr>
          <w:rFonts w:hint="eastAsia"/>
          <w:lang w:eastAsia="zh-CN"/>
        </w:rPr>
        <w:t>、</w:t>
      </w:r>
      <w:r>
        <w:rPr>
          <w:rFonts w:hint="eastAsia"/>
          <w:lang w:val="en-US" w:eastAsia="zh-CN"/>
        </w:rPr>
        <w:t>安全规章制度和操作规程、应急预案</w:t>
      </w:r>
      <w:r>
        <w:rPr>
          <w:rFonts w:hint="eastAsia"/>
        </w:rPr>
        <w:t>等安健环管理满足法规要求和项目需求。</w:t>
      </w:r>
    </w:p>
    <w:p>
      <w:pPr>
        <w:pStyle w:val="8"/>
        <w:numPr>
          <w:ilvl w:val="0"/>
          <w:numId w:val="7"/>
        </w:numPr>
        <w:snapToGrid w:val="0"/>
        <w:spacing w:line="360" w:lineRule="auto"/>
        <w:ind w:left="0" w:leftChars="0" w:right="290" w:firstLine="567"/>
        <w:rPr>
          <w:rFonts w:hint="eastAsia"/>
        </w:rPr>
      </w:pPr>
      <w:r>
        <w:rPr>
          <w:rFonts w:hint="eastAsia"/>
          <w:lang w:val="en-US" w:eastAsia="zh-CN"/>
        </w:rPr>
        <w:t>作业前，</w:t>
      </w:r>
      <w:r>
        <w:rPr>
          <w:rFonts w:hint="eastAsia"/>
        </w:rPr>
        <w:t>向乙方进行</w:t>
      </w:r>
      <w:r>
        <w:rPr>
          <w:rFonts w:hint="eastAsia"/>
          <w:lang w:val="en-US" w:eastAsia="zh-CN"/>
        </w:rPr>
        <w:t>安全技术</w:t>
      </w:r>
      <w:r>
        <w:rPr>
          <w:rFonts w:hint="eastAsia"/>
        </w:rPr>
        <w:t>交底。</w:t>
      </w:r>
    </w:p>
    <w:p>
      <w:pPr>
        <w:pStyle w:val="8"/>
        <w:numPr>
          <w:ilvl w:val="0"/>
          <w:numId w:val="7"/>
        </w:numPr>
        <w:snapToGrid w:val="0"/>
        <w:spacing w:line="360" w:lineRule="auto"/>
        <w:ind w:left="0" w:leftChars="0" w:right="290" w:firstLine="567"/>
      </w:pPr>
      <w:r>
        <w:rPr>
          <w:rFonts w:hint="eastAsia"/>
        </w:rPr>
        <w:t>对</w:t>
      </w:r>
      <w:r>
        <w:rPr>
          <w:rFonts w:hint="eastAsia"/>
          <w:lang w:val="en-US" w:eastAsia="zh-CN"/>
        </w:rPr>
        <w:t>作业过程</w:t>
      </w:r>
      <w:r>
        <w:rPr>
          <w:rFonts w:hint="eastAsia"/>
        </w:rPr>
        <w:t>的现场人员、设备设施、材料、安健环管理实施监督检查，促进现场安全文明生产、职业病防治、节能环保和防止污染事件。</w:t>
      </w:r>
    </w:p>
    <w:p>
      <w:pPr>
        <w:pStyle w:val="8"/>
        <w:numPr>
          <w:ilvl w:val="0"/>
          <w:numId w:val="7"/>
        </w:numPr>
        <w:snapToGrid w:val="0"/>
        <w:spacing w:line="360" w:lineRule="auto"/>
        <w:ind w:left="0" w:leftChars="0" w:right="290" w:firstLine="567"/>
      </w:pPr>
      <w:r>
        <w:rPr>
          <w:rFonts w:hint="eastAsia"/>
        </w:rPr>
        <w:t>甲方及其上级单位有权对乙方</w:t>
      </w:r>
      <w:r>
        <w:rPr>
          <w:rFonts w:hint="eastAsia"/>
          <w:lang w:val="en-US" w:eastAsia="zh-CN"/>
        </w:rPr>
        <w:t>涉及</w:t>
      </w:r>
      <w:r>
        <w:rPr>
          <w:rFonts w:hint="eastAsia"/>
        </w:rPr>
        <w:t>安健环</w:t>
      </w:r>
      <w:r>
        <w:t>违法</w:t>
      </w:r>
      <w:r>
        <w:rPr>
          <w:rFonts w:hint="eastAsia"/>
        </w:rPr>
        <w:t>、违规、违章及不文明施工等行为及时进行制止，必要时向乙方下达整改通知书，</w:t>
      </w:r>
      <w:r>
        <w:t>并</w:t>
      </w:r>
      <w:r>
        <w:rPr>
          <w:rFonts w:hint="eastAsia"/>
        </w:rPr>
        <w:t>可根据约定条件对承包商给予相应的追责和扣缴违约金以及经济处罚。对于严重违法违章行为、重大安健环隐患，可勒令乙方无条件停止作业、</w:t>
      </w:r>
      <w:r>
        <w:t>停工</w:t>
      </w:r>
      <w:r>
        <w:rPr>
          <w:rFonts w:hint="eastAsia"/>
        </w:rPr>
        <w:t>整顿，直至问题或隐患排除，方允许继续作业。</w:t>
      </w:r>
      <w:r>
        <w:t>情况</w:t>
      </w:r>
      <w:r>
        <w:rPr>
          <w:rFonts w:hint="eastAsia"/>
        </w:rPr>
        <w:t>特别严重的，甲方有权终止合同。</w:t>
      </w:r>
    </w:p>
    <w:p>
      <w:pPr>
        <w:pStyle w:val="8"/>
        <w:numPr>
          <w:ilvl w:val="0"/>
          <w:numId w:val="7"/>
        </w:numPr>
        <w:snapToGrid w:val="0"/>
        <w:spacing w:line="360" w:lineRule="auto"/>
        <w:ind w:left="0" w:leftChars="0" w:right="290" w:firstLine="567"/>
        <w:rPr>
          <w:rFonts w:hint="eastAsia"/>
        </w:rPr>
      </w:pPr>
      <w:r>
        <w:rPr>
          <w:rFonts w:hint="eastAsia"/>
        </w:rPr>
        <w:t>发生以下情况，甲方可勒令乙方无条件停工整顿。</w:t>
      </w:r>
    </w:p>
    <w:p>
      <w:pPr>
        <w:pStyle w:val="8"/>
        <w:numPr>
          <w:ilvl w:val="0"/>
          <w:numId w:val="8"/>
        </w:numPr>
        <w:snapToGrid w:val="0"/>
        <w:spacing w:line="360" w:lineRule="auto"/>
        <w:ind w:left="0" w:leftChars="0" w:right="290" w:firstLine="567"/>
        <w:rPr>
          <w:rFonts w:hint="eastAsia"/>
        </w:rPr>
      </w:pPr>
      <w:r>
        <w:rPr>
          <w:rFonts w:hint="eastAsia"/>
        </w:rPr>
        <w:t>发生人身伤亡事故、职业病危害事故、</w:t>
      </w:r>
      <w:r>
        <w:t>环境</w:t>
      </w:r>
      <w:r>
        <w:rPr>
          <w:rFonts w:hint="eastAsia"/>
        </w:rPr>
        <w:t>污染事故；</w:t>
      </w:r>
    </w:p>
    <w:p>
      <w:pPr>
        <w:pStyle w:val="8"/>
        <w:numPr>
          <w:ilvl w:val="0"/>
          <w:numId w:val="8"/>
        </w:numPr>
        <w:snapToGrid w:val="0"/>
        <w:spacing w:line="360" w:lineRule="auto"/>
        <w:ind w:left="0" w:leftChars="0" w:right="290" w:firstLine="567"/>
        <w:rPr>
          <w:rFonts w:hint="eastAsia"/>
        </w:rPr>
      </w:pPr>
      <w:r>
        <w:rPr>
          <w:rFonts w:hint="eastAsia"/>
        </w:rPr>
        <w:t>发生机械、设备严重损坏事故；</w:t>
      </w:r>
    </w:p>
    <w:p>
      <w:pPr>
        <w:pStyle w:val="8"/>
        <w:numPr>
          <w:ilvl w:val="0"/>
          <w:numId w:val="8"/>
        </w:numPr>
        <w:snapToGrid w:val="0"/>
        <w:spacing w:line="360" w:lineRule="auto"/>
        <w:ind w:left="0" w:leftChars="0" w:right="290" w:firstLine="567"/>
        <w:rPr>
          <w:rFonts w:hint="eastAsia"/>
        </w:rPr>
      </w:pPr>
      <w:r>
        <w:rPr>
          <w:rFonts w:hint="eastAsia"/>
        </w:rPr>
        <w:t>发生厂（场）内火灾事故、交通事故；</w:t>
      </w:r>
    </w:p>
    <w:p>
      <w:pPr>
        <w:pStyle w:val="8"/>
        <w:numPr>
          <w:ilvl w:val="0"/>
          <w:numId w:val="8"/>
        </w:numPr>
        <w:snapToGrid w:val="0"/>
        <w:spacing w:line="360" w:lineRule="auto"/>
        <w:ind w:left="0" w:leftChars="0" w:right="290" w:firstLine="567"/>
        <w:rPr>
          <w:rFonts w:hint="eastAsia"/>
        </w:rPr>
      </w:pPr>
      <w:r>
        <w:rPr>
          <w:rFonts w:hint="eastAsia"/>
        </w:rPr>
        <w:t>设备、设施、工器具和安全防护用品用具存在重大隐患，可能导致事故发生；</w:t>
      </w:r>
    </w:p>
    <w:p>
      <w:pPr>
        <w:pStyle w:val="8"/>
        <w:numPr>
          <w:ilvl w:val="0"/>
          <w:numId w:val="8"/>
        </w:numPr>
        <w:snapToGrid w:val="0"/>
        <w:spacing w:line="360" w:lineRule="auto"/>
        <w:ind w:left="0" w:leftChars="0" w:right="290" w:firstLine="567"/>
        <w:rPr>
          <w:rFonts w:hint="eastAsia"/>
        </w:rPr>
      </w:pPr>
      <w:r>
        <w:rPr>
          <w:rFonts w:hint="eastAsia"/>
        </w:rPr>
        <w:t>乙方有严重</w:t>
      </w:r>
      <w:r>
        <w:rPr>
          <w:rFonts w:hint="eastAsia"/>
          <w:lang w:val="en-US" w:eastAsia="zh-CN"/>
        </w:rPr>
        <w:t>涉及</w:t>
      </w:r>
      <w:r>
        <w:rPr>
          <w:rFonts w:hint="eastAsia"/>
        </w:rPr>
        <w:t>安健环违法、违规、违章、冒险作业可能导致事故发生的</w:t>
      </w:r>
      <w:r>
        <w:rPr>
          <w:rFonts w:hint="eastAsia"/>
          <w:lang w:val="en-US" w:eastAsia="zh-CN"/>
        </w:rPr>
        <w:t>行为</w:t>
      </w:r>
      <w:r>
        <w:rPr>
          <w:rFonts w:hint="eastAsia"/>
        </w:rPr>
        <w:t>；</w:t>
      </w:r>
    </w:p>
    <w:p>
      <w:pPr>
        <w:pStyle w:val="8"/>
        <w:numPr>
          <w:ilvl w:val="0"/>
          <w:numId w:val="8"/>
        </w:numPr>
        <w:snapToGrid w:val="0"/>
        <w:spacing w:line="360" w:lineRule="auto"/>
        <w:ind w:left="0" w:leftChars="0" w:right="290" w:firstLine="567"/>
      </w:pPr>
      <w:r>
        <w:rPr>
          <w:rFonts w:hint="eastAsia"/>
        </w:rPr>
        <w:t>作业现场脏、乱、差，严重影响安全文明环境的；</w:t>
      </w:r>
    </w:p>
    <w:p>
      <w:pPr>
        <w:pStyle w:val="8"/>
        <w:numPr>
          <w:ilvl w:val="0"/>
          <w:numId w:val="8"/>
        </w:numPr>
        <w:snapToGrid w:val="0"/>
        <w:spacing w:line="360" w:lineRule="auto"/>
        <w:ind w:left="0" w:leftChars="0" w:right="290" w:firstLine="567"/>
      </w:pPr>
      <w:r>
        <w:rPr>
          <w:rFonts w:hint="eastAsia"/>
        </w:rPr>
        <w:t>乙方疏于管理可能导致职业危害事故发生的；</w:t>
      </w:r>
    </w:p>
    <w:p>
      <w:pPr>
        <w:pStyle w:val="8"/>
        <w:numPr>
          <w:ilvl w:val="0"/>
          <w:numId w:val="8"/>
        </w:numPr>
        <w:snapToGrid w:val="0"/>
        <w:spacing w:line="360" w:lineRule="auto"/>
        <w:ind w:left="0" w:leftChars="0" w:right="290" w:firstLine="567"/>
        <w:rPr>
          <w:rFonts w:hint="eastAsia"/>
        </w:rPr>
      </w:pPr>
      <w:r>
        <w:rPr>
          <w:rFonts w:hint="eastAsia"/>
        </w:rPr>
        <w:t>污水、粉尘、有毒气体、噪声和辐射等违规排放，可能导致环保和污染事故；</w:t>
      </w:r>
    </w:p>
    <w:p>
      <w:pPr>
        <w:pStyle w:val="8"/>
        <w:numPr>
          <w:ilvl w:val="0"/>
          <w:numId w:val="8"/>
        </w:numPr>
        <w:snapToGrid w:val="0"/>
        <w:spacing w:line="360" w:lineRule="auto"/>
        <w:ind w:left="0" w:leftChars="0" w:right="290" w:firstLine="567"/>
        <w:rPr>
          <w:rFonts w:hint="eastAsia"/>
        </w:rPr>
      </w:pPr>
      <w:r>
        <w:rPr>
          <w:rFonts w:hint="eastAsia"/>
        </w:rPr>
        <w:t>化学品储存、搬运和使用存在严重隐患，可能导致泄漏、伤害和污染事件的。</w:t>
      </w:r>
    </w:p>
    <w:p>
      <w:pPr>
        <w:pStyle w:val="8"/>
        <w:numPr>
          <w:ilvl w:val="0"/>
          <w:numId w:val="8"/>
        </w:numPr>
        <w:tabs>
          <w:tab w:val="left" w:pos="993"/>
        </w:tabs>
        <w:snapToGrid w:val="0"/>
        <w:spacing w:line="360" w:lineRule="auto"/>
        <w:ind w:left="0" w:leftChars="0" w:right="290" w:firstLine="567"/>
        <w:rPr>
          <w:rFonts w:hint="eastAsia"/>
        </w:rPr>
      </w:pPr>
      <w:r>
        <w:rPr>
          <w:rFonts w:hint="eastAsia"/>
        </w:rPr>
        <w:t>其他因乙方未有效履行有关安健环管理职责和落实有关安健环措施，危及生命财产安全、危及</w:t>
      </w:r>
      <w:r>
        <w:rPr>
          <w:rFonts w:hint="eastAsia"/>
          <w:lang w:val="en-US" w:eastAsia="zh-CN"/>
        </w:rPr>
        <w:t>甲</w:t>
      </w:r>
      <w:r>
        <w:rPr>
          <w:rFonts w:hint="eastAsia"/>
        </w:rPr>
        <w:t>方安全生产或可能造成环境污染事故事件。</w:t>
      </w:r>
    </w:p>
    <w:p>
      <w:pPr>
        <w:pStyle w:val="8"/>
        <w:numPr>
          <w:ilvl w:val="0"/>
          <w:numId w:val="7"/>
        </w:numPr>
        <w:snapToGrid w:val="0"/>
        <w:spacing w:line="360" w:lineRule="auto"/>
        <w:ind w:left="0" w:leftChars="0" w:right="290" w:firstLine="567"/>
        <w:rPr>
          <w:rFonts w:hint="eastAsia"/>
        </w:rPr>
      </w:pPr>
      <w:r>
        <w:rPr>
          <w:rFonts w:hint="eastAsia"/>
          <w:lang w:val="en-US" w:eastAsia="zh-CN"/>
        </w:rPr>
        <w:t>监督</w:t>
      </w:r>
      <w:r>
        <w:rPr>
          <w:rFonts w:hint="eastAsia"/>
        </w:rPr>
        <w:t>乙方</w:t>
      </w:r>
      <w:r>
        <w:rPr>
          <w:rFonts w:hint="eastAsia"/>
          <w:lang w:val="en-US" w:eastAsia="zh-CN"/>
        </w:rPr>
        <w:t>制定施工方案，检查乙方工作票“三种人”资质及特种作业人员资质，</w:t>
      </w:r>
      <w:r>
        <w:t>办理</w:t>
      </w:r>
      <w:r>
        <w:rPr>
          <w:rFonts w:hint="eastAsia"/>
        </w:rPr>
        <w:t>工作票许可。</w:t>
      </w:r>
    </w:p>
    <w:p>
      <w:pPr>
        <w:pStyle w:val="8"/>
        <w:numPr>
          <w:ilvl w:val="0"/>
          <w:numId w:val="0"/>
        </w:numPr>
        <w:snapToGrid w:val="0"/>
        <w:spacing w:line="360" w:lineRule="auto"/>
        <w:ind w:right="254" w:rightChars="121" w:firstLine="480" w:firstLineChars="200"/>
        <w:rPr>
          <w:rFonts w:hint="eastAsia"/>
        </w:rPr>
      </w:pPr>
      <w:r>
        <w:rPr>
          <w:rFonts w:hint="eastAsia"/>
          <w:lang w:val="en-US" w:eastAsia="zh-CN"/>
        </w:rPr>
        <w:t>10.甲方对乙方统一、协调管理</w:t>
      </w:r>
      <w:r>
        <w:rPr>
          <w:rFonts w:hint="eastAsia"/>
        </w:rPr>
        <w:t>，</w:t>
      </w:r>
      <w:r>
        <w:rPr>
          <w:rFonts w:hint="eastAsia"/>
          <w:lang w:val="en-US" w:eastAsia="zh-CN"/>
        </w:rPr>
        <w:t>并</w:t>
      </w:r>
      <w:r>
        <w:rPr>
          <w:rFonts w:hint="eastAsia"/>
        </w:rPr>
        <w:t>解决项目实施过程中的安健环问题，检查、布置安健环工作。</w:t>
      </w:r>
    </w:p>
    <w:p>
      <w:pPr>
        <w:pStyle w:val="8"/>
        <w:numPr>
          <w:ilvl w:val="0"/>
          <w:numId w:val="0"/>
        </w:numPr>
        <w:snapToGrid w:val="0"/>
        <w:spacing w:line="360" w:lineRule="auto"/>
        <w:ind w:right="254" w:rightChars="121" w:firstLine="480" w:firstLineChars="200"/>
        <w:rPr>
          <w:rFonts w:hint="eastAsia"/>
        </w:rPr>
      </w:pPr>
      <w:r>
        <w:rPr>
          <w:rFonts w:hint="eastAsia"/>
          <w:lang w:val="en-US" w:eastAsia="zh-CN"/>
        </w:rPr>
        <w:t>11.</w:t>
      </w:r>
      <w:r>
        <w:rPr>
          <w:rFonts w:hint="eastAsia"/>
        </w:rPr>
        <w:t>组织或协助上级有关单位进行事故调查处理。</w:t>
      </w:r>
      <w:r>
        <w:rPr>
          <w:rFonts w:hint="eastAsia"/>
          <w:lang w:val="en-US" w:eastAsia="zh-CN"/>
        </w:rPr>
        <w:t>由于</w:t>
      </w:r>
      <w:r>
        <w:rPr>
          <w:rFonts w:hint="eastAsia"/>
        </w:rPr>
        <w:t>乙方</w:t>
      </w:r>
      <w:r>
        <w:rPr>
          <w:rFonts w:hint="eastAsia"/>
          <w:lang w:val="en-US" w:eastAsia="zh-CN"/>
        </w:rPr>
        <w:t>原因导致的生产安全</w:t>
      </w:r>
      <w:r>
        <w:rPr>
          <w:rFonts w:hint="eastAsia"/>
        </w:rPr>
        <w:t>事故</w:t>
      </w:r>
      <w:r>
        <w:rPr>
          <w:rFonts w:hint="eastAsia"/>
          <w:lang w:eastAsia="zh-CN"/>
        </w:rPr>
        <w:t>，</w:t>
      </w:r>
      <w:r>
        <w:rPr>
          <w:rFonts w:hint="eastAsia"/>
        </w:rPr>
        <w:t>乙方</w:t>
      </w:r>
      <w:r>
        <w:rPr>
          <w:rFonts w:hint="eastAsia"/>
          <w:lang w:val="en-US" w:eastAsia="zh-CN"/>
        </w:rPr>
        <w:t>应配合</w:t>
      </w:r>
      <w:r>
        <w:rPr>
          <w:rFonts w:hint="eastAsia"/>
        </w:rPr>
        <w:t>调查处理。</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乙方安健环职责</w:t>
      </w:r>
    </w:p>
    <w:p>
      <w:pPr>
        <w:pStyle w:val="8"/>
        <w:numPr>
          <w:ilvl w:val="0"/>
          <w:numId w:val="9"/>
        </w:numPr>
        <w:snapToGrid w:val="0"/>
        <w:spacing w:line="360" w:lineRule="auto"/>
        <w:ind w:left="0" w:leftChars="0" w:right="290" w:firstLine="567"/>
      </w:pPr>
      <w:r>
        <w:rPr>
          <w:rFonts w:hint="eastAsia"/>
        </w:rPr>
        <w:t>乙方对所承包项目的安健环管理全面负责，并承担所承包项目安健环主体责任。</w:t>
      </w:r>
    </w:p>
    <w:p>
      <w:pPr>
        <w:pStyle w:val="8"/>
        <w:numPr>
          <w:ilvl w:val="0"/>
          <w:numId w:val="9"/>
        </w:numPr>
        <w:snapToGrid w:val="0"/>
        <w:spacing w:line="360" w:lineRule="auto"/>
        <w:ind w:left="0" w:leftChars="0" w:right="290" w:firstLine="567"/>
        <w:rPr>
          <w:rFonts w:hint="eastAsia"/>
        </w:rPr>
      </w:pPr>
      <w:r>
        <w:rPr>
          <w:rFonts w:hint="eastAsia"/>
        </w:rPr>
        <w:t>乙方负责</w:t>
      </w:r>
      <w:r>
        <w:rPr>
          <w:rFonts w:hint="eastAsia"/>
          <w:lang w:val="en-GB"/>
        </w:rPr>
        <w:t>宣贯传达并</w:t>
      </w:r>
      <w:r>
        <w:rPr>
          <w:rFonts w:hint="eastAsia"/>
        </w:rPr>
        <w:t>严格遵守国家、行业有关安健环法律、法规、方针、政策、标准、规定和规范性文件、</w:t>
      </w:r>
      <w:r>
        <w:rPr>
          <w:rFonts w:hint="eastAsia"/>
          <w:lang w:val="en-GB"/>
        </w:rPr>
        <w:t>操作规程等</w:t>
      </w:r>
      <w:r>
        <w:rPr>
          <w:rFonts w:hint="eastAsia"/>
        </w:rPr>
        <w:t>要求，</w:t>
      </w:r>
      <w:r>
        <w:rPr>
          <w:rFonts w:hint="eastAsia"/>
          <w:lang w:val="en-GB"/>
        </w:rPr>
        <w:t>自行宣贯落实并严格</w:t>
      </w:r>
      <w:r>
        <w:rPr>
          <w:rFonts w:hint="eastAsia"/>
        </w:rPr>
        <w:t>履行法律法规、承包合同、本协议及甲方有关安健环管理制度规定的安健环职责，严格执行甲方安健环管理和安全文明生产等现场规定和规章制度，</w:t>
      </w:r>
      <w:r>
        <w:rPr>
          <w:rFonts w:hint="eastAsia" w:ascii="宋体" w:hAnsi="宋体"/>
        </w:rPr>
        <w:t>主动依约依规</w:t>
      </w:r>
      <w:r>
        <w:rPr>
          <w:rFonts w:hint="eastAsia"/>
        </w:rPr>
        <w:t>接受甲方的管理、监督、检查和指导。</w:t>
      </w:r>
    </w:p>
    <w:p>
      <w:pPr>
        <w:pStyle w:val="8"/>
        <w:numPr>
          <w:ilvl w:val="0"/>
          <w:numId w:val="9"/>
        </w:numPr>
        <w:snapToGrid w:val="0"/>
        <w:spacing w:line="360" w:lineRule="auto"/>
        <w:ind w:left="0" w:leftChars="0" w:right="290" w:firstLine="567"/>
        <w:rPr>
          <w:rFonts w:hint="eastAsia" w:ascii="Times New Roman" w:hAnsi="Times New Roman" w:eastAsia="宋体" w:cs="Times New Roman"/>
        </w:rPr>
      </w:pPr>
      <w:r>
        <w:rPr>
          <w:rFonts w:hint="eastAsia" w:ascii="Times New Roman" w:hAnsi="Times New Roman" w:eastAsia="宋体" w:cs="Times New Roman"/>
          <w:lang w:val="en-US" w:eastAsia="zh-CN"/>
        </w:rPr>
        <w:t>乙方应严格执行甲方安全管理网格化要求，接受甲方安全管理网格化培训，全员认真履行日常网格化管理职责，加强日常巡检和隐患排查，及时发现和消除现场安全隐患，接受甲方安全管理网格化监督和考核。</w:t>
      </w:r>
    </w:p>
    <w:p>
      <w:pPr>
        <w:pStyle w:val="8"/>
        <w:numPr>
          <w:ilvl w:val="0"/>
          <w:numId w:val="9"/>
        </w:numPr>
        <w:snapToGrid w:val="0"/>
        <w:spacing w:line="360" w:lineRule="auto"/>
        <w:ind w:left="0" w:leftChars="0" w:right="290" w:firstLine="567"/>
        <w:rPr>
          <w:rFonts w:hint="eastAsia"/>
        </w:rPr>
      </w:pPr>
      <w:r>
        <w:rPr>
          <w:rFonts w:hint="eastAsia"/>
        </w:rPr>
        <w:t>乙方应具备满足所承担承包项目要求的安健环等级资质，持有合法有效的营业执照、资质证书等资质证明。有关资质证明应在开工前书面提交甲方现场审查、备案。</w:t>
      </w:r>
    </w:p>
    <w:p>
      <w:pPr>
        <w:pStyle w:val="8"/>
        <w:numPr>
          <w:ilvl w:val="0"/>
          <w:numId w:val="9"/>
        </w:numPr>
        <w:snapToGrid w:val="0"/>
        <w:spacing w:line="360" w:lineRule="auto"/>
        <w:ind w:left="0" w:leftChars="0" w:right="290" w:firstLine="567"/>
        <w:rPr>
          <w:rFonts w:hint="eastAsia" w:ascii="Times New Roman" w:hAnsi="Times New Roman" w:eastAsia="宋体" w:cs="Times New Roman"/>
        </w:rPr>
      </w:pPr>
      <w:r>
        <w:rPr>
          <w:rFonts w:hint="eastAsia"/>
        </w:rPr>
        <w:t>乙方应有完善的安健环组织机构和安健环管理体系，</w:t>
      </w:r>
      <w:r>
        <w:rPr>
          <w:rFonts w:hint="eastAsia" w:ascii="宋体" w:hAnsi="宋体" w:cs="Tahoma"/>
        </w:rPr>
        <w:t>以</w:t>
      </w:r>
      <w:r>
        <w:rPr>
          <w:rFonts w:hint="eastAsia"/>
        </w:rPr>
        <w:t>确保对本协议的有效贯彻执行。</w:t>
      </w:r>
      <w:r>
        <w:rPr>
          <w:rFonts w:hint="eastAsia" w:ascii="宋体" w:hAnsi="宋体" w:cs="Tahoma"/>
        </w:rPr>
        <w:t>乙方须</w:t>
      </w:r>
      <w:r>
        <w:rPr>
          <w:rFonts w:hint="eastAsia"/>
        </w:rPr>
        <w:t>自觉加强</w:t>
      </w:r>
      <w:r>
        <w:rPr>
          <w:rFonts w:hint="eastAsia"/>
          <w:lang w:val="en-GB"/>
        </w:rPr>
        <w:t>落实</w:t>
      </w:r>
      <w:r>
        <w:rPr>
          <w:rFonts w:hint="eastAsia"/>
        </w:rPr>
        <w:t>内部安健环管理、监督、检查</w:t>
      </w:r>
      <w:r>
        <w:t>、</w:t>
      </w:r>
      <w:r>
        <w:rPr>
          <w:rFonts w:hint="eastAsia"/>
        </w:rPr>
        <w:t>教育、整改和考核，确保安健环费用的有效投入，</w:t>
      </w:r>
      <w:r>
        <w:t>根据</w:t>
      </w:r>
      <w:r>
        <w:rPr>
          <w:rFonts w:hint="eastAsia"/>
        </w:rPr>
        <w:t>项目</w:t>
      </w:r>
      <w:r>
        <w:t>的特点组织制定</w:t>
      </w:r>
      <w:r>
        <w:rPr>
          <w:rFonts w:hint="eastAsia"/>
        </w:rPr>
        <w:t>安健环管理</w:t>
      </w:r>
      <w:r>
        <w:t>措</w:t>
      </w:r>
      <w:r>
        <w:rPr>
          <w:rFonts w:hint="eastAsia" w:ascii="Times New Roman" w:hAnsi="Times New Roman" w:eastAsia="宋体" w:cs="Times New Roman"/>
        </w:rPr>
        <w:t>施，消除事故隐患，及时、如实报告生产安全事故、事件。</w:t>
      </w:r>
    </w:p>
    <w:p>
      <w:pPr>
        <w:pStyle w:val="8"/>
        <w:numPr>
          <w:ilvl w:val="0"/>
          <w:numId w:val="9"/>
        </w:numPr>
        <w:snapToGrid w:val="0"/>
        <w:spacing w:line="360" w:lineRule="auto"/>
        <w:ind w:left="0" w:leftChars="0" w:right="290" w:firstLine="567"/>
        <w:rPr>
          <w:rFonts w:hint="eastAsia" w:ascii="Times New Roman" w:hAnsi="Times New Roman" w:eastAsia="宋体" w:cs="Times New Roman"/>
        </w:rPr>
      </w:pPr>
      <w:r>
        <w:rPr>
          <w:rFonts w:hint="eastAsia" w:ascii="Times New Roman" w:hAnsi="Times New Roman" w:eastAsia="宋体" w:cs="Times New Roman"/>
        </w:rPr>
        <w:t>乙方现场从业人员超过50人（含50人）的，必须设置安全生产监督管理机构。乙方应同时按现场管理需要配备专职安全管理人员，从业人员超过300人的不得少于3人；从业人员在50人以下30人以上（含30人）的必须配备专职安全监督管理人员，从业人员在30人以下的应配备专职或兼职安全监督管理人员。其他参建单位应按法规要求设立安全生产监督管理机构或配备安全管理人员。</w:t>
      </w:r>
    </w:p>
    <w:p>
      <w:pPr>
        <w:pStyle w:val="8"/>
        <w:numPr>
          <w:ilvl w:val="0"/>
          <w:numId w:val="9"/>
        </w:numPr>
        <w:snapToGrid w:val="0"/>
        <w:spacing w:line="360" w:lineRule="auto"/>
        <w:ind w:left="0" w:leftChars="0" w:right="290" w:firstLine="567"/>
      </w:pPr>
      <w:r>
        <w:rPr>
          <w:rFonts w:hint="eastAsia"/>
        </w:rPr>
        <w:t>乙方主要负责人、项目负责人、安全生产管理人员、特种作业人员、危化品从业人员及法律法规要求应持证的其他从业人员，均应当按照国家有关法律法规规定接受培训，持证上岗。开工前，有关人员资质证件应书面提交甲方现场审查、备案。新改扩建建设</w:t>
      </w:r>
      <w:r>
        <w:rPr>
          <w:rFonts w:hint="eastAsia"/>
          <w:lang w:val="en-US" w:eastAsia="zh-CN"/>
        </w:rPr>
        <w:t>项目</w:t>
      </w:r>
      <w:r>
        <w:rPr>
          <w:rFonts w:hint="eastAsia"/>
        </w:rPr>
        <w:t>乙方主要负责人还应最低持有：一级</w:t>
      </w:r>
      <w:r>
        <w:t>建造师</w:t>
      </w:r>
      <w:r>
        <w:rPr>
          <w:rFonts w:hint="eastAsia"/>
        </w:rPr>
        <w:t>证和安全员B证；安全负责人最低应持有注册安全工程师证和建设主管部门颁发的安全</w:t>
      </w:r>
      <w:r>
        <w:t>C</w:t>
      </w:r>
      <w:r>
        <w:rPr>
          <w:rFonts w:hint="eastAsia"/>
        </w:rPr>
        <w:t>证；</w:t>
      </w:r>
      <w:r>
        <w:t>安全</w:t>
      </w:r>
      <w:r>
        <w:rPr>
          <w:rFonts w:hint="eastAsia"/>
        </w:rPr>
        <w:t>管理人员最低持有建设主管部门颁发的安全</w:t>
      </w:r>
      <w:r>
        <w:t>C</w:t>
      </w:r>
      <w:r>
        <w:rPr>
          <w:rFonts w:hint="eastAsia"/>
        </w:rPr>
        <w:t>证。</w:t>
      </w:r>
    </w:p>
    <w:p>
      <w:pPr>
        <w:pStyle w:val="8"/>
        <w:numPr>
          <w:ilvl w:val="0"/>
          <w:numId w:val="9"/>
        </w:numPr>
        <w:snapToGrid w:val="0"/>
        <w:spacing w:line="360" w:lineRule="auto"/>
        <w:ind w:left="0" w:leftChars="0" w:right="290" w:firstLine="567"/>
        <w:rPr>
          <w:rFonts w:hint="eastAsia"/>
        </w:rPr>
      </w:pPr>
      <w:r>
        <w:rPr>
          <w:rFonts w:hint="eastAsia"/>
        </w:rPr>
        <w:t>乙方现场到岗项目经理、</w:t>
      </w:r>
      <w:r>
        <w:t>技术</w:t>
      </w:r>
      <w:r>
        <w:rPr>
          <w:rFonts w:hint="eastAsia"/>
        </w:rPr>
        <w:t>负责人、安全负责人等主要岗位人员必须与投标文件一致，工作能力和履责表现应符合现场安全生产要求，</w:t>
      </w:r>
      <w:r>
        <w:t>不得</w:t>
      </w:r>
      <w:r>
        <w:rPr>
          <w:rFonts w:hint="eastAsia"/>
        </w:rPr>
        <w:t>擅自更换、不得设置其他岗位代替其履行职责。主要岗位人员必须全职常驻现场履责，严禁无故离岗、严禁他人代签署文件资料。</w:t>
      </w:r>
    </w:p>
    <w:p>
      <w:pPr>
        <w:pStyle w:val="8"/>
        <w:numPr>
          <w:ilvl w:val="0"/>
          <w:numId w:val="9"/>
        </w:numPr>
        <w:snapToGrid w:val="0"/>
        <w:spacing w:line="360" w:lineRule="auto"/>
        <w:ind w:left="0" w:leftChars="0" w:right="290" w:firstLine="567"/>
        <w:rPr>
          <w:rFonts w:hint="eastAsia"/>
        </w:rPr>
      </w:pPr>
      <w:r>
        <w:rPr>
          <w:rFonts w:hint="eastAsia"/>
        </w:rPr>
        <w:t>乙方应依法合规用工，加强协调管理，杜绝因劳资纠纷引起的社会安全事件。</w:t>
      </w:r>
    </w:p>
    <w:p>
      <w:pPr>
        <w:pStyle w:val="8"/>
        <w:numPr>
          <w:ilvl w:val="0"/>
          <w:numId w:val="9"/>
        </w:numPr>
        <w:snapToGrid w:val="0"/>
        <w:spacing w:line="360" w:lineRule="auto"/>
        <w:ind w:left="0" w:leftChars="0" w:right="290" w:firstLine="567"/>
        <w:rPr>
          <w:rFonts w:hint="eastAsia"/>
        </w:rPr>
      </w:pPr>
      <w:r>
        <w:rPr>
          <w:rFonts w:hint="eastAsia"/>
        </w:rPr>
        <w:t>乙方所有工作人员的身体状况符合</w:t>
      </w:r>
      <w:r>
        <w:rPr>
          <w:rFonts w:hint="eastAsia"/>
          <w:lang w:val="en-US" w:eastAsia="zh-CN"/>
        </w:rPr>
        <w:t>项目</w:t>
      </w:r>
      <w:r>
        <w:rPr>
          <w:rFonts w:hint="eastAsia"/>
        </w:rPr>
        <w:t>要求，严禁使用未成年工、有犯罪前科人员和不适应现场安全施工要求的老、弱、病、残和职业禁忌症人员以及其他违反法律法规中规定的用工条款等情况。</w:t>
      </w:r>
    </w:p>
    <w:p>
      <w:pPr>
        <w:pStyle w:val="8"/>
        <w:numPr>
          <w:ilvl w:val="0"/>
          <w:numId w:val="9"/>
        </w:numPr>
        <w:snapToGrid w:val="0"/>
        <w:spacing w:line="360" w:lineRule="auto"/>
        <w:ind w:left="0" w:leftChars="0" w:right="290" w:firstLine="567"/>
        <w:rPr>
          <w:rFonts w:hint="eastAsia"/>
        </w:rPr>
      </w:pPr>
      <w:r>
        <w:rPr>
          <w:rFonts w:hint="eastAsia"/>
        </w:rPr>
        <w:t>乙方应对所有进入甲方现场的人员（含增补或调换人员、更换工种等）进行入场（厂）安健环教育培训，并经考试合格后方可上岗，培训考核结果提交甲方现场备案。</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乙方人员进入生产现场必须办理入场（厂）手续，作业前应按甲方有关规定办理开工许可、工作票、工作许可或授权。未经许可或授权不得擅自进入非授权场所，不得擅自开工。</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乙方必须为进入现场的所有人员配备足够齐全合格的个人安健</w:t>
      </w:r>
      <w:r>
        <w:t>环</w:t>
      </w:r>
      <w:r>
        <w:rPr>
          <w:rFonts w:hint="eastAsia"/>
        </w:rPr>
        <w:t>防护用品，并自行督促正确佩戴使用，自行加强日常培训和落实管理工作，</w:t>
      </w:r>
      <w:r>
        <w:rPr>
          <w:rFonts w:hint="eastAsia" w:ascii="宋体" w:hAnsi="宋体" w:cs="Tahoma"/>
        </w:rPr>
        <w:t>杜绝</w:t>
      </w:r>
      <w:r>
        <w:rPr>
          <w:rFonts w:hint="eastAsia"/>
        </w:rPr>
        <w:t>安健</w:t>
      </w:r>
      <w:r>
        <w:rPr>
          <w:rFonts w:ascii="宋体" w:hAnsi="宋体" w:cs="宋体"/>
        </w:rPr>
        <w:t>环</w:t>
      </w:r>
      <w:r>
        <w:rPr>
          <w:rFonts w:hint="eastAsia"/>
        </w:rPr>
        <w:t>等责任事故或事件的发生。</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乙方必须评估并制定现场职业病危害因素防控措施，杜绝职业病危害事故发生。</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w:t>
      </w:r>
      <w:r>
        <w:rPr>
          <w:rFonts w:hint="eastAsia" w:ascii="宋体" w:hAnsi="宋体" w:cs="Tahoma"/>
        </w:rPr>
        <w:t>按照法律法规和</w:t>
      </w:r>
      <w:r>
        <w:rPr>
          <w:rFonts w:hint="eastAsia" w:ascii="宋体" w:hAnsi="宋体"/>
        </w:rPr>
        <w:t>有关规定，</w:t>
      </w:r>
      <w:r>
        <w:rPr>
          <w:rFonts w:hint="eastAsia"/>
        </w:rPr>
        <w:t>必须为其进入现场的全部作业人员办理覆盖整个</w:t>
      </w:r>
      <w:r>
        <w:rPr>
          <w:rFonts w:hint="eastAsia"/>
          <w:lang w:val="en-US" w:eastAsia="zh-CN"/>
        </w:rPr>
        <w:t>项目</w:t>
      </w:r>
      <w:r>
        <w:rPr>
          <w:rFonts w:hint="eastAsia"/>
        </w:rPr>
        <w:t>期间的必要医疗、工伤、意外伤害等保险，并在甲方现场备案。工伤保险不得替代意外伤害保险。</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应使用合格的机械（含车辆）、工器具及安全防护设施、安全用具，各类特种设备、工、用、机具必须经过质监部门或有关技术部门定期检验合格。开工前乙方必须完成自查，并向甲方现场提交清单及自查结果。不合格的，不得进入作业现场。</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乙方进出甲方安保区域的车辆，必须按甲方现场规定办理通行证件，并接受甲方现场保安人员的检查。</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乙方开工前须针对复杂、危险、专业性较强、风险较大的作业或危险区域作业制定专门的安健环技术</w:t>
      </w:r>
      <w:r>
        <w:t>措施或</w:t>
      </w:r>
      <w:r>
        <w:rPr>
          <w:rFonts w:hint="eastAsia"/>
        </w:rPr>
        <w:t>专项施工方案，由甲方审查合格并监督实施。甲方的有关参与行为，将不分摊或减免乙方的安健环责任。对</w:t>
      </w:r>
      <w:r>
        <w:t>达到一定规模</w:t>
      </w:r>
      <w:r>
        <w:rPr>
          <w:rFonts w:hint="eastAsia"/>
        </w:rPr>
        <w:t>及</w:t>
      </w:r>
      <w:r>
        <w:t>以上危险性较大</w:t>
      </w:r>
      <w:r>
        <w:rPr>
          <w:rFonts w:hint="eastAsia"/>
        </w:rPr>
        <w:t>的</w:t>
      </w:r>
      <w:r>
        <w:t>工程，</w:t>
      </w:r>
      <w:r>
        <w:rPr>
          <w:rFonts w:hint="eastAsia"/>
        </w:rPr>
        <w:t>国家、行业规定必须进行专家论证的，应从其规定。</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乙方负责组织项目或分项作业开工前的安全技术交底，并将交底内容和交底人、被交底人签字的记录，一份存档，另一份送达甲方现场安全负责人备案。</w:t>
      </w:r>
    </w:p>
    <w:p>
      <w:pPr>
        <w:pStyle w:val="8"/>
        <w:numPr>
          <w:ilvl w:val="0"/>
          <w:numId w:val="9"/>
        </w:numPr>
        <w:tabs>
          <w:tab w:val="left" w:pos="993"/>
        </w:tabs>
        <w:snapToGrid w:val="0"/>
        <w:spacing w:line="360" w:lineRule="auto"/>
        <w:ind w:left="0" w:leftChars="0" w:right="290" w:firstLine="567"/>
      </w:pPr>
      <w:r>
        <w:rPr>
          <w:rFonts w:hint="eastAsia"/>
        </w:rPr>
        <w:t>乙方应</w:t>
      </w:r>
      <w:r>
        <w:t>落实</w:t>
      </w:r>
      <w:r>
        <w:rPr>
          <w:rFonts w:hint="eastAsia"/>
        </w:rPr>
        <w:t>文明生产各项要求，安全</w:t>
      </w:r>
      <w:r>
        <w:t>设施及安全警示标志齐全，</w:t>
      </w:r>
      <w:r>
        <w:rPr>
          <w:rFonts w:hint="eastAsia"/>
        </w:rPr>
        <w:t>作业区域装设临时围栏（必要时</w:t>
      </w:r>
      <w:r>
        <w:t>实施封闭作业</w:t>
      </w:r>
      <w:r>
        <w:rPr>
          <w:rFonts w:hint="eastAsia"/>
        </w:rPr>
        <w:t>），夜间设置警告灯。不得超越指定的作业区域作业。未经甲方事前同意，不得擅自动用甲方设备设施，不得擅自拆除、变更甲方防护设施及安全标志。</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乙方在项目实施过程中不得超范围工作，</w:t>
      </w:r>
      <w:r>
        <w:t>不得</w:t>
      </w:r>
      <w:r>
        <w:rPr>
          <w:rFonts w:hint="eastAsia"/>
        </w:rPr>
        <w:t>随意碰触无关设备或改变状态，</w:t>
      </w:r>
      <w:r>
        <w:t>对施工可能造成损害的毗邻建构筑物、设施设备、</w:t>
      </w:r>
      <w:r>
        <w:rPr>
          <w:rFonts w:hint="eastAsia"/>
        </w:rPr>
        <w:t>地下</w:t>
      </w:r>
      <w:r>
        <w:t>管线等应采取专项保护措施</w:t>
      </w:r>
      <w:r>
        <w:rPr>
          <w:rFonts w:hint="eastAsia"/>
        </w:rPr>
        <w:t>。</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乙方需使用水、电、气源，必须提出申请并执行甲方相关规定，不得私拉乱接。乙方作业过程中必须严格执行国家、行业有关法律法规和规范性文件要求以及甲方的规章制度，安全用水、用电、用气。</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乙方施工过程中必须对现场进行定置管理，做到“三不落地”（材料、工具、水和油不落地），保持地面整洁及自觉保护环境（如草地、树木、绿化带等），如有损坏要负责恢复、赔偿。</w:t>
      </w:r>
    </w:p>
    <w:p>
      <w:pPr>
        <w:pStyle w:val="8"/>
        <w:numPr>
          <w:ilvl w:val="0"/>
          <w:numId w:val="9"/>
        </w:numPr>
        <w:tabs>
          <w:tab w:val="left" w:pos="993"/>
        </w:tabs>
        <w:snapToGrid w:val="0"/>
        <w:spacing w:line="360" w:lineRule="auto"/>
        <w:ind w:left="0" w:leftChars="0" w:right="290" w:firstLine="567"/>
        <w:rPr>
          <w:rFonts w:hint="eastAsia"/>
        </w:rPr>
      </w:pPr>
      <w:r>
        <w:rPr>
          <w:rFonts w:hint="eastAsia"/>
        </w:rPr>
        <w:t xml:space="preserve">乙方负责对施工过程中物料和废料进行分类管理，采取措施防止扬尘、泄漏、污染事件，作业后，必须做到工完、料净、场地清。 </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乙方负责采取措施，防治工程项目实施过程中产生的废气、废水、废渣、粉尘、恶臭气体、放射性物质以及噪声、振动、光辐射、电磁辐射等对环境的污染和危害。污染物处置、排放必须依法合规且达标。</w:t>
      </w:r>
      <w:r>
        <w:t>采取措施避免施工中产生的灰尘、噪音、强光、废水等有害污染物影响到施工及周边区域的环境及人员健康。</w:t>
      </w:r>
    </w:p>
    <w:p>
      <w:pPr>
        <w:pStyle w:val="8"/>
        <w:numPr>
          <w:ilvl w:val="0"/>
          <w:numId w:val="9"/>
        </w:numPr>
        <w:tabs>
          <w:tab w:val="left" w:pos="993"/>
        </w:tabs>
        <w:snapToGrid w:val="0"/>
        <w:spacing w:line="360" w:lineRule="auto"/>
        <w:ind w:left="0" w:leftChars="0" w:right="290" w:firstLine="567"/>
        <w:rPr>
          <w:color w:val="auto"/>
          <w:u w:val="single"/>
        </w:rPr>
      </w:pPr>
      <w:r>
        <w:rPr>
          <w:rFonts w:hint="eastAsia" w:ascii="Times New Roman" w:hAnsi="Times New Roman" w:eastAsia="宋体" w:cs="Times New Roman"/>
          <w:color w:val="auto"/>
          <w:u w:val="single"/>
          <w:lang w:val="en-US" w:eastAsia="zh-CN"/>
        </w:rPr>
        <w:t>乙方应加强所承包项目安健环管理，作业过程严格遵守《防止电力生产事故的二十五项重点要求》、《电业安全工作规程》、《工贸企业有限空间作业安全规定》（13号令）、《建筑施工高</w:t>
      </w:r>
      <w:r>
        <w:rPr>
          <w:rFonts w:hint="eastAsia"/>
          <w:color w:val="auto"/>
          <w:u w:val="single"/>
          <w:lang w:val="en-US" w:eastAsia="zh-CN"/>
        </w:rPr>
        <w:t>处作业施工规范》、《施工现场临时用电安全技术规范》、《建筑深基坑工程施工安全技术规范》、《建筑施工扣件式钢管脚手架安全技术规范》等规范、标准规定，符合甲方《深能环保两票安全管理要求》、《深能环保生产企业安全管理指引》、《深能环保检修安全管理指引》等标准、指引要求，杜绝以下习惯性违章行为（包括但不限于以下内容）主要有：</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进入施工现场未戴安全帽，或安全帽没有正确佩戴，安全帽带未系紧</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着装不规范（如：未戴出入证，工作服未扣好钮扣，穿背心、短裤、裙子、拖鞋、高跟鞋进入施工现场，踩鞋后跟等）</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特种工种无证作业</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超负荷或超期限使用电气、机械设备</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酒后进入施工现场，在现场睡觉</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未按规定布置或擅自拆除、损坏、移动安全设施、标志、警告牌</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检修、清理运行中设备</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各类施工机械、电气安全保护装置不齐</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机械设备的电气、转动部件外露部分无防护装置</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使用不合格的设备、机械、工器具、劳动保护用品</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夜间或光线不足地点未有充足照明或警示红灯</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起吊、存放零散物件未做好防坠措施</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对地下设施、管线不采取保护、标识措施</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交叉、起重、带电作业未有隔离措施、警戒区域，并未设专人监护</w:t>
      </w:r>
    </w:p>
    <w:p>
      <w:pPr>
        <w:pStyle w:val="8"/>
        <w:numPr>
          <w:ilvl w:val="0"/>
          <w:numId w:val="10"/>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密闭容器内、潮湿地点电源未使用安全电压或设置漏电保护开关，密闭容器未有良好通风、未设专人监护</w:t>
      </w:r>
    </w:p>
    <w:p>
      <w:pPr>
        <w:pStyle w:val="8"/>
        <w:numPr>
          <w:ilvl w:val="0"/>
          <w:numId w:val="10"/>
        </w:numPr>
        <w:tabs>
          <w:tab w:val="left" w:pos="993"/>
          <w:tab w:val="clear" w:pos="0"/>
        </w:tabs>
        <w:snapToGrid w:val="0"/>
        <w:spacing w:line="360" w:lineRule="auto"/>
        <w:ind w:left="454" w:leftChars="0" w:right="254" w:rightChars="121" w:hanging="454" w:firstLineChars="0"/>
        <w:rPr>
          <w:color w:val="auto"/>
          <w:u w:val="single"/>
        </w:rPr>
      </w:pPr>
      <w:r>
        <w:rPr>
          <w:rFonts w:hint="eastAsia"/>
          <w:color w:val="auto"/>
          <w:u w:val="single"/>
        </w:rPr>
        <w:t>梯长不按规定驳长使用或放置不稳，多人同时站在梯子上作业</w:t>
      </w:r>
    </w:p>
    <w:p>
      <w:pPr>
        <w:pStyle w:val="8"/>
        <w:numPr>
          <w:ilvl w:val="0"/>
          <w:numId w:val="10"/>
        </w:numPr>
        <w:tabs>
          <w:tab w:val="left" w:pos="993"/>
          <w:tab w:val="clear" w:pos="0"/>
        </w:tabs>
        <w:snapToGrid w:val="0"/>
        <w:spacing w:line="360" w:lineRule="auto"/>
        <w:ind w:left="454" w:leftChars="0" w:right="254" w:rightChars="121" w:hanging="454" w:firstLineChars="0"/>
      </w:pPr>
      <w:r>
        <w:rPr>
          <w:rFonts w:hint="eastAsia"/>
          <w:color w:val="auto"/>
          <w:u w:val="single"/>
          <w:lang w:val="en-US" w:eastAsia="zh-CN"/>
        </w:rPr>
        <w:t>其他不符合高处作业、临时用电、动火作业、脚手架作业、动土作业、起重作业、有限空间作业、危化品管理等作业规范的行为。</w:t>
      </w:r>
    </w:p>
    <w:p>
      <w:pPr>
        <w:pStyle w:val="8"/>
        <w:numPr>
          <w:ilvl w:val="0"/>
          <w:numId w:val="9"/>
        </w:numPr>
        <w:tabs>
          <w:tab w:val="left" w:pos="993"/>
        </w:tabs>
        <w:snapToGrid w:val="0"/>
        <w:spacing w:line="360" w:lineRule="auto"/>
        <w:ind w:left="0" w:leftChars="0" w:right="290" w:firstLine="567"/>
        <w:rPr>
          <w:rFonts w:hint="eastAsia"/>
        </w:rPr>
      </w:pPr>
      <w:r>
        <w:rPr>
          <w:rFonts w:hint="eastAsia"/>
        </w:rPr>
        <w:t>乙方应根据工作范围、作业环境以及项目的特点，对施工现场容易引发安全生产事故的危险源、危险部位、危险环节进行监控，并制定施工现场安全应急预案, 建立应急救援组织、配备应急物资和器材，并定期组织应急培训和演练。</w:t>
      </w:r>
    </w:p>
    <w:p>
      <w:pPr>
        <w:pStyle w:val="8"/>
        <w:numPr>
          <w:ilvl w:val="0"/>
          <w:numId w:val="9"/>
        </w:numPr>
        <w:tabs>
          <w:tab w:val="left" w:pos="993"/>
        </w:tabs>
        <w:snapToGrid w:val="0"/>
        <w:spacing w:line="360" w:lineRule="auto"/>
        <w:ind w:left="0" w:leftChars="0" w:right="290" w:firstLine="567"/>
      </w:pPr>
      <w:r>
        <w:rPr>
          <w:rFonts w:hint="eastAsia"/>
        </w:rPr>
        <w:t>发生人身、设备、火灾、环境污染等事故或危及生产运行的不安全情况及其他不安全和环境污染事件时，乙方须首先救治伤员，及时向甲方报告，并积极落实应急措施防止事态扩大、减少事故损失。同时应保护好事故现场，视事故事件大小、类别按有关规定向政府有关部门报告。执行国家事故信息上报规定，并按国家的有关规定开展事故调查处理。</w:t>
      </w:r>
    </w:p>
    <w:p>
      <w:pPr>
        <w:pStyle w:val="8"/>
        <w:numPr>
          <w:ilvl w:val="0"/>
          <w:numId w:val="9"/>
        </w:numPr>
        <w:tabs>
          <w:tab w:val="left" w:pos="993"/>
        </w:tabs>
        <w:snapToGrid w:val="0"/>
        <w:spacing w:line="360" w:lineRule="auto"/>
        <w:ind w:left="0" w:leftChars="0" w:right="290" w:firstLine="567"/>
        <w:rPr>
          <w:rFonts w:hint="eastAsia"/>
        </w:rPr>
      </w:pPr>
      <w:r>
        <w:t>承包人应承担各类事件后的维稳运作和费用</w:t>
      </w:r>
      <w:r>
        <w:rPr>
          <w:rFonts w:hint="eastAsia"/>
        </w:rPr>
        <w:t>。</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违约责任与违约金扣缴或处罚</w:t>
      </w:r>
    </w:p>
    <w:p>
      <w:pPr>
        <w:pStyle w:val="8"/>
        <w:numPr>
          <w:ilvl w:val="0"/>
          <w:numId w:val="11"/>
        </w:numPr>
        <w:snapToGrid w:val="0"/>
        <w:spacing w:line="360" w:lineRule="auto"/>
        <w:ind w:left="0" w:leftChars="0" w:right="290" w:firstLine="567"/>
      </w:pPr>
      <w:r>
        <w:rPr>
          <w:rFonts w:hint="eastAsia"/>
        </w:rPr>
        <w:t>由于责任方原因造成安健环事故、</w:t>
      </w:r>
      <w:r>
        <w:t>事件</w:t>
      </w:r>
      <w:r>
        <w:rPr>
          <w:rFonts w:hint="eastAsia"/>
        </w:rPr>
        <w:t>发生，引发对方或第三方的人身伤害、设备损坏或财产损失，由责任方承担相应安健环责任、</w:t>
      </w:r>
      <w:r>
        <w:t>法律责任和全部经济损</w:t>
      </w:r>
      <w:r>
        <w:rPr>
          <w:rFonts w:hint="eastAsia"/>
        </w:rPr>
        <w:t>失（包括</w:t>
      </w:r>
      <w:r>
        <w:t>但不限于</w:t>
      </w:r>
      <w:r>
        <w:rPr>
          <w:rFonts w:hint="eastAsia"/>
        </w:rPr>
        <w:t>有关赔偿或补偿）。双方均有责任的，甲乙双方</w:t>
      </w:r>
      <w:r>
        <w:t>按</w:t>
      </w:r>
      <w:r>
        <w:rPr>
          <w:rFonts w:hint="eastAsia"/>
        </w:rPr>
        <w:t>认定的责任各自承担。</w:t>
      </w:r>
    </w:p>
    <w:p>
      <w:pPr>
        <w:pStyle w:val="8"/>
        <w:numPr>
          <w:ilvl w:val="0"/>
          <w:numId w:val="11"/>
        </w:numPr>
        <w:snapToGrid w:val="0"/>
        <w:spacing w:line="360" w:lineRule="auto"/>
        <w:ind w:left="0" w:leftChars="0" w:right="290" w:firstLine="567"/>
      </w:pPr>
      <w:r>
        <w:rPr>
          <w:rFonts w:hint="eastAsia"/>
        </w:rPr>
        <w:t>甲乙双方向对方提供的有关文件、资料应准确有效，符合安健环法规要求，否则接受方有权拒绝；对于因虚假或不实文件、资料引起的安健环责任和不良后果，由提供方独自承担全部责任并负责有关赔偿或补偿。</w:t>
      </w:r>
    </w:p>
    <w:p>
      <w:pPr>
        <w:pStyle w:val="8"/>
        <w:numPr>
          <w:ilvl w:val="0"/>
          <w:numId w:val="11"/>
        </w:numPr>
        <w:snapToGrid w:val="0"/>
        <w:spacing w:line="360" w:lineRule="auto"/>
        <w:ind w:left="0" w:leftChars="0" w:right="290" w:firstLine="567"/>
      </w:pPr>
      <w:r>
        <w:rPr>
          <w:rFonts w:hint="eastAsia"/>
        </w:rPr>
        <w:t>乙方因</w:t>
      </w:r>
      <w:r>
        <w:rPr>
          <w:rFonts w:hint="eastAsia"/>
          <w:lang w:val="en-US" w:eastAsia="zh-CN"/>
        </w:rPr>
        <w:t>项目</w:t>
      </w:r>
      <w:r>
        <w:rPr>
          <w:rFonts w:hint="eastAsia"/>
        </w:rPr>
        <w:t xml:space="preserve">需要使用甲方设备、设施、工器具和安全防护用品的，必须经甲方批准，并由乙方书面验收合格后方能使用。验收不合格，不得使用。未经甲方批准擅自使用或因乙方使用不当等情况造成设备设施损坏或引发事故的，由乙方独自承担全部责任并负责有关赔偿或补偿。 </w:t>
      </w:r>
    </w:p>
    <w:p>
      <w:pPr>
        <w:pStyle w:val="8"/>
        <w:numPr>
          <w:ilvl w:val="0"/>
          <w:numId w:val="11"/>
        </w:numPr>
        <w:snapToGrid w:val="0"/>
        <w:spacing w:line="360" w:lineRule="auto"/>
        <w:ind w:left="0" w:leftChars="0" w:right="290" w:firstLine="567"/>
        <w:rPr>
          <w:rFonts w:hint="eastAsia"/>
        </w:rPr>
      </w:pPr>
      <w:r>
        <w:rPr>
          <w:rFonts w:hint="eastAsia"/>
        </w:rPr>
        <w:t>乙方发生下列情况之一，由乙方独自负全部责任、承担全部经济损失赔偿、补偿和相关罚款、</w:t>
      </w:r>
      <w:r>
        <w:t>违约</w:t>
      </w:r>
      <w:r>
        <w:rPr>
          <w:rFonts w:hint="eastAsia"/>
        </w:rPr>
        <w:t>金，</w:t>
      </w:r>
      <w:r>
        <w:t>并</w:t>
      </w:r>
      <w:r>
        <w:rPr>
          <w:rFonts w:hint="eastAsia"/>
        </w:rPr>
        <w:t>由乙方完成（包括但不限于</w:t>
      </w:r>
      <w:r>
        <w:t>受理</w:t>
      </w:r>
      <w:r>
        <w:rPr>
          <w:rFonts w:hint="eastAsia"/>
        </w:rPr>
        <w:t>、</w:t>
      </w:r>
      <w:r>
        <w:t>调查核实</w:t>
      </w:r>
      <w:r>
        <w:rPr>
          <w:rFonts w:hint="eastAsia"/>
        </w:rPr>
        <w:t>、</w:t>
      </w:r>
      <w:r>
        <w:t>提</w:t>
      </w:r>
      <w:r>
        <w:rPr>
          <w:rFonts w:hint="eastAsia"/>
        </w:rPr>
        <w:t>交报告、配合认定、安抚谈判、承担责任、污染复原、支付赔偿等）等</w:t>
      </w:r>
      <w:r>
        <w:t>善后事宜</w:t>
      </w:r>
      <w:r>
        <w:rPr>
          <w:rFonts w:hint="eastAsia"/>
        </w:rPr>
        <w:t>。</w:t>
      </w:r>
      <w:r>
        <w:t>造成</w:t>
      </w:r>
      <w:r>
        <w:rPr>
          <w:rFonts w:hint="eastAsia"/>
        </w:rPr>
        <w:t>甲方</w:t>
      </w:r>
      <w:r>
        <w:t>或第三方损失的也由</w:t>
      </w:r>
      <w:r>
        <w:rPr>
          <w:rFonts w:hint="eastAsia"/>
        </w:rPr>
        <w:t>乙方</w:t>
      </w:r>
      <w:r>
        <w:t>全部承担</w:t>
      </w:r>
      <w:r>
        <w:rPr>
          <w:rFonts w:hint="eastAsia"/>
        </w:rPr>
        <w:t>：</w:t>
      </w:r>
    </w:p>
    <w:p>
      <w:pPr>
        <w:pStyle w:val="8"/>
        <w:numPr>
          <w:ilvl w:val="0"/>
          <w:numId w:val="12"/>
        </w:numPr>
        <w:snapToGrid w:val="0"/>
        <w:spacing w:line="360" w:lineRule="auto"/>
        <w:ind w:leftChars="0" w:right="290"/>
      </w:pPr>
      <w:r>
        <w:rPr>
          <w:rFonts w:hint="eastAsia"/>
        </w:rPr>
        <w:t>擅自更换投标文件列明的项目经理、技术负责人、安全负责人等关键岗位人员或关键岗位人员不到岗、履责不到位引起、导致、造成事故。</w:t>
      </w:r>
    </w:p>
    <w:p>
      <w:pPr>
        <w:pStyle w:val="8"/>
        <w:numPr>
          <w:ilvl w:val="0"/>
          <w:numId w:val="12"/>
        </w:numPr>
        <w:snapToGrid w:val="0"/>
        <w:spacing w:line="360" w:lineRule="auto"/>
        <w:ind w:left="0" w:leftChars="0" w:right="290" w:firstLine="567"/>
        <w:rPr>
          <w:rFonts w:hint="eastAsia"/>
        </w:rPr>
      </w:pPr>
      <w:r>
        <w:rPr>
          <w:rFonts w:hint="eastAsia"/>
        </w:rPr>
        <w:t>不按施工方案施工、不执行安全技术措施、安健环</w:t>
      </w:r>
      <w:r>
        <w:t>监管不到位、安健环投入不足、</w:t>
      </w:r>
      <w:r>
        <w:rPr>
          <w:rFonts w:hint="eastAsia"/>
        </w:rPr>
        <w:t>人员</w:t>
      </w:r>
      <w:r>
        <w:t>安健环教育不到位</w:t>
      </w:r>
      <w:r>
        <w:rPr>
          <w:rFonts w:hint="eastAsia"/>
        </w:rPr>
        <w:t>、</w:t>
      </w:r>
      <w:r>
        <w:t>隐患整改不及时</w:t>
      </w:r>
      <w:r>
        <w:rPr>
          <w:rFonts w:hint="eastAsia"/>
        </w:rPr>
        <w:t>或</w:t>
      </w:r>
      <w:r>
        <w:t>不彻底</w:t>
      </w:r>
      <w:r>
        <w:rPr>
          <w:rFonts w:hint="eastAsia"/>
        </w:rPr>
        <w:t>、</w:t>
      </w:r>
      <w:r>
        <w:t>施工</w:t>
      </w:r>
      <w:r>
        <w:rPr>
          <w:rFonts w:hint="eastAsia"/>
        </w:rPr>
        <w:t>用机具</w:t>
      </w:r>
      <w:r>
        <w:t>及安全防护用品不满足施工需求等情况</w:t>
      </w:r>
      <w:r>
        <w:rPr>
          <w:rFonts w:hint="eastAsia"/>
        </w:rPr>
        <w:t>所引起、导致、造成事故。</w:t>
      </w:r>
    </w:p>
    <w:p>
      <w:pPr>
        <w:pStyle w:val="8"/>
        <w:numPr>
          <w:ilvl w:val="0"/>
          <w:numId w:val="12"/>
        </w:numPr>
        <w:snapToGrid w:val="0"/>
        <w:spacing w:line="360" w:lineRule="auto"/>
        <w:ind w:left="0" w:leftChars="0" w:right="290" w:firstLine="567"/>
        <w:rPr>
          <w:rFonts w:hint="eastAsia"/>
        </w:rPr>
      </w:pPr>
      <w:r>
        <w:rPr>
          <w:rFonts w:hint="eastAsia"/>
        </w:rPr>
        <w:t>违法、违规、违章指挥、违章作业、违反劳动纪律、违反本协议、</w:t>
      </w:r>
      <w:r>
        <w:t>违反</w:t>
      </w:r>
      <w:r>
        <w:rPr>
          <w:rFonts w:hint="eastAsia"/>
        </w:rPr>
        <w:t>甲方安健环</w:t>
      </w:r>
      <w:r>
        <w:t>规定</w:t>
      </w:r>
      <w:r>
        <w:rPr>
          <w:rFonts w:hint="eastAsia"/>
        </w:rPr>
        <w:t>等所引起、导致、造成事故。</w:t>
      </w:r>
    </w:p>
    <w:p>
      <w:pPr>
        <w:pStyle w:val="8"/>
        <w:numPr>
          <w:ilvl w:val="0"/>
          <w:numId w:val="12"/>
        </w:numPr>
        <w:snapToGrid w:val="0"/>
        <w:spacing w:line="360" w:lineRule="auto"/>
        <w:ind w:left="0" w:leftChars="0" w:right="290" w:firstLine="567"/>
        <w:rPr>
          <w:rFonts w:hint="eastAsia"/>
        </w:rPr>
      </w:pPr>
      <w:r>
        <w:rPr>
          <w:rFonts w:hint="eastAsia"/>
        </w:rPr>
        <w:t>使用有隐患的或未经许可擅自拆除安全防护设施所引起、导致、造成事故。</w:t>
      </w:r>
    </w:p>
    <w:p>
      <w:pPr>
        <w:pStyle w:val="8"/>
        <w:numPr>
          <w:ilvl w:val="0"/>
          <w:numId w:val="12"/>
        </w:numPr>
        <w:snapToGrid w:val="0"/>
        <w:spacing w:line="360" w:lineRule="auto"/>
        <w:ind w:left="0" w:leftChars="0" w:right="290" w:firstLine="567"/>
        <w:rPr>
          <w:rFonts w:hint="eastAsia"/>
        </w:rPr>
      </w:pPr>
      <w:r>
        <w:rPr>
          <w:rFonts w:hint="eastAsia"/>
        </w:rPr>
        <w:t xml:space="preserve"> 擅自损坏、毁坏安全防护设施所引起、导致、造成事故。</w:t>
      </w:r>
    </w:p>
    <w:p>
      <w:pPr>
        <w:pStyle w:val="8"/>
        <w:numPr>
          <w:ilvl w:val="0"/>
          <w:numId w:val="12"/>
        </w:numPr>
        <w:snapToGrid w:val="0"/>
        <w:spacing w:line="360" w:lineRule="auto"/>
        <w:ind w:left="0" w:leftChars="0" w:right="290" w:firstLine="567"/>
      </w:pPr>
      <w:r>
        <w:rPr>
          <w:rFonts w:hint="eastAsia"/>
        </w:rPr>
        <w:t>由于乙方故意、过失、渎职、疏于管理等原因或责任所引起、导致、造成事故。</w:t>
      </w:r>
    </w:p>
    <w:p>
      <w:pPr>
        <w:pStyle w:val="8"/>
        <w:numPr>
          <w:ilvl w:val="0"/>
          <w:numId w:val="12"/>
        </w:numPr>
        <w:snapToGrid w:val="0"/>
        <w:spacing w:line="360" w:lineRule="auto"/>
        <w:ind w:left="0" w:leftChars="0" w:right="290" w:firstLine="567"/>
        <w:rPr>
          <w:rFonts w:hint="eastAsia"/>
        </w:rPr>
      </w:pPr>
      <w:r>
        <w:rPr>
          <w:rFonts w:hint="eastAsia"/>
        </w:rPr>
        <w:t>乙方与其派往现场等人员产生劳动争议和任何纠纷。</w:t>
      </w:r>
    </w:p>
    <w:p>
      <w:pPr>
        <w:pStyle w:val="8"/>
        <w:numPr>
          <w:ilvl w:val="0"/>
          <w:numId w:val="12"/>
        </w:numPr>
        <w:snapToGrid w:val="0"/>
        <w:spacing w:line="360" w:lineRule="auto"/>
        <w:ind w:left="0" w:leftChars="0" w:right="290" w:firstLine="567"/>
        <w:rPr>
          <w:rFonts w:hint="eastAsia"/>
        </w:rPr>
      </w:pPr>
      <w:r>
        <w:rPr>
          <w:rFonts w:hint="eastAsia"/>
        </w:rPr>
        <w:t>其他因乙方未有效履行有关安健环管理职责和落实有关安健环措施，造成生命财产损失、发生安全生产事故</w:t>
      </w:r>
      <w:r>
        <w:t>事件、</w:t>
      </w:r>
      <w:r>
        <w:rPr>
          <w:rFonts w:hint="eastAsia"/>
        </w:rPr>
        <w:t>发生</w:t>
      </w:r>
      <w:r>
        <w:t>职业危害事件</w:t>
      </w:r>
      <w:r>
        <w:rPr>
          <w:rFonts w:hint="eastAsia"/>
        </w:rPr>
        <w:t>或环境污染事故事件。</w:t>
      </w:r>
    </w:p>
    <w:p>
      <w:pPr>
        <w:pStyle w:val="8"/>
        <w:numPr>
          <w:ilvl w:val="0"/>
          <w:numId w:val="11"/>
        </w:numPr>
        <w:snapToGrid w:val="0"/>
        <w:spacing w:line="360" w:lineRule="auto"/>
        <w:ind w:left="0" w:leftChars="0" w:right="290" w:firstLine="567"/>
      </w:pPr>
      <w:r>
        <w:rPr>
          <w:rFonts w:hint="eastAsia"/>
        </w:rPr>
        <w:t>发生以下乙方</w:t>
      </w:r>
      <w:r>
        <w:t>责任</w:t>
      </w:r>
      <w:r>
        <w:rPr>
          <w:rFonts w:hint="eastAsia"/>
        </w:rPr>
        <w:t>安健环</w:t>
      </w:r>
      <w:r>
        <w:t>事故事件</w:t>
      </w:r>
      <w:r>
        <w:rPr>
          <w:rFonts w:hint="eastAsia"/>
        </w:rPr>
        <w:t>的</w:t>
      </w:r>
      <w:r>
        <w:t>，</w:t>
      </w:r>
      <w:r>
        <w:rPr>
          <w:rFonts w:hint="eastAsia"/>
        </w:rPr>
        <w:t>甲方有权依约依规</w:t>
      </w:r>
      <w:r>
        <w:t>对</w:t>
      </w:r>
      <w:r>
        <w:rPr>
          <w:rFonts w:hint="eastAsia"/>
        </w:rPr>
        <w:t>乙</w:t>
      </w:r>
      <w:r>
        <w:t>方进行</w:t>
      </w:r>
      <w:r>
        <w:rPr>
          <w:rFonts w:hint="eastAsia"/>
        </w:rPr>
        <w:t>违约金扣除，违约金</w:t>
      </w:r>
      <w:r>
        <w:t>额从</w:t>
      </w:r>
      <w:r>
        <w:rPr>
          <w:rFonts w:hint="eastAsia"/>
        </w:rPr>
        <w:t>甲方应支付乙方的合同费用、履约保证金或履约保函中直接给予扣除（此并不构成甲方违约）</w:t>
      </w:r>
      <w:r>
        <w:t>。</w:t>
      </w:r>
      <w:r>
        <w:rPr>
          <w:rFonts w:hint="eastAsia"/>
        </w:rPr>
        <w:t>违约金扣除标准</w:t>
      </w:r>
      <w:r>
        <w:t>如下</w:t>
      </w:r>
      <w:r>
        <w:rPr>
          <w:rFonts w:hint="eastAsia"/>
        </w:rPr>
        <w:t>：</w:t>
      </w:r>
    </w:p>
    <w:p>
      <w:pPr>
        <w:pStyle w:val="8"/>
        <w:numPr>
          <w:ilvl w:val="0"/>
          <w:numId w:val="13"/>
        </w:numPr>
        <w:snapToGrid w:val="0"/>
        <w:spacing w:line="360" w:lineRule="auto"/>
        <w:ind w:leftChars="0" w:right="290"/>
        <w:rPr>
          <w:color w:val="auto"/>
          <w:u w:val="single"/>
        </w:rPr>
      </w:pPr>
      <w:r>
        <w:rPr>
          <w:rFonts w:hint="eastAsia"/>
          <w:color w:val="auto"/>
          <w:u w:val="single"/>
        </w:rPr>
        <w:t>发生一般及以上</w:t>
      </w:r>
      <w:r>
        <w:rPr>
          <w:color w:val="auto"/>
          <w:u w:val="single"/>
        </w:rPr>
        <w:t>安全生产事故、火灾事故、交通事故、环境污染事故，</w:t>
      </w:r>
      <w:r>
        <w:rPr>
          <w:rFonts w:hint="eastAsia"/>
          <w:color w:val="auto"/>
          <w:u w:val="single"/>
        </w:rPr>
        <w:t>导致人员轻伤的每人次</w:t>
      </w:r>
      <w:r>
        <w:rPr>
          <w:rFonts w:hint="eastAsia"/>
          <w:color w:val="auto"/>
          <w:u w:val="single"/>
          <w:lang w:val="en-US" w:eastAsia="zh-CN"/>
        </w:rPr>
        <w:t>30</w:t>
      </w:r>
      <w:r>
        <w:rPr>
          <w:color w:val="auto"/>
          <w:u w:val="single"/>
        </w:rPr>
        <w:t>000</w:t>
      </w:r>
      <w:r>
        <w:rPr>
          <w:rFonts w:hint="eastAsia"/>
          <w:color w:val="auto"/>
          <w:u w:val="single"/>
        </w:rPr>
        <w:t>元、人员重伤的每人次</w:t>
      </w:r>
      <w:r>
        <w:rPr>
          <w:color w:val="auto"/>
          <w:u w:val="single"/>
        </w:rPr>
        <w:t>50000</w:t>
      </w:r>
      <w:r>
        <w:rPr>
          <w:rFonts w:hint="eastAsia"/>
          <w:color w:val="auto"/>
          <w:u w:val="single"/>
        </w:rPr>
        <w:t>元、人身死亡的每人次</w:t>
      </w:r>
      <w:r>
        <w:rPr>
          <w:color w:val="auto"/>
          <w:u w:val="single"/>
        </w:rPr>
        <w:t>100000</w:t>
      </w:r>
      <w:r>
        <w:rPr>
          <w:rFonts w:hint="eastAsia"/>
          <w:color w:val="auto"/>
          <w:u w:val="single"/>
        </w:rPr>
        <w:t>元；造成经济损失的，并罚直接经济损失金额的百分之十，并由乙方承担全部经济损失。</w:t>
      </w:r>
    </w:p>
    <w:p>
      <w:pPr>
        <w:pStyle w:val="8"/>
        <w:numPr>
          <w:ilvl w:val="0"/>
          <w:numId w:val="13"/>
        </w:numPr>
        <w:snapToGrid w:val="0"/>
        <w:spacing w:line="360" w:lineRule="auto"/>
        <w:ind w:left="0" w:leftChars="0" w:right="290" w:firstLine="567"/>
        <w:rPr>
          <w:color w:val="auto"/>
          <w:u w:val="single"/>
        </w:rPr>
      </w:pPr>
      <w:r>
        <w:rPr>
          <w:rFonts w:hint="eastAsia"/>
          <w:color w:val="auto"/>
          <w:u w:val="single"/>
        </w:rPr>
        <w:t>发生</w:t>
      </w:r>
      <w:r>
        <w:rPr>
          <w:color w:val="auto"/>
          <w:u w:val="single"/>
        </w:rPr>
        <w:t>职业病危害事故</w:t>
      </w:r>
      <w:r>
        <w:rPr>
          <w:rFonts w:hint="eastAsia"/>
          <w:color w:val="auto"/>
          <w:u w:val="single"/>
        </w:rPr>
        <w:t>、事件</w:t>
      </w:r>
      <w:r>
        <w:rPr>
          <w:color w:val="auto"/>
          <w:u w:val="single"/>
        </w:rPr>
        <w:t>，</w:t>
      </w:r>
      <w:r>
        <w:rPr>
          <w:rFonts w:hint="eastAsia"/>
          <w:color w:val="auto"/>
          <w:u w:val="single"/>
        </w:rPr>
        <w:t>每人次</w:t>
      </w:r>
      <w:r>
        <w:rPr>
          <w:rFonts w:hint="eastAsia"/>
          <w:color w:val="auto"/>
          <w:u w:val="single"/>
          <w:lang w:val="en-US" w:eastAsia="zh-CN"/>
        </w:rPr>
        <w:t>2</w:t>
      </w:r>
      <w:r>
        <w:rPr>
          <w:color w:val="auto"/>
          <w:u w:val="single"/>
        </w:rPr>
        <w:t>0000元；</w:t>
      </w:r>
    </w:p>
    <w:p>
      <w:pPr>
        <w:pStyle w:val="8"/>
        <w:numPr>
          <w:ilvl w:val="0"/>
          <w:numId w:val="13"/>
        </w:numPr>
        <w:snapToGrid w:val="0"/>
        <w:spacing w:line="360" w:lineRule="auto"/>
        <w:ind w:left="0" w:leftChars="0" w:right="290" w:firstLine="567"/>
        <w:rPr>
          <w:color w:val="auto"/>
          <w:u w:val="single"/>
        </w:rPr>
      </w:pPr>
      <w:r>
        <w:rPr>
          <w:color w:val="auto"/>
          <w:u w:val="single"/>
        </w:rPr>
        <w:t>造成</w:t>
      </w:r>
      <w:r>
        <w:rPr>
          <w:rFonts w:hint="eastAsia"/>
          <w:color w:val="auto"/>
          <w:u w:val="single"/>
          <w:lang w:val="en-US" w:eastAsia="zh-CN"/>
        </w:rPr>
        <w:t>甲</w:t>
      </w:r>
      <w:r>
        <w:rPr>
          <w:color w:val="auto"/>
          <w:u w:val="single"/>
        </w:rPr>
        <w:t>方全厂停电事故，</w:t>
      </w:r>
      <w:r>
        <w:rPr>
          <w:rFonts w:hint="eastAsia"/>
          <w:color w:val="auto"/>
          <w:u w:val="single"/>
        </w:rPr>
        <w:t>每起</w:t>
      </w:r>
      <w:r>
        <w:rPr>
          <w:rFonts w:hint="eastAsia"/>
          <w:color w:val="auto"/>
          <w:u w:val="single"/>
          <w:lang w:val="en-US" w:eastAsia="zh-CN"/>
        </w:rPr>
        <w:t>3</w:t>
      </w:r>
      <w:r>
        <w:rPr>
          <w:color w:val="auto"/>
          <w:u w:val="single"/>
        </w:rPr>
        <w:t>0000</w:t>
      </w:r>
      <w:r>
        <w:rPr>
          <w:rFonts w:hint="eastAsia"/>
          <w:color w:val="auto"/>
          <w:u w:val="single"/>
        </w:rPr>
        <w:t>元</w:t>
      </w:r>
      <w:r>
        <w:rPr>
          <w:color w:val="auto"/>
          <w:u w:val="single"/>
        </w:rPr>
        <w:t>；</w:t>
      </w:r>
    </w:p>
    <w:p>
      <w:pPr>
        <w:pStyle w:val="8"/>
        <w:numPr>
          <w:ilvl w:val="0"/>
          <w:numId w:val="13"/>
        </w:numPr>
        <w:snapToGrid w:val="0"/>
        <w:spacing w:line="360" w:lineRule="auto"/>
        <w:ind w:left="0" w:leftChars="0" w:right="290" w:firstLine="567"/>
        <w:rPr>
          <w:color w:val="auto"/>
          <w:u w:val="single"/>
        </w:rPr>
      </w:pPr>
      <w:r>
        <w:rPr>
          <w:color w:val="auto"/>
          <w:u w:val="single"/>
        </w:rPr>
        <w:t>造成</w:t>
      </w:r>
      <w:r>
        <w:rPr>
          <w:rFonts w:hint="eastAsia"/>
          <w:color w:val="auto"/>
          <w:u w:val="single"/>
          <w:lang w:val="en-US" w:eastAsia="zh-CN"/>
        </w:rPr>
        <w:t>甲</w:t>
      </w:r>
      <w:r>
        <w:rPr>
          <w:color w:val="auto"/>
          <w:u w:val="single"/>
        </w:rPr>
        <w:t>方</w:t>
      </w:r>
      <w:r>
        <w:rPr>
          <w:rFonts w:hint="eastAsia"/>
          <w:color w:val="auto"/>
          <w:u w:val="single"/>
        </w:rPr>
        <w:t>内部统计事故</w:t>
      </w:r>
      <w:r>
        <w:rPr>
          <w:color w:val="auto"/>
          <w:u w:val="single"/>
        </w:rPr>
        <w:t>，</w:t>
      </w:r>
      <w:r>
        <w:rPr>
          <w:rFonts w:hint="eastAsia"/>
          <w:color w:val="auto"/>
          <w:u w:val="single"/>
        </w:rPr>
        <w:t>每起</w:t>
      </w:r>
      <w:r>
        <w:rPr>
          <w:rFonts w:hint="eastAsia"/>
          <w:color w:val="auto"/>
          <w:u w:val="single"/>
          <w:lang w:val="en-US" w:eastAsia="zh-CN"/>
        </w:rPr>
        <w:t>30</w:t>
      </w:r>
      <w:r>
        <w:rPr>
          <w:color w:val="auto"/>
          <w:u w:val="single"/>
        </w:rPr>
        <w:t>000元</w:t>
      </w:r>
      <w:r>
        <w:rPr>
          <w:rFonts w:hint="eastAsia"/>
          <w:color w:val="auto"/>
          <w:u w:val="single"/>
        </w:rPr>
        <w:t>；</w:t>
      </w:r>
    </w:p>
    <w:p>
      <w:pPr>
        <w:pStyle w:val="8"/>
        <w:numPr>
          <w:ilvl w:val="0"/>
          <w:numId w:val="13"/>
        </w:numPr>
        <w:snapToGrid w:val="0"/>
        <w:spacing w:line="360" w:lineRule="auto"/>
        <w:ind w:left="0" w:leftChars="0" w:right="290" w:firstLine="567"/>
        <w:rPr>
          <w:color w:val="auto"/>
          <w:u w:val="single"/>
        </w:rPr>
      </w:pPr>
      <w:r>
        <w:rPr>
          <w:color w:val="auto"/>
          <w:u w:val="single"/>
        </w:rPr>
        <w:t>造成</w:t>
      </w:r>
      <w:r>
        <w:rPr>
          <w:rFonts w:hint="eastAsia"/>
          <w:color w:val="auto"/>
          <w:u w:val="single"/>
          <w:lang w:val="en-US" w:eastAsia="zh-CN"/>
        </w:rPr>
        <w:t>甲</w:t>
      </w:r>
      <w:r>
        <w:rPr>
          <w:color w:val="auto"/>
          <w:u w:val="single"/>
        </w:rPr>
        <w:t>方一类障碍，</w:t>
      </w:r>
      <w:r>
        <w:rPr>
          <w:rFonts w:hint="eastAsia"/>
          <w:color w:val="auto"/>
          <w:u w:val="single"/>
        </w:rPr>
        <w:t>每起</w:t>
      </w:r>
      <w:r>
        <w:rPr>
          <w:rFonts w:hint="eastAsia"/>
          <w:color w:val="auto"/>
          <w:u w:val="single"/>
          <w:lang w:val="en-US" w:eastAsia="zh-CN"/>
        </w:rPr>
        <w:t>25</w:t>
      </w:r>
      <w:r>
        <w:rPr>
          <w:color w:val="auto"/>
          <w:u w:val="single"/>
        </w:rPr>
        <w:t>000元；</w:t>
      </w:r>
    </w:p>
    <w:p>
      <w:pPr>
        <w:pStyle w:val="8"/>
        <w:numPr>
          <w:ilvl w:val="0"/>
          <w:numId w:val="13"/>
        </w:numPr>
        <w:snapToGrid w:val="0"/>
        <w:spacing w:line="360" w:lineRule="auto"/>
        <w:ind w:left="0" w:leftChars="0" w:right="290" w:firstLine="567"/>
        <w:rPr>
          <w:rFonts w:hint="eastAsia"/>
          <w:color w:val="auto"/>
          <w:u w:val="single"/>
        </w:rPr>
      </w:pPr>
      <w:r>
        <w:rPr>
          <w:color w:val="auto"/>
          <w:u w:val="single"/>
        </w:rPr>
        <w:t>造成</w:t>
      </w:r>
      <w:r>
        <w:rPr>
          <w:rFonts w:hint="eastAsia"/>
          <w:color w:val="auto"/>
          <w:u w:val="single"/>
          <w:lang w:val="en-US" w:eastAsia="zh-CN"/>
        </w:rPr>
        <w:t>甲</w:t>
      </w:r>
      <w:r>
        <w:rPr>
          <w:color w:val="auto"/>
          <w:u w:val="single"/>
        </w:rPr>
        <w:t>方二类障碍，</w:t>
      </w:r>
      <w:r>
        <w:rPr>
          <w:rFonts w:hint="eastAsia"/>
          <w:color w:val="auto"/>
          <w:u w:val="single"/>
        </w:rPr>
        <w:t>每起</w:t>
      </w:r>
      <w:r>
        <w:rPr>
          <w:rFonts w:hint="eastAsia"/>
          <w:color w:val="auto"/>
          <w:u w:val="single"/>
          <w:lang w:val="en-US" w:eastAsia="zh-CN"/>
        </w:rPr>
        <w:t>10</w:t>
      </w:r>
      <w:r>
        <w:rPr>
          <w:color w:val="auto"/>
          <w:u w:val="single"/>
        </w:rPr>
        <w:t>000元；</w:t>
      </w:r>
    </w:p>
    <w:p>
      <w:pPr>
        <w:pStyle w:val="8"/>
        <w:numPr>
          <w:ilvl w:val="0"/>
          <w:numId w:val="13"/>
        </w:numPr>
        <w:snapToGrid w:val="0"/>
        <w:spacing w:line="360" w:lineRule="auto"/>
        <w:ind w:left="0" w:leftChars="0" w:right="290" w:firstLine="567"/>
        <w:rPr>
          <w:rFonts w:hint="eastAsia"/>
        </w:rPr>
      </w:pPr>
      <w:r>
        <w:rPr>
          <w:rFonts w:hint="eastAsia"/>
        </w:rPr>
        <w:t>发生上述安健环事故、事件后，承包方弄虚作假、隐瞒不报、迟报或谎报，一经查出，除按上述规定进行处罚外，另外加罚一倍。</w:t>
      </w:r>
    </w:p>
    <w:p>
      <w:pPr>
        <w:pStyle w:val="8"/>
        <w:numPr>
          <w:ilvl w:val="0"/>
          <w:numId w:val="11"/>
        </w:numPr>
        <w:snapToGrid w:val="0"/>
        <w:spacing w:line="360" w:lineRule="auto"/>
        <w:ind w:left="0" w:leftChars="0" w:right="290" w:firstLine="567"/>
      </w:pPr>
      <w:r>
        <w:rPr>
          <w:rFonts w:hint="eastAsia"/>
        </w:rPr>
        <w:t>有关事故定级、</w:t>
      </w:r>
      <w:r>
        <w:t>职业</w:t>
      </w:r>
      <w:r>
        <w:rPr>
          <w:rFonts w:hint="eastAsia"/>
        </w:rPr>
        <w:t>病危害认定、</w:t>
      </w:r>
      <w:r>
        <w:t>经济</w:t>
      </w:r>
      <w:r>
        <w:rPr>
          <w:rFonts w:hint="eastAsia"/>
        </w:rPr>
        <w:t>损失等，依照国家有关法规或事故调查、专业鉴定结果；乙</w:t>
      </w:r>
      <w:r>
        <w:t>方</w:t>
      </w:r>
      <w:r>
        <w:rPr>
          <w:rFonts w:hint="eastAsia"/>
        </w:rPr>
        <w:t>二类障碍、</w:t>
      </w:r>
      <w:r>
        <w:t>一类障碍</w:t>
      </w:r>
      <w:r>
        <w:rPr>
          <w:rFonts w:hint="eastAsia"/>
        </w:rPr>
        <w:t>、全厂停电、</w:t>
      </w:r>
      <w:r>
        <w:t>内部</w:t>
      </w:r>
      <w:r>
        <w:rPr>
          <w:rFonts w:hint="eastAsia"/>
        </w:rPr>
        <w:t>统计事故的定义依据甲方安健环事故事件调查有关管理制度。</w:t>
      </w:r>
    </w:p>
    <w:p>
      <w:pPr>
        <w:pStyle w:val="8"/>
        <w:numPr>
          <w:ilvl w:val="0"/>
          <w:numId w:val="11"/>
        </w:numPr>
        <w:snapToGrid w:val="0"/>
        <w:spacing w:line="360" w:lineRule="auto"/>
        <w:ind w:left="0" w:leftChars="0" w:right="290" w:firstLine="567"/>
      </w:pPr>
      <w:r>
        <w:rPr>
          <w:rFonts w:hint="eastAsia"/>
        </w:rPr>
        <w:t>由于乙方责任（含</w:t>
      </w:r>
      <w:r>
        <w:t>其派出人员</w:t>
      </w:r>
      <w:r>
        <w:rPr>
          <w:rFonts w:hint="eastAsia"/>
        </w:rPr>
        <w:t>）造成的一切人身事故、设备损坏、职业病</w:t>
      </w:r>
      <w:r>
        <w:t>危害事故、环境污染等安健环</w:t>
      </w:r>
      <w:r>
        <w:rPr>
          <w:rFonts w:hint="eastAsia"/>
        </w:rPr>
        <w:t>事故事件，均由乙方自行承担全部安健环责任和</w:t>
      </w:r>
      <w:r>
        <w:t>法律责任</w:t>
      </w:r>
      <w:r>
        <w:rPr>
          <w:rFonts w:hint="eastAsia"/>
        </w:rPr>
        <w:t>，</w:t>
      </w:r>
      <w:r>
        <w:t>并负责所有赔偿</w:t>
      </w:r>
      <w:r>
        <w:rPr>
          <w:rFonts w:hint="eastAsia"/>
        </w:rPr>
        <w:t>、</w:t>
      </w:r>
      <w:r>
        <w:t>补偿善后处置工作</w:t>
      </w:r>
      <w:r>
        <w:rPr>
          <w:rFonts w:hint="eastAsia"/>
        </w:rPr>
        <w:t>。如使甲方或</w:t>
      </w:r>
      <w:r>
        <w:t>第三方</w:t>
      </w:r>
      <w:r>
        <w:rPr>
          <w:rFonts w:hint="eastAsia"/>
        </w:rPr>
        <w:t>造成损失，乙方负责赔偿或补偿；乙方不及时支付赔偿或补偿金额的，甲方有权从应支付乙方的合同费用、履约保证金或履约保函中直接给予扣除（此并不构成甲方违约）；尚不足赔偿或补偿部分的金额，由乙方于收到甲方催缴通知一个月内另行向甲方和受损第三方一次性付清。</w:t>
      </w:r>
    </w:p>
    <w:p>
      <w:pPr>
        <w:pStyle w:val="8"/>
        <w:numPr>
          <w:ilvl w:val="0"/>
          <w:numId w:val="11"/>
        </w:numPr>
        <w:snapToGrid w:val="0"/>
        <w:spacing w:line="360" w:lineRule="auto"/>
        <w:ind w:left="0" w:leftChars="0" w:right="290" w:firstLine="567"/>
        <w:rPr>
          <w:color w:val="auto"/>
          <w:u w:val="single"/>
        </w:rPr>
      </w:pPr>
      <w:r>
        <w:rPr>
          <w:rFonts w:hint="eastAsia"/>
          <w:color w:val="auto"/>
          <w:u w:val="single"/>
        </w:rPr>
        <w:t>为进一步加强对</w:t>
      </w:r>
      <w:r>
        <w:rPr>
          <w:rFonts w:hint="eastAsia"/>
          <w:color w:val="auto"/>
          <w:u w:val="single"/>
          <w:shd w:val="clear" w:color="auto" w:fill="auto"/>
        </w:rPr>
        <w:t>现场</w:t>
      </w:r>
      <w:r>
        <w:rPr>
          <w:rFonts w:hint="eastAsia"/>
          <w:color w:val="auto"/>
          <w:u w:val="single"/>
        </w:rPr>
        <w:t>典型违章隐患的治理，加大对典型隐患、习惯性违章的考核处罚力度，贯彻集团和公司“严惩制度化”的管理要求</w:t>
      </w:r>
      <w:r>
        <w:rPr>
          <w:rFonts w:hint="eastAsia"/>
          <w:color w:val="auto"/>
          <w:u w:val="single"/>
          <w:lang w:eastAsia="zh-CN"/>
        </w:rPr>
        <w:t>，</w:t>
      </w:r>
      <w:r>
        <w:rPr>
          <w:rFonts w:hint="eastAsia"/>
          <w:color w:val="auto"/>
          <w:u w:val="single"/>
        </w:rPr>
        <w:t>公司规定凡是与公司及所属单位签订合同的乙方或其</w:t>
      </w:r>
      <w:r>
        <w:rPr>
          <w:color w:val="auto"/>
          <w:u w:val="single"/>
        </w:rPr>
        <w:t>施工人员有</w:t>
      </w:r>
      <w:r>
        <w:rPr>
          <w:rFonts w:hint="eastAsia"/>
          <w:color w:val="auto"/>
          <w:u w:val="single"/>
        </w:rPr>
        <w:t>以下</w:t>
      </w:r>
      <w:r>
        <w:rPr>
          <w:color w:val="auto"/>
          <w:u w:val="single"/>
        </w:rPr>
        <w:t>行为的，</w:t>
      </w:r>
      <w:r>
        <w:rPr>
          <w:rFonts w:hint="eastAsia"/>
          <w:color w:val="auto"/>
          <w:u w:val="single"/>
          <w:lang w:val="en-US" w:eastAsia="zh-CN"/>
        </w:rPr>
        <w:t>视为乙方违反安全管理行为，</w:t>
      </w:r>
      <w:r>
        <w:rPr>
          <w:color w:val="auto"/>
          <w:u w:val="single"/>
        </w:rPr>
        <w:t>甲方</w:t>
      </w:r>
      <w:r>
        <w:rPr>
          <w:rFonts w:hint="eastAsia"/>
          <w:color w:val="auto"/>
          <w:u w:val="single"/>
        </w:rPr>
        <w:t>有权</w:t>
      </w:r>
      <w:r>
        <w:rPr>
          <w:color w:val="auto"/>
          <w:u w:val="single"/>
        </w:rPr>
        <w:t>对</w:t>
      </w:r>
      <w:r>
        <w:rPr>
          <w:rFonts w:hint="eastAsia"/>
          <w:color w:val="auto"/>
          <w:u w:val="single"/>
        </w:rPr>
        <w:t>乙方处以每起或每人次5000</w:t>
      </w:r>
      <w:r>
        <w:rPr>
          <w:color w:val="auto"/>
          <w:u w:val="single"/>
        </w:rPr>
        <w:t>-20000</w:t>
      </w:r>
      <w:r>
        <w:rPr>
          <w:rFonts w:hint="eastAsia"/>
          <w:color w:val="auto"/>
          <w:u w:val="single"/>
        </w:rPr>
        <w:t>元</w:t>
      </w:r>
      <w:r>
        <w:rPr>
          <w:color w:val="auto"/>
          <w:u w:val="single"/>
        </w:rPr>
        <w:t>的</w:t>
      </w:r>
      <w:r>
        <w:rPr>
          <w:rFonts w:hint="eastAsia"/>
          <w:color w:val="auto"/>
          <w:u w:val="single"/>
        </w:rPr>
        <w:t>违约</w:t>
      </w:r>
      <w:r>
        <w:rPr>
          <w:color w:val="auto"/>
          <w:u w:val="single"/>
        </w:rPr>
        <w:t>经济处罚</w:t>
      </w:r>
      <w:r>
        <w:rPr>
          <w:rFonts w:hint="eastAsia"/>
          <w:color w:val="auto"/>
          <w:u w:val="single"/>
        </w:rPr>
        <w:t>，</w:t>
      </w:r>
      <w:r>
        <w:rPr>
          <w:color w:val="auto"/>
          <w:u w:val="single"/>
        </w:rPr>
        <w:t>处罚金额从</w:t>
      </w:r>
      <w:r>
        <w:rPr>
          <w:rFonts w:hint="eastAsia"/>
          <w:color w:val="auto"/>
          <w:u w:val="single"/>
        </w:rPr>
        <w:t>甲方应支付乙方的当期合同费用、履约保证金或履约保函中直接给予扣除（此并不构成甲方违约）。</w:t>
      </w:r>
      <w:r>
        <w:rPr>
          <w:color w:val="auto"/>
          <w:u w:val="single"/>
        </w:rPr>
        <w:t>现场安健环奖惩</w:t>
      </w:r>
      <w:r>
        <w:rPr>
          <w:rFonts w:hint="eastAsia"/>
          <w:color w:val="auto"/>
          <w:u w:val="single"/>
        </w:rPr>
        <w:t>规定由甲方在乙方入场（厂</w:t>
      </w:r>
      <w:r>
        <w:rPr>
          <w:color w:val="auto"/>
          <w:u w:val="single"/>
        </w:rPr>
        <w:t>）</w:t>
      </w:r>
      <w:r>
        <w:rPr>
          <w:rFonts w:hint="eastAsia"/>
          <w:color w:val="auto"/>
          <w:u w:val="single"/>
        </w:rPr>
        <w:t>前进行解读宣贯，并交由乙方书面签收确认。常见习惯性违章行为（包括但不限于以下内容）处罚标准如下：</w:t>
      </w:r>
    </w:p>
    <w:tbl>
      <w:tblPr>
        <w:tblStyle w:val="18"/>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308"/>
        <w:gridCol w:w="63"/>
        <w:gridCol w:w="79"/>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序号</w:t>
            </w:r>
          </w:p>
        </w:tc>
        <w:tc>
          <w:tcPr>
            <w:tcW w:w="7450" w:type="dxa"/>
            <w:gridSpan w:val="3"/>
            <w:noWrap w:val="0"/>
            <w:vAlign w:val="top"/>
          </w:tcPr>
          <w:p>
            <w:pPr>
              <w:snapToGrid w:val="0"/>
              <w:rPr>
                <w:color w:val="auto"/>
                <w:sz w:val="21"/>
                <w:szCs w:val="21"/>
                <w:u w:val="single"/>
              </w:rPr>
            </w:pPr>
            <w:r>
              <w:rPr>
                <w:color w:val="auto"/>
                <w:sz w:val="21"/>
                <w:szCs w:val="21"/>
                <w:u w:val="single"/>
              </w:rPr>
              <w:t>违章行为</w:t>
            </w:r>
          </w:p>
        </w:tc>
        <w:tc>
          <w:tcPr>
            <w:tcW w:w="1063" w:type="dxa"/>
            <w:noWrap w:val="0"/>
            <w:vAlign w:val="top"/>
          </w:tcPr>
          <w:p>
            <w:pPr>
              <w:snapToGrid w:val="0"/>
              <w:jc w:val="center"/>
              <w:rPr>
                <w:color w:val="auto"/>
                <w:sz w:val="21"/>
                <w:szCs w:val="21"/>
                <w:u w:val="single"/>
              </w:rPr>
            </w:pPr>
            <w:r>
              <w:rPr>
                <w:color w:val="auto"/>
                <w:sz w:val="21"/>
                <w:szCs w:val="21"/>
                <w:u w:val="single"/>
              </w:rPr>
              <w:t>处罚标准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200" w:type="dxa"/>
            <w:gridSpan w:val="5"/>
            <w:noWrap w:val="0"/>
            <w:vAlign w:val="center"/>
          </w:tcPr>
          <w:p>
            <w:pPr>
              <w:pStyle w:val="26"/>
              <w:snapToGrid w:val="0"/>
              <w:spacing w:after="120"/>
              <w:ind w:firstLine="0" w:firstLineChars="0"/>
              <w:jc w:val="left"/>
              <w:rPr>
                <w:color w:val="auto"/>
                <w:sz w:val="21"/>
                <w:szCs w:val="21"/>
                <w:u w:val="single"/>
              </w:rPr>
            </w:pPr>
            <w:r>
              <w:rPr>
                <w:color w:val="auto"/>
                <w:sz w:val="21"/>
                <w:szCs w:val="21"/>
                <w:u w:val="single"/>
              </w:rPr>
              <w:t>1.一般习惯性违章行为     有下列行为之一者给予相关责任人</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w:t>
            </w:r>
          </w:p>
        </w:tc>
        <w:tc>
          <w:tcPr>
            <w:tcW w:w="7308" w:type="dxa"/>
            <w:noWrap w:val="0"/>
            <w:vAlign w:val="top"/>
          </w:tcPr>
          <w:p>
            <w:pPr>
              <w:snapToGrid w:val="0"/>
              <w:rPr>
                <w:color w:val="auto"/>
                <w:sz w:val="21"/>
                <w:szCs w:val="21"/>
                <w:u w:val="single"/>
              </w:rPr>
            </w:pPr>
            <w:r>
              <w:rPr>
                <w:rFonts w:hint="eastAsia"/>
                <w:color w:val="auto"/>
                <w:sz w:val="21"/>
                <w:szCs w:val="21"/>
                <w:u w:val="single"/>
              </w:rPr>
              <w:t>进入施工现场未戴安全帽，或</w:t>
            </w:r>
            <w:r>
              <w:rPr>
                <w:color w:val="auto"/>
                <w:sz w:val="21"/>
                <w:szCs w:val="21"/>
                <w:u w:val="single"/>
              </w:rPr>
              <w:t>安全帽没有正确佩戴，安全帽带未系紧</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1.2</w:t>
            </w:r>
          </w:p>
        </w:tc>
        <w:tc>
          <w:tcPr>
            <w:tcW w:w="7308" w:type="dxa"/>
            <w:noWrap w:val="0"/>
            <w:vAlign w:val="top"/>
          </w:tcPr>
          <w:p>
            <w:pPr>
              <w:snapToGrid w:val="0"/>
              <w:rPr>
                <w:color w:val="auto"/>
                <w:sz w:val="21"/>
                <w:szCs w:val="21"/>
                <w:u w:val="single"/>
              </w:rPr>
            </w:pPr>
            <w:r>
              <w:rPr>
                <w:color w:val="auto"/>
                <w:sz w:val="21"/>
                <w:szCs w:val="21"/>
                <w:u w:val="single"/>
              </w:rPr>
              <w:t>着装不规范（如：未戴出入证，工作服未扣好钮扣，穿背心、短裤、裙子、拖鞋、高跟鞋进入施工现场，踩鞋后跟等）</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1.3</w:t>
            </w:r>
          </w:p>
        </w:tc>
        <w:tc>
          <w:tcPr>
            <w:tcW w:w="7308" w:type="dxa"/>
            <w:noWrap w:val="0"/>
            <w:vAlign w:val="top"/>
          </w:tcPr>
          <w:p>
            <w:pPr>
              <w:snapToGrid w:val="0"/>
              <w:rPr>
                <w:color w:val="auto"/>
                <w:sz w:val="21"/>
                <w:szCs w:val="21"/>
                <w:u w:val="single"/>
              </w:rPr>
            </w:pPr>
            <w:r>
              <w:rPr>
                <w:color w:val="auto"/>
                <w:sz w:val="21"/>
                <w:szCs w:val="21"/>
                <w:u w:val="single"/>
              </w:rPr>
              <w:t>特种工种无证作业</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1.4</w:t>
            </w:r>
          </w:p>
        </w:tc>
        <w:tc>
          <w:tcPr>
            <w:tcW w:w="7308" w:type="dxa"/>
            <w:noWrap w:val="0"/>
            <w:vAlign w:val="top"/>
          </w:tcPr>
          <w:p>
            <w:pPr>
              <w:snapToGrid w:val="0"/>
              <w:rPr>
                <w:color w:val="auto"/>
                <w:sz w:val="21"/>
                <w:szCs w:val="21"/>
                <w:u w:val="single"/>
              </w:rPr>
            </w:pPr>
            <w:r>
              <w:rPr>
                <w:color w:val="auto"/>
                <w:sz w:val="21"/>
                <w:szCs w:val="21"/>
                <w:u w:val="single"/>
              </w:rPr>
              <w:t>超负荷或超期限使用电气、机械设备</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1.5</w:t>
            </w:r>
          </w:p>
        </w:tc>
        <w:tc>
          <w:tcPr>
            <w:tcW w:w="7308" w:type="dxa"/>
            <w:noWrap w:val="0"/>
            <w:vAlign w:val="top"/>
          </w:tcPr>
          <w:p>
            <w:pPr>
              <w:snapToGrid w:val="0"/>
              <w:rPr>
                <w:color w:val="auto"/>
                <w:sz w:val="21"/>
                <w:szCs w:val="21"/>
                <w:u w:val="single"/>
              </w:rPr>
            </w:pPr>
            <w:r>
              <w:rPr>
                <w:color w:val="auto"/>
                <w:sz w:val="21"/>
                <w:szCs w:val="21"/>
                <w:u w:val="single"/>
              </w:rPr>
              <w:t>酒后进入施工现场，在现场睡觉</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1.6</w:t>
            </w:r>
          </w:p>
        </w:tc>
        <w:tc>
          <w:tcPr>
            <w:tcW w:w="7308" w:type="dxa"/>
            <w:noWrap w:val="0"/>
            <w:vAlign w:val="top"/>
          </w:tcPr>
          <w:p>
            <w:pPr>
              <w:snapToGrid w:val="0"/>
              <w:rPr>
                <w:color w:val="auto"/>
                <w:sz w:val="21"/>
                <w:szCs w:val="21"/>
                <w:u w:val="single"/>
              </w:rPr>
            </w:pPr>
            <w:r>
              <w:rPr>
                <w:color w:val="auto"/>
                <w:sz w:val="21"/>
                <w:szCs w:val="21"/>
                <w:u w:val="single"/>
              </w:rPr>
              <w:t>未按规定布置或擅自拆除、损坏、移动安全设施、标志、警告牌</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1.7</w:t>
            </w:r>
          </w:p>
        </w:tc>
        <w:tc>
          <w:tcPr>
            <w:tcW w:w="7308" w:type="dxa"/>
            <w:noWrap w:val="0"/>
            <w:vAlign w:val="top"/>
          </w:tcPr>
          <w:p>
            <w:pPr>
              <w:snapToGrid w:val="0"/>
              <w:rPr>
                <w:rFonts w:hint="eastAsia"/>
                <w:color w:val="auto"/>
                <w:sz w:val="21"/>
                <w:szCs w:val="21"/>
                <w:u w:val="single"/>
              </w:rPr>
            </w:pPr>
            <w:r>
              <w:rPr>
                <w:color w:val="auto"/>
                <w:sz w:val="21"/>
                <w:szCs w:val="21"/>
                <w:u w:val="single"/>
              </w:rPr>
              <w:t>检修、清理运行中设备</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1.8</w:t>
            </w:r>
          </w:p>
        </w:tc>
        <w:tc>
          <w:tcPr>
            <w:tcW w:w="7308" w:type="dxa"/>
            <w:noWrap w:val="0"/>
            <w:vAlign w:val="top"/>
          </w:tcPr>
          <w:p>
            <w:pPr>
              <w:snapToGrid w:val="0"/>
              <w:rPr>
                <w:color w:val="auto"/>
                <w:sz w:val="21"/>
                <w:szCs w:val="21"/>
                <w:u w:val="single"/>
              </w:rPr>
            </w:pPr>
            <w:r>
              <w:rPr>
                <w:color w:val="auto"/>
                <w:sz w:val="21"/>
                <w:szCs w:val="21"/>
                <w:u w:val="single"/>
              </w:rPr>
              <w:t>各类施工机械、电气安全保护装置不齐</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1.9</w:t>
            </w:r>
          </w:p>
        </w:tc>
        <w:tc>
          <w:tcPr>
            <w:tcW w:w="7308" w:type="dxa"/>
            <w:noWrap w:val="0"/>
            <w:vAlign w:val="top"/>
          </w:tcPr>
          <w:p>
            <w:pPr>
              <w:snapToGrid w:val="0"/>
              <w:rPr>
                <w:color w:val="auto"/>
                <w:sz w:val="21"/>
                <w:szCs w:val="21"/>
                <w:u w:val="single"/>
              </w:rPr>
            </w:pPr>
            <w:r>
              <w:rPr>
                <w:color w:val="auto"/>
                <w:sz w:val="21"/>
                <w:szCs w:val="21"/>
                <w:u w:val="single"/>
              </w:rPr>
              <w:t>机械设备的电气、转动部件外露部分无防护装置</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1.10</w:t>
            </w:r>
          </w:p>
        </w:tc>
        <w:tc>
          <w:tcPr>
            <w:tcW w:w="7308" w:type="dxa"/>
            <w:noWrap w:val="0"/>
            <w:vAlign w:val="top"/>
          </w:tcPr>
          <w:p>
            <w:pPr>
              <w:snapToGrid w:val="0"/>
              <w:rPr>
                <w:color w:val="auto"/>
                <w:sz w:val="21"/>
                <w:szCs w:val="21"/>
                <w:u w:val="single"/>
              </w:rPr>
            </w:pPr>
            <w:r>
              <w:rPr>
                <w:color w:val="auto"/>
                <w:sz w:val="21"/>
                <w:szCs w:val="21"/>
                <w:u w:val="single"/>
              </w:rPr>
              <w:t>使用不合格的设备、机械、工器具、劳动保护用品</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1.11</w:t>
            </w:r>
          </w:p>
        </w:tc>
        <w:tc>
          <w:tcPr>
            <w:tcW w:w="7308" w:type="dxa"/>
            <w:noWrap w:val="0"/>
            <w:vAlign w:val="top"/>
          </w:tcPr>
          <w:p>
            <w:pPr>
              <w:snapToGrid w:val="0"/>
              <w:rPr>
                <w:color w:val="auto"/>
                <w:sz w:val="21"/>
                <w:szCs w:val="21"/>
                <w:u w:val="single"/>
              </w:rPr>
            </w:pPr>
            <w:r>
              <w:rPr>
                <w:color w:val="auto"/>
                <w:sz w:val="21"/>
                <w:szCs w:val="21"/>
                <w:u w:val="single"/>
              </w:rPr>
              <w:t>夜间或光线不足地点未有充足照明或警示红灯</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1.12</w:t>
            </w:r>
          </w:p>
        </w:tc>
        <w:tc>
          <w:tcPr>
            <w:tcW w:w="7308" w:type="dxa"/>
            <w:noWrap w:val="0"/>
            <w:vAlign w:val="top"/>
          </w:tcPr>
          <w:p>
            <w:pPr>
              <w:snapToGrid w:val="0"/>
              <w:rPr>
                <w:color w:val="auto"/>
                <w:sz w:val="21"/>
                <w:szCs w:val="21"/>
                <w:u w:val="single"/>
              </w:rPr>
            </w:pPr>
            <w:r>
              <w:rPr>
                <w:color w:val="auto"/>
                <w:sz w:val="21"/>
                <w:szCs w:val="21"/>
                <w:u w:val="single"/>
              </w:rPr>
              <w:t>起吊、存放零散物件未做好防坠措施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1.13</w:t>
            </w:r>
          </w:p>
        </w:tc>
        <w:tc>
          <w:tcPr>
            <w:tcW w:w="7308" w:type="dxa"/>
            <w:noWrap w:val="0"/>
            <w:vAlign w:val="top"/>
          </w:tcPr>
          <w:p>
            <w:pPr>
              <w:snapToGrid w:val="0"/>
              <w:rPr>
                <w:color w:val="auto"/>
                <w:sz w:val="21"/>
                <w:szCs w:val="21"/>
                <w:u w:val="single"/>
              </w:rPr>
            </w:pPr>
            <w:r>
              <w:rPr>
                <w:color w:val="auto"/>
                <w:sz w:val="21"/>
                <w:szCs w:val="21"/>
                <w:u w:val="single"/>
              </w:rPr>
              <w:t>对地下设施、管线不采取保护、标识措施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1.14</w:t>
            </w:r>
          </w:p>
        </w:tc>
        <w:tc>
          <w:tcPr>
            <w:tcW w:w="7308" w:type="dxa"/>
            <w:noWrap w:val="0"/>
            <w:vAlign w:val="top"/>
          </w:tcPr>
          <w:p>
            <w:pPr>
              <w:snapToGrid w:val="0"/>
              <w:rPr>
                <w:color w:val="auto"/>
                <w:sz w:val="21"/>
                <w:szCs w:val="21"/>
                <w:u w:val="single"/>
              </w:rPr>
            </w:pPr>
            <w:r>
              <w:rPr>
                <w:color w:val="auto"/>
                <w:sz w:val="21"/>
                <w:szCs w:val="21"/>
                <w:u w:val="single"/>
              </w:rPr>
              <w:t>交叉、起重、带电作业未有隔离措施、警戒区域，并未设专人监护</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1.15</w:t>
            </w:r>
          </w:p>
        </w:tc>
        <w:tc>
          <w:tcPr>
            <w:tcW w:w="7308" w:type="dxa"/>
            <w:noWrap w:val="0"/>
            <w:vAlign w:val="top"/>
          </w:tcPr>
          <w:p>
            <w:pPr>
              <w:snapToGrid w:val="0"/>
              <w:rPr>
                <w:color w:val="auto"/>
                <w:sz w:val="21"/>
                <w:szCs w:val="21"/>
                <w:u w:val="single"/>
              </w:rPr>
            </w:pPr>
            <w:r>
              <w:rPr>
                <w:color w:val="auto"/>
                <w:sz w:val="21"/>
                <w:szCs w:val="21"/>
                <w:u w:val="single"/>
              </w:rPr>
              <w:t>密闭容器内、潮湿地点电源未使用安全电压或设置漏电保护开关，密闭容器未有良好通风、未设专人监护</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1.16</w:t>
            </w:r>
          </w:p>
        </w:tc>
        <w:tc>
          <w:tcPr>
            <w:tcW w:w="7308" w:type="dxa"/>
            <w:noWrap w:val="0"/>
            <w:vAlign w:val="top"/>
          </w:tcPr>
          <w:p>
            <w:pPr>
              <w:snapToGrid w:val="0"/>
              <w:rPr>
                <w:color w:val="auto"/>
                <w:sz w:val="21"/>
                <w:szCs w:val="21"/>
                <w:u w:val="single"/>
              </w:rPr>
            </w:pPr>
            <w:r>
              <w:rPr>
                <w:color w:val="auto"/>
                <w:sz w:val="21"/>
                <w:szCs w:val="21"/>
                <w:u w:val="single"/>
              </w:rPr>
              <w:t>梯长不按规定驳长使用或放置不稳，多人同时站在梯子上作业</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pPr>
              <w:snapToGrid w:val="0"/>
              <w:rPr>
                <w:color w:val="auto"/>
                <w:sz w:val="21"/>
                <w:szCs w:val="21"/>
                <w:u w:val="single"/>
              </w:rPr>
            </w:pPr>
            <w:r>
              <w:rPr>
                <w:color w:val="auto"/>
                <w:sz w:val="21"/>
                <w:szCs w:val="21"/>
                <w:u w:val="single"/>
              </w:rPr>
              <w:t>2.高空与交叉作业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0000</w:t>
            </w:r>
            <w:r>
              <w:rPr>
                <w:color w:val="auto"/>
                <w:sz w:val="21"/>
                <w:szCs w:val="21"/>
                <w:u w:val="single"/>
              </w:rPr>
              <w:t>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2.1</w:t>
            </w:r>
          </w:p>
        </w:tc>
        <w:tc>
          <w:tcPr>
            <w:tcW w:w="7371" w:type="dxa"/>
            <w:gridSpan w:val="2"/>
            <w:noWrap w:val="0"/>
            <w:vAlign w:val="top"/>
          </w:tcPr>
          <w:p>
            <w:pPr>
              <w:snapToGrid w:val="0"/>
              <w:rPr>
                <w:color w:val="auto"/>
                <w:sz w:val="21"/>
                <w:szCs w:val="21"/>
                <w:u w:val="single"/>
              </w:rPr>
            </w:pPr>
            <w:r>
              <w:rPr>
                <w:color w:val="auto"/>
                <w:sz w:val="21"/>
                <w:szCs w:val="21"/>
                <w:u w:val="single"/>
              </w:rPr>
              <w:t xml:space="preserve">高空作业平台临边、孔洞、深坑、边坡高处等地点未设置围栏、盖板，或围栏、盖板不符合要求的 </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2.2</w:t>
            </w:r>
          </w:p>
        </w:tc>
        <w:tc>
          <w:tcPr>
            <w:tcW w:w="7371" w:type="dxa"/>
            <w:gridSpan w:val="2"/>
            <w:noWrap w:val="0"/>
            <w:vAlign w:val="top"/>
          </w:tcPr>
          <w:p>
            <w:pPr>
              <w:snapToGrid w:val="0"/>
              <w:rPr>
                <w:color w:val="auto"/>
                <w:sz w:val="21"/>
                <w:szCs w:val="21"/>
                <w:u w:val="single"/>
              </w:rPr>
            </w:pPr>
            <w:r>
              <w:rPr>
                <w:color w:val="auto"/>
                <w:sz w:val="21"/>
                <w:szCs w:val="21"/>
                <w:u w:val="single"/>
              </w:rPr>
              <w:t>钢架柱梁、砼柱梁、屋架、竖梯、爬梯等没有平台或脚手架地方进行施工，未使用水平扶绳、垂直攀登自锁装置、安全网等保护措施的</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2.3</w:t>
            </w:r>
          </w:p>
        </w:tc>
        <w:tc>
          <w:tcPr>
            <w:tcW w:w="7371" w:type="dxa"/>
            <w:gridSpan w:val="2"/>
            <w:noWrap w:val="0"/>
            <w:vAlign w:val="top"/>
          </w:tcPr>
          <w:p>
            <w:pPr>
              <w:snapToGrid w:val="0"/>
              <w:rPr>
                <w:color w:val="auto"/>
                <w:sz w:val="21"/>
                <w:szCs w:val="21"/>
                <w:u w:val="single"/>
              </w:rPr>
            </w:pPr>
            <w:r>
              <w:rPr>
                <w:color w:val="auto"/>
                <w:sz w:val="21"/>
                <w:szCs w:val="21"/>
                <w:u w:val="single"/>
              </w:rPr>
              <w:t>高空作业未戴安全带，未扣挂上方牢固可靠处或者其他防坠措施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2.4</w:t>
            </w:r>
          </w:p>
        </w:tc>
        <w:tc>
          <w:tcPr>
            <w:tcW w:w="7371" w:type="dxa"/>
            <w:gridSpan w:val="2"/>
            <w:noWrap w:val="0"/>
            <w:vAlign w:val="top"/>
          </w:tcPr>
          <w:p>
            <w:pPr>
              <w:snapToGrid w:val="0"/>
              <w:rPr>
                <w:color w:val="auto"/>
                <w:sz w:val="21"/>
                <w:szCs w:val="21"/>
                <w:u w:val="single"/>
              </w:rPr>
            </w:pPr>
            <w:r>
              <w:rPr>
                <w:color w:val="auto"/>
                <w:sz w:val="21"/>
                <w:szCs w:val="21"/>
                <w:u w:val="single"/>
              </w:rPr>
              <w:t>简易结构上作业未采取可靠防坠措施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2.5</w:t>
            </w:r>
          </w:p>
        </w:tc>
        <w:tc>
          <w:tcPr>
            <w:tcW w:w="7371" w:type="dxa"/>
            <w:gridSpan w:val="2"/>
            <w:noWrap w:val="0"/>
            <w:vAlign w:val="top"/>
          </w:tcPr>
          <w:p>
            <w:pPr>
              <w:snapToGrid w:val="0"/>
              <w:rPr>
                <w:color w:val="auto"/>
                <w:sz w:val="21"/>
                <w:szCs w:val="21"/>
                <w:u w:val="single"/>
              </w:rPr>
            </w:pPr>
            <w:r>
              <w:rPr>
                <w:color w:val="auto"/>
                <w:sz w:val="21"/>
                <w:szCs w:val="21"/>
                <w:u w:val="single"/>
              </w:rPr>
              <w:t>高空作业未按规定佩戴工具袋，上下抛扔物件</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2.6</w:t>
            </w:r>
          </w:p>
        </w:tc>
        <w:tc>
          <w:tcPr>
            <w:tcW w:w="7371" w:type="dxa"/>
            <w:gridSpan w:val="2"/>
            <w:noWrap w:val="0"/>
            <w:vAlign w:val="top"/>
          </w:tcPr>
          <w:p>
            <w:pPr>
              <w:snapToGrid w:val="0"/>
              <w:rPr>
                <w:color w:val="auto"/>
                <w:sz w:val="21"/>
                <w:szCs w:val="21"/>
                <w:u w:val="single"/>
              </w:rPr>
            </w:pPr>
            <w:r>
              <w:rPr>
                <w:color w:val="auto"/>
                <w:sz w:val="21"/>
                <w:szCs w:val="21"/>
                <w:u w:val="single"/>
              </w:rPr>
              <w:t>手持工具进行垂直攀爬</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2.7</w:t>
            </w:r>
          </w:p>
        </w:tc>
        <w:tc>
          <w:tcPr>
            <w:tcW w:w="7371" w:type="dxa"/>
            <w:gridSpan w:val="2"/>
            <w:noWrap w:val="0"/>
            <w:vAlign w:val="top"/>
          </w:tcPr>
          <w:p>
            <w:pPr>
              <w:snapToGrid w:val="0"/>
              <w:rPr>
                <w:color w:val="auto"/>
                <w:sz w:val="21"/>
                <w:szCs w:val="21"/>
                <w:u w:val="single"/>
              </w:rPr>
            </w:pPr>
            <w:r>
              <w:rPr>
                <w:color w:val="auto"/>
                <w:sz w:val="21"/>
                <w:szCs w:val="21"/>
                <w:u w:val="single"/>
              </w:rPr>
              <w:t>交叉作业未及时进行信息沟通，没有采取错开垂直交叉地点或时间、搭设防护隔离设施或警示措施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pPr>
              <w:snapToGrid w:val="0"/>
              <w:rPr>
                <w:color w:val="auto"/>
                <w:sz w:val="21"/>
                <w:szCs w:val="21"/>
                <w:u w:val="single"/>
              </w:rPr>
            </w:pPr>
            <w:r>
              <w:rPr>
                <w:color w:val="auto"/>
                <w:sz w:val="21"/>
                <w:szCs w:val="21"/>
                <w:u w:val="single"/>
              </w:rPr>
              <w:t>3.</w:t>
            </w:r>
            <w:r>
              <w:rPr>
                <w:rFonts w:hint="eastAsia"/>
                <w:color w:val="auto"/>
                <w:sz w:val="21"/>
                <w:szCs w:val="21"/>
                <w:u w:val="single"/>
                <w:lang w:val="en-US" w:eastAsia="zh-CN"/>
              </w:rPr>
              <w:t>临时用电</w:t>
            </w:r>
            <w:r>
              <w:rPr>
                <w:color w:val="auto"/>
                <w:sz w:val="21"/>
                <w:szCs w:val="21"/>
                <w:u w:val="single"/>
              </w:rPr>
              <w:t xml:space="preserve">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3.1</w:t>
            </w:r>
          </w:p>
        </w:tc>
        <w:tc>
          <w:tcPr>
            <w:tcW w:w="7371" w:type="dxa"/>
            <w:gridSpan w:val="2"/>
            <w:noWrap w:val="0"/>
            <w:vAlign w:val="top"/>
          </w:tcPr>
          <w:p>
            <w:pPr>
              <w:snapToGrid w:val="0"/>
              <w:rPr>
                <w:color w:val="auto"/>
                <w:sz w:val="21"/>
                <w:szCs w:val="21"/>
                <w:u w:val="single"/>
              </w:rPr>
            </w:pPr>
            <w:r>
              <w:rPr>
                <w:rFonts w:hint="eastAsia"/>
                <w:color w:val="auto"/>
                <w:sz w:val="21"/>
                <w:szCs w:val="21"/>
                <w:u w:val="single"/>
                <w:lang w:val="en-US" w:eastAsia="zh-CN"/>
              </w:rPr>
              <w:t>临时用电</w:t>
            </w:r>
            <w:r>
              <w:rPr>
                <w:color w:val="auto"/>
                <w:sz w:val="21"/>
                <w:szCs w:val="21"/>
                <w:u w:val="single"/>
              </w:rPr>
              <w:t>未实行三相五线制，没有采用三级配电、二级漏电保护和TN-S接零保护系统</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3.2</w:t>
            </w:r>
          </w:p>
        </w:tc>
        <w:tc>
          <w:tcPr>
            <w:tcW w:w="7371" w:type="dxa"/>
            <w:gridSpan w:val="2"/>
            <w:noWrap w:val="0"/>
            <w:vAlign w:val="top"/>
          </w:tcPr>
          <w:p>
            <w:pPr>
              <w:snapToGrid w:val="0"/>
              <w:rPr>
                <w:color w:val="auto"/>
                <w:sz w:val="21"/>
                <w:szCs w:val="21"/>
                <w:u w:val="single"/>
              </w:rPr>
            </w:pPr>
            <w:r>
              <w:rPr>
                <w:color w:val="auto"/>
                <w:sz w:val="21"/>
                <w:szCs w:val="21"/>
                <w:u w:val="single"/>
              </w:rPr>
              <w:t>电气裸露部分没有采取隔离或绝缘措施，电器设备金属外壳未有接地</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3.3</w:t>
            </w:r>
          </w:p>
        </w:tc>
        <w:tc>
          <w:tcPr>
            <w:tcW w:w="7371" w:type="dxa"/>
            <w:gridSpan w:val="2"/>
            <w:noWrap w:val="0"/>
            <w:vAlign w:val="top"/>
          </w:tcPr>
          <w:p>
            <w:pPr>
              <w:snapToGrid w:val="0"/>
              <w:rPr>
                <w:color w:val="auto"/>
                <w:sz w:val="21"/>
                <w:szCs w:val="21"/>
                <w:u w:val="single"/>
              </w:rPr>
            </w:pPr>
            <w:r>
              <w:rPr>
                <w:color w:val="auto"/>
                <w:sz w:val="21"/>
                <w:szCs w:val="21"/>
                <w:u w:val="single"/>
              </w:rPr>
              <w:t>配电箱一台开关控制多台电器设备</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3.4</w:t>
            </w:r>
          </w:p>
        </w:tc>
        <w:tc>
          <w:tcPr>
            <w:tcW w:w="7371" w:type="dxa"/>
            <w:gridSpan w:val="2"/>
            <w:noWrap w:val="0"/>
            <w:vAlign w:val="top"/>
          </w:tcPr>
          <w:p>
            <w:pPr>
              <w:snapToGrid w:val="0"/>
              <w:rPr>
                <w:color w:val="auto"/>
                <w:sz w:val="21"/>
                <w:szCs w:val="21"/>
                <w:u w:val="single"/>
              </w:rPr>
            </w:pPr>
            <w:r>
              <w:rPr>
                <w:color w:val="auto"/>
                <w:sz w:val="21"/>
                <w:szCs w:val="21"/>
                <w:u w:val="single"/>
              </w:rPr>
              <w:t>配电箱、开关箱放置地点不牢固，容易被水淹、土埋，杂草没有及时清除</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3.5</w:t>
            </w:r>
          </w:p>
        </w:tc>
        <w:tc>
          <w:tcPr>
            <w:tcW w:w="7371" w:type="dxa"/>
            <w:gridSpan w:val="2"/>
            <w:noWrap w:val="0"/>
            <w:vAlign w:val="top"/>
          </w:tcPr>
          <w:p>
            <w:pPr>
              <w:snapToGrid w:val="0"/>
              <w:rPr>
                <w:color w:val="auto"/>
                <w:sz w:val="21"/>
                <w:szCs w:val="21"/>
                <w:u w:val="single"/>
              </w:rPr>
            </w:pPr>
            <w:r>
              <w:rPr>
                <w:color w:val="auto"/>
                <w:sz w:val="21"/>
                <w:szCs w:val="21"/>
                <w:u w:val="single"/>
              </w:rPr>
              <w:t>电缆截面不能满足用电负荷要求，导致电缆发热或绝缘破损的</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3.6</w:t>
            </w:r>
          </w:p>
        </w:tc>
        <w:tc>
          <w:tcPr>
            <w:tcW w:w="7371" w:type="dxa"/>
            <w:gridSpan w:val="2"/>
            <w:noWrap w:val="0"/>
            <w:vAlign w:val="top"/>
          </w:tcPr>
          <w:p>
            <w:pPr>
              <w:snapToGrid w:val="0"/>
              <w:rPr>
                <w:color w:val="auto"/>
                <w:sz w:val="21"/>
                <w:szCs w:val="21"/>
                <w:u w:val="single"/>
              </w:rPr>
            </w:pPr>
            <w:r>
              <w:rPr>
                <w:color w:val="auto"/>
                <w:sz w:val="21"/>
                <w:szCs w:val="21"/>
                <w:u w:val="single"/>
              </w:rPr>
              <w:t>电缆埋地、设架空敷设距离、深度不足，通过道路未有保护措施，埋地电缆未有标识</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3.7</w:t>
            </w:r>
          </w:p>
        </w:tc>
        <w:tc>
          <w:tcPr>
            <w:tcW w:w="7371" w:type="dxa"/>
            <w:gridSpan w:val="2"/>
            <w:noWrap w:val="0"/>
            <w:vAlign w:val="top"/>
          </w:tcPr>
          <w:p>
            <w:pPr>
              <w:snapToGrid w:val="0"/>
              <w:rPr>
                <w:color w:val="auto"/>
                <w:sz w:val="21"/>
                <w:szCs w:val="21"/>
                <w:u w:val="single"/>
              </w:rPr>
            </w:pPr>
            <w:r>
              <w:rPr>
                <w:color w:val="auto"/>
                <w:sz w:val="21"/>
                <w:szCs w:val="21"/>
                <w:u w:val="single"/>
              </w:rPr>
              <w:t>配电室没有配置消防措施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3.8</w:t>
            </w:r>
          </w:p>
        </w:tc>
        <w:tc>
          <w:tcPr>
            <w:tcW w:w="7371" w:type="dxa"/>
            <w:gridSpan w:val="2"/>
            <w:noWrap w:val="0"/>
            <w:vAlign w:val="top"/>
          </w:tcPr>
          <w:p>
            <w:pPr>
              <w:snapToGrid w:val="0"/>
              <w:rPr>
                <w:color w:val="auto"/>
                <w:sz w:val="21"/>
                <w:szCs w:val="21"/>
                <w:u w:val="single"/>
              </w:rPr>
            </w:pPr>
            <w:r>
              <w:rPr>
                <w:color w:val="auto"/>
                <w:sz w:val="21"/>
                <w:szCs w:val="21"/>
                <w:u w:val="single"/>
              </w:rPr>
              <w:t>施工电源维修时未采取断电、上锁、设置警示牌、监护等措施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3.9</w:t>
            </w:r>
          </w:p>
        </w:tc>
        <w:tc>
          <w:tcPr>
            <w:tcW w:w="7371" w:type="dxa"/>
            <w:gridSpan w:val="2"/>
            <w:noWrap w:val="0"/>
            <w:vAlign w:val="top"/>
          </w:tcPr>
          <w:p>
            <w:pPr>
              <w:snapToGrid w:val="0"/>
              <w:rPr>
                <w:color w:val="auto"/>
                <w:sz w:val="21"/>
                <w:szCs w:val="21"/>
                <w:u w:val="single"/>
              </w:rPr>
            </w:pPr>
            <w:r>
              <w:rPr>
                <w:color w:val="auto"/>
                <w:sz w:val="21"/>
                <w:szCs w:val="21"/>
                <w:u w:val="single"/>
              </w:rPr>
              <w:t>不按规定乱拉乱接电源，将电源线直接插入插座或勾挂闸刀上</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3.10</w:t>
            </w:r>
          </w:p>
        </w:tc>
        <w:tc>
          <w:tcPr>
            <w:tcW w:w="7371" w:type="dxa"/>
            <w:gridSpan w:val="2"/>
            <w:noWrap w:val="0"/>
            <w:vAlign w:val="top"/>
          </w:tcPr>
          <w:p>
            <w:pPr>
              <w:snapToGrid w:val="0"/>
              <w:rPr>
                <w:color w:val="auto"/>
                <w:sz w:val="21"/>
                <w:szCs w:val="21"/>
                <w:u w:val="single"/>
              </w:rPr>
            </w:pPr>
            <w:r>
              <w:rPr>
                <w:color w:val="auto"/>
                <w:sz w:val="21"/>
                <w:szCs w:val="21"/>
                <w:u w:val="single"/>
              </w:rPr>
              <w:t>电气线路、电气设备连接采用缠绕方式</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3.11</w:t>
            </w:r>
          </w:p>
        </w:tc>
        <w:tc>
          <w:tcPr>
            <w:tcW w:w="7371" w:type="dxa"/>
            <w:gridSpan w:val="2"/>
            <w:noWrap w:val="0"/>
            <w:vAlign w:val="top"/>
          </w:tcPr>
          <w:p>
            <w:pPr>
              <w:snapToGrid w:val="0"/>
              <w:rPr>
                <w:color w:val="auto"/>
                <w:sz w:val="21"/>
                <w:szCs w:val="21"/>
                <w:u w:val="single"/>
              </w:rPr>
            </w:pPr>
            <w:r>
              <w:rPr>
                <w:color w:val="auto"/>
                <w:sz w:val="21"/>
                <w:szCs w:val="21"/>
                <w:u w:val="single"/>
              </w:rPr>
              <w:t>移动照明灯具没有按照使用场所要求采用安全电压</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3.12</w:t>
            </w:r>
          </w:p>
        </w:tc>
        <w:tc>
          <w:tcPr>
            <w:tcW w:w="7371" w:type="dxa"/>
            <w:gridSpan w:val="2"/>
            <w:noWrap w:val="0"/>
            <w:vAlign w:val="top"/>
          </w:tcPr>
          <w:p>
            <w:pPr>
              <w:snapToGrid w:val="0"/>
              <w:rPr>
                <w:color w:val="auto"/>
                <w:sz w:val="21"/>
                <w:szCs w:val="21"/>
                <w:u w:val="single"/>
              </w:rPr>
            </w:pPr>
            <w:r>
              <w:rPr>
                <w:color w:val="auto"/>
                <w:sz w:val="21"/>
                <w:szCs w:val="21"/>
                <w:u w:val="single"/>
              </w:rPr>
              <w:t>露天电气装置未做好防雨措施的</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3.13</w:t>
            </w:r>
          </w:p>
        </w:tc>
        <w:tc>
          <w:tcPr>
            <w:tcW w:w="7371" w:type="dxa"/>
            <w:gridSpan w:val="2"/>
            <w:noWrap w:val="0"/>
            <w:vAlign w:val="top"/>
          </w:tcPr>
          <w:p>
            <w:pPr>
              <w:snapToGrid w:val="0"/>
              <w:rPr>
                <w:color w:val="auto"/>
                <w:sz w:val="21"/>
                <w:szCs w:val="21"/>
                <w:u w:val="single"/>
              </w:rPr>
            </w:pPr>
            <w:r>
              <w:rPr>
                <w:color w:val="auto"/>
                <w:sz w:val="21"/>
                <w:szCs w:val="21"/>
                <w:u w:val="single"/>
              </w:rPr>
              <w:t>未按规范要求装配电器设备</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pPr>
              <w:snapToGrid w:val="0"/>
              <w:rPr>
                <w:color w:val="auto"/>
                <w:sz w:val="21"/>
                <w:szCs w:val="21"/>
                <w:u w:val="single"/>
              </w:rPr>
            </w:pPr>
            <w:r>
              <w:rPr>
                <w:color w:val="auto"/>
                <w:sz w:val="21"/>
                <w:szCs w:val="21"/>
                <w:u w:val="single"/>
              </w:rPr>
              <w:t>4.脚手架</w:t>
            </w:r>
            <w:r>
              <w:rPr>
                <w:rFonts w:hint="eastAsia"/>
                <w:color w:val="auto"/>
                <w:sz w:val="21"/>
                <w:szCs w:val="21"/>
                <w:u w:val="single"/>
                <w:lang w:val="en-US" w:eastAsia="zh-CN"/>
              </w:rPr>
              <w:t>搭设</w:t>
            </w:r>
            <w:r>
              <w:rPr>
                <w:color w:val="auto"/>
                <w:sz w:val="21"/>
                <w:szCs w:val="21"/>
                <w:u w:val="single"/>
              </w:rPr>
              <w:t xml:space="preserve"> 违反下列行为的给予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4.1</w:t>
            </w:r>
          </w:p>
        </w:tc>
        <w:tc>
          <w:tcPr>
            <w:tcW w:w="7371" w:type="dxa"/>
            <w:gridSpan w:val="2"/>
            <w:noWrap w:val="0"/>
            <w:vAlign w:val="top"/>
          </w:tcPr>
          <w:p>
            <w:pPr>
              <w:snapToGrid w:val="0"/>
              <w:rPr>
                <w:color w:val="auto"/>
                <w:sz w:val="21"/>
                <w:szCs w:val="21"/>
                <w:u w:val="single"/>
              </w:rPr>
            </w:pPr>
            <w:r>
              <w:rPr>
                <w:color w:val="auto"/>
                <w:sz w:val="21"/>
                <w:szCs w:val="21"/>
                <w:u w:val="single"/>
              </w:rPr>
              <w:t>钢管、扣件、竹排、铁丝等材料不符合要求，进入现场未经检查或试验</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4.2</w:t>
            </w:r>
          </w:p>
        </w:tc>
        <w:tc>
          <w:tcPr>
            <w:tcW w:w="7371" w:type="dxa"/>
            <w:gridSpan w:val="2"/>
            <w:noWrap w:val="0"/>
            <w:vAlign w:val="top"/>
          </w:tcPr>
          <w:p>
            <w:pPr>
              <w:snapToGrid w:val="0"/>
              <w:rPr>
                <w:color w:val="auto"/>
                <w:sz w:val="21"/>
                <w:szCs w:val="21"/>
                <w:u w:val="single"/>
              </w:rPr>
            </w:pPr>
            <w:r>
              <w:rPr>
                <w:color w:val="auto"/>
                <w:sz w:val="21"/>
                <w:szCs w:val="21"/>
                <w:u w:val="single"/>
              </w:rPr>
              <w:t>钢管立柱底部不牢固，未按规定设置扫地杆</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4.3</w:t>
            </w:r>
          </w:p>
        </w:tc>
        <w:tc>
          <w:tcPr>
            <w:tcW w:w="7371" w:type="dxa"/>
            <w:gridSpan w:val="2"/>
            <w:noWrap w:val="0"/>
            <w:vAlign w:val="top"/>
          </w:tcPr>
          <w:p>
            <w:pPr>
              <w:snapToGrid w:val="0"/>
              <w:rPr>
                <w:color w:val="auto"/>
                <w:sz w:val="21"/>
                <w:szCs w:val="21"/>
                <w:u w:val="single"/>
              </w:rPr>
            </w:pPr>
            <w:r>
              <w:rPr>
                <w:color w:val="auto"/>
                <w:sz w:val="21"/>
                <w:szCs w:val="21"/>
                <w:u w:val="single"/>
              </w:rPr>
              <w:t>脚手架立柱、横杆、连墙件间距过大，未按规定设置剪刀撑或支杆（抛撑）</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4.4</w:t>
            </w:r>
          </w:p>
        </w:tc>
        <w:tc>
          <w:tcPr>
            <w:tcW w:w="7371" w:type="dxa"/>
            <w:gridSpan w:val="2"/>
            <w:noWrap w:val="0"/>
            <w:vAlign w:val="top"/>
          </w:tcPr>
          <w:p>
            <w:pPr>
              <w:snapToGrid w:val="0"/>
              <w:rPr>
                <w:color w:val="auto"/>
                <w:sz w:val="21"/>
                <w:szCs w:val="21"/>
                <w:u w:val="single"/>
              </w:rPr>
            </w:pPr>
            <w:r>
              <w:rPr>
                <w:color w:val="auto"/>
                <w:sz w:val="21"/>
                <w:szCs w:val="21"/>
                <w:u w:val="single"/>
              </w:rPr>
              <w:t>脚手板未满铺或者存在空隙、探头板，脚手板未绑扎或压扣</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4.5</w:t>
            </w:r>
          </w:p>
        </w:tc>
        <w:tc>
          <w:tcPr>
            <w:tcW w:w="7371" w:type="dxa"/>
            <w:gridSpan w:val="2"/>
            <w:noWrap w:val="0"/>
            <w:vAlign w:val="top"/>
          </w:tcPr>
          <w:p>
            <w:pPr>
              <w:snapToGrid w:val="0"/>
              <w:rPr>
                <w:color w:val="auto"/>
                <w:sz w:val="21"/>
                <w:szCs w:val="21"/>
                <w:u w:val="single"/>
              </w:rPr>
            </w:pPr>
            <w:r>
              <w:rPr>
                <w:color w:val="auto"/>
                <w:sz w:val="21"/>
                <w:szCs w:val="21"/>
                <w:u w:val="single"/>
              </w:rPr>
              <w:t>脚手架或模板支撑系统在搭设过程中未按规定布置安全网</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4.6</w:t>
            </w:r>
          </w:p>
        </w:tc>
        <w:tc>
          <w:tcPr>
            <w:tcW w:w="7371" w:type="dxa"/>
            <w:gridSpan w:val="2"/>
            <w:noWrap w:val="0"/>
            <w:vAlign w:val="top"/>
          </w:tcPr>
          <w:p>
            <w:pPr>
              <w:snapToGrid w:val="0"/>
              <w:rPr>
                <w:color w:val="auto"/>
                <w:sz w:val="21"/>
                <w:szCs w:val="21"/>
                <w:u w:val="single"/>
              </w:rPr>
            </w:pPr>
            <w:r>
              <w:rPr>
                <w:color w:val="auto"/>
                <w:sz w:val="21"/>
                <w:szCs w:val="21"/>
                <w:u w:val="single"/>
              </w:rPr>
              <w:t>脚手架拆除顺序违反安全规定，上下同时拆除脚手架，采取整体推倒方式拆除脚手架</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4.7</w:t>
            </w:r>
          </w:p>
        </w:tc>
        <w:tc>
          <w:tcPr>
            <w:tcW w:w="7371" w:type="dxa"/>
            <w:gridSpan w:val="2"/>
            <w:noWrap w:val="0"/>
            <w:vAlign w:val="top"/>
          </w:tcPr>
          <w:p>
            <w:pPr>
              <w:snapToGrid w:val="0"/>
              <w:rPr>
                <w:color w:val="auto"/>
                <w:sz w:val="21"/>
                <w:szCs w:val="21"/>
                <w:u w:val="single"/>
              </w:rPr>
            </w:pPr>
            <w:r>
              <w:rPr>
                <w:color w:val="auto"/>
                <w:sz w:val="21"/>
                <w:szCs w:val="21"/>
                <w:u w:val="single"/>
              </w:rPr>
              <w:t>脚手架搭设、拆除作业未设警示区域或专人监护</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4.8</w:t>
            </w:r>
          </w:p>
        </w:tc>
        <w:tc>
          <w:tcPr>
            <w:tcW w:w="7371" w:type="dxa"/>
            <w:gridSpan w:val="2"/>
            <w:noWrap w:val="0"/>
            <w:vAlign w:val="top"/>
          </w:tcPr>
          <w:p>
            <w:pPr>
              <w:snapToGrid w:val="0"/>
              <w:rPr>
                <w:color w:val="auto"/>
                <w:sz w:val="21"/>
                <w:szCs w:val="21"/>
                <w:u w:val="single"/>
              </w:rPr>
            </w:pPr>
            <w:r>
              <w:rPr>
                <w:rFonts w:hint="eastAsia"/>
                <w:color w:val="auto"/>
                <w:sz w:val="21"/>
                <w:szCs w:val="21"/>
                <w:u w:val="single"/>
              </w:rPr>
              <w:t>拆下的</w:t>
            </w:r>
            <w:r>
              <w:rPr>
                <w:rFonts w:hint="eastAsia"/>
                <w:color w:val="auto"/>
                <w:sz w:val="21"/>
                <w:szCs w:val="21"/>
                <w:u w:val="single"/>
                <w:lang w:val="en-US" w:eastAsia="zh-CN"/>
              </w:rPr>
              <w:t>脚手架材料</w:t>
            </w:r>
            <w:r>
              <w:rPr>
                <w:rFonts w:hint="eastAsia"/>
                <w:color w:val="auto"/>
                <w:sz w:val="21"/>
                <w:szCs w:val="21"/>
                <w:u w:val="single"/>
              </w:rPr>
              <w:t>没有及时运到指定地点集中堆放，大量堆放在脚手架或临时搭设的工作台上</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color w:val="auto"/>
                <w:sz w:val="21"/>
                <w:szCs w:val="21"/>
                <w:u w:val="single"/>
              </w:rPr>
            </w:pPr>
            <w:r>
              <w:rPr>
                <w:color w:val="auto"/>
                <w:sz w:val="21"/>
                <w:szCs w:val="21"/>
                <w:u w:val="single"/>
              </w:rPr>
              <w:t>4.</w:t>
            </w:r>
            <w:r>
              <w:rPr>
                <w:rFonts w:hint="eastAsia"/>
                <w:color w:val="auto"/>
                <w:sz w:val="21"/>
                <w:szCs w:val="21"/>
                <w:u w:val="single"/>
              </w:rPr>
              <w:t>9</w:t>
            </w:r>
          </w:p>
        </w:tc>
        <w:tc>
          <w:tcPr>
            <w:tcW w:w="7371" w:type="dxa"/>
            <w:gridSpan w:val="2"/>
            <w:noWrap w:val="0"/>
            <w:vAlign w:val="top"/>
          </w:tcPr>
          <w:p>
            <w:pPr>
              <w:snapToGrid w:val="0"/>
              <w:rPr>
                <w:color w:val="auto"/>
                <w:sz w:val="21"/>
                <w:szCs w:val="21"/>
                <w:u w:val="single"/>
              </w:rPr>
            </w:pPr>
            <w:r>
              <w:rPr>
                <w:color w:val="auto"/>
                <w:sz w:val="21"/>
                <w:szCs w:val="21"/>
                <w:u w:val="single"/>
              </w:rPr>
              <w:t>脚手架搭设未进行验收与挂牌就使用</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4.10</w:t>
            </w:r>
          </w:p>
        </w:tc>
        <w:tc>
          <w:tcPr>
            <w:tcW w:w="7371" w:type="dxa"/>
            <w:gridSpan w:val="2"/>
            <w:noWrap w:val="0"/>
            <w:vAlign w:val="top"/>
          </w:tcPr>
          <w:p>
            <w:pPr>
              <w:snapToGrid w:val="0"/>
              <w:rPr>
                <w:color w:val="auto"/>
                <w:sz w:val="21"/>
                <w:szCs w:val="21"/>
                <w:u w:val="single"/>
              </w:rPr>
            </w:pPr>
            <w:r>
              <w:rPr>
                <w:rFonts w:hint="eastAsia"/>
                <w:color w:val="auto"/>
                <w:sz w:val="21"/>
                <w:szCs w:val="21"/>
                <w:u w:val="single"/>
                <w:lang w:val="en-US" w:eastAsia="zh-CN"/>
              </w:rPr>
              <w:t>可燃材料</w:t>
            </w:r>
            <w:r>
              <w:rPr>
                <w:rFonts w:hint="eastAsia"/>
                <w:color w:val="auto"/>
                <w:sz w:val="21"/>
                <w:szCs w:val="21"/>
                <w:u w:val="single"/>
              </w:rPr>
              <w:t>集中堆放时，距离火源小于10m，且料场四周没有设置消防器材</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200" w:type="dxa"/>
            <w:gridSpan w:val="5"/>
            <w:noWrap w:val="0"/>
            <w:vAlign w:val="center"/>
          </w:tcPr>
          <w:p>
            <w:pPr>
              <w:snapToGrid w:val="0"/>
              <w:jc w:val="left"/>
              <w:rPr>
                <w:color w:val="auto"/>
                <w:sz w:val="21"/>
                <w:szCs w:val="21"/>
                <w:u w:val="single"/>
              </w:rPr>
            </w:pPr>
            <w:r>
              <w:rPr>
                <w:color w:val="auto"/>
                <w:sz w:val="21"/>
                <w:szCs w:val="21"/>
                <w:u w:val="single"/>
              </w:rPr>
              <w:t>5.起重</w:t>
            </w:r>
            <w:r>
              <w:rPr>
                <w:rFonts w:hint="eastAsia"/>
                <w:color w:val="auto"/>
                <w:sz w:val="21"/>
                <w:szCs w:val="21"/>
                <w:u w:val="single"/>
              </w:rPr>
              <w:t>机械</w:t>
            </w:r>
            <w:r>
              <w:rPr>
                <w:color w:val="auto"/>
                <w:sz w:val="21"/>
                <w:szCs w:val="21"/>
                <w:u w:val="single"/>
              </w:rPr>
              <w:t>与</w:t>
            </w:r>
            <w:r>
              <w:rPr>
                <w:rFonts w:hint="eastAsia"/>
                <w:color w:val="auto"/>
                <w:sz w:val="21"/>
                <w:szCs w:val="21"/>
                <w:u w:val="single"/>
              </w:rPr>
              <w:t>起重作业</w:t>
            </w:r>
            <w:r>
              <w:rPr>
                <w:color w:val="auto"/>
                <w:sz w:val="21"/>
                <w:szCs w:val="21"/>
                <w:u w:val="single"/>
              </w:rPr>
              <w:t xml:space="preserve">  </w:t>
            </w:r>
            <w:r>
              <w:rPr>
                <w:rFonts w:hint="eastAsia"/>
                <w:color w:val="auto"/>
                <w:sz w:val="21"/>
                <w:szCs w:val="21"/>
                <w:u w:val="single"/>
              </w:rPr>
              <w:t xml:space="preserve">    </w:t>
            </w:r>
            <w:r>
              <w:rPr>
                <w:color w:val="auto"/>
                <w:sz w:val="21"/>
                <w:szCs w:val="21"/>
                <w:u w:val="single"/>
              </w:rPr>
              <w:t>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5.1</w:t>
            </w:r>
          </w:p>
        </w:tc>
        <w:tc>
          <w:tcPr>
            <w:tcW w:w="7371" w:type="dxa"/>
            <w:gridSpan w:val="2"/>
            <w:noWrap w:val="0"/>
            <w:vAlign w:val="top"/>
          </w:tcPr>
          <w:p>
            <w:pPr>
              <w:snapToGrid w:val="0"/>
              <w:rPr>
                <w:color w:val="auto"/>
                <w:sz w:val="21"/>
                <w:szCs w:val="21"/>
                <w:u w:val="single"/>
              </w:rPr>
            </w:pPr>
            <w:r>
              <w:rPr>
                <w:color w:val="auto"/>
                <w:sz w:val="21"/>
                <w:szCs w:val="21"/>
                <w:u w:val="single"/>
              </w:rPr>
              <w:t>人员从起重物下方停留或通过，或吊物从人头上越过</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5.2</w:t>
            </w:r>
          </w:p>
        </w:tc>
        <w:tc>
          <w:tcPr>
            <w:tcW w:w="7371" w:type="dxa"/>
            <w:gridSpan w:val="2"/>
            <w:noWrap w:val="0"/>
            <w:vAlign w:val="top"/>
          </w:tcPr>
          <w:p>
            <w:pPr>
              <w:snapToGrid w:val="0"/>
              <w:rPr>
                <w:color w:val="auto"/>
                <w:sz w:val="21"/>
                <w:szCs w:val="21"/>
                <w:u w:val="single"/>
              </w:rPr>
            </w:pPr>
            <w:r>
              <w:rPr>
                <w:color w:val="auto"/>
                <w:sz w:val="21"/>
                <w:szCs w:val="21"/>
                <w:u w:val="single"/>
              </w:rPr>
              <w:t>起吊物未绑扎牢固，起吊时偏拉斜吊，吊物未放稳时松钩</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5.3</w:t>
            </w:r>
          </w:p>
        </w:tc>
        <w:tc>
          <w:tcPr>
            <w:tcW w:w="7371" w:type="dxa"/>
            <w:gridSpan w:val="2"/>
            <w:noWrap w:val="0"/>
            <w:vAlign w:val="top"/>
          </w:tcPr>
          <w:p>
            <w:pPr>
              <w:snapToGrid w:val="0"/>
              <w:rPr>
                <w:color w:val="auto"/>
                <w:sz w:val="21"/>
                <w:szCs w:val="21"/>
                <w:u w:val="single"/>
              </w:rPr>
            </w:pPr>
            <w:r>
              <w:rPr>
                <w:color w:val="auto"/>
                <w:sz w:val="21"/>
                <w:szCs w:val="21"/>
                <w:u w:val="single"/>
              </w:rPr>
              <w:t>起吊大件或不规则组件未绑溜绳</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5.4</w:t>
            </w:r>
          </w:p>
        </w:tc>
        <w:tc>
          <w:tcPr>
            <w:tcW w:w="7371" w:type="dxa"/>
            <w:gridSpan w:val="2"/>
            <w:noWrap w:val="0"/>
            <w:vAlign w:val="top"/>
          </w:tcPr>
          <w:p>
            <w:pPr>
              <w:snapToGrid w:val="0"/>
              <w:rPr>
                <w:color w:val="auto"/>
                <w:sz w:val="21"/>
                <w:szCs w:val="21"/>
                <w:u w:val="single"/>
              </w:rPr>
            </w:pPr>
            <w:r>
              <w:rPr>
                <w:color w:val="auto"/>
                <w:sz w:val="21"/>
                <w:szCs w:val="21"/>
                <w:u w:val="single"/>
              </w:rPr>
              <w:t>起重机同时操作三个动作，接近满负荷同时操作两个动作</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5.5</w:t>
            </w:r>
          </w:p>
        </w:tc>
        <w:tc>
          <w:tcPr>
            <w:tcW w:w="7371" w:type="dxa"/>
            <w:gridSpan w:val="2"/>
            <w:noWrap w:val="0"/>
            <w:vAlign w:val="top"/>
          </w:tcPr>
          <w:p>
            <w:pPr>
              <w:snapToGrid w:val="0"/>
              <w:rPr>
                <w:color w:val="auto"/>
                <w:sz w:val="21"/>
                <w:szCs w:val="21"/>
                <w:u w:val="single"/>
              </w:rPr>
            </w:pPr>
            <w:r>
              <w:rPr>
                <w:color w:val="auto"/>
                <w:sz w:val="21"/>
                <w:szCs w:val="21"/>
                <w:u w:val="single"/>
              </w:rPr>
              <w:t>吊起重物时司机离开操作室</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w:t>
            </w:r>
            <w:r>
              <w:rPr>
                <w:rFonts w:hint="eastAsia"/>
                <w:color w:val="auto"/>
                <w:sz w:val="21"/>
                <w:szCs w:val="21"/>
                <w:u w:val="single"/>
                <w:lang w:val="en-US" w:eastAsia="zh-CN"/>
              </w:rPr>
              <w:t>6</w:t>
            </w:r>
          </w:p>
        </w:tc>
        <w:tc>
          <w:tcPr>
            <w:tcW w:w="7371" w:type="dxa"/>
            <w:gridSpan w:val="2"/>
            <w:noWrap w:val="0"/>
            <w:vAlign w:val="top"/>
          </w:tcPr>
          <w:p>
            <w:pPr>
              <w:snapToGrid w:val="0"/>
              <w:rPr>
                <w:color w:val="auto"/>
                <w:sz w:val="21"/>
                <w:szCs w:val="21"/>
                <w:u w:val="single"/>
              </w:rPr>
            </w:pPr>
            <w:r>
              <w:rPr>
                <w:color w:val="auto"/>
                <w:sz w:val="21"/>
                <w:szCs w:val="21"/>
                <w:u w:val="single"/>
              </w:rPr>
              <w:t>移动式起重机械在起吊重物时未打支脚或在松动地面作业时未垫钢板或枕木</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w:t>
            </w:r>
            <w:r>
              <w:rPr>
                <w:rFonts w:hint="eastAsia"/>
                <w:color w:val="auto"/>
                <w:sz w:val="21"/>
                <w:szCs w:val="21"/>
                <w:u w:val="single"/>
                <w:lang w:val="en-US" w:eastAsia="zh-CN"/>
              </w:rPr>
              <w:t>7</w:t>
            </w:r>
          </w:p>
        </w:tc>
        <w:tc>
          <w:tcPr>
            <w:tcW w:w="7371" w:type="dxa"/>
            <w:gridSpan w:val="2"/>
            <w:noWrap w:val="0"/>
            <w:vAlign w:val="top"/>
          </w:tcPr>
          <w:p>
            <w:pPr>
              <w:snapToGrid w:val="0"/>
              <w:rPr>
                <w:color w:val="auto"/>
                <w:sz w:val="21"/>
                <w:szCs w:val="21"/>
                <w:u w:val="single"/>
              </w:rPr>
            </w:pPr>
            <w:r>
              <w:rPr>
                <w:color w:val="auto"/>
                <w:sz w:val="21"/>
                <w:szCs w:val="21"/>
                <w:u w:val="single"/>
              </w:rPr>
              <w:t>暴雨、大风等恶劣气候进行高处、起重作业</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w:t>
            </w:r>
            <w:r>
              <w:rPr>
                <w:rFonts w:hint="eastAsia"/>
                <w:color w:val="auto"/>
                <w:sz w:val="21"/>
                <w:szCs w:val="21"/>
                <w:u w:val="single"/>
                <w:lang w:val="en-US" w:eastAsia="zh-CN"/>
              </w:rPr>
              <w:t>8</w:t>
            </w:r>
          </w:p>
        </w:tc>
        <w:tc>
          <w:tcPr>
            <w:tcW w:w="7371" w:type="dxa"/>
            <w:gridSpan w:val="2"/>
            <w:noWrap w:val="0"/>
            <w:vAlign w:val="top"/>
          </w:tcPr>
          <w:p>
            <w:pPr>
              <w:snapToGrid w:val="0"/>
              <w:rPr>
                <w:color w:val="auto"/>
                <w:sz w:val="21"/>
                <w:szCs w:val="21"/>
                <w:u w:val="single"/>
              </w:rPr>
            </w:pPr>
            <w:r>
              <w:rPr>
                <w:color w:val="auto"/>
                <w:sz w:val="21"/>
                <w:szCs w:val="21"/>
                <w:u w:val="single"/>
              </w:rPr>
              <w:t>卷扬机基座不稳定，卷筒与导向轮中心未对正，运行时钢丝绳小于五圈，运行时跨越钢丝绳</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w:t>
            </w:r>
            <w:r>
              <w:rPr>
                <w:rFonts w:hint="eastAsia"/>
                <w:color w:val="auto"/>
                <w:sz w:val="21"/>
                <w:szCs w:val="21"/>
                <w:u w:val="single"/>
                <w:lang w:val="en-US" w:eastAsia="zh-CN"/>
              </w:rPr>
              <w:t>9</w:t>
            </w:r>
          </w:p>
        </w:tc>
        <w:tc>
          <w:tcPr>
            <w:tcW w:w="7371" w:type="dxa"/>
            <w:gridSpan w:val="2"/>
            <w:noWrap w:val="0"/>
            <w:vAlign w:val="top"/>
          </w:tcPr>
          <w:p>
            <w:pPr>
              <w:snapToGrid w:val="0"/>
              <w:rPr>
                <w:color w:val="auto"/>
                <w:sz w:val="21"/>
                <w:szCs w:val="21"/>
                <w:u w:val="single"/>
              </w:rPr>
            </w:pPr>
            <w:r>
              <w:rPr>
                <w:color w:val="auto"/>
                <w:sz w:val="21"/>
                <w:szCs w:val="21"/>
                <w:u w:val="single"/>
              </w:rPr>
              <w:t>葫芦长期吊挂时不加保险绳，拆成单链使用，拉链人数超过规定要求</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5.1</w:t>
            </w:r>
            <w:r>
              <w:rPr>
                <w:rFonts w:hint="eastAsia"/>
                <w:color w:val="auto"/>
                <w:sz w:val="21"/>
                <w:szCs w:val="21"/>
                <w:u w:val="single"/>
                <w:lang w:val="en-US" w:eastAsia="zh-CN"/>
              </w:rPr>
              <w:t>0</w:t>
            </w:r>
          </w:p>
        </w:tc>
        <w:tc>
          <w:tcPr>
            <w:tcW w:w="7371" w:type="dxa"/>
            <w:gridSpan w:val="2"/>
            <w:noWrap w:val="0"/>
            <w:vAlign w:val="top"/>
          </w:tcPr>
          <w:p>
            <w:pPr>
              <w:snapToGrid w:val="0"/>
              <w:rPr>
                <w:color w:val="auto"/>
                <w:sz w:val="21"/>
                <w:szCs w:val="21"/>
                <w:u w:val="single"/>
              </w:rPr>
            </w:pPr>
            <w:r>
              <w:rPr>
                <w:color w:val="auto"/>
                <w:sz w:val="21"/>
                <w:szCs w:val="21"/>
                <w:u w:val="single"/>
              </w:rPr>
              <w:t>未经承载计算及批准利用管道、脚手架起吊物件</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5.1</w:t>
            </w:r>
            <w:r>
              <w:rPr>
                <w:rFonts w:hint="eastAsia"/>
                <w:color w:val="auto"/>
                <w:sz w:val="21"/>
                <w:szCs w:val="21"/>
                <w:u w:val="single"/>
                <w:lang w:val="en-US" w:eastAsia="zh-CN"/>
              </w:rPr>
              <w:t>1</w:t>
            </w:r>
          </w:p>
        </w:tc>
        <w:tc>
          <w:tcPr>
            <w:tcW w:w="7371" w:type="dxa"/>
            <w:gridSpan w:val="2"/>
            <w:noWrap w:val="0"/>
            <w:vAlign w:val="top"/>
          </w:tcPr>
          <w:p>
            <w:pPr>
              <w:snapToGrid w:val="0"/>
              <w:rPr>
                <w:color w:val="auto"/>
                <w:sz w:val="21"/>
                <w:szCs w:val="21"/>
                <w:u w:val="single"/>
              </w:rPr>
            </w:pPr>
            <w:r>
              <w:rPr>
                <w:color w:val="auto"/>
                <w:sz w:val="21"/>
                <w:szCs w:val="21"/>
                <w:u w:val="single"/>
              </w:rPr>
              <w:t>使用井架载人上下，电梯和井架安全门未设置</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5.1</w:t>
            </w:r>
            <w:r>
              <w:rPr>
                <w:rFonts w:hint="eastAsia"/>
                <w:color w:val="auto"/>
                <w:sz w:val="21"/>
                <w:szCs w:val="21"/>
                <w:u w:val="single"/>
                <w:lang w:val="en-US" w:eastAsia="zh-CN"/>
              </w:rPr>
              <w:t>2</w:t>
            </w:r>
          </w:p>
        </w:tc>
        <w:tc>
          <w:tcPr>
            <w:tcW w:w="7371" w:type="dxa"/>
            <w:gridSpan w:val="2"/>
            <w:noWrap w:val="0"/>
            <w:vAlign w:val="top"/>
          </w:tcPr>
          <w:p>
            <w:pPr>
              <w:snapToGrid w:val="0"/>
              <w:rPr>
                <w:color w:val="auto"/>
                <w:sz w:val="21"/>
                <w:szCs w:val="21"/>
                <w:u w:val="single"/>
              </w:rPr>
            </w:pPr>
            <w:r>
              <w:rPr>
                <w:color w:val="auto"/>
                <w:sz w:val="21"/>
                <w:szCs w:val="21"/>
                <w:u w:val="single"/>
              </w:rPr>
              <w:t>使用不合格的起重工器具或违规使用工器具</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5.1</w:t>
            </w:r>
            <w:r>
              <w:rPr>
                <w:rFonts w:hint="eastAsia"/>
                <w:color w:val="auto"/>
                <w:sz w:val="21"/>
                <w:szCs w:val="21"/>
                <w:u w:val="single"/>
                <w:lang w:val="en-US" w:eastAsia="zh-CN"/>
              </w:rPr>
              <w:t>3</w:t>
            </w:r>
          </w:p>
        </w:tc>
        <w:tc>
          <w:tcPr>
            <w:tcW w:w="7371" w:type="dxa"/>
            <w:gridSpan w:val="2"/>
            <w:noWrap w:val="0"/>
            <w:vAlign w:val="top"/>
          </w:tcPr>
          <w:p>
            <w:pPr>
              <w:snapToGrid w:val="0"/>
              <w:rPr>
                <w:color w:val="auto"/>
                <w:sz w:val="21"/>
                <w:szCs w:val="21"/>
                <w:u w:val="single"/>
              </w:rPr>
            </w:pPr>
            <w:r>
              <w:rPr>
                <w:color w:val="auto"/>
                <w:sz w:val="21"/>
                <w:szCs w:val="21"/>
                <w:u w:val="single"/>
              </w:rPr>
              <w:t>钢丝绳接触棱角处未垫包角</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5.1</w:t>
            </w:r>
            <w:r>
              <w:rPr>
                <w:rFonts w:hint="eastAsia"/>
                <w:color w:val="auto"/>
                <w:sz w:val="21"/>
                <w:szCs w:val="21"/>
                <w:u w:val="single"/>
                <w:lang w:val="en-US" w:eastAsia="zh-CN"/>
              </w:rPr>
              <w:t>4</w:t>
            </w:r>
          </w:p>
        </w:tc>
        <w:tc>
          <w:tcPr>
            <w:tcW w:w="7371" w:type="dxa"/>
            <w:gridSpan w:val="2"/>
            <w:noWrap w:val="0"/>
            <w:vAlign w:val="top"/>
          </w:tcPr>
          <w:p>
            <w:pPr>
              <w:snapToGrid w:val="0"/>
              <w:rPr>
                <w:color w:val="auto"/>
                <w:sz w:val="21"/>
                <w:szCs w:val="21"/>
                <w:u w:val="single"/>
              </w:rPr>
            </w:pPr>
            <w:r>
              <w:rPr>
                <w:color w:val="auto"/>
                <w:sz w:val="21"/>
                <w:szCs w:val="21"/>
                <w:u w:val="single"/>
              </w:rPr>
              <w:t>违反十不吊规定</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200" w:type="dxa"/>
            <w:gridSpan w:val="5"/>
            <w:noWrap w:val="0"/>
            <w:vAlign w:val="center"/>
          </w:tcPr>
          <w:p>
            <w:pPr>
              <w:snapToGrid w:val="0"/>
              <w:jc w:val="left"/>
              <w:rPr>
                <w:color w:val="auto"/>
                <w:sz w:val="21"/>
                <w:szCs w:val="21"/>
                <w:u w:val="single"/>
              </w:rPr>
            </w:pPr>
            <w:r>
              <w:rPr>
                <w:color w:val="auto"/>
                <w:sz w:val="21"/>
                <w:szCs w:val="21"/>
                <w:u w:val="single"/>
              </w:rPr>
              <w:t>6.消防及危险化学品     违反下列行为的给予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6.1</w:t>
            </w:r>
          </w:p>
        </w:tc>
        <w:tc>
          <w:tcPr>
            <w:tcW w:w="7308" w:type="dxa"/>
            <w:noWrap w:val="0"/>
            <w:vAlign w:val="top"/>
          </w:tcPr>
          <w:p>
            <w:pPr>
              <w:snapToGrid w:val="0"/>
              <w:rPr>
                <w:color w:val="auto"/>
                <w:sz w:val="21"/>
                <w:szCs w:val="21"/>
                <w:u w:val="single"/>
              </w:rPr>
            </w:pPr>
            <w:r>
              <w:rPr>
                <w:color w:val="auto"/>
                <w:sz w:val="21"/>
                <w:szCs w:val="21"/>
                <w:u w:val="single"/>
              </w:rPr>
              <w:t>在禁烟区内吸烟或流动吸烟的</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6.2</w:t>
            </w:r>
          </w:p>
        </w:tc>
        <w:tc>
          <w:tcPr>
            <w:tcW w:w="7308" w:type="dxa"/>
            <w:noWrap w:val="0"/>
            <w:vAlign w:val="top"/>
          </w:tcPr>
          <w:p>
            <w:pPr>
              <w:snapToGrid w:val="0"/>
              <w:rPr>
                <w:color w:val="auto"/>
                <w:sz w:val="21"/>
                <w:szCs w:val="21"/>
                <w:u w:val="single"/>
              </w:rPr>
            </w:pPr>
            <w:r>
              <w:rPr>
                <w:color w:val="auto"/>
                <w:sz w:val="21"/>
                <w:szCs w:val="21"/>
                <w:u w:val="single"/>
              </w:rPr>
              <w:t>易燃易爆物品、有毒有害物品未按规定进行隔离、存放；易燃爆炸危险作业场所未有消防设施或装置，未使用防爆电器，未有警告标志，使用前未经验收</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6.3</w:t>
            </w:r>
          </w:p>
        </w:tc>
        <w:tc>
          <w:tcPr>
            <w:tcW w:w="7308" w:type="dxa"/>
            <w:noWrap w:val="0"/>
            <w:vAlign w:val="top"/>
          </w:tcPr>
          <w:p>
            <w:pPr>
              <w:snapToGrid w:val="0"/>
              <w:rPr>
                <w:color w:val="auto"/>
                <w:sz w:val="21"/>
                <w:szCs w:val="21"/>
                <w:u w:val="single"/>
              </w:rPr>
            </w:pPr>
            <w:r>
              <w:rPr>
                <w:color w:val="auto"/>
                <w:sz w:val="21"/>
                <w:szCs w:val="21"/>
                <w:u w:val="single"/>
              </w:rPr>
              <w:t>临时仓库的耐火等级不符合防火要求</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6.4</w:t>
            </w:r>
          </w:p>
        </w:tc>
        <w:tc>
          <w:tcPr>
            <w:tcW w:w="7308" w:type="dxa"/>
            <w:noWrap w:val="0"/>
            <w:vAlign w:val="top"/>
          </w:tcPr>
          <w:p>
            <w:pPr>
              <w:snapToGrid w:val="0"/>
              <w:rPr>
                <w:color w:val="auto"/>
                <w:sz w:val="21"/>
                <w:szCs w:val="21"/>
                <w:u w:val="single"/>
              </w:rPr>
            </w:pPr>
            <w:r>
              <w:rPr>
                <w:color w:val="auto"/>
                <w:sz w:val="21"/>
                <w:szCs w:val="21"/>
                <w:u w:val="single"/>
              </w:rPr>
              <w:t>仓库、宿舍、办公室、加工场、施工现场等场所不按规配置消防器材，移动、破坏消防设施或器材</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6.5</w:t>
            </w:r>
          </w:p>
        </w:tc>
        <w:tc>
          <w:tcPr>
            <w:tcW w:w="7308" w:type="dxa"/>
            <w:noWrap w:val="0"/>
            <w:vAlign w:val="top"/>
          </w:tcPr>
          <w:p>
            <w:pPr>
              <w:snapToGrid w:val="0"/>
              <w:rPr>
                <w:color w:val="auto"/>
                <w:sz w:val="21"/>
                <w:szCs w:val="21"/>
                <w:u w:val="single"/>
              </w:rPr>
            </w:pPr>
            <w:r>
              <w:rPr>
                <w:color w:val="auto"/>
                <w:sz w:val="21"/>
                <w:szCs w:val="21"/>
                <w:u w:val="single"/>
              </w:rPr>
              <w:t>堵塞、阻碍消防通道或消防设施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6.6</w:t>
            </w:r>
          </w:p>
        </w:tc>
        <w:tc>
          <w:tcPr>
            <w:tcW w:w="7308" w:type="dxa"/>
            <w:noWrap w:val="0"/>
            <w:vAlign w:val="top"/>
          </w:tcPr>
          <w:p>
            <w:pPr>
              <w:snapToGrid w:val="0"/>
              <w:rPr>
                <w:color w:val="auto"/>
                <w:sz w:val="21"/>
                <w:szCs w:val="21"/>
                <w:u w:val="single"/>
              </w:rPr>
            </w:pPr>
            <w:r>
              <w:rPr>
                <w:color w:val="auto"/>
                <w:sz w:val="21"/>
                <w:szCs w:val="21"/>
                <w:u w:val="single"/>
              </w:rPr>
              <w:t>在易燃易爆物品附近动火作业间距不够</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6.8</w:t>
            </w:r>
          </w:p>
        </w:tc>
        <w:tc>
          <w:tcPr>
            <w:tcW w:w="7308" w:type="dxa"/>
            <w:noWrap w:val="0"/>
            <w:vAlign w:val="top"/>
          </w:tcPr>
          <w:p>
            <w:pPr>
              <w:snapToGrid w:val="0"/>
              <w:rPr>
                <w:color w:val="auto"/>
                <w:sz w:val="21"/>
                <w:szCs w:val="21"/>
                <w:u w:val="single"/>
              </w:rPr>
            </w:pPr>
            <w:r>
              <w:rPr>
                <w:color w:val="auto"/>
                <w:sz w:val="21"/>
                <w:szCs w:val="21"/>
                <w:u w:val="single"/>
              </w:rPr>
              <w:t>现场使用明火进行取暖</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6.</w:t>
            </w:r>
            <w:r>
              <w:rPr>
                <w:rFonts w:hint="eastAsia"/>
                <w:color w:val="auto"/>
                <w:sz w:val="21"/>
                <w:szCs w:val="21"/>
                <w:u w:val="single"/>
                <w:lang w:val="en-US" w:eastAsia="zh-CN"/>
              </w:rPr>
              <w:t>9</w:t>
            </w:r>
          </w:p>
        </w:tc>
        <w:tc>
          <w:tcPr>
            <w:tcW w:w="7308" w:type="dxa"/>
            <w:noWrap w:val="0"/>
            <w:vAlign w:val="top"/>
          </w:tcPr>
          <w:p>
            <w:pPr>
              <w:snapToGrid w:val="0"/>
              <w:rPr>
                <w:color w:val="auto"/>
                <w:sz w:val="21"/>
                <w:szCs w:val="21"/>
                <w:u w:val="single"/>
              </w:rPr>
            </w:pPr>
            <w:r>
              <w:rPr>
                <w:color w:val="auto"/>
                <w:sz w:val="21"/>
                <w:szCs w:val="21"/>
                <w:u w:val="single"/>
              </w:rPr>
              <w:t>危险化学品装卸时未轻拿轻放，未采取防止撞击、倾倒措施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6.1</w:t>
            </w:r>
            <w:r>
              <w:rPr>
                <w:rFonts w:hint="eastAsia"/>
                <w:color w:val="auto"/>
                <w:sz w:val="21"/>
                <w:szCs w:val="21"/>
                <w:u w:val="single"/>
                <w:lang w:val="en-US" w:eastAsia="zh-CN"/>
              </w:rPr>
              <w:t>0</w:t>
            </w:r>
          </w:p>
        </w:tc>
        <w:tc>
          <w:tcPr>
            <w:tcW w:w="7308" w:type="dxa"/>
            <w:noWrap w:val="0"/>
            <w:vAlign w:val="top"/>
          </w:tcPr>
          <w:p>
            <w:pPr>
              <w:snapToGrid w:val="0"/>
              <w:rPr>
                <w:color w:val="auto"/>
                <w:sz w:val="21"/>
                <w:szCs w:val="21"/>
                <w:u w:val="single"/>
              </w:rPr>
            </w:pPr>
            <w:r>
              <w:rPr>
                <w:color w:val="auto"/>
                <w:sz w:val="21"/>
                <w:szCs w:val="21"/>
                <w:u w:val="single"/>
              </w:rPr>
              <w:t>射线作业未经审批，各通道未挂警示标志，未设专人监护，作业人员未戴防护用品</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6.1</w:t>
            </w:r>
            <w:r>
              <w:rPr>
                <w:rFonts w:hint="eastAsia"/>
                <w:color w:val="auto"/>
                <w:sz w:val="21"/>
                <w:szCs w:val="21"/>
                <w:u w:val="single"/>
                <w:lang w:val="en-US" w:eastAsia="zh-CN"/>
              </w:rPr>
              <w:t>1</w:t>
            </w:r>
          </w:p>
        </w:tc>
        <w:tc>
          <w:tcPr>
            <w:tcW w:w="7308" w:type="dxa"/>
            <w:noWrap w:val="0"/>
            <w:vAlign w:val="top"/>
          </w:tcPr>
          <w:p>
            <w:pPr>
              <w:snapToGrid w:val="0"/>
              <w:rPr>
                <w:color w:val="auto"/>
                <w:sz w:val="21"/>
                <w:szCs w:val="21"/>
                <w:u w:val="single"/>
              </w:rPr>
            </w:pPr>
            <w:r>
              <w:rPr>
                <w:color w:val="auto"/>
                <w:sz w:val="21"/>
                <w:szCs w:val="21"/>
                <w:u w:val="single"/>
              </w:rPr>
              <w:t>未按规定使用危险化学品</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0" w:type="dxa"/>
            <w:gridSpan w:val="5"/>
            <w:noWrap w:val="0"/>
            <w:vAlign w:val="top"/>
          </w:tcPr>
          <w:p>
            <w:pPr>
              <w:snapToGrid w:val="0"/>
              <w:jc w:val="left"/>
              <w:rPr>
                <w:color w:val="auto"/>
                <w:sz w:val="21"/>
                <w:szCs w:val="21"/>
                <w:u w:val="single"/>
              </w:rPr>
            </w:pPr>
            <w:r>
              <w:rPr>
                <w:color w:val="auto"/>
                <w:sz w:val="21"/>
                <w:szCs w:val="21"/>
                <w:u w:val="single"/>
              </w:rPr>
              <w:t>7.</w:t>
            </w:r>
            <w:r>
              <w:rPr>
                <w:rFonts w:hint="eastAsia"/>
                <w:color w:val="auto"/>
                <w:sz w:val="21"/>
                <w:szCs w:val="21"/>
                <w:u w:val="single"/>
              </w:rPr>
              <w:t>有限空间作业</w:t>
            </w:r>
            <w:r>
              <w:rPr>
                <w:color w:val="auto"/>
                <w:sz w:val="21"/>
                <w:szCs w:val="21"/>
                <w:u w:val="single"/>
              </w:rPr>
              <w:t xml:space="preserve">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7.1</w:t>
            </w:r>
          </w:p>
        </w:tc>
        <w:tc>
          <w:tcPr>
            <w:tcW w:w="7308" w:type="dxa"/>
            <w:noWrap w:val="0"/>
            <w:vAlign w:val="top"/>
          </w:tcPr>
          <w:p>
            <w:pPr>
              <w:snapToGrid w:val="0"/>
              <w:rPr>
                <w:color w:val="auto"/>
                <w:sz w:val="21"/>
                <w:szCs w:val="21"/>
                <w:u w:val="single"/>
              </w:rPr>
            </w:pPr>
            <w:r>
              <w:rPr>
                <w:rFonts w:hint="eastAsia"/>
                <w:color w:val="auto"/>
                <w:sz w:val="21"/>
                <w:szCs w:val="21"/>
                <w:u w:val="single"/>
              </w:rPr>
              <w:t>作业前，未对有限空间进行危险和有害因素辨识，未制定安全技术措施，未制定紧急情况下的处置方案</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7.2</w:t>
            </w:r>
          </w:p>
        </w:tc>
        <w:tc>
          <w:tcPr>
            <w:tcW w:w="7308" w:type="dxa"/>
            <w:noWrap w:val="0"/>
            <w:vAlign w:val="top"/>
          </w:tcPr>
          <w:p>
            <w:pPr>
              <w:snapToGrid w:val="0"/>
              <w:rPr>
                <w:color w:val="auto"/>
                <w:sz w:val="21"/>
                <w:szCs w:val="21"/>
                <w:u w:val="single"/>
              </w:rPr>
            </w:pPr>
            <w:r>
              <w:rPr>
                <w:rFonts w:hint="eastAsia"/>
                <w:color w:val="auto"/>
                <w:sz w:val="21"/>
                <w:szCs w:val="21"/>
                <w:u w:val="single"/>
              </w:rPr>
              <w:t>有限空间作业没有办理审批许可手续</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7.3</w:t>
            </w:r>
          </w:p>
        </w:tc>
        <w:tc>
          <w:tcPr>
            <w:tcW w:w="7308" w:type="dxa"/>
            <w:noWrap w:val="0"/>
            <w:vAlign w:val="top"/>
          </w:tcPr>
          <w:p>
            <w:pPr>
              <w:snapToGrid w:val="0"/>
              <w:rPr>
                <w:color w:val="auto"/>
                <w:sz w:val="21"/>
                <w:szCs w:val="21"/>
                <w:u w:val="single"/>
              </w:rPr>
            </w:pPr>
            <w:r>
              <w:rPr>
                <w:rFonts w:hint="eastAsia"/>
                <w:color w:val="auto"/>
                <w:sz w:val="21"/>
                <w:szCs w:val="21"/>
                <w:u w:val="single"/>
              </w:rPr>
              <w:t>有限空间作业前，没有对有限空间内部可燃或有毒、有害气体浓度进行检测；作业过程或作业中断时，没有按照每隔30分钟测量一次</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7.4</w:t>
            </w:r>
          </w:p>
        </w:tc>
        <w:tc>
          <w:tcPr>
            <w:tcW w:w="7308" w:type="dxa"/>
            <w:noWrap w:val="0"/>
            <w:vAlign w:val="top"/>
          </w:tcPr>
          <w:p>
            <w:pPr>
              <w:snapToGrid w:val="0"/>
              <w:rPr>
                <w:color w:val="auto"/>
                <w:sz w:val="21"/>
                <w:szCs w:val="21"/>
                <w:u w:val="single"/>
              </w:rPr>
            </w:pPr>
            <w:r>
              <w:rPr>
                <w:rFonts w:hint="eastAsia"/>
                <w:color w:val="auto"/>
                <w:sz w:val="21"/>
                <w:szCs w:val="21"/>
                <w:u w:val="single"/>
              </w:rPr>
              <w:t>有限空间与其他系统连通的可能危及安全作业的管道没有采取有效隔离措施，有毒、有害气体可能通过管道进入有限空间</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7.5</w:t>
            </w:r>
          </w:p>
        </w:tc>
        <w:tc>
          <w:tcPr>
            <w:tcW w:w="7308" w:type="dxa"/>
            <w:noWrap w:val="0"/>
            <w:vAlign w:val="top"/>
          </w:tcPr>
          <w:p>
            <w:pPr>
              <w:snapToGrid w:val="0"/>
              <w:rPr>
                <w:color w:val="auto"/>
                <w:sz w:val="21"/>
                <w:szCs w:val="21"/>
                <w:u w:val="single"/>
              </w:rPr>
            </w:pPr>
            <w:r>
              <w:rPr>
                <w:rFonts w:hint="eastAsia"/>
                <w:color w:val="auto"/>
                <w:sz w:val="21"/>
                <w:szCs w:val="21"/>
                <w:u w:val="single"/>
              </w:rPr>
              <w:t>满足有限空间安全需要的通风换气设施、人员逃生救援装备、防止火灾和塌方等设备设施不齐全</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7.6</w:t>
            </w:r>
          </w:p>
        </w:tc>
        <w:tc>
          <w:tcPr>
            <w:tcW w:w="7308" w:type="dxa"/>
            <w:noWrap w:val="0"/>
            <w:vAlign w:val="top"/>
          </w:tcPr>
          <w:p>
            <w:pPr>
              <w:snapToGrid w:val="0"/>
              <w:rPr>
                <w:color w:val="auto"/>
                <w:sz w:val="21"/>
                <w:szCs w:val="21"/>
                <w:u w:val="single"/>
              </w:rPr>
            </w:pPr>
            <w:r>
              <w:rPr>
                <w:rFonts w:hint="eastAsia"/>
                <w:color w:val="auto"/>
                <w:sz w:val="21"/>
                <w:szCs w:val="21"/>
                <w:u w:val="single"/>
              </w:rPr>
              <w:t>有限空间作业区域无安全警示标志，出入口不畅通</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7.7</w:t>
            </w:r>
          </w:p>
        </w:tc>
        <w:tc>
          <w:tcPr>
            <w:tcW w:w="7308" w:type="dxa"/>
            <w:noWrap w:val="0"/>
            <w:vAlign w:val="top"/>
          </w:tcPr>
          <w:p>
            <w:pPr>
              <w:snapToGrid w:val="0"/>
              <w:rPr>
                <w:color w:val="auto"/>
                <w:sz w:val="21"/>
                <w:szCs w:val="21"/>
                <w:u w:val="single"/>
              </w:rPr>
            </w:pPr>
            <w:r>
              <w:rPr>
                <w:rFonts w:hint="eastAsia"/>
                <w:color w:val="auto"/>
                <w:sz w:val="21"/>
                <w:szCs w:val="21"/>
                <w:u w:val="single"/>
              </w:rPr>
              <w:t>作业时未设置专职监护人员，或监护人员私自离开</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7.8</w:t>
            </w:r>
          </w:p>
        </w:tc>
        <w:tc>
          <w:tcPr>
            <w:tcW w:w="7308" w:type="dxa"/>
            <w:noWrap w:val="0"/>
            <w:vAlign w:val="top"/>
          </w:tcPr>
          <w:p>
            <w:pPr>
              <w:snapToGrid w:val="0"/>
              <w:rPr>
                <w:rFonts w:hint="eastAsia"/>
                <w:color w:val="auto"/>
                <w:sz w:val="21"/>
                <w:szCs w:val="21"/>
                <w:u w:val="single"/>
              </w:rPr>
            </w:pPr>
            <w:r>
              <w:rPr>
                <w:rFonts w:hint="eastAsia"/>
                <w:color w:val="auto"/>
                <w:sz w:val="21"/>
                <w:szCs w:val="21"/>
                <w:u w:val="single"/>
              </w:rPr>
              <w:t>有限空间内没有使用36V电压以下的照明，在潮湿、狭小有限空间内作业没有使用12V电压照明。</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7.9</w:t>
            </w:r>
          </w:p>
        </w:tc>
        <w:tc>
          <w:tcPr>
            <w:tcW w:w="7308" w:type="dxa"/>
            <w:noWrap w:val="0"/>
            <w:vAlign w:val="top"/>
          </w:tcPr>
          <w:p>
            <w:pPr>
              <w:snapToGrid w:val="0"/>
              <w:rPr>
                <w:rFonts w:hint="eastAsia"/>
                <w:color w:val="auto"/>
                <w:sz w:val="21"/>
                <w:szCs w:val="21"/>
                <w:u w:val="single"/>
              </w:rPr>
            </w:pPr>
            <w:r>
              <w:rPr>
                <w:rFonts w:hint="eastAsia"/>
                <w:color w:val="auto"/>
                <w:sz w:val="21"/>
                <w:szCs w:val="21"/>
                <w:u w:val="single"/>
              </w:rPr>
              <w:t>违规将行灯照明的隔离变压器带进受限空间内使用</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7.10</w:t>
            </w:r>
          </w:p>
        </w:tc>
        <w:tc>
          <w:tcPr>
            <w:tcW w:w="7308" w:type="dxa"/>
            <w:noWrap w:val="0"/>
            <w:vAlign w:val="top"/>
          </w:tcPr>
          <w:p>
            <w:pPr>
              <w:snapToGrid w:val="0"/>
              <w:rPr>
                <w:rFonts w:hint="eastAsia"/>
                <w:color w:val="auto"/>
                <w:sz w:val="21"/>
                <w:szCs w:val="21"/>
                <w:u w:val="single"/>
              </w:rPr>
            </w:pPr>
            <w:r>
              <w:rPr>
                <w:rFonts w:hint="eastAsia"/>
                <w:color w:val="auto"/>
                <w:sz w:val="21"/>
                <w:szCs w:val="21"/>
                <w:u w:val="single"/>
              </w:rPr>
              <w:t>违规将氧气、乙炔等压力气瓶放置在有限空间内</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snapToGrid w:val="0"/>
              <w:jc w:val="center"/>
              <w:rPr>
                <w:color w:val="auto"/>
                <w:sz w:val="21"/>
                <w:szCs w:val="21"/>
                <w:u w:val="single"/>
              </w:rPr>
            </w:pPr>
            <w:r>
              <w:rPr>
                <w:rFonts w:hint="eastAsia"/>
                <w:color w:val="auto"/>
                <w:sz w:val="21"/>
                <w:szCs w:val="21"/>
                <w:u w:val="single"/>
              </w:rPr>
              <w:t>7.11</w:t>
            </w:r>
          </w:p>
        </w:tc>
        <w:tc>
          <w:tcPr>
            <w:tcW w:w="7308" w:type="dxa"/>
            <w:noWrap w:val="0"/>
            <w:vAlign w:val="top"/>
          </w:tcPr>
          <w:p>
            <w:pPr>
              <w:snapToGrid w:val="0"/>
              <w:rPr>
                <w:rFonts w:hint="eastAsia"/>
                <w:color w:val="auto"/>
                <w:sz w:val="21"/>
                <w:szCs w:val="21"/>
                <w:u w:val="single"/>
              </w:rPr>
            </w:pPr>
            <w:r>
              <w:rPr>
                <w:rFonts w:hint="eastAsia"/>
                <w:color w:val="auto"/>
                <w:sz w:val="21"/>
                <w:szCs w:val="21"/>
                <w:u w:val="single"/>
              </w:rPr>
              <w:t>作业人员离开有限空间作业点时，没有将所有作业工器具带出。作业后关闭有限空间人孔门前没有清点作业人员和作业工器具</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p>
        </w:tc>
        <w:tc>
          <w:tcPr>
            <w:tcW w:w="7308" w:type="dxa"/>
            <w:noWrap w:val="0"/>
            <w:vAlign w:val="top"/>
          </w:tcPr>
          <w:p>
            <w:pPr>
              <w:snapToGrid w:val="0"/>
              <w:rPr>
                <w:color w:val="auto"/>
                <w:sz w:val="21"/>
                <w:szCs w:val="21"/>
                <w:u w:val="single"/>
              </w:rPr>
            </w:pP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200" w:type="dxa"/>
            <w:gridSpan w:val="5"/>
            <w:noWrap w:val="0"/>
            <w:vAlign w:val="center"/>
          </w:tcPr>
          <w:p>
            <w:pPr>
              <w:snapToGrid w:val="0"/>
              <w:jc w:val="left"/>
              <w:rPr>
                <w:color w:val="auto"/>
                <w:sz w:val="21"/>
                <w:szCs w:val="21"/>
                <w:u w:val="single"/>
              </w:rPr>
            </w:pPr>
            <w:r>
              <w:rPr>
                <w:rFonts w:hint="eastAsia"/>
                <w:color w:val="auto"/>
                <w:sz w:val="21"/>
                <w:szCs w:val="21"/>
                <w:u w:val="single"/>
              </w:rPr>
              <w:t>8</w:t>
            </w:r>
            <w:r>
              <w:rPr>
                <w:color w:val="auto"/>
                <w:sz w:val="21"/>
                <w:szCs w:val="21"/>
                <w:u w:val="single"/>
              </w:rPr>
              <w:t>.交通运输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.1</w:t>
            </w:r>
          </w:p>
        </w:tc>
        <w:tc>
          <w:tcPr>
            <w:tcW w:w="7371" w:type="dxa"/>
            <w:gridSpan w:val="2"/>
            <w:noWrap w:val="0"/>
            <w:vAlign w:val="top"/>
          </w:tcPr>
          <w:p>
            <w:pPr>
              <w:snapToGrid w:val="0"/>
              <w:rPr>
                <w:color w:val="auto"/>
                <w:sz w:val="21"/>
                <w:szCs w:val="21"/>
                <w:u w:val="single"/>
              </w:rPr>
            </w:pPr>
            <w:r>
              <w:rPr>
                <w:color w:val="auto"/>
                <w:sz w:val="21"/>
                <w:szCs w:val="21"/>
                <w:u w:val="single"/>
              </w:rPr>
              <w:t>车辆无行驶证，驾驶员无证驾驶</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.2</w:t>
            </w:r>
          </w:p>
        </w:tc>
        <w:tc>
          <w:tcPr>
            <w:tcW w:w="7371" w:type="dxa"/>
            <w:gridSpan w:val="2"/>
            <w:noWrap w:val="0"/>
            <w:vAlign w:val="top"/>
          </w:tcPr>
          <w:p>
            <w:pPr>
              <w:snapToGrid w:val="0"/>
              <w:rPr>
                <w:color w:val="auto"/>
                <w:sz w:val="21"/>
                <w:szCs w:val="21"/>
                <w:u w:val="single"/>
              </w:rPr>
            </w:pPr>
            <w:r>
              <w:rPr>
                <w:color w:val="auto"/>
                <w:sz w:val="21"/>
                <w:szCs w:val="21"/>
                <w:u w:val="single"/>
              </w:rPr>
              <w:t>车辆状况不良，刹车、灯光装置不齐全</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.3</w:t>
            </w:r>
          </w:p>
        </w:tc>
        <w:tc>
          <w:tcPr>
            <w:tcW w:w="7371" w:type="dxa"/>
            <w:gridSpan w:val="2"/>
            <w:noWrap w:val="0"/>
            <w:vAlign w:val="top"/>
          </w:tcPr>
          <w:p>
            <w:pPr>
              <w:snapToGrid w:val="0"/>
              <w:rPr>
                <w:color w:val="auto"/>
                <w:sz w:val="21"/>
                <w:szCs w:val="21"/>
                <w:u w:val="single"/>
              </w:rPr>
            </w:pPr>
            <w:r>
              <w:rPr>
                <w:color w:val="auto"/>
                <w:sz w:val="21"/>
                <w:szCs w:val="21"/>
                <w:u w:val="single"/>
              </w:rPr>
              <w:t>机动车辆超速行驶或争道、抢道</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.4</w:t>
            </w:r>
          </w:p>
        </w:tc>
        <w:tc>
          <w:tcPr>
            <w:tcW w:w="7371" w:type="dxa"/>
            <w:gridSpan w:val="2"/>
            <w:noWrap w:val="0"/>
            <w:vAlign w:val="top"/>
          </w:tcPr>
          <w:p>
            <w:pPr>
              <w:snapToGrid w:val="0"/>
              <w:rPr>
                <w:color w:val="auto"/>
                <w:sz w:val="21"/>
                <w:szCs w:val="21"/>
                <w:u w:val="single"/>
              </w:rPr>
            </w:pPr>
            <w:r>
              <w:rPr>
                <w:color w:val="auto"/>
                <w:sz w:val="21"/>
                <w:szCs w:val="21"/>
                <w:u w:val="single"/>
              </w:rPr>
              <w:t>人货混载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.5</w:t>
            </w:r>
          </w:p>
        </w:tc>
        <w:tc>
          <w:tcPr>
            <w:tcW w:w="7371" w:type="dxa"/>
            <w:gridSpan w:val="2"/>
            <w:noWrap w:val="0"/>
            <w:vAlign w:val="top"/>
          </w:tcPr>
          <w:p>
            <w:pPr>
              <w:snapToGrid w:val="0"/>
              <w:rPr>
                <w:color w:val="auto"/>
                <w:sz w:val="21"/>
                <w:szCs w:val="21"/>
                <w:u w:val="single"/>
              </w:rPr>
            </w:pPr>
            <w:r>
              <w:rPr>
                <w:color w:val="auto"/>
                <w:sz w:val="21"/>
                <w:szCs w:val="21"/>
                <w:u w:val="single"/>
              </w:rPr>
              <w:t>在装载机货斗、货车、叉车等违规搭人</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8</w:t>
            </w:r>
            <w:r>
              <w:rPr>
                <w:color w:val="auto"/>
                <w:sz w:val="21"/>
                <w:szCs w:val="21"/>
                <w:u w:val="single"/>
              </w:rPr>
              <w:t>.6</w:t>
            </w:r>
          </w:p>
        </w:tc>
        <w:tc>
          <w:tcPr>
            <w:tcW w:w="7371" w:type="dxa"/>
            <w:gridSpan w:val="2"/>
            <w:noWrap w:val="0"/>
            <w:vAlign w:val="top"/>
          </w:tcPr>
          <w:p>
            <w:pPr>
              <w:snapToGrid w:val="0"/>
              <w:rPr>
                <w:color w:val="auto"/>
                <w:sz w:val="21"/>
                <w:szCs w:val="21"/>
                <w:u w:val="single"/>
              </w:rPr>
            </w:pPr>
            <w:r>
              <w:rPr>
                <w:color w:val="auto"/>
                <w:sz w:val="21"/>
                <w:szCs w:val="21"/>
                <w:u w:val="single"/>
              </w:rPr>
              <w:t>危险品运输时未办理相关手续</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200" w:type="dxa"/>
            <w:gridSpan w:val="5"/>
            <w:noWrap w:val="0"/>
            <w:vAlign w:val="top"/>
          </w:tcPr>
          <w:p>
            <w:pPr>
              <w:snapToGrid w:val="0"/>
              <w:rPr>
                <w:color w:val="auto"/>
                <w:sz w:val="21"/>
                <w:szCs w:val="21"/>
                <w:u w:val="single"/>
              </w:rPr>
            </w:pPr>
            <w:r>
              <w:rPr>
                <w:rFonts w:hint="eastAsia"/>
                <w:color w:val="auto"/>
                <w:sz w:val="21"/>
                <w:szCs w:val="21"/>
                <w:u w:val="single"/>
              </w:rPr>
              <w:t>9</w:t>
            </w:r>
            <w:r>
              <w:rPr>
                <w:color w:val="auto"/>
                <w:sz w:val="21"/>
                <w:szCs w:val="21"/>
                <w:u w:val="single"/>
              </w:rPr>
              <w:t>.焊接与切割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9</w:t>
            </w:r>
            <w:r>
              <w:rPr>
                <w:color w:val="auto"/>
                <w:sz w:val="21"/>
                <w:szCs w:val="21"/>
                <w:u w:val="single"/>
              </w:rPr>
              <w:t>.1</w:t>
            </w:r>
          </w:p>
        </w:tc>
        <w:tc>
          <w:tcPr>
            <w:tcW w:w="7371" w:type="dxa"/>
            <w:gridSpan w:val="2"/>
            <w:noWrap w:val="0"/>
            <w:vAlign w:val="top"/>
          </w:tcPr>
          <w:p>
            <w:pPr>
              <w:snapToGrid w:val="0"/>
              <w:rPr>
                <w:color w:val="auto"/>
                <w:sz w:val="21"/>
                <w:szCs w:val="21"/>
                <w:u w:val="single"/>
              </w:rPr>
            </w:pPr>
            <w:r>
              <w:rPr>
                <w:color w:val="auto"/>
                <w:sz w:val="21"/>
                <w:szCs w:val="21"/>
                <w:u w:val="single"/>
              </w:rPr>
              <w:t>焊工施焊未戴手套，高空作业未做好防止焊花飞溅措施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9</w:t>
            </w:r>
            <w:r>
              <w:rPr>
                <w:color w:val="auto"/>
                <w:sz w:val="21"/>
                <w:szCs w:val="21"/>
                <w:u w:val="single"/>
              </w:rPr>
              <w:t>.2</w:t>
            </w:r>
          </w:p>
        </w:tc>
        <w:tc>
          <w:tcPr>
            <w:tcW w:w="7371" w:type="dxa"/>
            <w:gridSpan w:val="2"/>
            <w:noWrap w:val="0"/>
            <w:vAlign w:val="top"/>
          </w:tcPr>
          <w:p>
            <w:pPr>
              <w:snapToGrid w:val="0"/>
              <w:rPr>
                <w:color w:val="auto"/>
                <w:sz w:val="21"/>
                <w:szCs w:val="21"/>
                <w:u w:val="single"/>
              </w:rPr>
            </w:pPr>
            <w:r>
              <w:rPr>
                <w:color w:val="auto"/>
                <w:sz w:val="21"/>
                <w:szCs w:val="21"/>
                <w:u w:val="single"/>
              </w:rPr>
              <w:t>不关乙炔、氧气气瓶、管道阀门，使用胶管拆弯方法切断供气</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lang w:val="en-US" w:eastAsia="zh-CN"/>
              </w:rPr>
              <w:t>9</w:t>
            </w:r>
            <w:r>
              <w:rPr>
                <w:color w:val="auto"/>
                <w:sz w:val="21"/>
                <w:szCs w:val="21"/>
                <w:u w:val="single"/>
              </w:rPr>
              <w:t>.3</w:t>
            </w:r>
          </w:p>
        </w:tc>
        <w:tc>
          <w:tcPr>
            <w:tcW w:w="7371" w:type="dxa"/>
            <w:gridSpan w:val="2"/>
            <w:noWrap w:val="0"/>
            <w:vAlign w:val="top"/>
          </w:tcPr>
          <w:p>
            <w:pPr>
              <w:snapToGrid w:val="0"/>
              <w:rPr>
                <w:color w:val="auto"/>
                <w:sz w:val="21"/>
                <w:szCs w:val="21"/>
                <w:u w:val="single"/>
              </w:rPr>
            </w:pPr>
            <w:r>
              <w:rPr>
                <w:color w:val="auto"/>
                <w:sz w:val="21"/>
                <w:szCs w:val="21"/>
                <w:u w:val="single"/>
              </w:rPr>
              <w:t>乙炔、氧气气瓶未做好防晒措施，乙炔气瓶横放、无回火器，乙炔、氧气胶管绑扎不牢</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9</w:t>
            </w:r>
            <w:r>
              <w:rPr>
                <w:color w:val="auto"/>
                <w:sz w:val="21"/>
                <w:szCs w:val="21"/>
                <w:u w:val="single"/>
              </w:rPr>
              <w:t>.4</w:t>
            </w:r>
          </w:p>
        </w:tc>
        <w:tc>
          <w:tcPr>
            <w:tcW w:w="7371" w:type="dxa"/>
            <w:gridSpan w:val="2"/>
            <w:noWrap w:val="0"/>
            <w:vAlign w:val="top"/>
          </w:tcPr>
          <w:p>
            <w:pPr>
              <w:snapToGrid w:val="0"/>
              <w:rPr>
                <w:color w:val="auto"/>
                <w:sz w:val="21"/>
                <w:szCs w:val="21"/>
                <w:u w:val="single"/>
              </w:rPr>
            </w:pPr>
            <w:r>
              <w:rPr>
                <w:color w:val="auto"/>
                <w:sz w:val="21"/>
                <w:szCs w:val="21"/>
                <w:u w:val="single"/>
              </w:rPr>
              <w:t>焊接、切割地点10米内存放易燃易爆物品，乙炔、氧气气瓶间距小于5米</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9</w:t>
            </w:r>
            <w:r>
              <w:rPr>
                <w:color w:val="auto"/>
                <w:sz w:val="21"/>
                <w:szCs w:val="21"/>
                <w:u w:val="single"/>
              </w:rPr>
              <w:t>.5</w:t>
            </w:r>
          </w:p>
        </w:tc>
        <w:tc>
          <w:tcPr>
            <w:tcW w:w="7371" w:type="dxa"/>
            <w:gridSpan w:val="2"/>
            <w:noWrap w:val="0"/>
            <w:vAlign w:val="top"/>
          </w:tcPr>
          <w:p>
            <w:pPr>
              <w:snapToGrid w:val="0"/>
              <w:rPr>
                <w:color w:val="auto"/>
                <w:sz w:val="21"/>
                <w:szCs w:val="21"/>
                <w:u w:val="single"/>
              </w:rPr>
            </w:pPr>
            <w:r>
              <w:rPr>
                <w:color w:val="auto"/>
                <w:sz w:val="21"/>
                <w:szCs w:val="21"/>
                <w:u w:val="single"/>
              </w:rPr>
              <w:t>对盛装油脂、可燃液体进行焊接、切割时未采取冲洗和置换措施</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00" w:type="dxa"/>
            <w:gridSpan w:val="5"/>
            <w:noWrap w:val="0"/>
            <w:vAlign w:val="center"/>
          </w:tcPr>
          <w:p>
            <w:pPr>
              <w:snapToGrid w:val="0"/>
              <w:jc w:val="left"/>
              <w:rPr>
                <w:color w:val="auto"/>
                <w:sz w:val="21"/>
                <w:szCs w:val="21"/>
                <w:u w:val="single"/>
              </w:rPr>
            </w:pPr>
            <w:r>
              <w:rPr>
                <w:rFonts w:hint="eastAsia"/>
                <w:color w:val="auto"/>
                <w:sz w:val="21"/>
                <w:szCs w:val="21"/>
                <w:u w:val="single"/>
              </w:rPr>
              <w:t>10</w:t>
            </w:r>
            <w:r>
              <w:rPr>
                <w:color w:val="auto"/>
                <w:sz w:val="21"/>
                <w:szCs w:val="21"/>
                <w:u w:val="single"/>
              </w:rPr>
              <w:t>.修配加工与小型机具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.1</w:t>
            </w:r>
          </w:p>
        </w:tc>
        <w:tc>
          <w:tcPr>
            <w:tcW w:w="7371" w:type="dxa"/>
            <w:gridSpan w:val="2"/>
            <w:noWrap w:val="0"/>
            <w:vAlign w:val="top"/>
          </w:tcPr>
          <w:p>
            <w:pPr>
              <w:snapToGrid w:val="0"/>
              <w:rPr>
                <w:color w:val="auto"/>
                <w:sz w:val="21"/>
                <w:szCs w:val="21"/>
                <w:u w:val="single"/>
              </w:rPr>
            </w:pPr>
            <w:r>
              <w:rPr>
                <w:color w:val="auto"/>
                <w:sz w:val="21"/>
                <w:szCs w:val="21"/>
                <w:u w:val="single"/>
              </w:rPr>
              <w:t>机具安全装置不齐全</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.2</w:t>
            </w:r>
          </w:p>
        </w:tc>
        <w:tc>
          <w:tcPr>
            <w:tcW w:w="7371" w:type="dxa"/>
            <w:gridSpan w:val="2"/>
            <w:noWrap w:val="0"/>
            <w:vAlign w:val="top"/>
          </w:tcPr>
          <w:p>
            <w:pPr>
              <w:snapToGrid w:val="0"/>
              <w:rPr>
                <w:color w:val="auto"/>
                <w:sz w:val="21"/>
                <w:szCs w:val="21"/>
                <w:u w:val="single"/>
              </w:rPr>
            </w:pPr>
            <w:r>
              <w:rPr>
                <w:color w:val="auto"/>
                <w:sz w:val="21"/>
                <w:szCs w:val="21"/>
                <w:u w:val="single"/>
              </w:rPr>
              <w:t>打锤时戴手套，挥动方向对人</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.3</w:t>
            </w:r>
          </w:p>
        </w:tc>
        <w:tc>
          <w:tcPr>
            <w:tcW w:w="7371" w:type="dxa"/>
            <w:gridSpan w:val="2"/>
            <w:noWrap w:val="0"/>
            <w:vAlign w:val="top"/>
          </w:tcPr>
          <w:p>
            <w:pPr>
              <w:snapToGrid w:val="0"/>
              <w:rPr>
                <w:color w:val="auto"/>
                <w:sz w:val="21"/>
                <w:szCs w:val="21"/>
                <w:u w:val="single"/>
              </w:rPr>
            </w:pPr>
            <w:r>
              <w:rPr>
                <w:color w:val="auto"/>
                <w:sz w:val="21"/>
                <w:szCs w:val="21"/>
                <w:u w:val="single"/>
              </w:rPr>
              <w:t>穿手套操作车、刨、钻、铣、弯、切机械设备</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.4</w:t>
            </w:r>
          </w:p>
        </w:tc>
        <w:tc>
          <w:tcPr>
            <w:tcW w:w="7371" w:type="dxa"/>
            <w:gridSpan w:val="2"/>
            <w:noWrap w:val="0"/>
            <w:vAlign w:val="top"/>
          </w:tcPr>
          <w:p>
            <w:pPr>
              <w:snapToGrid w:val="0"/>
              <w:rPr>
                <w:color w:val="auto"/>
                <w:sz w:val="21"/>
                <w:szCs w:val="21"/>
                <w:u w:val="single"/>
              </w:rPr>
            </w:pPr>
            <w:r>
              <w:rPr>
                <w:color w:val="auto"/>
                <w:sz w:val="21"/>
                <w:szCs w:val="21"/>
                <w:u w:val="single"/>
              </w:rPr>
              <w:t>使用有裂纹或磨损超标的砂轮片，使用切割砂轮片进行打磨</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.5</w:t>
            </w:r>
          </w:p>
        </w:tc>
        <w:tc>
          <w:tcPr>
            <w:tcW w:w="7371" w:type="dxa"/>
            <w:gridSpan w:val="2"/>
            <w:noWrap w:val="0"/>
            <w:vAlign w:val="top"/>
          </w:tcPr>
          <w:p>
            <w:pPr>
              <w:snapToGrid w:val="0"/>
              <w:rPr>
                <w:color w:val="auto"/>
                <w:sz w:val="21"/>
                <w:szCs w:val="21"/>
                <w:u w:val="single"/>
              </w:rPr>
            </w:pPr>
            <w:r>
              <w:rPr>
                <w:color w:val="auto"/>
                <w:sz w:val="21"/>
                <w:szCs w:val="21"/>
                <w:u w:val="single"/>
              </w:rPr>
              <w:t>潜水泵运行时进入坑池</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.6</w:t>
            </w:r>
          </w:p>
        </w:tc>
        <w:tc>
          <w:tcPr>
            <w:tcW w:w="7371" w:type="dxa"/>
            <w:gridSpan w:val="2"/>
            <w:noWrap w:val="0"/>
            <w:vAlign w:val="top"/>
          </w:tcPr>
          <w:p>
            <w:pPr>
              <w:snapToGrid w:val="0"/>
              <w:rPr>
                <w:color w:val="auto"/>
                <w:sz w:val="21"/>
                <w:szCs w:val="21"/>
                <w:u w:val="single"/>
              </w:rPr>
            </w:pPr>
            <w:r>
              <w:rPr>
                <w:color w:val="auto"/>
                <w:sz w:val="21"/>
                <w:szCs w:val="21"/>
                <w:u w:val="single"/>
              </w:rPr>
              <w:t>打磨、切割、焊接等作业时未使用护目镜</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10</w:t>
            </w:r>
            <w:r>
              <w:rPr>
                <w:color w:val="auto"/>
                <w:sz w:val="21"/>
                <w:szCs w:val="21"/>
                <w:u w:val="single"/>
              </w:rPr>
              <w:t>.7</w:t>
            </w:r>
          </w:p>
        </w:tc>
        <w:tc>
          <w:tcPr>
            <w:tcW w:w="7371" w:type="dxa"/>
            <w:gridSpan w:val="2"/>
            <w:noWrap w:val="0"/>
            <w:vAlign w:val="top"/>
          </w:tcPr>
          <w:p>
            <w:pPr>
              <w:snapToGrid w:val="0"/>
              <w:rPr>
                <w:color w:val="auto"/>
                <w:sz w:val="21"/>
                <w:szCs w:val="21"/>
                <w:u w:val="single"/>
              </w:rPr>
            </w:pPr>
            <w:r>
              <w:rPr>
                <w:color w:val="auto"/>
                <w:sz w:val="21"/>
                <w:szCs w:val="21"/>
                <w:u w:val="single"/>
              </w:rPr>
              <w:t>千斤顶加长手柄或超过规定人员操作</w:t>
            </w:r>
          </w:p>
        </w:tc>
        <w:tc>
          <w:tcPr>
            <w:tcW w:w="1142" w:type="dxa"/>
            <w:gridSpan w:val="2"/>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pPr>
              <w:snapToGrid w:val="0"/>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w:t>
            </w:r>
            <w:r>
              <w:rPr>
                <w:rFonts w:hint="eastAsia"/>
                <w:color w:val="auto"/>
                <w:sz w:val="21"/>
                <w:szCs w:val="21"/>
                <w:u w:val="single"/>
              </w:rPr>
              <w:t>吊篮作业</w:t>
            </w:r>
            <w:r>
              <w:rPr>
                <w:color w:val="auto"/>
                <w:sz w:val="21"/>
                <w:szCs w:val="21"/>
                <w:u w:val="single"/>
              </w:rPr>
              <w:t xml:space="preserve">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.1</w:t>
            </w:r>
          </w:p>
        </w:tc>
        <w:tc>
          <w:tcPr>
            <w:tcW w:w="7308" w:type="dxa"/>
            <w:noWrap w:val="0"/>
            <w:vAlign w:val="top"/>
          </w:tcPr>
          <w:p>
            <w:pPr>
              <w:snapToGrid w:val="0"/>
              <w:rPr>
                <w:color w:val="auto"/>
                <w:sz w:val="21"/>
                <w:szCs w:val="21"/>
                <w:u w:val="single"/>
              </w:rPr>
            </w:pPr>
            <w:r>
              <w:rPr>
                <w:rFonts w:hint="eastAsia"/>
                <w:color w:val="auto"/>
                <w:sz w:val="21"/>
                <w:szCs w:val="21"/>
                <w:u w:val="single"/>
              </w:rPr>
              <w:t>吊篮安装人员未持有效证件作业</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.2</w:t>
            </w:r>
          </w:p>
        </w:tc>
        <w:tc>
          <w:tcPr>
            <w:tcW w:w="7308" w:type="dxa"/>
            <w:noWrap w:val="0"/>
            <w:vAlign w:val="top"/>
          </w:tcPr>
          <w:p>
            <w:pPr>
              <w:snapToGrid w:val="0"/>
              <w:rPr>
                <w:color w:val="auto"/>
                <w:sz w:val="21"/>
                <w:szCs w:val="21"/>
                <w:u w:val="single"/>
              </w:rPr>
            </w:pPr>
            <w:r>
              <w:rPr>
                <w:rFonts w:hint="eastAsia"/>
                <w:color w:val="auto"/>
                <w:sz w:val="21"/>
                <w:szCs w:val="21"/>
                <w:u w:val="single"/>
              </w:rPr>
              <w:t>吊篮安装完成后没有进行验收，没有第三方检验验收报告</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.3</w:t>
            </w:r>
          </w:p>
        </w:tc>
        <w:tc>
          <w:tcPr>
            <w:tcW w:w="7308" w:type="dxa"/>
            <w:noWrap w:val="0"/>
            <w:vAlign w:val="top"/>
          </w:tcPr>
          <w:p>
            <w:pPr>
              <w:snapToGrid w:val="0"/>
              <w:rPr>
                <w:color w:val="auto"/>
                <w:sz w:val="21"/>
                <w:szCs w:val="21"/>
                <w:u w:val="single"/>
              </w:rPr>
            </w:pPr>
            <w:r>
              <w:rPr>
                <w:rFonts w:hint="eastAsia"/>
                <w:color w:val="auto"/>
                <w:sz w:val="21"/>
                <w:szCs w:val="21"/>
                <w:u w:val="single"/>
              </w:rPr>
              <w:t>吊篮安全锁缺失或未在检验有效期内</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.4</w:t>
            </w:r>
          </w:p>
        </w:tc>
        <w:tc>
          <w:tcPr>
            <w:tcW w:w="7308" w:type="dxa"/>
            <w:noWrap w:val="0"/>
            <w:vAlign w:val="top"/>
          </w:tcPr>
          <w:p>
            <w:pPr>
              <w:snapToGrid w:val="0"/>
              <w:rPr>
                <w:color w:val="auto"/>
                <w:sz w:val="21"/>
                <w:szCs w:val="21"/>
                <w:u w:val="single"/>
              </w:rPr>
            </w:pPr>
            <w:r>
              <w:rPr>
                <w:rFonts w:hint="eastAsia"/>
                <w:color w:val="auto"/>
                <w:sz w:val="21"/>
                <w:szCs w:val="21"/>
                <w:u w:val="single"/>
              </w:rPr>
              <w:t>吊篮限位开关缺失或故障</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.5</w:t>
            </w:r>
          </w:p>
        </w:tc>
        <w:tc>
          <w:tcPr>
            <w:tcW w:w="7308" w:type="dxa"/>
            <w:noWrap w:val="0"/>
            <w:vAlign w:val="top"/>
          </w:tcPr>
          <w:p>
            <w:pPr>
              <w:snapToGrid w:val="0"/>
              <w:rPr>
                <w:color w:val="auto"/>
                <w:sz w:val="21"/>
                <w:szCs w:val="21"/>
                <w:u w:val="single"/>
              </w:rPr>
            </w:pPr>
            <w:r>
              <w:rPr>
                <w:rFonts w:hint="eastAsia"/>
                <w:color w:val="auto"/>
                <w:sz w:val="21"/>
                <w:szCs w:val="21"/>
                <w:u w:val="single"/>
              </w:rPr>
              <w:t>吊篮电气配电箱功能不齐全，电气控制按钮、紧急停运按钮等动作不可靠</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.6</w:t>
            </w:r>
          </w:p>
        </w:tc>
        <w:tc>
          <w:tcPr>
            <w:tcW w:w="7308" w:type="dxa"/>
            <w:noWrap w:val="0"/>
            <w:vAlign w:val="top"/>
          </w:tcPr>
          <w:p>
            <w:pPr>
              <w:snapToGrid w:val="0"/>
              <w:rPr>
                <w:color w:val="auto"/>
                <w:sz w:val="21"/>
                <w:szCs w:val="21"/>
                <w:u w:val="single"/>
              </w:rPr>
            </w:pPr>
            <w:r>
              <w:rPr>
                <w:rFonts w:hint="eastAsia"/>
                <w:color w:val="auto"/>
                <w:sz w:val="21"/>
                <w:szCs w:val="21"/>
                <w:u w:val="single"/>
              </w:rPr>
              <w:t>吊篮本体上无编号、额定载重量、操作注意事项等安全警示标牌</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11.7</w:t>
            </w:r>
          </w:p>
        </w:tc>
        <w:tc>
          <w:tcPr>
            <w:tcW w:w="7308" w:type="dxa"/>
            <w:noWrap w:val="0"/>
            <w:vAlign w:val="top"/>
          </w:tcPr>
          <w:p>
            <w:pPr>
              <w:snapToGrid w:val="0"/>
              <w:rPr>
                <w:color w:val="auto"/>
                <w:sz w:val="21"/>
                <w:szCs w:val="21"/>
                <w:u w:val="single"/>
              </w:rPr>
            </w:pPr>
            <w:r>
              <w:rPr>
                <w:rFonts w:hint="eastAsia"/>
                <w:color w:val="auto"/>
                <w:sz w:val="21"/>
                <w:szCs w:val="21"/>
                <w:u w:val="single"/>
              </w:rPr>
              <w:t>悬挂机构存在缺陷，或工作钢丝绳、安全钢丝绳存在折弯、断股等缺陷</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11.8</w:t>
            </w:r>
          </w:p>
        </w:tc>
        <w:tc>
          <w:tcPr>
            <w:tcW w:w="7308" w:type="dxa"/>
            <w:noWrap w:val="0"/>
            <w:vAlign w:val="top"/>
          </w:tcPr>
          <w:p>
            <w:pPr>
              <w:snapToGrid w:val="0"/>
              <w:rPr>
                <w:color w:val="auto"/>
                <w:sz w:val="21"/>
                <w:szCs w:val="21"/>
                <w:u w:val="single"/>
              </w:rPr>
            </w:pPr>
            <w:r>
              <w:rPr>
                <w:rFonts w:hint="eastAsia"/>
                <w:color w:val="auto"/>
                <w:sz w:val="21"/>
                <w:szCs w:val="21"/>
                <w:u w:val="single"/>
              </w:rPr>
              <w:t>配重不符合使用说明书要求，配重块破损严重等</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11.9</w:t>
            </w:r>
          </w:p>
        </w:tc>
        <w:tc>
          <w:tcPr>
            <w:tcW w:w="7308" w:type="dxa"/>
            <w:noWrap w:val="0"/>
            <w:vAlign w:val="top"/>
          </w:tcPr>
          <w:p>
            <w:pPr>
              <w:snapToGrid w:val="0"/>
              <w:rPr>
                <w:color w:val="auto"/>
                <w:sz w:val="21"/>
                <w:szCs w:val="21"/>
                <w:u w:val="single"/>
              </w:rPr>
            </w:pPr>
            <w:r>
              <w:rPr>
                <w:rFonts w:hint="eastAsia"/>
                <w:color w:val="auto"/>
                <w:sz w:val="21"/>
                <w:szCs w:val="21"/>
                <w:u w:val="single"/>
              </w:rPr>
              <w:t>吊篮内作业人员超过或少于2人</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11.10</w:t>
            </w:r>
          </w:p>
        </w:tc>
        <w:tc>
          <w:tcPr>
            <w:tcW w:w="7308" w:type="dxa"/>
            <w:noWrap w:val="0"/>
            <w:vAlign w:val="top"/>
          </w:tcPr>
          <w:p>
            <w:pPr>
              <w:snapToGrid w:val="0"/>
              <w:rPr>
                <w:color w:val="auto"/>
                <w:sz w:val="21"/>
                <w:szCs w:val="21"/>
                <w:u w:val="single"/>
              </w:rPr>
            </w:pPr>
            <w:r>
              <w:rPr>
                <w:rFonts w:hint="eastAsia"/>
                <w:color w:val="auto"/>
                <w:sz w:val="21"/>
                <w:szCs w:val="21"/>
                <w:u w:val="single"/>
              </w:rPr>
              <w:t>吊篮内2名作业人员没有使用2条独立设置的安全绳</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11.11</w:t>
            </w:r>
          </w:p>
        </w:tc>
        <w:tc>
          <w:tcPr>
            <w:tcW w:w="7308" w:type="dxa"/>
            <w:noWrap w:val="0"/>
            <w:vAlign w:val="top"/>
          </w:tcPr>
          <w:p>
            <w:pPr>
              <w:snapToGrid w:val="0"/>
              <w:rPr>
                <w:color w:val="auto"/>
                <w:sz w:val="21"/>
                <w:szCs w:val="21"/>
                <w:u w:val="single"/>
              </w:rPr>
            </w:pPr>
            <w:r>
              <w:rPr>
                <w:rFonts w:hint="eastAsia"/>
                <w:color w:val="auto"/>
                <w:sz w:val="21"/>
                <w:szCs w:val="21"/>
                <w:u w:val="single"/>
              </w:rPr>
              <w:t>吊篮内堆放过多物品，超载使用</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rFonts w:hint="eastAsia"/>
                <w:color w:val="auto"/>
                <w:sz w:val="21"/>
                <w:szCs w:val="21"/>
                <w:u w:val="single"/>
              </w:rPr>
              <w:t>11.12</w:t>
            </w:r>
          </w:p>
        </w:tc>
        <w:tc>
          <w:tcPr>
            <w:tcW w:w="7308" w:type="dxa"/>
            <w:noWrap w:val="0"/>
            <w:vAlign w:val="top"/>
          </w:tcPr>
          <w:p>
            <w:pPr>
              <w:snapToGrid w:val="0"/>
              <w:rPr>
                <w:color w:val="auto"/>
                <w:sz w:val="21"/>
                <w:szCs w:val="21"/>
                <w:u w:val="single"/>
              </w:rPr>
            </w:pPr>
            <w:r>
              <w:rPr>
                <w:rFonts w:hint="eastAsia"/>
                <w:color w:val="auto"/>
                <w:sz w:val="21"/>
                <w:szCs w:val="21"/>
                <w:u w:val="single"/>
              </w:rPr>
              <w:t>吊篮内放置乙炔瓶、氧气瓶等易燃易爆物品</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color w:val="auto"/>
                <w:sz w:val="21"/>
                <w:szCs w:val="21"/>
                <w:u w:val="single"/>
              </w:rPr>
            </w:pPr>
          </w:p>
        </w:tc>
        <w:tc>
          <w:tcPr>
            <w:tcW w:w="7308" w:type="dxa"/>
            <w:noWrap w:val="0"/>
            <w:vAlign w:val="top"/>
          </w:tcPr>
          <w:p>
            <w:pPr>
              <w:snapToGrid w:val="0"/>
              <w:rPr>
                <w:rFonts w:hint="eastAsia"/>
                <w:color w:val="auto"/>
                <w:sz w:val="21"/>
                <w:szCs w:val="21"/>
                <w:u w:val="single"/>
              </w:rPr>
            </w:pP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pPr>
              <w:snapToGrid w:val="0"/>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w:t>
            </w:r>
            <w:r>
              <w:rPr>
                <w:rFonts w:hint="eastAsia"/>
                <w:color w:val="auto"/>
                <w:sz w:val="21"/>
                <w:szCs w:val="21"/>
                <w:u w:val="single"/>
                <w:lang w:val="en-US" w:eastAsia="zh-CN"/>
              </w:rPr>
              <w:t>动土作业</w:t>
            </w:r>
            <w:r>
              <w:rPr>
                <w:color w:val="auto"/>
                <w:sz w:val="21"/>
                <w:szCs w:val="21"/>
                <w:u w:val="single"/>
              </w:rPr>
              <w:t xml:space="preserve">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.1</w:t>
            </w:r>
          </w:p>
        </w:tc>
        <w:tc>
          <w:tcPr>
            <w:tcW w:w="7308" w:type="dxa"/>
            <w:noWrap w:val="0"/>
            <w:vAlign w:val="top"/>
          </w:tcPr>
          <w:p>
            <w:pPr>
              <w:snapToGrid w:val="0"/>
              <w:rPr>
                <w:color w:val="auto"/>
                <w:sz w:val="21"/>
                <w:szCs w:val="21"/>
                <w:u w:val="single"/>
              </w:rPr>
            </w:pPr>
            <w:r>
              <w:rPr>
                <w:color w:val="auto"/>
                <w:sz w:val="21"/>
                <w:szCs w:val="21"/>
                <w:u w:val="single"/>
              </w:rPr>
              <w:t>斜坡上浮石前未清理，基坑开挖临边、斜坡未有可靠防护围栏</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.2</w:t>
            </w:r>
          </w:p>
        </w:tc>
        <w:tc>
          <w:tcPr>
            <w:tcW w:w="7308" w:type="dxa"/>
            <w:noWrap w:val="0"/>
            <w:vAlign w:val="top"/>
          </w:tcPr>
          <w:p>
            <w:pPr>
              <w:snapToGrid w:val="0"/>
              <w:rPr>
                <w:color w:val="auto"/>
                <w:sz w:val="21"/>
                <w:szCs w:val="21"/>
                <w:u w:val="single"/>
              </w:rPr>
            </w:pPr>
            <w:r>
              <w:rPr>
                <w:color w:val="auto"/>
                <w:sz w:val="21"/>
                <w:szCs w:val="21"/>
                <w:u w:val="single"/>
              </w:rPr>
              <w:t>有地下水或地面水流入基坑未采取排水或降水措施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.3</w:t>
            </w:r>
          </w:p>
        </w:tc>
        <w:tc>
          <w:tcPr>
            <w:tcW w:w="7308" w:type="dxa"/>
            <w:noWrap w:val="0"/>
            <w:vAlign w:val="top"/>
          </w:tcPr>
          <w:p>
            <w:pPr>
              <w:snapToGrid w:val="0"/>
              <w:rPr>
                <w:color w:val="auto"/>
                <w:sz w:val="21"/>
                <w:szCs w:val="21"/>
                <w:u w:val="single"/>
              </w:rPr>
            </w:pPr>
            <w:r>
              <w:rPr>
                <w:color w:val="auto"/>
                <w:sz w:val="21"/>
                <w:szCs w:val="21"/>
                <w:u w:val="single"/>
              </w:rPr>
              <w:t>堆土距离边坡边缘不足0.8米,高度超1.5米</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rFonts w:hint="eastAsia" w:eastAsia="宋体"/>
                <w:color w:val="auto"/>
                <w:sz w:val="21"/>
                <w:szCs w:val="21"/>
                <w:u w:val="single"/>
                <w:lang w:val="en-US" w:eastAsia="zh-CN"/>
              </w:rPr>
            </w:pPr>
            <w:r>
              <w:rPr>
                <w:color w:val="auto"/>
                <w:sz w:val="21"/>
                <w:szCs w:val="21"/>
                <w:u w:val="single"/>
              </w:rPr>
              <w:t>1</w:t>
            </w:r>
            <w:r>
              <w:rPr>
                <w:rFonts w:hint="eastAsia"/>
                <w:color w:val="auto"/>
                <w:sz w:val="21"/>
                <w:szCs w:val="21"/>
                <w:u w:val="single"/>
              </w:rPr>
              <w:t>2</w:t>
            </w:r>
            <w:r>
              <w:rPr>
                <w:color w:val="auto"/>
                <w:sz w:val="21"/>
                <w:szCs w:val="21"/>
                <w:u w:val="single"/>
              </w:rPr>
              <w:t>.</w:t>
            </w:r>
            <w:r>
              <w:rPr>
                <w:rFonts w:hint="eastAsia"/>
                <w:color w:val="auto"/>
                <w:sz w:val="21"/>
                <w:szCs w:val="21"/>
                <w:u w:val="single"/>
                <w:lang w:val="en-US" w:eastAsia="zh-CN"/>
              </w:rPr>
              <w:t>4</w:t>
            </w:r>
          </w:p>
        </w:tc>
        <w:tc>
          <w:tcPr>
            <w:tcW w:w="7308" w:type="dxa"/>
            <w:noWrap w:val="0"/>
            <w:vAlign w:val="top"/>
          </w:tcPr>
          <w:p>
            <w:pPr>
              <w:snapToGrid w:val="0"/>
              <w:rPr>
                <w:color w:val="auto"/>
                <w:sz w:val="21"/>
                <w:szCs w:val="21"/>
                <w:u w:val="single"/>
              </w:rPr>
            </w:pPr>
            <w:r>
              <w:rPr>
                <w:color w:val="auto"/>
                <w:sz w:val="21"/>
                <w:szCs w:val="21"/>
                <w:u w:val="single"/>
              </w:rPr>
              <w:t>深基坑或地质复杂基坑未采取支护措施</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pPr>
              <w:snapToGrid w:val="0"/>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调试</w:t>
            </w:r>
            <w:r>
              <w:rPr>
                <w:rFonts w:hint="eastAsia"/>
                <w:color w:val="auto"/>
                <w:sz w:val="21"/>
                <w:szCs w:val="21"/>
                <w:u w:val="single"/>
                <w:lang w:val="en-US" w:eastAsia="zh-CN"/>
              </w:rPr>
              <w:t>/试运行</w:t>
            </w:r>
            <w:r>
              <w:rPr>
                <w:color w:val="auto"/>
                <w:sz w:val="21"/>
                <w:szCs w:val="21"/>
                <w:u w:val="single"/>
              </w:rPr>
              <w:t xml:space="preserve">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.1</w:t>
            </w:r>
          </w:p>
        </w:tc>
        <w:tc>
          <w:tcPr>
            <w:tcW w:w="7308" w:type="dxa"/>
            <w:noWrap w:val="0"/>
            <w:vAlign w:val="top"/>
          </w:tcPr>
          <w:p>
            <w:pPr>
              <w:snapToGrid w:val="0"/>
              <w:rPr>
                <w:color w:val="auto"/>
                <w:sz w:val="21"/>
                <w:szCs w:val="21"/>
                <w:u w:val="single"/>
              </w:rPr>
            </w:pPr>
            <w:r>
              <w:rPr>
                <w:color w:val="auto"/>
                <w:sz w:val="21"/>
                <w:szCs w:val="21"/>
                <w:u w:val="single"/>
              </w:rPr>
              <w:t>电气设备受电前、机械设备试转前，未有警戒区域，未设专人监护</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.2</w:t>
            </w:r>
          </w:p>
        </w:tc>
        <w:tc>
          <w:tcPr>
            <w:tcW w:w="7308" w:type="dxa"/>
            <w:noWrap w:val="0"/>
            <w:vAlign w:val="top"/>
          </w:tcPr>
          <w:p>
            <w:pPr>
              <w:snapToGrid w:val="0"/>
              <w:rPr>
                <w:color w:val="auto"/>
                <w:sz w:val="21"/>
                <w:szCs w:val="21"/>
                <w:u w:val="single"/>
              </w:rPr>
            </w:pPr>
            <w:r>
              <w:rPr>
                <w:color w:val="auto"/>
                <w:sz w:val="21"/>
                <w:szCs w:val="21"/>
                <w:u w:val="single"/>
              </w:rPr>
              <w:t>对运行设备的旋转部分进行清扫、擦拭或润滑</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.3</w:t>
            </w:r>
          </w:p>
        </w:tc>
        <w:tc>
          <w:tcPr>
            <w:tcW w:w="7308" w:type="dxa"/>
            <w:noWrap w:val="0"/>
            <w:vAlign w:val="top"/>
          </w:tcPr>
          <w:p>
            <w:pPr>
              <w:snapToGrid w:val="0"/>
              <w:rPr>
                <w:color w:val="auto"/>
                <w:sz w:val="21"/>
                <w:szCs w:val="21"/>
                <w:u w:val="single"/>
              </w:rPr>
            </w:pPr>
            <w:r>
              <w:rPr>
                <w:color w:val="auto"/>
                <w:sz w:val="21"/>
                <w:szCs w:val="21"/>
                <w:u w:val="single"/>
              </w:rPr>
              <w:t>在带有压力管道、阀门进行检修工作</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.4</w:t>
            </w:r>
          </w:p>
        </w:tc>
        <w:tc>
          <w:tcPr>
            <w:tcW w:w="7308" w:type="dxa"/>
            <w:noWrap w:val="0"/>
            <w:vAlign w:val="top"/>
          </w:tcPr>
          <w:p>
            <w:pPr>
              <w:snapToGrid w:val="0"/>
              <w:rPr>
                <w:color w:val="auto"/>
                <w:sz w:val="21"/>
                <w:szCs w:val="21"/>
                <w:u w:val="single"/>
              </w:rPr>
            </w:pPr>
            <w:r>
              <w:rPr>
                <w:color w:val="auto"/>
                <w:sz w:val="21"/>
                <w:szCs w:val="21"/>
                <w:u w:val="single"/>
              </w:rPr>
              <w:t>违反两票制度</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.5</w:t>
            </w:r>
          </w:p>
        </w:tc>
        <w:tc>
          <w:tcPr>
            <w:tcW w:w="7308" w:type="dxa"/>
            <w:noWrap w:val="0"/>
            <w:vAlign w:val="top"/>
          </w:tcPr>
          <w:p>
            <w:pPr>
              <w:snapToGrid w:val="0"/>
              <w:rPr>
                <w:color w:val="auto"/>
                <w:sz w:val="21"/>
                <w:szCs w:val="21"/>
                <w:u w:val="single"/>
              </w:rPr>
            </w:pPr>
            <w:r>
              <w:rPr>
                <w:color w:val="auto"/>
                <w:sz w:val="21"/>
                <w:szCs w:val="21"/>
                <w:u w:val="single"/>
              </w:rPr>
              <w:t>对安装或消缺电气线路未挂警示牌</w:t>
            </w:r>
          </w:p>
        </w:tc>
        <w:tc>
          <w:tcPr>
            <w:tcW w:w="1205" w:type="dxa"/>
            <w:gridSpan w:val="3"/>
            <w:noWrap w:val="0"/>
            <w:vAlign w:val="top"/>
          </w:tcPr>
          <w:p>
            <w:pPr>
              <w:snapToGrid w:val="0"/>
              <w:jc w:val="center"/>
              <w:rPr>
                <w:color w:val="auto"/>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pPr>
              <w:snapToGrid w:val="0"/>
              <w:jc w:val="center"/>
              <w:rPr>
                <w:color w:val="auto"/>
                <w:sz w:val="21"/>
                <w:szCs w:val="21"/>
                <w:u w:val="single"/>
              </w:rPr>
            </w:pPr>
            <w:r>
              <w:rPr>
                <w:color w:val="auto"/>
                <w:sz w:val="21"/>
                <w:szCs w:val="21"/>
                <w:u w:val="single"/>
              </w:rPr>
              <w:t>1</w:t>
            </w:r>
            <w:r>
              <w:rPr>
                <w:rFonts w:hint="eastAsia"/>
                <w:color w:val="auto"/>
                <w:sz w:val="21"/>
                <w:szCs w:val="21"/>
                <w:u w:val="single"/>
                <w:lang w:val="en-US" w:eastAsia="zh-CN"/>
              </w:rPr>
              <w:t>3</w:t>
            </w:r>
            <w:r>
              <w:rPr>
                <w:color w:val="auto"/>
                <w:sz w:val="21"/>
                <w:szCs w:val="21"/>
                <w:u w:val="single"/>
              </w:rPr>
              <w:t>.6</w:t>
            </w:r>
          </w:p>
        </w:tc>
        <w:tc>
          <w:tcPr>
            <w:tcW w:w="7308" w:type="dxa"/>
            <w:noWrap w:val="0"/>
            <w:vAlign w:val="top"/>
          </w:tcPr>
          <w:p>
            <w:pPr>
              <w:snapToGrid w:val="0"/>
              <w:rPr>
                <w:color w:val="auto"/>
                <w:sz w:val="21"/>
                <w:szCs w:val="21"/>
                <w:u w:val="single"/>
              </w:rPr>
            </w:pPr>
            <w:r>
              <w:rPr>
                <w:color w:val="auto"/>
                <w:sz w:val="21"/>
                <w:szCs w:val="21"/>
                <w:u w:val="single"/>
              </w:rPr>
              <w:t>其他违反电厂运行规定违章行为</w:t>
            </w:r>
          </w:p>
        </w:tc>
        <w:tc>
          <w:tcPr>
            <w:tcW w:w="1205" w:type="dxa"/>
            <w:gridSpan w:val="3"/>
            <w:noWrap w:val="0"/>
            <w:vAlign w:val="top"/>
          </w:tcPr>
          <w:p>
            <w:pPr>
              <w:snapToGrid w:val="0"/>
              <w:jc w:val="center"/>
              <w:rPr>
                <w:color w:val="auto"/>
                <w:sz w:val="21"/>
                <w:szCs w:val="21"/>
                <w:u w:val="single"/>
              </w:rPr>
            </w:pPr>
          </w:p>
        </w:tc>
      </w:tr>
    </w:tbl>
    <w:p>
      <w:pPr>
        <w:pStyle w:val="8"/>
        <w:snapToGrid w:val="0"/>
        <w:spacing w:line="360" w:lineRule="auto"/>
        <w:ind w:left="0" w:leftChars="0" w:right="290"/>
        <w:rPr>
          <w:color w:val="auto"/>
          <w:u w:val="single"/>
        </w:rPr>
      </w:pPr>
    </w:p>
    <w:p>
      <w:pPr>
        <w:pStyle w:val="8"/>
        <w:numPr>
          <w:ilvl w:val="0"/>
          <w:numId w:val="14"/>
        </w:numPr>
        <w:snapToGrid w:val="0"/>
        <w:spacing w:line="360" w:lineRule="auto"/>
        <w:ind w:left="0" w:leftChars="0" w:right="290" w:firstLine="567"/>
        <w:rPr>
          <w:color w:val="auto"/>
          <w:u w:val="single"/>
        </w:rPr>
      </w:pPr>
      <w:r>
        <w:rPr>
          <w:rFonts w:hint="eastAsia"/>
          <w:color w:val="auto"/>
          <w:u w:val="single"/>
        </w:rPr>
        <w:t>对于管理性违章行为，如无方案施工、违章指挥或强令冒险作业、安全管理职责履职不到位、上级专项工作或安全检查整改落实不及时、屡教不改等行为的，要加倍进行处罚；</w:t>
      </w:r>
    </w:p>
    <w:p>
      <w:pPr>
        <w:pStyle w:val="8"/>
        <w:numPr>
          <w:ilvl w:val="0"/>
          <w:numId w:val="14"/>
        </w:numPr>
        <w:snapToGrid w:val="0"/>
        <w:spacing w:line="360" w:lineRule="auto"/>
        <w:ind w:left="0" w:leftChars="0" w:right="290" w:firstLine="567"/>
        <w:rPr>
          <w:rFonts w:hint="eastAsia"/>
          <w:color w:val="auto"/>
          <w:u w:val="single"/>
        </w:rPr>
      </w:pPr>
      <w:r>
        <w:rPr>
          <w:rFonts w:hint="eastAsia"/>
          <w:color w:val="auto"/>
          <w:u w:val="single"/>
        </w:rPr>
        <w:t>对于施工合同，发现上述习惯性违章行为对施工单位进行处罚的。</w:t>
      </w:r>
    </w:p>
    <w:p>
      <w:pPr>
        <w:pStyle w:val="8"/>
        <w:numPr>
          <w:ilvl w:val="0"/>
          <w:numId w:val="11"/>
        </w:numPr>
        <w:snapToGrid w:val="0"/>
        <w:spacing w:line="360" w:lineRule="auto"/>
        <w:ind w:left="0" w:leftChars="0" w:right="290" w:firstLine="567"/>
      </w:pPr>
      <w:r>
        <w:rPr>
          <w:rFonts w:hint="eastAsia"/>
        </w:rPr>
        <w:t>上述甲方</w:t>
      </w:r>
      <w:r>
        <w:t>对乙方的</w:t>
      </w:r>
      <w:r>
        <w:rPr>
          <w:rFonts w:hint="eastAsia"/>
        </w:rPr>
        <w:t>安健环违约金扣缴或</w:t>
      </w:r>
      <w:r>
        <w:t>经济处罚</w:t>
      </w:r>
      <w:r>
        <w:rPr>
          <w:rFonts w:hint="eastAsia"/>
        </w:rPr>
        <w:t>从</w:t>
      </w:r>
      <w:r>
        <w:t>甲方应付乙方</w:t>
      </w:r>
      <w:r>
        <w:rPr>
          <w:rFonts w:hint="eastAsia"/>
        </w:rPr>
        <w:t>合同费用、履约保证金或履约保函中直接给予扣除（此并不构成甲方违约）。尚不足部分的金额，由乙方于收到违约金或处罚</w:t>
      </w:r>
      <w:r>
        <w:t>单</w:t>
      </w:r>
      <w:r>
        <w:rPr>
          <w:rFonts w:hint="eastAsia"/>
        </w:rPr>
        <w:t>一个月内另行向甲方一次性付清，否则每日按逾期未付款金额千分之五的标准计算向甲方支付滞纳金，直至付清全部欠款（含本金和滞纳金）。</w:t>
      </w:r>
    </w:p>
    <w:p>
      <w:pPr>
        <w:pStyle w:val="8"/>
        <w:numPr>
          <w:ilvl w:val="0"/>
          <w:numId w:val="11"/>
        </w:numPr>
        <w:tabs>
          <w:tab w:val="left" w:pos="993"/>
        </w:tabs>
        <w:snapToGrid w:val="0"/>
        <w:spacing w:line="360" w:lineRule="auto"/>
        <w:ind w:left="0" w:leftChars="0" w:right="290" w:firstLine="567"/>
        <w:rPr>
          <w:rFonts w:hint="eastAsia"/>
        </w:rPr>
      </w:pPr>
      <w:r>
        <w:rPr>
          <w:rFonts w:hint="eastAsia"/>
        </w:rPr>
        <w:t>在任何情况下，不因为甲方对乙方</w:t>
      </w:r>
      <w:r>
        <w:t>发生安健环事故事件或</w:t>
      </w:r>
      <w:r>
        <w:rPr>
          <w:rFonts w:hint="eastAsia"/>
        </w:rPr>
        <w:t>其</w:t>
      </w:r>
      <w:r>
        <w:t>安健环违规</w:t>
      </w:r>
      <w:r>
        <w:rPr>
          <w:rFonts w:hint="eastAsia"/>
        </w:rPr>
        <w:t>、</w:t>
      </w:r>
      <w:r>
        <w:t>违法</w:t>
      </w:r>
      <w:r>
        <w:rPr>
          <w:rFonts w:hint="eastAsia"/>
        </w:rPr>
        <w:t>、</w:t>
      </w:r>
      <w:r>
        <w:t>违章等行为</w:t>
      </w:r>
      <w:r>
        <w:rPr>
          <w:rFonts w:hint="eastAsia"/>
        </w:rPr>
        <w:t>进行违约金扣缴或</w:t>
      </w:r>
      <w:r>
        <w:t>经济处罚</w:t>
      </w:r>
      <w:r>
        <w:rPr>
          <w:rFonts w:hint="eastAsia"/>
        </w:rPr>
        <w:t>而免除乙方应负的安健环责任、</w:t>
      </w:r>
      <w:r>
        <w:t>法律责任</w:t>
      </w:r>
      <w:r>
        <w:rPr>
          <w:rFonts w:hint="eastAsia"/>
        </w:rPr>
        <w:t>、</w:t>
      </w:r>
      <w:r>
        <w:t>赔偿补偿责任</w:t>
      </w:r>
      <w:r>
        <w:rPr>
          <w:rFonts w:hint="eastAsia"/>
        </w:rPr>
        <w:t>、</w:t>
      </w:r>
      <w:r>
        <w:t>善后处理</w:t>
      </w:r>
      <w:r>
        <w:rPr>
          <w:rFonts w:hint="eastAsia"/>
        </w:rPr>
        <w:t>责任及</w:t>
      </w:r>
      <w:r>
        <w:t>其他义务</w:t>
      </w:r>
      <w:r>
        <w:rPr>
          <w:rFonts w:hint="eastAsia"/>
        </w:rPr>
        <w:t>。</w:t>
      </w:r>
    </w:p>
    <w:p>
      <w:pPr>
        <w:pStyle w:val="8"/>
        <w:numPr>
          <w:ilvl w:val="0"/>
          <w:numId w:val="11"/>
        </w:numPr>
        <w:tabs>
          <w:tab w:val="left" w:pos="993"/>
        </w:tabs>
        <w:snapToGrid w:val="0"/>
        <w:spacing w:line="360" w:lineRule="auto"/>
        <w:ind w:left="0" w:leftChars="0" w:right="290" w:firstLine="567"/>
        <w:rPr>
          <w:rFonts w:hint="eastAsia"/>
        </w:rPr>
      </w:pPr>
      <w:r>
        <w:rPr>
          <w:rFonts w:hint="eastAsia"/>
        </w:rPr>
        <w:t>对于乙方其自身本应独立主动地负责依法依规进行处理的任何纠纷或者</w:t>
      </w:r>
      <w:r>
        <w:t>事故</w:t>
      </w:r>
      <w:r>
        <w:rPr>
          <w:rFonts w:hint="eastAsia"/>
        </w:rPr>
        <w:t>事件，当因乙方拖延慢作为或回避不作为而</w:t>
      </w:r>
      <w:r>
        <w:t>扩散</w:t>
      </w:r>
      <w:r>
        <w:rPr>
          <w:rFonts w:hint="eastAsia"/>
        </w:rPr>
        <w:t>漫延影响到或者损害到甲方的声誉形象等任何权益之时，甲方基于保护本身的权益免受伤害，有权选择主动参与到乙方该纠纷或者事件的合情合理调解和依法依规处理。但甲方对乙方该纠纷或者事故</w:t>
      </w:r>
      <w:r>
        <w:t>、</w:t>
      </w:r>
      <w:r>
        <w:rPr>
          <w:rFonts w:hint="eastAsia"/>
        </w:rPr>
        <w:t>事件任何形式的参与和处理，并不导致乙方其自身本应独立承担的任何责任和义务等发生转移、变更、减少、减轻、终止等任何形式的改变，即乙方自身本应独立承担的任何责任和义务仍然由其全部承担。</w:t>
      </w:r>
    </w:p>
    <w:p>
      <w:pPr>
        <w:pStyle w:val="8"/>
        <w:numPr>
          <w:ilvl w:val="0"/>
          <w:numId w:val="11"/>
        </w:numPr>
        <w:tabs>
          <w:tab w:val="left" w:pos="993"/>
        </w:tabs>
        <w:snapToGrid w:val="0"/>
        <w:spacing w:line="360" w:lineRule="auto"/>
        <w:ind w:left="0" w:leftChars="0" w:right="290" w:firstLine="567"/>
        <w:rPr>
          <w:rFonts w:hint="eastAsia"/>
        </w:rPr>
      </w:pPr>
      <w:r>
        <w:rPr>
          <w:rFonts w:hint="eastAsia"/>
        </w:rPr>
        <w:t>上述责任和违约处罚，不包括因安健环问题而来自政府的问责、罚款和其它索赔等。来自政府的问责、罚款和其它索赔等，因乙方原因造成的，全部由乙方承担。</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协议的货币种类</w:t>
      </w:r>
    </w:p>
    <w:p>
      <w:pPr>
        <w:pStyle w:val="8"/>
        <w:snapToGrid w:val="0"/>
        <w:spacing w:line="360" w:lineRule="auto"/>
        <w:ind w:left="0" w:leftChars="0" w:right="290" w:firstLine="566" w:firstLineChars="236"/>
        <w:rPr>
          <w:rFonts w:hint="eastAsia"/>
        </w:rPr>
      </w:pPr>
      <w:r>
        <w:rPr>
          <w:rFonts w:hint="eastAsia"/>
        </w:rPr>
        <w:t>本协议中所涉及的费用、处罚、</w:t>
      </w:r>
      <w:r>
        <w:t>罚款</w:t>
      </w:r>
      <w:r>
        <w:rPr>
          <w:rFonts w:hint="eastAsia"/>
        </w:rPr>
        <w:t>、违约金、赔偿、补偿等的计量货币币种均为人民币。</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组成协议的文件及解释顺序</w:t>
      </w:r>
    </w:p>
    <w:p>
      <w:pPr>
        <w:pStyle w:val="8"/>
        <w:snapToGrid w:val="0"/>
        <w:spacing w:line="360" w:lineRule="auto"/>
        <w:ind w:left="0" w:leftChars="0" w:right="290" w:firstLine="566" w:firstLineChars="236"/>
        <w:rPr>
          <w:rFonts w:hint="eastAsia"/>
        </w:rPr>
      </w:pPr>
      <w:r>
        <w:rPr>
          <w:rFonts w:hint="eastAsia"/>
        </w:rPr>
        <w:t>组成本协议的各个文件应该是一整体，彼此相互解释，互为说明。本协议的文件及优先解释顺序如下：</w:t>
      </w:r>
    </w:p>
    <w:p>
      <w:pPr>
        <w:pStyle w:val="8"/>
        <w:numPr>
          <w:ilvl w:val="0"/>
          <w:numId w:val="15"/>
        </w:numPr>
        <w:snapToGrid w:val="0"/>
        <w:spacing w:line="360" w:lineRule="auto"/>
        <w:ind w:left="0" w:leftChars="0" w:right="290" w:firstLine="567"/>
        <w:rPr>
          <w:rFonts w:hint="eastAsia"/>
        </w:rPr>
      </w:pPr>
      <w:r>
        <w:rPr>
          <w:rFonts w:hint="eastAsia"/>
        </w:rPr>
        <w:t>本《安健环协议》条款和附件，以及有关</w:t>
      </w:r>
      <w:r>
        <w:t>法律、法规</w:t>
      </w:r>
      <w:r>
        <w:rPr>
          <w:rFonts w:hint="eastAsia"/>
        </w:rPr>
        <w:t>和规范性文件要求；</w:t>
      </w:r>
    </w:p>
    <w:p>
      <w:pPr>
        <w:pStyle w:val="8"/>
        <w:numPr>
          <w:ilvl w:val="0"/>
          <w:numId w:val="15"/>
        </w:numPr>
        <w:snapToGrid w:val="0"/>
        <w:spacing w:line="360" w:lineRule="auto"/>
        <w:ind w:left="0" w:leftChars="0" w:right="290" w:firstLine="567"/>
        <w:rPr>
          <w:rFonts w:hint="eastAsia"/>
        </w:rPr>
      </w:pPr>
      <w:r>
        <w:rPr>
          <w:rFonts w:hint="eastAsia"/>
        </w:rPr>
        <w:t xml:space="preserve">甲乙双方另行每次签订生效的项目合同条款及附件； </w:t>
      </w:r>
    </w:p>
    <w:p>
      <w:pPr>
        <w:pStyle w:val="8"/>
        <w:numPr>
          <w:ilvl w:val="0"/>
          <w:numId w:val="15"/>
        </w:numPr>
        <w:snapToGrid w:val="0"/>
        <w:spacing w:line="360" w:lineRule="auto"/>
        <w:ind w:left="0" w:leftChars="0" w:right="290" w:firstLine="567"/>
        <w:rPr>
          <w:rFonts w:hint="eastAsia"/>
        </w:rPr>
      </w:pPr>
      <w:r>
        <w:rPr>
          <w:rFonts w:hint="eastAsia"/>
        </w:rPr>
        <w:t>甲方及其各属下分公司、分支机构、各中心或各部门等制定实施的规章制度、操作规范，以及现场公示的标语、提示、警告、宣传、通知等任何形式的管理要求；</w:t>
      </w:r>
    </w:p>
    <w:p>
      <w:pPr>
        <w:pStyle w:val="8"/>
        <w:numPr>
          <w:ilvl w:val="0"/>
          <w:numId w:val="15"/>
        </w:numPr>
        <w:snapToGrid w:val="0"/>
        <w:spacing w:line="360" w:lineRule="auto"/>
        <w:ind w:left="0" w:leftChars="0" w:right="290" w:firstLine="567"/>
        <w:rPr>
          <w:rFonts w:hint="eastAsia"/>
        </w:rPr>
      </w:pPr>
      <w:r>
        <w:rPr>
          <w:rFonts w:hint="eastAsia"/>
        </w:rPr>
        <w:t>乙方及其各属下分公司、分支机构、各中心或各部门等制定实施的规章制度、操作规范，以及现场公示的标语、提示、警告、宣传、通知等任何形式的管理要求；</w:t>
      </w:r>
    </w:p>
    <w:p>
      <w:pPr>
        <w:pStyle w:val="8"/>
        <w:numPr>
          <w:ilvl w:val="0"/>
          <w:numId w:val="15"/>
        </w:numPr>
        <w:snapToGrid w:val="0"/>
        <w:spacing w:line="360" w:lineRule="auto"/>
        <w:ind w:left="0" w:leftChars="0" w:right="290" w:firstLine="567"/>
        <w:rPr>
          <w:rFonts w:hint="eastAsia"/>
        </w:rPr>
      </w:pPr>
      <w:r>
        <w:rPr>
          <w:rFonts w:hint="eastAsia"/>
        </w:rPr>
        <w:t>双方就安健环事项进行培训、考核、整改等过程监管当中所书面下发的文件要求。</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协议争议与仲裁</w:t>
      </w:r>
    </w:p>
    <w:p>
      <w:pPr>
        <w:pStyle w:val="8"/>
        <w:numPr>
          <w:ilvl w:val="0"/>
          <w:numId w:val="16"/>
        </w:numPr>
        <w:snapToGrid w:val="0"/>
        <w:spacing w:line="360" w:lineRule="auto"/>
        <w:ind w:left="0" w:leftChars="0" w:right="290" w:firstLine="566" w:firstLineChars="236"/>
        <w:rPr>
          <w:rFonts w:hint="eastAsia"/>
          <w:color w:val="auto"/>
          <w:u w:val="single"/>
        </w:rPr>
      </w:pPr>
      <w:r>
        <w:rPr>
          <w:rFonts w:hint="eastAsia"/>
        </w:rPr>
        <w:t>本协议执行过程中，如发生争议，由双方协商解决；若经协商不能解决争议的，可以由项目所在地</w:t>
      </w:r>
      <w:r>
        <w:t>行业主管部门</w:t>
      </w:r>
      <w:r>
        <w:rPr>
          <w:rFonts w:hint="eastAsia"/>
        </w:rPr>
        <w:t>通过</w:t>
      </w:r>
      <w:r>
        <w:t>调解</w:t>
      </w:r>
      <w:r>
        <w:rPr>
          <w:rFonts w:hint="eastAsia"/>
        </w:rPr>
        <w:t>的方式</w:t>
      </w:r>
      <w:r>
        <w:t>解决。</w:t>
      </w:r>
      <w:r>
        <w:rPr>
          <w:rFonts w:hint="eastAsia"/>
        </w:rPr>
        <w:t>调解</w:t>
      </w:r>
      <w:r>
        <w:t>不成的，</w:t>
      </w:r>
      <w:r>
        <w:rPr>
          <w:rFonts w:hint="eastAsia"/>
        </w:rPr>
        <w:t>双方</w:t>
      </w:r>
      <w:r>
        <w:rPr>
          <w:rFonts w:hint="eastAsia"/>
          <w:color w:val="auto"/>
          <w:u w:val="single"/>
        </w:rPr>
        <w:t>可以在合同、仲裁协议及附属条款中约定的方式来最终解决。</w:t>
      </w:r>
    </w:p>
    <w:p>
      <w:pPr>
        <w:pStyle w:val="8"/>
        <w:numPr>
          <w:ilvl w:val="0"/>
          <w:numId w:val="16"/>
        </w:numPr>
        <w:snapToGrid w:val="0"/>
        <w:spacing w:line="360" w:lineRule="auto"/>
        <w:ind w:left="0" w:leftChars="0" w:right="290" w:firstLine="566" w:firstLineChars="236"/>
        <w:rPr>
          <w:rFonts w:hint="eastAsia"/>
          <w:color w:val="auto"/>
          <w:u w:val="single"/>
        </w:rPr>
      </w:pPr>
      <w:r>
        <w:rPr>
          <w:rFonts w:hint="eastAsia"/>
          <w:color w:val="auto"/>
          <w:u w:val="single"/>
        </w:rPr>
        <w:t>除非生效判决或裁决另行确定，各方为仲裁而实际支付的费用（包括但不限于仲裁费和合理的律师费、保全费用、执行费用）由败诉方承担</w:t>
      </w:r>
      <w:r>
        <w:rPr>
          <w:rFonts w:hint="eastAsia"/>
          <w:color w:val="auto"/>
          <w:u w:val="single"/>
          <w:lang w:eastAsia="zh-CN"/>
        </w:rPr>
        <w:t>。</w:t>
      </w:r>
    </w:p>
    <w:p>
      <w:pPr>
        <w:pStyle w:val="8"/>
        <w:numPr>
          <w:ilvl w:val="0"/>
          <w:numId w:val="16"/>
        </w:numPr>
        <w:snapToGrid w:val="0"/>
        <w:spacing w:line="360" w:lineRule="auto"/>
        <w:ind w:left="0" w:leftChars="0" w:right="290" w:firstLine="566" w:firstLineChars="236"/>
        <w:rPr>
          <w:rFonts w:hint="eastAsia"/>
          <w:color w:val="auto"/>
          <w:u w:val="single"/>
        </w:rPr>
      </w:pPr>
      <w:r>
        <w:rPr>
          <w:rFonts w:hint="eastAsia"/>
          <w:color w:val="auto"/>
          <w:u w:val="single"/>
        </w:rPr>
        <w:t>因本项目乙方原因引起或乙方派出现场人员或乙方作为责任主体而导致的纠纷诉讼或仲裁案件，均由乙方负责承担。争议案件发生后，乙方应指定专人负责并聘请律师全过程妥善解决，若因此造成甲方或相关第三方的费用或损失，均由乙方承担或支付赔偿</w:t>
      </w:r>
      <w:r>
        <w:rPr>
          <w:rFonts w:hint="eastAsia"/>
          <w:color w:val="auto"/>
          <w:u w:val="single"/>
          <w:lang w:eastAsia="zh-CN"/>
        </w:rPr>
        <w:t>。</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协议生效及有效期限</w:t>
      </w:r>
    </w:p>
    <w:p>
      <w:pPr>
        <w:pStyle w:val="8"/>
        <w:numPr>
          <w:ilvl w:val="0"/>
          <w:numId w:val="17"/>
        </w:numPr>
        <w:snapToGrid w:val="0"/>
        <w:spacing w:line="360" w:lineRule="auto"/>
        <w:ind w:left="0" w:leftChars="0" w:right="290" w:firstLine="567"/>
        <w:rPr>
          <w:rFonts w:hint="eastAsia"/>
        </w:rPr>
      </w:pPr>
      <w:r>
        <w:rPr>
          <w:rFonts w:hint="eastAsia"/>
        </w:rPr>
        <w:t>本协议经双方法定代表人或授权代表人签字盖章后生效。</w:t>
      </w:r>
    </w:p>
    <w:p>
      <w:pPr>
        <w:pStyle w:val="8"/>
        <w:numPr>
          <w:ilvl w:val="0"/>
          <w:numId w:val="17"/>
        </w:numPr>
        <w:snapToGrid w:val="0"/>
        <w:spacing w:line="360" w:lineRule="auto"/>
        <w:ind w:left="0" w:leftChars="0" w:right="290" w:firstLine="567"/>
        <w:rPr>
          <w:rFonts w:hint="eastAsia"/>
        </w:rPr>
      </w:pPr>
      <w:r>
        <w:rPr>
          <w:rFonts w:hint="eastAsia"/>
        </w:rPr>
        <w:t>甲乙双方签订本协议有授权代表人的，应将其法定代表人证明书、授权代表人的授权委托书等作为本协议的附件。</w:t>
      </w:r>
    </w:p>
    <w:p>
      <w:pPr>
        <w:pStyle w:val="8"/>
        <w:numPr>
          <w:ilvl w:val="0"/>
          <w:numId w:val="2"/>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协议的份数及移交执行</w:t>
      </w:r>
    </w:p>
    <w:p>
      <w:pPr>
        <w:pStyle w:val="8"/>
        <w:snapToGrid w:val="0"/>
        <w:spacing w:line="360" w:lineRule="auto"/>
        <w:ind w:left="0" w:leftChars="0" w:firstLine="480" w:firstLineChars="200"/>
        <w:rPr>
          <w:rStyle w:val="21"/>
          <w:bCs w:val="0"/>
          <w:sz w:val="21"/>
          <w:szCs w:val="21"/>
        </w:rPr>
      </w:pPr>
      <w:r>
        <w:rPr>
          <w:rFonts w:hint="eastAsia"/>
        </w:rPr>
        <w:t>本协议一式四份，甲方执三份，乙方执一份，均具有同等法律效力。甲方可通过制度颁布宣贯实行、办公系统合同审批流程会签备查、扫描件或复印件信息采集移交等多种有效可行之形式，将本协议版本传达至现场安健环管理者；乙方须自行通过本协议扫描件或复印件分发移交、自行组织培训教育宣传落实等多种有效可行之形式，将本协议传达至现场进场的所有人员，以便现场人员更好地遵照执行本协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5656245"/>
    </w:sdtPr>
    <w:sdtContent>
      <w:sdt>
        <w:sdtPr>
          <w:id w:val="1728636285"/>
        </w:sdtPr>
        <w:sdtContent>
          <w:p>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BF17E"/>
    <w:multiLevelType w:val="singleLevel"/>
    <w:tmpl w:val="A76BF17E"/>
    <w:lvl w:ilvl="0" w:tentative="0">
      <w:start w:val="1"/>
      <w:numFmt w:val="decimal"/>
      <w:suff w:val="space"/>
      <w:lvlText w:val="%1)"/>
      <w:lvlJc w:val="left"/>
      <w:pPr>
        <w:tabs>
          <w:tab w:val="left" w:pos="0"/>
        </w:tabs>
        <w:ind w:left="454" w:hanging="454"/>
      </w:pPr>
      <w:rPr>
        <w:rFonts w:hint="default"/>
      </w:rPr>
    </w:lvl>
  </w:abstractNum>
  <w:abstractNum w:abstractNumId="1">
    <w:nsid w:val="01C500B5"/>
    <w:multiLevelType w:val="multilevel"/>
    <w:tmpl w:val="01C500B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5973345"/>
    <w:multiLevelType w:val="multilevel"/>
    <w:tmpl w:val="0597334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B5116F3"/>
    <w:multiLevelType w:val="multilevel"/>
    <w:tmpl w:val="1B5116F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71A5AFC"/>
    <w:multiLevelType w:val="multilevel"/>
    <w:tmpl w:val="271A5AF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82C6360"/>
    <w:multiLevelType w:val="multilevel"/>
    <w:tmpl w:val="282C6360"/>
    <w:lvl w:ilvl="0" w:tentative="0">
      <w:start w:val="1"/>
      <w:numFmt w:val="chineseCountingThousand"/>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6">
    <w:nsid w:val="2C836791"/>
    <w:multiLevelType w:val="multilevel"/>
    <w:tmpl w:val="2C8367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F8C39A7"/>
    <w:multiLevelType w:val="multilevel"/>
    <w:tmpl w:val="2F8C39A7"/>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321B0382"/>
    <w:multiLevelType w:val="multilevel"/>
    <w:tmpl w:val="321B038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3A9059D"/>
    <w:multiLevelType w:val="multilevel"/>
    <w:tmpl w:val="33A9059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38DA3A0D"/>
    <w:multiLevelType w:val="multilevel"/>
    <w:tmpl w:val="38DA3A0D"/>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1">
    <w:nsid w:val="3BC402ED"/>
    <w:multiLevelType w:val="multilevel"/>
    <w:tmpl w:val="3BC402ED"/>
    <w:lvl w:ilvl="0" w:tentative="0">
      <w:start w:val="1"/>
      <w:numFmt w:val="decimal"/>
      <w:lvlText w:val="%1."/>
      <w:lvlJc w:val="left"/>
      <w:pPr>
        <w:ind w:left="1271" w:hanging="420"/>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12">
    <w:nsid w:val="40720C67"/>
    <w:multiLevelType w:val="multilevel"/>
    <w:tmpl w:val="40720C6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5579410E"/>
    <w:multiLevelType w:val="multilevel"/>
    <w:tmpl w:val="5579410E"/>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4">
    <w:nsid w:val="646B16AF"/>
    <w:multiLevelType w:val="singleLevel"/>
    <w:tmpl w:val="646B16AF"/>
    <w:lvl w:ilvl="0" w:tentative="0">
      <w:start w:val="1"/>
      <w:numFmt w:val="decimal"/>
      <w:suff w:val="space"/>
      <w:lvlText w:val="%1."/>
      <w:lvlJc w:val="left"/>
    </w:lvl>
  </w:abstractNum>
  <w:abstractNum w:abstractNumId="15">
    <w:nsid w:val="6AD5496C"/>
    <w:multiLevelType w:val="multilevel"/>
    <w:tmpl w:val="6AD5496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C2E62B2"/>
    <w:multiLevelType w:val="multilevel"/>
    <w:tmpl w:val="6C2E62B2"/>
    <w:lvl w:ilvl="0" w:tentative="0">
      <w:start w:val="1"/>
      <w:numFmt w:val="decimal"/>
      <w:pStyle w:val="30"/>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16"/>
  </w:num>
  <w:num w:numId="2">
    <w:abstractNumId w:val="5"/>
  </w:num>
  <w:num w:numId="3">
    <w:abstractNumId w:val="11"/>
  </w:num>
  <w:num w:numId="4">
    <w:abstractNumId w:val="15"/>
  </w:num>
  <w:num w:numId="5">
    <w:abstractNumId w:val="9"/>
  </w:num>
  <w:num w:numId="6">
    <w:abstractNumId w:val="8"/>
  </w:num>
  <w:num w:numId="7">
    <w:abstractNumId w:val="2"/>
  </w:num>
  <w:num w:numId="8">
    <w:abstractNumId w:val="1"/>
  </w:num>
  <w:num w:numId="9">
    <w:abstractNumId w:val="6"/>
  </w:num>
  <w:num w:numId="10">
    <w:abstractNumId w:val="0"/>
  </w:num>
  <w:num w:numId="11">
    <w:abstractNumId w:val="4"/>
  </w:num>
  <w:num w:numId="12">
    <w:abstractNumId w:val="10"/>
  </w:num>
  <w:num w:numId="13">
    <w:abstractNumId w:val="13"/>
  </w:num>
  <w:num w:numId="14">
    <w:abstractNumId w:val="7"/>
  </w:num>
  <w:num w:numId="15">
    <w:abstractNumId w:val="12"/>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5YmFkMTE3ZThkMzgxNzc4NDJjNWNjNjdhOGUyYTkifQ=="/>
  </w:docVars>
  <w:rsids>
    <w:rsidRoot w:val="000C5417"/>
    <w:rsid w:val="000211E6"/>
    <w:rsid w:val="000306E3"/>
    <w:rsid w:val="000308E6"/>
    <w:rsid w:val="00036EB4"/>
    <w:rsid w:val="0006419D"/>
    <w:rsid w:val="000C5417"/>
    <w:rsid w:val="000D238C"/>
    <w:rsid w:val="000D2CA4"/>
    <w:rsid w:val="000E4CC9"/>
    <w:rsid w:val="0017765B"/>
    <w:rsid w:val="001B3038"/>
    <w:rsid w:val="00242274"/>
    <w:rsid w:val="0028135F"/>
    <w:rsid w:val="00281FD8"/>
    <w:rsid w:val="00286DEB"/>
    <w:rsid w:val="002A5DD0"/>
    <w:rsid w:val="002B3D15"/>
    <w:rsid w:val="002C66C0"/>
    <w:rsid w:val="002E43A3"/>
    <w:rsid w:val="002E693C"/>
    <w:rsid w:val="00325BF2"/>
    <w:rsid w:val="0033372D"/>
    <w:rsid w:val="003502CB"/>
    <w:rsid w:val="00357B05"/>
    <w:rsid w:val="003752C8"/>
    <w:rsid w:val="00385DE9"/>
    <w:rsid w:val="003C2B5D"/>
    <w:rsid w:val="0041798E"/>
    <w:rsid w:val="004208B3"/>
    <w:rsid w:val="00427FBF"/>
    <w:rsid w:val="0046375D"/>
    <w:rsid w:val="00491846"/>
    <w:rsid w:val="004A54A4"/>
    <w:rsid w:val="004B1449"/>
    <w:rsid w:val="004B69B4"/>
    <w:rsid w:val="004F2413"/>
    <w:rsid w:val="005A601D"/>
    <w:rsid w:val="005D4FE2"/>
    <w:rsid w:val="005D70C6"/>
    <w:rsid w:val="00605467"/>
    <w:rsid w:val="00625787"/>
    <w:rsid w:val="00637A95"/>
    <w:rsid w:val="00660770"/>
    <w:rsid w:val="006A3729"/>
    <w:rsid w:val="006A6834"/>
    <w:rsid w:val="006B1492"/>
    <w:rsid w:val="006C743A"/>
    <w:rsid w:val="006E0301"/>
    <w:rsid w:val="006E428D"/>
    <w:rsid w:val="006E4B10"/>
    <w:rsid w:val="007251E0"/>
    <w:rsid w:val="00732055"/>
    <w:rsid w:val="007558BA"/>
    <w:rsid w:val="0075795D"/>
    <w:rsid w:val="007B52B7"/>
    <w:rsid w:val="007F15D0"/>
    <w:rsid w:val="00807DC9"/>
    <w:rsid w:val="00826C2D"/>
    <w:rsid w:val="00847C08"/>
    <w:rsid w:val="00883930"/>
    <w:rsid w:val="008A123C"/>
    <w:rsid w:val="008B5AA8"/>
    <w:rsid w:val="008C49DA"/>
    <w:rsid w:val="008D0B25"/>
    <w:rsid w:val="008E1D9D"/>
    <w:rsid w:val="009269A2"/>
    <w:rsid w:val="009360AA"/>
    <w:rsid w:val="0093731E"/>
    <w:rsid w:val="009465B2"/>
    <w:rsid w:val="00951BD2"/>
    <w:rsid w:val="009624C4"/>
    <w:rsid w:val="0097184A"/>
    <w:rsid w:val="00981CF7"/>
    <w:rsid w:val="00984B54"/>
    <w:rsid w:val="00987F1C"/>
    <w:rsid w:val="009B3C5D"/>
    <w:rsid w:val="009B68EB"/>
    <w:rsid w:val="009B7DC2"/>
    <w:rsid w:val="009C3A75"/>
    <w:rsid w:val="009E3AF1"/>
    <w:rsid w:val="00A234E8"/>
    <w:rsid w:val="00A359F1"/>
    <w:rsid w:val="00A6673C"/>
    <w:rsid w:val="00A83A0E"/>
    <w:rsid w:val="00A97C7B"/>
    <w:rsid w:val="00AE225E"/>
    <w:rsid w:val="00AE4398"/>
    <w:rsid w:val="00B21C85"/>
    <w:rsid w:val="00B3002E"/>
    <w:rsid w:val="00B36A44"/>
    <w:rsid w:val="00B37094"/>
    <w:rsid w:val="00B634C8"/>
    <w:rsid w:val="00C61F45"/>
    <w:rsid w:val="00C73571"/>
    <w:rsid w:val="00CA681A"/>
    <w:rsid w:val="00CF75AC"/>
    <w:rsid w:val="00D365BB"/>
    <w:rsid w:val="00D46F71"/>
    <w:rsid w:val="00D51A6E"/>
    <w:rsid w:val="00D557B6"/>
    <w:rsid w:val="00D70859"/>
    <w:rsid w:val="00D91140"/>
    <w:rsid w:val="00D96A9C"/>
    <w:rsid w:val="00DA54CB"/>
    <w:rsid w:val="00DF61A2"/>
    <w:rsid w:val="00E0770D"/>
    <w:rsid w:val="00E156EB"/>
    <w:rsid w:val="00E708BC"/>
    <w:rsid w:val="00ED3787"/>
    <w:rsid w:val="00EE1272"/>
    <w:rsid w:val="00F165BE"/>
    <w:rsid w:val="00F3193C"/>
    <w:rsid w:val="00F73A28"/>
    <w:rsid w:val="00FA39E6"/>
    <w:rsid w:val="00FC1B67"/>
    <w:rsid w:val="00FD3583"/>
    <w:rsid w:val="01437EC0"/>
    <w:rsid w:val="024A0BB7"/>
    <w:rsid w:val="03EE3246"/>
    <w:rsid w:val="041F57D3"/>
    <w:rsid w:val="05E615DD"/>
    <w:rsid w:val="065E2E82"/>
    <w:rsid w:val="068723D9"/>
    <w:rsid w:val="06AE5BB8"/>
    <w:rsid w:val="06BC56C9"/>
    <w:rsid w:val="07B90CB8"/>
    <w:rsid w:val="08550ACF"/>
    <w:rsid w:val="087F5A5E"/>
    <w:rsid w:val="08FA50E4"/>
    <w:rsid w:val="0A314B36"/>
    <w:rsid w:val="0A424F95"/>
    <w:rsid w:val="0A79028B"/>
    <w:rsid w:val="0B6A42C7"/>
    <w:rsid w:val="0BAD643E"/>
    <w:rsid w:val="0BF24799"/>
    <w:rsid w:val="0D2B5E5F"/>
    <w:rsid w:val="0D505C1B"/>
    <w:rsid w:val="0D881D97"/>
    <w:rsid w:val="0E17354B"/>
    <w:rsid w:val="0EDD34DE"/>
    <w:rsid w:val="0EED1247"/>
    <w:rsid w:val="0F227143"/>
    <w:rsid w:val="0F3550C8"/>
    <w:rsid w:val="0FA61B22"/>
    <w:rsid w:val="108A2033"/>
    <w:rsid w:val="10BB15FD"/>
    <w:rsid w:val="10E02560"/>
    <w:rsid w:val="11401B02"/>
    <w:rsid w:val="114C7FAA"/>
    <w:rsid w:val="147800FF"/>
    <w:rsid w:val="15576A90"/>
    <w:rsid w:val="15D62A35"/>
    <w:rsid w:val="1666025D"/>
    <w:rsid w:val="16EA49EA"/>
    <w:rsid w:val="181D0DEF"/>
    <w:rsid w:val="186D3A8A"/>
    <w:rsid w:val="189746FE"/>
    <w:rsid w:val="192D6E10"/>
    <w:rsid w:val="1946229C"/>
    <w:rsid w:val="19636CD6"/>
    <w:rsid w:val="1A4408B5"/>
    <w:rsid w:val="1A98650B"/>
    <w:rsid w:val="1B2F50C2"/>
    <w:rsid w:val="1BE91714"/>
    <w:rsid w:val="1CAB3FA1"/>
    <w:rsid w:val="1D790876"/>
    <w:rsid w:val="1DE657E0"/>
    <w:rsid w:val="1E7E34E4"/>
    <w:rsid w:val="1E967206"/>
    <w:rsid w:val="1F1A1BE5"/>
    <w:rsid w:val="1F72557D"/>
    <w:rsid w:val="20547378"/>
    <w:rsid w:val="20586E69"/>
    <w:rsid w:val="2274785E"/>
    <w:rsid w:val="22A82AB5"/>
    <w:rsid w:val="22F369D5"/>
    <w:rsid w:val="23955C5F"/>
    <w:rsid w:val="259459D2"/>
    <w:rsid w:val="26A85D28"/>
    <w:rsid w:val="26BC71FE"/>
    <w:rsid w:val="26E159E4"/>
    <w:rsid w:val="270D202F"/>
    <w:rsid w:val="27182EAE"/>
    <w:rsid w:val="277125BE"/>
    <w:rsid w:val="27EB2370"/>
    <w:rsid w:val="281F026C"/>
    <w:rsid w:val="282B6C11"/>
    <w:rsid w:val="288B76AF"/>
    <w:rsid w:val="293E4722"/>
    <w:rsid w:val="2AD619E6"/>
    <w:rsid w:val="2AF61758"/>
    <w:rsid w:val="2B522706"/>
    <w:rsid w:val="2B7B65FF"/>
    <w:rsid w:val="2BA967CA"/>
    <w:rsid w:val="2C271DE5"/>
    <w:rsid w:val="2CC25FF2"/>
    <w:rsid w:val="2D104627"/>
    <w:rsid w:val="2D8F7C42"/>
    <w:rsid w:val="2E020414"/>
    <w:rsid w:val="2E0E0F03"/>
    <w:rsid w:val="2E344345"/>
    <w:rsid w:val="2F6D7B0F"/>
    <w:rsid w:val="30000983"/>
    <w:rsid w:val="30D2627C"/>
    <w:rsid w:val="32DB0F7C"/>
    <w:rsid w:val="3310712F"/>
    <w:rsid w:val="33B0446E"/>
    <w:rsid w:val="33E5680D"/>
    <w:rsid w:val="33F176A1"/>
    <w:rsid w:val="37555A58"/>
    <w:rsid w:val="37A12A4B"/>
    <w:rsid w:val="37AD13F0"/>
    <w:rsid w:val="384C4205"/>
    <w:rsid w:val="391F00CC"/>
    <w:rsid w:val="397E0A16"/>
    <w:rsid w:val="3A445910"/>
    <w:rsid w:val="3B056D05"/>
    <w:rsid w:val="3B4C2CCE"/>
    <w:rsid w:val="3B824942"/>
    <w:rsid w:val="3BB15227"/>
    <w:rsid w:val="3BBC662C"/>
    <w:rsid w:val="3BD31641"/>
    <w:rsid w:val="3E2919ED"/>
    <w:rsid w:val="3FF12096"/>
    <w:rsid w:val="4013025E"/>
    <w:rsid w:val="405940D8"/>
    <w:rsid w:val="40F74B0B"/>
    <w:rsid w:val="412C4C64"/>
    <w:rsid w:val="413D258D"/>
    <w:rsid w:val="41A76EB0"/>
    <w:rsid w:val="43E51F12"/>
    <w:rsid w:val="445117FA"/>
    <w:rsid w:val="448215EB"/>
    <w:rsid w:val="44C67F95"/>
    <w:rsid w:val="45992FB4"/>
    <w:rsid w:val="46FC37FA"/>
    <w:rsid w:val="49695393"/>
    <w:rsid w:val="4A070E34"/>
    <w:rsid w:val="4AAD7875"/>
    <w:rsid w:val="4B2257F9"/>
    <w:rsid w:val="4B517E8D"/>
    <w:rsid w:val="4D081EE7"/>
    <w:rsid w:val="4D1675E0"/>
    <w:rsid w:val="4DF62F44"/>
    <w:rsid w:val="4E9702AC"/>
    <w:rsid w:val="4EC76DE4"/>
    <w:rsid w:val="4F5B752C"/>
    <w:rsid w:val="4F701229"/>
    <w:rsid w:val="4FA113E3"/>
    <w:rsid w:val="503A5393"/>
    <w:rsid w:val="509727E6"/>
    <w:rsid w:val="51875BA8"/>
    <w:rsid w:val="51BC69A8"/>
    <w:rsid w:val="526D7CA2"/>
    <w:rsid w:val="53687A9D"/>
    <w:rsid w:val="541D1254"/>
    <w:rsid w:val="547215A0"/>
    <w:rsid w:val="55A23860"/>
    <w:rsid w:val="55E42029"/>
    <w:rsid w:val="56E0541C"/>
    <w:rsid w:val="56FE711B"/>
    <w:rsid w:val="57CE12D1"/>
    <w:rsid w:val="57E57A93"/>
    <w:rsid w:val="5A2A0227"/>
    <w:rsid w:val="5A6C4E38"/>
    <w:rsid w:val="5B206F0E"/>
    <w:rsid w:val="5B3C2907"/>
    <w:rsid w:val="5C78796F"/>
    <w:rsid w:val="5E23390B"/>
    <w:rsid w:val="5E4775F9"/>
    <w:rsid w:val="5E6401F5"/>
    <w:rsid w:val="5EDD61AF"/>
    <w:rsid w:val="5FBD1938"/>
    <w:rsid w:val="5FD50C35"/>
    <w:rsid w:val="60102C59"/>
    <w:rsid w:val="607B17DC"/>
    <w:rsid w:val="60AF592A"/>
    <w:rsid w:val="60F4333C"/>
    <w:rsid w:val="61120392"/>
    <w:rsid w:val="61630BDA"/>
    <w:rsid w:val="61D81FEF"/>
    <w:rsid w:val="61FE0789"/>
    <w:rsid w:val="62C414AE"/>
    <w:rsid w:val="633D0FCB"/>
    <w:rsid w:val="644B3BD3"/>
    <w:rsid w:val="66296216"/>
    <w:rsid w:val="66E8749F"/>
    <w:rsid w:val="681C1D4C"/>
    <w:rsid w:val="687E00BB"/>
    <w:rsid w:val="68C83A2C"/>
    <w:rsid w:val="6949691B"/>
    <w:rsid w:val="69CF4947"/>
    <w:rsid w:val="6A040A94"/>
    <w:rsid w:val="6A132A85"/>
    <w:rsid w:val="6A244C92"/>
    <w:rsid w:val="6A2829D5"/>
    <w:rsid w:val="6A331379"/>
    <w:rsid w:val="6AC67AF8"/>
    <w:rsid w:val="6B8E2D0B"/>
    <w:rsid w:val="6C111246"/>
    <w:rsid w:val="6C6972D4"/>
    <w:rsid w:val="6CAC58D7"/>
    <w:rsid w:val="6CDD4A3B"/>
    <w:rsid w:val="6CFE7A1D"/>
    <w:rsid w:val="6D71000F"/>
    <w:rsid w:val="6E5454C5"/>
    <w:rsid w:val="6E9E14B7"/>
    <w:rsid w:val="6EC425A0"/>
    <w:rsid w:val="71186BD3"/>
    <w:rsid w:val="71744B4B"/>
    <w:rsid w:val="71956476"/>
    <w:rsid w:val="732950C8"/>
    <w:rsid w:val="73661E78"/>
    <w:rsid w:val="73912153"/>
    <w:rsid w:val="74534AF2"/>
    <w:rsid w:val="74B135C7"/>
    <w:rsid w:val="74B44E65"/>
    <w:rsid w:val="759A22AD"/>
    <w:rsid w:val="76760624"/>
    <w:rsid w:val="76A2766B"/>
    <w:rsid w:val="77950F7E"/>
    <w:rsid w:val="77CE623E"/>
    <w:rsid w:val="78EA78D9"/>
    <w:rsid w:val="79464C25"/>
    <w:rsid w:val="799F631A"/>
    <w:rsid w:val="79F503F9"/>
    <w:rsid w:val="7BD44D1A"/>
    <w:rsid w:val="7C5331B5"/>
    <w:rsid w:val="7C7C270C"/>
    <w:rsid w:val="7CD2379E"/>
    <w:rsid w:val="7CEF2EDE"/>
    <w:rsid w:val="7DBD122E"/>
    <w:rsid w:val="7DD00F61"/>
    <w:rsid w:val="7E3C03A5"/>
    <w:rsid w:val="7E3F1C61"/>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60"/>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99"/>
    <w:pPr>
      <w:ind w:firstLine="420"/>
    </w:pPr>
    <w:rPr>
      <w:szCs w:val="20"/>
    </w:rPr>
  </w:style>
  <w:style w:type="paragraph" w:styleId="3">
    <w:name w:val="envelope return"/>
    <w:basedOn w:val="1"/>
    <w:qFormat/>
    <w:uiPriority w:val="0"/>
    <w:pPr>
      <w:snapToGrid w:val="0"/>
    </w:pPr>
    <w:rPr>
      <w:rFonts w:ascii="Arial" w:hAnsi="Arial"/>
    </w:rPr>
  </w:style>
  <w:style w:type="paragraph" w:styleId="6">
    <w:name w:val="Document Map"/>
    <w:basedOn w:val="1"/>
    <w:link w:val="45"/>
    <w:semiHidden/>
    <w:qFormat/>
    <w:uiPriority w:val="0"/>
    <w:pPr>
      <w:shd w:val="clear" w:color="auto" w:fill="000080"/>
    </w:pPr>
    <w:rPr>
      <w:rFonts w:ascii="Times New Roman" w:hAnsi="Times New Roman" w:eastAsia="宋体" w:cs="Times New Roman"/>
      <w:sz w:val="24"/>
      <w:szCs w:val="24"/>
    </w:rPr>
  </w:style>
  <w:style w:type="paragraph" w:styleId="7">
    <w:name w:val="Body Text"/>
    <w:basedOn w:val="1"/>
    <w:link w:val="44"/>
    <w:qFormat/>
    <w:uiPriority w:val="0"/>
    <w:pPr>
      <w:spacing w:after="120"/>
    </w:pPr>
    <w:rPr>
      <w:rFonts w:ascii="Times New Roman" w:hAnsi="Times New Roman" w:eastAsia="宋体" w:cs="Times New Roman"/>
      <w:szCs w:val="24"/>
    </w:rPr>
  </w:style>
  <w:style w:type="paragraph" w:styleId="8">
    <w:name w:val="Block Text"/>
    <w:basedOn w:val="1"/>
    <w:unhideWhenUsed/>
    <w:qFormat/>
    <w:uiPriority w:val="0"/>
    <w:pPr>
      <w:ind w:left="792" w:leftChars="377" w:right="254" w:rightChars="121"/>
    </w:pPr>
    <w:rPr>
      <w:rFonts w:ascii="Times New Roman" w:hAnsi="Times New Roman" w:eastAsia="宋体" w:cs="Times New Roman"/>
      <w:sz w:val="24"/>
      <w:szCs w:val="24"/>
    </w:rPr>
  </w:style>
  <w:style w:type="paragraph" w:styleId="9">
    <w:name w:val="Date"/>
    <w:basedOn w:val="1"/>
    <w:next w:val="1"/>
    <w:link w:val="27"/>
    <w:qFormat/>
    <w:uiPriority w:val="99"/>
    <w:rPr>
      <w:rFonts w:ascii="宋体" w:hAnsi="Times New Roman" w:eastAsia="宋体" w:cs="Times New Roman"/>
      <w:sz w:val="28"/>
      <w:szCs w:val="20"/>
    </w:rPr>
  </w:style>
  <w:style w:type="paragraph" w:styleId="10">
    <w:name w:val="Body Text Indent 2"/>
    <w:basedOn w:val="1"/>
    <w:link w:val="41"/>
    <w:qFormat/>
    <w:uiPriority w:val="0"/>
    <w:pPr>
      <w:spacing w:line="360" w:lineRule="auto"/>
      <w:ind w:firstLine="435"/>
    </w:pPr>
    <w:rPr>
      <w:rFonts w:ascii="Times New Roman" w:hAnsi="Times New Roman" w:eastAsia="宋体" w:cs="Times New Roman"/>
      <w:sz w:val="24"/>
      <w:szCs w:val="24"/>
    </w:rPr>
  </w:style>
  <w:style w:type="paragraph" w:styleId="11">
    <w:name w:val="Balloon Text"/>
    <w:basedOn w:val="1"/>
    <w:link w:val="25"/>
    <w:unhideWhenUsed/>
    <w:qFormat/>
    <w:uiPriority w:val="99"/>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8"/>
    <w:qFormat/>
    <w:uiPriority w:val="0"/>
    <w:pPr>
      <w:spacing w:before="240" w:after="60" w:line="312" w:lineRule="auto"/>
      <w:jc w:val="center"/>
      <w:outlineLvl w:val="1"/>
    </w:pPr>
    <w:rPr>
      <w:rFonts w:ascii="Cambria" w:hAnsi="Cambria" w:cs="Times New Roman"/>
      <w:b/>
      <w:bCs/>
      <w:kern w:val="28"/>
      <w:sz w:val="32"/>
      <w:szCs w:val="32"/>
    </w:rPr>
  </w:style>
  <w:style w:type="paragraph" w:styleId="15">
    <w:name w:val="Body Text Indent 3"/>
    <w:basedOn w:val="1"/>
    <w:link w:val="43"/>
    <w:qFormat/>
    <w:uiPriority w:val="0"/>
    <w:pPr>
      <w:autoSpaceDE w:val="0"/>
      <w:autoSpaceDN w:val="0"/>
      <w:adjustRightInd w:val="0"/>
      <w:spacing w:line="360" w:lineRule="auto"/>
      <w:ind w:left="482"/>
    </w:pPr>
    <w:rPr>
      <w:rFonts w:ascii="Times New Roman" w:hAnsi="Times New Roman" w:eastAsia="宋体" w:cs="Times New Roman"/>
      <w:color w:val="000000"/>
      <w:kern w:val="0"/>
      <w:sz w:val="24"/>
      <w:szCs w:val="28"/>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Title"/>
    <w:basedOn w:val="1"/>
    <w:next w:val="1"/>
    <w:link w:val="33"/>
    <w:qFormat/>
    <w:uiPriority w:val="0"/>
    <w:pPr>
      <w:spacing w:before="240" w:after="60"/>
      <w:jc w:val="center"/>
      <w:outlineLvl w:val="0"/>
    </w:pPr>
    <w:rPr>
      <w:rFonts w:ascii="Cambria" w:hAnsi="Cambria" w:cs="Times New Roman"/>
      <w:b/>
      <w:bCs/>
      <w:sz w:val="32"/>
      <w:szCs w:val="32"/>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qFormat/>
    <w:uiPriority w:val="0"/>
    <w:rPr>
      <w:color w:val="CC0033"/>
    </w:rPr>
  </w:style>
  <w:style w:type="character" w:styleId="24">
    <w:name w:val="Hyperlink"/>
    <w:basedOn w:val="20"/>
    <w:unhideWhenUsed/>
    <w:qFormat/>
    <w:uiPriority w:val="99"/>
    <w:rPr>
      <w:color w:val="3366CC"/>
      <w:u w:val="none"/>
    </w:rPr>
  </w:style>
  <w:style w:type="character" w:customStyle="1" w:styleId="25">
    <w:name w:val="批注框文本 字符"/>
    <w:basedOn w:val="20"/>
    <w:link w:val="11"/>
    <w:semiHidden/>
    <w:qFormat/>
    <w:uiPriority w:val="99"/>
    <w:rPr>
      <w:sz w:val="18"/>
      <w:szCs w:val="18"/>
    </w:rPr>
  </w:style>
  <w:style w:type="paragraph" w:styleId="26">
    <w:name w:val="List Paragraph"/>
    <w:basedOn w:val="1"/>
    <w:qFormat/>
    <w:uiPriority w:val="34"/>
    <w:pPr>
      <w:ind w:firstLine="420" w:firstLineChars="200"/>
    </w:pPr>
  </w:style>
  <w:style w:type="character" w:customStyle="1" w:styleId="27">
    <w:name w:val="日期 字符"/>
    <w:basedOn w:val="20"/>
    <w:link w:val="9"/>
    <w:qFormat/>
    <w:uiPriority w:val="0"/>
    <w:rPr>
      <w:rFonts w:ascii="宋体" w:hAnsi="Times New Roman" w:eastAsia="宋体" w:cs="Times New Roman"/>
      <w:sz w:val="28"/>
      <w:szCs w:val="20"/>
    </w:rPr>
  </w:style>
  <w:style w:type="character" w:customStyle="1" w:styleId="28">
    <w:name w:val="页眉 字符"/>
    <w:basedOn w:val="20"/>
    <w:link w:val="13"/>
    <w:qFormat/>
    <w:uiPriority w:val="99"/>
    <w:rPr>
      <w:sz w:val="18"/>
      <w:szCs w:val="18"/>
    </w:rPr>
  </w:style>
  <w:style w:type="character" w:customStyle="1" w:styleId="29">
    <w:name w:val="页脚 字符"/>
    <w:basedOn w:val="20"/>
    <w:link w:val="12"/>
    <w:qFormat/>
    <w:uiPriority w:val="99"/>
    <w:rPr>
      <w:sz w:val="18"/>
      <w:szCs w:val="18"/>
    </w:rPr>
  </w:style>
  <w:style w:type="paragraph" w:customStyle="1" w:styleId="30">
    <w:name w:val="样式2"/>
    <w:basedOn w:val="1"/>
    <w:qFormat/>
    <w:uiPriority w:val="0"/>
    <w:pPr>
      <w:numPr>
        <w:ilvl w:val="0"/>
        <w:numId w:val="1"/>
      </w:numPr>
      <w:spacing w:line="360" w:lineRule="auto"/>
      <w:ind w:left="0" w:firstLine="566" w:firstLineChars="236"/>
      <w:jc w:val="left"/>
    </w:pPr>
    <w:rPr>
      <w:rFonts w:ascii="Times New Roman" w:hAnsi="Times New Roman" w:eastAsia="宋体" w:cs="Times New Roman"/>
      <w:sz w:val="24"/>
      <w:szCs w:val="24"/>
    </w:rPr>
  </w:style>
  <w:style w:type="paragraph" w:customStyle="1" w:styleId="31">
    <w:name w:val="_Style 19"/>
    <w:basedOn w:val="1"/>
    <w:next w:val="26"/>
    <w:qFormat/>
    <w:uiPriority w:val="34"/>
    <w:pPr>
      <w:ind w:firstLine="420" w:firstLineChars="200"/>
    </w:pPr>
    <w:rPr>
      <w:rFonts w:ascii="Calibri" w:hAnsi="Calibri" w:eastAsia="宋体" w:cs="Times New Roman"/>
    </w:rPr>
  </w:style>
  <w:style w:type="character" w:customStyle="1" w:styleId="32">
    <w:name w:val="标题 1 字符"/>
    <w:basedOn w:val="20"/>
    <w:link w:val="4"/>
    <w:qFormat/>
    <w:uiPriority w:val="0"/>
    <w:rPr>
      <w:rFonts w:ascii="Times New Roman" w:hAnsi="Times New Roman" w:eastAsia="宋体" w:cs="Times New Roman"/>
      <w:b/>
      <w:bCs/>
      <w:kern w:val="44"/>
      <w:sz w:val="44"/>
      <w:szCs w:val="44"/>
    </w:rPr>
  </w:style>
  <w:style w:type="character" w:customStyle="1" w:styleId="33">
    <w:name w:val="标题 字符"/>
    <w:link w:val="17"/>
    <w:qFormat/>
    <w:uiPriority w:val="0"/>
    <w:rPr>
      <w:rFonts w:ascii="Cambria" w:hAnsi="Cambria" w:cs="Times New Roman"/>
      <w:b/>
      <w:bCs/>
      <w:sz w:val="32"/>
      <w:szCs w:val="32"/>
    </w:rPr>
  </w:style>
  <w:style w:type="character" w:customStyle="1" w:styleId="34">
    <w:name w:val="明显强调1"/>
    <w:qFormat/>
    <w:uiPriority w:val="21"/>
    <w:rPr>
      <w:b/>
      <w:bCs/>
      <w:i/>
      <w:iCs/>
      <w:color w:val="4F81BD"/>
    </w:rPr>
  </w:style>
  <w:style w:type="character" w:customStyle="1" w:styleId="35">
    <w:name w:val="不明显强调1"/>
    <w:qFormat/>
    <w:uiPriority w:val="19"/>
    <w:rPr>
      <w:i/>
      <w:iCs/>
      <w:color w:val="808080"/>
    </w:rPr>
  </w:style>
  <w:style w:type="character" w:customStyle="1" w:styleId="36">
    <w:name w:val="引用 字符"/>
    <w:link w:val="37"/>
    <w:qFormat/>
    <w:uiPriority w:val="29"/>
    <w:rPr>
      <w:i/>
      <w:iCs/>
      <w:color w:val="000000"/>
      <w:sz w:val="24"/>
      <w:szCs w:val="24"/>
    </w:rPr>
  </w:style>
  <w:style w:type="paragraph" w:styleId="37">
    <w:name w:val="Quote"/>
    <w:basedOn w:val="1"/>
    <w:next w:val="1"/>
    <w:link w:val="36"/>
    <w:qFormat/>
    <w:uiPriority w:val="29"/>
    <w:rPr>
      <w:i/>
      <w:iCs/>
      <w:color w:val="000000"/>
      <w:sz w:val="24"/>
      <w:szCs w:val="24"/>
    </w:rPr>
  </w:style>
  <w:style w:type="character" w:customStyle="1" w:styleId="38">
    <w:name w:val="副标题 字符"/>
    <w:link w:val="14"/>
    <w:qFormat/>
    <w:uiPriority w:val="0"/>
    <w:rPr>
      <w:rFonts w:ascii="Cambria" w:hAnsi="Cambria" w:cs="Times New Roman"/>
      <w:b/>
      <w:bCs/>
      <w:kern w:val="28"/>
      <w:sz w:val="32"/>
      <w:szCs w:val="32"/>
    </w:rPr>
  </w:style>
  <w:style w:type="character" w:customStyle="1" w:styleId="39">
    <w:name w:val="明显参考1"/>
    <w:qFormat/>
    <w:uiPriority w:val="32"/>
    <w:rPr>
      <w:b/>
      <w:bCs/>
      <w:smallCaps/>
      <w:color w:val="C0504D"/>
      <w:spacing w:val="5"/>
      <w:u w:val="single"/>
    </w:rPr>
  </w:style>
  <w:style w:type="character" w:customStyle="1" w:styleId="40">
    <w:name w:val="不明显参考1"/>
    <w:qFormat/>
    <w:uiPriority w:val="31"/>
    <w:rPr>
      <w:smallCaps/>
      <w:color w:val="C0504D"/>
      <w:u w:val="single"/>
    </w:rPr>
  </w:style>
  <w:style w:type="character" w:customStyle="1" w:styleId="41">
    <w:name w:val="正文文本缩进 2 字符"/>
    <w:basedOn w:val="20"/>
    <w:link w:val="10"/>
    <w:qFormat/>
    <w:uiPriority w:val="0"/>
    <w:rPr>
      <w:rFonts w:ascii="Times New Roman" w:hAnsi="Times New Roman" w:eastAsia="宋体" w:cs="Times New Roman"/>
      <w:sz w:val="24"/>
      <w:szCs w:val="24"/>
    </w:rPr>
  </w:style>
  <w:style w:type="character" w:customStyle="1" w:styleId="42">
    <w:name w:val="副标题 字符1"/>
    <w:basedOn w:val="20"/>
    <w:qFormat/>
    <w:uiPriority w:val="11"/>
    <w:rPr>
      <w:b/>
      <w:bCs/>
      <w:kern w:val="28"/>
      <w:sz w:val="32"/>
      <w:szCs w:val="32"/>
    </w:rPr>
  </w:style>
  <w:style w:type="character" w:customStyle="1" w:styleId="43">
    <w:name w:val="正文文本缩进 3 字符"/>
    <w:basedOn w:val="20"/>
    <w:link w:val="15"/>
    <w:qFormat/>
    <w:uiPriority w:val="0"/>
    <w:rPr>
      <w:rFonts w:ascii="Times New Roman" w:hAnsi="Times New Roman" w:eastAsia="宋体" w:cs="Times New Roman"/>
      <w:color w:val="000000"/>
      <w:kern w:val="0"/>
      <w:sz w:val="24"/>
      <w:szCs w:val="28"/>
    </w:rPr>
  </w:style>
  <w:style w:type="character" w:customStyle="1" w:styleId="44">
    <w:name w:val="正文文本 字符"/>
    <w:basedOn w:val="20"/>
    <w:link w:val="7"/>
    <w:qFormat/>
    <w:uiPriority w:val="0"/>
    <w:rPr>
      <w:rFonts w:ascii="Times New Roman" w:hAnsi="Times New Roman" w:eastAsia="宋体" w:cs="Times New Roman"/>
      <w:szCs w:val="24"/>
    </w:rPr>
  </w:style>
  <w:style w:type="character" w:customStyle="1" w:styleId="45">
    <w:name w:val="文档结构图 字符"/>
    <w:basedOn w:val="20"/>
    <w:link w:val="6"/>
    <w:semiHidden/>
    <w:qFormat/>
    <w:uiPriority w:val="0"/>
    <w:rPr>
      <w:rFonts w:ascii="Times New Roman" w:hAnsi="Times New Roman" w:eastAsia="宋体" w:cs="Times New Roman"/>
      <w:sz w:val="24"/>
      <w:szCs w:val="24"/>
      <w:shd w:val="clear" w:color="auto" w:fill="000080"/>
    </w:rPr>
  </w:style>
  <w:style w:type="character" w:customStyle="1" w:styleId="46">
    <w:name w:val="标题 字符1"/>
    <w:basedOn w:val="20"/>
    <w:qFormat/>
    <w:uiPriority w:val="10"/>
    <w:rPr>
      <w:rFonts w:asciiTheme="majorHAnsi" w:hAnsiTheme="majorHAnsi" w:eastAsiaTheme="majorEastAsia" w:cstheme="majorBidi"/>
      <w:b/>
      <w:bCs/>
      <w:sz w:val="32"/>
      <w:szCs w:val="32"/>
    </w:rPr>
  </w:style>
  <w:style w:type="character" w:customStyle="1" w:styleId="47">
    <w:name w:val="引用 字符1"/>
    <w:basedOn w:val="20"/>
    <w:qFormat/>
    <w:uiPriority w:val="29"/>
    <w:rPr>
      <w:i/>
      <w:iCs/>
      <w:color w:val="404040" w:themeColor="text1" w:themeTint="BF"/>
      <w14:textFill>
        <w14:solidFill>
          <w14:schemeClr w14:val="tx1">
            <w14:lumMod w14:val="75000"/>
            <w14:lumOff w14:val="25000"/>
          </w14:schemeClr>
        </w14:solidFill>
      </w14:textFill>
    </w:rPr>
  </w:style>
  <w:style w:type="paragraph" w:styleId="48">
    <w:name w:val="No Spacing"/>
    <w:qFormat/>
    <w:uiPriority w:val="1"/>
    <w:pPr>
      <w:widowControl w:val="0"/>
      <w:jc w:val="both"/>
    </w:pPr>
    <w:rPr>
      <w:rFonts w:ascii="Times New Roman" w:hAnsi="Times New Roman" w:eastAsia="宋体" w:cs="Times New Roman"/>
      <w:kern w:val="2"/>
      <w:sz w:val="24"/>
      <w:szCs w:val="24"/>
      <w:lang w:val="en-US" w:eastAsia="zh-CN" w:bidi="ar-SA"/>
    </w:rPr>
  </w:style>
  <w:style w:type="paragraph" w:customStyle="1" w:styleId="49">
    <w:name w:val="默认段落字体 Para Char"/>
    <w:basedOn w:val="1"/>
    <w:qFormat/>
    <w:uiPriority w:val="0"/>
    <w:rPr>
      <w:rFonts w:ascii="Times New Roman" w:hAnsi="Times New Roman" w:eastAsia="宋体" w:cs="Times New Roman"/>
      <w:sz w:val="24"/>
      <w:szCs w:val="24"/>
    </w:rPr>
  </w:style>
  <w:style w:type="character" w:customStyle="1" w:styleId="50">
    <w:name w:val="标题 2 字符"/>
    <w:basedOn w:val="20"/>
    <w:semiHidden/>
    <w:qFormat/>
    <w:uiPriority w:val="9"/>
    <w:rPr>
      <w:rFonts w:asciiTheme="majorHAnsi" w:hAnsiTheme="majorHAnsi" w:eastAsiaTheme="majorEastAsia" w:cstheme="majorBidi"/>
      <w:b/>
      <w:bCs/>
      <w:sz w:val="32"/>
      <w:szCs w:val="32"/>
    </w:rPr>
  </w:style>
  <w:style w:type="character" w:customStyle="1" w:styleId="51">
    <w:name w:val="批注框文本 Char"/>
    <w:semiHidden/>
    <w:qFormat/>
    <w:uiPriority w:val="99"/>
    <w:rPr>
      <w:sz w:val="18"/>
      <w:szCs w:val="18"/>
    </w:rPr>
  </w:style>
  <w:style w:type="character" w:customStyle="1" w:styleId="52">
    <w:name w:val="页眉 Char"/>
    <w:qFormat/>
    <w:uiPriority w:val="99"/>
    <w:rPr>
      <w:sz w:val="18"/>
      <w:szCs w:val="18"/>
    </w:rPr>
  </w:style>
  <w:style w:type="character" w:customStyle="1" w:styleId="53">
    <w:name w:val="页脚 Char"/>
    <w:qFormat/>
    <w:uiPriority w:val="99"/>
    <w:rPr>
      <w:sz w:val="18"/>
      <w:szCs w:val="18"/>
    </w:rPr>
  </w:style>
  <w:style w:type="paragraph" w:customStyle="1" w:styleId="54">
    <w:name w:val="Default"/>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paragraph" w:customStyle="1" w:styleId="55">
    <w:name w:val="_Style 52"/>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customStyle="1" w:styleId="56">
    <w:name w:val="Heading #2|1"/>
    <w:basedOn w:val="1"/>
    <w:qFormat/>
    <w:uiPriority w:val="0"/>
    <w:pPr>
      <w:spacing w:after="450"/>
      <w:jc w:val="center"/>
      <w:outlineLvl w:val="1"/>
    </w:pPr>
    <w:rPr>
      <w:rFonts w:ascii="宋体" w:hAnsi="宋体" w:eastAsia="宋体" w:cs="宋体"/>
      <w:color w:val="000000"/>
      <w:kern w:val="0"/>
      <w:sz w:val="44"/>
      <w:szCs w:val="44"/>
      <w:lang w:val="zh-TW" w:eastAsia="zh-TW" w:bidi="zh-TW"/>
    </w:rPr>
  </w:style>
  <w:style w:type="paragraph" w:customStyle="1" w:styleId="57">
    <w:name w:val="Other|1"/>
    <w:basedOn w:val="1"/>
    <w:qFormat/>
    <w:uiPriority w:val="0"/>
    <w:pPr>
      <w:jc w:val="left"/>
    </w:pPr>
    <w:rPr>
      <w:rFonts w:ascii="宋体" w:hAnsi="宋体" w:eastAsia="宋体" w:cs="宋体"/>
      <w:color w:val="000000"/>
      <w:kern w:val="0"/>
      <w:sz w:val="19"/>
      <w:szCs w:val="19"/>
      <w:lang w:val="zh-TW" w:eastAsia="zh-TW" w:bidi="zh-TW"/>
    </w:rPr>
  </w:style>
  <w:style w:type="character" w:customStyle="1" w:styleId="58">
    <w:name w:val="标题 1 Char"/>
    <w:qFormat/>
    <w:uiPriority w:val="9"/>
    <w:rPr>
      <w:b/>
      <w:bCs/>
      <w:kern w:val="44"/>
      <w:sz w:val="44"/>
      <w:szCs w:val="44"/>
    </w:rPr>
  </w:style>
  <w:style w:type="paragraph" w:customStyle="1" w:styleId="59">
    <w:name w:val="TOC 标题1"/>
    <w:basedOn w:val="4"/>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60">
    <w:name w:val="标题 2 字符1"/>
    <w:link w:val="5"/>
    <w:qFormat/>
    <w:uiPriority w:val="9"/>
    <w:rPr>
      <w:rFonts w:ascii="Cambria" w:hAnsi="Cambria" w:eastAsia="宋体" w:cs="Times New Roman"/>
      <w:b/>
      <w:bCs/>
      <w:sz w:val="32"/>
      <w:szCs w:val="32"/>
    </w:rPr>
  </w:style>
  <w:style w:type="paragraph" w:customStyle="1" w:styleId="61">
    <w:name w:val="_Style 58"/>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character" w:customStyle="1" w:styleId="62">
    <w:name w:val="标题 2 Char"/>
    <w:qFormat/>
    <w:uiPriority w:val="9"/>
    <w:rPr>
      <w:rFonts w:ascii="Cambria" w:hAnsi="Cambria" w:eastAsia="宋体" w:cs="Times New Roman"/>
      <w:b/>
      <w:bCs/>
      <w:kern w:val="2"/>
      <w:sz w:val="32"/>
      <w:szCs w:val="32"/>
    </w:rPr>
  </w:style>
  <w:style w:type="character" w:customStyle="1" w:styleId="63">
    <w:name w:val="日期 字符1"/>
    <w:qFormat/>
    <w:uiPriority w:val="99"/>
    <w:rPr>
      <w:rFonts w:ascii="楷体_GB2312" w:eastAsia="楷体_GB2312"/>
      <w:b/>
      <w:spacing w:val="20"/>
      <w:position w:val="-6"/>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4440</Words>
  <Characters>25308</Characters>
  <Lines>210</Lines>
  <Paragraphs>59</Paragraphs>
  <TotalTime>15</TotalTime>
  <ScaleCrop>false</ScaleCrop>
  <LinksUpToDate>false</LinksUpToDate>
  <CharactersWithSpaces>29689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2021-06-24T00:49:00Z</dcterms:created>
  <dc:creator>郭晓丽(guoxiaoli)</dc:creator>
  <cp:lastModifiedBy>sunyuhe</cp:lastModifiedBy>
  <cp:lastPrinted>2021-10-28T07:54:00Z</cp:lastPrinted>
  <dcterms:modified xsi:type="dcterms:W3CDTF">2026-02-27T01:23:24Z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9CFA7945A14541B3B57EBC9CB1A48C8F</vt:lpwstr>
  </property>
</Properties>
</file>