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jc w:val="center"/>
        <w:textAlignment w:val="auto"/>
      </w:pPr>
      <w:r>
        <w:rPr>
          <w:rFonts w:hint="eastAsia" w:ascii="黑体" w:hAnsi="黑体" w:eastAsia="黑体" w:cs="黑体"/>
          <w:b/>
          <w:bCs/>
          <w:color w:val="0000FF"/>
          <w:kern w:val="0"/>
          <w:sz w:val="48"/>
          <w:szCs w:val="48"/>
          <w:lang w:bidi="ar"/>
        </w:rPr>
        <w:t>项目信息公开</w:t>
      </w:r>
    </w:p>
    <w:tbl>
      <w:tblPr>
        <w:tblStyle w:val="7"/>
        <w:tblpPr w:leftFromText="180" w:rightFromText="180" w:vertAnchor="text" w:horzAnchor="page" w:tblpXSpec="center" w:tblpY="514"/>
        <w:tblOverlap w:val="never"/>
        <w:tblW w:w="8511"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40"/>
        <w:gridCol w:w="687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798" w:hRule="atLeast"/>
          <w:jc w:val="center"/>
        </w:trPr>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jc w:val="center"/>
        </w:trPr>
        <w:tc>
          <w:tcPr>
            <w:tcW w:w="0" w:type="auto"/>
            <w:gridSpan w:val="2"/>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项目名称：</w:t>
            </w:r>
            <w:r>
              <w:rPr>
                <w:rFonts w:hint="eastAsia" w:ascii="仿宋_GB2312" w:hAnsi="仿宋_GB2312" w:eastAsia="仿宋_GB2312" w:cs="仿宋_GB2312"/>
                <w:color w:val="auto"/>
                <w:sz w:val="24"/>
                <w:szCs w:val="24"/>
              </w:rPr>
              <w:t>大鹏办事处室内外绿化养护及租赁采购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jc w:val="center"/>
        </w:trPr>
        <w:tc>
          <w:tcPr>
            <w:tcW w:w="1578" w:type="dxa"/>
            <w:vMerge w:val="restart"/>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 xml:space="preserve">实施购买前公开的信息 </w:t>
            </w: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项目</w:t>
            </w:r>
            <w:r>
              <w:rPr>
                <w:rFonts w:hint="eastAsia" w:ascii="仿宋_GB2312" w:hAnsi="仿宋_GB2312" w:eastAsia="仿宋_GB2312" w:cs="仿宋_GB2312"/>
                <w:kern w:val="0"/>
                <w:sz w:val="24"/>
                <w:szCs w:val="24"/>
                <w:lang w:bidi="ar"/>
              </w:rPr>
              <w:t>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color w:val="auto"/>
                <w:sz w:val="24"/>
                <w:szCs w:val="24"/>
              </w:rPr>
              <w:t>对承包范围绿化带做到结构合理，美观大方，做好浇水、除草、施肥、松土、修剪、造型、杀虫等养护培育工作以及绿化带保洁工作。</w:t>
            </w:r>
            <w:r>
              <w:rPr>
                <w:rFonts w:hint="eastAsia" w:ascii="仿宋_GB2312" w:hAnsi="仿宋_GB2312" w:eastAsia="仿宋_GB2312" w:cs="仿宋_GB2312"/>
                <w:color w:val="auto"/>
                <w:sz w:val="24"/>
                <w:szCs w:val="24"/>
                <w:lang w:eastAsia="zh-CN"/>
              </w:rPr>
              <w:t>对生长不良或枯枝的</w:t>
            </w:r>
            <w:r>
              <w:rPr>
                <w:rFonts w:hint="eastAsia" w:ascii="仿宋_GB2312" w:hAnsi="仿宋_GB2312" w:eastAsia="仿宋_GB2312" w:cs="仿宋_GB2312"/>
                <w:color w:val="auto"/>
                <w:sz w:val="24"/>
                <w:szCs w:val="24"/>
              </w:rPr>
              <w:t>花草树木</w:t>
            </w:r>
            <w:r>
              <w:rPr>
                <w:rFonts w:hint="eastAsia" w:ascii="仿宋_GB2312" w:hAnsi="仿宋_GB2312" w:eastAsia="仿宋_GB2312" w:cs="仿宋_GB2312"/>
                <w:color w:val="auto"/>
                <w:sz w:val="24"/>
                <w:szCs w:val="24"/>
                <w:lang w:eastAsia="zh-CN"/>
              </w:rPr>
              <w:t>需进行及时补植，</w:t>
            </w:r>
            <w:r>
              <w:rPr>
                <w:rFonts w:hint="eastAsia" w:ascii="仿宋_GB2312" w:hAnsi="仿宋_GB2312" w:eastAsia="仿宋_GB2312" w:cs="仿宋_GB2312"/>
                <w:color w:val="auto"/>
                <w:sz w:val="24"/>
                <w:szCs w:val="24"/>
              </w:rPr>
              <w:t>保证花草树木、绿化带生机勃勃、郁郁葱葱、造型美观；做到无缺株、无虫害。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jc w:val="center"/>
        </w:trPr>
        <w:tc>
          <w:tcPr>
            <w:tcW w:w="1578" w:type="dxa"/>
            <w:vMerge w:val="continue"/>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仿宋_GB2312" w:hAnsi="仿宋_GB2312" w:eastAsia="仿宋_GB2312" w:cs="仿宋_GB2312"/>
                <w:kern w:val="0"/>
                <w:sz w:val="24"/>
                <w:szCs w:val="24"/>
                <w:lang w:val="en-US" w:eastAsia="zh-CN" w:bidi="ar"/>
              </w:rPr>
            </w:pP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项目预算金额：¥</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7</w:t>
            </w:r>
            <w:r>
              <w:rPr>
                <w:rFonts w:hint="eastAsia" w:ascii="仿宋_GB2312" w:hAnsi="仿宋_GB2312" w:eastAsia="仿宋_GB2312" w:cs="仿宋_GB2312"/>
                <w:color w:val="auto"/>
                <w:sz w:val="24"/>
                <w:szCs w:val="24"/>
                <w:lang w:val="en-US" w:eastAsia="zh-CN"/>
              </w:rPr>
              <w:t>0,0</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6.00</w:t>
            </w:r>
            <w:r>
              <w:rPr>
                <w:rFonts w:hint="eastAsia" w:ascii="仿宋_GB2312" w:hAnsi="仿宋_GB2312" w:eastAsia="仿宋_GB2312" w:cs="仿宋_GB2312"/>
                <w:kern w:val="0"/>
                <w:sz w:val="24"/>
                <w:szCs w:val="24"/>
                <w:lang w:val="en-US" w:eastAsia="zh-CN" w:bidi="ar"/>
              </w:rPr>
              <w:t>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jc w:val="center"/>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bidi="ar"/>
              </w:rPr>
              <w:t>采购方式：</w:t>
            </w:r>
            <w:r>
              <w:rPr>
                <w:rFonts w:hint="eastAsia" w:ascii="仿宋_GB2312" w:hAnsi="仿宋_GB2312" w:eastAsia="仿宋_GB2312" w:cs="仿宋_GB2312"/>
                <w:color w:val="auto"/>
                <w:sz w:val="24"/>
                <w:szCs w:val="24"/>
                <w:highlight w:val="none"/>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jc w:val="center"/>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评审方法：</w:t>
            </w:r>
            <w:r>
              <w:rPr>
                <w:rFonts w:hint="eastAsia" w:ascii="仿宋_GB2312" w:hAnsi="仿宋_GB2312" w:eastAsia="仿宋_GB2312" w:cs="仿宋_GB2312"/>
                <w:color w:val="auto"/>
                <w:sz w:val="24"/>
                <w:szCs w:val="24"/>
                <w:highlight w:val="none"/>
              </w:rPr>
              <w:t>最低评标价法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jc w:val="center"/>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经本单位确认，上述公告信息真实、合规。 </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auto"/>
                <w:sz w:val="24"/>
                <w:szCs w:val="24"/>
                <w:highlight w:val="none"/>
                <w:u w:val="none"/>
                <w:lang w:eastAsia="zh-CN"/>
              </w:rPr>
              <w:t>大鹏办事处综合事务中心</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eastAsia="zh-CN"/>
              </w:rPr>
              <w:t>大鹏新区大鹏街道中山路</w:t>
            </w:r>
            <w:r>
              <w:rPr>
                <w:rFonts w:hint="eastAsia" w:ascii="仿宋_GB2312" w:hAnsi="仿宋_GB2312" w:eastAsia="仿宋_GB2312" w:cs="仿宋_GB2312"/>
                <w:sz w:val="24"/>
                <w:szCs w:val="24"/>
                <w:lang w:val="en-US" w:eastAsia="zh-CN"/>
              </w:rPr>
              <w:t>5号</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sz w:val="24"/>
                <w:szCs w:val="24"/>
              </w:rPr>
              <w:t xml:space="preserve">联系人： </w:t>
            </w:r>
            <w:r>
              <w:rPr>
                <w:rFonts w:hint="eastAsia" w:ascii="仿宋_GB2312" w:hAnsi="仿宋_GB2312" w:eastAsia="仿宋_GB2312" w:cs="仿宋_GB2312"/>
                <w:b w:val="0"/>
                <w:bCs w:val="0"/>
                <w:color w:val="auto"/>
                <w:sz w:val="24"/>
                <w:szCs w:val="24"/>
                <w:lang w:eastAsia="zh-CN"/>
              </w:rPr>
              <w:t>黄先生</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联系电话：</w:t>
            </w:r>
            <w:r>
              <w:rPr>
                <w:rFonts w:hint="eastAsia" w:ascii="仿宋_GB2312" w:hAnsi="仿宋_GB2312" w:eastAsia="仿宋_GB2312" w:cs="仿宋_GB2312"/>
                <w:b w:val="0"/>
                <w:bCs w:val="0"/>
                <w:sz w:val="24"/>
                <w:szCs w:val="24"/>
                <w:lang w:val="en-US" w:eastAsia="zh-CN"/>
              </w:rPr>
              <w:t>0755-</w:t>
            </w:r>
            <w:r>
              <w:rPr>
                <w:rFonts w:hint="eastAsia" w:ascii="仿宋_GB2312" w:hAnsi="仿宋_GB2312" w:eastAsia="仿宋_GB2312" w:cs="仿宋_GB2312"/>
                <w:b w:val="0"/>
                <w:bCs w:val="0"/>
                <w:color w:val="auto"/>
                <w:sz w:val="24"/>
                <w:szCs w:val="24"/>
              </w:rPr>
              <w:t>843</w:t>
            </w:r>
            <w:r>
              <w:rPr>
                <w:rFonts w:hint="eastAsia" w:ascii="仿宋_GB2312" w:hAnsi="仿宋_GB2312" w:eastAsia="仿宋_GB2312" w:cs="仿宋_GB2312"/>
                <w:b w:val="0"/>
                <w:bCs w:val="0"/>
                <w:color w:val="auto"/>
                <w:sz w:val="24"/>
                <w:szCs w:val="24"/>
                <w:lang w:val="en-US" w:eastAsia="zh-CN"/>
              </w:rPr>
              <w:t>01626</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eastAsia="zh-CN"/>
              </w:rPr>
              <w:t>公告期：</w:t>
            </w:r>
            <w:r>
              <w:rPr>
                <w:rFonts w:hint="eastAsia" w:ascii="仿宋_GB2312" w:hAnsi="仿宋_GB2312" w:eastAsia="仿宋_GB2312" w:cs="仿宋_GB2312"/>
                <w:sz w:val="24"/>
                <w:szCs w:val="24"/>
                <w:highlight w:val="none"/>
                <w:lang w:val="en-US" w:eastAsia="zh-CN"/>
              </w:rPr>
              <w:t>2025年5月20日-2025年5月26日</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highlight w:val="none"/>
                <w:lang w:val="en-US" w:eastAsia="zh-CN"/>
              </w:rPr>
            </w:pP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公告日期：202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tc>
      </w:tr>
    </w:tbl>
    <w:p>
      <w:pPr>
        <w:pageBreakBefore w:val="0"/>
        <w:kinsoku/>
        <w:wordWrap/>
        <w:overflowPunct/>
        <w:topLinePunct w:val="0"/>
        <w:autoSpaceDE/>
        <w:autoSpaceDN/>
        <w:bidi w:val="0"/>
        <w:snapToGrid w:val="0"/>
        <w:jc w:val="left"/>
      </w:pPr>
    </w:p>
    <w:p>
      <w:pPr>
        <w:pageBreakBefore w:val="0"/>
        <w:kinsoku/>
        <w:wordWrap/>
        <w:overflowPunct/>
        <w:topLinePunct w:val="0"/>
        <w:autoSpaceDE/>
        <w:autoSpaceDN/>
        <w:bidi w:val="0"/>
        <w:snapToGrid w:val="0"/>
        <w:jc w:val="left"/>
      </w:pPr>
    </w:p>
    <w:p>
      <w:pPr>
        <w:pageBreakBefore w:val="0"/>
        <w:kinsoku/>
        <w:wordWrap/>
        <w:overflowPunct/>
        <w:topLinePunct w:val="0"/>
        <w:autoSpaceDE/>
        <w:autoSpaceDN/>
        <w:bidi w:val="0"/>
        <w:snapToGrid w:val="0"/>
        <w:jc w:val="left"/>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7727372"/>
    <w:rsid w:val="18ED422F"/>
    <w:rsid w:val="1AC37EFD"/>
    <w:rsid w:val="1B2F422E"/>
    <w:rsid w:val="25A45D43"/>
    <w:rsid w:val="271FD484"/>
    <w:rsid w:val="31701474"/>
    <w:rsid w:val="32F72511"/>
    <w:rsid w:val="331B48E2"/>
    <w:rsid w:val="357E573E"/>
    <w:rsid w:val="35BE66E1"/>
    <w:rsid w:val="38251B3D"/>
    <w:rsid w:val="392B5B2F"/>
    <w:rsid w:val="39B567E6"/>
    <w:rsid w:val="39FF430C"/>
    <w:rsid w:val="3BDF330A"/>
    <w:rsid w:val="3EEFCA1F"/>
    <w:rsid w:val="3F6F4212"/>
    <w:rsid w:val="4D1D1702"/>
    <w:rsid w:val="4D7FD4F8"/>
    <w:rsid w:val="4E263888"/>
    <w:rsid w:val="507E7984"/>
    <w:rsid w:val="51EE1D5E"/>
    <w:rsid w:val="53FD28AF"/>
    <w:rsid w:val="56704D31"/>
    <w:rsid w:val="58D30FF4"/>
    <w:rsid w:val="5BBB4CF4"/>
    <w:rsid w:val="5BDF90D6"/>
    <w:rsid w:val="5F7F168E"/>
    <w:rsid w:val="5FC8573D"/>
    <w:rsid w:val="68E53471"/>
    <w:rsid w:val="6C406247"/>
    <w:rsid w:val="6EE9D9CB"/>
    <w:rsid w:val="6FA712A1"/>
    <w:rsid w:val="718819E9"/>
    <w:rsid w:val="75FA2D3D"/>
    <w:rsid w:val="775FB21A"/>
    <w:rsid w:val="77FF3E5A"/>
    <w:rsid w:val="78161991"/>
    <w:rsid w:val="7AF7B2DB"/>
    <w:rsid w:val="7BF53929"/>
    <w:rsid w:val="7D6DFCA3"/>
    <w:rsid w:val="7E8C432D"/>
    <w:rsid w:val="7EDE9C91"/>
    <w:rsid w:val="7EEBEFF1"/>
    <w:rsid w:val="7F3E25F9"/>
    <w:rsid w:val="7FF60E65"/>
    <w:rsid w:val="7FFA293C"/>
    <w:rsid w:val="7FFEF643"/>
    <w:rsid w:val="90A1F263"/>
    <w:rsid w:val="9FEEE7B9"/>
    <w:rsid w:val="B6FFF1AC"/>
    <w:rsid w:val="BBFBDF6B"/>
    <w:rsid w:val="BF8B2A73"/>
    <w:rsid w:val="BFD70F23"/>
    <w:rsid w:val="CEF9360C"/>
    <w:rsid w:val="CF3517BF"/>
    <w:rsid w:val="DAEC83F5"/>
    <w:rsid w:val="DB7DC1E3"/>
    <w:rsid w:val="DCFE13E0"/>
    <w:rsid w:val="DD3F0203"/>
    <w:rsid w:val="E3F69C83"/>
    <w:rsid w:val="EBDD0ABC"/>
    <w:rsid w:val="EDDA676B"/>
    <w:rsid w:val="F49B4DB9"/>
    <w:rsid w:val="F5D31504"/>
    <w:rsid w:val="F6A7170F"/>
    <w:rsid w:val="F6FAB9C4"/>
    <w:rsid w:val="F9DFD26F"/>
    <w:rsid w:val="FBAF3214"/>
    <w:rsid w:val="FD766683"/>
    <w:rsid w:val="FFF752E5"/>
    <w:rsid w:val="FFFF1327"/>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360" w:lineRule="auto"/>
    </w:pPr>
    <w:rPr>
      <w:rFonts w:ascii="宋体" w:hAnsi="宋体" w:cs="宋体"/>
      <w:sz w:val="28"/>
      <w:szCs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sz w:val="20"/>
      <w:szCs w:val="20"/>
      <w:u w:val="single"/>
    </w:rPr>
  </w:style>
  <w:style w:type="character" w:styleId="10">
    <w:name w:val="Hyperlink"/>
    <w:basedOn w:val="8"/>
    <w:qFormat/>
    <w:uiPriority w:val="0"/>
    <w:rPr>
      <w:color w:val="0000FF"/>
      <w:sz w:val="20"/>
      <w:szCs w:val="20"/>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463</Words>
  <Characters>492</Characters>
  <Lines>26</Lines>
  <Paragraphs>34</Paragraphs>
  <TotalTime>2</TotalTime>
  <ScaleCrop>false</ScaleCrop>
  <LinksUpToDate>false</LinksUpToDate>
  <CharactersWithSpaces>540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2022-04-07T09:02:00Z</dcterms:created>
  <dc:creator>1</dc:creator>
  <cp:lastModifiedBy>huawei</cp:lastModifiedBy>
  <dcterms:modified xsi:type="dcterms:W3CDTF">2025-05-20T16:43:28Z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927019359FF63F7067FEE467C4BEFDFC</vt:lpwstr>
  </property>
</Properties>
</file>