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4FD367">
      <w:pPr>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合同编号：</w:t>
      </w:r>
    </w:p>
    <w:p w14:paraId="1A95BEE1">
      <w:pPr>
        <w:jc w:val="center"/>
        <w:rPr>
          <w:rFonts w:hint="eastAsia" w:ascii="仿宋" w:hAnsi="仿宋" w:eastAsia="仿宋" w:cs="仿宋"/>
          <w:sz w:val="48"/>
          <w:szCs w:val="48"/>
          <w:lang w:val="en-US" w:eastAsia="zh-CN"/>
        </w:rPr>
      </w:pPr>
    </w:p>
    <w:p w14:paraId="0F1204CF">
      <w:pPr>
        <w:pStyle w:val="2"/>
        <w:rPr>
          <w:rFonts w:hint="eastAsia"/>
          <w:lang w:val="en-US" w:eastAsia="zh-CN"/>
        </w:rPr>
      </w:pPr>
    </w:p>
    <w:p w14:paraId="4FFD59E8">
      <w:pPr>
        <w:jc w:val="center"/>
        <w:rPr>
          <w:rFonts w:hint="eastAsia" w:ascii="仿宋" w:hAnsi="仿宋" w:eastAsia="仿宋" w:cs="仿宋"/>
          <w:b/>
          <w:bCs/>
          <w:sz w:val="48"/>
          <w:szCs w:val="48"/>
        </w:rPr>
      </w:pPr>
      <w:r>
        <w:rPr>
          <w:rFonts w:hint="eastAsia" w:ascii="仿宋" w:hAnsi="仿宋" w:eastAsia="仿宋" w:cs="仿宋"/>
          <w:b/>
          <w:bCs/>
          <w:sz w:val="48"/>
          <w:szCs w:val="48"/>
          <w:lang w:val="en-US" w:eastAsia="zh-CN"/>
        </w:rPr>
        <w:t>宁城深能环保有限公司               承揽</w:t>
      </w:r>
      <w:r>
        <w:rPr>
          <w:rFonts w:hint="eastAsia" w:ascii="仿宋" w:hAnsi="仿宋" w:eastAsia="仿宋" w:cs="仿宋"/>
          <w:b/>
          <w:bCs/>
          <w:sz w:val="48"/>
          <w:szCs w:val="48"/>
        </w:rPr>
        <w:t>合同纠纷</w:t>
      </w:r>
      <w:bookmarkStart w:id="0" w:name="_GoBack"/>
      <w:bookmarkEnd w:id="0"/>
    </w:p>
    <w:p w14:paraId="3499B4BC">
      <w:pPr>
        <w:jc w:val="center"/>
        <w:rPr>
          <w:rFonts w:hint="eastAsia" w:ascii="仿宋" w:hAnsi="仿宋" w:eastAsia="仿宋" w:cs="仿宋"/>
          <w:b/>
          <w:bCs/>
          <w:sz w:val="52"/>
          <w:szCs w:val="52"/>
        </w:rPr>
      </w:pPr>
      <w:r>
        <w:rPr>
          <w:rFonts w:hint="eastAsia" w:ascii="仿宋" w:hAnsi="仿宋" w:eastAsia="仿宋" w:cs="仿宋"/>
          <w:b/>
          <w:bCs/>
          <w:sz w:val="48"/>
          <w:szCs w:val="48"/>
          <w:lang w:val="en-US" w:eastAsia="zh-CN"/>
        </w:rPr>
        <w:t>专项</w:t>
      </w:r>
      <w:r>
        <w:rPr>
          <w:rFonts w:hint="eastAsia" w:ascii="仿宋" w:hAnsi="仿宋" w:eastAsia="仿宋" w:cs="仿宋"/>
          <w:b/>
          <w:bCs/>
          <w:sz w:val="48"/>
          <w:szCs w:val="48"/>
        </w:rPr>
        <w:t>法律服务合同</w:t>
      </w:r>
    </w:p>
    <w:p w14:paraId="03C66CCF">
      <w:pPr>
        <w:rPr>
          <w:sz w:val="30"/>
          <w:szCs w:val="30"/>
        </w:rPr>
      </w:pPr>
      <w:r>
        <w:rPr>
          <w:rFonts w:hint="eastAsia"/>
          <w:sz w:val="30"/>
          <w:szCs w:val="30"/>
        </w:rPr>
        <w:t xml:space="preserve">                                      </w:t>
      </w:r>
    </w:p>
    <w:p w14:paraId="2113C8AD">
      <w:pPr>
        <w:rPr>
          <w:sz w:val="30"/>
          <w:szCs w:val="30"/>
        </w:rPr>
      </w:pPr>
    </w:p>
    <w:p w14:paraId="3DF85C07">
      <w:pPr>
        <w:wordWrap w:val="0"/>
        <w:ind w:right="1585" w:rightChars="755"/>
        <w:jc w:val="right"/>
        <w:rPr>
          <w:sz w:val="30"/>
          <w:szCs w:val="30"/>
        </w:rPr>
      </w:pPr>
      <w:r>
        <w:rPr>
          <w:rFonts w:hint="eastAsia"/>
          <w:sz w:val="30"/>
          <w:szCs w:val="30"/>
        </w:rPr>
        <w:t xml:space="preserve"> </w:t>
      </w:r>
    </w:p>
    <w:p w14:paraId="5E212B81">
      <w:pPr>
        <w:rPr>
          <w:sz w:val="30"/>
          <w:szCs w:val="30"/>
        </w:rPr>
      </w:pPr>
    </w:p>
    <w:p w14:paraId="76889668">
      <w:pPr>
        <w:rPr>
          <w:sz w:val="30"/>
          <w:szCs w:val="30"/>
        </w:rPr>
      </w:pPr>
    </w:p>
    <w:p w14:paraId="2B971922">
      <w:pPr>
        <w:rPr>
          <w:sz w:val="30"/>
          <w:szCs w:val="30"/>
        </w:rPr>
      </w:pPr>
    </w:p>
    <w:p w14:paraId="677C798C">
      <w:pPr>
        <w:rPr>
          <w:sz w:val="30"/>
          <w:szCs w:val="30"/>
        </w:rPr>
      </w:pPr>
    </w:p>
    <w:p w14:paraId="1CF40B55">
      <w:pPr>
        <w:ind w:firstLine="781" w:firstLineChars="279"/>
        <w:rPr>
          <w:rFonts w:hint="default" w:ascii="仿宋" w:hAnsi="仿宋" w:eastAsia="仿宋" w:cs="仿宋"/>
          <w:sz w:val="28"/>
          <w:szCs w:val="28"/>
          <w:lang w:val="en-US" w:eastAsia="zh-CN"/>
        </w:rPr>
      </w:pPr>
      <w:r>
        <w:rPr>
          <w:rFonts w:hint="eastAsia" w:ascii="仿宋" w:hAnsi="仿宋" w:eastAsia="仿宋" w:cs="仿宋"/>
          <w:sz w:val="28"/>
          <w:szCs w:val="28"/>
        </w:rPr>
        <w:t>委托</w:t>
      </w:r>
      <w:r>
        <w:rPr>
          <w:rFonts w:hint="eastAsia" w:ascii="仿宋" w:hAnsi="仿宋" w:eastAsia="仿宋" w:cs="仿宋"/>
          <w:sz w:val="28"/>
          <w:szCs w:val="28"/>
          <w:lang w:val="en-US" w:eastAsia="zh-CN"/>
        </w:rPr>
        <w:t>方</w:t>
      </w:r>
      <w:r>
        <w:rPr>
          <w:rFonts w:hint="eastAsia" w:ascii="仿宋" w:hAnsi="仿宋" w:eastAsia="仿宋" w:cs="仿宋"/>
          <w:sz w:val="28"/>
          <w:szCs w:val="28"/>
        </w:rPr>
        <w:t>（甲方）：</w:t>
      </w:r>
      <w:r>
        <w:rPr>
          <w:rFonts w:hint="eastAsia" w:ascii="仿宋" w:hAnsi="仿宋" w:eastAsia="仿宋" w:cs="仿宋"/>
          <w:sz w:val="28"/>
          <w:szCs w:val="28"/>
          <w:lang w:val="en-US" w:eastAsia="zh-CN"/>
        </w:rPr>
        <w:t>宁城深能环保有限公司</w:t>
      </w:r>
    </w:p>
    <w:p w14:paraId="0DE455D0">
      <w:pPr>
        <w:ind w:firstLine="781" w:firstLineChars="279"/>
        <w:rPr>
          <w:rFonts w:hint="default" w:ascii="仿宋" w:hAnsi="仿宋" w:eastAsia="仿宋" w:cs="仿宋"/>
          <w:sz w:val="28"/>
          <w:szCs w:val="28"/>
          <w:lang w:val="en-US" w:eastAsia="zh-CN"/>
        </w:rPr>
      </w:pPr>
      <w:r>
        <w:rPr>
          <w:rFonts w:hint="eastAsia" w:ascii="仿宋" w:hAnsi="仿宋" w:eastAsia="仿宋" w:cs="仿宋"/>
          <w:sz w:val="28"/>
          <w:szCs w:val="28"/>
        </w:rPr>
        <w:t>受托</w:t>
      </w:r>
      <w:r>
        <w:rPr>
          <w:rFonts w:hint="eastAsia" w:ascii="仿宋" w:hAnsi="仿宋" w:eastAsia="仿宋" w:cs="仿宋"/>
          <w:sz w:val="28"/>
          <w:szCs w:val="28"/>
          <w:lang w:val="en-US" w:eastAsia="zh-CN"/>
        </w:rPr>
        <w:t>方</w:t>
      </w:r>
      <w:r>
        <w:rPr>
          <w:rFonts w:hint="eastAsia" w:ascii="仿宋" w:hAnsi="仿宋" w:eastAsia="仿宋" w:cs="仿宋"/>
          <w:sz w:val="28"/>
          <w:szCs w:val="28"/>
        </w:rPr>
        <w:t>（乙方）：</w:t>
      </w:r>
    </w:p>
    <w:p w14:paraId="52DFB40A">
      <w:pPr>
        <w:rPr>
          <w:sz w:val="28"/>
          <w:szCs w:val="28"/>
        </w:rPr>
      </w:pPr>
    </w:p>
    <w:p w14:paraId="3B55C1C7">
      <w:pPr>
        <w:rPr>
          <w:sz w:val="28"/>
          <w:szCs w:val="28"/>
        </w:rPr>
      </w:pPr>
    </w:p>
    <w:p w14:paraId="3542DCA4">
      <w:pPr>
        <w:ind w:firstLine="781" w:firstLineChars="279"/>
        <w:jc w:val="center"/>
        <w:rPr>
          <w:rFonts w:hint="eastAsia" w:ascii="仿宋" w:hAnsi="仿宋" w:eastAsia="仿宋" w:cs="仿宋"/>
          <w:sz w:val="28"/>
          <w:szCs w:val="28"/>
        </w:rPr>
      </w:pPr>
      <w:r>
        <w:rPr>
          <w:rFonts w:hint="eastAsia" w:ascii="仿宋" w:hAnsi="仿宋" w:eastAsia="仿宋" w:cs="仿宋"/>
          <w:sz w:val="28"/>
          <w:szCs w:val="28"/>
        </w:rPr>
        <w:t>签约时间： 202</w:t>
      </w:r>
      <w:r>
        <w:rPr>
          <w:rFonts w:hint="eastAsia" w:ascii="仿宋" w:hAnsi="仿宋" w:eastAsia="仿宋" w:cs="仿宋"/>
          <w:sz w:val="28"/>
          <w:szCs w:val="28"/>
          <w:lang w:val="en-US" w:eastAsia="zh-CN"/>
        </w:rPr>
        <w:t>6</w:t>
      </w:r>
      <w:r>
        <w:rPr>
          <w:rFonts w:hint="eastAsia" w:ascii="仿宋" w:hAnsi="仿宋" w:eastAsia="仿宋" w:cs="仿宋"/>
          <w:sz w:val="28"/>
          <w:szCs w:val="28"/>
        </w:rPr>
        <w:t>年</w:t>
      </w:r>
      <w:r>
        <w:rPr>
          <w:rFonts w:hint="eastAsia" w:ascii="仿宋" w:hAnsi="仿宋" w:eastAsia="仿宋" w:cs="仿宋"/>
          <w:sz w:val="28"/>
          <w:szCs w:val="28"/>
          <w:lang w:val="en-US" w:eastAsia="zh-CN"/>
        </w:rPr>
        <w:t>4</w:t>
      </w:r>
      <w:r>
        <w:rPr>
          <w:rFonts w:hint="eastAsia" w:ascii="仿宋" w:hAnsi="仿宋" w:eastAsia="仿宋" w:cs="仿宋"/>
          <w:sz w:val="28"/>
          <w:szCs w:val="28"/>
        </w:rPr>
        <w:t>月</w:t>
      </w:r>
    </w:p>
    <w:p w14:paraId="5D6829FC">
      <w:pPr>
        <w:ind w:firstLine="781" w:firstLineChars="279"/>
        <w:jc w:val="center"/>
        <w:rPr>
          <w:rFonts w:hint="default" w:ascii="仿宋" w:hAnsi="仿宋" w:eastAsia="仿宋" w:cs="仿宋"/>
          <w:sz w:val="28"/>
          <w:szCs w:val="28"/>
          <w:lang w:val="en-US" w:eastAsia="zh-CN"/>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sz w:val="28"/>
          <w:szCs w:val="28"/>
        </w:rPr>
        <w:t xml:space="preserve">签约地点： </w:t>
      </w:r>
      <w:r>
        <w:rPr>
          <w:rFonts w:hint="eastAsia" w:ascii="仿宋" w:hAnsi="仿宋" w:eastAsia="仿宋" w:cs="仿宋"/>
          <w:sz w:val="28"/>
          <w:szCs w:val="28"/>
          <w:lang w:val="en-US" w:eastAsia="zh-CN"/>
        </w:rPr>
        <w:t>内蒙古自治区赤峰市</w:t>
      </w:r>
    </w:p>
    <w:p w14:paraId="660878F7">
      <w:pPr>
        <w:rPr>
          <w:sz w:val="30"/>
          <w:szCs w:val="30"/>
        </w:rPr>
      </w:pPr>
    </w:p>
    <w:p w14:paraId="61CCB5E5">
      <w:pPr>
        <w:pStyle w:val="7"/>
        <w:spacing w:line="560" w:lineRule="exact"/>
        <w:jc w:val="center"/>
        <w:rPr>
          <w:rFonts w:ascii="华文中宋" w:hAnsi="华文中宋" w:eastAsia="华文中宋"/>
          <w:b/>
          <w:sz w:val="40"/>
          <w:szCs w:val="18"/>
        </w:rPr>
      </w:pPr>
      <w:r>
        <w:rPr>
          <w:rFonts w:hint="eastAsia" w:ascii="华文中宋" w:hAnsi="华文中宋" w:eastAsia="华文中宋"/>
          <w:b/>
          <w:sz w:val="44"/>
          <w:szCs w:val="44"/>
          <w:lang w:val="en-US" w:eastAsia="zh-CN"/>
        </w:rPr>
        <w:t>专项法律服务</w:t>
      </w:r>
      <w:r>
        <w:rPr>
          <w:rFonts w:hint="eastAsia" w:ascii="华文中宋" w:hAnsi="华文中宋" w:eastAsia="华文中宋"/>
          <w:b/>
          <w:sz w:val="44"/>
          <w:szCs w:val="44"/>
        </w:rPr>
        <w:t>合同</w:t>
      </w:r>
    </w:p>
    <w:p w14:paraId="2EBAC691">
      <w:pPr>
        <w:pStyle w:val="7"/>
        <w:spacing w:line="560" w:lineRule="exact"/>
        <w:jc w:val="right"/>
        <w:rPr>
          <w:rFonts w:ascii="仿宋" w:hAnsi="仿宋" w:eastAsia="仿宋"/>
          <w:sz w:val="24"/>
          <w:szCs w:val="24"/>
        </w:rPr>
      </w:pPr>
    </w:p>
    <w:p w14:paraId="39E0D614">
      <w:pPr>
        <w:pStyle w:val="7"/>
        <w:spacing w:line="360" w:lineRule="auto"/>
        <w:ind w:firstLine="562" w:firstLineChars="200"/>
        <w:rPr>
          <w:rFonts w:hint="default" w:ascii="仿宋" w:hAnsi="仿宋" w:eastAsia="仿宋"/>
          <w:b/>
          <w:bCs/>
          <w:sz w:val="28"/>
          <w:szCs w:val="28"/>
          <w:lang w:val="en-US" w:eastAsia="zh-CN"/>
        </w:rPr>
      </w:pPr>
      <w:r>
        <w:rPr>
          <w:rFonts w:hint="eastAsia" w:ascii="仿宋" w:hAnsi="仿宋" w:eastAsia="仿宋"/>
          <w:b/>
          <w:sz w:val="28"/>
          <w:szCs w:val="28"/>
        </w:rPr>
        <w:t>委托</w:t>
      </w:r>
      <w:r>
        <w:rPr>
          <w:rFonts w:hint="eastAsia" w:ascii="仿宋" w:hAnsi="仿宋" w:eastAsia="仿宋"/>
          <w:b/>
          <w:sz w:val="28"/>
          <w:szCs w:val="28"/>
          <w:lang w:val="en-US" w:eastAsia="zh-CN"/>
        </w:rPr>
        <w:t>方</w:t>
      </w:r>
      <w:r>
        <w:rPr>
          <w:rFonts w:hint="eastAsia" w:ascii="仿宋" w:hAnsi="仿宋" w:eastAsia="仿宋"/>
          <w:b/>
          <w:sz w:val="28"/>
          <w:szCs w:val="28"/>
          <w:lang w:eastAsia="zh-CN"/>
        </w:rPr>
        <w:t>（</w:t>
      </w:r>
      <w:r>
        <w:rPr>
          <w:rFonts w:hint="eastAsia" w:ascii="仿宋" w:hAnsi="仿宋" w:eastAsia="仿宋"/>
          <w:b/>
          <w:sz w:val="28"/>
          <w:szCs w:val="28"/>
          <w:lang w:val="en-US" w:eastAsia="zh-CN"/>
        </w:rPr>
        <w:t>简称甲方）</w:t>
      </w:r>
      <w:r>
        <w:rPr>
          <w:rFonts w:hint="eastAsia" w:ascii="仿宋" w:hAnsi="仿宋" w:eastAsia="仿宋"/>
          <w:b/>
          <w:sz w:val="28"/>
          <w:szCs w:val="28"/>
        </w:rPr>
        <w:t>：</w:t>
      </w:r>
      <w:r>
        <w:rPr>
          <w:rFonts w:hint="eastAsia" w:ascii="仿宋" w:hAnsi="仿宋" w:eastAsia="仿宋"/>
          <w:b/>
          <w:sz w:val="28"/>
          <w:szCs w:val="28"/>
          <w:lang w:val="en-US" w:eastAsia="zh-CN"/>
        </w:rPr>
        <w:t>宁城深能环保有限公司</w:t>
      </w:r>
    </w:p>
    <w:p w14:paraId="18881948">
      <w:pPr>
        <w:pStyle w:val="7"/>
        <w:spacing w:line="360" w:lineRule="auto"/>
        <w:ind w:firstLine="480" w:firstLineChars="200"/>
        <w:rPr>
          <w:rFonts w:hint="eastAsia" w:ascii="仿宋" w:hAnsi="仿宋" w:eastAsia="仿宋" w:cs="仿宋"/>
          <w:i w:val="0"/>
          <w:iCs w:val="0"/>
          <w:caps w:val="0"/>
          <w:color w:val="00000A"/>
          <w:spacing w:val="0"/>
          <w:sz w:val="24"/>
          <w:szCs w:val="24"/>
          <w:shd w:val="clear" w:fill="FFFFFF"/>
        </w:rPr>
      </w:pPr>
      <w:r>
        <w:rPr>
          <w:rFonts w:hint="eastAsia" w:ascii="仿宋" w:hAnsi="仿宋" w:eastAsia="仿宋"/>
          <w:sz w:val="24"/>
          <w:szCs w:val="24"/>
        </w:rPr>
        <w:t>地址：</w:t>
      </w:r>
      <w:r>
        <w:rPr>
          <w:rFonts w:hint="eastAsia" w:ascii="仿宋" w:hAnsi="仿宋" w:eastAsia="仿宋" w:cs="仿宋"/>
          <w:sz w:val="24"/>
          <w:szCs w:val="24"/>
        </w:rPr>
        <w:t>内蒙古自治区赤峰市宁城县天义镇敖海营子西山坡</w:t>
      </w:r>
    </w:p>
    <w:p w14:paraId="7DC46846">
      <w:pPr>
        <w:pStyle w:val="7"/>
        <w:spacing w:line="360" w:lineRule="auto"/>
        <w:ind w:firstLine="480" w:firstLineChars="200"/>
        <w:rPr>
          <w:rFonts w:ascii="仿宋" w:hAnsi="仿宋" w:eastAsia="仿宋"/>
          <w:sz w:val="24"/>
          <w:szCs w:val="24"/>
        </w:rPr>
      </w:pPr>
      <w:r>
        <w:rPr>
          <w:rFonts w:hint="eastAsia" w:ascii="仿宋" w:hAnsi="仿宋" w:eastAsia="仿宋" w:cs="仿宋"/>
          <w:i w:val="0"/>
          <w:iCs w:val="0"/>
          <w:caps w:val="0"/>
          <w:color w:val="00000A"/>
          <w:spacing w:val="0"/>
          <w:sz w:val="24"/>
          <w:szCs w:val="24"/>
          <w:shd w:val="clear" w:fill="FFFFFF"/>
          <w:lang w:val="en-US" w:eastAsia="zh-CN"/>
        </w:rPr>
        <w:t>电话：0476-5664866</w:t>
      </w:r>
    </w:p>
    <w:p w14:paraId="79B7957A">
      <w:pPr>
        <w:pStyle w:val="7"/>
        <w:spacing w:line="360" w:lineRule="auto"/>
        <w:ind w:firstLine="562" w:firstLineChars="200"/>
        <w:rPr>
          <w:rFonts w:ascii="仿宋" w:hAnsi="仿宋" w:eastAsia="仿宋"/>
          <w:b/>
          <w:sz w:val="28"/>
          <w:szCs w:val="28"/>
        </w:rPr>
      </w:pPr>
      <w:r>
        <w:rPr>
          <w:rFonts w:hint="eastAsia" w:ascii="仿宋" w:hAnsi="仿宋" w:eastAsia="仿宋"/>
          <w:b/>
          <w:sz w:val="28"/>
          <w:szCs w:val="28"/>
        </w:rPr>
        <w:t>受托</w:t>
      </w:r>
      <w:r>
        <w:rPr>
          <w:rFonts w:hint="eastAsia" w:ascii="仿宋" w:hAnsi="仿宋" w:eastAsia="仿宋"/>
          <w:b/>
          <w:sz w:val="28"/>
          <w:szCs w:val="28"/>
          <w:lang w:val="en-US" w:eastAsia="zh-CN"/>
        </w:rPr>
        <w:t>方</w:t>
      </w:r>
      <w:r>
        <w:rPr>
          <w:rFonts w:hint="eastAsia" w:ascii="仿宋" w:hAnsi="仿宋" w:eastAsia="仿宋"/>
          <w:b/>
          <w:sz w:val="28"/>
          <w:szCs w:val="28"/>
        </w:rPr>
        <w:t>(简称乙方)：</w:t>
      </w:r>
    </w:p>
    <w:p w14:paraId="3EBC0B3D">
      <w:pPr>
        <w:pStyle w:val="7"/>
        <w:spacing w:line="360" w:lineRule="auto"/>
        <w:ind w:firstLine="480" w:firstLineChars="200"/>
        <w:rPr>
          <w:rFonts w:ascii="仿宋" w:hAnsi="仿宋" w:eastAsia="仿宋"/>
          <w:sz w:val="24"/>
          <w:szCs w:val="24"/>
        </w:rPr>
      </w:pPr>
      <w:r>
        <w:rPr>
          <w:rFonts w:hint="eastAsia" w:ascii="仿宋" w:hAnsi="仿宋" w:eastAsia="仿宋"/>
          <w:sz w:val="24"/>
          <w:szCs w:val="24"/>
        </w:rPr>
        <w:t>地址：</w:t>
      </w:r>
    </w:p>
    <w:p w14:paraId="79FFF36A">
      <w:pPr>
        <w:spacing w:line="360" w:lineRule="auto"/>
        <w:ind w:firstLine="480" w:firstLineChars="200"/>
        <w:rPr>
          <w:rFonts w:ascii="仿宋" w:hAnsi="仿宋" w:eastAsia="仿宋"/>
          <w:sz w:val="24"/>
          <w:szCs w:val="24"/>
        </w:rPr>
      </w:pPr>
      <w:r>
        <w:rPr>
          <w:rFonts w:hint="eastAsia" w:ascii="仿宋" w:hAnsi="仿宋" w:eastAsia="仿宋"/>
          <w:sz w:val="24"/>
          <w:szCs w:val="24"/>
        </w:rPr>
        <w:t>电话：</w:t>
      </w:r>
    </w:p>
    <w:p w14:paraId="4316E77C">
      <w:pPr>
        <w:spacing w:before="312" w:beforeLines="100" w:after="312" w:afterLines="100" w:line="360" w:lineRule="auto"/>
        <w:ind w:firstLine="560" w:firstLineChars="200"/>
        <w:rPr>
          <w:rFonts w:hint="eastAsia" w:ascii="仿宋" w:hAnsi="仿宋" w:eastAsia="仿宋"/>
          <w:color w:val="000000"/>
          <w:sz w:val="28"/>
          <w:szCs w:val="28"/>
        </w:rPr>
      </w:pPr>
      <w:r>
        <w:rPr>
          <w:rFonts w:hint="eastAsia" w:ascii="仿宋" w:hAnsi="仿宋" w:eastAsia="仿宋"/>
          <w:color w:val="000000"/>
          <w:sz w:val="28"/>
          <w:szCs w:val="28"/>
        </w:rPr>
        <w:t>因甲方</w:t>
      </w:r>
      <w:r>
        <w:rPr>
          <w:rFonts w:hint="eastAsia" w:ascii="仿宋" w:hAnsi="仿宋" w:eastAsia="仿宋"/>
          <w:color w:val="000000"/>
          <w:sz w:val="28"/>
          <w:szCs w:val="28"/>
          <w:lang w:val="en-US" w:eastAsia="zh-CN"/>
        </w:rPr>
        <w:t>与</w:t>
      </w:r>
      <w:r>
        <w:rPr>
          <w:rFonts w:hint="eastAsia" w:ascii="仿宋" w:hAnsi="仿宋" w:eastAsia="仿宋" w:cs="仿宋"/>
          <w:spacing w:val="11"/>
          <w:sz w:val="28"/>
          <w:szCs w:val="36"/>
        </w:rPr>
        <w:t>义峰建设投资集团有限公司</w:t>
      </w:r>
      <w:r>
        <w:rPr>
          <w:rFonts w:hint="eastAsia" w:ascii="仿宋" w:hAnsi="仿宋" w:eastAsia="仿宋" w:cs="仿宋"/>
          <w:spacing w:val="11"/>
          <w:sz w:val="28"/>
          <w:szCs w:val="36"/>
          <w:lang w:eastAsia="zh-CN"/>
        </w:rPr>
        <w:t>、</w:t>
      </w:r>
      <w:r>
        <w:rPr>
          <w:rFonts w:hint="eastAsia" w:ascii="仿宋" w:hAnsi="仿宋" w:eastAsia="仿宋" w:cs="仿宋"/>
          <w:spacing w:val="11"/>
          <w:sz w:val="28"/>
          <w:szCs w:val="36"/>
        </w:rPr>
        <w:t>济南市涵旭机械租赁有限公司</w:t>
      </w:r>
      <w:r>
        <w:rPr>
          <w:rFonts w:hint="eastAsia" w:ascii="仿宋" w:hAnsi="仿宋" w:eastAsia="仿宋"/>
          <w:color w:val="000000"/>
          <w:sz w:val="28"/>
          <w:szCs w:val="28"/>
          <w:lang w:val="en-US" w:eastAsia="zh-CN"/>
        </w:rPr>
        <w:t>承揽</w:t>
      </w:r>
      <w:r>
        <w:rPr>
          <w:rFonts w:hint="eastAsia" w:ascii="仿宋" w:hAnsi="仿宋" w:eastAsia="仿宋"/>
          <w:color w:val="000000"/>
          <w:sz w:val="28"/>
          <w:szCs w:val="28"/>
        </w:rPr>
        <w:t>合同纠纷一案（以下称“本案”），现甲方特聘请乙方律师担任甲方在本案中的诉讼代理人。根据相关法律、法规之规定，经双方协商一致，签订</w:t>
      </w:r>
      <w:r>
        <w:rPr>
          <w:rFonts w:hint="eastAsia" w:ascii="仿宋" w:hAnsi="仿宋" w:eastAsia="仿宋"/>
          <w:color w:val="000000"/>
          <w:sz w:val="28"/>
          <w:szCs w:val="28"/>
          <w:lang w:val="en-US" w:eastAsia="zh-CN"/>
        </w:rPr>
        <w:t>本法律服务</w:t>
      </w:r>
      <w:r>
        <w:rPr>
          <w:rFonts w:hint="eastAsia" w:ascii="仿宋" w:hAnsi="仿宋" w:eastAsia="仿宋"/>
          <w:color w:val="000000"/>
          <w:sz w:val="28"/>
          <w:szCs w:val="28"/>
        </w:rPr>
        <w:t>合同，以资共同遵照履行。</w:t>
      </w:r>
    </w:p>
    <w:p w14:paraId="0D2AD016">
      <w:pPr>
        <w:spacing w:before="312" w:beforeLines="100" w:after="312" w:afterLines="100" w:line="360" w:lineRule="auto"/>
        <w:ind w:firstLine="560" w:firstLineChars="200"/>
        <w:rPr>
          <w:rFonts w:hint="eastAsia" w:ascii="仿宋" w:hAnsi="仿宋" w:eastAsia="仿宋"/>
          <w:color w:val="000000"/>
          <w:sz w:val="28"/>
          <w:szCs w:val="28"/>
        </w:rPr>
      </w:pPr>
      <w:r>
        <w:rPr>
          <w:rFonts w:hint="eastAsia" w:ascii="仿宋" w:hAnsi="仿宋" w:eastAsia="仿宋"/>
          <w:color w:val="000000"/>
          <w:sz w:val="28"/>
          <w:szCs w:val="28"/>
        </w:rPr>
        <w:t>第一条  乙方接受甲方委托，指派本所</w:t>
      </w:r>
      <w:r>
        <w:rPr>
          <w:rFonts w:hint="eastAsia" w:ascii="仿宋" w:hAnsi="仿宋" w:eastAsia="仿宋"/>
          <w:color w:val="000000"/>
          <w:sz w:val="28"/>
          <w:szCs w:val="28"/>
          <w:u w:val="single"/>
        </w:rPr>
        <w:t xml:space="preserve"> </w:t>
      </w:r>
      <w:r>
        <w:rPr>
          <w:rFonts w:hint="eastAsia" w:ascii="仿宋" w:hAnsi="仿宋" w:eastAsia="仿宋"/>
          <w:color w:val="000000"/>
          <w:sz w:val="28"/>
          <w:szCs w:val="28"/>
          <w:u w:val="single"/>
          <w:lang w:val="en-US" w:eastAsia="zh-CN"/>
        </w:rPr>
        <w:t xml:space="preserve">  </w:t>
      </w:r>
      <w:r>
        <w:rPr>
          <w:rFonts w:hint="eastAsia" w:ascii="仿宋" w:hAnsi="仿宋" w:eastAsia="仿宋"/>
          <w:color w:val="000000"/>
          <w:sz w:val="28"/>
          <w:szCs w:val="28"/>
          <w:u w:val="single"/>
        </w:rPr>
        <w:t xml:space="preserve"> </w:t>
      </w:r>
      <w:r>
        <w:rPr>
          <w:rFonts w:hint="eastAsia" w:ascii="仿宋" w:hAnsi="仿宋" w:eastAsia="仿宋"/>
          <w:color w:val="000000"/>
          <w:sz w:val="28"/>
          <w:szCs w:val="28"/>
          <w:u w:val="single"/>
          <w:lang w:val="en-US" w:eastAsia="zh-CN"/>
        </w:rPr>
        <w:t xml:space="preserve"> </w:t>
      </w:r>
      <w:r>
        <w:rPr>
          <w:rFonts w:hint="eastAsia" w:ascii="仿宋" w:hAnsi="仿宋" w:eastAsia="仿宋"/>
          <w:color w:val="000000"/>
          <w:sz w:val="28"/>
          <w:szCs w:val="28"/>
        </w:rPr>
        <w:t>律师完成甲方上述委托事项。具体请见附件。</w:t>
      </w:r>
    </w:p>
    <w:p w14:paraId="169FB611">
      <w:pPr>
        <w:spacing w:before="312" w:beforeLines="100" w:after="312" w:afterLines="100" w:line="360" w:lineRule="auto"/>
        <w:ind w:firstLine="560" w:firstLineChars="200"/>
        <w:rPr>
          <w:rFonts w:hint="eastAsia" w:ascii="仿宋" w:hAnsi="仿宋" w:eastAsia="仿宋"/>
          <w:color w:val="000000"/>
          <w:sz w:val="28"/>
          <w:szCs w:val="28"/>
        </w:rPr>
      </w:pPr>
      <w:r>
        <w:rPr>
          <w:rFonts w:hint="eastAsia" w:ascii="仿宋" w:hAnsi="仿宋" w:eastAsia="仿宋"/>
          <w:color w:val="000000"/>
          <w:sz w:val="28"/>
          <w:szCs w:val="28"/>
        </w:rPr>
        <w:t>第二条  本次法律服务内容具体包括：</w:t>
      </w:r>
    </w:p>
    <w:p w14:paraId="02D2950E">
      <w:pPr>
        <w:spacing w:before="312" w:beforeLines="100" w:after="312" w:afterLines="100" w:line="240" w:lineRule="auto"/>
        <w:ind w:firstLine="560" w:firstLineChars="200"/>
        <w:rPr>
          <w:rFonts w:hint="eastAsia" w:ascii="仿宋" w:hAnsi="仿宋" w:eastAsia="仿宋"/>
          <w:color w:val="000000"/>
          <w:sz w:val="28"/>
          <w:szCs w:val="28"/>
        </w:rPr>
      </w:pPr>
      <w:r>
        <w:rPr>
          <w:rFonts w:hint="eastAsia" w:ascii="仿宋" w:hAnsi="仿宋" w:eastAsia="仿宋"/>
          <w:color w:val="000000"/>
          <w:sz w:val="28"/>
          <w:szCs w:val="28"/>
        </w:rPr>
        <w:t>1、就本案事实进行分析讨论，提供争议解决方案和建议；</w:t>
      </w:r>
    </w:p>
    <w:p w14:paraId="7EFF56B4">
      <w:pPr>
        <w:spacing w:before="312" w:beforeLines="100" w:after="312" w:afterLines="100" w:line="240" w:lineRule="auto"/>
        <w:ind w:firstLine="560" w:firstLineChars="200"/>
        <w:rPr>
          <w:rFonts w:hint="eastAsia" w:ascii="仿宋" w:hAnsi="仿宋" w:eastAsia="仿宋"/>
          <w:color w:val="000000"/>
          <w:sz w:val="28"/>
          <w:szCs w:val="28"/>
        </w:rPr>
      </w:pPr>
      <w:r>
        <w:rPr>
          <w:rFonts w:hint="eastAsia" w:ascii="仿宋" w:hAnsi="仿宋" w:eastAsia="仿宋"/>
          <w:color w:val="000000"/>
          <w:sz w:val="28"/>
          <w:szCs w:val="28"/>
        </w:rPr>
        <w:t>2、担任甲方的代理人，参与本案所涉的调解、和解、诉讼等程序；</w:t>
      </w:r>
    </w:p>
    <w:p w14:paraId="1722DC48">
      <w:pPr>
        <w:spacing w:before="312" w:beforeLines="100" w:after="312" w:afterLines="100" w:line="240" w:lineRule="auto"/>
        <w:ind w:firstLine="560" w:firstLineChars="200"/>
        <w:rPr>
          <w:rFonts w:hint="eastAsia" w:ascii="仿宋" w:hAnsi="仿宋" w:eastAsia="仿宋"/>
          <w:color w:val="000000"/>
          <w:sz w:val="28"/>
          <w:szCs w:val="28"/>
        </w:rPr>
      </w:pPr>
      <w:r>
        <w:rPr>
          <w:rFonts w:hint="eastAsia" w:ascii="仿宋" w:hAnsi="仿宋" w:eastAsia="仿宋"/>
          <w:color w:val="000000"/>
          <w:sz w:val="28"/>
          <w:szCs w:val="28"/>
        </w:rPr>
        <w:t>3、开展必要的调查取证工作，并在需要时向法庭申请调查取证；</w:t>
      </w:r>
    </w:p>
    <w:p w14:paraId="75EA2642">
      <w:pPr>
        <w:spacing w:before="312" w:beforeLines="100" w:after="312" w:afterLines="100" w:line="240" w:lineRule="auto"/>
        <w:ind w:firstLine="560" w:firstLineChars="200"/>
        <w:rPr>
          <w:rFonts w:hint="eastAsia" w:ascii="仿宋" w:hAnsi="仿宋" w:eastAsia="仿宋"/>
          <w:color w:val="000000"/>
          <w:sz w:val="28"/>
          <w:szCs w:val="28"/>
        </w:rPr>
      </w:pPr>
      <w:r>
        <w:rPr>
          <w:rFonts w:hint="eastAsia" w:ascii="仿宋" w:hAnsi="仿宋" w:eastAsia="仿宋"/>
          <w:color w:val="000000"/>
          <w:sz w:val="28"/>
          <w:szCs w:val="28"/>
        </w:rPr>
        <w:t>4、根据案情需要或甲方要求出具各类法律文书；</w:t>
      </w:r>
    </w:p>
    <w:p w14:paraId="241B5C4B">
      <w:pPr>
        <w:spacing w:before="312" w:beforeLines="100" w:after="312" w:afterLines="100" w:line="240" w:lineRule="auto"/>
        <w:ind w:firstLine="560" w:firstLineChars="200"/>
        <w:rPr>
          <w:rFonts w:hint="eastAsia" w:ascii="仿宋" w:hAnsi="仿宋" w:eastAsia="仿宋"/>
          <w:color w:val="000000"/>
          <w:sz w:val="28"/>
          <w:szCs w:val="28"/>
        </w:rPr>
      </w:pPr>
      <w:r>
        <w:rPr>
          <w:rFonts w:hint="eastAsia" w:ascii="仿宋" w:hAnsi="仿宋" w:eastAsia="仿宋"/>
          <w:color w:val="000000"/>
          <w:sz w:val="28"/>
          <w:szCs w:val="28"/>
        </w:rPr>
        <w:t>5、参与由法庭主持的或各方当事人自行举行的和解程序；</w:t>
      </w:r>
    </w:p>
    <w:p w14:paraId="1FB0C714">
      <w:pPr>
        <w:spacing w:before="312" w:beforeLines="100" w:after="312" w:afterLines="100" w:line="240" w:lineRule="auto"/>
        <w:ind w:firstLine="560" w:firstLineChars="200"/>
        <w:rPr>
          <w:rFonts w:hint="eastAsia" w:ascii="仿宋" w:hAnsi="仿宋" w:eastAsia="仿宋"/>
          <w:color w:val="000000"/>
          <w:sz w:val="28"/>
          <w:szCs w:val="28"/>
        </w:rPr>
      </w:pPr>
      <w:r>
        <w:rPr>
          <w:rFonts w:hint="eastAsia" w:ascii="仿宋" w:hAnsi="仿宋" w:eastAsia="仿宋"/>
          <w:color w:val="000000"/>
          <w:sz w:val="28"/>
          <w:szCs w:val="28"/>
        </w:rPr>
        <w:t>6、应甲方邀请，为甲方提供与本事件相关的其他法律服务。</w:t>
      </w:r>
    </w:p>
    <w:p w14:paraId="37D034EF">
      <w:pPr>
        <w:spacing w:before="312" w:beforeLines="100" w:after="312" w:afterLines="100" w:line="360" w:lineRule="auto"/>
        <w:ind w:firstLine="560" w:firstLineChars="200"/>
        <w:rPr>
          <w:rFonts w:hint="eastAsia" w:ascii="仿宋" w:hAnsi="仿宋" w:eastAsia="仿宋"/>
          <w:color w:val="000000"/>
          <w:sz w:val="28"/>
          <w:szCs w:val="28"/>
        </w:rPr>
      </w:pPr>
      <w:r>
        <w:rPr>
          <w:rFonts w:hint="eastAsia" w:ascii="仿宋" w:hAnsi="仿宋" w:eastAsia="仿宋"/>
          <w:color w:val="000000"/>
          <w:sz w:val="28"/>
          <w:szCs w:val="28"/>
        </w:rPr>
        <w:t>第三条 综合考虑本案的复杂性、标的额等因素，甲、乙双方经协商，</w:t>
      </w:r>
      <w:r>
        <w:rPr>
          <w:rFonts w:hint="eastAsia" w:ascii="仿宋" w:hAnsi="仿宋" w:eastAsia="仿宋"/>
          <w:color w:val="000000"/>
          <w:sz w:val="28"/>
          <w:szCs w:val="28"/>
          <w:lang w:val="en-US" w:eastAsia="zh-CN"/>
        </w:rPr>
        <w:t>本案律师代理费</w:t>
      </w:r>
      <w:r>
        <w:rPr>
          <w:rFonts w:hint="eastAsia" w:ascii="仿宋" w:hAnsi="仿宋" w:eastAsia="仿宋"/>
          <w:color w:val="000000"/>
          <w:sz w:val="28"/>
          <w:szCs w:val="28"/>
        </w:rPr>
        <w:t>具体支付方式如下：</w:t>
      </w:r>
    </w:p>
    <w:p w14:paraId="631AB6E8">
      <w:pPr>
        <w:spacing w:before="312" w:beforeLines="100" w:after="312" w:afterLines="100" w:line="360" w:lineRule="auto"/>
        <w:ind w:firstLine="560" w:firstLineChars="200"/>
        <w:rPr>
          <w:rFonts w:hint="default" w:ascii="仿宋" w:hAnsi="仿宋" w:eastAsia="仿宋" w:cstheme="minorBidi"/>
          <w:color w:val="000000"/>
          <w:kern w:val="2"/>
          <w:sz w:val="28"/>
          <w:szCs w:val="28"/>
          <w:lang w:val="en-US" w:eastAsia="zh-CN" w:bidi="ar-SA"/>
        </w:rPr>
      </w:pPr>
      <w:r>
        <w:rPr>
          <w:rFonts w:hint="eastAsia" w:ascii="仿宋" w:hAnsi="仿宋" w:eastAsia="仿宋" w:cstheme="minorBidi"/>
          <w:color w:val="000000"/>
          <w:kern w:val="2"/>
          <w:sz w:val="28"/>
          <w:szCs w:val="28"/>
          <w:lang w:val="en-US" w:eastAsia="zh-CN" w:bidi="ar-SA"/>
        </w:rPr>
        <w:t>（1）一审代理费用：人民币     元整（小写：￥_ _元）（含税，税率为</w:t>
      </w:r>
      <w:r>
        <w:rPr>
          <w:rFonts w:hint="eastAsia" w:ascii="仿宋" w:hAnsi="仿宋" w:eastAsia="仿宋" w:cstheme="minorBidi"/>
          <w:color w:val="000000"/>
          <w:kern w:val="2"/>
          <w:sz w:val="28"/>
          <w:szCs w:val="28"/>
          <w:u w:val="single"/>
          <w:lang w:val="en-US" w:eastAsia="zh-CN" w:bidi="ar-SA"/>
        </w:rPr>
        <w:t xml:space="preserve">   </w:t>
      </w:r>
      <w:r>
        <w:rPr>
          <w:rFonts w:hint="eastAsia" w:ascii="仿宋" w:hAnsi="仿宋" w:eastAsia="仿宋" w:cstheme="minorBidi"/>
          <w:color w:val="000000"/>
          <w:kern w:val="2"/>
          <w:sz w:val="28"/>
          <w:szCs w:val="28"/>
          <w:lang w:val="en-US" w:eastAsia="zh-CN" w:bidi="ar-SA"/>
        </w:rPr>
        <w:t>%）。二审费用（如有发生）则按一审代理费用的50%减半收取。甲方待合同签订后，并收到乙方开具的正式发票之日起15个工作日向乙方一次性支付一审代理费用全额。</w:t>
      </w:r>
    </w:p>
    <w:p w14:paraId="24D9AE3C">
      <w:pPr>
        <w:pStyle w:val="14"/>
        <w:numPr>
          <w:ilvl w:val="0"/>
          <w:numId w:val="0"/>
        </w:numPr>
        <w:spacing w:before="156" w:beforeLines="50" w:after="156" w:afterLines="50" w:line="480" w:lineRule="exact"/>
        <w:ind w:firstLine="560" w:firstLineChars="200"/>
        <w:jc w:val="left"/>
        <w:rPr>
          <w:rFonts w:hint="default" w:ascii="仿宋" w:hAnsi="仿宋" w:eastAsia="仿宋" w:cstheme="minorBidi"/>
          <w:color w:val="000000"/>
          <w:kern w:val="2"/>
          <w:sz w:val="28"/>
          <w:szCs w:val="28"/>
          <w:lang w:val="en-US" w:eastAsia="zh-CN" w:bidi="ar-SA"/>
        </w:rPr>
      </w:pPr>
      <w:r>
        <w:rPr>
          <w:rFonts w:hint="eastAsia" w:ascii="仿宋" w:hAnsi="仿宋" w:eastAsia="仿宋" w:cstheme="minorBidi"/>
          <w:color w:val="000000"/>
          <w:kern w:val="2"/>
          <w:sz w:val="28"/>
          <w:szCs w:val="28"/>
          <w:lang w:val="en-US" w:eastAsia="zh-CN" w:bidi="ar-SA"/>
        </w:rPr>
        <w:t>（2）如有二审，待二审代理合同签订后，并收到代理方开具的正式发票之日起15个工作日向中选单位一次性支付二审代理费用全额。</w:t>
      </w:r>
    </w:p>
    <w:p w14:paraId="21378339">
      <w:pPr>
        <w:pStyle w:val="14"/>
        <w:numPr>
          <w:ilvl w:val="0"/>
          <w:numId w:val="0"/>
        </w:numPr>
        <w:spacing w:before="156" w:beforeLines="50" w:after="156" w:afterLines="50" w:line="480" w:lineRule="exact"/>
        <w:ind w:firstLine="560" w:firstLineChars="200"/>
        <w:jc w:val="left"/>
        <w:rPr>
          <w:rFonts w:hint="eastAsia" w:ascii="仿宋" w:hAnsi="仿宋" w:eastAsia="仿宋" w:cs="仿宋"/>
          <w:spacing w:val="10"/>
          <w:sz w:val="28"/>
          <w:szCs w:val="28"/>
        </w:rPr>
      </w:pPr>
      <w:r>
        <w:rPr>
          <w:rFonts w:hint="eastAsia" w:ascii="仿宋" w:hAnsi="仿宋" w:eastAsia="仿宋" w:cstheme="minorBidi"/>
          <w:color w:val="000000"/>
          <w:kern w:val="2"/>
          <w:sz w:val="28"/>
          <w:szCs w:val="28"/>
          <w:lang w:val="en-US" w:eastAsia="zh-CN" w:bidi="ar-SA"/>
        </w:rPr>
        <w:t>（3）</w:t>
      </w:r>
      <w:r>
        <w:rPr>
          <w:rFonts w:hint="eastAsia" w:ascii="仿宋" w:hAnsi="仿宋" w:eastAsia="仿宋" w:cs="仿宋"/>
          <w:spacing w:val="5"/>
          <w:sz w:val="28"/>
          <w:szCs w:val="28"/>
        </w:rPr>
        <w:t>如本案在一审</w:t>
      </w:r>
      <w:r>
        <w:rPr>
          <w:rFonts w:hint="eastAsia" w:ascii="仿宋" w:hAnsi="仿宋" w:eastAsia="仿宋" w:cs="仿宋"/>
          <w:spacing w:val="5"/>
          <w:sz w:val="28"/>
          <w:szCs w:val="28"/>
          <w:lang w:eastAsia="zh-CN"/>
        </w:rPr>
        <w:t>、</w:t>
      </w:r>
      <w:r>
        <w:rPr>
          <w:rFonts w:hint="eastAsia" w:ascii="仿宋" w:hAnsi="仿宋" w:eastAsia="仿宋" w:cs="仿宋"/>
          <w:spacing w:val="5"/>
          <w:sz w:val="28"/>
          <w:szCs w:val="28"/>
          <w:lang w:val="en-US" w:eastAsia="zh-CN"/>
        </w:rPr>
        <w:t>二审</w:t>
      </w:r>
      <w:r>
        <w:rPr>
          <w:rFonts w:hint="eastAsia" w:ascii="仿宋" w:hAnsi="仿宋" w:eastAsia="仿宋" w:cs="仿宋"/>
          <w:spacing w:val="5"/>
          <w:sz w:val="28"/>
          <w:szCs w:val="28"/>
        </w:rPr>
        <w:t>开庭前，双方达成和解的，委托方按照一审</w:t>
      </w:r>
      <w:r>
        <w:rPr>
          <w:rFonts w:hint="eastAsia" w:ascii="仿宋" w:hAnsi="仿宋" w:eastAsia="仿宋" w:cs="仿宋"/>
          <w:spacing w:val="5"/>
          <w:sz w:val="28"/>
          <w:szCs w:val="28"/>
          <w:lang w:eastAsia="zh-CN"/>
        </w:rPr>
        <w:t>、</w:t>
      </w:r>
      <w:r>
        <w:rPr>
          <w:rFonts w:hint="eastAsia" w:ascii="仿宋" w:hAnsi="仿宋" w:eastAsia="仿宋" w:cs="仿宋"/>
          <w:spacing w:val="5"/>
          <w:sz w:val="28"/>
          <w:szCs w:val="28"/>
          <w:lang w:val="en-US" w:eastAsia="zh-CN"/>
        </w:rPr>
        <w:t>二审</w:t>
      </w:r>
      <w:r>
        <w:rPr>
          <w:rFonts w:hint="eastAsia" w:ascii="仿宋" w:hAnsi="仿宋" w:eastAsia="仿宋" w:cs="仿宋"/>
          <w:spacing w:val="10"/>
          <w:sz w:val="28"/>
          <w:szCs w:val="28"/>
        </w:rPr>
        <w:t>代理费用的50%支付代理费；</w:t>
      </w:r>
    </w:p>
    <w:p w14:paraId="56096E47">
      <w:pPr>
        <w:pStyle w:val="14"/>
        <w:numPr>
          <w:ilvl w:val="0"/>
          <w:numId w:val="0"/>
        </w:numPr>
        <w:spacing w:before="156" w:beforeLines="50" w:after="156" w:afterLines="50" w:line="480" w:lineRule="exact"/>
        <w:ind w:firstLine="560" w:firstLineChars="200"/>
        <w:jc w:val="left"/>
        <w:rPr>
          <w:rFonts w:hint="eastAsia"/>
        </w:rPr>
      </w:pPr>
      <w:r>
        <w:rPr>
          <w:rFonts w:hint="eastAsia" w:ascii="仿宋" w:hAnsi="仿宋" w:eastAsia="仿宋" w:cstheme="minorBidi"/>
          <w:color w:val="000000"/>
          <w:kern w:val="2"/>
          <w:sz w:val="28"/>
          <w:szCs w:val="28"/>
          <w:lang w:val="en-US" w:eastAsia="zh-CN" w:bidi="ar-SA"/>
        </w:rPr>
        <w:t>上述费用包含完成代理工作相关所需的所有费用，包括但不限于人员费用（包括但不限于人员服务费、专家费、加班费、通讯费以及差旅费、食宿费、交通费等）、办公费用（包括但不限于办公用品、消耗性物品、文档查阅费、特殊检测仪器仪表费用等）、保险费、管理费、利润及税金等与之相关的一切费用。</w:t>
      </w:r>
    </w:p>
    <w:p w14:paraId="71B24F06">
      <w:pPr>
        <w:spacing w:before="312" w:beforeLines="100" w:after="312" w:afterLines="100" w:line="360" w:lineRule="auto"/>
        <w:ind w:firstLine="560" w:firstLineChars="200"/>
        <w:rPr>
          <w:rFonts w:hint="eastAsia" w:ascii="仿宋" w:hAnsi="仿宋" w:eastAsia="仿宋"/>
          <w:color w:val="000000"/>
          <w:sz w:val="28"/>
          <w:szCs w:val="28"/>
        </w:rPr>
      </w:pPr>
      <w:r>
        <w:rPr>
          <w:rFonts w:hint="eastAsia" w:ascii="仿宋" w:hAnsi="仿宋" w:eastAsia="仿宋"/>
          <w:color w:val="000000"/>
          <w:sz w:val="28"/>
          <w:szCs w:val="28"/>
        </w:rPr>
        <w:t>（4）除上述律师费用外，办理甲方委托事项所发生的相关案件受理费、担保费、保全费、评估费、鉴定费等由司法机关或其他第三方机构收取的费用等由甲方另行承担。</w:t>
      </w:r>
    </w:p>
    <w:p w14:paraId="54E68FCE">
      <w:pPr>
        <w:spacing w:before="312" w:beforeLines="100" w:after="312" w:afterLines="100" w:line="360" w:lineRule="auto"/>
        <w:ind w:firstLine="560" w:firstLineChars="200"/>
        <w:rPr>
          <w:rFonts w:hint="eastAsia" w:ascii="仿宋" w:hAnsi="仿宋" w:eastAsia="仿宋"/>
          <w:color w:val="000000"/>
          <w:sz w:val="28"/>
          <w:szCs w:val="28"/>
        </w:rPr>
      </w:pPr>
      <w:r>
        <w:rPr>
          <w:rFonts w:hint="eastAsia" w:ascii="仿宋" w:hAnsi="仿宋" w:eastAsia="仿宋"/>
          <w:color w:val="000000"/>
          <w:sz w:val="28"/>
          <w:szCs w:val="28"/>
        </w:rPr>
        <w:t>第四条 乙方的责任</w:t>
      </w:r>
    </w:p>
    <w:p w14:paraId="5FE56E45">
      <w:pPr>
        <w:spacing w:before="312" w:beforeLines="100" w:after="312" w:afterLines="100" w:line="360" w:lineRule="auto"/>
        <w:ind w:firstLine="560" w:firstLineChars="200"/>
        <w:rPr>
          <w:rFonts w:hint="eastAsia" w:ascii="仿宋" w:hAnsi="仿宋" w:eastAsia="仿宋"/>
          <w:color w:val="000000"/>
          <w:sz w:val="28"/>
          <w:szCs w:val="28"/>
        </w:rPr>
      </w:pPr>
      <w:r>
        <w:rPr>
          <w:rFonts w:hint="eastAsia" w:ascii="仿宋" w:hAnsi="仿宋" w:eastAsia="仿宋"/>
          <w:color w:val="000000"/>
          <w:sz w:val="28"/>
          <w:szCs w:val="28"/>
        </w:rPr>
        <w:t>1、乙方项目负责人及主办律师需要全程深入参与到本合同项下法律服务中，本合同履行过程中本项目主办律师应负责全程与甲方直接进行业务层面对接。</w:t>
      </w:r>
    </w:p>
    <w:p w14:paraId="03CAEEEF">
      <w:pPr>
        <w:spacing w:before="312" w:beforeLines="100" w:after="312" w:afterLines="100" w:line="360" w:lineRule="auto"/>
        <w:ind w:firstLine="560" w:firstLineChars="200"/>
        <w:rPr>
          <w:rFonts w:hint="eastAsia" w:ascii="仿宋" w:hAnsi="仿宋" w:eastAsia="仿宋"/>
          <w:color w:val="000000"/>
          <w:sz w:val="28"/>
          <w:szCs w:val="28"/>
        </w:rPr>
      </w:pPr>
      <w:r>
        <w:rPr>
          <w:rFonts w:hint="eastAsia" w:ascii="仿宋" w:hAnsi="仿宋" w:eastAsia="仿宋"/>
          <w:color w:val="000000"/>
          <w:sz w:val="28"/>
          <w:szCs w:val="28"/>
        </w:rPr>
        <w:t>2、乙方承办律师必须严守职业道德，在代理权限内依法履行代理职责，积极维护甲方的合法权益；</w:t>
      </w:r>
    </w:p>
    <w:p w14:paraId="179A45A1">
      <w:pPr>
        <w:spacing w:before="312" w:beforeLines="100" w:after="312" w:afterLines="100" w:line="360" w:lineRule="auto"/>
        <w:ind w:firstLine="560" w:firstLineChars="200"/>
        <w:rPr>
          <w:rFonts w:hint="eastAsia" w:ascii="仿宋" w:hAnsi="仿宋" w:eastAsia="仿宋"/>
          <w:color w:val="000000"/>
          <w:sz w:val="28"/>
          <w:szCs w:val="28"/>
        </w:rPr>
      </w:pPr>
      <w:r>
        <w:rPr>
          <w:rFonts w:hint="eastAsia" w:ascii="仿宋" w:hAnsi="仿宋" w:eastAsia="仿宋"/>
          <w:color w:val="000000"/>
          <w:sz w:val="28"/>
          <w:szCs w:val="28"/>
        </w:rPr>
        <w:t>3、乙方保证所指派的律师忠诚地为甲方服务，严守在签订、履行本合同过程中所获知的甲方的商业信息。</w:t>
      </w:r>
    </w:p>
    <w:p w14:paraId="1AE5B74E">
      <w:pPr>
        <w:spacing w:before="312" w:beforeLines="100" w:after="312" w:afterLines="100" w:line="360" w:lineRule="auto"/>
        <w:ind w:firstLine="560" w:firstLineChars="200"/>
        <w:rPr>
          <w:rFonts w:hint="eastAsia" w:ascii="仿宋" w:hAnsi="仿宋" w:eastAsia="仿宋"/>
          <w:color w:val="000000"/>
          <w:sz w:val="28"/>
          <w:szCs w:val="28"/>
        </w:rPr>
      </w:pPr>
      <w:r>
        <w:rPr>
          <w:rFonts w:hint="eastAsia" w:ascii="仿宋" w:hAnsi="仿宋" w:eastAsia="仿宋"/>
          <w:color w:val="000000"/>
          <w:sz w:val="28"/>
          <w:szCs w:val="28"/>
        </w:rPr>
        <w:t>4、乙方承办律师因特殊情况无法从事上述委托活动时，应及时与甲方取得联系，经甲方同意后，乙方可另行委派其他律师承办甲方委托之事宜。</w:t>
      </w:r>
    </w:p>
    <w:p w14:paraId="1118EB8D">
      <w:pPr>
        <w:spacing w:before="312" w:beforeLines="100" w:after="312" w:afterLines="100" w:line="360" w:lineRule="auto"/>
        <w:ind w:firstLine="560" w:firstLineChars="200"/>
        <w:rPr>
          <w:rFonts w:hint="eastAsia" w:ascii="仿宋" w:hAnsi="仿宋" w:eastAsia="仿宋"/>
          <w:color w:val="000000"/>
          <w:sz w:val="28"/>
          <w:szCs w:val="28"/>
        </w:rPr>
      </w:pPr>
      <w:r>
        <w:rPr>
          <w:rFonts w:hint="eastAsia" w:ascii="仿宋" w:hAnsi="仿宋" w:eastAsia="仿宋"/>
          <w:color w:val="000000"/>
          <w:sz w:val="28"/>
          <w:szCs w:val="28"/>
        </w:rPr>
        <w:t>第五条 本合同签订之后，乙方须确保乙方、乙方关联机构与本案不存在利益冲突，如存在利益冲突的，在本合同签署之前，乙方应当事先披露。</w:t>
      </w:r>
    </w:p>
    <w:p w14:paraId="2EA7B5F7">
      <w:pPr>
        <w:spacing w:before="312" w:beforeLines="100" w:after="312" w:afterLines="100" w:line="360" w:lineRule="auto"/>
        <w:ind w:firstLine="560" w:firstLineChars="200"/>
        <w:rPr>
          <w:rFonts w:hint="eastAsia" w:ascii="仿宋" w:hAnsi="仿宋" w:eastAsia="仿宋"/>
          <w:color w:val="000000"/>
          <w:sz w:val="28"/>
          <w:szCs w:val="28"/>
        </w:rPr>
      </w:pPr>
      <w:r>
        <w:rPr>
          <w:rFonts w:hint="eastAsia" w:ascii="仿宋" w:hAnsi="仿宋" w:eastAsia="仿宋"/>
          <w:color w:val="000000"/>
          <w:sz w:val="28"/>
          <w:szCs w:val="28"/>
        </w:rPr>
        <w:t>第六条 如乙方承办律师与对方当事人或其代理人恶意串通，损害甲方权益，甲方有权单方解除委托代理合同，乙方所收律师费应如数退还。</w:t>
      </w:r>
    </w:p>
    <w:p w14:paraId="10FE8554">
      <w:pPr>
        <w:spacing w:before="312" w:beforeLines="100" w:after="312" w:afterLines="100" w:line="360" w:lineRule="auto"/>
        <w:ind w:firstLine="560" w:firstLineChars="200"/>
        <w:rPr>
          <w:rFonts w:hint="eastAsia" w:ascii="仿宋" w:hAnsi="仿宋" w:eastAsia="仿宋"/>
          <w:color w:val="000000"/>
          <w:sz w:val="28"/>
          <w:szCs w:val="28"/>
        </w:rPr>
      </w:pPr>
      <w:r>
        <w:rPr>
          <w:rFonts w:hint="eastAsia" w:ascii="仿宋" w:hAnsi="仿宋" w:eastAsia="仿宋"/>
          <w:color w:val="000000"/>
          <w:sz w:val="28"/>
          <w:szCs w:val="28"/>
        </w:rPr>
        <w:t>第七条 在乙方提供法律服务过程中，若因乙方的故意或重大过失违反本合同约定而造成甲方重大损失，甲方有权解除本合同，并立即书面通知乙方，乙方对甲方因此遭受的直接损失承担赔偿责任。</w:t>
      </w:r>
    </w:p>
    <w:p w14:paraId="110B1653">
      <w:pPr>
        <w:spacing w:before="312" w:beforeLines="100" w:after="312" w:afterLines="100" w:line="360" w:lineRule="auto"/>
        <w:ind w:firstLine="560" w:firstLineChars="200"/>
        <w:rPr>
          <w:rFonts w:hint="eastAsia" w:ascii="仿宋" w:hAnsi="仿宋" w:eastAsia="仿宋"/>
          <w:color w:val="000000"/>
          <w:sz w:val="28"/>
          <w:szCs w:val="28"/>
        </w:rPr>
      </w:pPr>
      <w:r>
        <w:rPr>
          <w:rFonts w:hint="eastAsia" w:ascii="仿宋" w:hAnsi="仿宋" w:eastAsia="仿宋"/>
          <w:color w:val="000000"/>
          <w:sz w:val="28"/>
          <w:szCs w:val="28"/>
        </w:rPr>
        <w:t>第八条 甲方责任</w:t>
      </w:r>
    </w:p>
    <w:p w14:paraId="6C994266">
      <w:pPr>
        <w:spacing w:before="312" w:beforeLines="100" w:after="312" w:afterLines="100" w:line="360" w:lineRule="auto"/>
        <w:ind w:firstLine="560" w:firstLineChars="200"/>
        <w:rPr>
          <w:rFonts w:hint="eastAsia" w:ascii="仿宋" w:hAnsi="仿宋" w:eastAsia="仿宋"/>
          <w:color w:val="000000"/>
          <w:sz w:val="28"/>
          <w:szCs w:val="28"/>
        </w:rPr>
      </w:pPr>
      <w:r>
        <w:rPr>
          <w:rFonts w:hint="eastAsia" w:ascii="仿宋" w:hAnsi="仿宋" w:eastAsia="仿宋"/>
          <w:color w:val="000000"/>
          <w:sz w:val="28"/>
          <w:szCs w:val="28"/>
        </w:rPr>
        <w:t>1、为乙方完成本合同项下法律服务提供便利，配合乙方完成其工作；</w:t>
      </w:r>
    </w:p>
    <w:p w14:paraId="4703B8C2">
      <w:pPr>
        <w:spacing w:before="312" w:beforeLines="100" w:after="312" w:afterLines="100" w:line="360" w:lineRule="auto"/>
        <w:ind w:firstLine="560" w:firstLineChars="200"/>
        <w:rPr>
          <w:rFonts w:hint="eastAsia" w:ascii="仿宋" w:hAnsi="仿宋" w:eastAsia="仿宋"/>
          <w:color w:val="000000"/>
          <w:sz w:val="28"/>
          <w:szCs w:val="28"/>
        </w:rPr>
      </w:pPr>
      <w:r>
        <w:rPr>
          <w:rFonts w:hint="eastAsia" w:ascii="仿宋" w:hAnsi="仿宋" w:eastAsia="仿宋"/>
          <w:color w:val="000000"/>
          <w:sz w:val="28"/>
          <w:szCs w:val="28"/>
        </w:rPr>
        <w:t>2、及时、全面地向乙方提供完成本合同项下法律服务所需的文件、资料与信息，并保证该等文件、资料与信息真实、准确、完整与充分；</w:t>
      </w:r>
    </w:p>
    <w:p w14:paraId="1CC7AEAD">
      <w:pPr>
        <w:spacing w:before="312" w:beforeLines="100" w:after="312" w:afterLines="100" w:line="360" w:lineRule="auto"/>
        <w:ind w:firstLine="560" w:firstLineChars="200"/>
        <w:rPr>
          <w:rFonts w:hint="eastAsia" w:ascii="仿宋" w:hAnsi="仿宋" w:eastAsia="仿宋"/>
          <w:color w:val="000000"/>
          <w:sz w:val="28"/>
          <w:szCs w:val="28"/>
        </w:rPr>
      </w:pPr>
      <w:r>
        <w:rPr>
          <w:rFonts w:hint="eastAsia" w:ascii="仿宋" w:hAnsi="仿宋" w:eastAsia="仿宋"/>
          <w:color w:val="000000"/>
          <w:sz w:val="28"/>
          <w:szCs w:val="28"/>
        </w:rPr>
        <w:t>3、按时支付本合同相关费用。</w:t>
      </w:r>
    </w:p>
    <w:p w14:paraId="48E9A6FE">
      <w:pPr>
        <w:spacing w:before="312" w:beforeLines="100" w:after="312" w:afterLines="100" w:line="360" w:lineRule="auto"/>
        <w:ind w:firstLine="560" w:firstLineChars="200"/>
        <w:rPr>
          <w:rFonts w:hint="eastAsia" w:ascii="仿宋" w:hAnsi="仿宋" w:eastAsia="仿宋"/>
          <w:color w:val="000000"/>
          <w:sz w:val="28"/>
          <w:szCs w:val="28"/>
        </w:rPr>
      </w:pPr>
      <w:r>
        <w:rPr>
          <w:rFonts w:hint="eastAsia" w:ascii="仿宋" w:hAnsi="仿宋" w:eastAsia="仿宋"/>
          <w:color w:val="000000"/>
          <w:sz w:val="28"/>
          <w:szCs w:val="28"/>
        </w:rPr>
        <w:t>第九条 由于本合同履行过程中，乙方将获悉有关本案的相关保密信息，乙方承诺严格履行保密义务，因为乙方原因导致与本案相关的信息对外泄露，一经发现无论是否造成甲方损失，乙方应立即向甲方支付相当于</w:t>
      </w:r>
      <w:r>
        <w:rPr>
          <w:rFonts w:hint="eastAsia" w:ascii="仿宋" w:hAnsi="仿宋" w:eastAsia="仿宋"/>
          <w:color w:val="000000"/>
          <w:sz w:val="28"/>
          <w:szCs w:val="28"/>
          <w:lang w:val="en-US" w:eastAsia="zh-CN"/>
        </w:rPr>
        <w:t>合同总价10%的违约金</w:t>
      </w:r>
      <w:r>
        <w:rPr>
          <w:rFonts w:hint="eastAsia" w:ascii="仿宋" w:hAnsi="仿宋" w:eastAsia="仿宋"/>
          <w:color w:val="000000"/>
          <w:sz w:val="28"/>
          <w:szCs w:val="28"/>
        </w:rPr>
        <w:t>，上述违约金不足以弥补造成的甲方损失的，乙方还应额外赔偿。乙方应当履行的保密义务自获悉保密信息时始自相关保密信息对外披露时止。</w:t>
      </w:r>
    </w:p>
    <w:p w14:paraId="612E095B">
      <w:pPr>
        <w:spacing w:before="312" w:beforeLines="100" w:after="312" w:afterLines="100" w:line="360" w:lineRule="auto"/>
        <w:ind w:firstLine="560" w:firstLineChars="200"/>
        <w:rPr>
          <w:rFonts w:hint="eastAsia" w:ascii="仿宋" w:hAnsi="仿宋" w:eastAsia="仿宋"/>
          <w:color w:val="000000"/>
          <w:sz w:val="28"/>
          <w:szCs w:val="28"/>
        </w:rPr>
      </w:pPr>
      <w:r>
        <w:rPr>
          <w:rFonts w:hint="eastAsia" w:ascii="仿宋" w:hAnsi="仿宋" w:eastAsia="仿宋"/>
          <w:color w:val="000000"/>
          <w:sz w:val="28"/>
          <w:szCs w:val="28"/>
        </w:rPr>
        <w:t>第十一条 本合同自各方签字盖章之日起生效，非依法定或协商一致，任何一方不得擅自变更或解除。本合同的有效期限为：除保密义务外，自合同签订之日起至本合同委托事项办理完毕、相关费用结清之日止。</w:t>
      </w:r>
    </w:p>
    <w:p w14:paraId="5E0645AF">
      <w:pPr>
        <w:spacing w:before="312" w:beforeLines="100" w:after="312" w:afterLines="100" w:line="360" w:lineRule="auto"/>
        <w:ind w:firstLine="560" w:firstLineChars="200"/>
        <w:rPr>
          <w:rFonts w:hint="eastAsia" w:ascii="仿宋" w:hAnsi="仿宋" w:eastAsia="仿宋"/>
          <w:color w:val="000000"/>
          <w:sz w:val="28"/>
          <w:szCs w:val="28"/>
        </w:rPr>
      </w:pPr>
      <w:r>
        <w:rPr>
          <w:rFonts w:hint="eastAsia" w:ascii="仿宋" w:hAnsi="仿宋" w:eastAsia="仿宋"/>
          <w:color w:val="000000"/>
          <w:sz w:val="28"/>
          <w:szCs w:val="28"/>
        </w:rPr>
        <w:t>第十二条 凡因本合同引起的或与本合同有关的任何争议，甲、乙双方应尽量协商解决，不能达到一致意见的,任何一方均可直接向甲方所在地人民法院提起诉讼。</w:t>
      </w:r>
    </w:p>
    <w:p w14:paraId="6A9649FC">
      <w:pPr>
        <w:spacing w:before="312" w:beforeLines="100" w:after="312" w:afterLines="100" w:line="360" w:lineRule="auto"/>
        <w:ind w:firstLine="560" w:firstLineChars="200"/>
        <w:rPr>
          <w:rFonts w:hint="eastAsia" w:ascii="仿宋" w:hAnsi="仿宋" w:eastAsia="仿宋"/>
          <w:color w:val="000000"/>
          <w:sz w:val="28"/>
          <w:szCs w:val="28"/>
        </w:rPr>
      </w:pPr>
      <w:r>
        <w:rPr>
          <w:rFonts w:hint="eastAsia" w:ascii="仿宋" w:hAnsi="仿宋" w:eastAsia="仿宋"/>
          <w:color w:val="000000"/>
          <w:sz w:val="28"/>
          <w:szCs w:val="28"/>
        </w:rPr>
        <w:t>第十三条 本合同正本一式</w:t>
      </w:r>
      <w:r>
        <w:rPr>
          <w:rFonts w:hint="eastAsia" w:ascii="仿宋" w:hAnsi="仿宋" w:eastAsia="仿宋"/>
          <w:color w:val="000000"/>
          <w:sz w:val="28"/>
          <w:szCs w:val="28"/>
          <w:lang w:val="en-US" w:eastAsia="zh-CN"/>
        </w:rPr>
        <w:t>伍</w:t>
      </w:r>
      <w:r>
        <w:rPr>
          <w:rFonts w:hint="eastAsia" w:ascii="仿宋" w:hAnsi="仿宋" w:eastAsia="仿宋"/>
          <w:color w:val="000000"/>
          <w:sz w:val="28"/>
          <w:szCs w:val="28"/>
        </w:rPr>
        <w:t>份，甲</w:t>
      </w:r>
      <w:r>
        <w:rPr>
          <w:rFonts w:hint="eastAsia" w:ascii="仿宋" w:hAnsi="仿宋" w:eastAsia="仿宋"/>
          <w:color w:val="000000"/>
          <w:sz w:val="28"/>
          <w:szCs w:val="28"/>
          <w:lang w:val="en-US" w:eastAsia="zh-CN"/>
        </w:rPr>
        <w:t>方执叁份，</w:t>
      </w:r>
      <w:r>
        <w:rPr>
          <w:rFonts w:hint="eastAsia" w:ascii="仿宋" w:hAnsi="仿宋" w:eastAsia="仿宋"/>
          <w:color w:val="000000"/>
          <w:sz w:val="28"/>
          <w:szCs w:val="28"/>
        </w:rPr>
        <w:t>乙方执贰份，具有同等法律效力。</w:t>
      </w:r>
    </w:p>
    <w:p w14:paraId="62CB2C72">
      <w:pPr>
        <w:spacing w:before="312" w:beforeLines="100" w:after="312" w:afterLines="100" w:line="360" w:lineRule="auto"/>
        <w:ind w:firstLine="560" w:firstLineChars="200"/>
        <w:rPr>
          <w:rFonts w:hint="eastAsia" w:ascii="仿宋" w:hAnsi="仿宋" w:eastAsia="仿宋"/>
          <w:color w:val="000000"/>
          <w:sz w:val="28"/>
          <w:szCs w:val="28"/>
        </w:rPr>
      </w:pPr>
      <w:r>
        <w:rPr>
          <w:rFonts w:hint="eastAsia" w:ascii="仿宋" w:hAnsi="仿宋" w:eastAsia="仿宋"/>
          <w:color w:val="000000"/>
          <w:sz w:val="28"/>
          <w:szCs w:val="28"/>
        </w:rPr>
        <w:t>（以下无正文）</w:t>
      </w:r>
    </w:p>
    <w:p w14:paraId="4C75024C">
      <w:pPr>
        <w:spacing w:before="312" w:beforeLines="100" w:after="312" w:afterLines="100" w:line="360" w:lineRule="auto"/>
        <w:ind w:firstLine="560" w:firstLineChars="200"/>
        <w:rPr>
          <w:rFonts w:hint="default" w:ascii="仿宋" w:hAnsi="仿宋" w:eastAsia="仿宋"/>
          <w:color w:val="000000"/>
          <w:sz w:val="28"/>
          <w:szCs w:val="28"/>
          <w:lang w:val="en-US" w:eastAsia="zh-CN"/>
        </w:rPr>
      </w:pPr>
      <w:r>
        <w:rPr>
          <w:rFonts w:hint="eastAsia" w:ascii="仿宋" w:hAnsi="仿宋" w:eastAsia="仿宋"/>
          <w:color w:val="000000"/>
          <w:sz w:val="28"/>
          <w:szCs w:val="28"/>
          <w:lang w:val="en-US" w:eastAsia="zh-CN"/>
        </w:rPr>
        <w:t>附件：乙方代理团队信息</w:t>
      </w:r>
    </w:p>
    <w:p w14:paraId="3BD0C471">
      <w:pPr>
        <w:spacing w:before="312" w:beforeLines="100" w:after="312" w:afterLines="100" w:line="360" w:lineRule="auto"/>
        <w:rPr>
          <w:rFonts w:hint="eastAsia" w:ascii="仿宋" w:hAnsi="仿宋" w:eastAsia="仿宋"/>
          <w:color w:val="000000"/>
          <w:sz w:val="28"/>
          <w:szCs w:val="28"/>
        </w:rPr>
      </w:pPr>
    </w:p>
    <w:p w14:paraId="580BF833">
      <w:pPr>
        <w:spacing w:before="312" w:beforeLines="100" w:after="312" w:afterLines="100" w:line="360" w:lineRule="auto"/>
        <w:ind w:firstLine="560" w:firstLineChars="200"/>
        <w:rPr>
          <w:rFonts w:hint="eastAsia" w:ascii="仿宋" w:hAnsi="仿宋" w:eastAsia="仿宋"/>
          <w:color w:val="000000"/>
          <w:sz w:val="28"/>
          <w:szCs w:val="28"/>
        </w:rPr>
      </w:pPr>
    </w:p>
    <w:p w14:paraId="3C6E3A60">
      <w:pPr>
        <w:spacing w:before="0" w:beforeLines="-2147483648" w:after="0" w:afterLines="-2147483648" w:line="240" w:lineRule="auto"/>
        <w:ind w:firstLine="0" w:firstLineChars="0"/>
        <w:rPr>
          <w:rFonts w:hint="eastAsia" w:ascii="仿宋" w:hAnsi="仿宋" w:eastAsia="仿宋"/>
          <w:color w:val="000000"/>
          <w:sz w:val="28"/>
          <w:szCs w:val="28"/>
        </w:rPr>
      </w:pPr>
      <w:r>
        <w:rPr>
          <w:rFonts w:hint="eastAsia" w:ascii="仿宋" w:hAnsi="仿宋" w:eastAsia="仿宋"/>
          <w:color w:val="000000"/>
          <w:sz w:val="28"/>
          <w:szCs w:val="28"/>
        </w:rPr>
        <w:br w:type="page"/>
      </w:r>
    </w:p>
    <w:p w14:paraId="00E32543">
      <w:pPr>
        <w:spacing w:before="312" w:beforeLines="100" w:after="312" w:afterLines="100" w:line="360" w:lineRule="auto"/>
        <w:ind w:firstLine="0" w:firstLineChars="0"/>
        <w:rPr>
          <w:rFonts w:hint="eastAsia" w:ascii="仿宋" w:hAnsi="仿宋" w:eastAsia="仿宋"/>
          <w:color w:val="000000"/>
          <w:sz w:val="28"/>
          <w:szCs w:val="28"/>
        </w:rPr>
      </w:pPr>
      <w:r>
        <w:rPr>
          <w:rFonts w:hint="eastAsia" w:ascii="仿宋" w:hAnsi="仿宋" w:eastAsia="仿宋"/>
          <w:color w:val="000000"/>
          <w:sz w:val="28"/>
          <w:szCs w:val="28"/>
        </w:rPr>
        <w:t>签署处：</w:t>
      </w:r>
    </w:p>
    <w:tbl>
      <w:tblPr>
        <w:tblStyle w:val="10"/>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1586"/>
        <w:gridCol w:w="1701"/>
        <w:gridCol w:w="747"/>
        <w:gridCol w:w="104"/>
        <w:gridCol w:w="676"/>
        <w:gridCol w:w="106"/>
        <w:gridCol w:w="1084"/>
        <w:gridCol w:w="2386"/>
      </w:tblGrid>
      <w:tr w14:paraId="5C260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9" w:hRule="exact"/>
        </w:trPr>
        <w:tc>
          <w:tcPr>
            <w:tcW w:w="932" w:type="dxa"/>
            <w:vMerge w:val="restart"/>
            <w:noWrap w:val="0"/>
            <w:textDirection w:val="tbRlV"/>
            <w:vAlign w:val="center"/>
          </w:tcPr>
          <w:p w14:paraId="71D0E912">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center"/>
              <w:textAlignment w:val="auto"/>
              <w:rPr>
                <w:rFonts w:hint="eastAsia" w:ascii="仿宋" w:hAnsi="仿宋" w:eastAsia="仿宋" w:cs="仿宋"/>
                <w:spacing w:val="20"/>
                <w:sz w:val="24"/>
                <w:szCs w:val="24"/>
              </w:rPr>
            </w:pPr>
            <w:r>
              <w:rPr>
                <w:rFonts w:hint="eastAsia" w:ascii="仿宋" w:hAnsi="仿宋" w:eastAsia="仿宋" w:cs="仿宋"/>
                <w:spacing w:val="20"/>
                <w:sz w:val="24"/>
                <w:szCs w:val="24"/>
              </w:rPr>
              <w:t>委托</w:t>
            </w:r>
            <w:r>
              <w:rPr>
                <w:rFonts w:hint="eastAsia" w:ascii="仿宋" w:hAnsi="仿宋" w:eastAsia="仿宋" w:cs="仿宋"/>
                <w:spacing w:val="20"/>
                <w:sz w:val="24"/>
                <w:szCs w:val="24"/>
                <w:lang w:val="en-US" w:eastAsia="zh-CN"/>
              </w:rPr>
              <w:t>方</w:t>
            </w:r>
            <w:r>
              <w:rPr>
                <w:rFonts w:hint="eastAsia" w:ascii="仿宋" w:hAnsi="仿宋" w:eastAsia="仿宋" w:cs="仿宋"/>
                <w:spacing w:val="20"/>
                <w:sz w:val="24"/>
                <w:szCs w:val="24"/>
              </w:rPr>
              <w:t>（甲方）</w:t>
            </w:r>
          </w:p>
        </w:tc>
        <w:tc>
          <w:tcPr>
            <w:tcW w:w="1586" w:type="dxa"/>
            <w:noWrap w:val="0"/>
            <w:vAlign w:val="center"/>
          </w:tcPr>
          <w:p w14:paraId="1AC71A8E">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名称</w:t>
            </w:r>
          </w:p>
        </w:tc>
        <w:tc>
          <w:tcPr>
            <w:tcW w:w="4418" w:type="dxa"/>
            <w:gridSpan w:val="6"/>
            <w:noWrap w:val="0"/>
            <w:vAlign w:val="center"/>
          </w:tcPr>
          <w:p w14:paraId="4B81CE8C">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宁城深能环保有限公司</w:t>
            </w:r>
          </w:p>
        </w:tc>
        <w:tc>
          <w:tcPr>
            <w:tcW w:w="2386" w:type="dxa"/>
            <w:vMerge w:val="restart"/>
            <w:noWrap w:val="0"/>
            <w:vAlign w:val="top"/>
          </w:tcPr>
          <w:p w14:paraId="22FDADEE">
            <w:pPr>
              <w:keepNext w:val="0"/>
              <w:keepLines w:val="0"/>
              <w:pageBreakBefore w:val="0"/>
              <w:widowControl w:val="0"/>
              <w:kinsoku/>
              <w:wordWrap/>
              <w:overflowPunct/>
              <w:topLinePunct w:val="0"/>
              <w:autoSpaceDE/>
              <w:autoSpaceDN/>
              <w:bidi w:val="0"/>
              <w:adjustRightInd/>
              <w:snapToGrid/>
              <w:spacing w:line="360" w:lineRule="auto"/>
              <w:ind w:left="0" w:right="0" w:rightChars="0"/>
              <w:jc w:val="center"/>
              <w:textAlignment w:val="baseline"/>
              <w:rPr>
                <w:rFonts w:hint="eastAsia" w:ascii="仿宋" w:hAnsi="仿宋" w:eastAsia="仿宋" w:cs="仿宋"/>
                <w:kern w:val="0"/>
                <w:sz w:val="24"/>
                <w:szCs w:val="24"/>
              </w:rPr>
            </w:pPr>
            <w:r>
              <w:rPr>
                <w:rFonts w:hint="eastAsia" w:ascii="仿宋" w:hAnsi="仿宋" w:eastAsia="仿宋" w:cs="仿宋"/>
                <w:kern w:val="0"/>
                <w:sz w:val="24"/>
                <w:szCs w:val="24"/>
              </w:rPr>
              <w:t>合同专用章</w:t>
            </w:r>
          </w:p>
          <w:p w14:paraId="0C6233C0">
            <w:pPr>
              <w:keepNext w:val="0"/>
              <w:keepLines w:val="0"/>
              <w:pageBreakBefore w:val="0"/>
              <w:widowControl w:val="0"/>
              <w:kinsoku/>
              <w:wordWrap/>
              <w:overflowPunct/>
              <w:topLinePunct w:val="0"/>
              <w:autoSpaceDE/>
              <w:autoSpaceDN/>
              <w:bidi w:val="0"/>
              <w:adjustRightInd/>
              <w:snapToGrid/>
              <w:spacing w:line="360" w:lineRule="auto"/>
              <w:ind w:left="0" w:right="0" w:rightChars="0"/>
              <w:jc w:val="center"/>
              <w:textAlignment w:val="baseline"/>
              <w:rPr>
                <w:rFonts w:hint="eastAsia" w:ascii="仿宋" w:hAnsi="仿宋" w:eastAsia="仿宋" w:cs="仿宋"/>
                <w:kern w:val="0"/>
                <w:sz w:val="24"/>
                <w:szCs w:val="24"/>
              </w:rPr>
            </w:pPr>
            <w:r>
              <w:rPr>
                <w:rFonts w:hint="eastAsia" w:ascii="仿宋" w:hAnsi="仿宋" w:eastAsia="仿宋" w:cs="仿宋"/>
                <w:kern w:val="0"/>
                <w:sz w:val="24"/>
                <w:szCs w:val="24"/>
              </w:rPr>
              <w:t>或</w:t>
            </w:r>
          </w:p>
          <w:p w14:paraId="570A2E1C">
            <w:pPr>
              <w:keepNext w:val="0"/>
              <w:keepLines w:val="0"/>
              <w:pageBreakBefore w:val="0"/>
              <w:widowControl w:val="0"/>
              <w:kinsoku/>
              <w:wordWrap/>
              <w:overflowPunct/>
              <w:topLinePunct w:val="0"/>
              <w:autoSpaceDE/>
              <w:autoSpaceDN/>
              <w:bidi w:val="0"/>
              <w:adjustRightInd/>
              <w:snapToGrid/>
              <w:spacing w:line="360" w:lineRule="auto"/>
              <w:ind w:left="0" w:right="0" w:rightChars="0"/>
              <w:jc w:val="center"/>
              <w:textAlignment w:val="baseline"/>
              <w:rPr>
                <w:rFonts w:hint="eastAsia" w:ascii="仿宋" w:hAnsi="仿宋" w:eastAsia="仿宋" w:cs="仿宋"/>
                <w:kern w:val="0"/>
                <w:sz w:val="24"/>
                <w:szCs w:val="24"/>
              </w:rPr>
            </w:pPr>
            <w:r>
              <w:rPr>
                <w:rFonts w:hint="eastAsia" w:ascii="仿宋" w:hAnsi="仿宋" w:eastAsia="仿宋" w:cs="仿宋"/>
                <w:kern w:val="0"/>
                <w:sz w:val="24"/>
                <w:szCs w:val="24"/>
              </w:rPr>
              <w:t>单位公章</w:t>
            </w:r>
          </w:p>
          <w:p w14:paraId="041D3A03">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left"/>
              <w:textAlignment w:val="auto"/>
              <w:rPr>
                <w:rFonts w:hint="eastAsia" w:ascii="仿宋" w:hAnsi="仿宋" w:eastAsia="仿宋" w:cs="仿宋"/>
                <w:sz w:val="24"/>
                <w:szCs w:val="24"/>
              </w:rPr>
            </w:pPr>
          </w:p>
          <w:p w14:paraId="63E9B149">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left"/>
              <w:textAlignment w:val="auto"/>
              <w:rPr>
                <w:rFonts w:hint="eastAsia" w:ascii="仿宋" w:hAnsi="仿宋" w:eastAsia="仿宋" w:cs="仿宋"/>
                <w:sz w:val="24"/>
                <w:szCs w:val="24"/>
              </w:rPr>
            </w:pPr>
          </w:p>
          <w:p w14:paraId="4D4DCD2F">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left"/>
              <w:textAlignment w:val="auto"/>
              <w:rPr>
                <w:rFonts w:hint="eastAsia" w:ascii="仿宋" w:hAnsi="仿宋" w:eastAsia="仿宋" w:cs="仿宋"/>
                <w:sz w:val="24"/>
                <w:szCs w:val="24"/>
              </w:rPr>
            </w:pPr>
          </w:p>
          <w:p w14:paraId="339AC6FD">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left"/>
              <w:textAlignment w:val="auto"/>
              <w:rPr>
                <w:rFonts w:hint="eastAsia" w:ascii="仿宋" w:hAnsi="仿宋" w:eastAsia="仿宋" w:cs="仿宋"/>
                <w:sz w:val="24"/>
                <w:szCs w:val="24"/>
              </w:rPr>
            </w:pPr>
          </w:p>
          <w:p w14:paraId="4362032B">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left"/>
              <w:textAlignment w:val="auto"/>
              <w:rPr>
                <w:rFonts w:hint="eastAsia" w:ascii="仿宋" w:hAnsi="仿宋" w:eastAsia="仿宋" w:cs="仿宋"/>
                <w:sz w:val="24"/>
                <w:szCs w:val="24"/>
              </w:rPr>
            </w:pPr>
          </w:p>
          <w:p w14:paraId="5A5C3852">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left"/>
              <w:textAlignment w:val="auto"/>
              <w:rPr>
                <w:rFonts w:hint="eastAsia" w:ascii="仿宋" w:hAnsi="仿宋" w:eastAsia="仿宋" w:cs="仿宋"/>
                <w:sz w:val="24"/>
                <w:szCs w:val="24"/>
              </w:rPr>
            </w:pPr>
          </w:p>
          <w:p w14:paraId="6B8121B5">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left"/>
              <w:textAlignment w:val="auto"/>
              <w:rPr>
                <w:rFonts w:hint="eastAsia" w:ascii="仿宋" w:hAnsi="仿宋" w:eastAsia="仿宋" w:cs="仿宋"/>
                <w:sz w:val="24"/>
                <w:szCs w:val="24"/>
              </w:rPr>
            </w:pPr>
          </w:p>
          <w:p w14:paraId="0E3CE934">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left"/>
              <w:textAlignment w:val="auto"/>
              <w:rPr>
                <w:rFonts w:hint="eastAsia" w:ascii="仿宋" w:hAnsi="仿宋" w:eastAsia="仿宋" w:cs="仿宋"/>
                <w:sz w:val="24"/>
                <w:szCs w:val="24"/>
              </w:rPr>
            </w:pPr>
          </w:p>
          <w:p w14:paraId="12A80DC5">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left"/>
              <w:textAlignment w:val="auto"/>
              <w:rPr>
                <w:rFonts w:hint="eastAsia" w:ascii="仿宋" w:hAnsi="仿宋" w:eastAsia="仿宋" w:cs="仿宋"/>
                <w:sz w:val="24"/>
                <w:szCs w:val="24"/>
              </w:rPr>
            </w:pPr>
          </w:p>
          <w:p w14:paraId="7E44B629">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left"/>
              <w:textAlignment w:val="auto"/>
              <w:rPr>
                <w:rFonts w:hint="eastAsia" w:ascii="仿宋" w:hAnsi="仿宋" w:eastAsia="仿宋" w:cs="仿宋"/>
                <w:sz w:val="24"/>
                <w:szCs w:val="24"/>
              </w:rPr>
            </w:pPr>
          </w:p>
          <w:p w14:paraId="153422BB">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left"/>
              <w:textAlignment w:val="auto"/>
              <w:rPr>
                <w:rFonts w:hint="eastAsia" w:ascii="仿宋" w:hAnsi="仿宋" w:eastAsia="仿宋" w:cs="仿宋"/>
                <w:sz w:val="24"/>
                <w:szCs w:val="24"/>
              </w:rPr>
            </w:pPr>
          </w:p>
          <w:p w14:paraId="5CBB4411">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left"/>
              <w:textAlignment w:val="auto"/>
              <w:rPr>
                <w:rFonts w:hint="eastAsia" w:ascii="仿宋" w:hAnsi="仿宋" w:eastAsia="仿宋" w:cs="仿宋"/>
                <w:sz w:val="24"/>
                <w:szCs w:val="24"/>
              </w:rPr>
            </w:pPr>
          </w:p>
          <w:p w14:paraId="6294A4BC">
            <w:pPr>
              <w:pStyle w:val="2"/>
              <w:rPr>
                <w:rFonts w:hint="eastAsia"/>
              </w:rPr>
            </w:pPr>
          </w:p>
          <w:p w14:paraId="0397558A">
            <w:pPr>
              <w:keepNext w:val="0"/>
              <w:keepLines w:val="0"/>
              <w:pageBreakBefore w:val="0"/>
              <w:widowControl w:val="0"/>
              <w:kinsoku/>
              <w:wordWrap w:val="0"/>
              <w:overflowPunct/>
              <w:topLinePunct w:val="0"/>
              <w:autoSpaceDE/>
              <w:autoSpaceDN/>
              <w:bidi w:val="0"/>
              <w:adjustRightInd/>
              <w:snapToGrid/>
              <w:spacing w:line="240" w:lineRule="auto"/>
              <w:ind w:left="0" w:right="0" w:righ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2026</w:t>
            </w:r>
            <w:r>
              <w:rPr>
                <w:rFonts w:hint="eastAsia" w:ascii="仿宋" w:hAnsi="仿宋" w:eastAsia="仿宋" w:cs="仿宋"/>
                <w:sz w:val="24"/>
                <w:szCs w:val="24"/>
              </w:rPr>
              <w:t>年</w:t>
            </w:r>
            <w:r>
              <w:rPr>
                <w:rFonts w:hint="eastAsia" w:ascii="仿宋" w:hAnsi="仿宋" w:eastAsia="仿宋" w:cs="仿宋"/>
                <w:sz w:val="24"/>
                <w:szCs w:val="24"/>
                <w:lang w:val="en-US" w:eastAsia="zh-CN"/>
              </w:rPr>
              <w:t xml:space="preserve">4 </w:t>
            </w:r>
            <w:r>
              <w:rPr>
                <w:rFonts w:hint="eastAsia" w:ascii="仿宋" w:hAnsi="仿宋" w:eastAsia="仿宋" w:cs="仿宋"/>
                <w:sz w:val="24"/>
                <w:szCs w:val="24"/>
              </w:rPr>
              <w:t>月 日</w:t>
            </w:r>
          </w:p>
        </w:tc>
      </w:tr>
      <w:tr w14:paraId="56E67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9" w:hRule="exact"/>
        </w:trPr>
        <w:tc>
          <w:tcPr>
            <w:tcW w:w="932" w:type="dxa"/>
            <w:vMerge w:val="continue"/>
            <w:noWrap w:val="0"/>
            <w:vAlign w:val="top"/>
          </w:tcPr>
          <w:p w14:paraId="1E048FEB">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left"/>
              <w:textAlignment w:val="auto"/>
              <w:rPr>
                <w:rFonts w:hint="eastAsia" w:ascii="仿宋" w:hAnsi="仿宋" w:eastAsia="仿宋" w:cs="仿宋"/>
                <w:sz w:val="24"/>
                <w:szCs w:val="24"/>
              </w:rPr>
            </w:pPr>
          </w:p>
        </w:tc>
        <w:tc>
          <w:tcPr>
            <w:tcW w:w="1586" w:type="dxa"/>
            <w:noWrap w:val="0"/>
            <w:vAlign w:val="center"/>
          </w:tcPr>
          <w:p w14:paraId="16CFD079">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法定代表人</w:t>
            </w:r>
          </w:p>
        </w:tc>
        <w:tc>
          <w:tcPr>
            <w:tcW w:w="4418" w:type="dxa"/>
            <w:gridSpan w:val="6"/>
            <w:noWrap w:val="0"/>
            <w:vAlign w:val="center"/>
          </w:tcPr>
          <w:p w14:paraId="48923D44">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right"/>
              <w:textAlignment w:val="auto"/>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签字或</w:t>
            </w:r>
            <w:r>
              <w:rPr>
                <w:rFonts w:hint="eastAsia" w:ascii="仿宋" w:hAnsi="仿宋" w:eastAsia="仿宋" w:cs="仿宋"/>
                <w:sz w:val="24"/>
                <w:szCs w:val="24"/>
              </w:rPr>
              <w:t>签章)</w:t>
            </w:r>
          </w:p>
        </w:tc>
        <w:tc>
          <w:tcPr>
            <w:tcW w:w="2386" w:type="dxa"/>
            <w:vMerge w:val="continue"/>
            <w:noWrap w:val="0"/>
            <w:vAlign w:val="top"/>
          </w:tcPr>
          <w:p w14:paraId="7F5AC573">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center"/>
              <w:textAlignment w:val="auto"/>
              <w:rPr>
                <w:rFonts w:hint="eastAsia" w:ascii="仿宋" w:hAnsi="仿宋" w:eastAsia="仿宋" w:cs="仿宋"/>
                <w:sz w:val="24"/>
                <w:szCs w:val="24"/>
              </w:rPr>
            </w:pPr>
          </w:p>
        </w:tc>
      </w:tr>
      <w:tr w14:paraId="6CE3A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9" w:hRule="exact"/>
        </w:trPr>
        <w:tc>
          <w:tcPr>
            <w:tcW w:w="932" w:type="dxa"/>
            <w:vMerge w:val="continue"/>
            <w:noWrap w:val="0"/>
            <w:vAlign w:val="top"/>
          </w:tcPr>
          <w:p w14:paraId="48EEC271">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left"/>
              <w:textAlignment w:val="auto"/>
              <w:rPr>
                <w:rFonts w:hint="eastAsia" w:ascii="仿宋" w:hAnsi="仿宋" w:eastAsia="仿宋" w:cs="仿宋"/>
                <w:sz w:val="24"/>
                <w:szCs w:val="24"/>
              </w:rPr>
            </w:pPr>
          </w:p>
        </w:tc>
        <w:tc>
          <w:tcPr>
            <w:tcW w:w="1586" w:type="dxa"/>
            <w:noWrap w:val="0"/>
            <w:vAlign w:val="center"/>
          </w:tcPr>
          <w:p w14:paraId="7DB53FFA">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委托代理人</w:t>
            </w:r>
          </w:p>
        </w:tc>
        <w:tc>
          <w:tcPr>
            <w:tcW w:w="4418" w:type="dxa"/>
            <w:gridSpan w:val="6"/>
            <w:noWrap w:val="0"/>
            <w:vAlign w:val="center"/>
          </w:tcPr>
          <w:p w14:paraId="095F7D32">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right"/>
              <w:textAlignment w:val="auto"/>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签字或</w:t>
            </w:r>
            <w:r>
              <w:rPr>
                <w:rFonts w:hint="eastAsia" w:ascii="仿宋" w:hAnsi="仿宋" w:eastAsia="仿宋" w:cs="仿宋"/>
                <w:sz w:val="24"/>
                <w:szCs w:val="24"/>
              </w:rPr>
              <w:t>签章)</w:t>
            </w:r>
          </w:p>
        </w:tc>
        <w:tc>
          <w:tcPr>
            <w:tcW w:w="2386" w:type="dxa"/>
            <w:vMerge w:val="continue"/>
            <w:noWrap w:val="0"/>
            <w:vAlign w:val="top"/>
          </w:tcPr>
          <w:p w14:paraId="1A15B4F4">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center"/>
              <w:textAlignment w:val="auto"/>
              <w:rPr>
                <w:rFonts w:hint="eastAsia" w:ascii="仿宋" w:hAnsi="仿宋" w:eastAsia="仿宋" w:cs="仿宋"/>
                <w:sz w:val="24"/>
                <w:szCs w:val="24"/>
              </w:rPr>
            </w:pPr>
          </w:p>
        </w:tc>
      </w:tr>
      <w:tr w14:paraId="28CD3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9" w:hRule="exact"/>
        </w:trPr>
        <w:tc>
          <w:tcPr>
            <w:tcW w:w="932" w:type="dxa"/>
            <w:vMerge w:val="continue"/>
            <w:noWrap w:val="0"/>
            <w:vAlign w:val="top"/>
          </w:tcPr>
          <w:p w14:paraId="1F58D3DA">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left"/>
              <w:textAlignment w:val="auto"/>
              <w:rPr>
                <w:rFonts w:hint="eastAsia" w:ascii="仿宋" w:hAnsi="仿宋" w:eastAsia="仿宋" w:cs="仿宋"/>
                <w:sz w:val="24"/>
                <w:szCs w:val="24"/>
              </w:rPr>
            </w:pPr>
          </w:p>
        </w:tc>
        <w:tc>
          <w:tcPr>
            <w:tcW w:w="1586" w:type="dxa"/>
            <w:noWrap w:val="0"/>
            <w:vAlign w:val="center"/>
          </w:tcPr>
          <w:p w14:paraId="088A81CE">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联系(经办)人</w:t>
            </w:r>
          </w:p>
        </w:tc>
        <w:tc>
          <w:tcPr>
            <w:tcW w:w="4418" w:type="dxa"/>
            <w:gridSpan w:val="6"/>
            <w:noWrap w:val="0"/>
            <w:vAlign w:val="center"/>
          </w:tcPr>
          <w:p w14:paraId="30A08A5F">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left"/>
              <w:textAlignment w:val="auto"/>
              <w:rPr>
                <w:rFonts w:hint="eastAsia" w:ascii="仿宋" w:hAnsi="仿宋" w:eastAsia="仿宋" w:cs="仿宋"/>
                <w:sz w:val="24"/>
                <w:szCs w:val="24"/>
                <w:lang w:val="en-US" w:eastAsia="zh-CN"/>
              </w:rPr>
            </w:pPr>
          </w:p>
        </w:tc>
        <w:tc>
          <w:tcPr>
            <w:tcW w:w="2386" w:type="dxa"/>
            <w:vMerge w:val="continue"/>
            <w:noWrap w:val="0"/>
            <w:vAlign w:val="top"/>
          </w:tcPr>
          <w:p w14:paraId="63A628A2">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center"/>
              <w:textAlignment w:val="auto"/>
              <w:rPr>
                <w:rFonts w:hint="eastAsia" w:ascii="仿宋" w:hAnsi="仿宋" w:eastAsia="仿宋" w:cs="仿宋"/>
                <w:sz w:val="24"/>
                <w:szCs w:val="24"/>
              </w:rPr>
            </w:pPr>
          </w:p>
        </w:tc>
      </w:tr>
      <w:tr w14:paraId="439EF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trPr>
        <w:tc>
          <w:tcPr>
            <w:tcW w:w="932" w:type="dxa"/>
            <w:vMerge w:val="continue"/>
            <w:noWrap w:val="0"/>
            <w:vAlign w:val="top"/>
          </w:tcPr>
          <w:p w14:paraId="242E6370">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left"/>
              <w:textAlignment w:val="auto"/>
              <w:rPr>
                <w:rFonts w:hint="eastAsia" w:ascii="仿宋" w:hAnsi="仿宋" w:eastAsia="仿宋" w:cs="仿宋"/>
                <w:sz w:val="24"/>
                <w:szCs w:val="24"/>
              </w:rPr>
            </w:pPr>
          </w:p>
        </w:tc>
        <w:tc>
          <w:tcPr>
            <w:tcW w:w="1586" w:type="dxa"/>
            <w:vMerge w:val="restart"/>
            <w:noWrap w:val="0"/>
            <w:vAlign w:val="center"/>
          </w:tcPr>
          <w:p w14:paraId="1C301410">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住所</w:t>
            </w:r>
          </w:p>
          <w:p w14:paraId="1733DE03">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(通讯地址)</w:t>
            </w:r>
          </w:p>
        </w:tc>
        <w:tc>
          <w:tcPr>
            <w:tcW w:w="2448" w:type="dxa"/>
            <w:gridSpan w:val="2"/>
            <w:vMerge w:val="restart"/>
            <w:noWrap w:val="0"/>
            <w:vAlign w:val="center"/>
          </w:tcPr>
          <w:p w14:paraId="370B7015">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内蒙古自治区赤峰市宁城县天义镇敖海营子西山坡</w:t>
            </w:r>
          </w:p>
        </w:tc>
        <w:tc>
          <w:tcPr>
            <w:tcW w:w="780" w:type="dxa"/>
            <w:gridSpan w:val="2"/>
            <w:vMerge w:val="restart"/>
            <w:noWrap w:val="0"/>
            <w:vAlign w:val="center"/>
          </w:tcPr>
          <w:p w14:paraId="1E987898">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邮政</w:t>
            </w:r>
          </w:p>
          <w:p w14:paraId="47F24344">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编码</w:t>
            </w:r>
          </w:p>
        </w:tc>
        <w:tc>
          <w:tcPr>
            <w:tcW w:w="1190" w:type="dxa"/>
            <w:gridSpan w:val="2"/>
            <w:vMerge w:val="restart"/>
            <w:noWrap w:val="0"/>
            <w:vAlign w:val="center"/>
          </w:tcPr>
          <w:p w14:paraId="29B77606">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center"/>
              <w:textAlignment w:val="auto"/>
              <w:rPr>
                <w:rFonts w:hint="eastAsia" w:ascii="仿宋" w:hAnsi="仿宋" w:eastAsia="仿宋" w:cs="仿宋"/>
                <w:sz w:val="24"/>
                <w:szCs w:val="24"/>
                <w:lang w:val="en-US" w:eastAsia="zh-CN"/>
              </w:rPr>
            </w:pPr>
            <w:r>
              <w:rPr>
                <w:rFonts w:hint="eastAsia" w:ascii="仿宋" w:hAnsi="仿宋" w:eastAsia="仿宋" w:cs="仿宋"/>
                <w:sz w:val="22"/>
                <w:szCs w:val="22"/>
                <w:lang w:val="en-US" w:eastAsia="zh-CN"/>
              </w:rPr>
              <w:t>834000</w:t>
            </w:r>
          </w:p>
        </w:tc>
        <w:tc>
          <w:tcPr>
            <w:tcW w:w="2386" w:type="dxa"/>
            <w:vMerge w:val="continue"/>
            <w:noWrap w:val="0"/>
            <w:vAlign w:val="top"/>
          </w:tcPr>
          <w:p w14:paraId="61E53179">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center"/>
              <w:textAlignment w:val="auto"/>
              <w:rPr>
                <w:rFonts w:hint="eastAsia" w:ascii="仿宋" w:hAnsi="仿宋" w:eastAsia="仿宋" w:cs="仿宋"/>
                <w:sz w:val="24"/>
                <w:szCs w:val="24"/>
              </w:rPr>
            </w:pPr>
          </w:p>
        </w:tc>
      </w:tr>
      <w:tr w14:paraId="7876F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exact"/>
        </w:trPr>
        <w:tc>
          <w:tcPr>
            <w:tcW w:w="932" w:type="dxa"/>
            <w:vMerge w:val="continue"/>
            <w:noWrap w:val="0"/>
            <w:vAlign w:val="top"/>
          </w:tcPr>
          <w:p w14:paraId="6FE6AA6F">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left"/>
              <w:textAlignment w:val="auto"/>
              <w:rPr>
                <w:rFonts w:hint="eastAsia" w:ascii="仿宋" w:hAnsi="仿宋" w:eastAsia="仿宋" w:cs="仿宋"/>
                <w:sz w:val="24"/>
                <w:szCs w:val="24"/>
              </w:rPr>
            </w:pPr>
          </w:p>
        </w:tc>
        <w:tc>
          <w:tcPr>
            <w:tcW w:w="1586" w:type="dxa"/>
            <w:vMerge w:val="continue"/>
            <w:noWrap w:val="0"/>
            <w:vAlign w:val="top"/>
          </w:tcPr>
          <w:p w14:paraId="1A88F56A">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left"/>
              <w:textAlignment w:val="auto"/>
              <w:rPr>
                <w:rFonts w:hint="eastAsia" w:ascii="仿宋" w:hAnsi="仿宋" w:eastAsia="仿宋" w:cs="仿宋"/>
                <w:sz w:val="24"/>
                <w:szCs w:val="24"/>
              </w:rPr>
            </w:pPr>
          </w:p>
        </w:tc>
        <w:tc>
          <w:tcPr>
            <w:tcW w:w="2448" w:type="dxa"/>
            <w:gridSpan w:val="2"/>
            <w:vMerge w:val="continue"/>
            <w:noWrap w:val="0"/>
            <w:vAlign w:val="top"/>
          </w:tcPr>
          <w:p w14:paraId="06CA0020">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left"/>
              <w:textAlignment w:val="auto"/>
              <w:rPr>
                <w:rFonts w:hint="eastAsia" w:ascii="仿宋" w:hAnsi="仿宋" w:eastAsia="仿宋" w:cs="仿宋"/>
                <w:sz w:val="24"/>
                <w:szCs w:val="24"/>
              </w:rPr>
            </w:pPr>
          </w:p>
        </w:tc>
        <w:tc>
          <w:tcPr>
            <w:tcW w:w="780" w:type="dxa"/>
            <w:gridSpan w:val="2"/>
            <w:vMerge w:val="continue"/>
            <w:noWrap w:val="0"/>
            <w:vAlign w:val="top"/>
          </w:tcPr>
          <w:p w14:paraId="1B9573E5">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left"/>
              <w:textAlignment w:val="auto"/>
              <w:rPr>
                <w:rFonts w:hint="eastAsia" w:ascii="仿宋" w:hAnsi="仿宋" w:eastAsia="仿宋" w:cs="仿宋"/>
                <w:sz w:val="24"/>
                <w:szCs w:val="24"/>
              </w:rPr>
            </w:pPr>
          </w:p>
        </w:tc>
        <w:tc>
          <w:tcPr>
            <w:tcW w:w="1190" w:type="dxa"/>
            <w:gridSpan w:val="2"/>
            <w:vMerge w:val="continue"/>
            <w:noWrap w:val="0"/>
            <w:vAlign w:val="top"/>
          </w:tcPr>
          <w:p w14:paraId="132B7F13">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left"/>
              <w:textAlignment w:val="auto"/>
              <w:rPr>
                <w:rFonts w:hint="eastAsia" w:ascii="仿宋" w:hAnsi="仿宋" w:eastAsia="仿宋" w:cs="仿宋"/>
                <w:sz w:val="24"/>
                <w:szCs w:val="24"/>
              </w:rPr>
            </w:pPr>
          </w:p>
        </w:tc>
        <w:tc>
          <w:tcPr>
            <w:tcW w:w="2386" w:type="dxa"/>
            <w:vMerge w:val="continue"/>
            <w:noWrap w:val="0"/>
            <w:vAlign w:val="top"/>
          </w:tcPr>
          <w:p w14:paraId="52B44D27">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left"/>
              <w:textAlignment w:val="auto"/>
              <w:rPr>
                <w:rFonts w:hint="eastAsia" w:ascii="仿宋" w:hAnsi="仿宋" w:eastAsia="仿宋" w:cs="仿宋"/>
                <w:sz w:val="24"/>
                <w:szCs w:val="24"/>
              </w:rPr>
            </w:pPr>
          </w:p>
        </w:tc>
      </w:tr>
      <w:tr w14:paraId="1694E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9" w:hRule="exact"/>
        </w:trPr>
        <w:tc>
          <w:tcPr>
            <w:tcW w:w="932" w:type="dxa"/>
            <w:vMerge w:val="continue"/>
            <w:noWrap w:val="0"/>
            <w:vAlign w:val="top"/>
          </w:tcPr>
          <w:p w14:paraId="72E09CB9">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left"/>
              <w:textAlignment w:val="auto"/>
              <w:rPr>
                <w:rFonts w:hint="eastAsia" w:ascii="仿宋" w:hAnsi="仿宋" w:eastAsia="仿宋" w:cs="仿宋"/>
                <w:sz w:val="24"/>
                <w:szCs w:val="24"/>
              </w:rPr>
            </w:pPr>
          </w:p>
        </w:tc>
        <w:tc>
          <w:tcPr>
            <w:tcW w:w="1586" w:type="dxa"/>
            <w:noWrap w:val="0"/>
            <w:vAlign w:val="center"/>
          </w:tcPr>
          <w:p w14:paraId="1F3D5CCC">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电话</w:t>
            </w:r>
          </w:p>
        </w:tc>
        <w:tc>
          <w:tcPr>
            <w:tcW w:w="1701" w:type="dxa"/>
            <w:noWrap w:val="0"/>
            <w:vAlign w:val="center"/>
          </w:tcPr>
          <w:p w14:paraId="63CF875D">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0476-5664866</w:t>
            </w:r>
          </w:p>
        </w:tc>
        <w:tc>
          <w:tcPr>
            <w:tcW w:w="747" w:type="dxa"/>
            <w:noWrap w:val="0"/>
            <w:vAlign w:val="center"/>
          </w:tcPr>
          <w:p w14:paraId="477674AE">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传真</w:t>
            </w:r>
          </w:p>
        </w:tc>
        <w:tc>
          <w:tcPr>
            <w:tcW w:w="1970" w:type="dxa"/>
            <w:gridSpan w:val="4"/>
            <w:noWrap w:val="0"/>
            <w:vAlign w:val="top"/>
          </w:tcPr>
          <w:p w14:paraId="38AE4E65">
            <w:pPr>
              <w:keepNext w:val="0"/>
              <w:keepLines w:val="0"/>
              <w:pageBreakBefore w:val="0"/>
              <w:widowControl w:val="0"/>
              <w:kinsoku/>
              <w:overflowPunct/>
              <w:topLinePunct w:val="0"/>
              <w:autoSpaceDE/>
              <w:autoSpaceDN/>
              <w:bidi w:val="0"/>
              <w:adjustRightInd/>
              <w:snapToGrid/>
              <w:spacing w:line="240" w:lineRule="auto"/>
              <w:ind w:left="0" w:right="0" w:rightChars="0" w:firstLine="720" w:firstLineChars="300"/>
              <w:jc w:val="left"/>
              <w:textAlignment w:val="auto"/>
              <w:rPr>
                <w:rFonts w:hint="eastAsia" w:ascii="仿宋" w:hAnsi="仿宋" w:eastAsia="仿宋" w:cs="仿宋"/>
                <w:sz w:val="24"/>
                <w:szCs w:val="24"/>
                <w:lang w:val="en-US" w:eastAsia="zh-CN"/>
              </w:rPr>
            </w:pPr>
          </w:p>
          <w:p w14:paraId="3829693E">
            <w:pPr>
              <w:keepNext w:val="0"/>
              <w:keepLines w:val="0"/>
              <w:pageBreakBefore w:val="0"/>
              <w:widowControl w:val="0"/>
              <w:kinsoku/>
              <w:overflowPunct/>
              <w:topLinePunct w:val="0"/>
              <w:autoSpaceDE/>
              <w:autoSpaceDN/>
              <w:bidi w:val="0"/>
              <w:adjustRightInd/>
              <w:snapToGrid/>
              <w:spacing w:line="240" w:lineRule="auto"/>
              <w:ind w:left="0" w:right="0" w:rightChars="0" w:firstLine="720" w:firstLineChars="3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w:t>
            </w:r>
          </w:p>
        </w:tc>
        <w:tc>
          <w:tcPr>
            <w:tcW w:w="2386" w:type="dxa"/>
            <w:vMerge w:val="continue"/>
            <w:noWrap w:val="0"/>
            <w:vAlign w:val="top"/>
          </w:tcPr>
          <w:p w14:paraId="19E34332">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left"/>
              <w:textAlignment w:val="auto"/>
              <w:rPr>
                <w:rFonts w:hint="eastAsia" w:ascii="仿宋" w:hAnsi="仿宋" w:eastAsia="仿宋" w:cs="仿宋"/>
                <w:sz w:val="24"/>
                <w:szCs w:val="24"/>
              </w:rPr>
            </w:pPr>
          </w:p>
        </w:tc>
      </w:tr>
      <w:tr w14:paraId="566A3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9" w:hRule="exact"/>
        </w:trPr>
        <w:tc>
          <w:tcPr>
            <w:tcW w:w="932" w:type="dxa"/>
            <w:vMerge w:val="continue"/>
            <w:noWrap w:val="0"/>
            <w:vAlign w:val="top"/>
          </w:tcPr>
          <w:p w14:paraId="3AC31671">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left"/>
              <w:textAlignment w:val="auto"/>
              <w:rPr>
                <w:rFonts w:hint="eastAsia" w:ascii="仿宋" w:hAnsi="仿宋" w:eastAsia="仿宋" w:cs="仿宋"/>
                <w:sz w:val="24"/>
                <w:szCs w:val="24"/>
              </w:rPr>
            </w:pPr>
          </w:p>
        </w:tc>
        <w:tc>
          <w:tcPr>
            <w:tcW w:w="1586" w:type="dxa"/>
            <w:noWrap w:val="0"/>
            <w:vAlign w:val="center"/>
          </w:tcPr>
          <w:p w14:paraId="68950755">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开户银行</w:t>
            </w:r>
          </w:p>
        </w:tc>
        <w:tc>
          <w:tcPr>
            <w:tcW w:w="4418" w:type="dxa"/>
            <w:gridSpan w:val="6"/>
            <w:noWrap w:val="0"/>
            <w:vAlign w:val="center"/>
          </w:tcPr>
          <w:p w14:paraId="3A2872D1">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中国银行股份有限公司宁城铁西支行</w:t>
            </w:r>
          </w:p>
        </w:tc>
        <w:tc>
          <w:tcPr>
            <w:tcW w:w="2386" w:type="dxa"/>
            <w:vMerge w:val="continue"/>
            <w:noWrap w:val="0"/>
            <w:vAlign w:val="top"/>
          </w:tcPr>
          <w:p w14:paraId="3DC8D461">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left"/>
              <w:textAlignment w:val="auto"/>
              <w:rPr>
                <w:rFonts w:hint="eastAsia" w:ascii="仿宋" w:hAnsi="仿宋" w:eastAsia="仿宋" w:cs="仿宋"/>
                <w:sz w:val="24"/>
                <w:szCs w:val="24"/>
              </w:rPr>
            </w:pPr>
          </w:p>
        </w:tc>
      </w:tr>
      <w:tr w14:paraId="5CDC7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9" w:hRule="exact"/>
        </w:trPr>
        <w:tc>
          <w:tcPr>
            <w:tcW w:w="932" w:type="dxa"/>
            <w:vMerge w:val="continue"/>
            <w:noWrap w:val="0"/>
            <w:vAlign w:val="top"/>
          </w:tcPr>
          <w:p w14:paraId="3D8EE341">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left"/>
              <w:textAlignment w:val="auto"/>
              <w:rPr>
                <w:rFonts w:hint="eastAsia" w:ascii="仿宋" w:hAnsi="仿宋" w:eastAsia="仿宋" w:cs="仿宋"/>
                <w:sz w:val="24"/>
                <w:szCs w:val="24"/>
              </w:rPr>
            </w:pPr>
          </w:p>
        </w:tc>
        <w:tc>
          <w:tcPr>
            <w:tcW w:w="1586" w:type="dxa"/>
            <w:noWrap w:val="0"/>
            <w:vAlign w:val="center"/>
          </w:tcPr>
          <w:p w14:paraId="257093CA">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账号</w:t>
            </w:r>
          </w:p>
        </w:tc>
        <w:tc>
          <w:tcPr>
            <w:tcW w:w="4418" w:type="dxa"/>
            <w:gridSpan w:val="6"/>
            <w:noWrap w:val="0"/>
            <w:vAlign w:val="center"/>
          </w:tcPr>
          <w:p w14:paraId="34164367">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155677371842</w:t>
            </w:r>
          </w:p>
        </w:tc>
        <w:tc>
          <w:tcPr>
            <w:tcW w:w="2386" w:type="dxa"/>
            <w:vMerge w:val="continue"/>
            <w:noWrap w:val="0"/>
            <w:vAlign w:val="top"/>
          </w:tcPr>
          <w:p w14:paraId="45FCFC56">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left"/>
              <w:textAlignment w:val="auto"/>
              <w:rPr>
                <w:rFonts w:hint="eastAsia" w:ascii="仿宋" w:hAnsi="仿宋" w:eastAsia="仿宋" w:cs="仿宋"/>
                <w:sz w:val="24"/>
                <w:szCs w:val="24"/>
              </w:rPr>
            </w:pPr>
          </w:p>
        </w:tc>
      </w:tr>
      <w:tr w14:paraId="54D82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9" w:hRule="exact"/>
        </w:trPr>
        <w:tc>
          <w:tcPr>
            <w:tcW w:w="932" w:type="dxa"/>
            <w:vMerge w:val="restart"/>
            <w:noWrap w:val="0"/>
            <w:textDirection w:val="tbRlV"/>
            <w:vAlign w:val="center"/>
          </w:tcPr>
          <w:p w14:paraId="72C5EFB4">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受托</w:t>
            </w:r>
            <w:r>
              <w:rPr>
                <w:rFonts w:hint="eastAsia" w:ascii="仿宋" w:hAnsi="仿宋" w:eastAsia="仿宋" w:cs="仿宋"/>
                <w:sz w:val="24"/>
                <w:szCs w:val="24"/>
                <w:lang w:val="en-US" w:eastAsia="zh-CN"/>
              </w:rPr>
              <w:t>方</w:t>
            </w:r>
            <w:r>
              <w:rPr>
                <w:rFonts w:hint="eastAsia" w:ascii="仿宋" w:hAnsi="仿宋" w:eastAsia="仿宋" w:cs="仿宋"/>
                <w:sz w:val="24"/>
                <w:szCs w:val="24"/>
              </w:rPr>
              <w:t>(乙方)</w:t>
            </w:r>
          </w:p>
        </w:tc>
        <w:tc>
          <w:tcPr>
            <w:tcW w:w="1586" w:type="dxa"/>
            <w:noWrap w:val="0"/>
            <w:vAlign w:val="center"/>
          </w:tcPr>
          <w:p w14:paraId="078C851F">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名称</w:t>
            </w:r>
          </w:p>
        </w:tc>
        <w:tc>
          <w:tcPr>
            <w:tcW w:w="4418" w:type="dxa"/>
            <w:gridSpan w:val="6"/>
            <w:noWrap w:val="0"/>
            <w:vAlign w:val="center"/>
          </w:tcPr>
          <w:p w14:paraId="0CE5902D">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both"/>
              <w:textAlignment w:val="auto"/>
              <w:rPr>
                <w:rFonts w:hint="eastAsia" w:ascii="仿宋" w:hAnsi="仿宋" w:eastAsia="仿宋" w:cs="仿宋"/>
                <w:sz w:val="24"/>
                <w:szCs w:val="24"/>
                <w:lang w:val="en-US" w:eastAsia="zh-CN"/>
              </w:rPr>
            </w:pPr>
          </w:p>
        </w:tc>
        <w:tc>
          <w:tcPr>
            <w:tcW w:w="2386" w:type="dxa"/>
            <w:vMerge w:val="restart"/>
            <w:noWrap w:val="0"/>
            <w:vAlign w:val="top"/>
          </w:tcPr>
          <w:p w14:paraId="1C2989E6">
            <w:pPr>
              <w:keepNext w:val="0"/>
              <w:keepLines w:val="0"/>
              <w:pageBreakBefore w:val="0"/>
              <w:widowControl w:val="0"/>
              <w:kinsoku/>
              <w:wordWrap/>
              <w:overflowPunct/>
              <w:topLinePunct w:val="0"/>
              <w:autoSpaceDE/>
              <w:autoSpaceDN/>
              <w:bidi w:val="0"/>
              <w:adjustRightInd/>
              <w:snapToGrid/>
              <w:spacing w:line="360" w:lineRule="auto"/>
              <w:ind w:left="0" w:right="0" w:rightChars="0"/>
              <w:jc w:val="center"/>
              <w:textAlignment w:val="baseline"/>
              <w:rPr>
                <w:rFonts w:hint="eastAsia" w:ascii="仿宋" w:hAnsi="仿宋" w:eastAsia="仿宋" w:cs="仿宋"/>
                <w:kern w:val="0"/>
                <w:sz w:val="24"/>
                <w:szCs w:val="24"/>
              </w:rPr>
            </w:pPr>
            <w:r>
              <w:rPr>
                <w:rFonts w:hint="eastAsia" w:ascii="仿宋" w:hAnsi="仿宋" w:eastAsia="仿宋" w:cs="仿宋"/>
                <w:kern w:val="0"/>
                <w:sz w:val="24"/>
                <w:szCs w:val="24"/>
              </w:rPr>
              <w:t>合同专用章</w:t>
            </w:r>
          </w:p>
          <w:p w14:paraId="3CCC2C2D">
            <w:pPr>
              <w:keepNext w:val="0"/>
              <w:keepLines w:val="0"/>
              <w:pageBreakBefore w:val="0"/>
              <w:widowControl w:val="0"/>
              <w:kinsoku/>
              <w:wordWrap/>
              <w:overflowPunct/>
              <w:topLinePunct w:val="0"/>
              <w:autoSpaceDE/>
              <w:autoSpaceDN/>
              <w:bidi w:val="0"/>
              <w:adjustRightInd/>
              <w:snapToGrid/>
              <w:spacing w:line="360" w:lineRule="auto"/>
              <w:ind w:left="0" w:right="0" w:rightChars="0"/>
              <w:jc w:val="center"/>
              <w:textAlignment w:val="baseline"/>
              <w:rPr>
                <w:rFonts w:hint="eastAsia" w:ascii="仿宋" w:hAnsi="仿宋" w:eastAsia="仿宋" w:cs="仿宋"/>
                <w:kern w:val="0"/>
                <w:sz w:val="24"/>
                <w:szCs w:val="24"/>
              </w:rPr>
            </w:pPr>
            <w:r>
              <w:rPr>
                <w:rFonts w:hint="eastAsia" w:ascii="仿宋" w:hAnsi="仿宋" w:eastAsia="仿宋" w:cs="仿宋"/>
                <w:kern w:val="0"/>
                <w:sz w:val="24"/>
                <w:szCs w:val="24"/>
              </w:rPr>
              <w:t>或</w:t>
            </w:r>
          </w:p>
          <w:p w14:paraId="0A634FD0">
            <w:pPr>
              <w:keepNext w:val="0"/>
              <w:keepLines w:val="0"/>
              <w:pageBreakBefore w:val="0"/>
              <w:widowControl w:val="0"/>
              <w:kinsoku/>
              <w:wordWrap/>
              <w:overflowPunct/>
              <w:topLinePunct w:val="0"/>
              <w:autoSpaceDE/>
              <w:autoSpaceDN/>
              <w:bidi w:val="0"/>
              <w:adjustRightInd/>
              <w:snapToGrid/>
              <w:spacing w:line="360" w:lineRule="auto"/>
              <w:ind w:left="0" w:right="0" w:rightChars="0"/>
              <w:jc w:val="center"/>
              <w:textAlignment w:val="baseline"/>
              <w:rPr>
                <w:rFonts w:hint="eastAsia" w:ascii="仿宋" w:hAnsi="仿宋" w:eastAsia="仿宋" w:cs="仿宋"/>
                <w:kern w:val="0"/>
                <w:sz w:val="24"/>
                <w:szCs w:val="24"/>
              </w:rPr>
            </w:pPr>
            <w:r>
              <w:rPr>
                <w:rFonts w:hint="eastAsia" w:ascii="仿宋" w:hAnsi="仿宋" w:eastAsia="仿宋" w:cs="仿宋"/>
                <w:kern w:val="0"/>
                <w:sz w:val="24"/>
                <w:szCs w:val="24"/>
              </w:rPr>
              <w:t>单位公章</w:t>
            </w:r>
          </w:p>
          <w:p w14:paraId="7AA423D1">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left"/>
              <w:textAlignment w:val="auto"/>
              <w:rPr>
                <w:rFonts w:hint="eastAsia" w:ascii="仿宋" w:hAnsi="仿宋" w:eastAsia="仿宋" w:cs="仿宋"/>
                <w:sz w:val="24"/>
                <w:szCs w:val="24"/>
              </w:rPr>
            </w:pPr>
          </w:p>
          <w:p w14:paraId="2EDEA07F">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left"/>
              <w:textAlignment w:val="auto"/>
              <w:rPr>
                <w:rFonts w:hint="eastAsia" w:ascii="仿宋" w:hAnsi="仿宋" w:eastAsia="仿宋" w:cs="仿宋"/>
                <w:sz w:val="24"/>
                <w:szCs w:val="24"/>
              </w:rPr>
            </w:pPr>
          </w:p>
          <w:p w14:paraId="1B26A973">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left"/>
              <w:textAlignment w:val="auto"/>
              <w:rPr>
                <w:rFonts w:hint="eastAsia" w:ascii="仿宋" w:hAnsi="仿宋" w:eastAsia="仿宋" w:cs="仿宋"/>
                <w:sz w:val="24"/>
                <w:szCs w:val="24"/>
              </w:rPr>
            </w:pPr>
          </w:p>
          <w:p w14:paraId="681455E8">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left"/>
              <w:textAlignment w:val="auto"/>
              <w:rPr>
                <w:rFonts w:hint="eastAsia" w:ascii="仿宋" w:hAnsi="仿宋" w:eastAsia="仿宋" w:cs="仿宋"/>
                <w:sz w:val="24"/>
                <w:szCs w:val="24"/>
              </w:rPr>
            </w:pPr>
          </w:p>
          <w:p w14:paraId="5C51311F">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left"/>
              <w:textAlignment w:val="auto"/>
              <w:rPr>
                <w:rFonts w:hint="eastAsia" w:ascii="仿宋" w:hAnsi="仿宋" w:eastAsia="仿宋" w:cs="仿宋"/>
                <w:sz w:val="24"/>
                <w:szCs w:val="24"/>
              </w:rPr>
            </w:pPr>
          </w:p>
          <w:p w14:paraId="621A2F36">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left"/>
              <w:textAlignment w:val="auto"/>
              <w:rPr>
                <w:rFonts w:hint="eastAsia" w:ascii="仿宋" w:hAnsi="仿宋" w:eastAsia="仿宋" w:cs="仿宋"/>
                <w:sz w:val="24"/>
                <w:szCs w:val="24"/>
              </w:rPr>
            </w:pPr>
          </w:p>
          <w:p w14:paraId="3F820192">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left"/>
              <w:textAlignment w:val="auto"/>
              <w:rPr>
                <w:rFonts w:hint="eastAsia" w:ascii="仿宋" w:hAnsi="仿宋" w:eastAsia="仿宋" w:cs="仿宋"/>
                <w:sz w:val="24"/>
                <w:szCs w:val="24"/>
              </w:rPr>
            </w:pPr>
          </w:p>
          <w:p w14:paraId="7EA68B88">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left"/>
              <w:textAlignment w:val="auto"/>
              <w:rPr>
                <w:rFonts w:hint="eastAsia" w:ascii="仿宋" w:hAnsi="仿宋" w:eastAsia="仿宋" w:cs="仿宋"/>
                <w:sz w:val="24"/>
                <w:szCs w:val="24"/>
              </w:rPr>
            </w:pPr>
          </w:p>
          <w:p w14:paraId="06493388">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left"/>
              <w:textAlignment w:val="auto"/>
              <w:rPr>
                <w:rFonts w:hint="eastAsia" w:ascii="仿宋" w:hAnsi="仿宋" w:eastAsia="仿宋" w:cs="仿宋"/>
                <w:sz w:val="24"/>
                <w:szCs w:val="24"/>
              </w:rPr>
            </w:pPr>
          </w:p>
          <w:p w14:paraId="544C923F">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left"/>
              <w:textAlignment w:val="auto"/>
              <w:rPr>
                <w:rFonts w:hint="eastAsia" w:ascii="仿宋" w:hAnsi="仿宋" w:eastAsia="仿宋" w:cs="仿宋"/>
                <w:sz w:val="24"/>
                <w:szCs w:val="24"/>
              </w:rPr>
            </w:pPr>
          </w:p>
          <w:p w14:paraId="439B6D69">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left"/>
              <w:textAlignment w:val="auto"/>
              <w:rPr>
                <w:rFonts w:hint="eastAsia" w:ascii="仿宋" w:hAnsi="仿宋" w:eastAsia="仿宋" w:cs="仿宋"/>
                <w:sz w:val="24"/>
                <w:szCs w:val="24"/>
              </w:rPr>
            </w:pPr>
          </w:p>
          <w:p w14:paraId="56944552">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left"/>
              <w:textAlignment w:val="auto"/>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p>
          <w:p w14:paraId="5F7A7353">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right"/>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2026</w:t>
            </w:r>
            <w:r>
              <w:rPr>
                <w:rFonts w:hint="eastAsia" w:ascii="仿宋" w:hAnsi="仿宋" w:eastAsia="仿宋" w:cs="仿宋"/>
                <w:sz w:val="24"/>
                <w:szCs w:val="24"/>
              </w:rPr>
              <w:t>年</w:t>
            </w:r>
            <w:r>
              <w:rPr>
                <w:rFonts w:hint="eastAsia" w:ascii="仿宋" w:hAnsi="仿宋" w:eastAsia="仿宋" w:cs="仿宋"/>
                <w:sz w:val="24"/>
                <w:szCs w:val="24"/>
                <w:lang w:val="en-US" w:eastAsia="zh-CN"/>
              </w:rPr>
              <w:t>4</w:t>
            </w:r>
            <w:r>
              <w:rPr>
                <w:rFonts w:hint="eastAsia" w:ascii="仿宋" w:hAnsi="仿宋" w:eastAsia="仿宋" w:cs="仿宋"/>
                <w:sz w:val="24"/>
                <w:szCs w:val="24"/>
              </w:rPr>
              <w:t>月   日</w:t>
            </w:r>
          </w:p>
        </w:tc>
      </w:tr>
      <w:tr w14:paraId="482B9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9" w:hRule="exact"/>
        </w:trPr>
        <w:tc>
          <w:tcPr>
            <w:tcW w:w="932" w:type="dxa"/>
            <w:vMerge w:val="continue"/>
            <w:noWrap w:val="0"/>
            <w:vAlign w:val="top"/>
          </w:tcPr>
          <w:p w14:paraId="61EE8723">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left"/>
              <w:textAlignment w:val="auto"/>
              <w:rPr>
                <w:rFonts w:hint="eastAsia" w:ascii="仿宋" w:hAnsi="仿宋" w:eastAsia="仿宋" w:cs="仿宋"/>
                <w:sz w:val="24"/>
                <w:szCs w:val="24"/>
              </w:rPr>
            </w:pPr>
          </w:p>
        </w:tc>
        <w:tc>
          <w:tcPr>
            <w:tcW w:w="1586" w:type="dxa"/>
            <w:noWrap w:val="0"/>
            <w:vAlign w:val="center"/>
          </w:tcPr>
          <w:p w14:paraId="62DB10AF">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法定代表人</w:t>
            </w:r>
          </w:p>
        </w:tc>
        <w:tc>
          <w:tcPr>
            <w:tcW w:w="4418" w:type="dxa"/>
            <w:gridSpan w:val="6"/>
            <w:noWrap w:val="0"/>
            <w:vAlign w:val="center"/>
          </w:tcPr>
          <w:p w14:paraId="306DDCBE">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right"/>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w:t>
            </w:r>
            <w:r>
              <w:rPr>
                <w:rFonts w:hint="eastAsia" w:ascii="仿宋" w:hAnsi="仿宋" w:eastAsia="仿宋" w:cs="仿宋"/>
                <w:sz w:val="24"/>
                <w:szCs w:val="24"/>
                <w:lang w:val="en-US" w:eastAsia="zh-CN"/>
              </w:rPr>
              <w:t>签字或</w:t>
            </w:r>
            <w:r>
              <w:rPr>
                <w:rFonts w:hint="eastAsia" w:ascii="仿宋" w:hAnsi="仿宋" w:eastAsia="仿宋" w:cs="仿宋"/>
                <w:sz w:val="24"/>
                <w:szCs w:val="24"/>
              </w:rPr>
              <w:t>签章)</w:t>
            </w:r>
          </w:p>
        </w:tc>
        <w:tc>
          <w:tcPr>
            <w:tcW w:w="2386" w:type="dxa"/>
            <w:vMerge w:val="continue"/>
            <w:noWrap w:val="0"/>
            <w:vAlign w:val="top"/>
          </w:tcPr>
          <w:p w14:paraId="0CDE3A47">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left"/>
              <w:textAlignment w:val="auto"/>
              <w:rPr>
                <w:rFonts w:hint="eastAsia" w:ascii="仿宋" w:hAnsi="仿宋" w:eastAsia="仿宋" w:cs="仿宋"/>
                <w:sz w:val="24"/>
                <w:szCs w:val="24"/>
              </w:rPr>
            </w:pPr>
          </w:p>
        </w:tc>
      </w:tr>
      <w:tr w14:paraId="34A4F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9" w:hRule="exact"/>
        </w:trPr>
        <w:tc>
          <w:tcPr>
            <w:tcW w:w="932" w:type="dxa"/>
            <w:vMerge w:val="continue"/>
            <w:noWrap w:val="0"/>
            <w:vAlign w:val="top"/>
          </w:tcPr>
          <w:p w14:paraId="55F3F2A5">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left"/>
              <w:textAlignment w:val="auto"/>
              <w:rPr>
                <w:rFonts w:hint="eastAsia" w:ascii="仿宋" w:hAnsi="仿宋" w:eastAsia="仿宋" w:cs="仿宋"/>
                <w:sz w:val="24"/>
                <w:szCs w:val="24"/>
              </w:rPr>
            </w:pPr>
          </w:p>
        </w:tc>
        <w:tc>
          <w:tcPr>
            <w:tcW w:w="1586" w:type="dxa"/>
            <w:noWrap w:val="0"/>
            <w:vAlign w:val="center"/>
          </w:tcPr>
          <w:p w14:paraId="2BE3B98D">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联系(经办)人</w:t>
            </w:r>
          </w:p>
        </w:tc>
        <w:tc>
          <w:tcPr>
            <w:tcW w:w="4418" w:type="dxa"/>
            <w:gridSpan w:val="6"/>
            <w:noWrap w:val="0"/>
            <w:vAlign w:val="center"/>
          </w:tcPr>
          <w:p w14:paraId="2F1E55AE">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both"/>
              <w:textAlignment w:val="auto"/>
              <w:rPr>
                <w:rFonts w:hint="eastAsia" w:ascii="仿宋" w:hAnsi="仿宋" w:eastAsia="仿宋" w:cs="仿宋"/>
                <w:kern w:val="2"/>
                <w:sz w:val="24"/>
                <w:szCs w:val="24"/>
                <w:lang w:val="en-US" w:eastAsia="zh-CN" w:bidi="ar-SA"/>
              </w:rPr>
            </w:pPr>
          </w:p>
        </w:tc>
        <w:tc>
          <w:tcPr>
            <w:tcW w:w="2386" w:type="dxa"/>
            <w:vMerge w:val="continue"/>
            <w:noWrap w:val="0"/>
            <w:vAlign w:val="top"/>
          </w:tcPr>
          <w:p w14:paraId="4A29579C">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left"/>
              <w:textAlignment w:val="auto"/>
              <w:rPr>
                <w:rFonts w:hint="eastAsia" w:ascii="仿宋" w:hAnsi="仿宋" w:eastAsia="仿宋" w:cs="仿宋"/>
                <w:sz w:val="24"/>
                <w:szCs w:val="24"/>
              </w:rPr>
            </w:pPr>
          </w:p>
        </w:tc>
      </w:tr>
      <w:tr w14:paraId="13DFF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0" w:hRule="atLeast"/>
        </w:trPr>
        <w:tc>
          <w:tcPr>
            <w:tcW w:w="932" w:type="dxa"/>
            <w:vMerge w:val="continue"/>
            <w:noWrap w:val="0"/>
            <w:vAlign w:val="top"/>
          </w:tcPr>
          <w:p w14:paraId="32ED8A5B">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left"/>
              <w:textAlignment w:val="auto"/>
              <w:rPr>
                <w:rFonts w:hint="eastAsia" w:ascii="仿宋" w:hAnsi="仿宋" w:eastAsia="仿宋" w:cs="仿宋"/>
                <w:sz w:val="24"/>
                <w:szCs w:val="24"/>
              </w:rPr>
            </w:pPr>
          </w:p>
        </w:tc>
        <w:tc>
          <w:tcPr>
            <w:tcW w:w="1586" w:type="dxa"/>
            <w:noWrap w:val="0"/>
            <w:vAlign w:val="center"/>
          </w:tcPr>
          <w:p w14:paraId="4FB881A8">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住所</w:t>
            </w:r>
          </w:p>
          <w:p w14:paraId="7B3D9C2F">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(通讯地址)</w:t>
            </w:r>
          </w:p>
        </w:tc>
        <w:tc>
          <w:tcPr>
            <w:tcW w:w="2552" w:type="dxa"/>
            <w:gridSpan w:val="3"/>
            <w:noWrap w:val="0"/>
            <w:vAlign w:val="center"/>
          </w:tcPr>
          <w:p w14:paraId="78DEC8EE">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textAlignment w:val="auto"/>
              <w:rPr>
                <w:rFonts w:hint="eastAsia" w:ascii="仿宋" w:hAnsi="仿宋" w:eastAsia="仿宋" w:cs="仿宋"/>
                <w:sz w:val="24"/>
                <w:szCs w:val="24"/>
              </w:rPr>
            </w:pPr>
          </w:p>
        </w:tc>
        <w:tc>
          <w:tcPr>
            <w:tcW w:w="782" w:type="dxa"/>
            <w:gridSpan w:val="2"/>
            <w:noWrap w:val="0"/>
            <w:vAlign w:val="center"/>
          </w:tcPr>
          <w:p w14:paraId="114FEB66">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邮政</w:t>
            </w:r>
          </w:p>
          <w:p w14:paraId="2577EC1D">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编码</w:t>
            </w:r>
          </w:p>
        </w:tc>
        <w:tc>
          <w:tcPr>
            <w:tcW w:w="1084" w:type="dxa"/>
            <w:tcBorders>
              <w:bottom w:val="single" w:color="auto" w:sz="4" w:space="0"/>
            </w:tcBorders>
            <w:noWrap w:val="0"/>
            <w:vAlign w:val="center"/>
          </w:tcPr>
          <w:p w14:paraId="19FAE89F">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center"/>
              <w:textAlignment w:val="auto"/>
              <w:rPr>
                <w:rFonts w:hint="eastAsia" w:ascii="仿宋" w:hAnsi="仿宋" w:eastAsia="仿宋" w:cs="仿宋"/>
                <w:sz w:val="24"/>
                <w:szCs w:val="24"/>
                <w:lang w:val="en-US" w:eastAsia="zh-CN"/>
              </w:rPr>
            </w:pPr>
          </w:p>
        </w:tc>
        <w:tc>
          <w:tcPr>
            <w:tcW w:w="2386" w:type="dxa"/>
            <w:vMerge w:val="continue"/>
            <w:noWrap w:val="0"/>
            <w:vAlign w:val="top"/>
          </w:tcPr>
          <w:p w14:paraId="27B448BC">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left"/>
              <w:textAlignment w:val="auto"/>
              <w:rPr>
                <w:rFonts w:hint="eastAsia" w:ascii="仿宋" w:hAnsi="仿宋" w:eastAsia="仿宋" w:cs="仿宋"/>
                <w:sz w:val="24"/>
                <w:szCs w:val="24"/>
              </w:rPr>
            </w:pPr>
          </w:p>
        </w:tc>
      </w:tr>
      <w:tr w14:paraId="42742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9" w:hRule="exact"/>
        </w:trPr>
        <w:tc>
          <w:tcPr>
            <w:tcW w:w="932" w:type="dxa"/>
            <w:vMerge w:val="continue"/>
            <w:noWrap w:val="0"/>
            <w:vAlign w:val="top"/>
          </w:tcPr>
          <w:p w14:paraId="3C817877">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left"/>
              <w:textAlignment w:val="auto"/>
              <w:rPr>
                <w:rFonts w:hint="eastAsia" w:ascii="仿宋" w:hAnsi="仿宋" w:eastAsia="仿宋" w:cs="仿宋"/>
                <w:sz w:val="24"/>
                <w:szCs w:val="24"/>
              </w:rPr>
            </w:pPr>
          </w:p>
        </w:tc>
        <w:tc>
          <w:tcPr>
            <w:tcW w:w="1586" w:type="dxa"/>
            <w:noWrap w:val="0"/>
            <w:vAlign w:val="center"/>
          </w:tcPr>
          <w:p w14:paraId="3215A648">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电话</w:t>
            </w:r>
          </w:p>
        </w:tc>
        <w:tc>
          <w:tcPr>
            <w:tcW w:w="1701" w:type="dxa"/>
            <w:noWrap w:val="0"/>
            <w:vAlign w:val="center"/>
          </w:tcPr>
          <w:p w14:paraId="315A0963">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center"/>
              <w:textAlignment w:val="auto"/>
              <w:rPr>
                <w:rFonts w:hint="eastAsia" w:ascii="仿宋" w:hAnsi="仿宋" w:eastAsia="仿宋" w:cs="仿宋"/>
                <w:sz w:val="24"/>
                <w:szCs w:val="24"/>
              </w:rPr>
            </w:pPr>
          </w:p>
        </w:tc>
        <w:tc>
          <w:tcPr>
            <w:tcW w:w="851" w:type="dxa"/>
            <w:gridSpan w:val="2"/>
            <w:noWrap w:val="0"/>
            <w:vAlign w:val="center"/>
          </w:tcPr>
          <w:p w14:paraId="174C6536">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传真</w:t>
            </w:r>
          </w:p>
        </w:tc>
        <w:tc>
          <w:tcPr>
            <w:tcW w:w="1866" w:type="dxa"/>
            <w:gridSpan w:val="3"/>
            <w:noWrap w:val="0"/>
            <w:vAlign w:val="center"/>
          </w:tcPr>
          <w:p w14:paraId="3D449C12">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w:t>
            </w:r>
          </w:p>
        </w:tc>
        <w:tc>
          <w:tcPr>
            <w:tcW w:w="2386" w:type="dxa"/>
            <w:vMerge w:val="continue"/>
            <w:noWrap w:val="0"/>
            <w:vAlign w:val="top"/>
          </w:tcPr>
          <w:p w14:paraId="561BA78F">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left"/>
              <w:textAlignment w:val="auto"/>
              <w:rPr>
                <w:rFonts w:hint="eastAsia" w:ascii="仿宋" w:hAnsi="仿宋" w:eastAsia="仿宋" w:cs="仿宋"/>
                <w:sz w:val="24"/>
                <w:szCs w:val="24"/>
              </w:rPr>
            </w:pPr>
          </w:p>
        </w:tc>
      </w:tr>
      <w:tr w14:paraId="41E66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9" w:hRule="exact"/>
        </w:trPr>
        <w:tc>
          <w:tcPr>
            <w:tcW w:w="932" w:type="dxa"/>
            <w:vMerge w:val="continue"/>
            <w:noWrap w:val="0"/>
            <w:vAlign w:val="top"/>
          </w:tcPr>
          <w:p w14:paraId="6FF9A491">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left"/>
              <w:textAlignment w:val="auto"/>
              <w:rPr>
                <w:rFonts w:hint="eastAsia" w:ascii="仿宋" w:hAnsi="仿宋" w:eastAsia="仿宋" w:cs="仿宋"/>
                <w:sz w:val="24"/>
                <w:szCs w:val="24"/>
              </w:rPr>
            </w:pPr>
          </w:p>
        </w:tc>
        <w:tc>
          <w:tcPr>
            <w:tcW w:w="1586" w:type="dxa"/>
            <w:noWrap w:val="0"/>
            <w:vAlign w:val="center"/>
          </w:tcPr>
          <w:p w14:paraId="23E27157">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开户银行</w:t>
            </w:r>
          </w:p>
        </w:tc>
        <w:tc>
          <w:tcPr>
            <w:tcW w:w="4418" w:type="dxa"/>
            <w:gridSpan w:val="6"/>
            <w:noWrap w:val="0"/>
            <w:vAlign w:val="center"/>
          </w:tcPr>
          <w:p w14:paraId="23FFDE48">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center"/>
              <w:textAlignment w:val="auto"/>
              <w:rPr>
                <w:rFonts w:hint="eastAsia" w:ascii="仿宋" w:hAnsi="仿宋" w:eastAsia="仿宋" w:cs="仿宋"/>
                <w:sz w:val="24"/>
                <w:szCs w:val="24"/>
              </w:rPr>
            </w:pPr>
          </w:p>
        </w:tc>
        <w:tc>
          <w:tcPr>
            <w:tcW w:w="2386" w:type="dxa"/>
            <w:vMerge w:val="continue"/>
            <w:noWrap w:val="0"/>
            <w:vAlign w:val="top"/>
          </w:tcPr>
          <w:p w14:paraId="4B95740B">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left"/>
              <w:textAlignment w:val="auto"/>
              <w:rPr>
                <w:rFonts w:hint="eastAsia" w:ascii="仿宋" w:hAnsi="仿宋" w:eastAsia="仿宋" w:cs="仿宋"/>
                <w:sz w:val="24"/>
                <w:szCs w:val="24"/>
              </w:rPr>
            </w:pPr>
          </w:p>
        </w:tc>
      </w:tr>
      <w:tr w14:paraId="218ED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9" w:hRule="exact"/>
        </w:trPr>
        <w:tc>
          <w:tcPr>
            <w:tcW w:w="932" w:type="dxa"/>
            <w:vMerge w:val="continue"/>
            <w:noWrap w:val="0"/>
            <w:vAlign w:val="top"/>
          </w:tcPr>
          <w:p w14:paraId="2CD9DD16">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left"/>
              <w:textAlignment w:val="auto"/>
              <w:rPr>
                <w:rFonts w:hint="eastAsia" w:ascii="仿宋" w:hAnsi="仿宋" w:eastAsia="仿宋" w:cs="仿宋"/>
                <w:sz w:val="24"/>
                <w:szCs w:val="24"/>
              </w:rPr>
            </w:pPr>
          </w:p>
        </w:tc>
        <w:tc>
          <w:tcPr>
            <w:tcW w:w="1586" w:type="dxa"/>
            <w:noWrap w:val="0"/>
            <w:vAlign w:val="center"/>
          </w:tcPr>
          <w:p w14:paraId="72CB0CD9">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帐　　号</w:t>
            </w:r>
          </w:p>
        </w:tc>
        <w:tc>
          <w:tcPr>
            <w:tcW w:w="4418" w:type="dxa"/>
            <w:gridSpan w:val="6"/>
            <w:noWrap w:val="0"/>
            <w:vAlign w:val="center"/>
          </w:tcPr>
          <w:p w14:paraId="7C18BD29">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center"/>
              <w:textAlignment w:val="auto"/>
              <w:rPr>
                <w:rFonts w:hint="eastAsia" w:ascii="仿宋" w:hAnsi="仿宋" w:eastAsia="仿宋" w:cs="仿宋"/>
                <w:sz w:val="24"/>
                <w:szCs w:val="24"/>
              </w:rPr>
            </w:pPr>
          </w:p>
        </w:tc>
        <w:tc>
          <w:tcPr>
            <w:tcW w:w="2386" w:type="dxa"/>
            <w:vMerge w:val="continue"/>
            <w:noWrap w:val="0"/>
            <w:vAlign w:val="top"/>
          </w:tcPr>
          <w:p w14:paraId="2D628A82">
            <w:pPr>
              <w:keepNext w:val="0"/>
              <w:keepLines w:val="0"/>
              <w:pageBreakBefore w:val="0"/>
              <w:widowControl w:val="0"/>
              <w:kinsoku/>
              <w:overflowPunct/>
              <w:topLinePunct w:val="0"/>
              <w:autoSpaceDE/>
              <w:autoSpaceDN/>
              <w:bidi w:val="0"/>
              <w:adjustRightInd/>
              <w:snapToGrid/>
              <w:spacing w:line="240" w:lineRule="auto"/>
              <w:ind w:left="0" w:right="0" w:rightChars="0" w:firstLine="0" w:firstLineChars="0"/>
              <w:jc w:val="left"/>
              <w:textAlignment w:val="auto"/>
              <w:rPr>
                <w:rFonts w:hint="eastAsia" w:ascii="仿宋" w:hAnsi="仿宋" w:eastAsia="仿宋" w:cs="仿宋"/>
                <w:sz w:val="24"/>
                <w:szCs w:val="24"/>
              </w:rPr>
            </w:pPr>
          </w:p>
        </w:tc>
      </w:tr>
    </w:tbl>
    <w:p w14:paraId="13E20D4D">
      <w:pPr>
        <w:spacing w:before="312" w:beforeLines="100" w:after="312" w:afterLines="100" w:line="360" w:lineRule="auto"/>
        <w:rPr>
          <w:rFonts w:hint="eastAsia" w:ascii="仿宋" w:hAnsi="仿宋" w:eastAsia="仿宋" w:cs="仿宋"/>
          <w:color w:val="000000"/>
          <w:sz w:val="28"/>
          <w:szCs w:val="28"/>
        </w:rPr>
      </w:pPr>
    </w:p>
    <w:p w14:paraId="4CBEC008">
      <w:pPr>
        <w:pStyle w:val="2"/>
        <w:rPr>
          <w:rFonts w:hint="eastAsia" w:ascii="仿宋" w:hAnsi="仿宋" w:eastAsia="仿宋"/>
          <w:color w:val="000000"/>
          <w:sz w:val="28"/>
          <w:szCs w:val="28"/>
          <w:lang w:val="en-US" w:eastAsia="zh-CN"/>
        </w:rPr>
      </w:pPr>
      <w:r>
        <w:rPr>
          <w:rFonts w:hint="eastAsia" w:ascii="仿宋" w:hAnsi="仿宋" w:eastAsia="仿宋"/>
          <w:color w:val="000000"/>
          <w:sz w:val="28"/>
          <w:szCs w:val="28"/>
          <w:lang w:val="en-US" w:eastAsia="zh-CN"/>
        </w:rPr>
        <w:t>附件：乙方代理团队信息</w:t>
      </w:r>
    </w:p>
    <w:p w14:paraId="704366BC">
      <w:pPr>
        <w:pStyle w:val="2"/>
        <w:rPr>
          <w:rFonts w:hint="eastAsia" w:ascii="仿宋" w:hAnsi="仿宋" w:eastAsia="仿宋"/>
          <w:color w:val="000000"/>
          <w:sz w:val="28"/>
          <w:szCs w:val="28"/>
          <w:lang w:val="en-US" w:eastAsia="zh-CN"/>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90"/>
        <w:gridCol w:w="2946"/>
        <w:gridCol w:w="3286"/>
      </w:tblGrid>
      <w:tr w14:paraId="12E0E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0" w:type="dxa"/>
          </w:tcPr>
          <w:p w14:paraId="35C0CF51">
            <w:pPr>
              <w:pStyle w:val="2"/>
              <w:rPr>
                <w:rFonts w:hint="default" w:ascii="仿宋" w:hAnsi="仿宋" w:eastAsia="仿宋"/>
                <w:color w:val="000000"/>
                <w:sz w:val="28"/>
                <w:szCs w:val="28"/>
                <w:vertAlign w:val="baseline"/>
                <w:lang w:val="en-US" w:eastAsia="zh-CN"/>
              </w:rPr>
            </w:pPr>
            <w:r>
              <w:rPr>
                <w:rFonts w:hint="eastAsia" w:ascii="仿宋" w:hAnsi="仿宋" w:eastAsia="仿宋"/>
                <w:color w:val="000000"/>
                <w:sz w:val="28"/>
                <w:szCs w:val="28"/>
                <w:vertAlign w:val="baseline"/>
                <w:lang w:val="en-US" w:eastAsia="zh-CN"/>
              </w:rPr>
              <w:t>姓名</w:t>
            </w:r>
          </w:p>
        </w:tc>
        <w:tc>
          <w:tcPr>
            <w:tcW w:w="2946" w:type="dxa"/>
          </w:tcPr>
          <w:p w14:paraId="484B250F">
            <w:pPr>
              <w:pStyle w:val="2"/>
              <w:rPr>
                <w:rFonts w:hint="default" w:ascii="仿宋" w:hAnsi="仿宋" w:eastAsia="仿宋"/>
                <w:color w:val="000000"/>
                <w:sz w:val="28"/>
                <w:szCs w:val="28"/>
                <w:vertAlign w:val="baseline"/>
                <w:lang w:val="en-US" w:eastAsia="zh-CN"/>
              </w:rPr>
            </w:pPr>
            <w:r>
              <w:rPr>
                <w:rFonts w:hint="eastAsia" w:ascii="仿宋" w:hAnsi="仿宋" w:eastAsia="仿宋"/>
                <w:color w:val="000000"/>
                <w:sz w:val="28"/>
                <w:szCs w:val="28"/>
                <w:vertAlign w:val="baseline"/>
                <w:lang w:val="en-US" w:eastAsia="zh-CN"/>
              </w:rPr>
              <w:t>本项目担任职务</w:t>
            </w:r>
          </w:p>
        </w:tc>
        <w:tc>
          <w:tcPr>
            <w:tcW w:w="3286" w:type="dxa"/>
          </w:tcPr>
          <w:p w14:paraId="02308E5C">
            <w:pPr>
              <w:pStyle w:val="2"/>
              <w:rPr>
                <w:rFonts w:hint="default" w:ascii="仿宋" w:hAnsi="仿宋" w:eastAsia="仿宋"/>
                <w:color w:val="000000"/>
                <w:sz w:val="28"/>
                <w:szCs w:val="28"/>
                <w:vertAlign w:val="baseline"/>
                <w:lang w:val="en-US" w:eastAsia="zh-CN"/>
              </w:rPr>
            </w:pPr>
            <w:r>
              <w:rPr>
                <w:rFonts w:hint="eastAsia" w:ascii="仿宋" w:hAnsi="仿宋" w:eastAsia="仿宋"/>
                <w:color w:val="000000"/>
                <w:sz w:val="28"/>
                <w:szCs w:val="28"/>
                <w:vertAlign w:val="baseline"/>
                <w:lang w:val="en-US" w:eastAsia="zh-CN"/>
              </w:rPr>
              <w:t>律师执业证号</w:t>
            </w:r>
          </w:p>
        </w:tc>
      </w:tr>
      <w:tr w14:paraId="487D7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2290" w:type="dxa"/>
          </w:tcPr>
          <w:p w14:paraId="78E911D0">
            <w:pPr>
              <w:pStyle w:val="2"/>
              <w:rPr>
                <w:rFonts w:hint="default" w:ascii="仿宋" w:hAnsi="仿宋" w:eastAsia="仿宋"/>
                <w:color w:val="000000"/>
                <w:sz w:val="28"/>
                <w:szCs w:val="28"/>
                <w:vertAlign w:val="baseline"/>
                <w:lang w:val="en-US" w:eastAsia="zh-CN"/>
              </w:rPr>
            </w:pPr>
          </w:p>
        </w:tc>
        <w:tc>
          <w:tcPr>
            <w:tcW w:w="2946" w:type="dxa"/>
          </w:tcPr>
          <w:p w14:paraId="4D31A020">
            <w:pPr>
              <w:pStyle w:val="2"/>
              <w:rPr>
                <w:rFonts w:hint="eastAsia" w:ascii="仿宋" w:hAnsi="仿宋" w:eastAsia="仿宋" w:cs="仿宋"/>
                <w:color w:val="000000"/>
                <w:sz w:val="28"/>
                <w:szCs w:val="28"/>
                <w:vertAlign w:val="baseline"/>
                <w:lang w:val="en-US" w:eastAsia="zh-CN"/>
              </w:rPr>
            </w:pPr>
          </w:p>
        </w:tc>
        <w:tc>
          <w:tcPr>
            <w:tcW w:w="3286" w:type="dxa"/>
          </w:tcPr>
          <w:p w14:paraId="3F164F5D">
            <w:pPr>
              <w:pStyle w:val="2"/>
              <w:rPr>
                <w:rFonts w:hint="eastAsia" w:ascii="仿宋" w:hAnsi="仿宋" w:eastAsia="仿宋" w:cs="仿宋"/>
                <w:color w:val="000000"/>
                <w:sz w:val="28"/>
                <w:szCs w:val="28"/>
                <w:vertAlign w:val="baseline"/>
                <w:lang w:val="en-US" w:eastAsia="zh-CN"/>
              </w:rPr>
            </w:pPr>
          </w:p>
        </w:tc>
      </w:tr>
      <w:tr w14:paraId="6B620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2290" w:type="dxa"/>
          </w:tcPr>
          <w:p w14:paraId="39E8BD60">
            <w:pPr>
              <w:pStyle w:val="2"/>
              <w:rPr>
                <w:rFonts w:hint="default" w:ascii="仿宋" w:hAnsi="仿宋" w:eastAsia="仿宋"/>
                <w:color w:val="000000"/>
                <w:sz w:val="28"/>
                <w:szCs w:val="28"/>
                <w:vertAlign w:val="baseline"/>
                <w:lang w:val="en-US" w:eastAsia="zh-CN"/>
              </w:rPr>
            </w:pPr>
          </w:p>
        </w:tc>
        <w:tc>
          <w:tcPr>
            <w:tcW w:w="2946" w:type="dxa"/>
          </w:tcPr>
          <w:p w14:paraId="03CE0D50">
            <w:pPr>
              <w:pStyle w:val="2"/>
              <w:rPr>
                <w:rFonts w:hint="eastAsia" w:ascii="仿宋" w:hAnsi="仿宋" w:eastAsia="仿宋" w:cs="仿宋"/>
                <w:color w:val="000000"/>
                <w:sz w:val="28"/>
                <w:szCs w:val="28"/>
                <w:vertAlign w:val="baseline"/>
                <w:lang w:val="en-US" w:eastAsia="zh-CN"/>
              </w:rPr>
            </w:pPr>
          </w:p>
        </w:tc>
        <w:tc>
          <w:tcPr>
            <w:tcW w:w="3286" w:type="dxa"/>
          </w:tcPr>
          <w:p w14:paraId="68F14F1E">
            <w:pPr>
              <w:pStyle w:val="2"/>
              <w:rPr>
                <w:rFonts w:hint="eastAsia" w:ascii="仿宋" w:hAnsi="仿宋" w:eastAsia="仿宋" w:cs="仿宋"/>
                <w:color w:val="000000"/>
                <w:sz w:val="28"/>
                <w:szCs w:val="28"/>
                <w:vertAlign w:val="baseline"/>
                <w:lang w:val="en-US" w:eastAsia="zh-CN"/>
              </w:rPr>
            </w:pPr>
          </w:p>
        </w:tc>
      </w:tr>
    </w:tbl>
    <w:p w14:paraId="23FFF2F5">
      <w:pPr>
        <w:pStyle w:val="2"/>
        <w:ind w:left="0" w:leftChars="0" w:firstLine="0" w:firstLineChars="0"/>
        <w:rPr>
          <w:rFonts w:hint="default" w:ascii="仿宋" w:hAnsi="仿宋" w:eastAsia="仿宋"/>
          <w:color w:val="000000"/>
          <w:sz w:val="28"/>
          <w:szCs w:val="28"/>
          <w:lang w:val="en-US" w:eastAsia="zh-CN"/>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7B0D56">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D10F5C">
                          <w:pPr>
                            <w:pStyle w:val="8"/>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2CD10F5C">
                    <w:pPr>
                      <w:pStyle w:val="8"/>
                    </w:pPr>
                    <w:r>
                      <w:fldChar w:fldCharType="begin"/>
                    </w:r>
                    <w:r>
                      <w:instrText xml:space="preserve"> PAGE  \* MERGEFORMAT </w:instrText>
                    </w:r>
                    <w:r>
                      <w:fldChar w:fldCharType="separate"/>
                    </w:r>
                    <w:r>
                      <w:t>6</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IyY2Q5MDkzNTI4OTE3MDhhZDE3OWRjNGZiZGYzMjMifQ=="/>
  </w:docVars>
  <w:rsids>
    <w:rsidRoot w:val="4A860FA3"/>
    <w:rsid w:val="00492766"/>
    <w:rsid w:val="004D7B95"/>
    <w:rsid w:val="006166DE"/>
    <w:rsid w:val="00723696"/>
    <w:rsid w:val="007C1C3D"/>
    <w:rsid w:val="00883E29"/>
    <w:rsid w:val="00912877"/>
    <w:rsid w:val="00996EA4"/>
    <w:rsid w:val="00BB309E"/>
    <w:rsid w:val="00D623D4"/>
    <w:rsid w:val="00E55831"/>
    <w:rsid w:val="00FA066F"/>
    <w:rsid w:val="0592148E"/>
    <w:rsid w:val="05971300"/>
    <w:rsid w:val="066B440D"/>
    <w:rsid w:val="08290247"/>
    <w:rsid w:val="0879616F"/>
    <w:rsid w:val="0A6C23BC"/>
    <w:rsid w:val="0AE147AE"/>
    <w:rsid w:val="0BA45E4E"/>
    <w:rsid w:val="0CDA5FE0"/>
    <w:rsid w:val="0E563EA2"/>
    <w:rsid w:val="0E83792A"/>
    <w:rsid w:val="0FD440C1"/>
    <w:rsid w:val="0FD80D2C"/>
    <w:rsid w:val="10A16FC2"/>
    <w:rsid w:val="11641C95"/>
    <w:rsid w:val="11B8120C"/>
    <w:rsid w:val="120020B0"/>
    <w:rsid w:val="14710D4F"/>
    <w:rsid w:val="14901E5F"/>
    <w:rsid w:val="155F2E98"/>
    <w:rsid w:val="158A5A42"/>
    <w:rsid w:val="18AB368B"/>
    <w:rsid w:val="197477E9"/>
    <w:rsid w:val="1A1D7C06"/>
    <w:rsid w:val="1AB3561B"/>
    <w:rsid w:val="1B165740"/>
    <w:rsid w:val="1B9C58A6"/>
    <w:rsid w:val="1BCA1284"/>
    <w:rsid w:val="1D9F2941"/>
    <w:rsid w:val="1E691600"/>
    <w:rsid w:val="1F231E9F"/>
    <w:rsid w:val="22857754"/>
    <w:rsid w:val="230759B9"/>
    <w:rsid w:val="23D02D25"/>
    <w:rsid w:val="251E1F10"/>
    <w:rsid w:val="254D00F8"/>
    <w:rsid w:val="25931AE1"/>
    <w:rsid w:val="25B96CC9"/>
    <w:rsid w:val="27595920"/>
    <w:rsid w:val="28375347"/>
    <w:rsid w:val="2ABC13A4"/>
    <w:rsid w:val="2AFC55AA"/>
    <w:rsid w:val="2BA6711E"/>
    <w:rsid w:val="2D700672"/>
    <w:rsid w:val="2DEF7C80"/>
    <w:rsid w:val="309F63EE"/>
    <w:rsid w:val="324956A6"/>
    <w:rsid w:val="327F5F55"/>
    <w:rsid w:val="385F72C1"/>
    <w:rsid w:val="38A73031"/>
    <w:rsid w:val="39297796"/>
    <w:rsid w:val="3A863D24"/>
    <w:rsid w:val="3B126BA1"/>
    <w:rsid w:val="3D3C730C"/>
    <w:rsid w:val="3EBF23FF"/>
    <w:rsid w:val="3F6031EC"/>
    <w:rsid w:val="42EC1173"/>
    <w:rsid w:val="431E31A2"/>
    <w:rsid w:val="431F08F7"/>
    <w:rsid w:val="46C2653A"/>
    <w:rsid w:val="47E44CD8"/>
    <w:rsid w:val="489B2989"/>
    <w:rsid w:val="49032A85"/>
    <w:rsid w:val="4A413C1A"/>
    <w:rsid w:val="4A860FA3"/>
    <w:rsid w:val="4BC73CDE"/>
    <w:rsid w:val="4BCD7E5B"/>
    <w:rsid w:val="4BFC6736"/>
    <w:rsid w:val="4EDC2227"/>
    <w:rsid w:val="4F9D2185"/>
    <w:rsid w:val="524667D5"/>
    <w:rsid w:val="525D688B"/>
    <w:rsid w:val="52F201BD"/>
    <w:rsid w:val="56E76137"/>
    <w:rsid w:val="58530F08"/>
    <w:rsid w:val="5A930F7E"/>
    <w:rsid w:val="5F1F0576"/>
    <w:rsid w:val="605B3D99"/>
    <w:rsid w:val="60A61D76"/>
    <w:rsid w:val="66A575B3"/>
    <w:rsid w:val="66B61305"/>
    <w:rsid w:val="66B650CD"/>
    <w:rsid w:val="66FB3E99"/>
    <w:rsid w:val="67373466"/>
    <w:rsid w:val="67734CEA"/>
    <w:rsid w:val="68462BA9"/>
    <w:rsid w:val="68D50697"/>
    <w:rsid w:val="693115D2"/>
    <w:rsid w:val="697035A3"/>
    <w:rsid w:val="698E5CF5"/>
    <w:rsid w:val="6A102F5C"/>
    <w:rsid w:val="6BA476B0"/>
    <w:rsid w:val="6CD877C3"/>
    <w:rsid w:val="6DD701DB"/>
    <w:rsid w:val="6E386F5E"/>
    <w:rsid w:val="6F0469DF"/>
    <w:rsid w:val="70830BF9"/>
    <w:rsid w:val="73115909"/>
    <w:rsid w:val="757840E4"/>
    <w:rsid w:val="766D6EEB"/>
    <w:rsid w:val="7703296B"/>
    <w:rsid w:val="7876310C"/>
    <w:rsid w:val="78792B34"/>
    <w:rsid w:val="79BF7EA0"/>
    <w:rsid w:val="7A1433FE"/>
    <w:rsid w:val="7A4B35FF"/>
    <w:rsid w:val="7AF21D79"/>
    <w:rsid w:val="7B5F685A"/>
    <w:rsid w:val="7BD91758"/>
    <w:rsid w:val="7CB57E40"/>
    <w:rsid w:val="7D6C1F1A"/>
    <w:rsid w:val="7DEB352F"/>
    <w:rsid w:val="7ECC4792"/>
    <w:rsid w:val="7F320972"/>
    <w:rsid w:val="9EFF6ADC"/>
    <w:rsid w:val="EF3FBC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2">
    <w:name w:val="Default Paragraph Font"/>
    <w:autoRedefine/>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szCs w:val="24"/>
    </w:rPr>
  </w:style>
  <w:style w:type="paragraph" w:styleId="3">
    <w:name w:val="Body Text Indent"/>
    <w:basedOn w:val="1"/>
    <w:qFormat/>
    <w:uiPriority w:val="0"/>
    <w:pPr>
      <w:adjustRightInd w:val="0"/>
      <w:spacing w:line="360" w:lineRule="exact"/>
      <w:ind w:firstLine="420"/>
      <w:textAlignment w:val="baseline"/>
    </w:pPr>
    <w:rPr>
      <w:rFonts w:ascii="楷体_GB2312" w:eastAsia="楷体_GB2312"/>
      <w:sz w:val="24"/>
      <w:szCs w:val="20"/>
    </w:rPr>
  </w:style>
  <w:style w:type="paragraph" w:styleId="4">
    <w:name w:val="Normal Indent"/>
    <w:basedOn w:val="1"/>
    <w:next w:val="5"/>
    <w:qFormat/>
    <w:uiPriority w:val="0"/>
    <w:pPr>
      <w:spacing w:before="50" w:beforeLines="50"/>
      <w:ind w:firstLine="482"/>
    </w:pPr>
    <w:rPr>
      <w:rFonts w:ascii="Times New Roman" w:hAnsi="Times New Roman"/>
      <w:sz w:val="24"/>
      <w:szCs w:val="20"/>
    </w:rPr>
  </w:style>
  <w:style w:type="paragraph" w:styleId="5">
    <w:name w:val="envelope return"/>
    <w:basedOn w:val="1"/>
    <w:qFormat/>
    <w:uiPriority w:val="0"/>
    <w:pPr>
      <w:snapToGrid w:val="0"/>
    </w:pPr>
    <w:rPr>
      <w:rFonts w:ascii="Arial" w:hAnsi="Arial"/>
    </w:rPr>
  </w:style>
  <w:style w:type="paragraph" w:styleId="6">
    <w:name w:val="annotation text"/>
    <w:basedOn w:val="1"/>
    <w:qFormat/>
    <w:uiPriority w:val="0"/>
    <w:pPr>
      <w:jc w:val="left"/>
    </w:pPr>
  </w:style>
  <w:style w:type="paragraph" w:styleId="7">
    <w:name w:val="Plain Text"/>
    <w:basedOn w:val="1"/>
    <w:qFormat/>
    <w:uiPriority w:val="0"/>
    <w:rPr>
      <w:rFonts w:ascii="宋体" w:hAnsi="Courier New"/>
      <w:szCs w:val="20"/>
    </w:rPr>
  </w:style>
  <w:style w:type="paragraph" w:styleId="8">
    <w:name w:val="footer"/>
    <w:basedOn w:val="1"/>
    <w:autoRedefine/>
    <w:unhideWhenUsed/>
    <w:qFormat/>
    <w:uiPriority w:val="99"/>
    <w:pPr>
      <w:tabs>
        <w:tab w:val="center" w:pos="4153"/>
        <w:tab w:val="right" w:pos="8306"/>
      </w:tabs>
      <w:snapToGrid w:val="0"/>
      <w:jc w:val="left"/>
    </w:pPr>
    <w:rPr>
      <w:sz w:val="18"/>
      <w:szCs w:val="18"/>
    </w:rPr>
  </w:style>
  <w:style w:type="paragraph" w:styleId="9">
    <w:name w:val="header"/>
    <w:basedOn w:val="1"/>
    <w:autoRedefine/>
    <w:unhideWhenUsed/>
    <w:qFormat/>
    <w:uiPriority w:val="0"/>
    <w:pPr>
      <w:pBdr>
        <w:bottom w:val="single" w:color="auto" w:sz="6" w:space="1"/>
      </w:pBdr>
      <w:tabs>
        <w:tab w:val="center" w:pos="4153"/>
        <w:tab w:val="right" w:pos="8306"/>
      </w:tabs>
      <w:snapToGrid w:val="0"/>
      <w:jc w:val="center"/>
    </w:pPr>
    <w:rPr>
      <w:sz w:val="18"/>
      <w:szCs w:val="1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列出段落1"/>
    <w:basedOn w:val="1"/>
    <w:qFormat/>
    <w:uiPriority w:val="34"/>
    <w:pPr>
      <w:ind w:firstLine="420" w:firstLineChars="200"/>
    </w:pPr>
  </w:style>
  <w:style w:type="paragraph" w:styleId="14">
    <w:name w:val="List Paragraph"/>
    <w:basedOn w:val="1"/>
    <w:unhideWhenUsed/>
    <w:qFormat/>
    <w:uiPriority w:val="99"/>
    <w:pPr>
      <w:ind w:firstLine="420" w:firstLineChars="200"/>
    </w:pPr>
  </w:style>
  <w:style w:type="paragraph" w:customStyle="1" w:styleId="15">
    <w:name w:val="纯文本3"/>
    <w:basedOn w:val="1"/>
    <w:autoRedefine/>
    <w:qFormat/>
    <w:uiPriority w:val="0"/>
    <w:pPr>
      <w:autoSpaceDE w:val="0"/>
      <w:autoSpaceDN w:val="0"/>
      <w:adjustRightInd w:val="0"/>
      <w:textAlignment w:val="baseline"/>
    </w:pPr>
    <w:rPr>
      <w:rFonts w:ascii="宋体"/>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2106</Words>
  <Characters>2161</Characters>
  <Lines>16</Lines>
  <Paragraphs>4</Paragraphs>
  <TotalTime>5</TotalTime>
  <ScaleCrop>false</ScaleCrop>
  <LinksUpToDate>false</LinksUpToDate>
  <CharactersWithSpaces>2257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2024-04-22T17:34:00Z</dcterms:created>
  <dc:creator>zhanglunmin</dc:creator>
  <cp:lastModifiedBy>King Ying</cp:lastModifiedBy>
  <cp:lastPrinted>2025-07-03T00:59:00Z</cp:lastPrinted>
  <dcterms:modified xsi:type="dcterms:W3CDTF">2026-03-26T07:03:12Z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5DA4F27664404C9482FCB0A14E565E24_13</vt:lpwstr>
  </property>
  <property fmtid="{D5CDD505-2E9C-101B-9397-08002B2CF9AE}" pid="4" name="KSOTemplateDocerSaveRecord">
    <vt:lpwstr>eyJoZGlkIjoiYTQ3YjZkMTViZjY1OWFiZmUwNjBhOTM2MzY2OWE4OWMiLCJ1c2VySWQiOiIxMjA2NzE0OTIzIn0=</vt:lpwstr>
  </property>
</Properties>
</file>