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F850ED">
      <w:pPr>
        <w:keepNext w:val="0"/>
        <w:keepLines w:val="0"/>
        <w:widowControl w:val="0"/>
        <w:suppressLineNumbers w:val="0"/>
        <w:spacing w:before="0" w:beforeAutospacing="0" w:after="0" w:afterAutospacing="0"/>
        <w:ind w:left="0" w:right="0" w:firstLine="3654" w:firstLineChars="1300"/>
        <w:jc w:val="both"/>
        <w:rPr>
          <w:rFonts w:hint="eastAsia" w:ascii="宋体" w:hAnsi="宋体" w:eastAsia="宋体" w:cs="宋体"/>
          <w:color w:val="FF0000"/>
          <w:szCs w:val="21"/>
          <w:lang w:val="en-US"/>
        </w:rPr>
      </w:pPr>
      <w:r>
        <w:rPr>
          <w:rFonts w:hint="eastAsia" w:ascii="宋体" w:hAnsi="宋体" w:eastAsia="黑体" w:cs="黑体"/>
          <w:b/>
          <w:bCs/>
          <w:color w:val="FF0000"/>
          <w:kern w:val="44"/>
          <w:sz w:val="28"/>
          <w:szCs w:val="44"/>
          <w:lang w:val="en-US" w:eastAsia="zh-CN" w:bidi="ar"/>
        </w:rPr>
        <w:t>特别警示条款</w:t>
      </w:r>
    </w:p>
    <w:p w14:paraId="34EB9CFB">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240" w:afterLines="100" w:afterAutospacing="0" w:line="400" w:lineRule="exact"/>
        <w:ind w:left="0" w:right="0" w:firstLine="422" w:firstLineChars="200"/>
        <w:jc w:val="both"/>
        <w:rPr>
          <w:rFonts w:hint="eastAsia" w:ascii="宋体" w:hAnsi="宋体" w:eastAsia="宋体" w:cs="宋体"/>
          <w:b/>
          <w:bCs/>
          <w:color w:val="FF0000"/>
          <w:sz w:val="21"/>
          <w:szCs w:val="21"/>
          <w:highlight w:val="yellow"/>
          <w:lang w:val="en-US"/>
        </w:rPr>
      </w:pPr>
      <w:r>
        <w:rPr>
          <w:rFonts w:hint="eastAsia" w:ascii="宋体" w:hAnsi="宋体" w:eastAsia="宋体" w:cs="宋体"/>
          <w:b/>
          <w:bCs/>
          <w:color w:val="FF0000"/>
          <w:kern w:val="2"/>
          <w:sz w:val="21"/>
          <w:szCs w:val="21"/>
          <w:highlight w:val="yellow"/>
          <w:lang w:val="en-US" w:eastAsia="zh-CN" w:bidi="ar"/>
        </w:rPr>
        <w:t>本项目为自行采购项目，参照《深圳经济特区政府采购条例》、《深圳经济特区政府采购条例实施细则》及政府采购其他法律法规，按照采购人内控制度，通过公开招标方式确定中标供应商。参与本项目采购活动的供应商应认真阅读以下特别警示条款，不得存在以下所列禁止情形，一旦发现，将被处以记入供应商诚信档案、罚款、取消参与政府采购资格、吊销营业执照等处罚；构成犯罪的，依法追究刑事责任。</w:t>
      </w:r>
    </w:p>
    <w:tbl>
      <w:tblPr>
        <w:tblStyle w:val="14"/>
        <w:tblW w:w="9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11"/>
        <w:gridCol w:w="8223"/>
      </w:tblGrid>
      <w:tr w14:paraId="0A813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4625F479">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序号</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42BEE093">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FF0000"/>
                <w:sz w:val="21"/>
                <w:szCs w:val="21"/>
                <w:lang w:val="en-US"/>
              </w:rPr>
            </w:pPr>
            <w:r>
              <w:rPr>
                <w:rFonts w:hint="eastAsia" w:ascii="宋体" w:hAnsi="宋体" w:eastAsia="宋体" w:cs="宋体"/>
                <w:b/>
                <w:bCs/>
                <w:color w:val="FF0000"/>
                <w:kern w:val="2"/>
                <w:sz w:val="21"/>
                <w:szCs w:val="21"/>
                <w:lang w:val="en-US" w:eastAsia="zh-CN" w:bidi="ar"/>
              </w:rPr>
              <w:t>供应商参与投标禁止情形</w:t>
            </w:r>
          </w:p>
        </w:tc>
      </w:tr>
      <w:tr w14:paraId="59C1A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47CE3DF0">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1</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3CEF739A">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与其他投标供应商的法定代表人、主要经营负责人、投标授权代表人、项目负责人、主要技术人员为</w:t>
            </w:r>
            <w:r>
              <w:rPr>
                <w:rFonts w:hint="eastAsia" w:ascii="宋体" w:hAnsi="宋体" w:eastAsia="宋体" w:cs="宋体"/>
                <w:b/>
                <w:bCs/>
                <w:color w:val="FF0000"/>
                <w:kern w:val="2"/>
                <w:sz w:val="21"/>
                <w:szCs w:val="21"/>
                <w:lang w:val="en-US" w:eastAsia="zh-CN" w:bidi="ar"/>
              </w:rPr>
              <w:t>同一人、属同一单位或者在同一单位缴纳社会保险</w:t>
            </w:r>
            <w:r>
              <w:rPr>
                <w:rFonts w:hint="eastAsia" w:ascii="宋体" w:hAnsi="宋体" w:eastAsia="宋体" w:cs="宋体"/>
                <w:color w:val="FF0000"/>
                <w:kern w:val="2"/>
                <w:sz w:val="21"/>
                <w:szCs w:val="21"/>
                <w:lang w:val="en-US" w:eastAsia="zh-CN" w:bidi="ar"/>
              </w:rPr>
              <w:t>。</w:t>
            </w:r>
          </w:p>
        </w:tc>
      </w:tr>
      <w:tr w14:paraId="65ED5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59818237">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2</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2D95B2CA">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参与本项目采购活动时，与其他投标供应商存在单位负责人为</w:t>
            </w:r>
            <w:r>
              <w:rPr>
                <w:rFonts w:hint="eastAsia" w:ascii="宋体" w:hAnsi="宋体" w:eastAsia="宋体" w:cs="宋体"/>
                <w:b/>
                <w:bCs/>
                <w:color w:val="FF0000"/>
                <w:kern w:val="2"/>
                <w:sz w:val="21"/>
                <w:szCs w:val="21"/>
                <w:lang w:val="en-US" w:eastAsia="zh-CN" w:bidi="ar"/>
              </w:rPr>
              <w:t>同一人或直接控股、管理关系</w:t>
            </w:r>
            <w:r>
              <w:rPr>
                <w:rFonts w:hint="eastAsia" w:ascii="宋体" w:hAnsi="宋体" w:eastAsia="宋体" w:cs="宋体"/>
                <w:color w:val="FF0000"/>
                <w:kern w:val="2"/>
                <w:sz w:val="21"/>
                <w:szCs w:val="21"/>
                <w:lang w:val="en-US" w:eastAsia="zh-CN" w:bidi="ar"/>
              </w:rPr>
              <w:t>。</w:t>
            </w:r>
          </w:p>
        </w:tc>
      </w:tr>
      <w:tr w14:paraId="637A5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1810F6DC">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3</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75350F7C">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与其他投标供应商的投标文件或部分投标文件</w:t>
            </w:r>
            <w:r>
              <w:rPr>
                <w:rFonts w:hint="eastAsia" w:ascii="宋体" w:hAnsi="宋体" w:eastAsia="宋体" w:cs="宋体"/>
                <w:b/>
                <w:bCs/>
                <w:color w:val="FF0000"/>
                <w:kern w:val="2"/>
                <w:sz w:val="21"/>
                <w:szCs w:val="21"/>
                <w:lang w:val="en-US" w:eastAsia="zh-CN" w:bidi="ar"/>
              </w:rPr>
              <w:t>相互混装或存在非正常一致</w:t>
            </w:r>
            <w:r>
              <w:rPr>
                <w:rFonts w:hint="eastAsia" w:ascii="宋体" w:hAnsi="宋体" w:eastAsia="宋体" w:cs="宋体"/>
                <w:color w:val="FF0000"/>
                <w:kern w:val="2"/>
                <w:sz w:val="21"/>
                <w:szCs w:val="21"/>
                <w:lang w:val="en-US" w:eastAsia="zh-CN" w:bidi="ar"/>
              </w:rPr>
              <w:t>。</w:t>
            </w:r>
          </w:p>
        </w:tc>
      </w:tr>
      <w:tr w14:paraId="07B68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7892D1F7">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4</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10FF7837">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与其他投标供应商的投标文件由</w:t>
            </w:r>
            <w:r>
              <w:rPr>
                <w:rFonts w:hint="eastAsia" w:ascii="宋体" w:hAnsi="宋体" w:eastAsia="宋体" w:cs="宋体"/>
                <w:b/>
                <w:bCs/>
                <w:color w:val="FF0000"/>
                <w:kern w:val="2"/>
                <w:sz w:val="21"/>
                <w:szCs w:val="21"/>
                <w:lang w:val="en-US" w:eastAsia="zh-CN" w:bidi="ar"/>
              </w:rPr>
              <w:t>同一单位或者同一人编制</w:t>
            </w:r>
            <w:r>
              <w:rPr>
                <w:rFonts w:hint="eastAsia" w:ascii="宋体" w:hAnsi="宋体" w:eastAsia="宋体" w:cs="宋体"/>
                <w:color w:val="FF0000"/>
                <w:kern w:val="2"/>
                <w:sz w:val="21"/>
                <w:szCs w:val="21"/>
                <w:lang w:val="en-US" w:eastAsia="zh-CN" w:bidi="ar"/>
              </w:rPr>
              <w:t>，或者使用</w:t>
            </w:r>
            <w:r>
              <w:rPr>
                <w:rFonts w:hint="eastAsia" w:ascii="宋体" w:hAnsi="宋体" w:eastAsia="宋体" w:cs="宋体"/>
                <w:b/>
                <w:bCs/>
                <w:color w:val="FF0000"/>
                <w:kern w:val="2"/>
                <w:sz w:val="21"/>
                <w:szCs w:val="21"/>
                <w:lang w:val="en-US" w:eastAsia="zh-CN" w:bidi="ar"/>
              </w:rPr>
              <w:t>同一设备编制</w:t>
            </w:r>
            <w:r>
              <w:rPr>
                <w:rFonts w:hint="eastAsia" w:ascii="宋体" w:hAnsi="宋体" w:eastAsia="宋体" w:cs="宋体"/>
                <w:color w:val="FF0000"/>
                <w:kern w:val="2"/>
                <w:sz w:val="21"/>
                <w:szCs w:val="21"/>
                <w:lang w:val="en-US" w:eastAsia="zh-CN" w:bidi="ar"/>
              </w:rPr>
              <w:t>。</w:t>
            </w:r>
          </w:p>
        </w:tc>
      </w:tr>
      <w:tr w14:paraId="7C295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16CB6C3C">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5</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635FF3BA">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提供</w:t>
            </w:r>
            <w:r>
              <w:rPr>
                <w:rFonts w:hint="eastAsia" w:ascii="宋体" w:hAnsi="宋体" w:eastAsia="宋体" w:cs="宋体"/>
                <w:b/>
                <w:bCs/>
                <w:color w:val="FF0000"/>
                <w:kern w:val="2"/>
                <w:sz w:val="21"/>
                <w:szCs w:val="21"/>
                <w:lang w:val="en-US" w:eastAsia="zh-CN" w:bidi="ar"/>
              </w:rPr>
              <w:t>未经出具机构核实</w:t>
            </w:r>
            <w:r>
              <w:rPr>
                <w:rFonts w:hint="eastAsia" w:ascii="宋体" w:hAnsi="宋体" w:eastAsia="宋体" w:cs="宋体"/>
                <w:color w:val="FF0000"/>
                <w:kern w:val="2"/>
                <w:sz w:val="21"/>
                <w:szCs w:val="21"/>
                <w:lang w:val="en-US" w:eastAsia="zh-CN" w:bidi="ar"/>
              </w:rPr>
              <w:t>的虚假的检验检测报告、业绩材料、社保缴纳证明、学历学位证书、职称认证证书等材料。</w:t>
            </w:r>
          </w:p>
        </w:tc>
      </w:tr>
      <w:tr w14:paraId="1B440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46E97228">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6</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03076739">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FF0000"/>
                <w:sz w:val="21"/>
                <w:szCs w:val="21"/>
                <w:lang w:val="en-US"/>
              </w:rPr>
            </w:pPr>
            <w:r>
              <w:rPr>
                <w:rFonts w:hint="eastAsia" w:ascii="宋体" w:hAnsi="宋体" w:eastAsia="宋体" w:cs="宋体"/>
                <w:color w:val="FF0000"/>
                <w:sz w:val="21"/>
                <w:szCs w:val="21"/>
                <w:highlight w:val="none"/>
                <w:lang w:val="en-US" w:eastAsia="zh-CN"/>
              </w:rPr>
              <w:t>擅自将投标密钥</w:t>
            </w:r>
            <w:r>
              <w:rPr>
                <w:rFonts w:hint="eastAsia" w:ascii="宋体" w:hAnsi="宋体" w:eastAsia="宋体" w:cs="宋体"/>
                <w:color w:val="FF0000"/>
                <w:sz w:val="21"/>
                <w:szCs w:val="21"/>
                <w:highlight w:val="none"/>
                <w:lang w:eastAsia="zh-CN"/>
              </w:rPr>
              <w:t>或</w:t>
            </w:r>
            <w:r>
              <w:rPr>
                <w:rFonts w:hint="eastAsia" w:ascii="宋体" w:hAnsi="宋体" w:eastAsia="宋体" w:cs="宋体"/>
                <w:color w:val="FF0000"/>
                <w:sz w:val="21"/>
                <w:szCs w:val="21"/>
                <w:highlight w:val="none"/>
                <w:lang w:val="en-US" w:eastAsia="zh-CN"/>
              </w:rPr>
              <w:t>电子营业执照出借他人使用或未妥善保管。</w:t>
            </w:r>
          </w:p>
        </w:tc>
      </w:tr>
    </w:tbl>
    <w:p w14:paraId="2DE5307C">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p>
    <w:p w14:paraId="6EAA3A62">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一、</w:t>
      </w:r>
      <w:r>
        <w:rPr>
          <w:rFonts w:hint="eastAsia" w:ascii="宋体" w:hAnsi="宋体" w:eastAsia="宋体" w:cs="宋体"/>
          <w:b/>
          <w:bCs/>
          <w:color w:val="FF0000"/>
          <w:kern w:val="2"/>
          <w:sz w:val="21"/>
          <w:szCs w:val="21"/>
          <w:lang w:val="en-US" w:eastAsia="zh-CN" w:bidi="ar"/>
        </w:rPr>
        <w:t>《深圳经济特区政府采购条例》第五十七条</w:t>
      </w:r>
      <w:r>
        <w:rPr>
          <w:rFonts w:hint="eastAsia" w:ascii="宋体" w:hAnsi="宋体" w:eastAsia="宋体" w:cs="宋体"/>
          <w:color w:val="FF0000"/>
          <w:kern w:val="2"/>
          <w:sz w:val="21"/>
          <w:szCs w:val="21"/>
          <w:lang w:val="en-US" w:eastAsia="zh-CN" w:bidi="ar"/>
        </w:rPr>
        <w:t xml:space="preserve"> 供应商在政府采购中，有下列行为之一的，一至三年内禁止其参与本市政府采购，并由主管部门记入供应商诚信档案，处采购金额千分之十以上千分之二十以下的罚款；情节严重的，取消其参与本市政府采购资格，处采购金额千分之二十以上千分之三十以下的罚款，并由市场监管部门依法吊销其营业执照；给他人造成损失的，依法承担赔偿责任；构成犯罪的，依法追究刑事责任：</w:t>
      </w:r>
    </w:p>
    <w:p w14:paraId="07F8F777">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（一）在采购活动中应当回避而未回避的；</w:t>
      </w:r>
    </w:p>
    <w:p w14:paraId="558914C0">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（二）未按本条例规定签订、履行采购合同，造成严重后果的；</w:t>
      </w:r>
    </w:p>
    <w:p w14:paraId="7306DD70">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（三）隐瞒真实情况，提供虚假资料的；</w:t>
      </w:r>
    </w:p>
    <w:p w14:paraId="54B67FB6">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（四）以非法手段排斥其他供应商参与竞争的；</w:t>
      </w:r>
    </w:p>
    <w:p w14:paraId="4F611FD9">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（五）与其他采购参加人串通投标的；</w:t>
      </w:r>
    </w:p>
    <w:p w14:paraId="3DF219AB">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（六）恶意投诉的；</w:t>
      </w:r>
    </w:p>
    <w:p w14:paraId="7530CDBB">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（七）向采购项目相关人行贿或者提供其他不当利益的；</w:t>
      </w:r>
    </w:p>
    <w:p w14:paraId="2B528EF7">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（八）阻碍、抗拒主管部门监督检查的；</w:t>
      </w:r>
    </w:p>
    <w:p w14:paraId="0C243F9E">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（九）其他违反本条例规定的行为。</w:t>
      </w:r>
    </w:p>
    <w:p w14:paraId="3BCB3578">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2" w:firstLineChars="200"/>
        <w:jc w:val="both"/>
        <w:rPr>
          <w:rFonts w:hint="eastAsia" w:ascii="宋体" w:hAnsi="宋体" w:eastAsia="宋体" w:cs="宋体"/>
          <w:color w:val="FF0000"/>
          <w:sz w:val="21"/>
          <w:szCs w:val="21"/>
          <w:lang w:val="en-US"/>
        </w:rPr>
      </w:pPr>
      <w:r>
        <w:rPr>
          <w:rFonts w:hint="eastAsia" w:ascii="宋体" w:hAnsi="宋体" w:eastAsia="宋体" w:cs="宋体"/>
          <w:b/>
          <w:bCs/>
          <w:color w:val="FF0000"/>
          <w:kern w:val="2"/>
          <w:sz w:val="21"/>
          <w:szCs w:val="21"/>
          <w:lang w:val="en-US" w:eastAsia="zh-CN" w:bidi="ar"/>
        </w:rPr>
        <w:t xml:space="preserve">二、《深圳经济特区政府采购条例实施细则》第七十五条 </w:t>
      </w:r>
      <w:r>
        <w:rPr>
          <w:rFonts w:hint="eastAsia" w:ascii="宋体" w:hAnsi="宋体" w:eastAsia="宋体" w:cs="宋体"/>
          <w:color w:val="FF0000"/>
          <w:kern w:val="2"/>
          <w:sz w:val="21"/>
          <w:szCs w:val="21"/>
          <w:lang w:val="en-US" w:eastAsia="zh-CN" w:bidi="ar"/>
        </w:rPr>
        <w:t>供应商有下列情形之一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14:paraId="698A7C7C">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2" w:firstLineChars="200"/>
        <w:jc w:val="both"/>
        <w:rPr>
          <w:rFonts w:hint="eastAsia" w:ascii="宋体" w:hAnsi="宋体" w:eastAsia="宋体" w:cs="宋体"/>
          <w:color w:val="FF0000"/>
          <w:sz w:val="21"/>
          <w:szCs w:val="21"/>
          <w:lang w:val="en-US"/>
        </w:rPr>
      </w:pPr>
      <w:r>
        <w:rPr>
          <w:rFonts w:hint="eastAsia" w:ascii="宋体" w:hAnsi="宋体" w:eastAsia="宋体" w:cs="宋体"/>
          <w:b/>
          <w:bCs/>
          <w:color w:val="FF0000"/>
          <w:kern w:val="2"/>
          <w:sz w:val="21"/>
          <w:szCs w:val="21"/>
          <w:lang w:val="en-US" w:eastAsia="zh-CN" w:bidi="ar"/>
        </w:rPr>
        <w:t xml:space="preserve">三、《深圳经济特区政府采购条例实施细则》第七十七条 </w:t>
      </w:r>
      <w:r>
        <w:rPr>
          <w:rFonts w:hint="eastAsia" w:ascii="宋体" w:hAnsi="宋体" w:eastAsia="宋体" w:cs="宋体"/>
          <w:color w:val="FF0000"/>
          <w:kern w:val="2"/>
          <w:sz w:val="21"/>
          <w:szCs w:val="21"/>
          <w:lang w:val="en-US" w:eastAsia="zh-CN" w:bidi="ar"/>
        </w:rPr>
        <w:t>供应商有下列情形之一的，属于隐瞒真实情况，提供虚假资料，按照采购条例第五十七条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14:paraId="7F1E247B">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投标供应商不能提供项目负责人或者主要技术人员的劳动合同、社会保险等劳动关系证明材料的，视为存在前款第（三）项规定的情形。</w:t>
      </w:r>
    </w:p>
    <w:p w14:paraId="12F9F66C">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2" w:firstLineChars="200"/>
        <w:jc w:val="both"/>
        <w:rPr>
          <w:bCs/>
          <w:color w:val="FF0000"/>
          <w:sz w:val="21"/>
          <w:szCs w:val="21"/>
          <w:lang w:val="en-US"/>
        </w:rPr>
      </w:pPr>
      <w:r>
        <w:rPr>
          <w:rFonts w:hint="eastAsia" w:ascii="Times New Roman" w:hAnsi="Times New Roman" w:eastAsia="宋体" w:cs="宋体"/>
          <w:b/>
          <w:bCs w:val="0"/>
          <w:color w:val="FF0000"/>
          <w:kern w:val="2"/>
          <w:sz w:val="21"/>
          <w:szCs w:val="21"/>
          <w:lang w:val="en-US" w:eastAsia="zh-CN" w:bidi="ar"/>
        </w:rPr>
        <w:t>四、根据《深圳经济特区政府采购条例实施细则》第七十五条规定</w:t>
      </w:r>
      <w:r>
        <w:rPr>
          <w:rFonts w:hint="eastAsia" w:ascii="Times New Roman" w:hAnsi="Times New Roman" w:eastAsia="宋体" w:cs="宋体"/>
          <w:bCs/>
          <w:color w:val="FF0000"/>
          <w:kern w:val="2"/>
          <w:sz w:val="21"/>
          <w:szCs w:val="21"/>
          <w:lang w:val="en-US" w:eastAsia="zh-CN" w:bidi="ar"/>
        </w:rPr>
        <w:t>，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w:t>
      </w:r>
      <w:r>
        <w:rPr>
          <w:rFonts w:hint="eastAsia" w:ascii="宋体" w:hAnsi="宋体" w:eastAsia="宋体" w:cs="宋体"/>
          <w:color w:val="FF0000"/>
          <w:kern w:val="2"/>
          <w:sz w:val="21"/>
          <w:szCs w:val="21"/>
          <w:lang w:val="en-US" w:eastAsia="zh-CN" w:bidi="ar"/>
        </w:rPr>
        <w:t>取消参与本市政府采购资格</w:t>
      </w:r>
      <w:r>
        <w:rPr>
          <w:rFonts w:hint="eastAsia" w:ascii="Times New Roman" w:hAnsi="宋体" w:eastAsia="宋体" w:cs="宋体"/>
          <w:color w:val="FF0000"/>
          <w:kern w:val="2"/>
          <w:sz w:val="21"/>
          <w:szCs w:val="21"/>
          <w:lang w:val="en-US" w:eastAsia="zh-CN" w:bidi="ar"/>
        </w:rPr>
        <w:t>、</w:t>
      </w:r>
      <w:r>
        <w:rPr>
          <w:rFonts w:hint="eastAsia" w:ascii="宋体" w:hAnsi="宋体" w:eastAsia="宋体" w:cs="宋体"/>
          <w:color w:val="FF0000"/>
          <w:kern w:val="2"/>
          <w:sz w:val="21"/>
          <w:szCs w:val="21"/>
          <w:lang w:val="en-US" w:eastAsia="zh-CN" w:bidi="ar"/>
        </w:rPr>
        <w:t>依法吊销其营业</w:t>
      </w:r>
      <w:r>
        <w:rPr>
          <w:rFonts w:hint="eastAsia" w:ascii="Times New Roman" w:hAnsi="宋体" w:eastAsia="宋体" w:cs="宋体"/>
          <w:color w:val="FF0000"/>
          <w:kern w:val="2"/>
          <w:sz w:val="21"/>
          <w:szCs w:val="21"/>
          <w:lang w:val="en-US" w:eastAsia="zh-CN" w:bidi="ar"/>
        </w:rPr>
        <w:t>执照等行政处罚，</w:t>
      </w:r>
      <w:r>
        <w:rPr>
          <w:rFonts w:hint="eastAsia" w:ascii="宋体" w:hAnsi="宋体" w:eastAsia="宋体" w:cs="宋体"/>
          <w:color w:val="FF0000"/>
          <w:kern w:val="2"/>
          <w:sz w:val="21"/>
          <w:szCs w:val="21"/>
          <w:lang w:val="en-US" w:eastAsia="zh-CN" w:bidi="ar"/>
        </w:rPr>
        <w:t>构成犯罪的，依法追究刑事责任</w:t>
      </w:r>
      <w:r>
        <w:rPr>
          <w:rFonts w:hint="eastAsia" w:ascii="Times New Roman" w:hAnsi="Times New Roman" w:eastAsia="宋体" w:cs="宋体"/>
          <w:bCs/>
          <w:color w:val="FF0000"/>
          <w:kern w:val="2"/>
          <w:sz w:val="21"/>
          <w:szCs w:val="21"/>
          <w:lang w:val="en-US" w:eastAsia="zh-CN" w:bidi="ar"/>
        </w:rPr>
        <w:t>，请各供应商独立编制、上传投标文件，妥善保管和使用电子秘钥。</w:t>
      </w:r>
    </w:p>
    <w:p w14:paraId="0B256E12">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2" w:firstLineChars="200"/>
        <w:jc w:val="both"/>
        <w:rPr>
          <w:sz w:val="21"/>
          <w:szCs w:val="21"/>
          <w:lang w:val="en-US"/>
        </w:rPr>
      </w:pPr>
      <w:r>
        <w:rPr>
          <w:rFonts w:hint="eastAsia" w:ascii="Times New Roman" w:hAnsi="Times New Roman" w:eastAsia="宋体" w:cs="宋体"/>
          <w:b/>
          <w:bCs w:val="0"/>
          <w:color w:val="FF0000"/>
          <w:kern w:val="2"/>
          <w:sz w:val="21"/>
          <w:szCs w:val="21"/>
          <w:lang w:val="en-US" w:eastAsia="zh-CN" w:bidi="ar"/>
        </w:rPr>
        <w:t>五、请投标供应商阅读《采购违法行为风险知悉确认书》（内容详见“投标文件附件（信息不公开部分）”中节点“投标人认为需要加以说明的其他内容（格式自定）”），并经各投标供应商负责人签字并加盖单位公章后，扫描上传至投标文件一并提交。</w:t>
      </w:r>
    </w:p>
    <w:p w14:paraId="5E95D4A8">
      <w:pPr>
        <w:keepNext w:val="0"/>
        <w:keepLines w:val="0"/>
        <w:widowControl/>
        <w:suppressLineNumbers w:val="0"/>
        <w:spacing w:before="0" w:beforeAutospacing="1" w:after="0" w:afterAutospacing="1"/>
        <w:ind w:left="0" w:right="0"/>
        <w:jc w:val="left"/>
        <w:outlineLvl w:val="1"/>
        <w:rPr>
          <w:rFonts w:hint="eastAsia" w:ascii="黑体" w:hAnsi="宋体" w:eastAsia="黑体" w:cs="黑体"/>
          <w:kern w:val="0"/>
          <w:sz w:val="21"/>
          <w:szCs w:val="21"/>
          <w:lang w:val="en-US"/>
        </w:rPr>
      </w:pPr>
      <w:r>
        <w:rPr>
          <w:rFonts w:hint="eastAsia" w:ascii="Times New Roman" w:hAnsi="Times New Roman" w:eastAsia="宋体" w:cs="宋体"/>
          <w:b/>
          <w:bCs w:val="0"/>
          <w:color w:val="FF0000"/>
          <w:kern w:val="2"/>
          <w:sz w:val="21"/>
          <w:szCs w:val="21"/>
          <w:lang w:val="en-US" w:eastAsia="zh-CN" w:bidi="ar"/>
        </w:rPr>
        <w:t>注：“特别警示条款”和《采购违法行为风险知悉确认书》用于对供应商违法行为的提醒，不作为供应商资格性审查及符合性审查条件。</w:t>
      </w:r>
    </w:p>
    <w:p w14:paraId="633A8594">
      <w:pPr>
        <w:rPr>
          <w:rFonts w:hint="eastAsia" w:ascii="方正小标宋简体" w:hAnsi="方正小标宋简体" w:eastAsia="方正小标宋简体" w:cs="方正小标宋简体"/>
          <w:bCs/>
          <w:color w:val="000000"/>
          <w:sz w:val="21"/>
          <w:szCs w:val="21"/>
        </w:rPr>
      </w:pPr>
      <w:r>
        <w:rPr>
          <w:rFonts w:hint="eastAsia" w:ascii="方正小标宋简体" w:hAnsi="方正小标宋简体" w:eastAsia="方正小标宋简体" w:cs="方正小标宋简体"/>
          <w:bCs/>
          <w:color w:val="000000"/>
          <w:sz w:val="21"/>
          <w:szCs w:val="21"/>
        </w:rPr>
        <w:br w:type="page"/>
      </w:r>
    </w:p>
    <w:p w14:paraId="2813639B">
      <w:pPr>
        <w:widowControl/>
        <w:spacing w:before="100" w:beforeAutospacing="1" w:after="100" w:afterAutospacing="1"/>
        <w:jc w:val="center"/>
        <w:outlineLvl w:val="1"/>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招标文件信息</w:t>
      </w:r>
    </w:p>
    <w:tbl>
      <w:tblPr>
        <w:tblStyle w:val="13"/>
        <w:tblW w:w="7943" w:type="dxa"/>
        <w:jc w:val="center"/>
        <w:tblCellSpacing w:w="0" w:type="dxa"/>
        <w:tblLayout w:type="autofit"/>
        <w:tblCellMar>
          <w:top w:w="45" w:type="dxa"/>
          <w:left w:w="45" w:type="dxa"/>
          <w:bottom w:w="45" w:type="dxa"/>
          <w:right w:w="45" w:type="dxa"/>
        </w:tblCellMar>
      </w:tblPr>
      <w:tblGrid>
        <w:gridCol w:w="2723"/>
        <w:gridCol w:w="5220"/>
      </w:tblGrid>
      <w:tr w14:paraId="58D656D7">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36FD438E">
            <w:pPr>
              <w:keepNext w:val="0"/>
              <w:keepLines w:val="0"/>
              <w:widowControl/>
              <w:suppressLineNumbers w:val="0"/>
              <w:spacing w:before="0" w:beforeAutospacing="0" w:after="0" w:afterAutospacing="0"/>
              <w:ind w:left="0" w:right="0"/>
              <w:jc w:val="right"/>
              <w:rPr>
                <w:rFonts w:hint="default"/>
                <w:sz w:val="30"/>
                <w:szCs w:val="30"/>
              </w:rPr>
            </w:pPr>
            <w:r>
              <w:rPr>
                <w:rFonts w:hint="default" w:ascii="宋体" w:hAnsi="宋体" w:cs="宋体"/>
                <w:kern w:val="0"/>
                <w:sz w:val="30"/>
                <w:szCs w:val="30"/>
              </w:rPr>
              <w:t>项目编号：</w:t>
            </w:r>
          </w:p>
        </w:tc>
        <w:tc>
          <w:tcPr>
            <w:tcW w:w="5220" w:type="dxa"/>
            <w:shd w:val="clear" w:color="auto" w:fill="auto"/>
            <w:vAlign w:val="center"/>
          </w:tcPr>
          <w:p w14:paraId="715F6EE9">
            <w:pPr>
              <w:keepNext w:val="0"/>
              <w:keepLines w:val="0"/>
              <w:widowControl/>
              <w:suppressLineNumbers w:val="0"/>
              <w:spacing w:before="0" w:beforeAutospacing="0" w:after="0" w:afterAutospacing="0"/>
              <w:ind w:left="0" w:right="0"/>
              <w:jc w:val="left"/>
              <w:rPr>
                <w:rFonts w:hint="default"/>
                <w:sz w:val="30"/>
                <w:szCs w:val="30"/>
              </w:rPr>
            </w:pPr>
            <w:r>
              <w:rPr>
                <w:rFonts w:hint="default"/>
                <w:sz w:val="30"/>
                <w:szCs w:val="30"/>
              </w:rPr>
              <w:t>SZZXCG-2025-00171</w:t>
            </w:r>
          </w:p>
        </w:tc>
      </w:tr>
      <w:tr w14:paraId="01F21B7E">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3F1D130C">
            <w:pPr>
              <w:keepNext w:val="0"/>
              <w:keepLines w:val="0"/>
              <w:widowControl/>
              <w:suppressLineNumbers w:val="0"/>
              <w:spacing w:before="0" w:beforeAutospacing="0" w:after="0" w:afterAutospacing="0"/>
              <w:ind w:left="0" w:right="0"/>
              <w:jc w:val="right"/>
              <w:rPr>
                <w:rFonts w:hint="default"/>
                <w:sz w:val="30"/>
                <w:szCs w:val="30"/>
              </w:rPr>
            </w:pPr>
            <w:r>
              <w:rPr>
                <w:rFonts w:hint="default" w:ascii="宋体" w:hAnsi="宋体" w:cs="宋体"/>
                <w:kern w:val="0"/>
                <w:sz w:val="30"/>
                <w:szCs w:val="30"/>
              </w:rPr>
              <w:t>项目名称：</w:t>
            </w:r>
          </w:p>
        </w:tc>
        <w:tc>
          <w:tcPr>
            <w:tcW w:w="5220" w:type="dxa"/>
            <w:shd w:val="clear" w:color="auto" w:fill="auto"/>
            <w:vAlign w:val="center"/>
          </w:tcPr>
          <w:p w14:paraId="63BFEA6C">
            <w:pPr>
              <w:keepNext w:val="0"/>
              <w:keepLines w:val="0"/>
              <w:widowControl/>
              <w:suppressLineNumbers w:val="0"/>
              <w:spacing w:before="0" w:beforeAutospacing="0" w:after="0" w:afterAutospacing="0"/>
              <w:ind w:left="0" w:right="0"/>
              <w:jc w:val="left"/>
              <w:rPr>
                <w:rFonts w:hint="default"/>
                <w:sz w:val="30"/>
                <w:szCs w:val="30"/>
              </w:rPr>
            </w:pPr>
            <w:r>
              <w:rPr>
                <w:rFonts w:hint="default"/>
                <w:sz w:val="30"/>
                <w:szCs w:val="30"/>
              </w:rPr>
              <w:t>深圳市总工会“3+N”法律服务及法律事务服务项目</w:t>
            </w:r>
          </w:p>
        </w:tc>
      </w:tr>
      <w:tr w14:paraId="13AD3D1C">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47401E06">
            <w:pPr>
              <w:keepNext w:val="0"/>
              <w:keepLines w:val="0"/>
              <w:widowControl/>
              <w:suppressLineNumbers w:val="0"/>
              <w:spacing w:before="0" w:beforeAutospacing="0" w:after="0" w:afterAutospacing="0"/>
              <w:ind w:left="0" w:right="0"/>
              <w:jc w:val="right"/>
              <w:rPr>
                <w:rFonts w:hint="default"/>
                <w:sz w:val="30"/>
                <w:szCs w:val="30"/>
              </w:rPr>
            </w:pPr>
            <w:r>
              <w:rPr>
                <w:rFonts w:hint="default" w:ascii="宋体" w:hAnsi="宋体" w:cs="宋体"/>
                <w:kern w:val="0"/>
                <w:sz w:val="30"/>
                <w:szCs w:val="30"/>
              </w:rPr>
              <w:t>包 号：</w:t>
            </w:r>
          </w:p>
        </w:tc>
        <w:tc>
          <w:tcPr>
            <w:tcW w:w="5220" w:type="dxa"/>
            <w:shd w:val="clear" w:color="auto" w:fill="auto"/>
            <w:vAlign w:val="center"/>
          </w:tcPr>
          <w:p w14:paraId="1A66FC98">
            <w:pPr>
              <w:keepNext w:val="0"/>
              <w:keepLines w:val="0"/>
              <w:widowControl/>
              <w:suppressLineNumbers w:val="0"/>
              <w:spacing w:before="0" w:beforeAutospacing="0" w:after="0" w:afterAutospacing="0"/>
              <w:ind w:left="0" w:right="0"/>
              <w:jc w:val="left"/>
              <w:rPr>
                <w:rFonts w:hint="default" w:eastAsia="宋体"/>
                <w:sz w:val="30"/>
                <w:szCs w:val="30"/>
                <w:lang w:val="en-US" w:eastAsia="zh-CN"/>
              </w:rPr>
            </w:pPr>
            <w:r>
              <w:rPr>
                <w:rFonts w:hint="eastAsia"/>
                <w:sz w:val="30"/>
                <w:szCs w:val="30"/>
                <w:lang w:val="en-US" w:eastAsia="zh-CN"/>
              </w:rPr>
              <w:t>E</w:t>
            </w:r>
          </w:p>
        </w:tc>
      </w:tr>
      <w:tr w14:paraId="00C4084E">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14C36B62">
            <w:pPr>
              <w:keepNext w:val="0"/>
              <w:keepLines w:val="0"/>
              <w:widowControl/>
              <w:suppressLineNumbers w:val="0"/>
              <w:spacing w:before="0" w:beforeAutospacing="0" w:after="0" w:afterAutospacing="0"/>
              <w:ind w:left="0" w:right="0"/>
              <w:jc w:val="right"/>
              <w:rPr>
                <w:rFonts w:hint="default"/>
                <w:sz w:val="30"/>
                <w:szCs w:val="30"/>
              </w:rPr>
            </w:pPr>
            <w:r>
              <w:rPr>
                <w:rFonts w:hint="default" w:ascii="宋体" w:hAnsi="宋体" w:cs="宋体"/>
                <w:kern w:val="0"/>
                <w:sz w:val="30"/>
                <w:szCs w:val="30"/>
              </w:rPr>
              <w:t>项目类型：</w:t>
            </w:r>
          </w:p>
        </w:tc>
        <w:tc>
          <w:tcPr>
            <w:tcW w:w="5220" w:type="dxa"/>
            <w:shd w:val="clear" w:color="auto" w:fill="auto"/>
            <w:vAlign w:val="center"/>
          </w:tcPr>
          <w:p w14:paraId="58DC2580">
            <w:pPr>
              <w:keepNext w:val="0"/>
              <w:keepLines w:val="0"/>
              <w:widowControl/>
              <w:suppressLineNumbers w:val="0"/>
              <w:spacing w:before="0" w:beforeAutospacing="0" w:after="0" w:afterAutospacing="0"/>
              <w:ind w:left="0" w:right="0"/>
              <w:jc w:val="left"/>
              <w:rPr>
                <w:rFonts w:hint="default"/>
                <w:sz w:val="30"/>
                <w:szCs w:val="30"/>
              </w:rPr>
            </w:pPr>
            <w:r>
              <w:rPr>
                <w:rFonts w:hint="eastAsia" w:ascii="宋体" w:hAnsi="宋体" w:cs="宋体"/>
                <w:kern w:val="0"/>
                <w:sz w:val="30"/>
                <w:szCs w:val="30"/>
              </w:rPr>
              <w:t>服务类</w:t>
            </w:r>
          </w:p>
        </w:tc>
      </w:tr>
      <w:tr w14:paraId="629EEC73">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0BF9A46B">
            <w:pPr>
              <w:keepNext w:val="0"/>
              <w:keepLines w:val="0"/>
              <w:widowControl/>
              <w:suppressLineNumbers w:val="0"/>
              <w:spacing w:before="0" w:beforeAutospacing="0" w:after="0" w:afterAutospacing="0"/>
              <w:ind w:left="0" w:right="0"/>
              <w:jc w:val="right"/>
              <w:rPr>
                <w:rFonts w:hint="default"/>
                <w:sz w:val="30"/>
                <w:szCs w:val="30"/>
              </w:rPr>
            </w:pPr>
            <w:r>
              <w:rPr>
                <w:rFonts w:hint="default" w:ascii="宋体" w:hAnsi="宋体" w:cs="宋体"/>
                <w:kern w:val="0"/>
                <w:sz w:val="30"/>
                <w:szCs w:val="30"/>
              </w:rPr>
              <w:t>采购方式：</w:t>
            </w:r>
          </w:p>
        </w:tc>
        <w:tc>
          <w:tcPr>
            <w:tcW w:w="5220" w:type="dxa"/>
            <w:shd w:val="clear" w:color="auto" w:fill="auto"/>
            <w:vAlign w:val="center"/>
          </w:tcPr>
          <w:p w14:paraId="29B3DFB2">
            <w:pPr>
              <w:keepNext w:val="0"/>
              <w:keepLines w:val="0"/>
              <w:widowControl/>
              <w:suppressLineNumbers w:val="0"/>
              <w:spacing w:before="0" w:beforeAutospacing="0" w:after="0" w:afterAutospacing="0"/>
              <w:ind w:left="0" w:right="0"/>
              <w:jc w:val="left"/>
              <w:rPr>
                <w:rFonts w:hint="default"/>
                <w:sz w:val="30"/>
                <w:szCs w:val="30"/>
              </w:rPr>
            </w:pPr>
            <w:r>
              <w:rPr>
                <w:rFonts w:hint="default" w:ascii="宋体" w:hAnsi="宋体" w:cs="宋体"/>
                <w:kern w:val="0"/>
                <w:sz w:val="30"/>
                <w:szCs w:val="30"/>
              </w:rPr>
              <w:t>公开</w:t>
            </w:r>
            <w:r>
              <w:rPr>
                <w:rFonts w:hint="eastAsia" w:ascii="宋体" w:hAnsi="宋体" w:cs="宋体"/>
                <w:kern w:val="0"/>
                <w:sz w:val="30"/>
                <w:szCs w:val="30"/>
              </w:rPr>
              <w:t>招标</w:t>
            </w:r>
          </w:p>
        </w:tc>
      </w:tr>
      <w:tr w14:paraId="2E43FE62">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1402719F">
            <w:pPr>
              <w:keepNext w:val="0"/>
              <w:keepLines w:val="0"/>
              <w:widowControl/>
              <w:suppressLineNumbers w:val="0"/>
              <w:spacing w:before="0" w:beforeAutospacing="0" w:after="0" w:afterAutospacing="0"/>
              <w:ind w:left="0" w:right="0"/>
              <w:jc w:val="right"/>
              <w:rPr>
                <w:rFonts w:hint="default"/>
                <w:sz w:val="30"/>
                <w:szCs w:val="30"/>
              </w:rPr>
            </w:pPr>
            <w:r>
              <w:rPr>
                <w:rFonts w:hint="default" w:ascii="宋体" w:hAnsi="宋体" w:cs="宋体"/>
                <w:kern w:val="0"/>
                <w:sz w:val="30"/>
                <w:szCs w:val="30"/>
              </w:rPr>
              <w:t>货币类型：</w:t>
            </w:r>
          </w:p>
        </w:tc>
        <w:tc>
          <w:tcPr>
            <w:tcW w:w="5220" w:type="dxa"/>
            <w:shd w:val="clear" w:color="auto" w:fill="auto"/>
            <w:vAlign w:val="center"/>
          </w:tcPr>
          <w:p w14:paraId="5912667D">
            <w:pPr>
              <w:keepNext w:val="0"/>
              <w:keepLines w:val="0"/>
              <w:widowControl/>
              <w:suppressLineNumbers w:val="0"/>
              <w:spacing w:before="0" w:beforeAutospacing="0" w:after="0" w:afterAutospacing="0"/>
              <w:ind w:left="0" w:right="0"/>
              <w:jc w:val="left"/>
              <w:rPr>
                <w:rFonts w:hint="default"/>
                <w:sz w:val="30"/>
                <w:szCs w:val="30"/>
              </w:rPr>
            </w:pPr>
            <w:r>
              <w:rPr>
                <w:rFonts w:hint="default" w:ascii="宋体" w:hAnsi="宋体" w:cs="宋体"/>
                <w:kern w:val="0"/>
                <w:sz w:val="30"/>
                <w:szCs w:val="30"/>
              </w:rPr>
              <w:t>人民币</w:t>
            </w:r>
          </w:p>
        </w:tc>
      </w:tr>
      <w:tr w14:paraId="6A8F1E18">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49BE0FD6">
            <w:pPr>
              <w:keepNext w:val="0"/>
              <w:keepLines w:val="0"/>
              <w:widowControl/>
              <w:suppressLineNumbers w:val="0"/>
              <w:spacing w:before="0" w:beforeAutospacing="0" w:after="0" w:afterAutospacing="0"/>
              <w:ind w:left="0" w:right="0"/>
              <w:jc w:val="right"/>
              <w:rPr>
                <w:rFonts w:hint="default"/>
                <w:sz w:val="30"/>
                <w:szCs w:val="30"/>
              </w:rPr>
            </w:pPr>
            <w:r>
              <w:rPr>
                <w:rFonts w:hint="default" w:ascii="宋体" w:hAnsi="宋体" w:cs="宋体"/>
                <w:kern w:val="0"/>
                <w:sz w:val="30"/>
                <w:szCs w:val="30"/>
              </w:rPr>
              <w:t>评标方法：</w:t>
            </w:r>
          </w:p>
        </w:tc>
        <w:tc>
          <w:tcPr>
            <w:tcW w:w="5220" w:type="dxa"/>
            <w:shd w:val="clear" w:color="auto" w:fill="auto"/>
            <w:vAlign w:val="center"/>
          </w:tcPr>
          <w:p w14:paraId="0A43140C">
            <w:pPr>
              <w:keepNext w:val="0"/>
              <w:keepLines w:val="0"/>
              <w:widowControl/>
              <w:suppressLineNumbers w:val="0"/>
              <w:spacing w:before="0" w:beforeAutospacing="0" w:after="0" w:afterAutospacing="0"/>
              <w:ind w:left="0" w:right="0"/>
              <w:jc w:val="left"/>
              <w:rPr>
                <w:rFonts w:hint="default"/>
                <w:sz w:val="30"/>
                <w:szCs w:val="30"/>
              </w:rPr>
            </w:pPr>
            <w:r>
              <w:rPr>
                <w:rFonts w:hint="default" w:ascii="宋体" w:hAnsi="宋体" w:cs="宋体"/>
                <w:kern w:val="0"/>
                <w:sz w:val="30"/>
                <w:szCs w:val="30"/>
                <w:lang w:bidi="ar"/>
              </w:rPr>
              <w:t>综合评分法</w:t>
            </w:r>
          </w:p>
        </w:tc>
      </w:tr>
    </w:tbl>
    <w:p w14:paraId="3FB42564">
      <w:pPr>
        <w:pStyle w:val="12"/>
        <w:jc w:val="center"/>
        <w:outlineLvl w:val="1"/>
        <w:rPr>
          <w:rFonts w:ascii="黑体" w:hAnsi="黑体" w:eastAsia="黑体"/>
          <w:sz w:val="40"/>
          <w:szCs w:val="40"/>
        </w:rPr>
      </w:pPr>
    </w:p>
    <w:p w14:paraId="785B3C98">
      <w:pPr>
        <w:pStyle w:val="2"/>
      </w:pPr>
      <w:r>
        <w:br w:type="page"/>
      </w:r>
    </w:p>
    <w:p w14:paraId="1558A0ED">
      <w:pPr>
        <w:pStyle w:val="12"/>
        <w:jc w:val="center"/>
        <w:outlineLvl w:val="1"/>
        <w:rPr>
          <w:rFonts w:ascii="黑体" w:hAnsi="黑体" w:eastAsia="黑体"/>
          <w:sz w:val="40"/>
          <w:szCs w:val="40"/>
        </w:rPr>
      </w:pPr>
      <w:r>
        <w:rPr>
          <w:rFonts w:hint="eastAsia" w:ascii="黑体" w:hAnsi="黑体" w:eastAsia="黑体"/>
          <w:sz w:val="40"/>
          <w:szCs w:val="40"/>
        </w:rPr>
        <w:t>资格性审查表</w:t>
      </w:r>
    </w:p>
    <w:tbl>
      <w:tblPr>
        <w:tblStyle w:val="13"/>
        <w:tblW w:w="906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20" w:type="dxa"/>
          <w:left w:w="108" w:type="dxa"/>
          <w:bottom w:w="20" w:type="dxa"/>
          <w:right w:w="108" w:type="dxa"/>
        </w:tblCellMar>
      </w:tblPr>
      <w:tblGrid>
        <w:gridCol w:w="637"/>
        <w:gridCol w:w="8424"/>
      </w:tblGrid>
      <w:tr w14:paraId="7050BF4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0" w:type="auto"/>
            <w:tcBorders>
              <w:top w:val="single" w:color="000000" w:sz="8" w:space="0"/>
              <w:left w:val="single" w:color="000000" w:sz="8" w:space="0"/>
              <w:bottom w:val="single" w:color="000000" w:sz="8" w:space="0"/>
              <w:right w:val="single" w:color="000000" w:sz="8" w:space="0"/>
            </w:tcBorders>
            <w:shd w:val="clear" w:color="auto" w:fill="E6EFFA"/>
          </w:tcPr>
          <w:p w14:paraId="01F081CF">
            <w:pPr>
              <w:keepNext w:val="0"/>
              <w:keepLines w:val="0"/>
              <w:suppressLineNumbers w:val="0"/>
              <w:spacing w:before="0" w:beforeAutospacing="0" w:after="0" w:afterAutospacing="0"/>
              <w:ind w:left="0" w:right="0"/>
              <w:jc w:val="center"/>
              <w:rPr>
                <w:rFonts w:hint="default" w:asciiTheme="minorEastAsia" w:hAnsiTheme="minorEastAsia" w:eastAsiaTheme="minorEastAsia"/>
                <w:szCs w:val="21"/>
              </w:rPr>
            </w:pPr>
            <w:r>
              <w:rPr>
                <w:rFonts w:hint="default" w:asciiTheme="minorEastAsia" w:hAnsiTheme="minorEastAsia" w:eastAsiaTheme="minorEastAsia"/>
                <w:szCs w:val="21"/>
              </w:rPr>
              <w:t>序号</w:t>
            </w:r>
          </w:p>
        </w:tc>
        <w:tc>
          <w:tcPr>
            <w:tcW w:w="0" w:type="auto"/>
            <w:tcBorders>
              <w:top w:val="single" w:color="000000" w:sz="8" w:space="0"/>
              <w:left w:val="single" w:color="000000" w:sz="8" w:space="0"/>
              <w:bottom w:val="single" w:color="000000" w:sz="8" w:space="0"/>
              <w:right w:val="single" w:color="000000" w:sz="8" w:space="0"/>
            </w:tcBorders>
            <w:shd w:val="clear" w:color="auto" w:fill="E6EFFA"/>
            <w:vAlign w:val="center"/>
          </w:tcPr>
          <w:p w14:paraId="6C464471">
            <w:pPr>
              <w:keepNext w:val="0"/>
              <w:keepLines w:val="0"/>
              <w:suppressLineNumbers w:val="0"/>
              <w:spacing w:before="0" w:beforeAutospacing="0" w:after="0" w:afterAutospacing="0"/>
              <w:ind w:left="0" w:right="0"/>
              <w:jc w:val="center"/>
              <w:rPr>
                <w:rFonts w:hint="default" w:cs="宋体" w:asciiTheme="minorEastAsia" w:hAnsiTheme="minorEastAsia" w:eastAsiaTheme="minorEastAsia"/>
                <w:szCs w:val="21"/>
              </w:rPr>
            </w:pPr>
            <w:r>
              <w:rPr>
                <w:rFonts w:hint="default" w:asciiTheme="minorEastAsia" w:hAnsiTheme="minorEastAsia" w:eastAsiaTheme="minorEastAsia"/>
                <w:szCs w:val="21"/>
              </w:rPr>
              <w:t>内容</w:t>
            </w:r>
          </w:p>
        </w:tc>
      </w:tr>
      <w:tr w14:paraId="26BF50D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0" w:type="auto"/>
            <w:tcBorders>
              <w:top w:val="single" w:color="000000" w:sz="8" w:space="0"/>
              <w:left w:val="single" w:color="000000" w:sz="8" w:space="0"/>
              <w:bottom w:val="single" w:color="000000" w:sz="8" w:space="0"/>
              <w:right w:val="single" w:color="000000" w:sz="8" w:space="0"/>
            </w:tcBorders>
          </w:tcPr>
          <w:p w14:paraId="3919E744">
            <w:pPr>
              <w:keepNext w:val="0"/>
              <w:keepLines w:val="0"/>
              <w:suppressLineNumbers w:val="0"/>
              <w:spacing w:before="0" w:beforeAutospacing="0" w:after="0" w:afterAutospacing="0"/>
              <w:ind w:left="0" w:right="0"/>
              <w:jc w:val="center"/>
              <w:rPr>
                <w:rFonts w:hint="default" w:cs="宋体" w:asciiTheme="minorEastAsia" w:hAnsiTheme="minorEastAsia" w:eastAsiaTheme="minorEastAsia"/>
                <w:kern w:val="0"/>
                <w:szCs w:val="21"/>
              </w:rPr>
            </w:pPr>
            <w:r>
              <w:rPr>
                <w:rFonts w:hint="eastAsia" w:cs="宋体" w:asciiTheme="minorEastAsia" w:hAnsiTheme="minorEastAsia" w:eastAsiaTheme="minorEastAsia"/>
                <w:kern w:val="0"/>
                <w:szCs w:val="21"/>
              </w:rPr>
              <w:t>1</w:t>
            </w:r>
          </w:p>
        </w:tc>
        <w:tc>
          <w:tcPr>
            <w:tcW w:w="0" w:type="auto"/>
            <w:tcBorders>
              <w:top w:val="single" w:color="000000" w:sz="8" w:space="0"/>
              <w:left w:val="single" w:color="000000" w:sz="8" w:space="0"/>
              <w:bottom w:val="single" w:color="000000" w:sz="8" w:space="0"/>
              <w:right w:val="single" w:color="000000" w:sz="8" w:space="0"/>
            </w:tcBorders>
          </w:tcPr>
          <w:p w14:paraId="20A019B4">
            <w:pPr>
              <w:keepNext w:val="0"/>
              <w:keepLines w:val="0"/>
              <w:suppressLineNumbers w:val="0"/>
              <w:spacing w:before="0" w:beforeAutospacing="0" w:after="0" w:afterAutospacing="0"/>
              <w:ind w:left="0" w:right="0"/>
              <w:rPr>
                <w:rFonts w:hint="default" w:cs="宋体" w:asciiTheme="minorEastAsia" w:hAnsiTheme="minorEastAsia" w:eastAsiaTheme="minorEastAsia"/>
                <w:szCs w:val="21"/>
              </w:rPr>
            </w:pPr>
            <w:r>
              <w:rPr>
                <w:rFonts w:hint="default" w:cs="宋体" w:asciiTheme="minorEastAsia" w:hAnsiTheme="minorEastAsia" w:eastAsiaTheme="minorEastAsia"/>
                <w:kern w:val="0"/>
                <w:szCs w:val="21"/>
              </w:rPr>
              <w:t>投标人不</w:t>
            </w:r>
            <w:r>
              <w:rPr>
                <w:rFonts w:hint="eastAsia" w:cs="宋体" w:asciiTheme="minorEastAsia" w:hAnsiTheme="minorEastAsia" w:eastAsiaTheme="minorEastAsia"/>
                <w:kern w:val="0"/>
                <w:szCs w:val="21"/>
              </w:rPr>
              <w:t>符合</w:t>
            </w:r>
            <w:r>
              <w:rPr>
                <w:rFonts w:hint="default" w:cs="宋体" w:asciiTheme="minorEastAsia" w:hAnsiTheme="minorEastAsia" w:eastAsiaTheme="minorEastAsia"/>
                <w:kern w:val="0"/>
                <w:szCs w:val="21"/>
              </w:rPr>
              <w:t>资格要求，或未提交相应的资格证明资料（详见</w:t>
            </w:r>
            <w:r>
              <w:rPr>
                <w:rFonts w:hint="eastAsia" w:cs="宋体" w:asciiTheme="minorEastAsia" w:hAnsiTheme="minorEastAsia" w:eastAsiaTheme="minorEastAsia"/>
                <w:kern w:val="0"/>
                <w:szCs w:val="21"/>
              </w:rPr>
              <w:t>招标</w:t>
            </w:r>
            <w:r>
              <w:rPr>
                <w:rFonts w:hint="default" w:cs="宋体" w:asciiTheme="minorEastAsia" w:hAnsiTheme="minorEastAsia" w:eastAsiaTheme="minorEastAsia"/>
                <w:kern w:val="0"/>
                <w:szCs w:val="21"/>
              </w:rPr>
              <w:t>公告</w:t>
            </w:r>
            <w:r>
              <w:rPr>
                <w:rFonts w:hint="eastAsia" w:asciiTheme="minorEastAsia" w:hAnsiTheme="minorEastAsia" w:eastAsiaTheme="minorEastAsia"/>
                <w:szCs w:val="21"/>
              </w:rPr>
              <w:t>投标人资格要求</w:t>
            </w:r>
            <w:r>
              <w:rPr>
                <w:rFonts w:hint="default" w:cs="宋体" w:asciiTheme="minorEastAsia" w:hAnsiTheme="minorEastAsia" w:eastAsiaTheme="minorEastAsia"/>
                <w:kern w:val="0"/>
                <w:szCs w:val="21"/>
              </w:rPr>
              <w:t>）</w:t>
            </w:r>
          </w:p>
        </w:tc>
      </w:tr>
    </w:tbl>
    <w:p w14:paraId="1C7B81D4">
      <w:pPr>
        <w:pStyle w:val="12"/>
        <w:spacing w:before="280"/>
        <w:jc w:val="center"/>
        <w:outlineLvl w:val="1"/>
        <w:rPr>
          <w:rFonts w:ascii="黑体" w:hAnsi="黑体" w:eastAsia="黑体"/>
          <w:sz w:val="40"/>
          <w:szCs w:val="40"/>
        </w:rPr>
      </w:pPr>
      <w:r>
        <w:rPr>
          <w:rFonts w:hint="eastAsia" w:ascii="黑体" w:hAnsi="黑体" w:eastAsia="黑体"/>
          <w:sz w:val="40"/>
          <w:szCs w:val="40"/>
        </w:rPr>
        <w:t>符合性审查表</w:t>
      </w:r>
    </w:p>
    <w:tbl>
      <w:tblPr>
        <w:tblStyle w:val="13"/>
        <w:tblW w:w="906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20" w:type="dxa"/>
          <w:left w:w="108" w:type="dxa"/>
          <w:bottom w:w="20" w:type="dxa"/>
          <w:right w:w="108" w:type="dxa"/>
        </w:tblCellMar>
      </w:tblPr>
      <w:tblGrid>
        <w:gridCol w:w="675"/>
        <w:gridCol w:w="8386"/>
      </w:tblGrid>
      <w:tr w14:paraId="508A17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jc w:val="center"/>
        </w:trPr>
        <w:tc>
          <w:tcPr>
            <w:tcW w:w="675" w:type="dxa"/>
            <w:tcBorders>
              <w:top w:val="single" w:color="000000" w:sz="8" w:space="0"/>
              <w:left w:val="single" w:color="000000" w:sz="8" w:space="0"/>
              <w:bottom w:val="single" w:color="000000" w:sz="8" w:space="0"/>
              <w:right w:val="single" w:color="000000" w:sz="8" w:space="0"/>
            </w:tcBorders>
            <w:shd w:val="clear" w:color="auto" w:fill="E6EFFA"/>
          </w:tcPr>
          <w:p w14:paraId="0BF054F0">
            <w:pPr>
              <w:keepNext w:val="0"/>
              <w:keepLines w:val="0"/>
              <w:widowControl/>
              <w:suppressLineNumbers w:val="0"/>
              <w:spacing w:before="0" w:beforeAutospacing="0" w:after="0" w:afterAutospacing="0"/>
              <w:ind w:left="0" w:right="0"/>
              <w:jc w:val="center"/>
              <w:rPr>
                <w:rFonts w:hint="default" w:cs="宋体" w:asciiTheme="minorEastAsia" w:hAnsiTheme="minorEastAsia" w:eastAsiaTheme="minorEastAsia"/>
                <w:kern w:val="0"/>
                <w:szCs w:val="21"/>
              </w:rPr>
            </w:pPr>
            <w:r>
              <w:rPr>
                <w:rFonts w:hint="default" w:cs="宋体" w:asciiTheme="minorEastAsia" w:hAnsiTheme="minorEastAsia" w:eastAsiaTheme="minorEastAsia"/>
                <w:kern w:val="0"/>
                <w:szCs w:val="21"/>
              </w:rPr>
              <w:t>序号</w:t>
            </w:r>
          </w:p>
        </w:tc>
        <w:tc>
          <w:tcPr>
            <w:tcW w:w="8386"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5DED0930">
            <w:pPr>
              <w:keepNext w:val="0"/>
              <w:keepLines w:val="0"/>
              <w:widowControl/>
              <w:suppressLineNumbers w:val="0"/>
              <w:spacing w:before="0" w:beforeAutospacing="0" w:after="0" w:afterAutospacing="0"/>
              <w:ind w:left="0" w:right="0"/>
              <w:jc w:val="center"/>
              <w:rPr>
                <w:rFonts w:hint="default" w:asciiTheme="minorEastAsia" w:hAnsiTheme="minorEastAsia" w:eastAsiaTheme="minorEastAsia"/>
                <w:szCs w:val="21"/>
              </w:rPr>
            </w:pPr>
            <w:r>
              <w:rPr>
                <w:rFonts w:hint="default" w:cs="宋体" w:asciiTheme="minorEastAsia" w:hAnsiTheme="minorEastAsia" w:eastAsiaTheme="minorEastAsia"/>
                <w:kern w:val="0"/>
                <w:szCs w:val="21"/>
              </w:rPr>
              <w:t>内容</w:t>
            </w:r>
          </w:p>
        </w:tc>
      </w:tr>
      <w:tr w14:paraId="0890281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75" w:type="dxa"/>
            <w:tcBorders>
              <w:top w:val="single" w:color="000000" w:sz="8" w:space="0"/>
              <w:left w:val="single" w:color="000000" w:sz="8" w:space="0"/>
              <w:bottom w:val="single" w:color="000000" w:sz="8" w:space="0"/>
              <w:right w:val="single" w:color="000000" w:sz="8" w:space="0"/>
            </w:tcBorders>
          </w:tcPr>
          <w:p w14:paraId="22E0BB03">
            <w:pPr>
              <w:keepNext w:val="0"/>
              <w:keepLines w:val="0"/>
              <w:widowControl/>
              <w:suppressLineNumbers w:val="0"/>
              <w:spacing w:before="0" w:beforeAutospacing="0" w:after="0" w:afterAutospacing="0"/>
              <w:ind w:left="0" w:right="0"/>
              <w:jc w:val="center"/>
              <w:textAlignment w:val="top"/>
              <w:rPr>
                <w:rFonts w:hint="default" w:asciiTheme="minorEastAsia" w:hAnsiTheme="minorEastAsia" w:eastAsiaTheme="minorEastAsia"/>
                <w:szCs w:val="21"/>
              </w:rPr>
            </w:pPr>
            <w:r>
              <w:rPr>
                <w:rFonts w:hint="eastAsia" w:asciiTheme="minorEastAsia" w:hAnsiTheme="minorEastAsia" w:eastAsiaTheme="minorEastAsia"/>
                <w:szCs w:val="21"/>
              </w:rPr>
              <w:t>1</w:t>
            </w:r>
          </w:p>
        </w:tc>
        <w:tc>
          <w:tcPr>
            <w:tcW w:w="8386" w:type="dxa"/>
            <w:tcBorders>
              <w:top w:val="single" w:color="000000" w:sz="8" w:space="0"/>
              <w:left w:val="single" w:color="000000" w:sz="8" w:space="0"/>
              <w:bottom w:val="single" w:color="000000" w:sz="8" w:space="0"/>
              <w:right w:val="single" w:color="000000" w:sz="8" w:space="0"/>
            </w:tcBorders>
            <w:shd w:val="clear" w:color="auto" w:fill="auto"/>
          </w:tcPr>
          <w:p w14:paraId="012889B6">
            <w:pPr>
              <w:keepNext w:val="0"/>
              <w:keepLines w:val="0"/>
              <w:widowControl/>
              <w:suppressLineNumbers w:val="0"/>
              <w:spacing w:before="0" w:beforeAutospacing="0" w:after="0" w:afterAutospacing="0"/>
              <w:ind w:left="0" w:right="0"/>
              <w:jc w:val="left"/>
              <w:textAlignment w:val="top"/>
              <w:rPr>
                <w:rFonts w:hint="default" w:asciiTheme="minorEastAsia" w:hAnsiTheme="minorEastAsia" w:eastAsiaTheme="minorEastAsia"/>
                <w:szCs w:val="21"/>
              </w:rPr>
            </w:pPr>
            <w:r>
              <w:rPr>
                <w:rFonts w:hint="eastAsia" w:asciiTheme="minorEastAsia" w:hAnsiTheme="minorEastAsia" w:eastAsiaTheme="minorEastAsia"/>
                <w:szCs w:val="21"/>
              </w:rPr>
              <w:t>不得将一个包内容拆开投标；</w:t>
            </w:r>
          </w:p>
        </w:tc>
      </w:tr>
      <w:tr w14:paraId="573BE15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75" w:type="dxa"/>
            <w:tcBorders>
              <w:top w:val="single" w:color="000000" w:sz="8" w:space="0"/>
              <w:left w:val="single" w:color="000000" w:sz="8" w:space="0"/>
              <w:bottom w:val="single" w:color="000000" w:sz="8" w:space="0"/>
              <w:right w:val="single" w:color="000000" w:sz="8" w:space="0"/>
            </w:tcBorders>
          </w:tcPr>
          <w:p w14:paraId="3D3472F3">
            <w:pPr>
              <w:keepNext w:val="0"/>
              <w:keepLines w:val="0"/>
              <w:widowControl/>
              <w:suppressLineNumbers w:val="0"/>
              <w:spacing w:before="0" w:beforeAutospacing="0" w:after="0" w:afterAutospacing="0"/>
              <w:ind w:left="0" w:right="0"/>
              <w:jc w:val="center"/>
              <w:textAlignment w:val="top"/>
              <w:rPr>
                <w:rFonts w:hint="default" w:asciiTheme="minorEastAsia" w:hAnsiTheme="minorEastAsia" w:eastAsiaTheme="minorEastAsia"/>
                <w:szCs w:val="21"/>
              </w:rPr>
            </w:pPr>
            <w:r>
              <w:rPr>
                <w:rFonts w:hint="eastAsia" w:asciiTheme="minorEastAsia" w:hAnsiTheme="minorEastAsia" w:eastAsiaTheme="minorEastAsia"/>
                <w:szCs w:val="21"/>
              </w:rPr>
              <w:t>2</w:t>
            </w:r>
          </w:p>
        </w:tc>
        <w:tc>
          <w:tcPr>
            <w:tcW w:w="8386" w:type="dxa"/>
            <w:tcBorders>
              <w:top w:val="single" w:color="000000" w:sz="8" w:space="0"/>
              <w:left w:val="single" w:color="000000" w:sz="8" w:space="0"/>
              <w:bottom w:val="single" w:color="000000" w:sz="8" w:space="0"/>
              <w:right w:val="single" w:color="000000" w:sz="8" w:space="0"/>
            </w:tcBorders>
            <w:shd w:val="clear" w:color="auto" w:fill="auto"/>
          </w:tcPr>
          <w:p w14:paraId="1DD60F39">
            <w:pPr>
              <w:keepNext w:val="0"/>
              <w:keepLines w:val="0"/>
              <w:widowControl/>
              <w:suppressLineNumbers w:val="0"/>
              <w:spacing w:before="0" w:beforeAutospacing="0" w:after="0" w:afterAutospacing="0"/>
              <w:ind w:left="0" w:right="0"/>
              <w:jc w:val="left"/>
              <w:textAlignment w:val="top"/>
              <w:rPr>
                <w:rFonts w:hint="default" w:asciiTheme="minorEastAsia" w:hAnsiTheme="minorEastAsia" w:eastAsiaTheme="minorEastAsia"/>
                <w:szCs w:val="21"/>
              </w:rPr>
            </w:pPr>
            <w:r>
              <w:rPr>
                <w:rFonts w:hint="eastAsia" w:asciiTheme="minorEastAsia" w:hAnsiTheme="minorEastAsia" w:eastAsiaTheme="minorEastAsia"/>
                <w:szCs w:val="21"/>
              </w:rPr>
              <w:t>对同一项目投标时，不得提供两套以上的投标方案（招标文件另有规定的除外）；</w:t>
            </w:r>
          </w:p>
        </w:tc>
      </w:tr>
      <w:tr w14:paraId="7367A9F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75" w:type="dxa"/>
            <w:tcBorders>
              <w:top w:val="single" w:color="000000" w:sz="8" w:space="0"/>
              <w:left w:val="single" w:color="000000" w:sz="8" w:space="0"/>
              <w:bottom w:val="single" w:color="000000" w:sz="8" w:space="0"/>
              <w:right w:val="single" w:color="000000" w:sz="8" w:space="0"/>
            </w:tcBorders>
          </w:tcPr>
          <w:p w14:paraId="70B25082">
            <w:pPr>
              <w:keepNext w:val="0"/>
              <w:keepLines w:val="0"/>
              <w:widowControl/>
              <w:suppressLineNumbers w:val="0"/>
              <w:spacing w:before="0" w:beforeAutospacing="0" w:after="0" w:afterAutospacing="0"/>
              <w:ind w:left="0" w:right="0"/>
              <w:jc w:val="center"/>
              <w:textAlignment w:val="top"/>
              <w:rPr>
                <w:rFonts w:hint="default" w:asciiTheme="minorEastAsia" w:hAnsiTheme="minorEastAsia" w:eastAsiaTheme="minorEastAsia"/>
                <w:szCs w:val="21"/>
              </w:rPr>
            </w:pPr>
            <w:r>
              <w:rPr>
                <w:rFonts w:hint="eastAsia" w:asciiTheme="minorEastAsia" w:hAnsiTheme="minorEastAsia" w:eastAsiaTheme="minorEastAsia"/>
                <w:szCs w:val="21"/>
              </w:rPr>
              <w:t>3</w:t>
            </w:r>
          </w:p>
        </w:tc>
        <w:tc>
          <w:tcPr>
            <w:tcW w:w="8386" w:type="dxa"/>
            <w:tcBorders>
              <w:top w:val="single" w:color="000000" w:sz="8" w:space="0"/>
              <w:left w:val="single" w:color="000000" w:sz="8" w:space="0"/>
              <w:bottom w:val="single" w:color="000000" w:sz="8" w:space="0"/>
              <w:right w:val="single" w:color="000000" w:sz="8" w:space="0"/>
            </w:tcBorders>
            <w:shd w:val="clear" w:color="auto" w:fill="auto"/>
          </w:tcPr>
          <w:p w14:paraId="14971577">
            <w:pPr>
              <w:keepNext w:val="0"/>
              <w:keepLines w:val="0"/>
              <w:widowControl/>
              <w:suppressLineNumbers w:val="0"/>
              <w:spacing w:before="0" w:beforeAutospacing="0" w:after="0" w:afterAutospacing="0"/>
              <w:ind w:left="0" w:right="0"/>
              <w:jc w:val="left"/>
              <w:textAlignment w:val="top"/>
              <w:rPr>
                <w:rFonts w:hint="default" w:asciiTheme="minorEastAsia" w:hAnsiTheme="minorEastAsia" w:eastAsiaTheme="minorEastAsia"/>
                <w:szCs w:val="21"/>
              </w:rPr>
            </w:pPr>
            <w:r>
              <w:rPr>
                <w:rFonts w:hint="eastAsia" w:asciiTheme="minorEastAsia" w:hAnsiTheme="minorEastAsia" w:eastAsiaTheme="minorEastAsia"/>
                <w:szCs w:val="21"/>
              </w:rPr>
              <w:t>分项报价或投标总价不得高于相应预算金额（或设定的预算金额下的最高限价）；</w:t>
            </w:r>
          </w:p>
        </w:tc>
      </w:tr>
      <w:tr w14:paraId="61A590F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1436" w:hRule="atLeast"/>
          <w:jc w:val="center"/>
        </w:trPr>
        <w:tc>
          <w:tcPr>
            <w:tcW w:w="675" w:type="dxa"/>
            <w:tcBorders>
              <w:top w:val="single" w:color="000000" w:sz="8" w:space="0"/>
              <w:left w:val="single" w:color="000000" w:sz="8" w:space="0"/>
              <w:bottom w:val="single" w:color="000000" w:sz="8" w:space="0"/>
              <w:right w:val="single" w:color="000000" w:sz="8" w:space="0"/>
            </w:tcBorders>
          </w:tcPr>
          <w:p w14:paraId="5AC4AF26">
            <w:pPr>
              <w:keepNext w:val="0"/>
              <w:keepLines w:val="0"/>
              <w:widowControl/>
              <w:suppressLineNumbers w:val="0"/>
              <w:spacing w:before="0" w:beforeAutospacing="0" w:after="0" w:afterAutospacing="0"/>
              <w:ind w:left="0" w:right="0"/>
              <w:jc w:val="center"/>
              <w:textAlignment w:val="top"/>
              <w:rPr>
                <w:rFonts w:hint="default" w:asciiTheme="minorEastAsia" w:hAnsiTheme="minorEastAsia" w:eastAsiaTheme="minorEastAsia"/>
                <w:szCs w:val="21"/>
              </w:rPr>
            </w:pPr>
            <w:r>
              <w:rPr>
                <w:rFonts w:hint="eastAsia" w:asciiTheme="minorEastAsia" w:hAnsiTheme="minorEastAsia" w:eastAsiaTheme="minorEastAsia"/>
                <w:szCs w:val="21"/>
              </w:rPr>
              <w:t>4</w:t>
            </w:r>
          </w:p>
        </w:tc>
        <w:tc>
          <w:tcPr>
            <w:tcW w:w="8386" w:type="dxa"/>
            <w:tcBorders>
              <w:top w:val="single" w:color="000000" w:sz="8" w:space="0"/>
              <w:left w:val="single" w:color="000000" w:sz="8" w:space="0"/>
              <w:bottom w:val="single" w:color="000000" w:sz="8" w:space="0"/>
              <w:right w:val="single" w:color="000000" w:sz="8" w:space="0"/>
            </w:tcBorders>
            <w:shd w:val="clear" w:color="auto" w:fill="auto"/>
          </w:tcPr>
          <w:p w14:paraId="00928E18">
            <w:pPr>
              <w:keepNext w:val="0"/>
              <w:keepLines w:val="0"/>
              <w:widowControl/>
              <w:suppressLineNumbers w:val="0"/>
              <w:spacing w:before="0" w:beforeAutospacing="0" w:after="0" w:afterAutospacing="0"/>
              <w:ind w:left="0" w:right="0"/>
              <w:jc w:val="left"/>
              <w:textAlignment w:val="top"/>
              <w:rPr>
                <w:rFonts w:hint="default" w:asciiTheme="minorEastAsia" w:hAnsiTheme="minorEastAsia" w:eastAsiaTheme="minorEastAsia"/>
                <w:szCs w:val="21"/>
              </w:rPr>
            </w:pPr>
            <w:r>
              <w:rPr>
                <w:rFonts w:hint="eastAsia" w:asciiTheme="minorEastAsia" w:hAnsiTheme="minorEastAsia" w:eastAsiaTheme="minorEastAsia"/>
                <w:szCs w:val="21"/>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14:paraId="164D0DB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75" w:type="dxa"/>
            <w:tcBorders>
              <w:top w:val="single" w:color="000000" w:sz="8" w:space="0"/>
              <w:left w:val="single" w:color="000000" w:sz="8" w:space="0"/>
              <w:bottom w:val="single" w:color="000000" w:sz="8" w:space="0"/>
              <w:right w:val="single" w:color="000000" w:sz="8" w:space="0"/>
            </w:tcBorders>
          </w:tcPr>
          <w:p w14:paraId="5FA5FCBF">
            <w:pPr>
              <w:keepNext w:val="0"/>
              <w:keepLines w:val="0"/>
              <w:widowControl/>
              <w:suppressLineNumbers w:val="0"/>
              <w:spacing w:before="0" w:beforeAutospacing="0" w:after="0" w:afterAutospacing="0"/>
              <w:ind w:left="0" w:right="0"/>
              <w:jc w:val="center"/>
              <w:textAlignment w:val="top"/>
              <w:rPr>
                <w:rFonts w:hint="default" w:asciiTheme="minorEastAsia" w:hAnsiTheme="minorEastAsia" w:eastAsiaTheme="minorEastAsia"/>
                <w:szCs w:val="21"/>
                <w:highlight w:val="none"/>
              </w:rPr>
            </w:pPr>
            <w:r>
              <w:rPr>
                <w:rFonts w:hint="eastAsia" w:asciiTheme="minorEastAsia" w:hAnsiTheme="minorEastAsia" w:eastAsiaTheme="minorEastAsia"/>
                <w:szCs w:val="21"/>
                <w:highlight w:val="none"/>
              </w:rPr>
              <w:t>5</w:t>
            </w:r>
          </w:p>
        </w:tc>
        <w:tc>
          <w:tcPr>
            <w:tcW w:w="8386" w:type="dxa"/>
            <w:tcBorders>
              <w:top w:val="single" w:color="000000" w:sz="8" w:space="0"/>
              <w:left w:val="single" w:color="000000" w:sz="8" w:space="0"/>
              <w:bottom w:val="single" w:color="000000" w:sz="8" w:space="0"/>
              <w:right w:val="single" w:color="000000" w:sz="8" w:space="0"/>
            </w:tcBorders>
            <w:shd w:val="clear" w:color="auto" w:fill="auto"/>
          </w:tcPr>
          <w:p w14:paraId="730A124B">
            <w:pPr>
              <w:keepNext w:val="0"/>
              <w:keepLines w:val="0"/>
              <w:widowControl/>
              <w:suppressLineNumbers w:val="0"/>
              <w:spacing w:before="0" w:beforeAutospacing="0" w:after="0" w:afterAutospacing="0"/>
              <w:ind w:left="0" w:right="0"/>
              <w:jc w:val="left"/>
              <w:textAlignment w:val="top"/>
              <w:rPr>
                <w:rFonts w:hint="default" w:asciiTheme="minorEastAsia" w:hAnsiTheme="minorEastAsia" w:eastAsiaTheme="minorEastAsia"/>
                <w:szCs w:val="21"/>
                <w:highlight w:val="none"/>
              </w:rPr>
            </w:pPr>
            <w:r>
              <w:rPr>
                <w:rFonts w:hint="eastAsia" w:asciiTheme="minorEastAsia" w:hAnsiTheme="minorEastAsia" w:eastAsiaTheme="minorEastAsia"/>
                <w:szCs w:val="21"/>
                <w:highlight w:val="none"/>
              </w:rPr>
              <w:t>所投货物、服务在技术、商务等方面没有实质性满足招标文件要求的（是否实质性满足招标文件要求，由评审委员会根据实质性条款响应情况做出评判；若招标文件未设置实质性条款，不得据此做投标无效处理）；</w:t>
            </w:r>
          </w:p>
        </w:tc>
      </w:tr>
      <w:tr w14:paraId="72DCA38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75" w:type="dxa"/>
            <w:tcBorders>
              <w:top w:val="single" w:color="000000" w:sz="8" w:space="0"/>
              <w:left w:val="single" w:color="000000" w:sz="8" w:space="0"/>
              <w:bottom w:val="single" w:color="000000" w:sz="8" w:space="0"/>
              <w:right w:val="single" w:color="000000" w:sz="8" w:space="0"/>
            </w:tcBorders>
          </w:tcPr>
          <w:p w14:paraId="5E64BEE7">
            <w:pPr>
              <w:keepNext w:val="0"/>
              <w:keepLines w:val="0"/>
              <w:widowControl/>
              <w:suppressLineNumbers w:val="0"/>
              <w:spacing w:before="0" w:beforeAutospacing="0" w:after="0" w:afterAutospacing="0"/>
              <w:ind w:left="0" w:right="0"/>
              <w:jc w:val="center"/>
              <w:textAlignment w:val="top"/>
              <w:rPr>
                <w:rFonts w:hint="default" w:asciiTheme="minorEastAsia" w:hAnsiTheme="minorEastAsia" w:eastAsiaTheme="minorEastAsia"/>
                <w:szCs w:val="21"/>
              </w:rPr>
            </w:pPr>
            <w:r>
              <w:rPr>
                <w:rFonts w:hint="eastAsia" w:asciiTheme="minorEastAsia" w:hAnsiTheme="minorEastAsia" w:eastAsiaTheme="minorEastAsia"/>
                <w:szCs w:val="21"/>
              </w:rPr>
              <w:t>6</w:t>
            </w:r>
          </w:p>
        </w:tc>
        <w:tc>
          <w:tcPr>
            <w:tcW w:w="8386" w:type="dxa"/>
            <w:tcBorders>
              <w:top w:val="single" w:color="000000" w:sz="8" w:space="0"/>
              <w:left w:val="single" w:color="000000" w:sz="8" w:space="0"/>
              <w:bottom w:val="single" w:color="000000" w:sz="8" w:space="0"/>
              <w:right w:val="single" w:color="000000" w:sz="8" w:space="0"/>
            </w:tcBorders>
            <w:shd w:val="clear" w:color="auto" w:fill="auto"/>
          </w:tcPr>
          <w:p w14:paraId="3B872E1F">
            <w:pPr>
              <w:keepNext w:val="0"/>
              <w:keepLines w:val="0"/>
              <w:widowControl/>
              <w:suppressLineNumbers w:val="0"/>
              <w:spacing w:before="0" w:beforeAutospacing="0" w:after="0" w:afterAutospacing="0"/>
              <w:ind w:left="0" w:right="0"/>
              <w:jc w:val="left"/>
              <w:textAlignment w:val="top"/>
              <w:rPr>
                <w:rFonts w:hint="default" w:asciiTheme="minorEastAsia" w:hAnsiTheme="minorEastAsia" w:eastAsiaTheme="minorEastAsia"/>
                <w:szCs w:val="21"/>
              </w:rPr>
            </w:pPr>
            <w:r>
              <w:rPr>
                <w:rFonts w:hint="eastAsia" w:asciiTheme="minorEastAsia" w:hAnsiTheme="minorEastAsia" w:eastAsiaTheme="minorEastAsia"/>
                <w:szCs w:val="21"/>
              </w:rPr>
              <w:t>未按招标文件所提供的样式填写《投标函》；未按招标文件所提供的《采购投标及履约承诺函》进行承诺或不符合承诺的；未按招标文件对投标文件组成的要求提供投标文件；</w:t>
            </w:r>
          </w:p>
        </w:tc>
      </w:tr>
      <w:tr w14:paraId="4BC54AB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75" w:type="dxa"/>
            <w:tcBorders>
              <w:top w:val="single" w:color="000000" w:sz="8" w:space="0"/>
              <w:left w:val="single" w:color="000000" w:sz="8" w:space="0"/>
              <w:bottom w:val="single" w:color="000000" w:sz="8" w:space="0"/>
              <w:right w:val="single" w:color="000000" w:sz="8" w:space="0"/>
            </w:tcBorders>
          </w:tcPr>
          <w:p w14:paraId="08AD86C6">
            <w:pPr>
              <w:keepNext w:val="0"/>
              <w:keepLines w:val="0"/>
              <w:widowControl/>
              <w:suppressLineNumbers w:val="0"/>
              <w:spacing w:before="0" w:beforeAutospacing="0" w:after="0" w:afterAutospacing="0"/>
              <w:ind w:left="0" w:right="0"/>
              <w:jc w:val="center"/>
              <w:textAlignment w:val="top"/>
              <w:rPr>
                <w:rFonts w:hint="default" w:asciiTheme="minorEastAsia" w:hAnsiTheme="minorEastAsia" w:eastAsiaTheme="minorEastAsia"/>
                <w:szCs w:val="21"/>
                <w:highlight w:val="none"/>
              </w:rPr>
            </w:pPr>
            <w:r>
              <w:rPr>
                <w:rFonts w:hint="eastAsia" w:asciiTheme="minorEastAsia" w:hAnsiTheme="minorEastAsia" w:eastAsiaTheme="minorEastAsia"/>
                <w:szCs w:val="21"/>
                <w:highlight w:val="none"/>
              </w:rPr>
              <w:t>7</w:t>
            </w:r>
          </w:p>
        </w:tc>
        <w:tc>
          <w:tcPr>
            <w:tcW w:w="8386" w:type="dxa"/>
            <w:tcBorders>
              <w:top w:val="single" w:color="000000" w:sz="8" w:space="0"/>
              <w:left w:val="single" w:color="000000" w:sz="8" w:space="0"/>
              <w:bottom w:val="single" w:color="000000" w:sz="8" w:space="0"/>
              <w:right w:val="single" w:color="000000" w:sz="8" w:space="0"/>
            </w:tcBorders>
            <w:shd w:val="clear" w:color="auto" w:fill="auto"/>
          </w:tcPr>
          <w:p w14:paraId="45A608D6">
            <w:pPr>
              <w:keepNext w:val="0"/>
              <w:keepLines w:val="0"/>
              <w:widowControl/>
              <w:suppressLineNumbers w:val="0"/>
              <w:spacing w:before="0" w:beforeAutospacing="0" w:after="0" w:afterAutospacing="0"/>
              <w:ind w:left="0" w:right="0"/>
              <w:jc w:val="left"/>
              <w:textAlignment w:val="top"/>
              <w:rPr>
                <w:rFonts w:hint="default" w:asciiTheme="minorEastAsia" w:hAnsiTheme="minorEastAsia" w:eastAsiaTheme="minorEastAsia"/>
                <w:szCs w:val="21"/>
                <w:highlight w:val="none"/>
              </w:rPr>
            </w:pPr>
            <w:r>
              <w:rPr>
                <w:rFonts w:hint="eastAsia" w:asciiTheme="minorEastAsia" w:hAnsiTheme="minorEastAsia" w:eastAsiaTheme="minorEastAsia"/>
                <w:szCs w:val="21"/>
                <w:highlight w:val="none"/>
              </w:rPr>
              <w:t>采购标的/服务清单/报价等任意一类有缺漏项或响应不全，或者对招标文件规定的项目需求内容或者需求数量进行修改，评审委员会判定投标响应不满足采购需求；</w:t>
            </w:r>
          </w:p>
        </w:tc>
      </w:tr>
      <w:tr w14:paraId="0CD6412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75" w:type="dxa"/>
            <w:tcBorders>
              <w:top w:val="single" w:color="000000" w:sz="8" w:space="0"/>
              <w:left w:val="single" w:color="000000" w:sz="8" w:space="0"/>
              <w:bottom w:val="single" w:color="000000" w:sz="8" w:space="0"/>
              <w:right w:val="single" w:color="000000" w:sz="8" w:space="0"/>
            </w:tcBorders>
          </w:tcPr>
          <w:p w14:paraId="6A28709D">
            <w:pPr>
              <w:keepNext w:val="0"/>
              <w:keepLines w:val="0"/>
              <w:widowControl/>
              <w:suppressLineNumbers w:val="0"/>
              <w:spacing w:before="0" w:beforeAutospacing="0" w:after="0" w:afterAutospacing="0"/>
              <w:ind w:left="0" w:right="0"/>
              <w:jc w:val="center"/>
              <w:textAlignment w:val="top"/>
              <w:rPr>
                <w:rFonts w:hint="default" w:asciiTheme="minorEastAsia" w:hAnsiTheme="minorEastAsia" w:eastAsiaTheme="minorEastAsia"/>
                <w:szCs w:val="21"/>
              </w:rPr>
            </w:pPr>
            <w:r>
              <w:rPr>
                <w:rFonts w:hint="eastAsia" w:asciiTheme="minorEastAsia" w:hAnsiTheme="minorEastAsia" w:eastAsiaTheme="minorEastAsia"/>
                <w:szCs w:val="21"/>
              </w:rPr>
              <w:t>8</w:t>
            </w:r>
          </w:p>
        </w:tc>
        <w:tc>
          <w:tcPr>
            <w:tcW w:w="8386" w:type="dxa"/>
            <w:tcBorders>
              <w:top w:val="single" w:color="000000" w:sz="8" w:space="0"/>
              <w:left w:val="single" w:color="000000" w:sz="8" w:space="0"/>
              <w:bottom w:val="single" w:color="000000" w:sz="8" w:space="0"/>
              <w:right w:val="single" w:color="000000" w:sz="8" w:space="0"/>
            </w:tcBorders>
            <w:shd w:val="clear" w:color="auto" w:fill="auto"/>
          </w:tcPr>
          <w:p w14:paraId="23B0387C">
            <w:pPr>
              <w:keepNext w:val="0"/>
              <w:keepLines w:val="0"/>
              <w:widowControl/>
              <w:suppressLineNumbers w:val="0"/>
              <w:spacing w:before="0" w:beforeAutospacing="0" w:after="0" w:afterAutospacing="0"/>
              <w:ind w:left="0" w:right="0"/>
              <w:jc w:val="left"/>
              <w:textAlignment w:val="top"/>
              <w:rPr>
                <w:rFonts w:hint="default" w:asciiTheme="minorEastAsia" w:hAnsiTheme="minorEastAsia" w:eastAsiaTheme="minorEastAsia"/>
                <w:szCs w:val="21"/>
              </w:rPr>
            </w:pPr>
            <w:r>
              <w:rPr>
                <w:rFonts w:hint="eastAsia" w:asciiTheme="minorEastAsia" w:hAnsiTheme="minorEastAsia" w:eastAsiaTheme="minorEastAsia"/>
                <w:szCs w:val="21"/>
              </w:rPr>
              <w:t>投标文件存在列放位置错误，导致属于信息公开情形的没有被公开；</w:t>
            </w:r>
          </w:p>
        </w:tc>
      </w:tr>
      <w:tr w14:paraId="3D2CA6B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75" w:type="dxa"/>
            <w:tcBorders>
              <w:top w:val="single" w:color="000000" w:sz="8" w:space="0"/>
              <w:left w:val="single" w:color="000000" w:sz="8" w:space="0"/>
              <w:bottom w:val="single" w:color="000000" w:sz="8" w:space="0"/>
              <w:right w:val="single" w:color="000000" w:sz="8" w:space="0"/>
            </w:tcBorders>
          </w:tcPr>
          <w:p w14:paraId="3BD26A5A">
            <w:pPr>
              <w:keepNext w:val="0"/>
              <w:keepLines w:val="0"/>
              <w:widowControl/>
              <w:suppressLineNumbers w:val="0"/>
              <w:spacing w:before="0" w:beforeAutospacing="0" w:after="0" w:afterAutospacing="0"/>
              <w:ind w:left="0" w:right="0"/>
              <w:jc w:val="center"/>
              <w:textAlignment w:val="top"/>
              <w:rPr>
                <w:rFonts w:hint="default" w:asciiTheme="minorEastAsia" w:hAnsiTheme="minorEastAsia" w:eastAsiaTheme="minorEastAsia"/>
                <w:szCs w:val="21"/>
              </w:rPr>
            </w:pPr>
            <w:r>
              <w:rPr>
                <w:rFonts w:hint="eastAsia" w:asciiTheme="minorEastAsia" w:hAnsiTheme="minorEastAsia" w:eastAsiaTheme="minorEastAsia"/>
                <w:szCs w:val="21"/>
              </w:rPr>
              <w:t>9</w:t>
            </w:r>
          </w:p>
        </w:tc>
        <w:tc>
          <w:tcPr>
            <w:tcW w:w="8386" w:type="dxa"/>
            <w:tcBorders>
              <w:top w:val="single" w:color="000000" w:sz="8" w:space="0"/>
              <w:left w:val="single" w:color="000000" w:sz="8" w:space="0"/>
              <w:bottom w:val="single" w:color="000000" w:sz="8" w:space="0"/>
              <w:right w:val="single" w:color="000000" w:sz="8" w:space="0"/>
            </w:tcBorders>
            <w:shd w:val="clear" w:color="auto" w:fill="auto"/>
          </w:tcPr>
          <w:p w14:paraId="6772ACFD">
            <w:pPr>
              <w:keepNext w:val="0"/>
              <w:keepLines w:val="0"/>
              <w:widowControl/>
              <w:suppressLineNumbers w:val="0"/>
              <w:spacing w:before="0" w:beforeAutospacing="0" w:after="0" w:afterAutospacing="0"/>
              <w:ind w:left="0" w:right="0"/>
              <w:jc w:val="left"/>
              <w:textAlignment w:val="top"/>
              <w:rPr>
                <w:rFonts w:hint="default" w:asciiTheme="minorEastAsia" w:hAnsiTheme="minorEastAsia" w:eastAsiaTheme="minorEastAsia"/>
                <w:szCs w:val="21"/>
              </w:rPr>
            </w:pPr>
            <w:r>
              <w:rPr>
                <w:rFonts w:hint="eastAsia" w:asciiTheme="minorEastAsia" w:hAnsiTheme="minorEastAsia" w:eastAsiaTheme="minorEastAsia"/>
                <w:szCs w:val="21"/>
              </w:rPr>
              <w:t>投标文件电子文档不得带病毒；</w:t>
            </w:r>
          </w:p>
        </w:tc>
      </w:tr>
      <w:tr w14:paraId="32F7FA4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75" w:type="dxa"/>
            <w:tcBorders>
              <w:top w:val="single" w:color="000000" w:sz="8" w:space="0"/>
              <w:left w:val="single" w:color="000000" w:sz="8" w:space="0"/>
              <w:bottom w:val="single" w:color="000000" w:sz="8" w:space="0"/>
              <w:right w:val="single" w:color="000000" w:sz="8" w:space="0"/>
            </w:tcBorders>
          </w:tcPr>
          <w:p w14:paraId="39647574">
            <w:pPr>
              <w:keepNext w:val="0"/>
              <w:keepLines w:val="0"/>
              <w:widowControl/>
              <w:suppressLineNumbers w:val="0"/>
              <w:spacing w:before="0" w:beforeAutospacing="0" w:after="0" w:afterAutospacing="0"/>
              <w:ind w:left="0" w:right="0"/>
              <w:jc w:val="center"/>
              <w:textAlignment w:val="top"/>
              <w:rPr>
                <w:rFonts w:hint="default" w:asciiTheme="minorEastAsia" w:hAnsiTheme="minorEastAsia" w:eastAsiaTheme="minorEastAsia"/>
                <w:szCs w:val="21"/>
              </w:rPr>
            </w:pPr>
            <w:r>
              <w:rPr>
                <w:rFonts w:hint="eastAsia" w:asciiTheme="minorEastAsia" w:hAnsiTheme="minorEastAsia" w:eastAsiaTheme="minorEastAsia"/>
                <w:szCs w:val="21"/>
              </w:rPr>
              <w:t>10</w:t>
            </w:r>
          </w:p>
        </w:tc>
        <w:tc>
          <w:tcPr>
            <w:tcW w:w="8386" w:type="dxa"/>
            <w:tcBorders>
              <w:top w:val="single" w:color="000000" w:sz="8" w:space="0"/>
              <w:left w:val="single" w:color="000000" w:sz="8" w:space="0"/>
              <w:bottom w:val="single" w:color="000000" w:sz="8" w:space="0"/>
              <w:right w:val="single" w:color="000000" w:sz="8" w:space="0"/>
            </w:tcBorders>
            <w:shd w:val="clear" w:color="auto" w:fill="auto"/>
          </w:tcPr>
          <w:p w14:paraId="2DBFCF62">
            <w:pPr>
              <w:keepNext w:val="0"/>
              <w:keepLines w:val="0"/>
              <w:widowControl/>
              <w:suppressLineNumbers w:val="0"/>
              <w:spacing w:before="0" w:beforeAutospacing="0" w:after="0" w:afterAutospacing="0"/>
              <w:ind w:left="0" w:right="0"/>
              <w:jc w:val="left"/>
              <w:textAlignment w:val="top"/>
              <w:rPr>
                <w:rFonts w:hint="default" w:asciiTheme="minorEastAsia" w:hAnsiTheme="minorEastAsia" w:eastAsiaTheme="minorEastAsia"/>
                <w:szCs w:val="21"/>
              </w:rPr>
            </w:pPr>
            <w:r>
              <w:rPr>
                <w:rFonts w:hint="eastAsia" w:asciiTheme="minorEastAsia" w:hAnsiTheme="minorEastAsia" w:eastAsiaTheme="minorEastAsia"/>
                <w:szCs w:val="21"/>
              </w:rPr>
              <w:t>投标文件用不属于本公司的电子密钥进行加密；</w:t>
            </w:r>
          </w:p>
        </w:tc>
      </w:tr>
      <w:tr w14:paraId="794E2C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75" w:type="dxa"/>
            <w:tcBorders>
              <w:top w:val="single" w:color="000000" w:sz="8" w:space="0"/>
              <w:left w:val="single" w:color="000000" w:sz="8" w:space="0"/>
              <w:bottom w:val="single" w:color="000000" w:sz="8" w:space="0"/>
              <w:right w:val="single" w:color="000000" w:sz="8" w:space="0"/>
            </w:tcBorders>
          </w:tcPr>
          <w:p w14:paraId="6838FC79">
            <w:pPr>
              <w:keepNext w:val="0"/>
              <w:keepLines w:val="0"/>
              <w:widowControl/>
              <w:suppressLineNumbers w:val="0"/>
              <w:spacing w:before="0" w:beforeAutospacing="0" w:after="0" w:afterAutospacing="0"/>
              <w:ind w:left="0" w:right="0"/>
              <w:jc w:val="center"/>
              <w:textAlignment w:val="top"/>
              <w:rPr>
                <w:rFonts w:hint="default" w:asciiTheme="minorEastAsia" w:hAnsiTheme="minorEastAsia" w:eastAsiaTheme="minorEastAsia"/>
                <w:szCs w:val="21"/>
              </w:rPr>
            </w:pPr>
            <w:r>
              <w:rPr>
                <w:rFonts w:hint="eastAsia" w:asciiTheme="minorEastAsia" w:hAnsiTheme="minorEastAsia" w:eastAsiaTheme="minorEastAsia"/>
                <w:szCs w:val="21"/>
              </w:rPr>
              <w:t>11</w:t>
            </w:r>
          </w:p>
        </w:tc>
        <w:tc>
          <w:tcPr>
            <w:tcW w:w="8386" w:type="dxa"/>
            <w:tcBorders>
              <w:top w:val="single" w:color="000000" w:sz="8" w:space="0"/>
              <w:left w:val="single" w:color="000000" w:sz="8" w:space="0"/>
              <w:bottom w:val="single" w:color="000000" w:sz="8" w:space="0"/>
              <w:right w:val="single" w:color="000000" w:sz="8" w:space="0"/>
            </w:tcBorders>
            <w:shd w:val="clear" w:color="auto" w:fill="auto"/>
          </w:tcPr>
          <w:p w14:paraId="623F1C4F">
            <w:pPr>
              <w:keepNext w:val="0"/>
              <w:keepLines w:val="0"/>
              <w:widowControl/>
              <w:suppressLineNumbers w:val="0"/>
              <w:spacing w:before="0" w:beforeAutospacing="0" w:after="0" w:afterAutospacing="0"/>
              <w:ind w:left="0" w:right="0"/>
              <w:jc w:val="left"/>
              <w:textAlignment w:val="top"/>
              <w:rPr>
                <w:rFonts w:hint="default" w:asciiTheme="minorEastAsia" w:hAnsiTheme="minorEastAsia" w:eastAsiaTheme="minorEastAsia"/>
                <w:szCs w:val="21"/>
              </w:rPr>
            </w:pPr>
            <w:r>
              <w:rPr>
                <w:rFonts w:hint="eastAsia" w:asciiTheme="minorEastAsia" w:hAnsiTheme="minorEastAsia" w:eastAsiaTheme="minorEastAsia"/>
                <w:szCs w:val="21"/>
              </w:rPr>
              <w:t>法律、法规、规章、规范性文件规定的其他情形。</w:t>
            </w:r>
          </w:p>
        </w:tc>
      </w:tr>
      <w:tr w14:paraId="3554283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75" w:type="dxa"/>
            <w:tcBorders>
              <w:top w:val="single" w:color="000000" w:sz="8" w:space="0"/>
              <w:left w:val="single" w:color="000000" w:sz="8" w:space="0"/>
              <w:bottom w:val="single" w:color="000000" w:sz="8" w:space="0"/>
              <w:right w:val="single" w:color="000000" w:sz="8" w:space="0"/>
            </w:tcBorders>
            <w:vAlign w:val="top"/>
          </w:tcPr>
          <w:p w14:paraId="11CDFFBE">
            <w:pPr>
              <w:keepNext w:val="0"/>
              <w:keepLines w:val="0"/>
              <w:widowControl/>
              <w:suppressLineNumbers w:val="0"/>
              <w:spacing w:before="0" w:beforeAutospacing="0" w:after="0" w:afterAutospacing="0"/>
              <w:ind w:left="0" w:leftChars="0" w:right="0" w:rightChars="0"/>
              <w:jc w:val="center"/>
              <w:textAlignment w:val="top"/>
              <w:rPr>
                <w:rFonts w:hint="eastAsia" w:asciiTheme="minorEastAsia" w:hAnsiTheme="minorEastAsia" w:eastAsiaTheme="minorEastAsia"/>
                <w:szCs w:val="21"/>
              </w:rPr>
            </w:pPr>
            <w:r>
              <w:rPr>
                <w:rFonts w:hint="eastAsia" w:asciiTheme="minorEastAsia" w:hAnsiTheme="minorEastAsia" w:eastAsiaTheme="minorEastAsia"/>
                <w:szCs w:val="21"/>
                <w:lang w:val="en-US" w:eastAsia="zh-CN"/>
              </w:rPr>
              <w:t>12</w:t>
            </w:r>
          </w:p>
        </w:tc>
        <w:tc>
          <w:tcPr>
            <w:tcW w:w="8386" w:type="dxa"/>
            <w:tcBorders>
              <w:top w:val="single" w:color="000000" w:sz="8" w:space="0"/>
              <w:left w:val="single" w:color="000000" w:sz="8" w:space="0"/>
              <w:bottom w:val="single" w:color="000000" w:sz="8" w:space="0"/>
              <w:right w:val="single" w:color="000000" w:sz="8" w:space="0"/>
            </w:tcBorders>
            <w:shd w:val="clear" w:color="auto" w:fill="auto"/>
            <w:vAlign w:val="top"/>
          </w:tcPr>
          <w:p w14:paraId="42CEE6E3">
            <w:pPr>
              <w:keepNext w:val="0"/>
              <w:keepLines w:val="0"/>
              <w:widowControl/>
              <w:suppressLineNumbers w:val="0"/>
              <w:spacing w:before="0" w:beforeAutospacing="0" w:after="0" w:afterAutospacing="0"/>
              <w:ind w:left="0" w:leftChars="0" w:right="0" w:rightChars="0"/>
              <w:jc w:val="left"/>
              <w:textAlignment w:val="top"/>
              <w:rPr>
                <w:rFonts w:hint="eastAsia" w:asciiTheme="minorEastAsia" w:hAnsiTheme="minorEastAsia" w:eastAsiaTheme="minorEastAsia"/>
                <w:szCs w:val="21"/>
              </w:rPr>
            </w:pPr>
            <w:r>
              <w:rPr>
                <w:rFonts w:hint="eastAsia" w:asciiTheme="minorEastAsia" w:hAnsiTheme="minorEastAsia" w:eastAsiaTheme="minorEastAsia"/>
                <w:szCs w:val="21"/>
              </w:rPr>
              <w:t>不符合招标文件第二章“多包组要求”中规定的中标原则（兼投不兼中原则）。</w:t>
            </w:r>
          </w:p>
        </w:tc>
      </w:tr>
    </w:tbl>
    <w:p w14:paraId="1B83BA7E">
      <w:pPr>
        <w:pStyle w:val="2"/>
      </w:pPr>
      <w:r>
        <w:br w:type="page"/>
      </w:r>
    </w:p>
    <w:p w14:paraId="6F7BE093">
      <w:pPr>
        <w:pStyle w:val="12"/>
        <w:jc w:val="center"/>
        <w:outlineLvl w:val="1"/>
        <w:rPr>
          <w:rFonts w:ascii="黑体" w:hAnsi="黑体" w:eastAsia="黑体"/>
          <w:sz w:val="40"/>
          <w:szCs w:val="40"/>
        </w:rPr>
      </w:pPr>
      <w:r>
        <w:rPr>
          <w:rFonts w:hint="eastAsia" w:ascii="黑体" w:hAnsi="黑体" w:eastAsia="黑体"/>
          <w:sz w:val="40"/>
          <w:szCs w:val="40"/>
        </w:rPr>
        <w:t>评标信息</w:t>
      </w:r>
    </w:p>
    <w:tbl>
      <w:tblPr>
        <w:tblStyle w:val="13"/>
        <w:tblW w:w="9162"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45" w:type="dxa"/>
          <w:left w:w="45" w:type="dxa"/>
          <w:bottom w:w="45" w:type="dxa"/>
          <w:right w:w="45" w:type="dxa"/>
        </w:tblCellMar>
      </w:tblPr>
      <w:tblGrid>
        <w:gridCol w:w="63"/>
        <w:gridCol w:w="610"/>
        <w:gridCol w:w="672"/>
        <w:gridCol w:w="2331"/>
        <w:gridCol w:w="761"/>
        <w:gridCol w:w="4698"/>
        <w:gridCol w:w="27"/>
      </w:tblGrid>
      <w:tr w14:paraId="59A21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gridBefore w:val="1"/>
          <w:gridAfter w:val="1"/>
          <w:wBefore w:w="63" w:type="dxa"/>
          <w:wAfter w:w="27" w:type="dxa"/>
          <w:tblCellSpacing w:w="0" w:type="dxa"/>
          <w:jc w:val="center"/>
        </w:trPr>
        <w:tc>
          <w:tcPr>
            <w:tcW w:w="9072" w:type="dxa"/>
            <w:gridSpan w:val="5"/>
            <w:vAlign w:val="center"/>
          </w:tcPr>
          <w:p w14:paraId="392ED822">
            <w:pPr>
              <w:keepNext w:val="0"/>
              <w:keepLines w:val="0"/>
              <w:widowControl/>
              <w:suppressLineNumbers w:val="0"/>
              <w:spacing w:before="0" w:beforeAutospacing="0" w:after="0" w:afterAutospacing="0"/>
              <w:ind w:left="0" w:right="0"/>
              <w:jc w:val="left"/>
              <w:rPr>
                <w:rFonts w:hint="default" w:asciiTheme="minorEastAsia" w:hAnsiTheme="minorEastAsia" w:eastAsiaTheme="minorEastAsia"/>
                <w:b/>
                <w:bCs/>
                <w:sz w:val="24"/>
                <w:highlight w:val="none"/>
              </w:rPr>
            </w:pPr>
            <w:r>
              <w:rPr>
                <w:rFonts w:hint="default" w:asciiTheme="minorEastAsia" w:hAnsiTheme="minorEastAsia" w:eastAsiaTheme="minorEastAsia"/>
                <w:b/>
                <w:bCs/>
                <w:highlight w:val="none"/>
              </w:rPr>
              <w:t>评标方法：综合评分法</w:t>
            </w:r>
          </w:p>
        </w:tc>
      </w:tr>
      <w:tr w14:paraId="1A3A0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gridBefore w:val="1"/>
          <w:gridAfter w:val="1"/>
          <w:wBefore w:w="63" w:type="dxa"/>
          <w:wAfter w:w="27" w:type="dxa"/>
          <w:tblCellSpacing w:w="0" w:type="dxa"/>
          <w:jc w:val="center"/>
        </w:trPr>
        <w:tc>
          <w:tcPr>
            <w:tcW w:w="9072" w:type="dxa"/>
            <w:gridSpan w:val="5"/>
            <w:vAlign w:val="center"/>
          </w:tcPr>
          <w:p w14:paraId="7047F7DC">
            <w:pPr>
              <w:keepNext w:val="0"/>
              <w:keepLines w:val="0"/>
              <w:suppressLineNumbers w:val="0"/>
              <w:spacing w:before="0" w:beforeAutospacing="0" w:after="0" w:afterAutospacing="0"/>
              <w:ind w:left="0" w:right="0" w:firstLine="420"/>
              <w:rPr>
                <w:rFonts w:hint="default" w:asciiTheme="minorEastAsia" w:hAnsiTheme="minorEastAsia" w:eastAsiaTheme="minorEastAsia"/>
                <w:szCs w:val="21"/>
                <w:highlight w:val="none"/>
              </w:rPr>
            </w:pPr>
            <w:r>
              <w:rPr>
                <w:rFonts w:hint="default" w:asciiTheme="minorEastAsia" w:hAnsiTheme="minorEastAsia" w:eastAsiaTheme="minorEastAsia"/>
                <w:szCs w:val="21"/>
                <w:highlight w:val="none"/>
              </w:rPr>
              <w:t>综合评分法，是指投标文件满足招标文件全部实质性要求，且按照评审因素的量化指标评审得分最高的投标人为中标候选人的评标方法。</w:t>
            </w:r>
            <w:r>
              <w:rPr>
                <w:rFonts w:hint="eastAsia" w:asciiTheme="minorEastAsia" w:hAnsiTheme="minorEastAsia" w:eastAsiaTheme="minorEastAsia"/>
                <w:szCs w:val="21"/>
                <w:highlight w:val="none"/>
              </w:rPr>
              <w:t>（适用于中标候选人为1家的情形）</w:t>
            </w:r>
          </w:p>
          <w:p w14:paraId="20CAAF9D">
            <w:pPr>
              <w:keepNext w:val="0"/>
              <w:keepLines w:val="0"/>
              <w:suppressLineNumbers w:val="0"/>
              <w:spacing w:before="0" w:beforeAutospacing="0" w:after="0" w:afterAutospacing="0"/>
              <w:ind w:left="0" w:right="0" w:firstLine="420"/>
              <w:rPr>
                <w:rFonts w:hint="default" w:asciiTheme="minorEastAsia" w:hAnsiTheme="minorEastAsia" w:eastAsiaTheme="minorEastAsia"/>
                <w:szCs w:val="21"/>
                <w:highlight w:val="none"/>
              </w:rPr>
            </w:pPr>
            <w:r>
              <w:rPr>
                <w:rFonts w:hint="default" w:asciiTheme="minorEastAsia" w:hAnsiTheme="minorEastAsia" w:eastAsiaTheme="minorEastAsia"/>
                <w:szCs w:val="21"/>
                <w:highlight w:val="none"/>
              </w:rPr>
              <w:sym w:font="Wingdings" w:char="00FE"/>
            </w:r>
            <w:r>
              <w:rPr>
                <w:rFonts w:hint="default" w:asciiTheme="minorEastAsia" w:hAnsiTheme="minorEastAsia" w:eastAsiaTheme="minorEastAsia"/>
                <w:szCs w:val="21"/>
                <w:highlight w:val="none"/>
              </w:rPr>
              <w:t>综合评分法，是指</w:t>
            </w:r>
            <w:r>
              <w:rPr>
                <w:rFonts w:hint="eastAsia" w:asciiTheme="minorEastAsia" w:hAnsiTheme="minorEastAsia" w:eastAsiaTheme="minorEastAsia"/>
                <w:kern w:val="0"/>
                <w:szCs w:val="21"/>
                <w:highlight w:val="none"/>
              </w:rPr>
              <w:t>投标文件满足招标文件全部实质性要求</w:t>
            </w:r>
            <w:r>
              <w:rPr>
                <w:rFonts w:hint="default" w:asciiTheme="minorEastAsia" w:hAnsiTheme="minorEastAsia" w:eastAsiaTheme="minorEastAsia"/>
                <w:szCs w:val="21"/>
                <w:highlight w:val="none"/>
              </w:rPr>
              <w:t>，且按照</w:t>
            </w:r>
            <w:r>
              <w:rPr>
                <w:rFonts w:hint="eastAsia" w:asciiTheme="minorEastAsia" w:hAnsiTheme="minorEastAsia" w:eastAsiaTheme="minorEastAsia"/>
                <w:szCs w:val="21"/>
                <w:highlight w:val="none"/>
              </w:rPr>
              <w:t>招标文件规定的各项因素进行综合评审，评标总得分排名前列</w:t>
            </w:r>
            <w:r>
              <w:rPr>
                <w:rFonts w:hint="default" w:asciiTheme="minorEastAsia" w:hAnsiTheme="minorEastAsia" w:eastAsiaTheme="minorEastAsia"/>
                <w:szCs w:val="21"/>
                <w:highlight w:val="none"/>
              </w:rPr>
              <w:t>的投标人为中标候选人的评标方法。</w:t>
            </w:r>
            <w:r>
              <w:rPr>
                <w:rFonts w:hint="eastAsia" w:asciiTheme="minorEastAsia" w:hAnsiTheme="minorEastAsia" w:eastAsiaTheme="minorEastAsia"/>
                <w:szCs w:val="21"/>
                <w:highlight w:val="none"/>
              </w:rPr>
              <w:t>（适用于中标候选人为2家或以上的情形）</w:t>
            </w:r>
          </w:p>
          <w:p w14:paraId="2497012A">
            <w:pPr>
              <w:keepNext w:val="0"/>
              <w:keepLines w:val="0"/>
              <w:suppressLineNumbers w:val="0"/>
              <w:spacing w:before="0" w:beforeAutospacing="0" w:after="0" w:afterAutospacing="0"/>
              <w:ind w:left="0" w:right="0" w:firstLine="420"/>
              <w:rPr>
                <w:rFonts w:hint="default" w:asciiTheme="minorEastAsia" w:hAnsiTheme="minorEastAsia" w:eastAsiaTheme="minorEastAsia"/>
                <w:szCs w:val="21"/>
                <w:highlight w:val="none"/>
              </w:rPr>
            </w:pPr>
          </w:p>
          <w:p w14:paraId="49D4E4CC">
            <w:pPr>
              <w:keepNext w:val="0"/>
              <w:keepLines w:val="0"/>
              <w:suppressLineNumbers w:val="0"/>
              <w:spacing w:before="0" w:beforeAutospacing="0" w:after="0" w:afterAutospacing="0"/>
              <w:ind w:left="0" w:right="0" w:firstLine="420"/>
              <w:rPr>
                <w:rFonts w:hint="default" w:asciiTheme="minorEastAsia" w:hAnsiTheme="minorEastAsia" w:eastAsiaTheme="minorEastAsia"/>
                <w:szCs w:val="21"/>
                <w:highlight w:val="none"/>
              </w:rPr>
            </w:pPr>
            <w:r>
              <w:rPr>
                <w:rFonts w:hint="default" w:asciiTheme="minorEastAsia" w:hAnsiTheme="minorEastAsia" w:eastAsiaTheme="minorEastAsia"/>
                <w:szCs w:val="21"/>
                <w:highlight w:val="none"/>
              </w:rPr>
              <w:t>价格分计算方法：</w:t>
            </w:r>
          </w:p>
          <w:p w14:paraId="105FB89B">
            <w:pPr>
              <w:keepNext w:val="0"/>
              <w:keepLines w:val="0"/>
              <w:widowControl/>
              <w:suppressLineNumbers w:val="0"/>
              <w:spacing w:before="0" w:beforeAutospacing="0" w:after="0" w:afterAutospacing="0"/>
              <w:ind w:left="420" w:right="0"/>
              <w:jc w:val="left"/>
              <w:rPr>
                <w:rFonts w:hint="eastAsia" w:asciiTheme="minorEastAsia" w:hAnsiTheme="minorEastAsia" w:eastAsiaTheme="minorEastAsia"/>
                <w:szCs w:val="21"/>
                <w:highlight w:val="none"/>
                <w:lang w:eastAsia="zh-CN"/>
              </w:rPr>
            </w:pPr>
            <w:r>
              <w:rPr>
                <w:rFonts w:hint="default" w:asciiTheme="minorEastAsia" w:hAnsiTheme="minorEastAsia" w:eastAsiaTheme="minorEastAsia"/>
                <w:szCs w:val="21"/>
                <w:highlight w:val="none"/>
              </w:rPr>
              <w:t xml:space="preserve">采用低价优先法计算，即满足招标文件要求且投标价格最低的投标报价为评标基准价，其价格分为满分。其他投标人的价格分统一按照下列公式计算： </w:t>
            </w:r>
          </w:p>
          <w:p w14:paraId="38F15A98">
            <w:pPr>
              <w:keepNext w:val="0"/>
              <w:keepLines w:val="0"/>
              <w:widowControl/>
              <w:suppressLineNumbers w:val="0"/>
              <w:spacing w:before="0" w:beforeAutospacing="0" w:after="0" w:afterAutospacing="0"/>
              <w:ind w:left="420" w:right="0"/>
              <w:jc w:val="left"/>
              <w:rPr>
                <w:rFonts w:hint="eastAsia" w:asciiTheme="minorEastAsia" w:hAnsiTheme="minorEastAsia" w:eastAsiaTheme="minorEastAsia"/>
                <w:szCs w:val="21"/>
                <w:highlight w:val="none"/>
                <w:lang w:eastAsia="zh-CN"/>
              </w:rPr>
            </w:pPr>
            <w:r>
              <w:rPr>
                <w:rFonts w:hint="default" w:asciiTheme="minorEastAsia" w:hAnsiTheme="minorEastAsia" w:eastAsiaTheme="minorEastAsia"/>
                <w:szCs w:val="21"/>
                <w:highlight w:val="none"/>
              </w:rPr>
              <w:t xml:space="preserve">投标报价得分=(评标基准价／投标报价)×100 </w:t>
            </w:r>
          </w:p>
          <w:p w14:paraId="10F9666E">
            <w:pPr>
              <w:keepNext w:val="0"/>
              <w:keepLines w:val="0"/>
              <w:widowControl/>
              <w:suppressLineNumbers w:val="0"/>
              <w:spacing w:before="0" w:beforeAutospacing="0" w:after="0" w:afterAutospacing="0"/>
              <w:ind w:left="420" w:right="0"/>
              <w:jc w:val="left"/>
              <w:rPr>
                <w:rFonts w:hint="eastAsia" w:asciiTheme="minorEastAsia" w:hAnsiTheme="minorEastAsia" w:eastAsiaTheme="minorEastAsia"/>
                <w:szCs w:val="21"/>
                <w:highlight w:val="none"/>
                <w:lang w:eastAsia="zh-CN"/>
              </w:rPr>
            </w:pPr>
            <w:r>
              <w:rPr>
                <w:rFonts w:hint="default" w:asciiTheme="minorEastAsia" w:hAnsiTheme="minorEastAsia" w:eastAsiaTheme="minorEastAsia"/>
                <w:szCs w:val="21"/>
                <w:highlight w:val="none"/>
              </w:rPr>
              <w:t xml:space="preserve">评标总得分＝F1×A1＋F2×A2＋……＋Fn×An </w:t>
            </w:r>
          </w:p>
          <w:p w14:paraId="7CAAE8D9">
            <w:pPr>
              <w:keepNext w:val="0"/>
              <w:keepLines w:val="0"/>
              <w:widowControl/>
              <w:suppressLineNumbers w:val="0"/>
              <w:spacing w:before="0" w:beforeAutospacing="0" w:after="0" w:afterAutospacing="0"/>
              <w:ind w:left="420" w:right="0"/>
              <w:jc w:val="left"/>
              <w:rPr>
                <w:rFonts w:hint="eastAsia" w:asciiTheme="minorEastAsia" w:hAnsiTheme="minorEastAsia" w:eastAsiaTheme="minorEastAsia"/>
                <w:szCs w:val="21"/>
                <w:highlight w:val="none"/>
                <w:lang w:eastAsia="zh-CN"/>
              </w:rPr>
            </w:pPr>
            <w:r>
              <w:rPr>
                <w:rFonts w:hint="default" w:asciiTheme="minorEastAsia" w:hAnsiTheme="minorEastAsia" w:eastAsiaTheme="minorEastAsia"/>
                <w:szCs w:val="21"/>
                <w:highlight w:val="none"/>
              </w:rPr>
              <w:t xml:space="preserve">F1、F2……Fn分别为各项评审因素的得分； </w:t>
            </w:r>
          </w:p>
          <w:p w14:paraId="0024D21C">
            <w:pPr>
              <w:keepNext w:val="0"/>
              <w:keepLines w:val="0"/>
              <w:widowControl/>
              <w:suppressLineNumbers w:val="0"/>
              <w:spacing w:before="0" w:beforeAutospacing="0" w:after="0" w:afterAutospacing="0"/>
              <w:ind w:left="420" w:right="0"/>
              <w:jc w:val="left"/>
              <w:rPr>
                <w:rFonts w:hint="eastAsia" w:asciiTheme="minorEastAsia" w:hAnsiTheme="minorEastAsia" w:eastAsiaTheme="minorEastAsia"/>
                <w:szCs w:val="21"/>
                <w:highlight w:val="none"/>
                <w:lang w:eastAsia="zh-CN"/>
              </w:rPr>
            </w:pPr>
            <w:r>
              <w:rPr>
                <w:rFonts w:hint="default" w:asciiTheme="minorEastAsia" w:hAnsiTheme="minorEastAsia" w:eastAsiaTheme="minorEastAsia"/>
                <w:szCs w:val="21"/>
                <w:highlight w:val="none"/>
              </w:rPr>
              <w:t xml:space="preserve">A1、A2、……An 分别为各项评审因素所占的权重(A1＋A2＋……＋An＝1)。 </w:t>
            </w:r>
          </w:p>
          <w:p w14:paraId="397E9779">
            <w:pPr>
              <w:keepNext w:val="0"/>
              <w:keepLines w:val="0"/>
              <w:widowControl/>
              <w:suppressLineNumbers w:val="0"/>
              <w:spacing w:before="0" w:beforeAutospacing="0" w:after="0" w:afterAutospacing="0"/>
              <w:ind w:left="420" w:right="0"/>
              <w:jc w:val="left"/>
              <w:rPr>
                <w:rFonts w:hint="default" w:asciiTheme="minorEastAsia" w:hAnsiTheme="minorEastAsia" w:eastAsiaTheme="minorEastAsia"/>
                <w:szCs w:val="21"/>
                <w:highlight w:val="none"/>
              </w:rPr>
            </w:pPr>
            <w:r>
              <w:rPr>
                <w:rFonts w:hint="default" w:asciiTheme="minorEastAsia" w:hAnsiTheme="minorEastAsia" w:eastAsiaTheme="minorEastAsia"/>
                <w:szCs w:val="21"/>
                <w:highlight w:val="none"/>
              </w:rPr>
              <w:t>评标过程中，不得去掉报价中的最高报价和最低报价。</w:t>
            </w:r>
          </w:p>
          <w:p w14:paraId="730030BF">
            <w:pPr>
              <w:keepNext w:val="0"/>
              <w:keepLines w:val="0"/>
              <w:widowControl/>
              <w:suppressLineNumbers w:val="0"/>
              <w:spacing w:before="0" w:beforeAutospacing="0" w:after="0" w:afterAutospacing="0"/>
              <w:ind w:left="420" w:right="0"/>
              <w:jc w:val="left"/>
              <w:rPr>
                <w:rFonts w:hint="default" w:asciiTheme="minorEastAsia" w:hAnsiTheme="minorEastAsia" w:eastAsiaTheme="minorEastAsia"/>
                <w:szCs w:val="21"/>
                <w:highlight w:val="none"/>
              </w:rPr>
            </w:pPr>
            <w:r>
              <w:rPr>
                <w:rFonts w:hint="eastAsia" w:asciiTheme="minorEastAsia" w:hAnsiTheme="minorEastAsia" w:eastAsiaTheme="minorEastAsia"/>
                <w:szCs w:val="21"/>
                <w:highlight w:val="none"/>
              </w:rPr>
              <w:t>因落实政府采购政策进行价格调整的，以调整后的价格计算评标基准价和投标报价。</w:t>
            </w:r>
          </w:p>
          <w:p w14:paraId="546C4951">
            <w:pPr>
              <w:keepNext w:val="0"/>
              <w:keepLines w:val="0"/>
              <w:widowControl/>
              <w:suppressLineNumbers w:val="0"/>
              <w:spacing w:before="0" w:beforeAutospacing="0" w:after="0" w:afterAutospacing="0"/>
              <w:ind w:left="420" w:right="0"/>
              <w:jc w:val="left"/>
              <w:rPr>
                <w:rFonts w:hint="default" w:asciiTheme="minorEastAsia" w:hAnsiTheme="minorEastAsia" w:eastAsiaTheme="minorEastAsia"/>
                <w:kern w:val="0"/>
                <w:sz w:val="24"/>
                <w:highlight w:val="none"/>
              </w:rPr>
            </w:pPr>
          </w:p>
          <w:p w14:paraId="412BC33B">
            <w:pPr>
              <w:pStyle w:val="2"/>
              <w:keepNext w:val="0"/>
              <w:keepLines w:val="0"/>
              <w:suppressLineNumbers w:val="0"/>
              <w:spacing w:before="0" w:beforeAutospacing="0" w:after="0" w:afterAutospacing="0"/>
              <w:ind w:left="0" w:right="0"/>
              <w:rPr>
                <w:rFonts w:hint="default" w:asciiTheme="minorEastAsia" w:hAnsiTheme="minorEastAsia" w:eastAsiaTheme="minorEastAsia"/>
                <w:highlight w:val="none"/>
              </w:rPr>
            </w:pPr>
            <w:r>
              <w:rPr>
                <w:rFonts w:hint="eastAsia" w:asciiTheme="minorEastAsia" w:hAnsiTheme="minorEastAsia" w:eastAsiaTheme="minorEastAsia"/>
                <w:sz w:val="22"/>
                <w:highlight w:val="none"/>
              </w:rPr>
              <w:t>注：投标人的“投标技术响应”“技术要求偏离表中偏离情况”等必须与客观实际保持一致，响应不实且情节严重的，经查实，将依法记入供应商诚信档案或受到行政处罚。</w:t>
            </w:r>
          </w:p>
        </w:tc>
      </w:tr>
      <w:tr w14:paraId="351FB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jc w:val="center"/>
        </w:trPr>
        <w:tc>
          <w:tcPr>
            <w:tcW w:w="673" w:type="dxa"/>
            <w:gridSpan w:val="2"/>
            <w:shd w:val="clear" w:color="auto" w:fill="E6EFFA"/>
            <w:vAlign w:val="center"/>
          </w:tcPr>
          <w:p w14:paraId="437DDAA9">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b/>
                <w:bCs/>
                <w:sz w:val="24"/>
                <w:highlight w:val="none"/>
              </w:rPr>
            </w:pPr>
            <w:r>
              <w:rPr>
                <w:rFonts w:hint="default" w:asciiTheme="minorEastAsia" w:hAnsiTheme="minorEastAsia" w:eastAsiaTheme="minorEastAsia"/>
                <w:b/>
                <w:bCs/>
                <w:highlight w:val="none"/>
              </w:rPr>
              <w:t>序号</w:t>
            </w:r>
          </w:p>
        </w:tc>
        <w:tc>
          <w:tcPr>
            <w:tcW w:w="3764" w:type="dxa"/>
            <w:gridSpan w:val="3"/>
            <w:shd w:val="clear" w:color="auto" w:fill="E6EFFA"/>
            <w:vAlign w:val="center"/>
          </w:tcPr>
          <w:p w14:paraId="103C37B0">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b/>
                <w:bCs/>
                <w:sz w:val="24"/>
                <w:highlight w:val="none"/>
              </w:rPr>
            </w:pPr>
            <w:r>
              <w:rPr>
                <w:rFonts w:hint="default" w:asciiTheme="minorEastAsia" w:hAnsiTheme="minorEastAsia" w:eastAsiaTheme="minorEastAsia"/>
                <w:b/>
                <w:bCs/>
                <w:highlight w:val="none"/>
              </w:rPr>
              <w:t>评分项</w:t>
            </w:r>
          </w:p>
        </w:tc>
        <w:tc>
          <w:tcPr>
            <w:tcW w:w="4725" w:type="dxa"/>
            <w:gridSpan w:val="2"/>
            <w:shd w:val="clear" w:color="auto" w:fill="E6EFFA"/>
            <w:vAlign w:val="center"/>
          </w:tcPr>
          <w:p w14:paraId="46196E02">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b/>
                <w:bCs/>
                <w:sz w:val="24"/>
                <w:highlight w:val="none"/>
              </w:rPr>
            </w:pPr>
            <w:r>
              <w:rPr>
                <w:rFonts w:hint="default" w:asciiTheme="minorEastAsia" w:hAnsiTheme="minorEastAsia" w:eastAsiaTheme="minorEastAsia"/>
                <w:b/>
                <w:bCs/>
                <w:highlight w:val="none"/>
              </w:rPr>
              <w:t>权重(%)</w:t>
            </w:r>
          </w:p>
        </w:tc>
      </w:tr>
      <w:tr w14:paraId="22BC7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jc w:val="center"/>
        </w:trPr>
        <w:tc>
          <w:tcPr>
            <w:tcW w:w="673" w:type="dxa"/>
            <w:gridSpan w:val="2"/>
          </w:tcPr>
          <w:p w14:paraId="7FA92025">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b/>
                <w:bCs/>
                <w:color w:val="0000FF"/>
                <w:sz w:val="24"/>
                <w:highlight w:val="none"/>
              </w:rPr>
            </w:pPr>
            <w:r>
              <w:rPr>
                <w:rFonts w:hint="default" w:asciiTheme="minorEastAsia" w:hAnsiTheme="minorEastAsia" w:eastAsiaTheme="minorEastAsia"/>
                <w:b/>
                <w:bCs/>
                <w:color w:val="0000FF"/>
                <w:highlight w:val="none"/>
              </w:rPr>
              <w:t>1</w:t>
            </w:r>
          </w:p>
        </w:tc>
        <w:tc>
          <w:tcPr>
            <w:tcW w:w="3764" w:type="dxa"/>
            <w:gridSpan w:val="3"/>
          </w:tcPr>
          <w:p w14:paraId="408BE51A">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b/>
                <w:bCs/>
                <w:color w:val="0000FF"/>
                <w:sz w:val="24"/>
                <w:highlight w:val="none"/>
              </w:rPr>
            </w:pPr>
            <w:r>
              <w:rPr>
                <w:rFonts w:hint="default" w:asciiTheme="minorEastAsia" w:hAnsiTheme="minorEastAsia" w:eastAsiaTheme="minorEastAsia"/>
                <w:b/>
                <w:bCs/>
                <w:color w:val="0000FF"/>
                <w:highlight w:val="none"/>
              </w:rPr>
              <w:t>价格</w:t>
            </w:r>
          </w:p>
        </w:tc>
        <w:tc>
          <w:tcPr>
            <w:tcW w:w="4725" w:type="dxa"/>
            <w:gridSpan w:val="2"/>
          </w:tcPr>
          <w:p w14:paraId="24D029DB">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b/>
                <w:bCs/>
                <w:color w:val="0000FF"/>
                <w:sz w:val="24"/>
                <w:highlight w:val="none"/>
                <w:lang w:val="en-US" w:eastAsia="zh-CN"/>
              </w:rPr>
            </w:pPr>
            <w:r>
              <w:rPr>
                <w:rFonts w:hint="eastAsia" w:cs="宋体" w:asciiTheme="minorEastAsia" w:hAnsiTheme="minorEastAsia" w:eastAsiaTheme="minorEastAsia"/>
                <w:b/>
                <w:bCs/>
                <w:color w:val="0000FF"/>
                <w:sz w:val="24"/>
                <w:highlight w:val="none"/>
                <w:lang w:val="en-US" w:eastAsia="zh-CN"/>
              </w:rPr>
              <w:t>0</w:t>
            </w:r>
          </w:p>
        </w:tc>
      </w:tr>
      <w:tr w14:paraId="68A99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rHeight w:val="409" w:hRule="atLeast"/>
          <w:tblCellSpacing w:w="0" w:type="dxa"/>
          <w:jc w:val="center"/>
        </w:trPr>
        <w:tc>
          <w:tcPr>
            <w:tcW w:w="673" w:type="dxa"/>
            <w:gridSpan w:val="2"/>
            <w:vMerge w:val="restart"/>
          </w:tcPr>
          <w:p w14:paraId="68D6AC7E">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b/>
                <w:bCs/>
                <w:color w:val="0000FF"/>
                <w:sz w:val="24"/>
                <w:highlight w:val="none"/>
              </w:rPr>
            </w:pPr>
            <w:r>
              <w:rPr>
                <w:rFonts w:hint="default" w:asciiTheme="minorEastAsia" w:hAnsiTheme="minorEastAsia" w:eastAsiaTheme="minorEastAsia"/>
                <w:b/>
                <w:bCs/>
                <w:color w:val="0000FF"/>
                <w:highlight w:val="none"/>
              </w:rPr>
              <w:t>2</w:t>
            </w:r>
          </w:p>
        </w:tc>
        <w:tc>
          <w:tcPr>
            <w:tcW w:w="3764" w:type="dxa"/>
            <w:gridSpan w:val="3"/>
            <w:vAlign w:val="center"/>
          </w:tcPr>
          <w:p w14:paraId="03CDF722">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b/>
                <w:bCs/>
                <w:color w:val="0000FF"/>
                <w:sz w:val="24"/>
                <w:highlight w:val="none"/>
              </w:rPr>
            </w:pPr>
            <w:r>
              <w:rPr>
                <w:rFonts w:hint="default" w:asciiTheme="minorEastAsia" w:hAnsiTheme="minorEastAsia" w:eastAsiaTheme="minorEastAsia"/>
                <w:b/>
                <w:bCs/>
                <w:color w:val="0000FF"/>
                <w:highlight w:val="none"/>
              </w:rPr>
              <w:t>技术</w:t>
            </w:r>
            <w:r>
              <w:rPr>
                <w:rFonts w:hint="eastAsia" w:asciiTheme="minorEastAsia" w:hAnsiTheme="minorEastAsia" w:eastAsiaTheme="minorEastAsia"/>
                <w:b/>
                <w:bCs/>
                <w:color w:val="0000FF"/>
                <w:highlight w:val="none"/>
              </w:rPr>
              <w:t>部分</w:t>
            </w:r>
          </w:p>
        </w:tc>
        <w:tc>
          <w:tcPr>
            <w:tcW w:w="4725" w:type="dxa"/>
            <w:gridSpan w:val="2"/>
            <w:vAlign w:val="center"/>
          </w:tcPr>
          <w:p w14:paraId="20D8BD01">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b/>
                <w:bCs/>
                <w:color w:val="0000FF"/>
                <w:sz w:val="24"/>
                <w:highlight w:val="none"/>
                <w:lang w:val="en-US" w:eastAsia="zh-CN"/>
              </w:rPr>
            </w:pPr>
            <w:r>
              <w:rPr>
                <w:rFonts w:hint="eastAsia" w:asciiTheme="minorEastAsia" w:hAnsiTheme="minorEastAsia" w:eastAsiaTheme="minorEastAsia"/>
                <w:b/>
                <w:bCs/>
                <w:color w:val="0000FF"/>
                <w:highlight w:val="none"/>
                <w:lang w:val="en-US" w:eastAsia="zh-CN"/>
              </w:rPr>
              <w:t>33</w:t>
            </w:r>
          </w:p>
        </w:tc>
      </w:tr>
      <w:tr w14:paraId="09250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jc w:val="center"/>
        </w:trPr>
        <w:tc>
          <w:tcPr>
            <w:tcW w:w="673" w:type="dxa"/>
            <w:gridSpan w:val="2"/>
            <w:vMerge w:val="continue"/>
            <w:shd w:val="clear" w:color="auto" w:fill="E6EFFA"/>
            <w:vAlign w:val="center"/>
          </w:tcPr>
          <w:p w14:paraId="291D9AD0">
            <w:pPr>
              <w:keepNext w:val="0"/>
              <w:keepLines w:val="0"/>
              <w:suppressLineNumbers w:val="0"/>
              <w:spacing w:before="0" w:beforeAutospacing="0" w:after="0" w:afterAutospacing="0"/>
              <w:ind w:left="0" w:right="0"/>
              <w:rPr>
                <w:rFonts w:hint="default" w:cs="宋体" w:asciiTheme="minorEastAsia" w:hAnsiTheme="minorEastAsia" w:eastAsiaTheme="minorEastAsia"/>
                <w:b/>
                <w:bCs/>
                <w:color w:val="0000FF"/>
                <w:sz w:val="24"/>
                <w:highlight w:val="none"/>
              </w:rPr>
            </w:pPr>
          </w:p>
        </w:tc>
        <w:tc>
          <w:tcPr>
            <w:tcW w:w="672" w:type="dxa"/>
            <w:shd w:val="clear" w:color="auto" w:fill="E6EFFA"/>
            <w:vAlign w:val="center"/>
          </w:tcPr>
          <w:p w14:paraId="2A3AD015">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rPr>
            </w:pPr>
            <w:r>
              <w:rPr>
                <w:rFonts w:hint="default" w:asciiTheme="minorEastAsia" w:hAnsiTheme="minorEastAsia" w:eastAsiaTheme="minorEastAsia"/>
                <w:szCs w:val="21"/>
                <w:highlight w:val="none"/>
              </w:rPr>
              <w:t>序号</w:t>
            </w:r>
          </w:p>
        </w:tc>
        <w:tc>
          <w:tcPr>
            <w:tcW w:w="2331" w:type="dxa"/>
            <w:shd w:val="clear" w:color="auto" w:fill="E6EFFA"/>
            <w:vAlign w:val="center"/>
          </w:tcPr>
          <w:p w14:paraId="2D27E244">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rPr>
            </w:pPr>
            <w:r>
              <w:rPr>
                <w:rFonts w:hint="eastAsia" w:asciiTheme="minorEastAsia" w:hAnsiTheme="minorEastAsia" w:eastAsiaTheme="minorEastAsia"/>
                <w:szCs w:val="21"/>
                <w:highlight w:val="none"/>
              </w:rPr>
              <w:t>评审因素</w:t>
            </w:r>
          </w:p>
        </w:tc>
        <w:tc>
          <w:tcPr>
            <w:tcW w:w="761" w:type="dxa"/>
            <w:shd w:val="clear" w:color="auto" w:fill="E6EFFA"/>
            <w:vAlign w:val="center"/>
          </w:tcPr>
          <w:p w14:paraId="022224B5">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rPr>
            </w:pPr>
            <w:r>
              <w:rPr>
                <w:rFonts w:hint="default" w:asciiTheme="minorEastAsia" w:hAnsiTheme="minorEastAsia" w:eastAsiaTheme="minorEastAsia"/>
                <w:szCs w:val="21"/>
                <w:highlight w:val="none"/>
              </w:rPr>
              <w:t>权重(%)</w:t>
            </w:r>
          </w:p>
        </w:tc>
        <w:tc>
          <w:tcPr>
            <w:tcW w:w="4725" w:type="dxa"/>
            <w:gridSpan w:val="2"/>
            <w:shd w:val="clear" w:color="auto" w:fill="E6EFFA"/>
            <w:vAlign w:val="center"/>
          </w:tcPr>
          <w:p w14:paraId="2986D18E">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rPr>
            </w:pPr>
            <w:r>
              <w:rPr>
                <w:rFonts w:hint="default" w:asciiTheme="minorEastAsia" w:hAnsiTheme="minorEastAsia" w:eastAsiaTheme="minorEastAsia"/>
                <w:szCs w:val="21"/>
                <w:highlight w:val="none"/>
              </w:rPr>
              <w:t>评分准则</w:t>
            </w:r>
          </w:p>
        </w:tc>
      </w:tr>
      <w:tr w14:paraId="2EA8D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jc w:val="center"/>
        </w:trPr>
        <w:tc>
          <w:tcPr>
            <w:tcW w:w="673" w:type="dxa"/>
            <w:gridSpan w:val="2"/>
            <w:vMerge w:val="continue"/>
            <w:vAlign w:val="center"/>
          </w:tcPr>
          <w:p w14:paraId="409D81F1">
            <w:pPr>
              <w:keepNext w:val="0"/>
              <w:keepLines w:val="0"/>
              <w:suppressLineNumbers w:val="0"/>
              <w:spacing w:before="0" w:beforeAutospacing="0" w:after="0" w:afterAutospacing="0"/>
              <w:ind w:left="0" w:right="0"/>
              <w:rPr>
                <w:rFonts w:hint="default" w:cs="宋体" w:asciiTheme="minorEastAsia" w:hAnsiTheme="minorEastAsia" w:eastAsiaTheme="minorEastAsia"/>
                <w:b/>
                <w:bCs/>
                <w:color w:val="0000FF"/>
                <w:sz w:val="24"/>
                <w:highlight w:val="none"/>
              </w:rPr>
            </w:pPr>
          </w:p>
        </w:tc>
        <w:tc>
          <w:tcPr>
            <w:tcW w:w="672" w:type="dxa"/>
            <w:vAlign w:val="center"/>
          </w:tcPr>
          <w:p w14:paraId="13C1DCE8">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rPr>
            </w:pPr>
            <w:r>
              <w:rPr>
                <w:rFonts w:hint="default" w:asciiTheme="minorEastAsia" w:hAnsiTheme="minorEastAsia" w:eastAsiaTheme="minorEastAsia"/>
                <w:szCs w:val="21"/>
                <w:highlight w:val="none"/>
              </w:rPr>
              <w:t>1</w:t>
            </w:r>
          </w:p>
        </w:tc>
        <w:tc>
          <w:tcPr>
            <w:tcW w:w="2331" w:type="dxa"/>
            <w:vAlign w:val="center"/>
          </w:tcPr>
          <w:p w14:paraId="351461EB">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rPr>
            </w:pPr>
            <w:r>
              <w:rPr>
                <w:rFonts w:hint="eastAsia" w:asciiTheme="minorEastAsia" w:hAnsiTheme="minorEastAsia" w:eastAsiaTheme="minorEastAsia"/>
                <w:szCs w:val="21"/>
                <w:highlight w:val="none"/>
              </w:rPr>
              <w:t>实施方案</w:t>
            </w:r>
          </w:p>
        </w:tc>
        <w:tc>
          <w:tcPr>
            <w:tcW w:w="761" w:type="dxa"/>
            <w:vAlign w:val="center"/>
          </w:tcPr>
          <w:p w14:paraId="7E9A0634">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lang w:val="en-US" w:eastAsia="zh-CN"/>
              </w:rPr>
            </w:pPr>
            <w:r>
              <w:rPr>
                <w:rFonts w:hint="eastAsia" w:asciiTheme="minorEastAsia" w:hAnsiTheme="minorEastAsia" w:eastAsiaTheme="minorEastAsia"/>
                <w:szCs w:val="21"/>
                <w:highlight w:val="none"/>
                <w:lang w:val="en-US" w:eastAsia="zh-CN"/>
              </w:rPr>
              <w:t>14</w:t>
            </w:r>
          </w:p>
        </w:tc>
        <w:tc>
          <w:tcPr>
            <w:tcW w:w="4725" w:type="dxa"/>
            <w:gridSpan w:val="2"/>
          </w:tcPr>
          <w:p w14:paraId="0F1F30CC">
            <w:pPr>
              <w:keepNext w:val="0"/>
              <w:keepLines w:val="0"/>
              <w:suppressLineNumbers w:val="0"/>
              <w:spacing w:before="0" w:beforeAutospacing="0" w:after="0" w:afterAutospacing="0"/>
              <w:ind w:left="0" w:right="0"/>
              <w:jc w:val="left"/>
              <w:rPr>
                <w:rFonts w:hint="eastAsia" w:ascii="宋体" w:hAnsi="宋体"/>
                <w:b/>
                <w:bCs/>
                <w:color w:val="000000"/>
                <w:kern w:val="0"/>
                <w:szCs w:val="21"/>
                <w:highlight w:val="none"/>
                <w:lang w:eastAsia="zh-CN"/>
              </w:rPr>
            </w:pPr>
            <w:r>
              <w:rPr>
                <w:rFonts w:hint="eastAsia" w:ascii="宋体" w:hAnsi="宋体"/>
                <w:b/>
                <w:bCs/>
                <w:color w:val="000000"/>
                <w:kern w:val="0"/>
                <w:szCs w:val="21"/>
                <w:highlight w:val="none"/>
                <w:lang w:eastAsia="zh-CN"/>
              </w:rPr>
              <w:t>一、评审内容：</w:t>
            </w:r>
          </w:p>
          <w:p w14:paraId="7D3CCDEB">
            <w:pPr>
              <w:pStyle w:val="9"/>
              <w:keepNext w:val="0"/>
              <w:keepLines w:val="0"/>
              <w:suppressLineNumbers w:val="0"/>
              <w:spacing w:before="0" w:beforeAutospacing="0" w:after="0" w:afterAutospacing="0"/>
              <w:ind w:left="0" w:right="0"/>
              <w:rPr>
                <w:rFonts w:hint="eastAsia"/>
                <w:sz w:val="21"/>
                <w:szCs w:val="21"/>
                <w:highlight w:val="none"/>
              </w:rPr>
            </w:pPr>
            <w:bookmarkStart w:id="0" w:name="OLE_LINK7"/>
            <w:r>
              <w:rPr>
                <w:rFonts w:hint="eastAsia" w:ascii="宋体" w:eastAsia="宋体"/>
                <w:sz w:val="21"/>
                <w:szCs w:val="21"/>
                <w:highlight w:val="none"/>
                <w:lang w:eastAsia="zh-CN"/>
              </w:rPr>
              <w:t>提供市级“</w:t>
            </w:r>
            <w:r>
              <w:rPr>
                <w:rFonts w:hint="eastAsia" w:ascii="宋体" w:eastAsia="宋体"/>
                <w:sz w:val="21"/>
                <w:szCs w:val="21"/>
                <w:highlight w:val="none"/>
                <w:lang w:val="en-US" w:eastAsia="zh-CN"/>
              </w:rPr>
              <w:t>3+N</w:t>
            </w:r>
            <w:r>
              <w:rPr>
                <w:rFonts w:hint="eastAsia" w:ascii="宋体" w:eastAsia="宋体"/>
                <w:sz w:val="21"/>
                <w:szCs w:val="21"/>
                <w:highlight w:val="none"/>
                <w:lang w:eastAsia="zh-CN"/>
              </w:rPr>
              <w:t>”法律服务方案</w:t>
            </w:r>
            <w:r>
              <w:rPr>
                <w:rFonts w:hint="eastAsia" w:ascii="宋体" w:eastAsia="宋体"/>
                <w:sz w:val="21"/>
                <w:szCs w:val="21"/>
                <w:highlight w:val="none"/>
                <w:lang w:eastAsia="zh-CN"/>
              </w:rPr>
              <w:br w:type="textWrapping"/>
            </w:r>
            <w:r>
              <w:rPr>
                <w:rFonts w:hint="eastAsia" w:ascii="宋体" w:eastAsia="宋体"/>
                <w:sz w:val="21"/>
                <w:szCs w:val="21"/>
                <w:highlight w:val="none"/>
              </w:rPr>
              <w:t>1</w:t>
            </w:r>
            <w:r>
              <w:rPr>
                <w:rFonts w:hint="eastAsia"/>
                <w:sz w:val="21"/>
                <w:szCs w:val="21"/>
                <w:highlight w:val="none"/>
                <w:lang w:val="en-US" w:eastAsia="zh-CN"/>
              </w:rPr>
              <w:t>.</w:t>
            </w:r>
            <w:r>
              <w:rPr>
                <w:rFonts w:hint="eastAsia"/>
                <w:sz w:val="21"/>
                <w:szCs w:val="21"/>
                <w:highlight w:val="none"/>
              </w:rPr>
              <w:t>项目重点难点分析方案；</w:t>
            </w:r>
          </w:p>
          <w:p w14:paraId="63CA669C">
            <w:pPr>
              <w:pStyle w:val="9"/>
              <w:keepNext w:val="0"/>
              <w:keepLines w:val="0"/>
              <w:suppressLineNumbers w:val="0"/>
              <w:spacing w:before="0" w:beforeAutospacing="0" w:after="0" w:afterAutospacing="0"/>
              <w:ind w:left="0" w:right="0"/>
              <w:rPr>
                <w:rFonts w:hint="eastAsia"/>
                <w:sz w:val="21"/>
                <w:szCs w:val="21"/>
                <w:highlight w:val="none"/>
              </w:rPr>
            </w:pPr>
            <w:r>
              <w:rPr>
                <w:rFonts w:hint="eastAsia"/>
                <w:sz w:val="21"/>
                <w:szCs w:val="21"/>
                <w:highlight w:val="none"/>
              </w:rPr>
              <w:t>2</w:t>
            </w:r>
            <w:r>
              <w:rPr>
                <w:rFonts w:hint="eastAsia"/>
                <w:sz w:val="21"/>
                <w:szCs w:val="21"/>
                <w:highlight w:val="none"/>
                <w:lang w:val="en-US" w:eastAsia="zh-CN"/>
              </w:rPr>
              <w:t>.项目年度目标和工作计划</w:t>
            </w:r>
            <w:r>
              <w:rPr>
                <w:rFonts w:hint="eastAsia"/>
                <w:sz w:val="21"/>
                <w:szCs w:val="21"/>
                <w:highlight w:val="none"/>
              </w:rPr>
              <w:t xml:space="preserve">； </w:t>
            </w:r>
          </w:p>
          <w:p w14:paraId="693C8C3C">
            <w:pPr>
              <w:pStyle w:val="9"/>
              <w:keepNext w:val="0"/>
              <w:keepLines w:val="0"/>
              <w:suppressLineNumbers w:val="0"/>
              <w:spacing w:before="0" w:beforeAutospacing="0" w:after="0" w:afterAutospacing="0"/>
              <w:ind w:left="0" w:right="0"/>
              <w:rPr>
                <w:rFonts w:hint="eastAsia"/>
                <w:sz w:val="21"/>
                <w:szCs w:val="21"/>
                <w:highlight w:val="none"/>
              </w:rPr>
            </w:pPr>
            <w:r>
              <w:rPr>
                <w:rFonts w:hint="eastAsia"/>
                <w:sz w:val="21"/>
                <w:szCs w:val="21"/>
                <w:highlight w:val="none"/>
              </w:rPr>
              <w:t>3</w:t>
            </w:r>
            <w:r>
              <w:rPr>
                <w:rFonts w:hint="eastAsia"/>
                <w:sz w:val="21"/>
                <w:szCs w:val="21"/>
                <w:highlight w:val="none"/>
                <w:lang w:val="en-US" w:eastAsia="zh-CN"/>
              </w:rPr>
              <w:t>.</w:t>
            </w:r>
            <w:r>
              <w:rPr>
                <w:rFonts w:hint="eastAsia"/>
                <w:sz w:val="21"/>
                <w:szCs w:val="21"/>
                <w:highlight w:val="none"/>
              </w:rPr>
              <w:t>相关的合理化建议。</w:t>
            </w:r>
          </w:p>
          <w:bookmarkEnd w:id="0"/>
          <w:p w14:paraId="3D2F1F2B">
            <w:pPr>
              <w:keepNext w:val="0"/>
              <w:keepLines w:val="0"/>
              <w:pageBreakBefore w:val="0"/>
              <w:widowControl/>
              <w:kinsoku/>
              <w:overflowPunct/>
              <w:topLinePunct w:val="0"/>
              <w:autoSpaceDE/>
              <w:autoSpaceDN/>
              <w:bidi w:val="0"/>
              <w:adjustRightInd/>
              <w:snapToGrid/>
              <w:spacing w:line="240" w:lineRule="auto"/>
              <w:jc w:val="left"/>
              <w:textAlignment w:val="center"/>
              <w:rPr>
                <w:rFonts w:hint="eastAsia" w:ascii="宋体" w:hAnsi="宋体" w:eastAsia="宋体" w:cs="宋体"/>
                <w:b/>
                <w:bCs/>
                <w:sz w:val="21"/>
                <w:szCs w:val="21"/>
                <w:highlight w:val="none"/>
                <w:lang w:eastAsia="zh-CN"/>
              </w:rPr>
            </w:pPr>
            <w:r>
              <w:rPr>
                <w:rFonts w:hint="eastAsia" w:ascii="宋体" w:hAnsi="宋体" w:cs="宋体"/>
                <w:b/>
                <w:bCs/>
                <w:sz w:val="21"/>
                <w:szCs w:val="21"/>
                <w:highlight w:val="none"/>
                <w:lang w:eastAsia="zh-CN"/>
              </w:rPr>
              <w:t>二、</w:t>
            </w:r>
            <w:r>
              <w:rPr>
                <w:rFonts w:hint="eastAsia" w:ascii="宋体" w:hAnsi="宋体" w:eastAsia="宋体" w:cs="宋体"/>
                <w:b/>
                <w:bCs/>
                <w:sz w:val="21"/>
                <w:szCs w:val="21"/>
                <w:highlight w:val="none"/>
                <w:lang w:eastAsia="zh-CN"/>
              </w:rPr>
              <w:t>评审标准：</w:t>
            </w:r>
          </w:p>
          <w:p w14:paraId="0751F569">
            <w:pPr>
              <w:pStyle w:val="9"/>
              <w:spacing w:before="0"/>
              <w:rPr>
                <w:rFonts w:hint="eastAsia"/>
                <w:sz w:val="21"/>
                <w:szCs w:val="21"/>
                <w:highlight w:val="none"/>
                <w:lang w:eastAsia="zh-CN"/>
              </w:rPr>
            </w:pPr>
            <w:r>
              <w:rPr>
                <w:rFonts w:hint="eastAsia"/>
                <w:sz w:val="21"/>
                <w:szCs w:val="21"/>
                <w:highlight w:val="none"/>
                <w:lang w:eastAsia="zh-CN"/>
              </w:rPr>
              <w:t>投标人提供以上服务方案，全部满足得60分，方案中的3点内容每缺少1点内容扣</w:t>
            </w:r>
            <w:r>
              <w:rPr>
                <w:rFonts w:hint="eastAsia"/>
                <w:sz w:val="21"/>
                <w:szCs w:val="21"/>
                <w:highlight w:val="none"/>
                <w:lang w:val="en-US" w:eastAsia="zh-CN"/>
              </w:rPr>
              <w:t>2</w:t>
            </w:r>
            <w:r>
              <w:rPr>
                <w:rFonts w:hint="eastAsia"/>
                <w:sz w:val="21"/>
                <w:szCs w:val="21"/>
                <w:highlight w:val="none"/>
                <w:lang w:eastAsia="zh-CN"/>
              </w:rPr>
              <w:t>0分，扣完为止。</w:t>
            </w:r>
          </w:p>
          <w:p w14:paraId="73BB2EE0">
            <w:pPr>
              <w:rPr>
                <w:rFonts w:hint="eastAsia"/>
                <w:highlight w:val="none"/>
                <w:lang w:eastAsia="zh-CN"/>
              </w:rPr>
            </w:pPr>
            <w:r>
              <w:rPr>
                <w:rFonts w:hint="eastAsia"/>
                <w:highlight w:val="none"/>
                <w:lang w:eastAsia="zh-CN"/>
              </w:rPr>
              <w:t>在此基础上，专家根据各供应商的具体响应内容按照量化的评审因素指标进一步评审：</w:t>
            </w:r>
          </w:p>
          <w:p w14:paraId="04310F0B">
            <w:pPr>
              <w:pStyle w:val="9"/>
              <w:keepNext w:val="0"/>
              <w:keepLines w:val="0"/>
              <w:suppressLineNumbers w:val="0"/>
              <w:spacing w:before="0" w:beforeAutospacing="0" w:after="0" w:afterAutospacing="0"/>
              <w:ind w:left="0" w:right="0"/>
              <w:rPr>
                <w:rFonts w:hint="eastAsia"/>
                <w:sz w:val="21"/>
                <w:szCs w:val="21"/>
                <w:highlight w:val="none"/>
              </w:rPr>
            </w:pPr>
            <w:r>
              <w:rPr>
                <w:rFonts w:hint="eastAsia"/>
                <w:sz w:val="21"/>
                <w:szCs w:val="21"/>
                <w:highlight w:val="none"/>
              </w:rPr>
              <w:t>1.方案完整、科学合理、针对性强、可操作性强，评审为优加</w:t>
            </w:r>
            <w:r>
              <w:rPr>
                <w:rFonts w:hint="eastAsia"/>
                <w:sz w:val="21"/>
                <w:szCs w:val="21"/>
                <w:highlight w:val="none"/>
                <w:lang w:val="en-US" w:eastAsia="zh-CN"/>
              </w:rPr>
              <w:t>40</w:t>
            </w:r>
            <w:r>
              <w:rPr>
                <w:rFonts w:hint="eastAsia"/>
                <w:sz w:val="21"/>
                <w:szCs w:val="21"/>
                <w:highlight w:val="none"/>
              </w:rPr>
              <w:t>分；</w:t>
            </w:r>
          </w:p>
          <w:p w14:paraId="4387D998">
            <w:pPr>
              <w:pStyle w:val="9"/>
              <w:keepNext w:val="0"/>
              <w:keepLines w:val="0"/>
              <w:suppressLineNumbers w:val="0"/>
              <w:spacing w:before="0" w:beforeAutospacing="0" w:after="0" w:afterAutospacing="0"/>
              <w:ind w:left="0" w:right="0"/>
              <w:rPr>
                <w:rFonts w:hint="eastAsia"/>
                <w:sz w:val="21"/>
                <w:szCs w:val="21"/>
                <w:highlight w:val="none"/>
              </w:rPr>
            </w:pPr>
            <w:r>
              <w:rPr>
                <w:rFonts w:hint="eastAsia"/>
                <w:sz w:val="21"/>
                <w:szCs w:val="21"/>
                <w:highlight w:val="none"/>
              </w:rPr>
              <w:t>2.方案较完整、较合理、有一定针对性、一定可操作性，评审为良加</w:t>
            </w:r>
            <w:r>
              <w:rPr>
                <w:rFonts w:hint="eastAsia"/>
                <w:sz w:val="21"/>
                <w:szCs w:val="21"/>
                <w:highlight w:val="none"/>
                <w:lang w:val="en-US" w:eastAsia="zh-CN"/>
              </w:rPr>
              <w:t>20</w:t>
            </w:r>
            <w:r>
              <w:rPr>
                <w:rFonts w:hint="eastAsia"/>
                <w:sz w:val="21"/>
                <w:szCs w:val="21"/>
                <w:highlight w:val="none"/>
              </w:rPr>
              <w:t>分；</w:t>
            </w:r>
          </w:p>
          <w:p w14:paraId="0EEB04C4">
            <w:pPr>
              <w:pStyle w:val="9"/>
              <w:keepNext w:val="0"/>
              <w:keepLines w:val="0"/>
              <w:suppressLineNumbers w:val="0"/>
              <w:spacing w:before="0" w:beforeAutospacing="0" w:after="0" w:afterAutospacing="0"/>
              <w:ind w:left="0" w:right="0"/>
              <w:rPr>
                <w:rFonts w:hint="eastAsia"/>
                <w:sz w:val="21"/>
                <w:szCs w:val="21"/>
                <w:highlight w:val="none"/>
              </w:rPr>
            </w:pPr>
            <w:r>
              <w:rPr>
                <w:rFonts w:hint="eastAsia"/>
                <w:sz w:val="21"/>
                <w:szCs w:val="21"/>
                <w:highlight w:val="none"/>
              </w:rPr>
              <w:t>3.方案基本完整、不尽合理、针对性一般、可操作性一般，评审为中加</w:t>
            </w:r>
            <w:r>
              <w:rPr>
                <w:rFonts w:hint="eastAsia"/>
                <w:sz w:val="21"/>
                <w:szCs w:val="21"/>
                <w:highlight w:val="none"/>
                <w:lang w:val="en-US" w:eastAsia="zh-CN"/>
              </w:rPr>
              <w:t>10</w:t>
            </w:r>
            <w:r>
              <w:rPr>
                <w:rFonts w:hint="eastAsia"/>
                <w:sz w:val="21"/>
                <w:szCs w:val="21"/>
                <w:highlight w:val="none"/>
              </w:rPr>
              <w:t>分；</w:t>
            </w:r>
          </w:p>
          <w:p w14:paraId="5BAE782A">
            <w:pPr>
              <w:pStyle w:val="9"/>
              <w:keepNext w:val="0"/>
              <w:keepLines w:val="0"/>
              <w:suppressLineNumbers w:val="0"/>
              <w:spacing w:before="0" w:beforeAutospacing="0" w:after="0" w:afterAutospacing="0"/>
              <w:ind w:left="0" w:right="0"/>
              <w:rPr>
                <w:rFonts w:hint="eastAsia"/>
                <w:sz w:val="21"/>
                <w:szCs w:val="21"/>
                <w:highlight w:val="none"/>
              </w:rPr>
            </w:pPr>
            <w:r>
              <w:rPr>
                <w:rFonts w:hint="eastAsia"/>
                <w:sz w:val="21"/>
                <w:szCs w:val="21"/>
                <w:highlight w:val="none"/>
              </w:rPr>
              <w:t>4.方案不完整、不合理、无针对性、无可操作性，评审为差得0分。</w:t>
            </w:r>
          </w:p>
          <w:p w14:paraId="4932B754">
            <w:pPr>
              <w:pStyle w:val="9"/>
              <w:keepNext w:val="0"/>
              <w:keepLines w:val="0"/>
              <w:suppressLineNumbers w:val="0"/>
              <w:spacing w:before="0" w:beforeAutospacing="0" w:after="0" w:afterAutospacing="0"/>
              <w:ind w:left="0" w:right="0"/>
              <w:rPr>
                <w:rFonts w:hint="default" w:cs="宋体" w:asciiTheme="minorEastAsia" w:hAnsiTheme="minorEastAsia" w:eastAsiaTheme="minorEastAsia"/>
                <w:szCs w:val="21"/>
                <w:highlight w:val="none"/>
              </w:rPr>
            </w:pPr>
            <w:r>
              <w:rPr>
                <w:rFonts w:hint="eastAsia"/>
                <w:sz w:val="21"/>
                <w:szCs w:val="21"/>
                <w:highlight w:val="none"/>
              </w:rPr>
              <w:t>如果评审为差，要求专家书面说明理由，并记录在档。</w:t>
            </w:r>
          </w:p>
        </w:tc>
      </w:tr>
      <w:tr w14:paraId="752A6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rHeight w:val="90" w:hRule="atLeast"/>
          <w:tblCellSpacing w:w="0" w:type="dxa"/>
          <w:jc w:val="center"/>
        </w:trPr>
        <w:tc>
          <w:tcPr>
            <w:tcW w:w="673" w:type="dxa"/>
            <w:gridSpan w:val="2"/>
            <w:vMerge w:val="continue"/>
            <w:vAlign w:val="center"/>
          </w:tcPr>
          <w:p w14:paraId="6ACE2B6F">
            <w:pPr>
              <w:keepNext w:val="0"/>
              <w:keepLines w:val="0"/>
              <w:suppressLineNumbers w:val="0"/>
              <w:spacing w:before="0" w:beforeAutospacing="0" w:after="0" w:afterAutospacing="0"/>
              <w:ind w:left="0" w:right="0"/>
              <w:rPr>
                <w:rFonts w:hint="default" w:cs="宋体" w:asciiTheme="minorEastAsia" w:hAnsiTheme="minorEastAsia" w:eastAsiaTheme="minorEastAsia"/>
                <w:b/>
                <w:bCs/>
                <w:color w:val="0000FF"/>
                <w:sz w:val="24"/>
                <w:highlight w:val="none"/>
              </w:rPr>
            </w:pPr>
          </w:p>
        </w:tc>
        <w:tc>
          <w:tcPr>
            <w:tcW w:w="672" w:type="dxa"/>
            <w:vAlign w:val="center"/>
          </w:tcPr>
          <w:p w14:paraId="2B3F9AC4">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rPr>
            </w:pPr>
            <w:r>
              <w:rPr>
                <w:rFonts w:hint="default" w:asciiTheme="minorEastAsia" w:hAnsiTheme="minorEastAsia" w:eastAsiaTheme="minorEastAsia"/>
                <w:szCs w:val="21"/>
                <w:highlight w:val="none"/>
              </w:rPr>
              <w:t>2</w:t>
            </w:r>
          </w:p>
        </w:tc>
        <w:tc>
          <w:tcPr>
            <w:tcW w:w="2331" w:type="dxa"/>
            <w:vAlign w:val="center"/>
          </w:tcPr>
          <w:p w14:paraId="71F0185B">
            <w:pPr>
              <w:keepNext w:val="0"/>
              <w:keepLines w:val="0"/>
              <w:pageBreakBefore w:val="0"/>
              <w:kinsoku/>
              <w:overflowPunct/>
              <w:topLinePunct w:val="0"/>
              <w:autoSpaceDE/>
              <w:autoSpaceDN/>
              <w:bidi w:val="0"/>
              <w:adjustRightInd/>
              <w:snapToGrid/>
              <w:spacing w:line="240" w:lineRule="auto"/>
              <w:jc w:val="center"/>
              <w:rPr>
                <w:rFonts w:hint="default" w:cs="宋体" w:asciiTheme="minorEastAsia" w:hAnsiTheme="minorEastAsia" w:eastAsiaTheme="minorEastAsia"/>
                <w:szCs w:val="21"/>
                <w:highlight w:val="none"/>
              </w:rPr>
            </w:pPr>
            <w:r>
              <w:rPr>
                <w:rFonts w:hint="eastAsia" w:ascii="宋体" w:hAnsi="宋体" w:eastAsia="宋体" w:cs="宋体"/>
                <w:sz w:val="21"/>
                <w:szCs w:val="21"/>
                <w:highlight w:val="none"/>
              </w:rPr>
              <w:t>质量保障措施</w:t>
            </w:r>
          </w:p>
        </w:tc>
        <w:tc>
          <w:tcPr>
            <w:tcW w:w="761" w:type="dxa"/>
            <w:vAlign w:val="center"/>
          </w:tcPr>
          <w:p w14:paraId="109E3167">
            <w:pPr>
              <w:keepNext w:val="0"/>
              <w:keepLines w:val="0"/>
              <w:suppressLineNumbers w:val="0"/>
              <w:wordWrap w:val="0"/>
              <w:spacing w:before="0" w:beforeAutospacing="0" w:after="0" w:afterAutospacing="0"/>
              <w:ind w:left="0" w:right="0"/>
              <w:jc w:val="center"/>
              <w:rPr>
                <w:rFonts w:hint="default" w:ascii="宋体" w:eastAsia="宋体"/>
                <w:sz w:val="21"/>
                <w:szCs w:val="21"/>
                <w:highlight w:val="none"/>
                <w:lang w:val="en-US" w:eastAsia="zh-CN"/>
              </w:rPr>
            </w:pPr>
            <w:r>
              <w:rPr>
                <w:rFonts w:hint="eastAsia" w:ascii="宋体"/>
                <w:sz w:val="21"/>
                <w:szCs w:val="21"/>
                <w:highlight w:val="none"/>
                <w:lang w:val="en-US" w:eastAsia="zh-CN"/>
              </w:rPr>
              <w:t>14</w:t>
            </w:r>
          </w:p>
        </w:tc>
        <w:tc>
          <w:tcPr>
            <w:tcW w:w="4725" w:type="dxa"/>
            <w:gridSpan w:val="2"/>
            <w:vAlign w:val="center"/>
          </w:tcPr>
          <w:p w14:paraId="48F200D0">
            <w:pPr>
              <w:pStyle w:val="9"/>
              <w:keepNext w:val="0"/>
              <w:keepLines w:val="0"/>
              <w:suppressLineNumbers w:val="0"/>
              <w:spacing w:before="0" w:beforeAutospacing="0" w:after="0" w:afterAutospacing="0"/>
              <w:ind w:left="0" w:right="0"/>
              <w:rPr>
                <w:rFonts w:hint="eastAsia" w:ascii="宋体" w:eastAsia="宋体"/>
                <w:b/>
                <w:bCs/>
                <w:sz w:val="21"/>
                <w:szCs w:val="21"/>
                <w:highlight w:val="none"/>
                <w:lang w:eastAsia="zh-CN"/>
              </w:rPr>
            </w:pPr>
            <w:r>
              <w:rPr>
                <w:rFonts w:hint="eastAsia" w:ascii="宋体" w:eastAsia="宋体"/>
                <w:b/>
                <w:bCs/>
                <w:sz w:val="21"/>
                <w:szCs w:val="21"/>
                <w:highlight w:val="none"/>
              </w:rPr>
              <w:t>评审内容</w:t>
            </w:r>
            <w:r>
              <w:rPr>
                <w:rFonts w:hint="eastAsia" w:ascii="宋体" w:eastAsia="宋体"/>
                <w:b/>
                <w:bCs/>
                <w:sz w:val="21"/>
                <w:szCs w:val="21"/>
                <w:highlight w:val="none"/>
                <w:lang w:eastAsia="zh-CN"/>
              </w:rPr>
              <w:t>及标准</w:t>
            </w:r>
          </w:p>
          <w:p w14:paraId="3152C8B9">
            <w:pPr>
              <w:pStyle w:val="9"/>
              <w:keepNext w:val="0"/>
              <w:keepLines w:val="0"/>
              <w:suppressLineNumbers w:val="0"/>
              <w:spacing w:before="0" w:beforeAutospacing="0" w:after="0" w:afterAutospacing="0"/>
              <w:ind w:left="0" w:right="0"/>
              <w:rPr>
                <w:rFonts w:hint="eastAsia" w:ascii="宋体" w:eastAsia="宋体"/>
                <w:sz w:val="21"/>
                <w:szCs w:val="21"/>
                <w:highlight w:val="none"/>
                <w:lang w:eastAsia="zh-CN"/>
              </w:rPr>
            </w:pPr>
            <w:r>
              <w:rPr>
                <w:rFonts w:hint="eastAsia" w:ascii="宋体" w:eastAsia="宋体"/>
                <w:sz w:val="21"/>
                <w:szCs w:val="21"/>
                <w:highlight w:val="none"/>
                <w:lang w:eastAsia="zh-CN"/>
              </w:rPr>
              <w:t>提供</w:t>
            </w:r>
            <w:r>
              <w:rPr>
                <w:rFonts w:hint="eastAsia" w:ascii="宋体" w:eastAsia="宋体"/>
                <w:sz w:val="21"/>
                <w:szCs w:val="21"/>
                <w:highlight w:val="none"/>
              </w:rPr>
              <w:t>市级“3+N”法律服务团队管理相关制度</w:t>
            </w:r>
            <w:r>
              <w:rPr>
                <w:rFonts w:hint="eastAsia" w:ascii="宋体" w:eastAsia="宋体"/>
                <w:sz w:val="21"/>
                <w:szCs w:val="21"/>
                <w:highlight w:val="none"/>
                <w:lang w:eastAsia="zh-CN"/>
              </w:rPr>
              <w:t>：</w:t>
            </w:r>
          </w:p>
          <w:p w14:paraId="6161C996">
            <w:pPr>
              <w:pStyle w:val="9"/>
              <w:keepNext w:val="0"/>
              <w:keepLines w:val="0"/>
              <w:suppressLineNumbers w:val="0"/>
              <w:spacing w:before="0" w:beforeAutospacing="0" w:after="0" w:afterAutospacing="0"/>
              <w:ind w:left="0" w:right="0"/>
              <w:rPr>
                <w:rFonts w:hint="eastAsia" w:ascii="宋体" w:eastAsia="宋体"/>
                <w:sz w:val="21"/>
                <w:szCs w:val="21"/>
                <w:highlight w:val="none"/>
              </w:rPr>
            </w:pPr>
            <w:r>
              <w:rPr>
                <w:rFonts w:hint="eastAsia" w:ascii="宋体" w:eastAsia="宋体"/>
                <w:sz w:val="21"/>
                <w:szCs w:val="21"/>
                <w:highlight w:val="none"/>
              </w:rPr>
              <w:t>1．项目管理制度；</w:t>
            </w:r>
          </w:p>
          <w:p w14:paraId="009051FE">
            <w:pPr>
              <w:pStyle w:val="9"/>
              <w:keepNext w:val="0"/>
              <w:keepLines w:val="0"/>
              <w:suppressLineNumbers w:val="0"/>
              <w:spacing w:before="0" w:beforeAutospacing="0" w:after="0" w:afterAutospacing="0"/>
              <w:ind w:left="0" w:right="0"/>
              <w:rPr>
                <w:rFonts w:hint="eastAsia" w:ascii="宋体" w:eastAsia="宋体"/>
                <w:sz w:val="21"/>
                <w:szCs w:val="21"/>
                <w:highlight w:val="none"/>
              </w:rPr>
            </w:pPr>
            <w:r>
              <w:rPr>
                <w:rFonts w:hint="eastAsia" w:ascii="宋体" w:eastAsia="宋体"/>
                <w:sz w:val="21"/>
                <w:szCs w:val="21"/>
                <w:highlight w:val="none"/>
              </w:rPr>
              <w:t>2．质量监查制度；</w:t>
            </w:r>
          </w:p>
          <w:p w14:paraId="3275BC50">
            <w:pPr>
              <w:pStyle w:val="9"/>
              <w:keepNext w:val="0"/>
              <w:keepLines w:val="0"/>
              <w:suppressLineNumbers w:val="0"/>
              <w:spacing w:before="0" w:beforeAutospacing="0" w:after="0" w:afterAutospacing="0"/>
              <w:ind w:left="0" w:right="0"/>
              <w:rPr>
                <w:rFonts w:hint="eastAsia" w:ascii="宋体" w:eastAsia="宋体"/>
                <w:sz w:val="21"/>
                <w:szCs w:val="21"/>
                <w:highlight w:val="none"/>
              </w:rPr>
            </w:pPr>
            <w:r>
              <w:rPr>
                <w:rFonts w:hint="eastAsia" w:ascii="宋体" w:eastAsia="宋体"/>
                <w:sz w:val="21"/>
                <w:szCs w:val="21"/>
                <w:highlight w:val="none"/>
              </w:rPr>
              <w:t>3．档案管理制度；</w:t>
            </w:r>
          </w:p>
          <w:p w14:paraId="63AB930B">
            <w:pPr>
              <w:pStyle w:val="9"/>
              <w:keepNext w:val="0"/>
              <w:keepLines w:val="0"/>
              <w:suppressLineNumbers w:val="0"/>
              <w:spacing w:before="0" w:beforeAutospacing="0" w:after="0" w:afterAutospacing="0"/>
              <w:ind w:left="0" w:right="0"/>
              <w:rPr>
                <w:rFonts w:hint="eastAsia" w:ascii="宋体" w:eastAsia="宋体"/>
                <w:sz w:val="21"/>
                <w:szCs w:val="21"/>
                <w:highlight w:val="none"/>
              </w:rPr>
            </w:pPr>
            <w:r>
              <w:rPr>
                <w:rFonts w:hint="eastAsia" w:ascii="宋体" w:eastAsia="宋体"/>
                <w:sz w:val="21"/>
                <w:szCs w:val="21"/>
                <w:highlight w:val="none"/>
              </w:rPr>
              <w:t>4．人员管理制度；</w:t>
            </w:r>
          </w:p>
          <w:p w14:paraId="7ADE614C">
            <w:pPr>
              <w:pStyle w:val="9"/>
              <w:keepNext w:val="0"/>
              <w:keepLines w:val="0"/>
              <w:suppressLineNumbers w:val="0"/>
              <w:spacing w:before="0" w:beforeAutospacing="0" w:after="0" w:afterAutospacing="0"/>
              <w:ind w:left="0" w:right="0"/>
              <w:rPr>
                <w:rFonts w:hint="eastAsia" w:ascii="宋体" w:eastAsia="宋体"/>
                <w:sz w:val="21"/>
                <w:szCs w:val="21"/>
                <w:highlight w:val="none"/>
              </w:rPr>
            </w:pPr>
            <w:r>
              <w:rPr>
                <w:rFonts w:hint="eastAsia" w:ascii="宋体" w:eastAsia="宋体"/>
                <w:sz w:val="21"/>
                <w:szCs w:val="21"/>
                <w:highlight w:val="none"/>
              </w:rPr>
              <w:t>5．岗位职责。</w:t>
            </w:r>
          </w:p>
          <w:p w14:paraId="51219012">
            <w:pPr>
              <w:pStyle w:val="9"/>
              <w:keepNext w:val="0"/>
              <w:keepLines w:val="0"/>
              <w:suppressLineNumbers w:val="0"/>
              <w:spacing w:before="0" w:beforeAutospacing="0" w:after="0" w:afterAutospacing="0"/>
              <w:ind w:left="0" w:right="0"/>
              <w:rPr>
                <w:rFonts w:hint="default" w:ascii="宋体" w:eastAsia="宋体"/>
                <w:sz w:val="21"/>
                <w:szCs w:val="21"/>
                <w:highlight w:val="none"/>
              </w:rPr>
            </w:pPr>
            <w:r>
              <w:rPr>
                <w:rFonts w:hint="eastAsia" w:ascii="宋体" w:eastAsia="宋体"/>
                <w:sz w:val="21"/>
                <w:szCs w:val="21"/>
                <w:highlight w:val="none"/>
              </w:rPr>
              <w:t>以上</w:t>
            </w:r>
            <w:r>
              <w:rPr>
                <w:rFonts w:hint="eastAsia" w:ascii="宋体" w:eastAsia="宋体"/>
                <w:sz w:val="21"/>
                <w:szCs w:val="21"/>
                <w:highlight w:val="none"/>
                <w:lang w:val="en-US" w:eastAsia="zh-CN"/>
              </w:rPr>
              <w:t>5点</w:t>
            </w:r>
            <w:r>
              <w:rPr>
                <w:rFonts w:hint="eastAsia" w:ascii="宋体" w:eastAsia="宋体"/>
                <w:sz w:val="21"/>
                <w:szCs w:val="21"/>
                <w:highlight w:val="none"/>
              </w:rPr>
              <w:t>内容每</w:t>
            </w:r>
            <w:r>
              <w:rPr>
                <w:rFonts w:hint="eastAsia" w:ascii="宋体" w:eastAsia="宋体"/>
                <w:sz w:val="21"/>
                <w:szCs w:val="21"/>
                <w:highlight w:val="none"/>
                <w:lang w:val="en-US" w:eastAsia="zh-CN"/>
              </w:rPr>
              <w:t>提供1</w:t>
            </w:r>
            <w:r>
              <w:rPr>
                <w:rFonts w:hint="eastAsia" w:ascii="宋体" w:eastAsia="宋体"/>
                <w:sz w:val="21"/>
                <w:szCs w:val="21"/>
                <w:highlight w:val="none"/>
              </w:rPr>
              <w:t>项</w:t>
            </w:r>
            <w:r>
              <w:rPr>
                <w:rFonts w:hint="eastAsia" w:ascii="宋体" w:eastAsia="宋体"/>
                <w:sz w:val="21"/>
                <w:szCs w:val="21"/>
                <w:highlight w:val="none"/>
                <w:lang w:val="en-US" w:eastAsia="zh-CN"/>
              </w:rPr>
              <w:t>得20</w:t>
            </w:r>
            <w:r>
              <w:rPr>
                <w:rFonts w:hint="eastAsia" w:ascii="宋体" w:eastAsia="宋体"/>
                <w:sz w:val="21"/>
                <w:szCs w:val="21"/>
                <w:highlight w:val="none"/>
              </w:rPr>
              <w:t>分</w:t>
            </w:r>
            <w:r>
              <w:rPr>
                <w:rFonts w:hint="eastAsia" w:ascii="宋体" w:eastAsia="宋体"/>
                <w:sz w:val="21"/>
                <w:szCs w:val="21"/>
                <w:highlight w:val="none"/>
                <w:lang w:eastAsia="zh-CN"/>
              </w:rPr>
              <w:t>，</w:t>
            </w:r>
            <w:r>
              <w:rPr>
                <w:rFonts w:hint="eastAsia" w:ascii="宋体" w:eastAsia="宋体"/>
                <w:sz w:val="21"/>
                <w:szCs w:val="21"/>
                <w:highlight w:val="none"/>
                <w:lang w:val="en-US" w:eastAsia="zh-CN"/>
              </w:rPr>
              <w:t>满分100</w:t>
            </w:r>
            <w:r>
              <w:rPr>
                <w:rFonts w:hint="eastAsia" w:ascii="宋体" w:eastAsia="宋体"/>
                <w:sz w:val="21"/>
                <w:szCs w:val="21"/>
                <w:highlight w:val="none"/>
              </w:rPr>
              <w:t>分。</w:t>
            </w:r>
          </w:p>
        </w:tc>
      </w:tr>
      <w:tr w14:paraId="5C1F7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jc w:val="center"/>
        </w:trPr>
        <w:tc>
          <w:tcPr>
            <w:tcW w:w="673" w:type="dxa"/>
            <w:gridSpan w:val="2"/>
            <w:vMerge w:val="continue"/>
            <w:vAlign w:val="center"/>
          </w:tcPr>
          <w:p w14:paraId="56532301">
            <w:pPr>
              <w:keepNext w:val="0"/>
              <w:keepLines w:val="0"/>
              <w:suppressLineNumbers w:val="0"/>
              <w:spacing w:before="0" w:beforeAutospacing="0" w:after="0" w:afterAutospacing="0"/>
              <w:ind w:left="0" w:right="0"/>
              <w:rPr>
                <w:rFonts w:hint="default" w:cs="宋体" w:asciiTheme="minorEastAsia" w:hAnsiTheme="minorEastAsia" w:eastAsiaTheme="minorEastAsia"/>
                <w:b/>
                <w:bCs/>
                <w:color w:val="0000FF"/>
                <w:sz w:val="24"/>
                <w:highlight w:val="none"/>
              </w:rPr>
            </w:pPr>
          </w:p>
        </w:tc>
        <w:tc>
          <w:tcPr>
            <w:tcW w:w="672" w:type="dxa"/>
            <w:vAlign w:val="center"/>
          </w:tcPr>
          <w:p w14:paraId="2F99D71F">
            <w:pPr>
              <w:keepNext w:val="0"/>
              <w:keepLines w:val="0"/>
              <w:suppressLineNumbers w:val="0"/>
              <w:wordWrap w:val="0"/>
              <w:spacing w:before="0" w:beforeAutospacing="0" w:after="0" w:afterAutospacing="0"/>
              <w:ind w:left="0" w:right="0"/>
              <w:jc w:val="center"/>
              <w:rPr>
                <w:rFonts w:hint="eastAsia" w:cs="宋体" w:asciiTheme="minorEastAsia" w:hAnsiTheme="minorEastAsia" w:eastAsiaTheme="minorEastAsia"/>
                <w:szCs w:val="21"/>
                <w:highlight w:val="none"/>
                <w:lang w:eastAsia="zh-CN"/>
              </w:rPr>
            </w:pPr>
            <w:r>
              <w:rPr>
                <w:rFonts w:hint="eastAsia" w:asciiTheme="minorEastAsia" w:hAnsiTheme="minorEastAsia" w:eastAsiaTheme="minorEastAsia"/>
                <w:szCs w:val="21"/>
                <w:highlight w:val="none"/>
                <w:lang w:val="en-US" w:eastAsia="zh-CN"/>
              </w:rPr>
              <w:t>3</w:t>
            </w:r>
          </w:p>
        </w:tc>
        <w:tc>
          <w:tcPr>
            <w:tcW w:w="2331" w:type="dxa"/>
            <w:vAlign w:val="center"/>
          </w:tcPr>
          <w:p w14:paraId="36C0B026">
            <w:pPr>
              <w:keepNext w:val="0"/>
              <w:keepLines w:val="0"/>
              <w:pageBreakBefore w:val="0"/>
              <w:kinsoku/>
              <w:overflowPunct/>
              <w:topLinePunct w:val="0"/>
              <w:autoSpaceDE/>
              <w:autoSpaceDN/>
              <w:bidi w:val="0"/>
              <w:adjustRightInd/>
              <w:snapToGrid/>
              <w:spacing w:line="240" w:lineRule="auto"/>
              <w:jc w:val="center"/>
              <w:rPr>
                <w:rFonts w:hint="default" w:cs="宋体" w:asciiTheme="minorEastAsia" w:hAnsiTheme="minorEastAsia" w:eastAsiaTheme="minorEastAsia"/>
                <w:szCs w:val="21"/>
                <w:highlight w:val="none"/>
              </w:rPr>
            </w:pPr>
            <w:r>
              <w:rPr>
                <w:rFonts w:hint="eastAsia" w:ascii="宋体" w:hAnsi="宋体" w:eastAsia="宋体" w:cs="宋体"/>
                <w:sz w:val="21"/>
                <w:szCs w:val="21"/>
                <w:highlight w:val="none"/>
              </w:rPr>
              <w:t>服务承诺</w:t>
            </w:r>
          </w:p>
        </w:tc>
        <w:tc>
          <w:tcPr>
            <w:tcW w:w="761" w:type="dxa"/>
            <w:vAlign w:val="center"/>
          </w:tcPr>
          <w:p w14:paraId="3E485FD3">
            <w:pPr>
              <w:keepNext w:val="0"/>
              <w:keepLines w:val="0"/>
              <w:pageBreakBefore w:val="0"/>
              <w:kinsoku/>
              <w:overflowPunct/>
              <w:topLinePunct w:val="0"/>
              <w:autoSpaceDE/>
              <w:autoSpaceDN/>
              <w:bidi w:val="0"/>
              <w:adjustRightInd/>
              <w:snapToGrid/>
              <w:spacing w:line="240" w:lineRule="auto"/>
              <w:jc w:val="center"/>
              <w:rPr>
                <w:rFonts w:hint="default" w:cs="宋体" w:asciiTheme="minorEastAsia" w:hAnsiTheme="minorEastAsia" w:eastAsiaTheme="minorEastAsia"/>
                <w:szCs w:val="21"/>
                <w:highlight w:val="none"/>
              </w:rPr>
            </w:pPr>
            <w:r>
              <w:rPr>
                <w:rFonts w:hint="eastAsia" w:ascii="宋体" w:hAnsi="宋体" w:cs="宋体"/>
                <w:sz w:val="21"/>
                <w:szCs w:val="21"/>
                <w:highlight w:val="none"/>
                <w:lang w:val="en-US" w:eastAsia="zh-CN"/>
              </w:rPr>
              <w:t>5</w:t>
            </w:r>
          </w:p>
        </w:tc>
        <w:tc>
          <w:tcPr>
            <w:tcW w:w="4725" w:type="dxa"/>
            <w:gridSpan w:val="2"/>
            <w:vAlign w:val="center"/>
          </w:tcPr>
          <w:p w14:paraId="0A8D5956">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一、评审内容</w:t>
            </w:r>
          </w:p>
          <w:p w14:paraId="4DACE157">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sz w:val="21"/>
                <w:szCs w:val="21"/>
                <w:highlight w:val="none"/>
              </w:rPr>
            </w:pPr>
            <w:r>
              <w:rPr>
                <w:rFonts w:hint="eastAsia" w:ascii="宋体" w:hAnsi="宋体" w:eastAsia="宋体" w:cs="宋体"/>
                <w:sz w:val="21"/>
                <w:szCs w:val="21"/>
                <w:highlight w:val="none"/>
              </w:rPr>
              <w:t>投标人承诺按采购人要求，全面履行本项目的各项内容，保证在项目实施全过程中</w:t>
            </w:r>
            <w:r>
              <w:rPr>
                <w:rFonts w:hint="eastAsia" w:ascii="宋体" w:hAnsi="宋体" w:cs="宋体"/>
                <w:sz w:val="21"/>
                <w:szCs w:val="21"/>
                <w:highlight w:val="none"/>
                <w:lang w:eastAsia="zh-CN"/>
              </w:rPr>
              <w:t>团队的服务人员</w:t>
            </w:r>
            <w:r>
              <w:rPr>
                <w:rFonts w:hint="eastAsia" w:ascii="宋体" w:hAnsi="宋体" w:eastAsia="宋体" w:cs="宋体"/>
                <w:sz w:val="21"/>
                <w:szCs w:val="21"/>
                <w:highlight w:val="none"/>
              </w:rPr>
              <w:t>与投标文件</w:t>
            </w:r>
            <w:r>
              <w:rPr>
                <w:rFonts w:hint="eastAsia" w:ascii="宋体" w:hAnsi="宋体" w:cs="宋体"/>
                <w:sz w:val="21"/>
                <w:szCs w:val="21"/>
                <w:highlight w:val="none"/>
                <w:lang w:eastAsia="zh-CN"/>
              </w:rPr>
              <w:t>所列的人员一致并</w:t>
            </w:r>
            <w:r>
              <w:rPr>
                <w:rFonts w:hint="eastAsia" w:ascii="宋体" w:hAnsi="宋体" w:eastAsia="宋体" w:cs="宋体"/>
                <w:sz w:val="21"/>
                <w:szCs w:val="21"/>
                <w:highlight w:val="none"/>
              </w:rPr>
              <w:t>承诺：</w:t>
            </w:r>
          </w:p>
          <w:p w14:paraId="06FD60EA">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sz w:val="21"/>
                <w:szCs w:val="21"/>
                <w:highlight w:val="none"/>
              </w:rPr>
            </w:pPr>
            <w:r>
              <w:rPr>
                <w:rFonts w:hint="eastAsia" w:ascii="宋体" w:hAnsi="宋体" w:eastAsia="宋体" w:cs="宋体"/>
                <w:sz w:val="21"/>
                <w:szCs w:val="21"/>
                <w:highlight w:val="none"/>
              </w:rPr>
              <w:t>1．承诺项目</w:t>
            </w:r>
            <w:r>
              <w:rPr>
                <w:rFonts w:hint="eastAsia" w:ascii="宋体" w:hAnsi="宋体" w:cs="宋体"/>
                <w:sz w:val="21"/>
                <w:szCs w:val="21"/>
                <w:highlight w:val="none"/>
                <w:lang w:eastAsia="zh-CN"/>
              </w:rPr>
              <w:t>服务人员</w:t>
            </w:r>
            <w:r>
              <w:rPr>
                <w:rFonts w:hint="eastAsia" w:ascii="宋体" w:hAnsi="宋体" w:eastAsia="宋体" w:cs="宋体"/>
                <w:sz w:val="21"/>
                <w:szCs w:val="21"/>
                <w:highlight w:val="none"/>
              </w:rPr>
              <w:t>资质</w:t>
            </w:r>
            <w:r>
              <w:rPr>
                <w:rFonts w:hint="eastAsia" w:ascii="宋体" w:hAnsi="宋体" w:cs="宋体"/>
                <w:sz w:val="21"/>
                <w:szCs w:val="21"/>
                <w:highlight w:val="none"/>
                <w:lang w:eastAsia="zh-CN"/>
              </w:rPr>
              <w:t>，</w:t>
            </w:r>
            <w:r>
              <w:rPr>
                <w:rFonts w:hint="eastAsia" w:ascii="宋体" w:hAnsi="宋体" w:cs="宋体"/>
                <w:sz w:val="21"/>
                <w:szCs w:val="21"/>
                <w:highlight w:val="none"/>
                <w:lang w:val="en-US" w:eastAsia="zh-CN"/>
              </w:rPr>
              <w:t>且</w:t>
            </w:r>
            <w:r>
              <w:rPr>
                <w:rFonts w:hint="eastAsia" w:ascii="宋体" w:hAnsi="宋体" w:cs="宋体"/>
                <w:sz w:val="21"/>
                <w:szCs w:val="21"/>
                <w:highlight w:val="none"/>
                <w:lang w:eastAsia="zh-CN"/>
              </w:rPr>
              <w:t>实际</w:t>
            </w:r>
            <w:r>
              <w:rPr>
                <w:rFonts w:hint="eastAsia" w:ascii="宋体" w:hAnsi="宋体" w:cs="宋体"/>
                <w:sz w:val="21"/>
                <w:szCs w:val="21"/>
                <w:highlight w:val="none"/>
                <w:lang w:val="en-US" w:eastAsia="zh-CN"/>
              </w:rPr>
              <w:t>提供</w:t>
            </w:r>
            <w:r>
              <w:rPr>
                <w:rFonts w:hint="eastAsia" w:ascii="宋体" w:hAnsi="宋体" w:cs="宋体"/>
                <w:sz w:val="21"/>
                <w:szCs w:val="21"/>
                <w:highlight w:val="none"/>
                <w:lang w:eastAsia="zh-CN"/>
              </w:rPr>
              <w:t>服务的人员与投标文件服务人员一致</w:t>
            </w:r>
            <w:r>
              <w:rPr>
                <w:rFonts w:hint="eastAsia" w:ascii="宋体" w:hAnsi="宋体" w:eastAsia="宋体" w:cs="宋体"/>
                <w:sz w:val="21"/>
                <w:szCs w:val="21"/>
                <w:highlight w:val="none"/>
              </w:rPr>
              <w:t>；</w:t>
            </w:r>
          </w:p>
          <w:p w14:paraId="50287051">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sz w:val="21"/>
                <w:szCs w:val="21"/>
                <w:highlight w:val="none"/>
              </w:rPr>
            </w:pPr>
            <w:r>
              <w:rPr>
                <w:rFonts w:hint="eastAsia" w:ascii="宋体" w:hAnsi="宋体" w:eastAsia="宋体" w:cs="宋体"/>
                <w:sz w:val="21"/>
                <w:szCs w:val="21"/>
                <w:highlight w:val="none"/>
              </w:rPr>
              <w:t>2．承诺项目服务质量</w:t>
            </w:r>
            <w:r>
              <w:rPr>
                <w:rFonts w:hint="eastAsia" w:ascii="宋体" w:hAnsi="宋体" w:eastAsia="宋体" w:cs="宋体"/>
                <w:sz w:val="21"/>
                <w:szCs w:val="21"/>
                <w:highlight w:val="none"/>
                <w:lang w:eastAsia="zh-CN"/>
              </w:rPr>
              <w:t>及指标</w:t>
            </w:r>
            <w:r>
              <w:rPr>
                <w:rFonts w:hint="eastAsia" w:ascii="宋体" w:hAnsi="宋体" w:cs="宋体"/>
                <w:sz w:val="21"/>
                <w:szCs w:val="21"/>
                <w:highlight w:val="none"/>
                <w:lang w:val="en-US" w:eastAsia="zh-CN"/>
              </w:rPr>
              <w:t>达到招标文件要求</w:t>
            </w:r>
            <w:r>
              <w:rPr>
                <w:rFonts w:hint="eastAsia" w:ascii="宋体" w:hAnsi="宋体" w:eastAsia="宋体" w:cs="宋体"/>
                <w:sz w:val="21"/>
                <w:szCs w:val="21"/>
                <w:highlight w:val="none"/>
              </w:rPr>
              <w:t>。</w:t>
            </w:r>
          </w:p>
          <w:p w14:paraId="3E5C747C">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二、评审标准</w:t>
            </w:r>
          </w:p>
          <w:p w14:paraId="5C65F309">
            <w:pPr>
              <w:keepNext w:val="0"/>
              <w:keepLines w:val="0"/>
              <w:pageBreakBefore w:val="0"/>
              <w:widowControl/>
              <w:kinsoku/>
              <w:overflowPunct/>
              <w:topLinePunct w:val="0"/>
              <w:autoSpaceDE/>
              <w:autoSpaceDN/>
              <w:bidi w:val="0"/>
              <w:adjustRightInd/>
              <w:snapToGrid/>
              <w:spacing w:line="240" w:lineRule="auto"/>
              <w:jc w:val="left"/>
              <w:textAlignment w:val="center"/>
              <w:rPr>
                <w:rFonts w:hint="default" w:cs="宋体" w:asciiTheme="minorEastAsia" w:hAnsiTheme="minorEastAsia" w:eastAsiaTheme="minorEastAsia"/>
                <w:szCs w:val="21"/>
                <w:highlight w:val="none"/>
              </w:rPr>
            </w:pPr>
            <w:r>
              <w:rPr>
                <w:rFonts w:hint="eastAsia" w:ascii="宋体" w:hAnsi="宋体" w:eastAsia="宋体" w:cs="宋体"/>
                <w:sz w:val="21"/>
                <w:szCs w:val="21"/>
                <w:highlight w:val="none"/>
              </w:rPr>
              <w:t>投标人提供满足以上2项内容的服务承诺，得100分，否则本项不得分。</w:t>
            </w:r>
          </w:p>
        </w:tc>
      </w:tr>
      <w:tr w14:paraId="21572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rHeight w:val="317" w:hRule="atLeast"/>
          <w:tblCellSpacing w:w="0" w:type="dxa"/>
          <w:jc w:val="center"/>
        </w:trPr>
        <w:tc>
          <w:tcPr>
            <w:tcW w:w="673" w:type="dxa"/>
            <w:gridSpan w:val="2"/>
            <w:vMerge w:val="restart"/>
          </w:tcPr>
          <w:p w14:paraId="0BD597B9">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b/>
                <w:bCs/>
                <w:color w:val="0000FF"/>
                <w:sz w:val="24"/>
                <w:highlight w:val="none"/>
              </w:rPr>
            </w:pPr>
            <w:r>
              <w:rPr>
                <w:rFonts w:hint="default" w:asciiTheme="minorEastAsia" w:hAnsiTheme="minorEastAsia" w:eastAsiaTheme="minorEastAsia"/>
                <w:b/>
                <w:bCs/>
                <w:color w:val="0000FF"/>
                <w:highlight w:val="none"/>
              </w:rPr>
              <w:t>3</w:t>
            </w:r>
          </w:p>
        </w:tc>
        <w:tc>
          <w:tcPr>
            <w:tcW w:w="3764" w:type="dxa"/>
            <w:gridSpan w:val="3"/>
            <w:vAlign w:val="center"/>
          </w:tcPr>
          <w:p w14:paraId="719DD0CC">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kern w:val="2"/>
                <w:sz w:val="21"/>
                <w:szCs w:val="24"/>
                <w:highlight w:val="none"/>
                <w:lang w:val="en-US" w:eastAsia="zh-CN" w:bidi="ar-SA"/>
              </w:rPr>
            </w:pPr>
            <w:r>
              <w:rPr>
                <w:rFonts w:hint="eastAsia"/>
                <w:highlight w:val="none"/>
              </w:rPr>
              <w:t>商务部分</w:t>
            </w:r>
          </w:p>
        </w:tc>
        <w:tc>
          <w:tcPr>
            <w:tcW w:w="4725" w:type="dxa"/>
            <w:gridSpan w:val="2"/>
            <w:vAlign w:val="center"/>
          </w:tcPr>
          <w:p w14:paraId="56740295">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b/>
                <w:bCs/>
                <w:color w:val="0000FF"/>
                <w:sz w:val="24"/>
                <w:highlight w:val="none"/>
                <w:lang w:val="en-US" w:eastAsia="zh-CN"/>
              </w:rPr>
            </w:pPr>
            <w:r>
              <w:rPr>
                <w:rFonts w:hint="eastAsia" w:cs="宋体" w:asciiTheme="minorEastAsia" w:hAnsiTheme="minorEastAsia" w:eastAsiaTheme="minorEastAsia"/>
                <w:b/>
                <w:bCs/>
                <w:color w:val="0000FF"/>
                <w:sz w:val="24"/>
                <w:highlight w:val="none"/>
                <w:lang w:val="en-US" w:eastAsia="zh-CN"/>
              </w:rPr>
              <w:t>62</w:t>
            </w:r>
          </w:p>
        </w:tc>
      </w:tr>
      <w:tr w14:paraId="045DE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jc w:val="center"/>
        </w:trPr>
        <w:tc>
          <w:tcPr>
            <w:tcW w:w="673" w:type="dxa"/>
            <w:gridSpan w:val="2"/>
            <w:vMerge w:val="continue"/>
            <w:shd w:val="clear" w:color="auto" w:fill="E6EFFA"/>
            <w:vAlign w:val="center"/>
          </w:tcPr>
          <w:p w14:paraId="7A59B61B">
            <w:pPr>
              <w:keepNext w:val="0"/>
              <w:keepLines w:val="0"/>
              <w:suppressLineNumbers w:val="0"/>
              <w:spacing w:before="0" w:beforeAutospacing="0" w:after="0" w:afterAutospacing="0"/>
              <w:ind w:left="0" w:right="0"/>
              <w:rPr>
                <w:rFonts w:hint="default" w:cs="宋体" w:asciiTheme="minorEastAsia" w:hAnsiTheme="minorEastAsia" w:eastAsiaTheme="minorEastAsia"/>
                <w:b/>
                <w:bCs/>
                <w:color w:val="0000FF"/>
                <w:sz w:val="24"/>
                <w:highlight w:val="none"/>
              </w:rPr>
            </w:pPr>
          </w:p>
        </w:tc>
        <w:tc>
          <w:tcPr>
            <w:tcW w:w="672" w:type="dxa"/>
            <w:shd w:val="clear" w:color="auto" w:fill="E6EFFA"/>
            <w:vAlign w:val="center"/>
          </w:tcPr>
          <w:p w14:paraId="308DF4FF">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rPr>
            </w:pPr>
            <w:r>
              <w:rPr>
                <w:rFonts w:hint="default" w:asciiTheme="minorEastAsia" w:hAnsiTheme="minorEastAsia" w:eastAsiaTheme="minorEastAsia"/>
                <w:szCs w:val="21"/>
                <w:highlight w:val="none"/>
              </w:rPr>
              <w:t>序号</w:t>
            </w:r>
          </w:p>
        </w:tc>
        <w:tc>
          <w:tcPr>
            <w:tcW w:w="2331" w:type="dxa"/>
            <w:shd w:val="clear" w:color="auto" w:fill="E6EFFA"/>
            <w:vAlign w:val="center"/>
          </w:tcPr>
          <w:p w14:paraId="7CFC450B">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rPr>
            </w:pPr>
            <w:r>
              <w:rPr>
                <w:rFonts w:hint="eastAsia" w:asciiTheme="minorEastAsia" w:hAnsiTheme="minorEastAsia" w:eastAsiaTheme="minorEastAsia"/>
                <w:szCs w:val="21"/>
                <w:highlight w:val="none"/>
              </w:rPr>
              <w:t>评审因素</w:t>
            </w:r>
          </w:p>
        </w:tc>
        <w:tc>
          <w:tcPr>
            <w:tcW w:w="761" w:type="dxa"/>
            <w:shd w:val="clear" w:color="auto" w:fill="E6EFFA"/>
            <w:vAlign w:val="center"/>
          </w:tcPr>
          <w:p w14:paraId="48C9CAC1">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rPr>
            </w:pPr>
            <w:r>
              <w:rPr>
                <w:rFonts w:hint="default" w:asciiTheme="minorEastAsia" w:hAnsiTheme="minorEastAsia" w:eastAsiaTheme="minorEastAsia"/>
                <w:szCs w:val="21"/>
                <w:highlight w:val="none"/>
              </w:rPr>
              <w:t>权重(%)</w:t>
            </w:r>
          </w:p>
        </w:tc>
        <w:tc>
          <w:tcPr>
            <w:tcW w:w="4725" w:type="dxa"/>
            <w:gridSpan w:val="2"/>
            <w:shd w:val="clear" w:color="auto" w:fill="E6EFFA"/>
            <w:vAlign w:val="center"/>
          </w:tcPr>
          <w:p w14:paraId="525C3B75">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rPr>
            </w:pPr>
            <w:r>
              <w:rPr>
                <w:rFonts w:hint="default" w:asciiTheme="minorEastAsia" w:hAnsiTheme="minorEastAsia" w:eastAsiaTheme="minorEastAsia"/>
                <w:szCs w:val="21"/>
                <w:highlight w:val="none"/>
              </w:rPr>
              <w:t>评分准则</w:t>
            </w:r>
          </w:p>
        </w:tc>
      </w:tr>
      <w:tr w14:paraId="0B11D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rHeight w:val="1154" w:hRule="atLeast"/>
          <w:tblCellSpacing w:w="0" w:type="dxa"/>
          <w:jc w:val="center"/>
        </w:trPr>
        <w:tc>
          <w:tcPr>
            <w:tcW w:w="673" w:type="dxa"/>
            <w:gridSpan w:val="2"/>
            <w:vMerge w:val="continue"/>
            <w:vAlign w:val="center"/>
          </w:tcPr>
          <w:p w14:paraId="4D26D536">
            <w:pPr>
              <w:keepNext w:val="0"/>
              <w:keepLines w:val="0"/>
              <w:suppressLineNumbers w:val="0"/>
              <w:spacing w:before="0" w:beforeAutospacing="0" w:after="0" w:afterAutospacing="0"/>
              <w:ind w:left="0" w:right="0"/>
              <w:rPr>
                <w:rFonts w:hint="default" w:cs="宋体" w:asciiTheme="minorEastAsia" w:hAnsiTheme="minorEastAsia" w:eastAsiaTheme="minorEastAsia"/>
                <w:b/>
                <w:bCs/>
                <w:color w:val="0000FF"/>
                <w:sz w:val="24"/>
                <w:highlight w:val="none"/>
              </w:rPr>
            </w:pPr>
          </w:p>
        </w:tc>
        <w:tc>
          <w:tcPr>
            <w:tcW w:w="672" w:type="dxa"/>
            <w:vAlign w:val="center"/>
          </w:tcPr>
          <w:p w14:paraId="0054887E">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rPr>
            </w:pPr>
            <w:r>
              <w:rPr>
                <w:rFonts w:hint="default" w:asciiTheme="minorEastAsia" w:hAnsiTheme="minorEastAsia" w:eastAsiaTheme="minorEastAsia"/>
                <w:szCs w:val="21"/>
                <w:highlight w:val="none"/>
              </w:rPr>
              <w:t>1</w:t>
            </w:r>
          </w:p>
        </w:tc>
        <w:tc>
          <w:tcPr>
            <w:tcW w:w="2331" w:type="dxa"/>
            <w:vAlign w:val="center"/>
          </w:tcPr>
          <w:p w14:paraId="126F4331">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rPr>
            </w:pPr>
            <w:r>
              <w:rPr>
                <w:rFonts w:hint="eastAsia"/>
                <w:highlight w:val="none"/>
              </w:rPr>
              <w:t>供应商获奖情况</w:t>
            </w:r>
          </w:p>
        </w:tc>
        <w:tc>
          <w:tcPr>
            <w:tcW w:w="761" w:type="dxa"/>
            <w:vAlign w:val="center"/>
          </w:tcPr>
          <w:p w14:paraId="4CAC91B2">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lang w:val="en-US" w:eastAsia="zh-CN"/>
              </w:rPr>
            </w:pPr>
            <w:r>
              <w:rPr>
                <w:rFonts w:hint="eastAsia" w:asciiTheme="minorEastAsia" w:hAnsiTheme="minorEastAsia" w:eastAsiaTheme="minorEastAsia"/>
                <w:szCs w:val="21"/>
                <w:highlight w:val="none"/>
                <w:lang w:val="en-US" w:eastAsia="zh-CN"/>
              </w:rPr>
              <w:t>7</w:t>
            </w:r>
          </w:p>
        </w:tc>
        <w:tc>
          <w:tcPr>
            <w:tcW w:w="4725" w:type="dxa"/>
            <w:gridSpan w:val="2"/>
          </w:tcPr>
          <w:p w14:paraId="5829D00D">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lang w:val="en-US" w:eastAsia="zh-CN"/>
              </w:rPr>
            </w:pPr>
            <w:r>
              <w:rPr>
                <w:rFonts w:hint="eastAsia" w:asciiTheme="minorEastAsia" w:hAnsiTheme="minorEastAsia" w:eastAsiaTheme="minorEastAsia" w:cstheme="minorEastAsia"/>
                <w:kern w:val="0"/>
                <w:sz w:val="21"/>
                <w:szCs w:val="21"/>
                <w:highlight w:val="none"/>
                <w:lang w:eastAsia="zh-CN"/>
              </w:rPr>
              <w:t>获得司法单位授予的优秀或先进律师事务所称号的，得</w:t>
            </w:r>
            <w:r>
              <w:rPr>
                <w:rFonts w:hint="eastAsia" w:asciiTheme="minorEastAsia" w:hAnsiTheme="minorEastAsia" w:eastAsiaTheme="minorEastAsia" w:cstheme="minorEastAsia"/>
                <w:kern w:val="0"/>
                <w:sz w:val="21"/>
                <w:szCs w:val="21"/>
                <w:highlight w:val="none"/>
                <w:lang w:val="en-US" w:eastAsia="zh-CN"/>
              </w:rPr>
              <w:t>100分，否则不得分。</w:t>
            </w:r>
          </w:p>
          <w:p w14:paraId="4BB7D160">
            <w:pPr>
              <w:keepNext w:val="0"/>
              <w:keepLines w:val="0"/>
              <w:suppressLineNumbers w:val="0"/>
              <w:spacing w:before="0" w:beforeAutospacing="0" w:after="160" w:afterAutospacing="0" w:line="240" w:lineRule="exact"/>
              <w:ind w:left="0" w:right="0"/>
              <w:jc w:val="both"/>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注：需提供相关证明文件复印件，无证明材料不得分。</w:t>
            </w:r>
          </w:p>
        </w:tc>
      </w:tr>
      <w:tr w14:paraId="12239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rHeight w:val="4079" w:hRule="atLeast"/>
          <w:tblCellSpacing w:w="0" w:type="dxa"/>
          <w:jc w:val="center"/>
        </w:trPr>
        <w:tc>
          <w:tcPr>
            <w:tcW w:w="673" w:type="dxa"/>
            <w:gridSpan w:val="2"/>
            <w:vMerge w:val="continue"/>
            <w:vAlign w:val="center"/>
          </w:tcPr>
          <w:p w14:paraId="5B8B7062">
            <w:pPr>
              <w:keepNext w:val="0"/>
              <w:keepLines w:val="0"/>
              <w:suppressLineNumbers w:val="0"/>
              <w:spacing w:before="0" w:beforeAutospacing="0" w:after="0" w:afterAutospacing="0"/>
              <w:ind w:left="0" w:right="0"/>
              <w:rPr>
                <w:rFonts w:hint="default" w:cs="宋体" w:asciiTheme="minorEastAsia" w:hAnsiTheme="minorEastAsia" w:eastAsiaTheme="minorEastAsia"/>
                <w:b/>
                <w:bCs/>
                <w:color w:val="0000FF"/>
                <w:sz w:val="24"/>
                <w:highlight w:val="none"/>
              </w:rPr>
            </w:pPr>
          </w:p>
        </w:tc>
        <w:tc>
          <w:tcPr>
            <w:tcW w:w="672" w:type="dxa"/>
            <w:vAlign w:val="center"/>
          </w:tcPr>
          <w:p w14:paraId="3A814833">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rPr>
            </w:pPr>
            <w:r>
              <w:rPr>
                <w:rFonts w:hint="eastAsia" w:asciiTheme="minorEastAsia" w:hAnsiTheme="minorEastAsia" w:eastAsiaTheme="minorEastAsia"/>
                <w:szCs w:val="21"/>
                <w:highlight w:val="none"/>
              </w:rPr>
              <w:t>2</w:t>
            </w:r>
          </w:p>
        </w:tc>
        <w:tc>
          <w:tcPr>
            <w:tcW w:w="2331" w:type="dxa"/>
            <w:vAlign w:val="center"/>
          </w:tcPr>
          <w:p w14:paraId="411BD64F">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rPr>
            </w:pPr>
            <w:r>
              <w:rPr>
                <w:szCs w:val="21"/>
                <w:highlight w:val="none"/>
              </w:rPr>
              <w:t>投标人同类项目业绩情况</w:t>
            </w:r>
          </w:p>
        </w:tc>
        <w:tc>
          <w:tcPr>
            <w:tcW w:w="761" w:type="dxa"/>
            <w:vAlign w:val="center"/>
          </w:tcPr>
          <w:p w14:paraId="57498CC8">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lang w:val="en-US" w:eastAsia="zh-CN"/>
              </w:rPr>
            </w:pPr>
            <w:r>
              <w:rPr>
                <w:rFonts w:hint="eastAsia" w:asciiTheme="minorEastAsia" w:hAnsiTheme="minorEastAsia" w:eastAsiaTheme="minorEastAsia"/>
                <w:szCs w:val="21"/>
                <w:highlight w:val="none"/>
                <w:lang w:val="en-US" w:eastAsia="zh-CN"/>
              </w:rPr>
              <w:t>15</w:t>
            </w:r>
          </w:p>
        </w:tc>
        <w:tc>
          <w:tcPr>
            <w:tcW w:w="4725" w:type="dxa"/>
            <w:gridSpan w:val="2"/>
          </w:tcPr>
          <w:p w14:paraId="2E1A30BC">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val="en-US" w:eastAsia="zh-CN"/>
              </w:rPr>
              <w:t>2022</w:t>
            </w:r>
            <w:r>
              <w:rPr>
                <w:rFonts w:hint="eastAsia" w:asciiTheme="minorEastAsia" w:hAnsiTheme="minorEastAsia" w:eastAsiaTheme="minorEastAsia" w:cstheme="minorEastAsia"/>
                <w:kern w:val="0"/>
                <w:sz w:val="21"/>
                <w:szCs w:val="21"/>
                <w:highlight w:val="none"/>
              </w:rPr>
              <w:t>年3月1日至今为工会、</w:t>
            </w:r>
            <w:r>
              <w:rPr>
                <w:rFonts w:hint="eastAsia" w:asciiTheme="minorEastAsia" w:hAnsiTheme="minorEastAsia" w:eastAsiaTheme="minorEastAsia" w:cstheme="minorEastAsia"/>
                <w:kern w:val="0"/>
                <w:sz w:val="21"/>
                <w:szCs w:val="21"/>
                <w:highlight w:val="none"/>
                <w:lang w:val="en-US" w:eastAsia="zh-CN"/>
              </w:rPr>
              <w:t>行政机关、事业单位</w:t>
            </w:r>
            <w:r>
              <w:rPr>
                <w:rFonts w:hint="eastAsia" w:asciiTheme="minorEastAsia" w:hAnsiTheme="minorEastAsia" w:eastAsiaTheme="minorEastAsia" w:cstheme="minorEastAsia"/>
                <w:kern w:val="0"/>
                <w:sz w:val="21"/>
                <w:szCs w:val="21"/>
                <w:highlight w:val="none"/>
              </w:rPr>
              <w:t>提供劳动法律咨询或信访接待项目经验（</w:t>
            </w:r>
            <w:bookmarkStart w:id="1" w:name="OLE_LINK1"/>
            <w:r>
              <w:rPr>
                <w:rFonts w:hint="eastAsia" w:asciiTheme="minorEastAsia" w:hAnsiTheme="minorEastAsia" w:eastAsiaTheme="minorEastAsia" w:cstheme="minorEastAsia"/>
                <w:kern w:val="0"/>
                <w:sz w:val="21"/>
                <w:szCs w:val="21"/>
                <w:highlight w:val="none"/>
              </w:rPr>
              <w:t>含协助</w:t>
            </w:r>
            <w:bookmarkEnd w:id="1"/>
            <w:r>
              <w:rPr>
                <w:rFonts w:hint="eastAsia" w:asciiTheme="minorEastAsia" w:hAnsiTheme="minorEastAsia" w:eastAsiaTheme="minorEastAsia" w:cstheme="minorEastAsia"/>
                <w:kern w:val="0"/>
                <w:sz w:val="21"/>
                <w:szCs w:val="21"/>
                <w:highlight w:val="none"/>
              </w:rPr>
              <w:t>行政部门处理信访事项的顾问服务项目）</w:t>
            </w:r>
            <w:r>
              <w:rPr>
                <w:rFonts w:hint="eastAsia" w:asciiTheme="minorEastAsia" w:hAnsiTheme="minorEastAsia" w:eastAsiaTheme="minorEastAsia" w:cstheme="minorEastAsia"/>
                <w:kern w:val="0"/>
                <w:sz w:val="21"/>
                <w:szCs w:val="21"/>
                <w:highlight w:val="none"/>
                <w:lang w:val="en-US" w:eastAsia="zh-CN"/>
              </w:rPr>
              <w:t>10</w:t>
            </w:r>
            <w:r>
              <w:rPr>
                <w:rFonts w:hint="eastAsia" w:asciiTheme="minorEastAsia" w:hAnsiTheme="minorEastAsia" w:eastAsiaTheme="minorEastAsia" w:cstheme="minorEastAsia"/>
                <w:kern w:val="0"/>
                <w:sz w:val="21"/>
                <w:szCs w:val="21"/>
                <w:highlight w:val="none"/>
              </w:rPr>
              <w:t>个及以上得</w:t>
            </w:r>
            <w:r>
              <w:rPr>
                <w:rFonts w:hint="eastAsia" w:asciiTheme="minorEastAsia" w:hAnsiTheme="minorEastAsia" w:eastAsiaTheme="minorEastAsia" w:cstheme="minorEastAsia"/>
                <w:kern w:val="0"/>
                <w:sz w:val="21"/>
                <w:szCs w:val="21"/>
                <w:highlight w:val="none"/>
                <w:lang w:val="en-US" w:eastAsia="zh-CN"/>
              </w:rPr>
              <w:t>100</w:t>
            </w:r>
            <w:r>
              <w:rPr>
                <w:rFonts w:hint="eastAsia" w:asciiTheme="minorEastAsia" w:hAnsiTheme="minorEastAsia" w:eastAsiaTheme="minorEastAsia" w:cstheme="minorEastAsia"/>
                <w:kern w:val="0"/>
                <w:sz w:val="21"/>
                <w:szCs w:val="21"/>
                <w:highlight w:val="none"/>
              </w:rPr>
              <w:t>分，5（含)-</w:t>
            </w:r>
            <w:r>
              <w:rPr>
                <w:rFonts w:hint="eastAsia" w:asciiTheme="minorEastAsia" w:hAnsiTheme="minorEastAsia" w:eastAsiaTheme="minorEastAsia" w:cstheme="minorEastAsia"/>
                <w:kern w:val="0"/>
                <w:sz w:val="21"/>
                <w:szCs w:val="21"/>
                <w:highlight w:val="none"/>
                <w:lang w:val="en-US" w:eastAsia="zh-CN"/>
              </w:rPr>
              <w:t>9</w:t>
            </w:r>
            <w:r>
              <w:rPr>
                <w:rFonts w:hint="eastAsia" w:asciiTheme="minorEastAsia" w:hAnsiTheme="minorEastAsia" w:eastAsiaTheme="minorEastAsia" w:cstheme="minorEastAsia"/>
                <w:kern w:val="0"/>
                <w:sz w:val="21"/>
                <w:szCs w:val="21"/>
                <w:highlight w:val="none"/>
              </w:rPr>
              <w:t>个得</w:t>
            </w:r>
            <w:r>
              <w:rPr>
                <w:rFonts w:hint="eastAsia" w:asciiTheme="minorEastAsia" w:hAnsiTheme="minorEastAsia" w:eastAsiaTheme="minorEastAsia" w:cstheme="minorEastAsia"/>
                <w:kern w:val="0"/>
                <w:sz w:val="21"/>
                <w:szCs w:val="21"/>
                <w:highlight w:val="none"/>
                <w:lang w:val="en-US" w:eastAsia="zh-CN"/>
              </w:rPr>
              <w:t>75</w:t>
            </w:r>
            <w:r>
              <w:rPr>
                <w:rFonts w:hint="eastAsia" w:asciiTheme="minorEastAsia" w:hAnsiTheme="minorEastAsia" w:eastAsiaTheme="minorEastAsia" w:cstheme="minorEastAsia"/>
                <w:kern w:val="0"/>
                <w:sz w:val="21"/>
                <w:szCs w:val="21"/>
                <w:highlight w:val="none"/>
              </w:rPr>
              <w:t>分，3(含）-4得</w:t>
            </w:r>
            <w:r>
              <w:rPr>
                <w:rFonts w:hint="eastAsia" w:asciiTheme="minorEastAsia" w:hAnsiTheme="minorEastAsia" w:eastAsiaTheme="minorEastAsia" w:cstheme="minorEastAsia"/>
                <w:kern w:val="0"/>
                <w:sz w:val="21"/>
                <w:szCs w:val="21"/>
                <w:highlight w:val="none"/>
                <w:lang w:val="en-US" w:eastAsia="zh-CN"/>
              </w:rPr>
              <w:t>25</w:t>
            </w:r>
            <w:r>
              <w:rPr>
                <w:rFonts w:hint="eastAsia" w:asciiTheme="minorEastAsia" w:hAnsiTheme="minorEastAsia" w:eastAsiaTheme="minorEastAsia" w:cstheme="minorEastAsia"/>
                <w:kern w:val="0"/>
                <w:sz w:val="21"/>
                <w:szCs w:val="21"/>
                <w:highlight w:val="none"/>
              </w:rPr>
              <w:t>分，1（含）-2个得</w:t>
            </w:r>
            <w:r>
              <w:rPr>
                <w:rFonts w:hint="eastAsia" w:asciiTheme="minorEastAsia" w:hAnsiTheme="minorEastAsia" w:eastAsiaTheme="minorEastAsia" w:cstheme="minorEastAsia"/>
                <w:kern w:val="0"/>
                <w:sz w:val="21"/>
                <w:szCs w:val="21"/>
                <w:highlight w:val="none"/>
                <w:lang w:val="en-US" w:eastAsia="zh-CN"/>
              </w:rPr>
              <w:t>15</w:t>
            </w:r>
            <w:r>
              <w:rPr>
                <w:rFonts w:hint="eastAsia" w:asciiTheme="minorEastAsia" w:hAnsiTheme="minorEastAsia" w:eastAsiaTheme="minorEastAsia" w:cstheme="minorEastAsia"/>
                <w:kern w:val="0"/>
                <w:sz w:val="21"/>
                <w:szCs w:val="21"/>
                <w:highlight w:val="none"/>
              </w:rPr>
              <w:t>分，其他不得分。</w:t>
            </w:r>
          </w:p>
          <w:p w14:paraId="1A7D74CE">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注：1、同类项目业绩证明文件需提供合同关键页</w:t>
            </w:r>
            <w:r>
              <w:rPr>
                <w:rFonts w:hint="eastAsia" w:asciiTheme="minorEastAsia" w:hAnsiTheme="minorEastAsia" w:eastAsiaTheme="minorEastAsia" w:cstheme="minorEastAsia"/>
                <w:kern w:val="0"/>
                <w:sz w:val="21"/>
                <w:szCs w:val="21"/>
                <w:highlight w:val="none"/>
                <w:lang w:val="en-US" w:eastAsia="zh-CN"/>
              </w:rPr>
              <w:t>扫描</w:t>
            </w:r>
            <w:r>
              <w:rPr>
                <w:rFonts w:hint="eastAsia" w:asciiTheme="minorEastAsia" w:hAnsiTheme="minorEastAsia" w:eastAsiaTheme="minorEastAsia" w:cstheme="minorEastAsia"/>
                <w:kern w:val="0"/>
                <w:sz w:val="21"/>
                <w:szCs w:val="21"/>
                <w:highlight w:val="none"/>
              </w:rPr>
              <w:t>件（关键页包括合同名称、合同标的、合同金额、签字盖章页）；</w:t>
            </w:r>
          </w:p>
          <w:p w14:paraId="687FEA68">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2、同一项目的框架合同与单项合同/订单不重复计</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kern w:val="0"/>
                <w:sz w:val="21"/>
                <w:szCs w:val="21"/>
                <w:highlight w:val="none"/>
              </w:rPr>
              <w:t>并以框架合同为准。</w:t>
            </w:r>
          </w:p>
          <w:p w14:paraId="4E9C31D2">
            <w:pPr>
              <w:keepNext w:val="0"/>
              <w:keepLines w:val="0"/>
              <w:suppressLineNumbers w:val="0"/>
              <w:spacing w:before="0" w:beforeAutospacing="0" w:after="160" w:afterAutospacing="0" w:line="240" w:lineRule="exact"/>
              <w:ind w:left="0" w:right="0"/>
              <w:jc w:val="both"/>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lang w:val="en-US" w:eastAsia="zh-CN"/>
              </w:rPr>
              <w:t>3</w:t>
            </w:r>
            <w:r>
              <w:rPr>
                <w:rFonts w:hint="eastAsia" w:asciiTheme="minorEastAsia" w:hAnsiTheme="minorEastAsia" w:eastAsiaTheme="minorEastAsia" w:cstheme="minorEastAsia"/>
                <w:kern w:val="0"/>
                <w:sz w:val="21"/>
                <w:szCs w:val="21"/>
                <w:highlight w:val="none"/>
              </w:rPr>
              <w:t>、未提交相关证明材料或证明材料内容不齐全导致评委无法认定的，一律不予认可。未按规定要求提供相关证明材料的不得分。</w:t>
            </w:r>
          </w:p>
        </w:tc>
      </w:tr>
      <w:tr w14:paraId="63E09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rHeight w:val="90" w:hRule="atLeast"/>
          <w:tblCellSpacing w:w="0" w:type="dxa"/>
          <w:jc w:val="center"/>
        </w:trPr>
        <w:tc>
          <w:tcPr>
            <w:tcW w:w="673" w:type="dxa"/>
            <w:gridSpan w:val="2"/>
            <w:vMerge w:val="continue"/>
            <w:vAlign w:val="center"/>
          </w:tcPr>
          <w:p w14:paraId="742FD506">
            <w:pPr>
              <w:keepNext w:val="0"/>
              <w:keepLines w:val="0"/>
              <w:suppressLineNumbers w:val="0"/>
              <w:spacing w:before="0" w:beforeAutospacing="0" w:after="0" w:afterAutospacing="0"/>
              <w:ind w:left="0" w:right="0"/>
              <w:rPr>
                <w:rFonts w:hint="default" w:cs="宋体" w:asciiTheme="minorEastAsia" w:hAnsiTheme="minorEastAsia" w:eastAsiaTheme="minorEastAsia"/>
                <w:b/>
                <w:bCs/>
                <w:color w:val="0000FF"/>
                <w:sz w:val="24"/>
                <w:highlight w:val="none"/>
              </w:rPr>
            </w:pPr>
          </w:p>
        </w:tc>
        <w:tc>
          <w:tcPr>
            <w:tcW w:w="672" w:type="dxa"/>
            <w:vAlign w:val="center"/>
          </w:tcPr>
          <w:p w14:paraId="54D01200">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rPr>
            </w:pPr>
            <w:r>
              <w:rPr>
                <w:rFonts w:hint="eastAsia" w:asciiTheme="minorEastAsia" w:hAnsiTheme="minorEastAsia" w:eastAsiaTheme="minorEastAsia"/>
                <w:szCs w:val="21"/>
                <w:highlight w:val="none"/>
              </w:rPr>
              <w:t>3</w:t>
            </w:r>
          </w:p>
        </w:tc>
        <w:tc>
          <w:tcPr>
            <w:tcW w:w="2331" w:type="dxa"/>
            <w:vAlign w:val="center"/>
          </w:tcPr>
          <w:p w14:paraId="70695CA4">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rPr>
            </w:pPr>
            <w:r>
              <w:rPr>
                <w:rFonts w:hint="eastAsia" w:ascii="宋体" w:hAnsi="宋体"/>
                <w:kern w:val="0"/>
                <w:szCs w:val="21"/>
                <w:highlight w:val="none"/>
              </w:rPr>
              <w:t>拟安排的项目负责人情况（仅限一人）</w:t>
            </w:r>
          </w:p>
        </w:tc>
        <w:tc>
          <w:tcPr>
            <w:tcW w:w="761" w:type="dxa"/>
            <w:vAlign w:val="center"/>
          </w:tcPr>
          <w:p w14:paraId="0FA27226">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lang w:val="en-US" w:eastAsia="zh-CN"/>
              </w:rPr>
            </w:pPr>
            <w:r>
              <w:rPr>
                <w:rFonts w:hint="eastAsia" w:asciiTheme="minorEastAsia" w:hAnsiTheme="minorEastAsia" w:eastAsiaTheme="minorEastAsia"/>
                <w:szCs w:val="21"/>
                <w:highlight w:val="none"/>
                <w:lang w:val="en-US" w:eastAsia="zh-CN"/>
              </w:rPr>
              <w:t>10</w:t>
            </w:r>
          </w:p>
        </w:tc>
        <w:tc>
          <w:tcPr>
            <w:tcW w:w="4725" w:type="dxa"/>
            <w:gridSpan w:val="2"/>
          </w:tcPr>
          <w:p w14:paraId="3E7DB928">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b/>
                <w:bCs/>
                <w:kern w:val="0"/>
                <w:sz w:val="21"/>
                <w:szCs w:val="21"/>
                <w:highlight w:val="none"/>
                <w:lang w:val="en-US" w:eastAsia="zh-CN"/>
              </w:rPr>
            </w:pPr>
            <w:r>
              <w:rPr>
                <w:rFonts w:hint="eastAsia" w:asciiTheme="minorEastAsia" w:hAnsiTheme="minorEastAsia" w:eastAsiaTheme="minorEastAsia" w:cstheme="minorEastAsia"/>
                <w:b/>
                <w:bCs/>
                <w:kern w:val="0"/>
                <w:sz w:val="21"/>
                <w:szCs w:val="21"/>
                <w:highlight w:val="none"/>
                <w:lang w:val="en-US" w:eastAsia="zh-CN"/>
              </w:rPr>
              <w:t>一、评审内容：</w:t>
            </w:r>
          </w:p>
          <w:p w14:paraId="2F37EC7F">
            <w:pPr>
              <w:keepNext w:val="0"/>
              <w:keepLines w:val="0"/>
              <w:widowControl w:val="0"/>
              <w:suppressLineNumbers w:val="0"/>
              <w:spacing w:before="0" w:beforeAutospacing="0" w:after="120" w:afterAutospacing="0"/>
              <w:ind w:left="0" w:leftChars="0" w:right="0" w:firstLine="0" w:firstLineChars="0"/>
              <w:jc w:val="both"/>
              <w:rPr>
                <w:rFonts w:hint="eastAsia" w:asciiTheme="minorEastAsia" w:hAnsiTheme="minorEastAsia" w:eastAsiaTheme="minorEastAsia" w:cstheme="minorEastAsia"/>
                <w:kern w:val="0"/>
                <w:sz w:val="21"/>
                <w:szCs w:val="21"/>
                <w:highlight w:val="none"/>
                <w:lang w:val="en-US" w:eastAsia="zh-CN" w:bidi="ar-SA"/>
              </w:rPr>
            </w:pPr>
            <w:r>
              <w:rPr>
                <w:rFonts w:hint="eastAsia" w:asciiTheme="minorEastAsia" w:hAnsiTheme="minorEastAsia" w:eastAsiaTheme="minorEastAsia" w:cstheme="minorEastAsia"/>
                <w:kern w:val="0"/>
                <w:sz w:val="21"/>
                <w:szCs w:val="21"/>
                <w:highlight w:val="none"/>
                <w:lang w:val="en-US" w:eastAsia="zh-CN" w:bidi="ar-SA"/>
              </w:rPr>
              <w:t>拟安排的市级“3+N”法律服务项目负责人情况</w:t>
            </w:r>
          </w:p>
          <w:p w14:paraId="69907024">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b/>
                <w:bCs/>
                <w:kern w:val="0"/>
                <w:sz w:val="21"/>
                <w:szCs w:val="21"/>
                <w:highlight w:val="none"/>
                <w:lang w:val="en-US" w:eastAsia="zh-CN"/>
              </w:rPr>
            </w:pPr>
            <w:r>
              <w:rPr>
                <w:rFonts w:hint="eastAsia" w:asciiTheme="minorEastAsia" w:hAnsiTheme="minorEastAsia" w:eastAsiaTheme="minorEastAsia" w:cstheme="minorEastAsia"/>
                <w:b/>
                <w:bCs/>
                <w:kern w:val="0"/>
                <w:sz w:val="21"/>
                <w:szCs w:val="21"/>
                <w:highlight w:val="none"/>
                <w:lang w:val="en-US" w:eastAsia="zh-CN"/>
              </w:rPr>
              <w:t>二、评审标准：</w:t>
            </w:r>
          </w:p>
          <w:p w14:paraId="5528DAC8">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b/>
                <w:bCs/>
                <w:kern w:val="0"/>
                <w:sz w:val="21"/>
                <w:szCs w:val="21"/>
                <w:highlight w:val="none"/>
              </w:rPr>
            </w:pPr>
            <w:r>
              <w:rPr>
                <w:rFonts w:hint="eastAsia" w:asciiTheme="minorEastAsia" w:hAnsiTheme="minorEastAsia" w:eastAsiaTheme="minorEastAsia" w:cstheme="minorEastAsia"/>
                <w:b/>
                <w:bCs/>
                <w:kern w:val="0"/>
                <w:sz w:val="21"/>
                <w:szCs w:val="21"/>
                <w:highlight w:val="none"/>
              </w:rPr>
              <w:t>1、项目负责人</w:t>
            </w:r>
            <w:r>
              <w:rPr>
                <w:rFonts w:hint="eastAsia" w:asciiTheme="minorEastAsia" w:hAnsiTheme="minorEastAsia" w:eastAsiaTheme="minorEastAsia" w:cstheme="minorEastAsia"/>
                <w:b/>
                <w:bCs/>
                <w:kern w:val="0"/>
                <w:sz w:val="21"/>
                <w:szCs w:val="21"/>
                <w:highlight w:val="none"/>
                <w:lang w:eastAsia="zh-CN"/>
              </w:rPr>
              <w:t>执业年限</w:t>
            </w:r>
            <w:r>
              <w:rPr>
                <w:rFonts w:hint="eastAsia" w:asciiTheme="minorEastAsia" w:hAnsiTheme="minorEastAsia" w:eastAsiaTheme="minorEastAsia" w:cstheme="minorEastAsia"/>
                <w:b/>
                <w:bCs/>
                <w:kern w:val="0"/>
                <w:sz w:val="21"/>
                <w:szCs w:val="21"/>
                <w:highlight w:val="none"/>
              </w:rPr>
              <w:t>：</w:t>
            </w:r>
          </w:p>
          <w:p w14:paraId="6E9815DF">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A、</w:t>
            </w:r>
            <w:r>
              <w:rPr>
                <w:rFonts w:hint="eastAsia" w:asciiTheme="minorEastAsia" w:hAnsiTheme="minorEastAsia" w:eastAsiaTheme="minorEastAsia" w:cstheme="minorEastAsia"/>
                <w:kern w:val="0"/>
                <w:sz w:val="21"/>
                <w:szCs w:val="21"/>
                <w:highlight w:val="none"/>
                <w:lang w:val="en-US" w:eastAsia="zh-CN"/>
              </w:rPr>
              <w:t>执业</w:t>
            </w:r>
            <w:r>
              <w:rPr>
                <w:rFonts w:hint="eastAsia" w:asciiTheme="minorEastAsia" w:hAnsiTheme="minorEastAsia" w:eastAsiaTheme="minorEastAsia" w:cstheme="minorEastAsia"/>
                <w:kern w:val="0"/>
                <w:sz w:val="21"/>
                <w:szCs w:val="21"/>
                <w:highlight w:val="none"/>
              </w:rPr>
              <w:t>15年及以上得</w:t>
            </w:r>
            <w:r>
              <w:rPr>
                <w:rFonts w:hint="eastAsia" w:asciiTheme="minorEastAsia" w:hAnsiTheme="minorEastAsia" w:eastAsiaTheme="minorEastAsia" w:cstheme="minorEastAsia"/>
                <w:kern w:val="0"/>
                <w:sz w:val="21"/>
                <w:szCs w:val="21"/>
                <w:highlight w:val="none"/>
                <w:lang w:val="en-US" w:eastAsia="zh-CN"/>
              </w:rPr>
              <w:t>20</w:t>
            </w:r>
            <w:r>
              <w:rPr>
                <w:rFonts w:hint="eastAsia" w:asciiTheme="minorEastAsia" w:hAnsiTheme="minorEastAsia" w:eastAsiaTheme="minorEastAsia" w:cstheme="minorEastAsia"/>
                <w:kern w:val="0"/>
                <w:sz w:val="21"/>
                <w:szCs w:val="21"/>
                <w:highlight w:val="none"/>
              </w:rPr>
              <w:t>分；</w:t>
            </w:r>
          </w:p>
          <w:p w14:paraId="30ECE434">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B、</w:t>
            </w:r>
            <w:r>
              <w:rPr>
                <w:rFonts w:hint="eastAsia" w:asciiTheme="minorEastAsia" w:hAnsiTheme="minorEastAsia" w:eastAsiaTheme="minorEastAsia" w:cstheme="minorEastAsia"/>
                <w:kern w:val="0"/>
                <w:sz w:val="21"/>
                <w:szCs w:val="21"/>
                <w:highlight w:val="none"/>
                <w:lang w:eastAsia="zh-CN"/>
              </w:rPr>
              <w:t>执业</w:t>
            </w:r>
            <w:r>
              <w:rPr>
                <w:rFonts w:hint="eastAsia" w:asciiTheme="minorEastAsia" w:hAnsiTheme="minorEastAsia" w:eastAsiaTheme="minorEastAsia" w:cstheme="minorEastAsia"/>
                <w:kern w:val="0"/>
                <w:sz w:val="21"/>
                <w:szCs w:val="21"/>
                <w:highlight w:val="none"/>
              </w:rPr>
              <w:t>10-（含）至14年，得</w:t>
            </w:r>
            <w:r>
              <w:rPr>
                <w:rFonts w:hint="eastAsia" w:asciiTheme="minorEastAsia" w:hAnsiTheme="minorEastAsia" w:eastAsiaTheme="minorEastAsia" w:cstheme="minorEastAsia"/>
                <w:kern w:val="0"/>
                <w:sz w:val="21"/>
                <w:szCs w:val="21"/>
                <w:highlight w:val="none"/>
                <w:lang w:val="en-US" w:eastAsia="zh-CN"/>
              </w:rPr>
              <w:t>20</w:t>
            </w:r>
            <w:r>
              <w:rPr>
                <w:rFonts w:hint="eastAsia" w:asciiTheme="minorEastAsia" w:hAnsiTheme="minorEastAsia" w:eastAsiaTheme="minorEastAsia" w:cstheme="minorEastAsia"/>
                <w:kern w:val="0"/>
                <w:sz w:val="21"/>
                <w:szCs w:val="21"/>
                <w:highlight w:val="none"/>
              </w:rPr>
              <w:t>分；</w:t>
            </w:r>
          </w:p>
          <w:p w14:paraId="0C2EE9DE">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C、</w:t>
            </w:r>
            <w:r>
              <w:rPr>
                <w:rFonts w:hint="eastAsia" w:asciiTheme="minorEastAsia" w:hAnsiTheme="minorEastAsia" w:eastAsiaTheme="minorEastAsia" w:cstheme="minorEastAsia"/>
                <w:kern w:val="0"/>
                <w:sz w:val="21"/>
                <w:szCs w:val="21"/>
                <w:highlight w:val="none"/>
                <w:lang w:eastAsia="zh-CN"/>
              </w:rPr>
              <w:t>执业</w:t>
            </w:r>
            <w:r>
              <w:rPr>
                <w:rFonts w:hint="eastAsia" w:asciiTheme="minorEastAsia" w:hAnsiTheme="minorEastAsia" w:eastAsiaTheme="minorEastAsia" w:cstheme="minorEastAsia"/>
                <w:kern w:val="0"/>
                <w:sz w:val="21"/>
                <w:szCs w:val="21"/>
                <w:highlight w:val="none"/>
              </w:rPr>
              <w:t>5（含）至9年，得</w:t>
            </w:r>
            <w:r>
              <w:rPr>
                <w:rFonts w:hint="eastAsia" w:asciiTheme="minorEastAsia" w:hAnsiTheme="minorEastAsia" w:eastAsiaTheme="minorEastAsia" w:cstheme="minorEastAsia"/>
                <w:kern w:val="0"/>
                <w:sz w:val="21"/>
                <w:szCs w:val="21"/>
                <w:highlight w:val="none"/>
                <w:lang w:val="en-US" w:eastAsia="zh-CN"/>
              </w:rPr>
              <w:t>10</w:t>
            </w:r>
            <w:r>
              <w:rPr>
                <w:rFonts w:hint="eastAsia" w:asciiTheme="minorEastAsia" w:hAnsiTheme="minorEastAsia" w:eastAsiaTheme="minorEastAsia" w:cstheme="minorEastAsia"/>
                <w:kern w:val="0"/>
                <w:sz w:val="21"/>
                <w:szCs w:val="21"/>
                <w:highlight w:val="none"/>
              </w:rPr>
              <w:t>分；</w:t>
            </w:r>
          </w:p>
          <w:p w14:paraId="6B74E49B">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D、</w:t>
            </w:r>
            <w:r>
              <w:rPr>
                <w:rFonts w:hint="eastAsia" w:asciiTheme="minorEastAsia" w:hAnsiTheme="minorEastAsia" w:eastAsiaTheme="minorEastAsia" w:cstheme="minorEastAsia"/>
                <w:kern w:val="0"/>
                <w:sz w:val="21"/>
                <w:szCs w:val="21"/>
                <w:highlight w:val="none"/>
                <w:lang w:eastAsia="zh-CN"/>
              </w:rPr>
              <w:t>执业</w:t>
            </w:r>
            <w:r>
              <w:rPr>
                <w:rFonts w:hint="eastAsia" w:asciiTheme="minorEastAsia" w:hAnsiTheme="minorEastAsia" w:eastAsiaTheme="minorEastAsia" w:cstheme="minorEastAsia"/>
                <w:kern w:val="0"/>
                <w:sz w:val="21"/>
                <w:szCs w:val="21"/>
                <w:highlight w:val="none"/>
              </w:rPr>
              <w:t>5年以下，不得分。</w:t>
            </w:r>
          </w:p>
          <w:p w14:paraId="0C39A687">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b/>
                <w:bCs/>
                <w:kern w:val="0"/>
                <w:sz w:val="21"/>
                <w:szCs w:val="21"/>
                <w:highlight w:val="none"/>
              </w:rPr>
            </w:pPr>
            <w:r>
              <w:rPr>
                <w:rFonts w:hint="eastAsia" w:asciiTheme="minorEastAsia" w:hAnsiTheme="minorEastAsia" w:eastAsiaTheme="minorEastAsia" w:cstheme="minorEastAsia"/>
                <w:b/>
                <w:bCs/>
                <w:kern w:val="0"/>
                <w:sz w:val="21"/>
                <w:szCs w:val="21"/>
                <w:highlight w:val="none"/>
                <w:lang w:val="en-US" w:eastAsia="zh-CN"/>
              </w:rPr>
              <w:t>2</w:t>
            </w:r>
            <w:r>
              <w:rPr>
                <w:rFonts w:hint="eastAsia" w:asciiTheme="minorEastAsia" w:hAnsiTheme="minorEastAsia" w:eastAsiaTheme="minorEastAsia" w:cstheme="minorEastAsia"/>
                <w:b/>
                <w:bCs/>
                <w:kern w:val="0"/>
                <w:sz w:val="21"/>
                <w:szCs w:val="21"/>
                <w:highlight w:val="none"/>
              </w:rPr>
              <w:t>、项目负责人获得荣誉：</w:t>
            </w:r>
          </w:p>
          <w:p w14:paraId="7D7D23EF">
            <w:pPr>
              <w:keepNext w:val="0"/>
              <w:keepLines w:val="0"/>
              <w:numPr>
                <w:ilvl w:val="0"/>
                <w:numId w:val="1"/>
              </w:numPr>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获得国家司法部授予的全国优秀律师荣誉称号得</w:t>
            </w:r>
            <w:r>
              <w:rPr>
                <w:rFonts w:hint="eastAsia" w:asciiTheme="minorEastAsia" w:hAnsiTheme="minorEastAsia" w:eastAsiaTheme="minorEastAsia" w:cstheme="minorEastAsia"/>
                <w:kern w:val="0"/>
                <w:sz w:val="21"/>
                <w:szCs w:val="21"/>
                <w:highlight w:val="none"/>
                <w:lang w:val="en-US" w:eastAsia="zh-CN"/>
              </w:rPr>
              <w:t>30</w:t>
            </w:r>
            <w:r>
              <w:rPr>
                <w:rFonts w:hint="eastAsia" w:asciiTheme="minorEastAsia" w:hAnsiTheme="minorEastAsia" w:eastAsiaTheme="minorEastAsia" w:cstheme="minorEastAsia"/>
                <w:b/>
                <w:bCs/>
                <w:kern w:val="0"/>
                <w:sz w:val="21"/>
                <w:szCs w:val="21"/>
                <w:highlight w:val="none"/>
              </w:rPr>
              <w:t>分；</w:t>
            </w:r>
          </w:p>
          <w:p w14:paraId="07D45326">
            <w:pPr>
              <w:keepNext w:val="0"/>
              <w:keepLines w:val="0"/>
              <w:numPr>
                <w:ilvl w:val="0"/>
                <w:numId w:val="1"/>
              </w:numPr>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获得省级（含副省级）司法单位授予的全省优秀律师称号得</w:t>
            </w:r>
            <w:r>
              <w:rPr>
                <w:rFonts w:hint="eastAsia" w:asciiTheme="minorEastAsia" w:hAnsiTheme="minorEastAsia" w:eastAsiaTheme="minorEastAsia" w:cstheme="minorEastAsia"/>
                <w:kern w:val="0"/>
                <w:sz w:val="21"/>
                <w:szCs w:val="21"/>
                <w:highlight w:val="none"/>
                <w:lang w:val="en-US" w:eastAsia="zh-CN"/>
              </w:rPr>
              <w:t>15</w:t>
            </w:r>
            <w:r>
              <w:rPr>
                <w:rFonts w:hint="eastAsia" w:asciiTheme="minorEastAsia" w:hAnsiTheme="minorEastAsia" w:eastAsiaTheme="minorEastAsia" w:cstheme="minorEastAsia"/>
                <w:kern w:val="0"/>
                <w:sz w:val="21"/>
                <w:szCs w:val="21"/>
                <w:highlight w:val="none"/>
              </w:rPr>
              <w:t>分；</w:t>
            </w:r>
          </w:p>
          <w:p w14:paraId="67715E7C">
            <w:pPr>
              <w:keepNext w:val="0"/>
              <w:keepLines w:val="0"/>
              <w:numPr>
                <w:ilvl w:val="0"/>
                <w:numId w:val="1"/>
              </w:numPr>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获得市级司法单位授予的全市优秀律师称号得</w:t>
            </w:r>
            <w:r>
              <w:rPr>
                <w:rFonts w:hint="eastAsia" w:asciiTheme="minorEastAsia" w:hAnsiTheme="minorEastAsia" w:eastAsiaTheme="minorEastAsia" w:cstheme="minorEastAsia"/>
                <w:kern w:val="0"/>
                <w:sz w:val="21"/>
                <w:szCs w:val="21"/>
                <w:highlight w:val="none"/>
                <w:lang w:val="en-US" w:eastAsia="zh-CN"/>
              </w:rPr>
              <w:t>10</w:t>
            </w:r>
            <w:r>
              <w:rPr>
                <w:rFonts w:hint="eastAsia" w:asciiTheme="minorEastAsia" w:hAnsiTheme="minorEastAsia" w:eastAsiaTheme="minorEastAsia" w:cstheme="minorEastAsia"/>
                <w:kern w:val="0"/>
                <w:sz w:val="21"/>
                <w:szCs w:val="21"/>
                <w:highlight w:val="none"/>
              </w:rPr>
              <w:t>分；</w:t>
            </w:r>
          </w:p>
          <w:p w14:paraId="605303EE">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注：本项合计不超过</w:t>
            </w:r>
            <w:r>
              <w:rPr>
                <w:rFonts w:hint="eastAsia" w:asciiTheme="minorEastAsia" w:hAnsiTheme="minorEastAsia" w:eastAsiaTheme="minorEastAsia" w:cstheme="minorEastAsia"/>
                <w:kern w:val="0"/>
                <w:sz w:val="21"/>
                <w:szCs w:val="21"/>
                <w:highlight w:val="none"/>
                <w:lang w:val="en-US" w:eastAsia="zh-CN"/>
              </w:rPr>
              <w:t>30</w:t>
            </w:r>
            <w:r>
              <w:rPr>
                <w:rFonts w:hint="eastAsia" w:asciiTheme="minorEastAsia" w:hAnsiTheme="minorEastAsia" w:eastAsiaTheme="minorEastAsia" w:cstheme="minorEastAsia"/>
                <w:kern w:val="0"/>
                <w:sz w:val="21"/>
                <w:szCs w:val="21"/>
                <w:highlight w:val="none"/>
              </w:rPr>
              <w:t>分，需要提供相关证明文件复印件，无提供证明材料不得分。</w:t>
            </w:r>
          </w:p>
          <w:p w14:paraId="2150991E">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b/>
                <w:bCs/>
                <w:kern w:val="0"/>
                <w:sz w:val="21"/>
                <w:szCs w:val="21"/>
                <w:highlight w:val="none"/>
              </w:rPr>
            </w:pPr>
            <w:r>
              <w:rPr>
                <w:rFonts w:hint="eastAsia" w:asciiTheme="minorEastAsia" w:hAnsiTheme="minorEastAsia" w:eastAsiaTheme="minorEastAsia" w:cstheme="minorEastAsia"/>
                <w:b/>
                <w:bCs/>
                <w:kern w:val="0"/>
                <w:sz w:val="21"/>
                <w:szCs w:val="21"/>
                <w:highlight w:val="none"/>
                <w:lang w:val="en-US" w:eastAsia="zh-CN"/>
              </w:rPr>
              <w:t>3</w:t>
            </w:r>
            <w:r>
              <w:rPr>
                <w:rFonts w:hint="eastAsia" w:asciiTheme="minorEastAsia" w:hAnsiTheme="minorEastAsia" w:eastAsiaTheme="minorEastAsia" w:cstheme="minorEastAsia"/>
                <w:b/>
                <w:bCs/>
                <w:kern w:val="0"/>
                <w:sz w:val="21"/>
                <w:szCs w:val="21"/>
                <w:highlight w:val="none"/>
              </w:rPr>
              <w:t>、项目负责人</w:t>
            </w:r>
            <w:r>
              <w:rPr>
                <w:rFonts w:hint="eastAsia" w:asciiTheme="minorEastAsia" w:hAnsiTheme="minorEastAsia" w:eastAsiaTheme="minorEastAsia" w:cstheme="minorEastAsia"/>
                <w:b/>
                <w:bCs/>
                <w:color w:val="0000FF"/>
                <w:kern w:val="0"/>
                <w:sz w:val="21"/>
                <w:szCs w:val="21"/>
                <w:highlight w:val="none"/>
                <w:lang w:val="en-US" w:eastAsia="zh-CN"/>
              </w:rPr>
              <w:t>2022</w:t>
            </w:r>
            <w:r>
              <w:rPr>
                <w:rFonts w:hint="eastAsia" w:asciiTheme="minorEastAsia" w:hAnsiTheme="minorEastAsia" w:eastAsiaTheme="minorEastAsia" w:cstheme="minorEastAsia"/>
                <w:b/>
                <w:bCs/>
                <w:color w:val="0000FF"/>
                <w:kern w:val="0"/>
                <w:sz w:val="21"/>
                <w:szCs w:val="21"/>
                <w:highlight w:val="none"/>
              </w:rPr>
              <w:t>年3月1日</w:t>
            </w:r>
            <w:r>
              <w:rPr>
                <w:rFonts w:hint="eastAsia" w:asciiTheme="minorEastAsia" w:hAnsiTheme="minorEastAsia" w:eastAsiaTheme="minorEastAsia" w:cstheme="minorEastAsia"/>
                <w:b/>
                <w:bCs/>
                <w:color w:val="0000FF"/>
                <w:kern w:val="0"/>
                <w:sz w:val="21"/>
                <w:szCs w:val="21"/>
                <w:highlight w:val="none"/>
                <w:lang w:val="en-US" w:eastAsia="zh-CN"/>
              </w:rPr>
              <w:t>至本项目投标截止日，</w:t>
            </w:r>
            <w:r>
              <w:rPr>
                <w:rFonts w:hint="eastAsia" w:ascii="宋体" w:hAnsi="宋体"/>
                <w:b/>
                <w:bCs/>
                <w:kern w:val="0"/>
                <w:szCs w:val="21"/>
                <w:highlight w:val="none"/>
                <w:lang w:eastAsia="zh-CN"/>
              </w:rPr>
              <w:t>为副省级城市党政机关、事业单位提供法律服务</w:t>
            </w:r>
            <w:r>
              <w:rPr>
                <w:rFonts w:hint="eastAsia" w:asciiTheme="minorEastAsia" w:hAnsiTheme="minorEastAsia" w:eastAsiaTheme="minorEastAsia" w:cstheme="minorEastAsia"/>
                <w:b/>
                <w:bCs/>
                <w:kern w:val="0"/>
                <w:sz w:val="21"/>
                <w:szCs w:val="21"/>
                <w:highlight w:val="none"/>
              </w:rPr>
              <w:t>：</w:t>
            </w:r>
          </w:p>
          <w:p w14:paraId="216C5F81">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A、</w:t>
            </w:r>
            <w:r>
              <w:rPr>
                <w:rFonts w:hint="eastAsia" w:asciiTheme="minorEastAsia" w:hAnsiTheme="minorEastAsia" w:eastAsiaTheme="minorEastAsia" w:cstheme="minorEastAsia"/>
                <w:kern w:val="0"/>
                <w:sz w:val="21"/>
                <w:szCs w:val="21"/>
                <w:highlight w:val="none"/>
                <w:lang w:val="en-US" w:eastAsia="zh-CN"/>
              </w:rPr>
              <w:t>8</w:t>
            </w:r>
            <w:r>
              <w:rPr>
                <w:rFonts w:hint="eastAsia" w:asciiTheme="minorEastAsia" w:hAnsiTheme="minorEastAsia" w:eastAsiaTheme="minorEastAsia" w:cstheme="minorEastAsia"/>
                <w:kern w:val="0"/>
                <w:sz w:val="21"/>
                <w:szCs w:val="21"/>
                <w:highlight w:val="none"/>
              </w:rPr>
              <w:t>家及以上</w:t>
            </w:r>
            <w:r>
              <w:rPr>
                <w:rFonts w:hint="eastAsia" w:asciiTheme="minorEastAsia" w:hAnsiTheme="minorEastAsia" w:eastAsiaTheme="minorEastAsia" w:cstheme="minorEastAsia"/>
                <w:b w:val="0"/>
                <w:bCs w:val="0"/>
                <w:kern w:val="0"/>
                <w:sz w:val="21"/>
                <w:szCs w:val="21"/>
                <w:highlight w:val="none"/>
              </w:rPr>
              <w:t>得</w:t>
            </w:r>
            <w:r>
              <w:rPr>
                <w:rFonts w:hint="eastAsia" w:asciiTheme="minorEastAsia" w:hAnsiTheme="minorEastAsia" w:eastAsiaTheme="minorEastAsia" w:cstheme="minorEastAsia"/>
                <w:b w:val="0"/>
                <w:bCs w:val="0"/>
                <w:kern w:val="0"/>
                <w:sz w:val="21"/>
                <w:szCs w:val="21"/>
                <w:highlight w:val="none"/>
                <w:lang w:val="en-US" w:eastAsia="zh-CN"/>
              </w:rPr>
              <w:t>30</w:t>
            </w:r>
            <w:r>
              <w:rPr>
                <w:rFonts w:hint="eastAsia" w:asciiTheme="minorEastAsia" w:hAnsiTheme="minorEastAsia" w:eastAsiaTheme="minorEastAsia" w:cstheme="minorEastAsia"/>
                <w:b w:val="0"/>
                <w:bCs w:val="0"/>
                <w:kern w:val="0"/>
                <w:sz w:val="21"/>
                <w:szCs w:val="21"/>
                <w:highlight w:val="none"/>
              </w:rPr>
              <w:t>分</w:t>
            </w:r>
            <w:r>
              <w:rPr>
                <w:rFonts w:hint="eastAsia" w:asciiTheme="minorEastAsia" w:hAnsiTheme="minorEastAsia" w:eastAsiaTheme="minorEastAsia" w:cstheme="minorEastAsia"/>
                <w:kern w:val="0"/>
                <w:sz w:val="21"/>
                <w:szCs w:val="21"/>
                <w:highlight w:val="none"/>
              </w:rPr>
              <w:t>；</w:t>
            </w:r>
          </w:p>
          <w:p w14:paraId="01641829">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B、</w:t>
            </w:r>
            <w:r>
              <w:rPr>
                <w:rFonts w:hint="eastAsia" w:asciiTheme="minorEastAsia" w:hAnsiTheme="minorEastAsia" w:eastAsiaTheme="minorEastAsia" w:cstheme="minorEastAsia"/>
                <w:kern w:val="0"/>
                <w:sz w:val="21"/>
                <w:szCs w:val="21"/>
                <w:highlight w:val="none"/>
                <w:lang w:val="en-US" w:eastAsia="zh-CN"/>
              </w:rPr>
              <w:t>5</w:t>
            </w:r>
            <w:r>
              <w:rPr>
                <w:rFonts w:hint="eastAsia" w:asciiTheme="minorEastAsia" w:hAnsiTheme="minorEastAsia" w:eastAsiaTheme="minorEastAsia" w:cstheme="minorEastAsia"/>
                <w:kern w:val="0"/>
                <w:sz w:val="21"/>
                <w:szCs w:val="21"/>
                <w:highlight w:val="none"/>
              </w:rPr>
              <w:t>至</w:t>
            </w:r>
            <w:r>
              <w:rPr>
                <w:rFonts w:hint="eastAsia" w:asciiTheme="minorEastAsia" w:hAnsiTheme="minorEastAsia" w:eastAsiaTheme="minorEastAsia" w:cstheme="minorEastAsia"/>
                <w:kern w:val="0"/>
                <w:sz w:val="21"/>
                <w:szCs w:val="21"/>
                <w:highlight w:val="none"/>
                <w:lang w:val="en-US" w:eastAsia="zh-CN"/>
              </w:rPr>
              <w:t>7</w:t>
            </w:r>
            <w:r>
              <w:rPr>
                <w:rFonts w:hint="eastAsia" w:asciiTheme="minorEastAsia" w:hAnsiTheme="minorEastAsia" w:eastAsiaTheme="minorEastAsia" w:cstheme="minorEastAsia"/>
                <w:kern w:val="0"/>
                <w:sz w:val="21"/>
                <w:szCs w:val="21"/>
                <w:highlight w:val="none"/>
              </w:rPr>
              <w:t>家，得</w:t>
            </w:r>
            <w:r>
              <w:rPr>
                <w:rFonts w:hint="eastAsia" w:asciiTheme="minorEastAsia" w:hAnsiTheme="minorEastAsia" w:eastAsiaTheme="minorEastAsia" w:cstheme="minorEastAsia"/>
                <w:kern w:val="0"/>
                <w:sz w:val="21"/>
                <w:szCs w:val="21"/>
                <w:highlight w:val="none"/>
                <w:lang w:val="en-US" w:eastAsia="zh-CN"/>
              </w:rPr>
              <w:t>20</w:t>
            </w:r>
            <w:r>
              <w:rPr>
                <w:rFonts w:hint="eastAsia" w:asciiTheme="minorEastAsia" w:hAnsiTheme="minorEastAsia" w:eastAsiaTheme="minorEastAsia" w:cstheme="minorEastAsia"/>
                <w:kern w:val="0"/>
                <w:sz w:val="21"/>
                <w:szCs w:val="21"/>
                <w:highlight w:val="none"/>
              </w:rPr>
              <w:t>分；</w:t>
            </w:r>
          </w:p>
          <w:p w14:paraId="57A82598">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C、</w:t>
            </w:r>
            <w:r>
              <w:rPr>
                <w:rFonts w:hint="eastAsia" w:asciiTheme="minorEastAsia" w:hAnsiTheme="minorEastAsia" w:eastAsiaTheme="minorEastAsia" w:cstheme="minorEastAsia"/>
                <w:kern w:val="0"/>
                <w:sz w:val="21"/>
                <w:szCs w:val="21"/>
                <w:highlight w:val="none"/>
                <w:lang w:val="en-US" w:eastAsia="zh-CN"/>
              </w:rPr>
              <w:t>2</w:t>
            </w:r>
            <w:r>
              <w:rPr>
                <w:rFonts w:hint="eastAsia" w:asciiTheme="minorEastAsia" w:hAnsiTheme="minorEastAsia" w:eastAsiaTheme="minorEastAsia" w:cstheme="minorEastAsia"/>
                <w:kern w:val="0"/>
                <w:sz w:val="21"/>
                <w:szCs w:val="21"/>
                <w:highlight w:val="none"/>
              </w:rPr>
              <w:t>至</w:t>
            </w:r>
            <w:r>
              <w:rPr>
                <w:rFonts w:hint="eastAsia" w:asciiTheme="minorEastAsia" w:hAnsiTheme="minorEastAsia" w:eastAsiaTheme="minorEastAsia" w:cstheme="minorEastAsia"/>
                <w:kern w:val="0"/>
                <w:sz w:val="21"/>
                <w:szCs w:val="21"/>
                <w:highlight w:val="none"/>
                <w:lang w:val="en-US" w:eastAsia="zh-CN"/>
              </w:rPr>
              <w:t>4</w:t>
            </w:r>
            <w:r>
              <w:rPr>
                <w:rFonts w:hint="eastAsia" w:asciiTheme="minorEastAsia" w:hAnsiTheme="minorEastAsia" w:eastAsiaTheme="minorEastAsia" w:cstheme="minorEastAsia"/>
                <w:kern w:val="0"/>
                <w:sz w:val="21"/>
                <w:szCs w:val="21"/>
                <w:highlight w:val="none"/>
              </w:rPr>
              <w:t>家，得1</w:t>
            </w:r>
            <w:r>
              <w:rPr>
                <w:rFonts w:hint="eastAsia" w:asciiTheme="minorEastAsia" w:hAnsiTheme="minorEastAsia" w:eastAsiaTheme="minorEastAsia" w:cstheme="minorEastAsia"/>
                <w:kern w:val="0"/>
                <w:sz w:val="21"/>
                <w:szCs w:val="21"/>
                <w:highlight w:val="none"/>
                <w:lang w:val="en-US" w:eastAsia="zh-CN"/>
              </w:rPr>
              <w:t>0</w:t>
            </w:r>
            <w:r>
              <w:rPr>
                <w:rFonts w:hint="eastAsia" w:asciiTheme="minorEastAsia" w:hAnsiTheme="minorEastAsia" w:eastAsiaTheme="minorEastAsia" w:cstheme="minorEastAsia"/>
                <w:kern w:val="0"/>
                <w:sz w:val="21"/>
                <w:szCs w:val="21"/>
                <w:highlight w:val="none"/>
              </w:rPr>
              <w:t>分；</w:t>
            </w:r>
          </w:p>
          <w:p w14:paraId="39172DCD">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D、2家以下，不得分。</w:t>
            </w:r>
          </w:p>
          <w:p w14:paraId="6D7A2C47">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注：本项需要提供合同关键页复印件（关键页包括合同名称、内容页、签字盖章页），以及项目负责人参与等证明资料，无提供证明材料不得分。</w:t>
            </w:r>
          </w:p>
          <w:p w14:paraId="0F709269">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b/>
                <w:bCs/>
                <w:kern w:val="0"/>
                <w:sz w:val="21"/>
                <w:szCs w:val="21"/>
                <w:highlight w:val="none"/>
              </w:rPr>
            </w:pPr>
            <w:r>
              <w:rPr>
                <w:rFonts w:hint="eastAsia" w:asciiTheme="minorEastAsia" w:hAnsiTheme="minorEastAsia" w:eastAsiaTheme="minorEastAsia" w:cstheme="minorEastAsia"/>
                <w:b/>
                <w:bCs/>
                <w:kern w:val="0"/>
                <w:sz w:val="21"/>
                <w:szCs w:val="21"/>
                <w:highlight w:val="none"/>
                <w:lang w:val="en-US" w:eastAsia="zh-CN"/>
              </w:rPr>
              <w:t>4</w:t>
            </w:r>
            <w:r>
              <w:rPr>
                <w:rFonts w:hint="eastAsia" w:asciiTheme="minorEastAsia" w:hAnsiTheme="minorEastAsia" w:eastAsiaTheme="minorEastAsia" w:cstheme="minorEastAsia"/>
                <w:b/>
                <w:bCs/>
                <w:kern w:val="0"/>
                <w:sz w:val="21"/>
                <w:szCs w:val="21"/>
                <w:highlight w:val="none"/>
              </w:rPr>
              <w:t>、项目负责人具有工会法律服务工作经验：</w:t>
            </w:r>
          </w:p>
          <w:p w14:paraId="070049CB">
            <w:pPr>
              <w:pStyle w:val="9"/>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A、服务8年以上，</w:t>
            </w:r>
            <w:r>
              <w:rPr>
                <w:rFonts w:hint="eastAsia" w:asciiTheme="minorEastAsia" w:hAnsiTheme="minorEastAsia" w:eastAsiaTheme="minorEastAsia" w:cstheme="minorEastAsia"/>
                <w:b/>
                <w:bCs/>
                <w:sz w:val="21"/>
                <w:szCs w:val="21"/>
                <w:highlight w:val="none"/>
                <w:lang w:val="en-US" w:eastAsia="zh-CN"/>
              </w:rPr>
              <w:t>得20分；</w:t>
            </w:r>
          </w:p>
          <w:p w14:paraId="15055B2D">
            <w:pPr>
              <w:pStyle w:val="9"/>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B、服务3-7年，得10分；</w:t>
            </w:r>
          </w:p>
          <w:p w14:paraId="3898F848">
            <w:pPr>
              <w:pStyle w:val="9"/>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C、服务2年及以下，不得分。</w:t>
            </w:r>
          </w:p>
          <w:p w14:paraId="70F5C0AB">
            <w:pPr>
              <w:pStyle w:val="9"/>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注：本项需要提供项目负责人参与工会法律服务工作的合同关键页复印件（关键页包括合同名称、内容页、签字盖章页），办理工会法律服务工作的委托书等证明资料，若合同关键页未出现项目负责人名字，如提供的是培训服务，需同时提供供应商承诺函，承诺人员与该工会法律服务中的工作，加盖投标人公章，无提供证明材料不得分。</w:t>
            </w:r>
          </w:p>
          <w:p w14:paraId="4A1D999A">
            <w:pPr>
              <w:keepNext w:val="0"/>
              <w:keepLines w:val="0"/>
              <w:suppressLineNumbers w:val="0"/>
              <w:spacing w:before="0" w:beforeAutospacing="0" w:after="160" w:afterAutospacing="0" w:line="240" w:lineRule="exact"/>
              <w:ind w:left="0" w:right="0"/>
              <w:jc w:val="left"/>
              <w:rPr>
                <w:rFonts w:hint="eastAsia" w:ascii="宋体" w:hAnsi="宋体"/>
                <w:b/>
                <w:bCs/>
                <w:kern w:val="0"/>
                <w:szCs w:val="21"/>
                <w:highlight w:val="none"/>
              </w:rPr>
            </w:pPr>
            <w:r>
              <w:rPr>
                <w:rFonts w:hint="eastAsia" w:ascii="宋体" w:hAnsi="宋体"/>
                <w:b/>
                <w:bCs/>
                <w:kern w:val="0"/>
                <w:szCs w:val="21"/>
                <w:highlight w:val="none"/>
                <w:lang w:val="en-US" w:eastAsia="zh-CN"/>
              </w:rPr>
              <w:t>三、</w:t>
            </w:r>
            <w:r>
              <w:rPr>
                <w:rFonts w:hint="eastAsia" w:ascii="宋体" w:hAnsi="宋体"/>
                <w:b/>
                <w:bCs/>
                <w:kern w:val="0"/>
                <w:szCs w:val="21"/>
                <w:highlight w:val="none"/>
              </w:rPr>
              <w:t xml:space="preserve">评分依据： </w:t>
            </w:r>
          </w:p>
          <w:p w14:paraId="65516F44">
            <w:pPr>
              <w:keepNext w:val="0"/>
              <w:keepLines w:val="0"/>
              <w:suppressLineNumbers w:val="0"/>
              <w:spacing w:before="0" w:beforeAutospacing="0" w:after="160" w:afterAutospacing="0" w:line="240" w:lineRule="exact"/>
              <w:ind w:left="0" w:right="0"/>
              <w:jc w:val="left"/>
              <w:rPr>
                <w:rFonts w:hint="eastAsia" w:ascii="宋体" w:hAnsi="宋体"/>
                <w:kern w:val="0"/>
                <w:szCs w:val="21"/>
                <w:highlight w:val="none"/>
              </w:rPr>
            </w:pPr>
            <w:r>
              <w:rPr>
                <w:rFonts w:hint="eastAsia" w:ascii="宋体" w:hAnsi="宋体"/>
                <w:kern w:val="0"/>
                <w:szCs w:val="21"/>
                <w:highlight w:val="none"/>
              </w:rPr>
              <w:t>1.通过投标人缴纳的近三个月（含开标当月）的任意一个月的社保证明作为本单位员工的证明依据，如供应商成立不足一个月或员工入职不足一个月的，提供情况说明函（格式自拟），无需提供相关人员社保，亦可得分。</w:t>
            </w:r>
          </w:p>
          <w:p w14:paraId="0C1E2032">
            <w:pPr>
              <w:keepNext w:val="0"/>
              <w:keepLines w:val="0"/>
              <w:suppressLineNumbers w:val="0"/>
              <w:spacing w:before="0" w:beforeAutospacing="0" w:after="160" w:afterAutospacing="0" w:line="240" w:lineRule="exact"/>
              <w:ind w:left="0" w:right="0"/>
              <w:jc w:val="left"/>
              <w:rPr>
                <w:rFonts w:hint="eastAsia" w:ascii="宋体" w:hAnsi="宋体"/>
                <w:kern w:val="0"/>
                <w:szCs w:val="21"/>
                <w:highlight w:val="none"/>
              </w:rPr>
            </w:pPr>
            <w:r>
              <w:rPr>
                <w:rFonts w:hint="eastAsia" w:ascii="宋体" w:hAnsi="宋体"/>
                <w:kern w:val="0"/>
                <w:szCs w:val="21"/>
                <w:highlight w:val="none"/>
              </w:rPr>
              <w:t>2.要求提供投标人相关证明资料作为得分依据。</w:t>
            </w:r>
          </w:p>
          <w:p w14:paraId="2A78ED8B">
            <w:pPr>
              <w:keepNext w:val="0"/>
              <w:keepLines w:val="0"/>
              <w:suppressLineNumbers w:val="0"/>
              <w:spacing w:before="0" w:beforeAutospacing="0" w:after="160" w:afterAutospacing="0" w:line="240" w:lineRule="exact"/>
              <w:ind w:left="0" w:right="0"/>
              <w:jc w:val="left"/>
              <w:rPr>
                <w:rFonts w:hint="eastAsia" w:ascii="宋体" w:hAnsi="宋体"/>
                <w:kern w:val="0"/>
                <w:szCs w:val="21"/>
                <w:highlight w:val="none"/>
              </w:rPr>
            </w:pPr>
            <w:r>
              <w:rPr>
                <w:rFonts w:hint="eastAsia" w:ascii="宋体" w:hAnsi="宋体"/>
                <w:kern w:val="0"/>
                <w:szCs w:val="21"/>
                <w:highlight w:val="none"/>
              </w:rPr>
              <w:t>3.以上资料均要求提供扫描件。评分中出现无证明资料或专家无法凭所提供资料判断是否得分的情况，一律作不得分处理。</w:t>
            </w:r>
          </w:p>
          <w:p w14:paraId="4CDCB830">
            <w:pPr>
              <w:keepNext w:val="0"/>
              <w:keepLines w:val="0"/>
              <w:suppressLineNumbers w:val="0"/>
              <w:spacing w:before="0" w:beforeAutospacing="0" w:after="160" w:afterAutospacing="0" w:line="240" w:lineRule="exact"/>
              <w:ind w:left="0" w:right="0"/>
              <w:jc w:val="left"/>
              <w:rPr>
                <w:rFonts w:hint="default"/>
                <w:highlight w:val="none"/>
              </w:rPr>
            </w:pPr>
            <w:r>
              <w:rPr>
                <w:rFonts w:hint="eastAsia" w:ascii="宋体" w:hAnsi="宋体"/>
                <w:kern w:val="0"/>
                <w:szCs w:val="21"/>
                <w:highlight w:val="none"/>
              </w:rPr>
              <w:t>4.如涉及考察人员工作经验，要求提供项目合同关键信息作为得分依据，通过合同关键信息无法判断是否得分的，还须同时提供投标人承诺。</w:t>
            </w:r>
          </w:p>
          <w:p w14:paraId="4A6B12B9">
            <w:pPr>
              <w:pStyle w:val="9"/>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sz w:val="21"/>
                <w:szCs w:val="21"/>
                <w:highlight w:val="none"/>
              </w:rPr>
            </w:pPr>
            <w:r>
              <w:rPr>
                <w:rFonts w:hint="eastAsia" w:ascii="宋体" w:hAnsi="宋体" w:eastAsia="宋体" w:cs="Times New Roman"/>
                <w:kern w:val="0"/>
                <w:sz w:val="21"/>
                <w:szCs w:val="21"/>
                <w:highlight w:val="none"/>
                <w:lang w:val="en-US" w:eastAsia="zh-CN" w:bidi="ar-SA"/>
              </w:rPr>
              <w:t>5.副省级城市指的是：15个副省级城市（广州、武汉、哈尔滨、沈阳、成都、南京、西安、长春、济南、杭州、大连、青岛、深圳、厦门、宁波）。</w:t>
            </w:r>
          </w:p>
        </w:tc>
      </w:tr>
      <w:tr w14:paraId="7882A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rHeight w:val="3241" w:hRule="atLeast"/>
          <w:tblCellSpacing w:w="0" w:type="dxa"/>
          <w:jc w:val="center"/>
        </w:trPr>
        <w:tc>
          <w:tcPr>
            <w:tcW w:w="673" w:type="dxa"/>
            <w:gridSpan w:val="2"/>
            <w:vMerge w:val="continue"/>
            <w:vAlign w:val="center"/>
          </w:tcPr>
          <w:p w14:paraId="4C251701">
            <w:pPr>
              <w:keepNext w:val="0"/>
              <w:keepLines w:val="0"/>
              <w:suppressLineNumbers w:val="0"/>
              <w:spacing w:before="0" w:beforeAutospacing="0" w:after="0" w:afterAutospacing="0"/>
              <w:ind w:left="0" w:right="0"/>
              <w:rPr>
                <w:rFonts w:hint="default" w:cs="宋体" w:asciiTheme="minorEastAsia" w:hAnsiTheme="minorEastAsia" w:eastAsiaTheme="minorEastAsia"/>
                <w:b/>
                <w:bCs/>
                <w:color w:val="0000FF"/>
                <w:sz w:val="24"/>
                <w:highlight w:val="none"/>
              </w:rPr>
            </w:pPr>
          </w:p>
        </w:tc>
        <w:tc>
          <w:tcPr>
            <w:tcW w:w="672" w:type="dxa"/>
            <w:vAlign w:val="center"/>
          </w:tcPr>
          <w:p w14:paraId="5537547D">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rPr>
            </w:pPr>
            <w:r>
              <w:rPr>
                <w:rFonts w:hint="default" w:asciiTheme="minorEastAsia" w:hAnsiTheme="minorEastAsia" w:eastAsiaTheme="minorEastAsia"/>
                <w:szCs w:val="21"/>
                <w:highlight w:val="none"/>
              </w:rPr>
              <w:t>4</w:t>
            </w:r>
          </w:p>
        </w:tc>
        <w:tc>
          <w:tcPr>
            <w:tcW w:w="2331" w:type="dxa"/>
            <w:vAlign w:val="center"/>
          </w:tcPr>
          <w:p w14:paraId="39589155">
            <w:pPr>
              <w:keepNext w:val="0"/>
              <w:keepLines w:val="0"/>
              <w:pageBreakBefore w:val="0"/>
              <w:kinsoku/>
              <w:overflowPunct/>
              <w:topLinePunct w:val="0"/>
              <w:autoSpaceDE/>
              <w:autoSpaceDN/>
              <w:bidi w:val="0"/>
              <w:adjustRightInd/>
              <w:snapToGrid/>
              <w:spacing w:line="240" w:lineRule="auto"/>
              <w:jc w:val="center"/>
              <w:rPr>
                <w:rFonts w:hint="eastAsia" w:cs="宋体" w:asciiTheme="minorEastAsia" w:hAnsiTheme="minorEastAsia" w:eastAsiaTheme="minorEastAsia"/>
                <w:szCs w:val="21"/>
                <w:highlight w:val="none"/>
                <w:lang w:val="en-US" w:eastAsia="zh-CN"/>
              </w:rPr>
            </w:pPr>
            <w:r>
              <w:rPr>
                <w:rFonts w:hint="eastAsia" w:ascii="宋体" w:hAnsi="宋体" w:eastAsia="宋体" w:cs="宋体"/>
                <w:sz w:val="21"/>
                <w:szCs w:val="21"/>
                <w:highlight w:val="none"/>
              </w:rPr>
              <w:t>拟安排项目团队成员情况（项目负责人除外）</w:t>
            </w:r>
          </w:p>
        </w:tc>
        <w:tc>
          <w:tcPr>
            <w:tcW w:w="761" w:type="dxa"/>
            <w:vAlign w:val="center"/>
          </w:tcPr>
          <w:p w14:paraId="08D7E116">
            <w:pPr>
              <w:keepNext w:val="0"/>
              <w:keepLines w:val="0"/>
              <w:pageBreakBefore w:val="0"/>
              <w:kinsoku/>
              <w:overflowPunct/>
              <w:topLinePunct w:val="0"/>
              <w:autoSpaceDE/>
              <w:autoSpaceDN/>
              <w:bidi w:val="0"/>
              <w:adjustRightInd/>
              <w:snapToGrid/>
              <w:spacing w:line="240" w:lineRule="auto"/>
              <w:jc w:val="center"/>
              <w:rPr>
                <w:rFonts w:hint="default" w:cs="宋体" w:asciiTheme="minorEastAsia" w:hAnsiTheme="minorEastAsia" w:eastAsiaTheme="minorEastAsia"/>
                <w:szCs w:val="21"/>
                <w:highlight w:val="none"/>
                <w:lang w:val="en-US" w:eastAsia="zh-CN"/>
              </w:rPr>
            </w:pPr>
            <w:r>
              <w:rPr>
                <w:rFonts w:hint="eastAsia" w:ascii="宋体" w:hAnsi="宋体" w:cs="宋体"/>
                <w:sz w:val="21"/>
                <w:szCs w:val="21"/>
                <w:highlight w:val="none"/>
                <w:lang w:val="en-US" w:eastAsia="zh-CN"/>
              </w:rPr>
              <w:t>30</w:t>
            </w:r>
          </w:p>
        </w:tc>
        <w:tc>
          <w:tcPr>
            <w:tcW w:w="4725" w:type="dxa"/>
            <w:gridSpan w:val="2"/>
            <w:vAlign w:val="center"/>
          </w:tcPr>
          <w:p w14:paraId="3C975178">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b/>
                <w:bCs/>
                <w:color w:val="000000"/>
                <w:sz w:val="21"/>
                <w:szCs w:val="21"/>
                <w:highlight w:val="none"/>
              </w:rPr>
              <w:t>一、评审内容</w:t>
            </w:r>
          </w:p>
          <w:p w14:paraId="64D5D3D6">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Theme="minorEastAsia" w:hAnsiTheme="minorEastAsia" w:eastAsiaTheme="minorEastAsia" w:cstheme="minorEastAsia"/>
                <w:color w:val="000000"/>
                <w:sz w:val="21"/>
                <w:szCs w:val="21"/>
                <w:highlight w:val="none"/>
                <w:lang w:val="en-US" w:eastAsia="zh-CN"/>
              </w:rPr>
            </w:pPr>
            <w:r>
              <w:rPr>
                <w:rFonts w:hint="eastAsia" w:asciiTheme="minorEastAsia" w:hAnsiTheme="minorEastAsia" w:eastAsiaTheme="minorEastAsia" w:cstheme="minorEastAsia"/>
                <w:sz w:val="21"/>
                <w:szCs w:val="21"/>
                <w:highlight w:val="none"/>
              </w:rPr>
              <w:t>拟安排项目团队成员情况</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lang w:val="en-US" w:eastAsia="zh-CN"/>
              </w:rPr>
              <w:t>为市级“3+N”法律服务团队。</w:t>
            </w:r>
          </w:p>
          <w:p w14:paraId="31A68C27">
            <w:pPr>
              <w:keepNext w:val="0"/>
              <w:keepLines w:val="0"/>
              <w:pageBreakBefore w:val="0"/>
              <w:widowControl/>
              <w:numPr>
                <w:ilvl w:val="0"/>
                <w:numId w:val="2"/>
              </w:numPr>
              <w:suppressLineNumbers w:val="0"/>
              <w:kinsoku/>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Theme="minorEastAsia" w:hAnsiTheme="minorEastAsia" w:eastAsiaTheme="minorEastAsia" w:cstheme="minorEastAsia"/>
                <w:b/>
                <w:bCs/>
                <w:color w:val="000000"/>
                <w:sz w:val="21"/>
                <w:szCs w:val="21"/>
                <w:highlight w:val="none"/>
              </w:rPr>
            </w:pPr>
            <w:r>
              <w:rPr>
                <w:rFonts w:hint="eastAsia" w:asciiTheme="minorEastAsia" w:hAnsiTheme="minorEastAsia" w:eastAsiaTheme="minorEastAsia" w:cstheme="minorEastAsia"/>
                <w:b/>
                <w:bCs/>
                <w:color w:val="000000"/>
                <w:sz w:val="21"/>
                <w:szCs w:val="21"/>
                <w:highlight w:val="none"/>
              </w:rPr>
              <w:t>评审标准</w:t>
            </w:r>
          </w:p>
          <w:p w14:paraId="11D393F0">
            <w:pPr>
              <w:keepNext w:val="0"/>
              <w:keepLines w:val="0"/>
              <w:widowControl w:val="0"/>
              <w:numPr>
                <w:ilvl w:val="0"/>
                <w:numId w:val="0"/>
              </w:numPr>
              <w:suppressLineNumbers w:val="0"/>
              <w:spacing w:before="0" w:beforeAutospacing="0" w:after="120" w:afterAutospacing="0"/>
              <w:ind w:left="0" w:leftChars="0" w:right="0"/>
              <w:jc w:val="both"/>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拟安排的团队成员须为投标人的执业律师，人数不少于7人（含7人）且其中50%以上具有3年以上执业经验，否则本项不得分，在此基础上：</w:t>
            </w:r>
          </w:p>
          <w:p w14:paraId="52E411FF">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w:t>
            </w:r>
            <w:r>
              <w:rPr>
                <w:rFonts w:hint="eastAsia" w:asciiTheme="minorEastAsia" w:hAnsiTheme="minorEastAsia" w:eastAsiaTheme="minorEastAsia" w:cstheme="minorEastAsia"/>
                <w:kern w:val="0"/>
                <w:sz w:val="21"/>
                <w:szCs w:val="21"/>
                <w:highlight w:val="none"/>
                <w:lang w:eastAsia="zh-CN"/>
              </w:rPr>
              <w:t>.服务</w:t>
            </w:r>
            <w:r>
              <w:rPr>
                <w:rFonts w:hint="eastAsia" w:asciiTheme="minorEastAsia" w:hAnsiTheme="minorEastAsia" w:eastAsiaTheme="minorEastAsia" w:cstheme="minorEastAsia"/>
                <w:kern w:val="0"/>
                <w:sz w:val="21"/>
                <w:szCs w:val="21"/>
                <w:highlight w:val="none"/>
              </w:rPr>
              <w:t>团队成员具备</w:t>
            </w:r>
            <w:r>
              <w:rPr>
                <w:rFonts w:hint="eastAsia" w:asciiTheme="minorEastAsia" w:hAnsiTheme="minorEastAsia" w:eastAsiaTheme="minorEastAsia" w:cstheme="minorEastAsia"/>
                <w:kern w:val="0"/>
                <w:sz w:val="21"/>
                <w:szCs w:val="21"/>
                <w:highlight w:val="none"/>
                <w:lang w:eastAsia="zh-CN"/>
              </w:rPr>
              <w:t>三</w:t>
            </w:r>
            <w:r>
              <w:rPr>
                <w:rFonts w:hint="eastAsia" w:asciiTheme="minorEastAsia" w:hAnsiTheme="minorEastAsia" w:eastAsiaTheme="minorEastAsia" w:cstheme="minorEastAsia"/>
                <w:kern w:val="0"/>
                <w:sz w:val="21"/>
                <w:szCs w:val="21"/>
                <w:highlight w:val="none"/>
              </w:rPr>
              <w:t>年</w:t>
            </w:r>
            <w:r>
              <w:rPr>
                <w:rFonts w:hint="eastAsia" w:asciiTheme="minorEastAsia" w:hAnsiTheme="minorEastAsia" w:eastAsiaTheme="minorEastAsia" w:cstheme="minorEastAsia"/>
                <w:kern w:val="0"/>
                <w:sz w:val="21"/>
                <w:szCs w:val="21"/>
                <w:highlight w:val="none"/>
                <w:lang w:eastAsia="zh-CN"/>
              </w:rPr>
              <w:t>及</w:t>
            </w:r>
            <w:r>
              <w:rPr>
                <w:rFonts w:hint="eastAsia" w:asciiTheme="minorEastAsia" w:hAnsiTheme="minorEastAsia" w:eastAsiaTheme="minorEastAsia" w:cstheme="minorEastAsia"/>
                <w:kern w:val="0"/>
                <w:sz w:val="21"/>
                <w:szCs w:val="21"/>
                <w:highlight w:val="none"/>
              </w:rPr>
              <w:t>以上工会法律服务</w:t>
            </w:r>
            <w:r>
              <w:rPr>
                <w:rFonts w:hint="eastAsia" w:asciiTheme="minorEastAsia" w:hAnsiTheme="minorEastAsia" w:eastAsiaTheme="minorEastAsia" w:cstheme="minorEastAsia"/>
                <w:kern w:val="0"/>
                <w:sz w:val="21"/>
                <w:szCs w:val="21"/>
                <w:highlight w:val="none"/>
                <w:lang w:eastAsia="zh-CN"/>
              </w:rPr>
              <w:t>（含法律援助、工会法律顾问、专项工会法律服务）</w:t>
            </w:r>
            <w:r>
              <w:rPr>
                <w:rFonts w:hint="eastAsia" w:asciiTheme="minorEastAsia" w:hAnsiTheme="minorEastAsia" w:eastAsiaTheme="minorEastAsia" w:cstheme="minorEastAsia"/>
                <w:kern w:val="0"/>
                <w:sz w:val="21"/>
                <w:szCs w:val="21"/>
                <w:highlight w:val="none"/>
              </w:rPr>
              <w:t>工作经验的：</w:t>
            </w:r>
          </w:p>
          <w:p w14:paraId="68BD1D91">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A、</w:t>
            </w:r>
            <w:r>
              <w:rPr>
                <w:rFonts w:hint="eastAsia" w:asciiTheme="minorEastAsia" w:hAnsiTheme="minorEastAsia" w:eastAsiaTheme="minorEastAsia" w:cstheme="minorEastAsia"/>
                <w:kern w:val="0"/>
                <w:sz w:val="21"/>
                <w:szCs w:val="21"/>
                <w:highlight w:val="none"/>
                <w:lang w:val="en-US" w:eastAsia="zh-CN"/>
              </w:rPr>
              <w:t>7</w:t>
            </w:r>
            <w:r>
              <w:rPr>
                <w:rFonts w:hint="eastAsia" w:asciiTheme="minorEastAsia" w:hAnsiTheme="minorEastAsia" w:eastAsiaTheme="minorEastAsia" w:cstheme="minorEastAsia"/>
                <w:kern w:val="0"/>
                <w:sz w:val="21"/>
                <w:szCs w:val="21"/>
                <w:highlight w:val="none"/>
              </w:rPr>
              <w:t>人以上，</w:t>
            </w:r>
            <w:r>
              <w:rPr>
                <w:rFonts w:hint="eastAsia" w:asciiTheme="minorEastAsia" w:hAnsiTheme="minorEastAsia" w:eastAsiaTheme="minorEastAsia" w:cstheme="minorEastAsia"/>
                <w:b/>
                <w:bCs/>
                <w:kern w:val="0"/>
                <w:sz w:val="21"/>
                <w:szCs w:val="21"/>
                <w:highlight w:val="none"/>
              </w:rPr>
              <w:t>得</w:t>
            </w:r>
            <w:r>
              <w:rPr>
                <w:rFonts w:hint="eastAsia" w:asciiTheme="minorEastAsia" w:hAnsiTheme="minorEastAsia" w:eastAsiaTheme="minorEastAsia" w:cstheme="minorEastAsia"/>
                <w:b/>
                <w:bCs/>
                <w:kern w:val="0"/>
                <w:sz w:val="21"/>
                <w:szCs w:val="21"/>
                <w:highlight w:val="none"/>
                <w:lang w:val="en-US" w:eastAsia="zh-CN"/>
              </w:rPr>
              <w:t>30</w:t>
            </w:r>
            <w:r>
              <w:rPr>
                <w:rFonts w:hint="eastAsia" w:asciiTheme="minorEastAsia" w:hAnsiTheme="minorEastAsia" w:eastAsiaTheme="minorEastAsia" w:cstheme="minorEastAsia"/>
                <w:b/>
                <w:bCs/>
                <w:kern w:val="0"/>
                <w:sz w:val="21"/>
                <w:szCs w:val="21"/>
                <w:highlight w:val="none"/>
              </w:rPr>
              <w:t>分</w:t>
            </w:r>
            <w:r>
              <w:rPr>
                <w:rFonts w:hint="eastAsia" w:asciiTheme="minorEastAsia" w:hAnsiTheme="minorEastAsia" w:eastAsiaTheme="minorEastAsia" w:cstheme="minorEastAsia"/>
                <w:kern w:val="0"/>
                <w:sz w:val="21"/>
                <w:szCs w:val="21"/>
                <w:highlight w:val="none"/>
              </w:rPr>
              <w:t>；</w:t>
            </w:r>
          </w:p>
          <w:p w14:paraId="37D672EB">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B、5-</w:t>
            </w:r>
            <w:r>
              <w:rPr>
                <w:rFonts w:hint="eastAsia" w:asciiTheme="minorEastAsia" w:hAnsiTheme="minorEastAsia" w:eastAsiaTheme="minorEastAsia" w:cstheme="minorEastAsia"/>
                <w:kern w:val="0"/>
                <w:sz w:val="21"/>
                <w:szCs w:val="21"/>
                <w:highlight w:val="none"/>
                <w:lang w:val="en-US" w:eastAsia="zh-CN"/>
              </w:rPr>
              <w:t>6</w:t>
            </w:r>
            <w:r>
              <w:rPr>
                <w:rFonts w:hint="eastAsia" w:asciiTheme="minorEastAsia" w:hAnsiTheme="minorEastAsia" w:eastAsiaTheme="minorEastAsia" w:cstheme="minorEastAsia"/>
                <w:kern w:val="0"/>
                <w:sz w:val="21"/>
                <w:szCs w:val="21"/>
                <w:highlight w:val="none"/>
              </w:rPr>
              <w:t>人，得</w:t>
            </w:r>
            <w:r>
              <w:rPr>
                <w:rFonts w:hint="eastAsia" w:asciiTheme="minorEastAsia" w:hAnsiTheme="minorEastAsia" w:eastAsiaTheme="minorEastAsia" w:cstheme="minorEastAsia"/>
                <w:kern w:val="0"/>
                <w:sz w:val="21"/>
                <w:szCs w:val="21"/>
                <w:highlight w:val="none"/>
                <w:lang w:val="en-US" w:eastAsia="zh-CN"/>
              </w:rPr>
              <w:t>25</w:t>
            </w:r>
            <w:r>
              <w:rPr>
                <w:rFonts w:hint="eastAsia" w:asciiTheme="minorEastAsia" w:hAnsiTheme="minorEastAsia" w:eastAsiaTheme="minorEastAsia" w:cstheme="minorEastAsia"/>
                <w:kern w:val="0"/>
                <w:sz w:val="21"/>
                <w:szCs w:val="21"/>
                <w:highlight w:val="none"/>
              </w:rPr>
              <w:t>分；</w:t>
            </w:r>
          </w:p>
          <w:p w14:paraId="7E8E9A49">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C、</w:t>
            </w:r>
            <w:r>
              <w:rPr>
                <w:rFonts w:hint="eastAsia" w:asciiTheme="minorEastAsia" w:hAnsiTheme="minorEastAsia" w:eastAsiaTheme="minorEastAsia" w:cstheme="minorEastAsia"/>
                <w:kern w:val="0"/>
                <w:sz w:val="21"/>
                <w:szCs w:val="21"/>
                <w:highlight w:val="none"/>
                <w:lang w:val="en-US" w:eastAsia="zh-CN"/>
              </w:rPr>
              <w:t>3</w:t>
            </w:r>
            <w:r>
              <w:rPr>
                <w:rFonts w:hint="eastAsia" w:asciiTheme="minorEastAsia" w:hAnsiTheme="minorEastAsia" w:eastAsiaTheme="minorEastAsia" w:cstheme="minorEastAsia"/>
                <w:kern w:val="0"/>
                <w:sz w:val="21"/>
                <w:szCs w:val="21"/>
                <w:highlight w:val="none"/>
              </w:rPr>
              <w:t>-4人，得</w:t>
            </w:r>
            <w:r>
              <w:rPr>
                <w:rFonts w:hint="eastAsia" w:asciiTheme="minorEastAsia" w:hAnsiTheme="minorEastAsia" w:eastAsiaTheme="minorEastAsia" w:cstheme="minorEastAsia"/>
                <w:kern w:val="0"/>
                <w:sz w:val="21"/>
                <w:szCs w:val="21"/>
                <w:highlight w:val="none"/>
                <w:lang w:val="en-US" w:eastAsia="zh-CN"/>
              </w:rPr>
              <w:t>15</w:t>
            </w:r>
            <w:r>
              <w:rPr>
                <w:rFonts w:hint="eastAsia" w:asciiTheme="minorEastAsia" w:hAnsiTheme="minorEastAsia" w:eastAsiaTheme="minorEastAsia" w:cstheme="minorEastAsia"/>
                <w:kern w:val="0"/>
                <w:sz w:val="21"/>
                <w:szCs w:val="21"/>
                <w:highlight w:val="none"/>
              </w:rPr>
              <w:t>分；</w:t>
            </w:r>
          </w:p>
          <w:p w14:paraId="65A52E43">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D、</w:t>
            </w:r>
            <w:r>
              <w:rPr>
                <w:rFonts w:hint="eastAsia" w:asciiTheme="minorEastAsia" w:hAnsiTheme="minorEastAsia" w:eastAsiaTheme="minorEastAsia" w:cstheme="minorEastAsia"/>
                <w:kern w:val="0"/>
                <w:sz w:val="21"/>
                <w:szCs w:val="21"/>
                <w:highlight w:val="none"/>
                <w:lang w:val="en-US" w:eastAsia="zh-CN"/>
              </w:rPr>
              <w:t>3</w:t>
            </w:r>
            <w:r>
              <w:rPr>
                <w:rFonts w:hint="eastAsia" w:asciiTheme="minorEastAsia" w:hAnsiTheme="minorEastAsia" w:eastAsiaTheme="minorEastAsia" w:cstheme="minorEastAsia"/>
                <w:kern w:val="0"/>
                <w:sz w:val="21"/>
                <w:szCs w:val="21"/>
                <w:highlight w:val="none"/>
              </w:rPr>
              <w:t>人以下，不得分。</w:t>
            </w:r>
          </w:p>
          <w:p w14:paraId="0BC0771A">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val="en-US" w:eastAsia="zh-CN"/>
              </w:rPr>
              <w:t>2.自2022</w:t>
            </w:r>
            <w:r>
              <w:rPr>
                <w:rFonts w:hint="eastAsia" w:asciiTheme="minorEastAsia" w:hAnsiTheme="minorEastAsia" w:eastAsiaTheme="minorEastAsia" w:cstheme="minorEastAsia"/>
                <w:kern w:val="0"/>
                <w:sz w:val="21"/>
                <w:szCs w:val="21"/>
                <w:highlight w:val="none"/>
              </w:rPr>
              <w:t>年3月1</w:t>
            </w:r>
            <w:r>
              <w:rPr>
                <w:rFonts w:hint="eastAsia" w:asciiTheme="minorEastAsia" w:hAnsiTheme="minorEastAsia" w:eastAsiaTheme="minorEastAsia" w:cstheme="minorEastAsia"/>
                <w:kern w:val="0"/>
                <w:sz w:val="21"/>
                <w:szCs w:val="21"/>
                <w:highlight w:val="none"/>
                <w:lang w:val="en-US" w:eastAsia="zh-CN"/>
              </w:rPr>
              <w:t>日</w:t>
            </w:r>
            <w:bookmarkStart w:id="2" w:name="OLE_LINK5"/>
            <w:r>
              <w:rPr>
                <w:rFonts w:hint="eastAsia" w:asciiTheme="minorEastAsia" w:hAnsiTheme="minorEastAsia" w:eastAsiaTheme="minorEastAsia" w:cstheme="minorEastAsia"/>
                <w:kern w:val="0"/>
                <w:sz w:val="21"/>
                <w:szCs w:val="21"/>
                <w:highlight w:val="none"/>
                <w:lang w:val="en-US" w:eastAsia="zh-CN"/>
              </w:rPr>
              <w:t>至本项目投标截止日</w:t>
            </w:r>
            <w:bookmarkEnd w:id="2"/>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kern w:val="0"/>
                <w:sz w:val="21"/>
                <w:szCs w:val="21"/>
                <w:highlight w:val="none"/>
                <w:lang w:eastAsia="zh-CN"/>
              </w:rPr>
              <w:t>服务团队</w:t>
            </w:r>
            <w:r>
              <w:rPr>
                <w:rFonts w:hint="eastAsia" w:asciiTheme="minorEastAsia" w:hAnsiTheme="minorEastAsia" w:eastAsiaTheme="minorEastAsia" w:cstheme="minorEastAsia"/>
                <w:kern w:val="0"/>
                <w:sz w:val="21"/>
                <w:szCs w:val="21"/>
                <w:highlight w:val="none"/>
              </w:rPr>
              <w:t>办理劳动争议案件数量：</w:t>
            </w:r>
          </w:p>
          <w:p w14:paraId="0AC73CA8">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A、人均</w:t>
            </w:r>
            <w:r>
              <w:rPr>
                <w:rFonts w:hint="eastAsia" w:asciiTheme="minorEastAsia" w:hAnsiTheme="minorEastAsia" w:eastAsiaTheme="minorEastAsia" w:cstheme="minorEastAsia"/>
                <w:kern w:val="0"/>
                <w:sz w:val="21"/>
                <w:szCs w:val="21"/>
                <w:highlight w:val="none"/>
                <w:lang w:val="en-US" w:eastAsia="zh-CN"/>
              </w:rPr>
              <w:t>25</w:t>
            </w:r>
            <w:r>
              <w:rPr>
                <w:rFonts w:hint="eastAsia" w:asciiTheme="minorEastAsia" w:hAnsiTheme="minorEastAsia" w:eastAsiaTheme="minorEastAsia" w:cstheme="minorEastAsia"/>
                <w:kern w:val="0"/>
                <w:sz w:val="21"/>
                <w:szCs w:val="21"/>
                <w:highlight w:val="none"/>
              </w:rPr>
              <w:t>个及以上，</w:t>
            </w:r>
            <w:r>
              <w:rPr>
                <w:rFonts w:hint="eastAsia" w:asciiTheme="minorEastAsia" w:hAnsiTheme="minorEastAsia" w:eastAsiaTheme="minorEastAsia" w:cstheme="minorEastAsia"/>
                <w:b/>
                <w:bCs/>
                <w:kern w:val="0"/>
                <w:sz w:val="21"/>
                <w:szCs w:val="21"/>
                <w:highlight w:val="none"/>
                <w:lang w:val="en-US" w:eastAsia="zh-CN"/>
              </w:rPr>
              <w:t>得50</w:t>
            </w:r>
            <w:r>
              <w:rPr>
                <w:rFonts w:hint="eastAsia" w:asciiTheme="minorEastAsia" w:hAnsiTheme="minorEastAsia" w:eastAsiaTheme="minorEastAsia" w:cstheme="minorEastAsia"/>
                <w:b/>
                <w:bCs/>
                <w:kern w:val="0"/>
                <w:sz w:val="21"/>
                <w:szCs w:val="21"/>
                <w:highlight w:val="none"/>
              </w:rPr>
              <w:t>分</w:t>
            </w:r>
          </w:p>
          <w:p w14:paraId="27A006B2">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B、人均</w:t>
            </w:r>
            <w:r>
              <w:rPr>
                <w:rFonts w:hint="eastAsia" w:asciiTheme="minorEastAsia" w:hAnsiTheme="minorEastAsia" w:eastAsiaTheme="minorEastAsia" w:cstheme="minorEastAsia"/>
                <w:kern w:val="0"/>
                <w:sz w:val="21"/>
                <w:szCs w:val="21"/>
                <w:highlight w:val="none"/>
                <w:lang w:val="en-US" w:eastAsia="zh-CN"/>
              </w:rPr>
              <w:t>20-24</w:t>
            </w:r>
            <w:r>
              <w:rPr>
                <w:rFonts w:hint="eastAsia" w:asciiTheme="minorEastAsia" w:hAnsiTheme="minorEastAsia" w:eastAsiaTheme="minorEastAsia" w:cstheme="minorEastAsia"/>
                <w:kern w:val="0"/>
                <w:sz w:val="21"/>
                <w:szCs w:val="21"/>
                <w:highlight w:val="none"/>
              </w:rPr>
              <w:t>个，</w:t>
            </w:r>
            <w:r>
              <w:rPr>
                <w:rFonts w:hint="eastAsia" w:asciiTheme="minorEastAsia" w:hAnsiTheme="minorEastAsia" w:eastAsiaTheme="minorEastAsia" w:cstheme="minorEastAsia"/>
                <w:kern w:val="0"/>
                <w:sz w:val="21"/>
                <w:szCs w:val="21"/>
                <w:highlight w:val="none"/>
                <w:lang w:val="en-US" w:eastAsia="zh-CN"/>
              </w:rPr>
              <w:t>得30</w:t>
            </w:r>
            <w:r>
              <w:rPr>
                <w:rFonts w:hint="eastAsia" w:asciiTheme="minorEastAsia" w:hAnsiTheme="minorEastAsia" w:eastAsiaTheme="minorEastAsia" w:cstheme="minorEastAsia"/>
                <w:kern w:val="0"/>
                <w:sz w:val="21"/>
                <w:szCs w:val="21"/>
                <w:highlight w:val="none"/>
              </w:rPr>
              <w:t>分</w:t>
            </w:r>
          </w:p>
          <w:p w14:paraId="38D61E1C">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C、人均</w:t>
            </w:r>
            <w:r>
              <w:rPr>
                <w:rFonts w:hint="eastAsia" w:asciiTheme="minorEastAsia" w:hAnsiTheme="minorEastAsia" w:eastAsiaTheme="minorEastAsia" w:cstheme="minorEastAsia"/>
                <w:kern w:val="0"/>
                <w:sz w:val="21"/>
                <w:szCs w:val="21"/>
                <w:highlight w:val="none"/>
                <w:lang w:val="en-US" w:eastAsia="zh-CN"/>
              </w:rPr>
              <w:t>10-19</w:t>
            </w:r>
            <w:r>
              <w:rPr>
                <w:rFonts w:hint="eastAsia" w:asciiTheme="minorEastAsia" w:hAnsiTheme="minorEastAsia" w:eastAsiaTheme="minorEastAsia" w:cstheme="minorEastAsia"/>
                <w:kern w:val="0"/>
                <w:sz w:val="21"/>
                <w:szCs w:val="21"/>
                <w:highlight w:val="none"/>
              </w:rPr>
              <w:t>个，</w:t>
            </w:r>
            <w:r>
              <w:rPr>
                <w:rFonts w:hint="eastAsia" w:asciiTheme="minorEastAsia" w:hAnsiTheme="minorEastAsia" w:eastAsiaTheme="minorEastAsia" w:cstheme="minorEastAsia"/>
                <w:kern w:val="0"/>
                <w:sz w:val="21"/>
                <w:szCs w:val="21"/>
                <w:highlight w:val="none"/>
                <w:lang w:val="en-US" w:eastAsia="zh-CN"/>
              </w:rPr>
              <w:t>得20</w:t>
            </w:r>
            <w:r>
              <w:rPr>
                <w:rFonts w:hint="eastAsia" w:asciiTheme="minorEastAsia" w:hAnsiTheme="minorEastAsia" w:eastAsiaTheme="minorEastAsia" w:cstheme="minorEastAsia"/>
                <w:kern w:val="0"/>
                <w:sz w:val="21"/>
                <w:szCs w:val="21"/>
                <w:highlight w:val="none"/>
              </w:rPr>
              <w:t>分</w:t>
            </w:r>
          </w:p>
          <w:p w14:paraId="36853C01">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lang w:val="en-US" w:eastAsia="zh-CN"/>
              </w:rPr>
            </w:pPr>
            <w:r>
              <w:rPr>
                <w:rFonts w:hint="eastAsia" w:asciiTheme="minorEastAsia" w:hAnsiTheme="minorEastAsia" w:eastAsiaTheme="minorEastAsia" w:cstheme="minorEastAsia"/>
                <w:kern w:val="0"/>
                <w:sz w:val="21"/>
                <w:szCs w:val="21"/>
                <w:highlight w:val="none"/>
                <w:lang w:val="en-US" w:eastAsia="zh-CN"/>
              </w:rPr>
              <w:t>D、人均1-10个，得10分</w:t>
            </w:r>
          </w:p>
          <w:p w14:paraId="7C322566">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lang w:val="en-US" w:eastAsia="zh-CN"/>
              </w:rPr>
            </w:pPr>
            <w:r>
              <w:rPr>
                <w:rFonts w:hint="eastAsia" w:asciiTheme="minorEastAsia" w:hAnsiTheme="minorEastAsia" w:eastAsiaTheme="minorEastAsia" w:cstheme="minorEastAsia"/>
                <w:kern w:val="0"/>
                <w:sz w:val="21"/>
                <w:szCs w:val="21"/>
                <w:highlight w:val="none"/>
                <w:lang w:val="en-US" w:eastAsia="zh-CN"/>
              </w:rPr>
              <w:t>E、人均补足1个，得0分</w:t>
            </w:r>
          </w:p>
          <w:p w14:paraId="6F45CB8F">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该项需提供投标人承诺书及办理案件的台账（以表格的形式呈现，内容包括裁判文书案号、代理人员姓名、处理案件过程中的身份、结案形式等），台账需盖投标人公章。团队成员应以律师身份办理案件，如以实习律师身份办理案件的，不计入内。</w:t>
            </w:r>
          </w:p>
          <w:p w14:paraId="00897268">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val="en-US" w:eastAsia="zh-CN"/>
              </w:rPr>
              <w:t>3.自2022</w:t>
            </w:r>
            <w:r>
              <w:rPr>
                <w:rFonts w:hint="eastAsia" w:asciiTheme="minorEastAsia" w:hAnsiTheme="minorEastAsia" w:eastAsiaTheme="minorEastAsia" w:cstheme="minorEastAsia"/>
                <w:kern w:val="0"/>
                <w:sz w:val="21"/>
                <w:szCs w:val="21"/>
                <w:highlight w:val="none"/>
              </w:rPr>
              <w:t>年3月1日至本项目投标截止日，</w:t>
            </w:r>
            <w:r>
              <w:rPr>
                <w:rFonts w:hint="eastAsia" w:asciiTheme="minorEastAsia" w:hAnsiTheme="minorEastAsia" w:eastAsiaTheme="minorEastAsia" w:cstheme="minorEastAsia"/>
                <w:kern w:val="0"/>
                <w:sz w:val="21"/>
                <w:szCs w:val="21"/>
                <w:highlight w:val="none"/>
                <w:lang w:eastAsia="zh-CN"/>
              </w:rPr>
              <w:t>服务团队</w:t>
            </w:r>
            <w:r>
              <w:rPr>
                <w:rFonts w:hint="eastAsia" w:asciiTheme="minorEastAsia" w:hAnsiTheme="minorEastAsia" w:eastAsiaTheme="minorEastAsia" w:cstheme="minorEastAsia"/>
                <w:kern w:val="0"/>
                <w:sz w:val="21"/>
                <w:szCs w:val="21"/>
                <w:highlight w:val="none"/>
              </w:rPr>
              <w:t>成员具备以下经验的：</w:t>
            </w:r>
          </w:p>
          <w:p w14:paraId="43F38B0F">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为工会组织</w:t>
            </w:r>
            <w:r>
              <w:rPr>
                <w:rFonts w:hint="eastAsia" w:asciiTheme="minorEastAsia" w:hAnsiTheme="minorEastAsia" w:eastAsiaTheme="minorEastAsia" w:cstheme="minorEastAsia"/>
                <w:kern w:val="0"/>
                <w:sz w:val="21"/>
                <w:szCs w:val="21"/>
                <w:highlight w:val="none"/>
                <w:lang w:eastAsia="zh-CN"/>
              </w:rPr>
              <w:t>、劳动关系机构或单位提供过</w:t>
            </w:r>
            <w:r>
              <w:rPr>
                <w:rFonts w:hint="eastAsia" w:asciiTheme="minorEastAsia" w:hAnsiTheme="minorEastAsia" w:eastAsiaTheme="minorEastAsia" w:cstheme="minorEastAsia"/>
                <w:kern w:val="0"/>
                <w:sz w:val="21"/>
                <w:szCs w:val="21"/>
                <w:highlight w:val="none"/>
              </w:rPr>
              <w:t>培训或劳动关系相关内容服务的，每有1人得</w:t>
            </w:r>
            <w:r>
              <w:rPr>
                <w:rFonts w:hint="eastAsia" w:asciiTheme="minorEastAsia" w:hAnsiTheme="minorEastAsia" w:eastAsiaTheme="minorEastAsia" w:cstheme="minorEastAsia"/>
                <w:kern w:val="0"/>
                <w:sz w:val="21"/>
                <w:szCs w:val="21"/>
                <w:highlight w:val="none"/>
                <w:lang w:val="en-US" w:eastAsia="zh-CN"/>
              </w:rPr>
              <w:t>5</w:t>
            </w:r>
            <w:r>
              <w:rPr>
                <w:rFonts w:hint="eastAsia" w:asciiTheme="minorEastAsia" w:hAnsiTheme="minorEastAsia" w:eastAsiaTheme="minorEastAsia" w:cstheme="minorEastAsia"/>
                <w:kern w:val="0"/>
                <w:sz w:val="21"/>
                <w:szCs w:val="21"/>
                <w:highlight w:val="none"/>
              </w:rPr>
              <w:t>分</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b/>
                <w:bCs/>
                <w:kern w:val="0"/>
                <w:sz w:val="21"/>
                <w:szCs w:val="21"/>
                <w:highlight w:val="none"/>
                <w:lang w:eastAsia="zh-CN"/>
              </w:rPr>
              <w:t>最高</w:t>
            </w:r>
            <w:r>
              <w:rPr>
                <w:rFonts w:hint="eastAsia" w:asciiTheme="minorEastAsia" w:hAnsiTheme="minorEastAsia" w:eastAsiaTheme="minorEastAsia" w:cstheme="minorEastAsia"/>
                <w:b/>
                <w:bCs/>
                <w:kern w:val="0"/>
                <w:sz w:val="21"/>
                <w:szCs w:val="21"/>
                <w:highlight w:val="none"/>
                <w:lang w:val="en-US" w:eastAsia="zh-CN"/>
              </w:rPr>
              <w:t>20分</w:t>
            </w:r>
            <w:r>
              <w:rPr>
                <w:rFonts w:hint="eastAsia" w:asciiTheme="minorEastAsia" w:hAnsiTheme="minorEastAsia" w:eastAsiaTheme="minorEastAsia" w:cstheme="minorEastAsia"/>
                <w:b/>
                <w:bCs/>
                <w:kern w:val="0"/>
                <w:sz w:val="21"/>
                <w:szCs w:val="21"/>
                <w:highlight w:val="none"/>
              </w:rPr>
              <w:t>；</w:t>
            </w:r>
          </w:p>
          <w:p w14:paraId="399C7B08">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注：1、本项需提供合同关键页（封面页、内容页、盖章页），以及该人员参与项目等证明资料，需提供体现团队成员名字的合同关键页复印件（关键页包括合同名称、合同标的、合同金额、签字盖章页）；</w:t>
            </w:r>
          </w:p>
          <w:p w14:paraId="14238672">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2、如合同关键页未出现团队成员名字，如提供的是培训服务，可提供培训需求方或者培训组织方的相关宣传材料（比如：网站宣传材料、微信公众号宣传材料等），或其他证明材料。</w:t>
            </w:r>
          </w:p>
          <w:p w14:paraId="41425A4C">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4、如无法证明该人员参与，不得分。</w:t>
            </w:r>
          </w:p>
          <w:p w14:paraId="19D68590">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b/>
                <w:bCs/>
                <w:kern w:val="0"/>
                <w:sz w:val="21"/>
                <w:szCs w:val="21"/>
                <w:highlight w:val="none"/>
              </w:rPr>
            </w:pPr>
            <w:r>
              <w:rPr>
                <w:rFonts w:hint="eastAsia" w:asciiTheme="minorEastAsia" w:hAnsiTheme="minorEastAsia" w:eastAsiaTheme="minorEastAsia" w:cstheme="minorEastAsia"/>
                <w:b/>
                <w:bCs/>
                <w:kern w:val="0"/>
                <w:sz w:val="21"/>
                <w:szCs w:val="21"/>
                <w:highlight w:val="none"/>
              </w:rPr>
              <w:t>三、评分依据：</w:t>
            </w:r>
          </w:p>
          <w:p w14:paraId="7A94C692">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通过投标人缴纳的近三个月（含开标当月）的任意一个月的社保证明作为本单位员工的证明依据，如供应商成立不足一个月或员工入职不足一个月的，提供情况说明函（格式自拟），无需提供相关人员社保，亦可得分。</w:t>
            </w:r>
          </w:p>
          <w:p w14:paraId="37F472A1">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 要求提供投标人相关证明资料作为得分依据。</w:t>
            </w:r>
          </w:p>
          <w:p w14:paraId="549BFD7C">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 以上资料均要求提供扫描件。评分中出现无证明资料或专家无法凭所提供资料判断是否得分的情况，一律作不得分处理。</w:t>
            </w:r>
          </w:p>
          <w:p w14:paraId="5C65308C">
            <w:pPr>
              <w:spacing w:after="93"/>
              <w:jc w:val="both"/>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kern w:val="0"/>
                <w:sz w:val="21"/>
                <w:szCs w:val="21"/>
                <w:highlight w:val="none"/>
              </w:rPr>
              <w:t>4. 如涉及考察人员工作经验，要求提供项目合同或委托书关键信息作为得分依据，通过合同关键信息无法判断是否得分的，还须同时提供投标人承诺。</w:t>
            </w:r>
          </w:p>
        </w:tc>
      </w:tr>
      <w:tr w14:paraId="24BFA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jc w:val="center"/>
        </w:trPr>
        <w:tc>
          <w:tcPr>
            <w:tcW w:w="673" w:type="dxa"/>
            <w:gridSpan w:val="2"/>
          </w:tcPr>
          <w:p w14:paraId="746AB984">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b/>
                <w:bCs/>
                <w:color w:val="0000FF"/>
                <w:sz w:val="24"/>
                <w:highlight w:val="none"/>
              </w:rPr>
            </w:pPr>
            <w:r>
              <w:rPr>
                <w:rFonts w:hint="default" w:asciiTheme="minorEastAsia" w:hAnsiTheme="minorEastAsia" w:eastAsiaTheme="minorEastAsia"/>
                <w:b/>
                <w:bCs/>
                <w:color w:val="0000FF"/>
                <w:highlight w:val="none"/>
              </w:rPr>
              <w:t>4</w:t>
            </w:r>
          </w:p>
        </w:tc>
        <w:tc>
          <w:tcPr>
            <w:tcW w:w="3764" w:type="dxa"/>
            <w:gridSpan w:val="3"/>
          </w:tcPr>
          <w:p w14:paraId="02CACD1B">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b/>
                <w:bCs/>
                <w:color w:val="0000FF"/>
                <w:sz w:val="24"/>
                <w:highlight w:val="none"/>
              </w:rPr>
            </w:pPr>
            <w:r>
              <w:rPr>
                <w:rFonts w:hint="default" w:asciiTheme="minorEastAsia" w:hAnsiTheme="minorEastAsia" w:eastAsiaTheme="minorEastAsia"/>
                <w:b/>
                <w:bCs/>
                <w:color w:val="0000FF"/>
                <w:highlight w:val="none"/>
              </w:rPr>
              <w:t>诚信情况</w:t>
            </w:r>
          </w:p>
        </w:tc>
        <w:tc>
          <w:tcPr>
            <w:tcW w:w="4725" w:type="dxa"/>
            <w:gridSpan w:val="2"/>
          </w:tcPr>
          <w:p w14:paraId="09A6DED3">
            <w:pPr>
              <w:keepNext w:val="0"/>
              <w:keepLines w:val="0"/>
              <w:suppressLineNumbers w:val="0"/>
              <w:wordWrap w:val="0"/>
              <w:spacing w:before="0" w:beforeAutospacing="0" w:after="0" w:afterAutospacing="0"/>
              <w:ind w:left="0" w:right="0"/>
              <w:jc w:val="center"/>
              <w:rPr>
                <w:rFonts w:hint="eastAsia" w:asciiTheme="minorEastAsia" w:hAnsiTheme="minorEastAsia" w:eastAsiaTheme="minorEastAsia" w:cstheme="minorEastAsia"/>
                <w:b/>
                <w:bCs/>
                <w:color w:val="0000FF"/>
                <w:sz w:val="21"/>
                <w:szCs w:val="21"/>
                <w:highlight w:val="none"/>
                <w:lang w:val="en-US" w:eastAsia="zh-CN"/>
              </w:rPr>
            </w:pPr>
            <w:r>
              <w:rPr>
                <w:rFonts w:hint="eastAsia" w:asciiTheme="minorEastAsia" w:hAnsiTheme="minorEastAsia" w:eastAsiaTheme="minorEastAsia" w:cstheme="minorEastAsia"/>
                <w:b/>
                <w:bCs/>
                <w:color w:val="0000FF"/>
                <w:sz w:val="21"/>
                <w:szCs w:val="21"/>
                <w:highlight w:val="none"/>
                <w:lang w:val="en-US" w:eastAsia="zh-CN"/>
              </w:rPr>
              <w:t>5</w:t>
            </w:r>
          </w:p>
        </w:tc>
      </w:tr>
      <w:tr w14:paraId="2DE80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jc w:val="center"/>
        </w:trPr>
        <w:tc>
          <w:tcPr>
            <w:tcW w:w="673" w:type="dxa"/>
            <w:gridSpan w:val="2"/>
            <w:vMerge w:val="restart"/>
            <w:shd w:val="clear" w:color="auto" w:fill="FFFFFF" w:themeFill="background1"/>
            <w:vAlign w:val="center"/>
          </w:tcPr>
          <w:p w14:paraId="75EA029D">
            <w:pPr>
              <w:keepNext w:val="0"/>
              <w:keepLines w:val="0"/>
              <w:suppressLineNumbers w:val="0"/>
              <w:spacing w:before="0" w:beforeAutospacing="0" w:after="0" w:afterAutospacing="0"/>
              <w:ind w:left="0" w:right="0"/>
              <w:rPr>
                <w:rFonts w:hint="default" w:cs="宋体" w:asciiTheme="minorEastAsia" w:hAnsiTheme="minorEastAsia" w:eastAsiaTheme="minorEastAsia"/>
                <w:b/>
                <w:bCs/>
                <w:color w:val="0000FF"/>
                <w:sz w:val="24"/>
                <w:highlight w:val="none"/>
              </w:rPr>
            </w:pPr>
          </w:p>
        </w:tc>
        <w:tc>
          <w:tcPr>
            <w:tcW w:w="672" w:type="dxa"/>
            <w:shd w:val="clear" w:color="auto" w:fill="E6EFFA"/>
            <w:vAlign w:val="center"/>
          </w:tcPr>
          <w:p w14:paraId="6F4BDEF7">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rPr>
            </w:pPr>
            <w:r>
              <w:rPr>
                <w:rFonts w:hint="default" w:asciiTheme="minorEastAsia" w:hAnsiTheme="minorEastAsia" w:eastAsiaTheme="minorEastAsia"/>
                <w:szCs w:val="21"/>
                <w:highlight w:val="none"/>
              </w:rPr>
              <w:t>序号</w:t>
            </w:r>
          </w:p>
        </w:tc>
        <w:tc>
          <w:tcPr>
            <w:tcW w:w="2331" w:type="dxa"/>
            <w:shd w:val="clear" w:color="auto" w:fill="E6EFFA"/>
            <w:vAlign w:val="center"/>
          </w:tcPr>
          <w:p w14:paraId="19A9AEE3">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rPr>
            </w:pPr>
            <w:r>
              <w:rPr>
                <w:rFonts w:hint="eastAsia" w:asciiTheme="minorEastAsia" w:hAnsiTheme="minorEastAsia" w:eastAsiaTheme="minorEastAsia"/>
                <w:szCs w:val="21"/>
                <w:highlight w:val="none"/>
              </w:rPr>
              <w:t>评审因素</w:t>
            </w:r>
          </w:p>
        </w:tc>
        <w:tc>
          <w:tcPr>
            <w:tcW w:w="761" w:type="dxa"/>
            <w:shd w:val="clear" w:color="auto" w:fill="E6EFFA"/>
            <w:vAlign w:val="center"/>
          </w:tcPr>
          <w:p w14:paraId="3CDF3FAB">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rPr>
            </w:pPr>
            <w:r>
              <w:rPr>
                <w:rFonts w:hint="default" w:asciiTheme="minorEastAsia" w:hAnsiTheme="minorEastAsia" w:eastAsiaTheme="minorEastAsia"/>
                <w:szCs w:val="21"/>
                <w:highlight w:val="none"/>
              </w:rPr>
              <w:t>权重(%)</w:t>
            </w:r>
          </w:p>
        </w:tc>
        <w:tc>
          <w:tcPr>
            <w:tcW w:w="4725" w:type="dxa"/>
            <w:gridSpan w:val="2"/>
            <w:shd w:val="clear" w:color="auto" w:fill="E6EFFA"/>
            <w:vAlign w:val="center"/>
          </w:tcPr>
          <w:p w14:paraId="738C622C">
            <w:pPr>
              <w:keepNext w:val="0"/>
              <w:keepLines w:val="0"/>
              <w:suppressLineNumbers w:val="0"/>
              <w:wordWrap w:val="0"/>
              <w:spacing w:before="0" w:beforeAutospacing="0" w:after="0" w:afterAutospacing="0"/>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评分准则</w:t>
            </w:r>
          </w:p>
        </w:tc>
      </w:tr>
      <w:tr w14:paraId="4E938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jc w:val="center"/>
        </w:trPr>
        <w:tc>
          <w:tcPr>
            <w:tcW w:w="673" w:type="dxa"/>
            <w:gridSpan w:val="2"/>
            <w:vMerge w:val="continue"/>
            <w:shd w:val="clear" w:color="auto" w:fill="FFFFFF" w:themeFill="background1"/>
            <w:vAlign w:val="center"/>
          </w:tcPr>
          <w:p w14:paraId="71952BCD">
            <w:pPr>
              <w:keepNext w:val="0"/>
              <w:keepLines w:val="0"/>
              <w:suppressLineNumbers w:val="0"/>
              <w:spacing w:before="0" w:beforeAutospacing="0" w:after="0" w:afterAutospacing="0"/>
              <w:ind w:left="0" w:right="0"/>
              <w:rPr>
                <w:rFonts w:hint="default" w:cs="宋体" w:asciiTheme="minorEastAsia" w:hAnsiTheme="minorEastAsia" w:eastAsiaTheme="minorEastAsia"/>
                <w:b/>
                <w:bCs/>
                <w:color w:val="0000FF"/>
                <w:sz w:val="24"/>
                <w:highlight w:val="none"/>
              </w:rPr>
            </w:pPr>
          </w:p>
        </w:tc>
        <w:tc>
          <w:tcPr>
            <w:tcW w:w="672" w:type="dxa"/>
            <w:shd w:val="clear" w:color="auto" w:fill="FFFFFF" w:themeFill="background1"/>
            <w:vAlign w:val="center"/>
          </w:tcPr>
          <w:p w14:paraId="4D3C4164">
            <w:pPr>
              <w:keepNext w:val="0"/>
              <w:keepLines w:val="0"/>
              <w:suppressLineNumbers w:val="0"/>
              <w:wordWrap w:val="0"/>
              <w:spacing w:before="0" w:beforeAutospacing="0" w:after="0" w:afterAutospacing="0"/>
              <w:ind w:left="0" w:right="0"/>
              <w:jc w:val="center"/>
              <w:rPr>
                <w:rFonts w:hint="default" w:asciiTheme="minorEastAsia" w:hAnsiTheme="minorEastAsia" w:eastAsiaTheme="minorEastAsia"/>
                <w:szCs w:val="21"/>
                <w:highlight w:val="none"/>
              </w:rPr>
            </w:pPr>
            <w:r>
              <w:rPr>
                <w:rFonts w:hint="default" w:asciiTheme="minorEastAsia" w:hAnsiTheme="minorEastAsia" w:eastAsiaTheme="minorEastAsia"/>
                <w:szCs w:val="21"/>
                <w:highlight w:val="none"/>
              </w:rPr>
              <w:t>1</w:t>
            </w:r>
          </w:p>
        </w:tc>
        <w:tc>
          <w:tcPr>
            <w:tcW w:w="2331" w:type="dxa"/>
            <w:vAlign w:val="center"/>
          </w:tcPr>
          <w:p w14:paraId="3194008F">
            <w:pPr>
              <w:keepNext w:val="0"/>
              <w:keepLines w:val="0"/>
              <w:suppressLineNumbers w:val="0"/>
              <w:wordWrap w:val="0"/>
              <w:spacing w:before="0" w:beforeAutospacing="0" w:after="0" w:afterAutospacing="0"/>
              <w:ind w:left="0" w:right="0"/>
              <w:jc w:val="center"/>
              <w:rPr>
                <w:rFonts w:hint="default" w:asciiTheme="minorEastAsia" w:hAnsiTheme="minorEastAsia" w:eastAsiaTheme="minorEastAsia"/>
                <w:szCs w:val="21"/>
                <w:highlight w:val="none"/>
              </w:rPr>
            </w:pPr>
            <w:r>
              <w:rPr>
                <w:rFonts w:hint="default" w:asciiTheme="minorEastAsia" w:hAnsiTheme="minorEastAsia" w:eastAsiaTheme="minorEastAsia"/>
                <w:szCs w:val="21"/>
                <w:highlight w:val="none"/>
              </w:rPr>
              <w:t>诚信情况</w:t>
            </w:r>
          </w:p>
        </w:tc>
        <w:tc>
          <w:tcPr>
            <w:tcW w:w="761" w:type="dxa"/>
            <w:vAlign w:val="center"/>
          </w:tcPr>
          <w:p w14:paraId="2B4B53C8">
            <w:pPr>
              <w:keepNext w:val="0"/>
              <w:keepLines w:val="0"/>
              <w:suppressLineNumbers w:val="0"/>
              <w:wordWrap w:val="0"/>
              <w:spacing w:before="0" w:beforeAutospacing="0" w:after="0" w:afterAutospacing="0"/>
              <w:ind w:left="0" w:right="0"/>
              <w:jc w:val="center"/>
              <w:rPr>
                <w:rFonts w:hint="default" w:cs="宋体" w:asciiTheme="minorEastAsia" w:hAnsiTheme="minorEastAsia" w:eastAsiaTheme="minorEastAsia"/>
                <w:szCs w:val="21"/>
                <w:highlight w:val="none"/>
                <w:lang w:val="en-US" w:eastAsia="zh-CN"/>
              </w:rPr>
            </w:pPr>
            <w:r>
              <w:rPr>
                <w:rFonts w:hint="eastAsia" w:asciiTheme="minorEastAsia" w:hAnsiTheme="minorEastAsia" w:eastAsiaTheme="minorEastAsia"/>
                <w:szCs w:val="21"/>
                <w:highlight w:val="none"/>
                <w:lang w:val="en-US" w:eastAsia="zh-CN"/>
              </w:rPr>
              <w:t>5</w:t>
            </w:r>
          </w:p>
        </w:tc>
        <w:tc>
          <w:tcPr>
            <w:tcW w:w="4725" w:type="dxa"/>
            <w:gridSpan w:val="2"/>
          </w:tcPr>
          <w:p w14:paraId="36C3E42D">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auto"/>
                <w:kern w:val="2"/>
                <w:sz w:val="21"/>
                <w:szCs w:val="21"/>
                <w:highlight w:val="none"/>
                <w:lang w:val="en-US" w:eastAsia="zh-CN" w:bidi="ar-SA"/>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满分。（采购代理机构通过“信用中国”、“中国政府采购网”、“深圳市政府采购监管网”等渠道查询供应商信用信息，投标人无需提供证明材料）</w:t>
            </w:r>
          </w:p>
        </w:tc>
      </w:tr>
    </w:tbl>
    <w:p w14:paraId="62C20867">
      <w:pPr>
        <w:jc w:val="left"/>
        <w:rPr>
          <w:b w:val="0"/>
          <w:sz w:val="21"/>
          <w:szCs w:val="24"/>
        </w:rPr>
      </w:pPr>
      <w:r>
        <w:rPr>
          <w:b w:val="0"/>
          <w:sz w:val="21"/>
          <w:szCs w:val="24"/>
        </w:rPr>
        <w:br w:type="page"/>
      </w:r>
    </w:p>
    <w:p w14:paraId="2360EF9F">
      <w:pPr>
        <w:pStyle w:val="17"/>
      </w:pPr>
    </w:p>
    <w:p w14:paraId="14571778">
      <w:pPr>
        <w:jc w:val="center"/>
        <w:rPr>
          <w:b/>
          <w:sz w:val="120"/>
          <w:szCs w:val="120"/>
        </w:rPr>
      </w:pPr>
      <w:r>
        <w:rPr>
          <w:rFonts w:hint="eastAsia"/>
          <w:b/>
          <w:sz w:val="120"/>
          <w:szCs w:val="120"/>
        </w:rPr>
        <w:t>自行采购</w:t>
      </w:r>
    </w:p>
    <w:p w14:paraId="1F75BC74">
      <w:pPr>
        <w:jc w:val="center"/>
        <w:rPr>
          <w:b/>
          <w:sz w:val="120"/>
          <w:szCs w:val="120"/>
        </w:rPr>
      </w:pPr>
      <w:r>
        <w:rPr>
          <w:rFonts w:hint="eastAsia"/>
          <w:b/>
          <w:sz w:val="120"/>
          <w:szCs w:val="120"/>
        </w:rPr>
        <w:t>招标文件</w:t>
      </w:r>
    </w:p>
    <w:p w14:paraId="1A9E721E">
      <w:pPr>
        <w:jc w:val="center"/>
        <w:rPr>
          <w:b/>
          <w:sz w:val="52"/>
          <w:szCs w:val="52"/>
        </w:rPr>
      </w:pPr>
      <w:r>
        <w:rPr>
          <w:rFonts w:hint="eastAsia"/>
          <w:b/>
          <w:sz w:val="52"/>
          <w:szCs w:val="52"/>
        </w:rPr>
        <w:t>（服务类）</w:t>
      </w:r>
    </w:p>
    <w:p w14:paraId="062D2DD9">
      <w:pPr>
        <w:jc w:val="center"/>
      </w:pPr>
    </w:p>
    <w:p w14:paraId="4E6EB304">
      <w:pPr>
        <w:jc w:val="center"/>
      </w:pPr>
    </w:p>
    <w:p w14:paraId="522D95DE">
      <w:pPr>
        <w:jc w:val="center"/>
      </w:pPr>
    </w:p>
    <w:p w14:paraId="65F4D708">
      <w:pPr>
        <w:jc w:val="center"/>
      </w:pPr>
    </w:p>
    <w:p w14:paraId="1667B3B1">
      <w:pPr>
        <w:pStyle w:val="3"/>
      </w:pPr>
    </w:p>
    <w:p w14:paraId="18B54215">
      <w:pPr>
        <w:pStyle w:val="3"/>
      </w:pPr>
    </w:p>
    <w:p w14:paraId="2B115109">
      <w:pPr>
        <w:pStyle w:val="3"/>
      </w:pPr>
    </w:p>
    <w:p w14:paraId="5E2298C3">
      <w:pPr>
        <w:pStyle w:val="3"/>
      </w:pPr>
    </w:p>
    <w:p w14:paraId="27DD74D7">
      <w:pPr>
        <w:pStyle w:val="3"/>
      </w:pPr>
    </w:p>
    <w:p w14:paraId="05CC0A34">
      <w:pPr>
        <w:jc w:val="center"/>
        <w:rPr>
          <w:b/>
          <w:sz w:val="44"/>
          <w:szCs w:val="44"/>
        </w:rPr>
      </w:pPr>
    </w:p>
    <w:p w14:paraId="12C2F51E">
      <w:pPr>
        <w:jc w:val="center"/>
        <w:rPr>
          <w:b/>
          <w:sz w:val="44"/>
          <w:szCs w:val="44"/>
        </w:rPr>
      </w:pPr>
      <w:bookmarkStart w:id="3" w:name="_Hlk71465316"/>
      <w:r>
        <w:rPr>
          <w:rFonts w:hint="eastAsia"/>
          <w:b/>
          <w:sz w:val="44"/>
          <w:szCs w:val="44"/>
        </w:rPr>
        <w:t>深圳公共资源交易中心</w:t>
      </w:r>
    </w:p>
    <w:p w14:paraId="4903DD43">
      <w:pPr>
        <w:jc w:val="center"/>
        <w:rPr>
          <w:sz w:val="28"/>
          <w:szCs w:val="28"/>
        </w:rPr>
      </w:pPr>
      <w:r>
        <w:rPr>
          <w:rFonts w:hint="eastAsia"/>
          <w:b/>
          <w:sz w:val="28"/>
          <w:szCs w:val="28"/>
        </w:rPr>
        <w:t>（</w:t>
      </w:r>
      <w:r>
        <w:rPr>
          <w:b/>
          <w:sz w:val="28"/>
          <w:szCs w:val="28"/>
        </w:rPr>
        <w:t>20</w:t>
      </w:r>
      <w:r>
        <w:rPr>
          <w:rFonts w:hint="eastAsia"/>
          <w:b/>
          <w:sz w:val="28"/>
          <w:szCs w:val="28"/>
        </w:rPr>
        <w:t>25年）</w:t>
      </w:r>
      <w:bookmarkEnd w:id="3"/>
    </w:p>
    <w:p w14:paraId="2DF3746D">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240" w:afterLines="100" w:afterAutospacing="0" w:line="400" w:lineRule="exact"/>
        <w:ind w:left="0" w:right="0" w:firstLine="420" w:firstLineChars="200"/>
        <w:jc w:val="both"/>
        <w:rPr>
          <w:rFonts w:ascii="宋体" w:hAnsi="宋体"/>
          <w:color w:val="FF0000"/>
          <w:szCs w:val="21"/>
        </w:rPr>
      </w:pPr>
      <w:r>
        <w:rPr>
          <w:rFonts w:hint="eastAsia"/>
        </w:rPr>
        <w:br w:type="page"/>
      </w:r>
      <w:bookmarkStart w:id="4" w:name="_Hlk137453387"/>
    </w:p>
    <w:bookmarkEnd w:id="4"/>
    <w:p w14:paraId="39B72655">
      <w:pPr>
        <w:pStyle w:val="4"/>
      </w:pPr>
      <w:r>
        <w:rPr>
          <w:rFonts w:hint="eastAsia"/>
        </w:rPr>
        <w:t>目   录</w:t>
      </w:r>
    </w:p>
    <w:p w14:paraId="1C76047C">
      <w:pPr>
        <w:outlineLvl w:val="0"/>
        <w:rPr>
          <w:b/>
          <w:sz w:val="24"/>
        </w:rPr>
      </w:pPr>
      <w:r>
        <w:rPr>
          <w:rFonts w:hint="eastAsia"/>
          <w:b/>
          <w:sz w:val="24"/>
        </w:rPr>
        <w:t>第一册  专用条款</w:t>
      </w:r>
    </w:p>
    <w:p w14:paraId="454BB482">
      <w:pPr>
        <w:rPr>
          <w:sz w:val="24"/>
        </w:rPr>
      </w:pPr>
      <w:r>
        <w:rPr>
          <w:rFonts w:hint="eastAsia"/>
          <w:sz w:val="24"/>
        </w:rPr>
        <w:t xml:space="preserve">          关键信息</w:t>
      </w:r>
    </w:p>
    <w:p w14:paraId="71A8B8E7">
      <w:pPr>
        <w:ind w:left="630" w:leftChars="300" w:firstLine="630" w:firstLineChars="300"/>
        <w:rPr>
          <w:rFonts w:ascii="宋体" w:hAnsi="宋体"/>
          <w:szCs w:val="21"/>
        </w:rPr>
      </w:pPr>
      <w:r>
        <w:rPr>
          <w:rFonts w:hint="eastAsia" w:ascii="宋体" w:hAnsi="宋体"/>
          <w:szCs w:val="21"/>
        </w:rPr>
        <w:t>第一章  招标公告</w:t>
      </w:r>
    </w:p>
    <w:p w14:paraId="343B9D75">
      <w:pPr>
        <w:ind w:left="630" w:leftChars="300" w:firstLine="630" w:firstLineChars="300"/>
        <w:rPr>
          <w:rFonts w:ascii="宋体" w:hAnsi="宋体"/>
          <w:szCs w:val="21"/>
        </w:rPr>
      </w:pPr>
      <w:r>
        <w:rPr>
          <w:rFonts w:hint="eastAsia" w:ascii="宋体" w:hAnsi="宋体"/>
          <w:szCs w:val="21"/>
        </w:rPr>
        <w:t xml:space="preserve">第二章  </w:t>
      </w:r>
      <w:bookmarkStart w:id="5" w:name="_Hlk71994379"/>
      <w:r>
        <w:rPr>
          <w:rFonts w:hint="eastAsia" w:ascii="宋体" w:hAnsi="宋体"/>
          <w:szCs w:val="21"/>
        </w:rPr>
        <w:t>对通用条款的补充内容及其他关键信息</w:t>
      </w:r>
      <w:bookmarkEnd w:id="5"/>
    </w:p>
    <w:p w14:paraId="03548129">
      <w:pPr>
        <w:ind w:left="630" w:leftChars="300" w:firstLine="630" w:firstLineChars="300"/>
        <w:rPr>
          <w:rFonts w:ascii="宋体" w:hAnsi="宋体"/>
          <w:szCs w:val="21"/>
        </w:rPr>
      </w:pPr>
      <w:r>
        <w:rPr>
          <w:rFonts w:hint="eastAsia" w:ascii="宋体" w:hAnsi="宋体"/>
          <w:szCs w:val="21"/>
        </w:rPr>
        <w:t xml:space="preserve">第三章 </w:t>
      </w:r>
      <w:r>
        <w:rPr>
          <w:rFonts w:ascii="宋体" w:hAnsi="宋体"/>
          <w:szCs w:val="21"/>
        </w:rPr>
        <w:t xml:space="preserve"> </w:t>
      </w:r>
      <w:r>
        <w:rPr>
          <w:rFonts w:hint="eastAsia" w:ascii="宋体" w:hAnsi="宋体"/>
          <w:szCs w:val="21"/>
        </w:rPr>
        <w:t>用户需求书</w:t>
      </w:r>
    </w:p>
    <w:p w14:paraId="2BDAF293">
      <w:pPr>
        <w:ind w:left="630" w:leftChars="300" w:firstLine="630" w:firstLineChars="300"/>
        <w:rPr>
          <w:rFonts w:ascii="宋体" w:hAnsi="宋体"/>
          <w:szCs w:val="21"/>
        </w:rPr>
      </w:pPr>
      <w:r>
        <w:rPr>
          <w:rFonts w:hint="eastAsia" w:ascii="宋体" w:hAnsi="宋体"/>
          <w:szCs w:val="21"/>
        </w:rPr>
        <w:t xml:space="preserve">第四章 </w:t>
      </w:r>
      <w:r>
        <w:rPr>
          <w:rFonts w:ascii="宋体" w:hAnsi="宋体"/>
          <w:szCs w:val="21"/>
        </w:rPr>
        <w:t xml:space="preserve"> </w:t>
      </w:r>
      <w:r>
        <w:rPr>
          <w:rFonts w:hint="eastAsia" w:ascii="宋体" w:hAnsi="宋体"/>
          <w:szCs w:val="21"/>
        </w:rPr>
        <w:t>投标文件组成要求及格式</w:t>
      </w:r>
    </w:p>
    <w:p w14:paraId="6D0EF47D">
      <w:pPr>
        <w:ind w:left="630" w:leftChars="300" w:firstLine="630" w:firstLineChars="300"/>
        <w:rPr>
          <w:rFonts w:hint="eastAsia"/>
          <w:b/>
          <w:sz w:val="24"/>
        </w:rPr>
      </w:pPr>
      <w:r>
        <w:rPr>
          <w:rFonts w:hint="eastAsia" w:ascii="宋体" w:hAnsi="宋体"/>
          <w:szCs w:val="21"/>
        </w:rPr>
        <w:t>第五章  合同条款及格式</w:t>
      </w:r>
    </w:p>
    <w:p w14:paraId="5D75A035">
      <w:pPr>
        <w:outlineLvl w:val="0"/>
        <w:rPr>
          <w:b/>
          <w:sz w:val="24"/>
        </w:rPr>
      </w:pPr>
      <w:r>
        <w:rPr>
          <w:rFonts w:hint="eastAsia"/>
          <w:b/>
          <w:sz w:val="24"/>
        </w:rPr>
        <w:t>第二册  通用条款</w:t>
      </w:r>
    </w:p>
    <w:p w14:paraId="7BB503CA">
      <w:pPr>
        <w:ind w:left="630" w:leftChars="300" w:firstLine="630" w:firstLineChars="300"/>
        <w:rPr>
          <w:rFonts w:ascii="宋体" w:hAnsi="宋体"/>
          <w:szCs w:val="21"/>
        </w:rPr>
      </w:pPr>
      <w:r>
        <w:rPr>
          <w:rFonts w:hint="eastAsia" w:ascii="宋体" w:hAnsi="宋体"/>
          <w:szCs w:val="21"/>
        </w:rPr>
        <w:t>第一章  总则</w:t>
      </w:r>
    </w:p>
    <w:p w14:paraId="69F437D3">
      <w:pPr>
        <w:ind w:left="630" w:leftChars="300" w:firstLine="630" w:firstLineChars="300"/>
        <w:rPr>
          <w:rFonts w:ascii="宋体" w:hAnsi="宋体"/>
          <w:szCs w:val="21"/>
        </w:rPr>
      </w:pPr>
      <w:r>
        <w:rPr>
          <w:rFonts w:hint="eastAsia" w:ascii="宋体" w:hAnsi="宋体"/>
          <w:szCs w:val="21"/>
        </w:rPr>
        <w:t>第二章  招标文件</w:t>
      </w:r>
    </w:p>
    <w:p w14:paraId="65F40416">
      <w:pPr>
        <w:ind w:left="630" w:leftChars="300" w:firstLine="630" w:firstLineChars="300"/>
        <w:rPr>
          <w:rFonts w:ascii="宋体" w:hAnsi="宋体"/>
          <w:szCs w:val="21"/>
        </w:rPr>
      </w:pPr>
      <w:r>
        <w:rPr>
          <w:rFonts w:hint="eastAsia" w:ascii="宋体" w:hAnsi="宋体"/>
          <w:szCs w:val="21"/>
        </w:rPr>
        <w:t>第三章  投标文件的编制</w:t>
      </w:r>
    </w:p>
    <w:p w14:paraId="13D27E05">
      <w:pPr>
        <w:ind w:left="630" w:leftChars="300" w:firstLine="630" w:firstLineChars="300"/>
        <w:rPr>
          <w:rFonts w:ascii="宋体" w:hAnsi="宋体"/>
          <w:szCs w:val="21"/>
        </w:rPr>
      </w:pPr>
      <w:r>
        <w:rPr>
          <w:rFonts w:hint="eastAsia" w:ascii="宋体" w:hAnsi="宋体"/>
          <w:szCs w:val="21"/>
        </w:rPr>
        <w:t>第四章  投标文件的递交</w:t>
      </w:r>
    </w:p>
    <w:p w14:paraId="7CFEA354">
      <w:pPr>
        <w:ind w:left="630" w:leftChars="300" w:firstLine="630" w:firstLineChars="300"/>
        <w:rPr>
          <w:rFonts w:ascii="宋体" w:hAnsi="宋体"/>
          <w:szCs w:val="21"/>
        </w:rPr>
      </w:pPr>
      <w:r>
        <w:rPr>
          <w:rFonts w:hint="eastAsia" w:ascii="宋体" w:hAnsi="宋体"/>
          <w:szCs w:val="21"/>
        </w:rPr>
        <w:t>第五章  开标</w:t>
      </w:r>
    </w:p>
    <w:p w14:paraId="199D1B2C">
      <w:pPr>
        <w:ind w:left="630" w:leftChars="300" w:firstLine="630" w:firstLineChars="300"/>
        <w:rPr>
          <w:rFonts w:ascii="宋体" w:hAnsi="宋体"/>
          <w:szCs w:val="21"/>
        </w:rPr>
      </w:pPr>
      <w:r>
        <w:rPr>
          <w:rFonts w:hint="eastAsia" w:ascii="宋体" w:hAnsi="宋体"/>
          <w:szCs w:val="21"/>
        </w:rPr>
        <w:t>第六章  评审要求</w:t>
      </w:r>
    </w:p>
    <w:p w14:paraId="4DF196E6">
      <w:pPr>
        <w:ind w:left="630" w:leftChars="300" w:firstLine="630" w:firstLineChars="300"/>
        <w:rPr>
          <w:rFonts w:ascii="宋体" w:hAnsi="宋体"/>
          <w:szCs w:val="21"/>
        </w:rPr>
      </w:pPr>
      <w:r>
        <w:rPr>
          <w:rFonts w:hint="eastAsia" w:ascii="宋体" w:hAnsi="宋体"/>
          <w:szCs w:val="21"/>
        </w:rPr>
        <w:t>第七章  评审程序及评审方法</w:t>
      </w:r>
    </w:p>
    <w:p w14:paraId="39F519EC">
      <w:pPr>
        <w:ind w:left="630" w:leftChars="300" w:firstLine="630" w:firstLineChars="300"/>
        <w:rPr>
          <w:rFonts w:ascii="宋体" w:hAnsi="宋体"/>
          <w:szCs w:val="21"/>
        </w:rPr>
      </w:pPr>
      <w:r>
        <w:rPr>
          <w:rFonts w:hint="eastAsia" w:ascii="宋体" w:hAnsi="宋体"/>
          <w:szCs w:val="21"/>
        </w:rPr>
        <w:t>第八章  定标及公示</w:t>
      </w:r>
    </w:p>
    <w:p w14:paraId="6F60F605">
      <w:pPr>
        <w:ind w:left="630" w:leftChars="300" w:firstLine="630" w:firstLineChars="300"/>
        <w:rPr>
          <w:rFonts w:ascii="宋体" w:hAnsi="宋体"/>
          <w:szCs w:val="21"/>
        </w:rPr>
      </w:pPr>
      <w:r>
        <w:rPr>
          <w:rFonts w:hint="eastAsia" w:ascii="宋体" w:hAnsi="宋体"/>
          <w:szCs w:val="21"/>
        </w:rPr>
        <w:t>第九章  公开招标失败的后续处理</w:t>
      </w:r>
    </w:p>
    <w:p w14:paraId="340BC5CA">
      <w:pPr>
        <w:ind w:left="630" w:leftChars="300" w:firstLine="630" w:firstLineChars="300"/>
        <w:rPr>
          <w:rFonts w:ascii="宋体" w:hAnsi="宋体"/>
          <w:szCs w:val="21"/>
        </w:rPr>
      </w:pPr>
      <w:r>
        <w:rPr>
          <w:rFonts w:hint="eastAsia" w:ascii="宋体" w:hAnsi="宋体"/>
          <w:szCs w:val="21"/>
        </w:rPr>
        <w:t>第十章  合同的授予与备案</w:t>
      </w:r>
    </w:p>
    <w:p w14:paraId="3A56F5A0">
      <w:pPr>
        <w:ind w:left="630" w:leftChars="300" w:firstLine="630" w:firstLineChars="300"/>
        <w:rPr>
          <w:rFonts w:ascii="宋体" w:hAnsi="宋体"/>
          <w:szCs w:val="21"/>
        </w:rPr>
      </w:pPr>
      <w:r>
        <w:rPr>
          <w:rFonts w:hint="eastAsia" w:ascii="宋体" w:hAnsi="宋体"/>
          <w:szCs w:val="21"/>
        </w:rPr>
        <w:t>第十一章  质疑处理</w:t>
      </w:r>
    </w:p>
    <w:p w14:paraId="73823732">
      <w:pPr>
        <w:rPr>
          <w:b/>
          <w:sz w:val="24"/>
        </w:rPr>
      </w:pPr>
    </w:p>
    <w:p w14:paraId="17A4597D">
      <w:pPr>
        <w:rPr>
          <w:rFonts w:hint="eastAsia"/>
          <w:sz w:val="28"/>
          <w:szCs w:val="28"/>
        </w:rPr>
      </w:pPr>
      <w:r>
        <w:rPr>
          <w:rFonts w:hint="eastAsia"/>
          <w:sz w:val="28"/>
          <w:szCs w:val="28"/>
        </w:rPr>
        <w:br w:type="page"/>
      </w:r>
    </w:p>
    <w:p w14:paraId="58CEC992">
      <w:pPr>
        <w:pStyle w:val="7"/>
        <w:spacing w:before="0" w:after="0"/>
        <w:rPr>
          <w:rFonts w:hint="eastAsia"/>
          <w:sz w:val="28"/>
          <w:szCs w:val="28"/>
        </w:rPr>
      </w:pPr>
      <w:r>
        <w:rPr>
          <w:rFonts w:hint="eastAsia"/>
          <w:sz w:val="28"/>
          <w:szCs w:val="28"/>
        </w:rPr>
        <w:t>第一册专用条款</w:t>
      </w:r>
    </w:p>
    <w:p w14:paraId="1A3CAE12">
      <w:pPr>
        <w:pStyle w:val="7"/>
        <w:spacing w:before="0" w:after="0"/>
        <w:rPr>
          <w:sz w:val="28"/>
          <w:szCs w:val="28"/>
        </w:rPr>
      </w:pPr>
      <w:r>
        <w:rPr>
          <w:rFonts w:hint="eastAsia"/>
          <w:sz w:val="28"/>
          <w:szCs w:val="28"/>
        </w:rPr>
        <w:t>第一章  招标公告</w:t>
      </w:r>
    </w:p>
    <w:p w14:paraId="5FA31536">
      <w:pPr>
        <w:rPr>
          <w:rFonts w:ascii="宋体" w:hAnsi="宋体" w:cs="宋体"/>
          <w:b/>
          <w:bCs/>
          <w:kern w:val="0"/>
          <w:szCs w:val="21"/>
        </w:rPr>
      </w:pPr>
      <w:r>
        <w:rPr>
          <w:rFonts w:hint="eastAsia" w:ascii="宋体" w:hAnsi="宋体" w:cs="宋体"/>
          <w:b/>
          <w:bCs/>
          <w:kern w:val="0"/>
          <w:szCs w:val="21"/>
        </w:rPr>
        <w:t>投标人的资格要求：</w:t>
      </w:r>
    </w:p>
    <w:p w14:paraId="0EF89673">
      <w:pPr>
        <w:ind w:firstLine="630" w:firstLineChars="300"/>
        <w:rPr>
          <w:rFonts w:ascii="宋体" w:hAnsi="宋体" w:cs="宋体"/>
          <w:kern w:val="0"/>
          <w:szCs w:val="21"/>
        </w:rPr>
      </w:pPr>
      <w:r>
        <w:rPr>
          <w:rFonts w:hint="eastAsia" w:ascii="宋体" w:hAnsi="宋体" w:cs="宋体"/>
          <w:kern w:val="0"/>
          <w:szCs w:val="21"/>
        </w:rPr>
        <w:t>1</w:t>
      </w:r>
      <w:r>
        <w:rPr>
          <w:rFonts w:ascii="宋体" w:hAnsi="宋体" w:cs="宋体"/>
          <w:kern w:val="0"/>
          <w:szCs w:val="21"/>
        </w:rPr>
        <w:t>.</w:t>
      </w:r>
      <w:r>
        <w:rPr>
          <w:rFonts w:hint="eastAsia" w:ascii="宋体" w:hAnsi="宋体" w:cs="宋体"/>
          <w:kern w:val="0"/>
          <w:szCs w:val="21"/>
        </w:rPr>
        <w:t>投标人必须是司法行政机关准予设立的律师事务所，且具有独立承担民事责任能力【提供律师事务所执业许可证(须涵盖有年检章且考核处于有效期内的年检页或提供司法行政机关开具的无</w:t>
      </w:r>
      <w:r>
        <w:rPr>
          <w:rFonts w:hint="eastAsia" w:ascii="宋体" w:hAnsi="宋体" w:cs="宋体"/>
          <w:kern w:val="0"/>
          <w:szCs w:val="21"/>
          <w:lang w:val="en-US" w:eastAsia="zh-CN"/>
        </w:rPr>
        <w:t>需</w:t>
      </w:r>
      <w:r>
        <w:rPr>
          <w:rFonts w:hint="eastAsia" w:ascii="宋体" w:hAnsi="宋体" w:cs="宋体"/>
          <w:kern w:val="0"/>
          <w:szCs w:val="21"/>
        </w:rPr>
        <w:t>年检的证明)扫描件】(分支机构投标须同时提供总所出具的</w:t>
      </w:r>
      <w:r>
        <w:rPr>
          <w:rFonts w:hint="eastAsia" w:ascii="宋体" w:hAnsi="宋体" w:cs="宋体"/>
          <w:kern w:val="0"/>
          <w:szCs w:val="21"/>
          <w:lang w:val="en-US" w:eastAsia="zh-CN"/>
        </w:rPr>
        <w:t>愿</w:t>
      </w:r>
      <w:r>
        <w:rPr>
          <w:rFonts w:hint="eastAsia" w:ascii="宋体" w:hAnsi="宋体" w:cs="宋体"/>
          <w:kern w:val="0"/>
          <w:szCs w:val="21"/>
        </w:rPr>
        <w:t>为其多与本项目投标的行为以及</w:t>
      </w:r>
      <w:r>
        <w:rPr>
          <w:rFonts w:hint="eastAsia" w:ascii="宋体" w:hAnsi="宋体" w:cs="宋体"/>
          <w:kern w:val="0"/>
          <w:szCs w:val="21"/>
          <w:lang w:val="en-US" w:eastAsia="zh-CN"/>
        </w:rPr>
        <w:t>履</w:t>
      </w:r>
      <w:r>
        <w:rPr>
          <w:rFonts w:hint="eastAsia" w:ascii="宋体" w:hAnsi="宋体" w:cs="宋体"/>
          <w:kern w:val="0"/>
          <w:szCs w:val="21"/>
        </w:rPr>
        <w:t>约行为承担民事责任的授权函(加盖总所公章)，且不接受同一家总所授权两家或以上分支机构同时</w:t>
      </w:r>
      <w:r>
        <w:rPr>
          <w:rFonts w:hint="eastAsia" w:ascii="宋体" w:hAnsi="宋体" w:cs="宋体"/>
          <w:kern w:val="0"/>
          <w:szCs w:val="21"/>
          <w:lang w:val="en-US" w:eastAsia="zh-CN"/>
        </w:rPr>
        <w:t>参</w:t>
      </w:r>
      <w:r>
        <w:rPr>
          <w:rFonts w:hint="eastAsia" w:ascii="宋体" w:hAnsi="宋体" w:cs="宋体"/>
          <w:kern w:val="0"/>
          <w:szCs w:val="21"/>
        </w:rPr>
        <w:t>与本项目投标，也不接受总所与其分支机构同时多与投标，如出现上述情形，该两家或以上供应商的投标文件均按无效投标处理)；</w:t>
      </w:r>
    </w:p>
    <w:p w14:paraId="5BB47FC7">
      <w:pPr>
        <w:ind w:firstLine="630" w:firstLineChars="300"/>
        <w:rPr>
          <w:rFonts w:ascii="宋体" w:hAnsi="宋体" w:cs="宋体"/>
          <w:kern w:val="0"/>
          <w:szCs w:val="21"/>
        </w:rPr>
      </w:pPr>
      <w:r>
        <w:rPr>
          <w:rFonts w:hint="eastAsia" w:ascii="宋体" w:hAnsi="宋体" w:cs="宋体"/>
          <w:kern w:val="0"/>
          <w:szCs w:val="21"/>
        </w:rPr>
        <w:t>2.本项目不接受联合体投标，不接受投标人选用进口产品参与投标（由供应商在《采购投标及履约承诺函》中作出声明）；</w:t>
      </w:r>
    </w:p>
    <w:p w14:paraId="55F56D3A">
      <w:pPr>
        <w:ind w:firstLine="630" w:firstLineChars="300"/>
        <w:rPr>
          <w:rFonts w:ascii="宋体" w:hAnsi="宋体" w:cs="宋体"/>
          <w:kern w:val="0"/>
          <w:szCs w:val="21"/>
        </w:rPr>
      </w:pPr>
      <w:r>
        <w:rPr>
          <w:rFonts w:hint="eastAsia" w:ascii="宋体" w:hAnsi="宋体" w:cs="宋体"/>
          <w:kern w:val="0"/>
          <w:szCs w:val="21"/>
        </w:rPr>
        <w:t>3</w:t>
      </w:r>
      <w:r>
        <w:rPr>
          <w:rFonts w:ascii="宋体" w:hAnsi="宋体" w:cs="宋体"/>
          <w:kern w:val="0"/>
          <w:szCs w:val="21"/>
        </w:rPr>
        <w:t>.</w:t>
      </w:r>
      <w:r>
        <w:rPr>
          <w:rFonts w:hint="eastAsia" w:ascii="宋体" w:hAnsi="宋体" w:cs="宋体"/>
          <w:kern w:val="0"/>
          <w:szCs w:val="21"/>
        </w:rPr>
        <w:t>参与本项目采购活动时不存在被有关部门禁止</w:t>
      </w:r>
      <w:bookmarkStart w:id="107" w:name="_GoBack"/>
      <w:bookmarkEnd w:id="107"/>
      <w:r>
        <w:rPr>
          <w:rFonts w:hint="eastAsia" w:ascii="宋体" w:hAnsi="宋体" w:cs="宋体"/>
          <w:kern w:val="0"/>
          <w:szCs w:val="21"/>
        </w:rPr>
        <w:t>参与政府采购活动且在有效期内的情况（由供应商在《采购投标及履约承诺函》中作出声明）；</w:t>
      </w:r>
    </w:p>
    <w:p w14:paraId="6B1BC3CD">
      <w:pPr>
        <w:ind w:firstLine="630" w:firstLineChars="300"/>
        <w:rPr>
          <w:rFonts w:ascii="宋体" w:hAnsi="宋体" w:cs="宋体"/>
          <w:kern w:val="0"/>
          <w:szCs w:val="21"/>
        </w:rPr>
      </w:pPr>
      <w:r>
        <w:rPr>
          <w:rFonts w:hint="eastAsia" w:ascii="宋体" w:hAnsi="宋体" w:cs="宋体"/>
          <w:kern w:val="0"/>
          <w:szCs w:val="21"/>
        </w:rPr>
        <w:t>4</w:t>
      </w:r>
      <w:r>
        <w:rPr>
          <w:rFonts w:ascii="宋体" w:hAnsi="宋体" w:cs="宋体"/>
          <w:kern w:val="0"/>
          <w:szCs w:val="21"/>
        </w:rPr>
        <w:t>.</w:t>
      </w:r>
      <w:r>
        <w:rPr>
          <w:rFonts w:hint="eastAsia" w:ascii="宋体" w:hAnsi="宋体" w:cs="宋体"/>
          <w:kern w:val="0"/>
          <w:szCs w:val="21"/>
        </w:rPr>
        <w:t>具备《中华人民共和国政府采购法》第二十二条第一款的条件（由供应商在《采购投标及履约承诺函》中作出声明）；</w:t>
      </w:r>
    </w:p>
    <w:p w14:paraId="45D9A388">
      <w:pPr>
        <w:ind w:firstLine="630" w:firstLineChars="300"/>
        <w:rPr>
          <w:rFonts w:ascii="宋体" w:hAnsi="宋体" w:cs="宋体"/>
          <w:kern w:val="0"/>
          <w:szCs w:val="21"/>
        </w:rPr>
      </w:pPr>
      <w:r>
        <w:rPr>
          <w:rFonts w:hint="eastAsia" w:ascii="宋体" w:hAnsi="宋体" w:cs="宋体"/>
          <w:kern w:val="0"/>
          <w:szCs w:val="21"/>
        </w:rPr>
        <w:t>5</w:t>
      </w:r>
      <w:r>
        <w:rPr>
          <w:rFonts w:ascii="宋体" w:hAnsi="宋体" w:cs="宋体"/>
          <w:kern w:val="0"/>
          <w:szCs w:val="21"/>
        </w:rPr>
        <w:t>.</w:t>
      </w:r>
      <w:r>
        <w:rPr>
          <w:rFonts w:hint="eastAsia" w:ascii="宋体" w:hAnsi="宋体" w:cs="宋体"/>
          <w:kern w:val="0"/>
          <w:szCs w:val="21"/>
        </w:rPr>
        <w:t>未被列入失信被执行人、重大税收违法案件当事人名单、政府采购严重违法失信行为记录名单（由供应商在《采购投标及履约承诺函》中作出声明）；</w:t>
      </w:r>
    </w:p>
    <w:p w14:paraId="57556CEB">
      <w:pPr>
        <w:ind w:firstLine="630" w:firstLineChars="300"/>
        <w:rPr>
          <w:rFonts w:ascii="宋体" w:hAnsi="宋体" w:cs="宋体"/>
          <w:color w:val="FF0000"/>
          <w:kern w:val="0"/>
          <w:szCs w:val="21"/>
        </w:rPr>
      </w:pPr>
      <w:r>
        <w:rPr>
          <w:rFonts w:hint="eastAsia" w:ascii="宋体" w:hAnsi="宋体" w:cs="宋体"/>
          <w:color w:val="FF0000"/>
          <w:kern w:val="0"/>
          <w:szCs w:val="21"/>
        </w:rPr>
        <w:t>6.不存在《深圳市财政局政府采购供应商信用信息管理办法》（深财规〔2023〕3号）列明的严重违法失信行为（由供应商在《采购投标及履约承诺函》中作出声明）；</w:t>
      </w:r>
    </w:p>
    <w:p w14:paraId="624B624D">
      <w:pPr>
        <w:ind w:firstLine="630" w:firstLineChars="300"/>
        <w:rPr>
          <w:rFonts w:ascii="宋体" w:hAnsi="宋体" w:cs="宋体"/>
          <w:kern w:val="0"/>
          <w:szCs w:val="21"/>
        </w:rPr>
      </w:pPr>
      <w:r>
        <w:rPr>
          <w:rFonts w:hint="eastAsia" w:ascii="宋体" w:hAnsi="宋体" w:cs="宋体"/>
          <w:kern w:val="0"/>
          <w:szCs w:val="21"/>
        </w:rPr>
        <w:t>7.为采购项目提供整体设计、规范编制或者项目管理、监理、检测等服务的供应商，不得再参加该采购项目的其他采购活动（由供应商在《采购投标及履约承诺函》中作出声明）；</w:t>
      </w:r>
    </w:p>
    <w:p w14:paraId="4746D985">
      <w:pPr>
        <w:ind w:firstLine="630" w:firstLineChars="300"/>
        <w:rPr>
          <w:rFonts w:ascii="宋体" w:hAnsi="宋体" w:cs="宋体"/>
          <w:color w:val="FF0000"/>
          <w:kern w:val="0"/>
          <w:szCs w:val="21"/>
        </w:rPr>
      </w:pPr>
      <w:r>
        <w:rPr>
          <w:rFonts w:hint="eastAsia" w:ascii="宋体" w:hAnsi="宋体" w:cs="宋体"/>
          <w:color w:val="FF0000"/>
          <w:kern w:val="0"/>
          <w:szCs w:val="21"/>
        </w:rPr>
        <w:t>8.不同供应商的法定代表人、主要经营负责人、投标授权代表人、项目负责人、主要技术人员不得为同一人、属同一单位或者在同一单位缴纳社会保险；单位负责人为同一人或者存在直接控股、管理关系的不同供应商，不得参加本项目采购活动。如存在上述情形，相关供应商资格审查均不通过，按投标无效处理</w:t>
      </w:r>
      <w:r>
        <w:rPr>
          <w:rFonts w:hint="eastAsia" w:ascii="宋体" w:hAnsi="宋体" w:cs="宋体"/>
          <w:b/>
          <w:color w:val="FF0000"/>
          <w:kern w:val="0"/>
          <w:szCs w:val="21"/>
        </w:rPr>
        <w:t>（由供应商提供《供应商基本情况表》并加盖公章扫描件）；</w:t>
      </w:r>
    </w:p>
    <w:p w14:paraId="35F15F40">
      <w:pPr>
        <w:ind w:firstLine="630" w:firstLineChars="300"/>
        <w:rPr>
          <w:rFonts w:hint="eastAsia" w:ascii="宋体" w:hAnsi="宋体" w:cs="宋体"/>
          <w:kern w:val="0"/>
          <w:szCs w:val="21"/>
        </w:rPr>
      </w:pPr>
      <w:r>
        <w:rPr>
          <w:rFonts w:hint="eastAsia" w:ascii="宋体" w:hAnsi="宋体" w:cs="宋体"/>
          <w:kern w:val="0"/>
          <w:szCs w:val="21"/>
        </w:rPr>
        <w:t>9.本项目为非专门面向中小企业采购项目。</w:t>
      </w:r>
    </w:p>
    <w:p w14:paraId="32499789">
      <w:pPr>
        <w:ind w:firstLine="420" w:firstLineChars="200"/>
        <w:rPr>
          <w:rFonts w:ascii="宋体" w:hAnsi="宋体" w:cs="宋体"/>
          <w:kern w:val="0"/>
          <w:szCs w:val="21"/>
        </w:rPr>
      </w:pPr>
      <w:r>
        <w:rPr>
          <w:rFonts w:hint="eastAsia" w:ascii="宋体" w:hAnsi="宋体" w:cs="宋体"/>
          <w:kern w:val="0"/>
          <w:szCs w:val="21"/>
        </w:rPr>
        <w:t>注：（1）“信用中国”（www.creditchina.gov.cn，查询“信用服务”栏的“重大税收违法失信主体”“失信被执行人”或者下载信用信息报告），“中国政府采购网”（www.ccgp.gov.cn）中的“政府采购严重违法失信行为记录名单”，以及“深圳市政府采购监管网”（http://zfcg.sz.gov.cn）为供应商信用信息的查询渠道，相关信息以开标当日的查询结果为准；</w:t>
      </w:r>
    </w:p>
    <w:p w14:paraId="04B742C8">
      <w:pPr>
        <w:numPr>
          <w:ilvl w:val="0"/>
          <w:numId w:val="3"/>
        </w:numPr>
        <w:ind w:firstLine="420" w:firstLineChars="200"/>
        <w:rPr>
          <w:rFonts w:hint="eastAsia" w:ascii="宋体" w:hAnsi="宋体"/>
        </w:rPr>
      </w:pPr>
      <w:r>
        <w:rPr>
          <w:rFonts w:hint="eastAsia" w:ascii="宋体" w:hAnsi="宋体"/>
        </w:rPr>
        <w:t>供应商投标（上传投标文件）必须先行办理注册手续，具体操作指引请按照深圳公共资源交易网/交易服务指南/资料下载/深圳自行采购系统用户操作指引（供应商）相关内容指引办理。</w:t>
      </w:r>
    </w:p>
    <w:p w14:paraId="37D46CC4">
      <w:pPr>
        <w:pStyle w:val="2"/>
        <w:numPr>
          <w:ilvl w:val="-1"/>
          <w:numId w:val="0"/>
        </w:numPr>
      </w:pPr>
    </w:p>
    <w:p w14:paraId="09D0BAB7">
      <w:pPr>
        <w:tabs>
          <w:tab w:val="right" w:leader="dot" w:pos="8296"/>
        </w:tabs>
        <w:jc w:val="left"/>
        <w:rPr>
          <w:color w:val="FF0000"/>
        </w:rPr>
      </w:pPr>
      <w:r>
        <w:rPr>
          <w:rFonts w:hint="eastAsia" w:ascii="宋体" w:hAnsi="宋体" w:eastAsia="宋体" w:cs="宋体"/>
          <w:b/>
          <w:bCs/>
          <w:smallCaps/>
          <w:color w:val="FF0000"/>
          <w:kern w:val="0"/>
          <w:sz w:val="21"/>
          <w:szCs w:val="21"/>
          <w:highlight w:val="none"/>
          <w:lang w:val="en-US" w:eastAsia="zh-CN" w:bidi="ar-SA"/>
        </w:rPr>
        <w:t>二、本项目不属于政府采购项目，有关采购程序和要求参照政府采购的有关法律法规执行，监管主体为深圳市总工会。有关供应商的争议处理等最终由监管主体负责，供应商在采购文件提供期间未提出异议的视为知悉并认可相关要求。</w:t>
      </w:r>
    </w:p>
    <w:p w14:paraId="281D4E46">
      <w:pPr>
        <w:pStyle w:val="3"/>
      </w:pPr>
    </w:p>
    <w:p w14:paraId="60DE578C">
      <w:pPr>
        <w:jc w:val="left"/>
        <w:rPr>
          <w:b/>
          <w:sz w:val="22"/>
          <w:szCs w:val="18"/>
        </w:rPr>
      </w:pPr>
      <w:r>
        <w:rPr>
          <w:rFonts w:hint="eastAsia"/>
          <w:b/>
          <w:sz w:val="22"/>
          <w:szCs w:val="18"/>
        </w:rPr>
        <w:t>完整公告内容详见：深圳交易集团（深圳公共资源交易中心）官网https://www.szexgrp.com/jyfw/zfcg-view.html?id=zfcg</w:t>
      </w:r>
    </w:p>
    <w:p w14:paraId="6FB52E44">
      <w:pPr>
        <w:pStyle w:val="7"/>
        <w:jc w:val="center"/>
        <w:rPr>
          <w:sz w:val="28"/>
          <w:szCs w:val="28"/>
        </w:rPr>
      </w:pPr>
      <w:bookmarkStart w:id="6" w:name="bt本工程承诺书"/>
      <w:bookmarkEnd w:id="6"/>
      <w:bookmarkStart w:id="7" w:name="bt合同条款及格式"/>
      <w:bookmarkEnd w:id="7"/>
      <w:bookmarkStart w:id="8" w:name="合同格式"/>
      <w:bookmarkEnd w:id="8"/>
      <w:bookmarkStart w:id="9" w:name="bt其他资料由投标人自定"/>
      <w:bookmarkEnd w:id="9"/>
      <w:bookmarkStart w:id="10" w:name="bt合同条款"/>
      <w:bookmarkEnd w:id="10"/>
      <w:bookmarkStart w:id="11" w:name="bt项目管理班子配备情况"/>
      <w:bookmarkEnd w:id="11"/>
      <w:bookmarkStart w:id="12" w:name="bt投标函"/>
      <w:bookmarkEnd w:id="12"/>
      <w:bookmarkStart w:id="13" w:name="bt投标人情况介绍"/>
      <w:bookmarkEnd w:id="13"/>
      <w:bookmarkStart w:id="14" w:name="bt投标人须知"/>
      <w:bookmarkEnd w:id="14"/>
      <w:bookmarkStart w:id="15" w:name="bt投标文件签署授权委托书"/>
      <w:bookmarkEnd w:id="15"/>
      <w:bookmarkStart w:id="16" w:name="bt其他资料2"/>
      <w:bookmarkEnd w:id="16"/>
      <w:bookmarkStart w:id="17" w:name="bt商务标投标文件格式"/>
      <w:bookmarkEnd w:id="17"/>
      <w:bookmarkStart w:id="18" w:name="bt说明"/>
      <w:bookmarkEnd w:id="18"/>
      <w:bookmarkStart w:id="19" w:name="bt合同格式"/>
      <w:bookmarkEnd w:id="19"/>
      <w:bookmarkStart w:id="20" w:name="bt开标一览表"/>
      <w:bookmarkEnd w:id="20"/>
      <w:bookmarkStart w:id="21" w:name="bt投标报价汇总表"/>
      <w:bookmarkEnd w:id="21"/>
      <w:bookmarkStart w:id="22" w:name="bt技术标投标文件格式"/>
      <w:bookmarkEnd w:id="22"/>
      <w:r>
        <w:rPr>
          <w:rFonts w:hint="eastAsia"/>
          <w:sz w:val="28"/>
          <w:szCs w:val="28"/>
        </w:rPr>
        <w:t>第二章 对通用条款的补充内容及其他关键信息</w:t>
      </w:r>
    </w:p>
    <w:p w14:paraId="088C38F0">
      <w:pPr>
        <w:pStyle w:val="7"/>
        <w:spacing w:before="156" w:beforeLines="50" w:after="156" w:afterLines="50"/>
        <w:rPr>
          <w:sz w:val="28"/>
          <w:szCs w:val="28"/>
        </w:rPr>
      </w:pPr>
      <w:bookmarkStart w:id="23" w:name="_Toc60560625"/>
      <w:bookmarkStart w:id="24" w:name="_Toc73521635"/>
      <w:bookmarkStart w:id="25" w:name="_Toc73521547"/>
      <w:bookmarkStart w:id="26" w:name="_Toc100052364"/>
      <w:bookmarkStart w:id="27" w:name="_Toc60631620"/>
      <w:bookmarkStart w:id="28" w:name="_Toc73517639"/>
      <w:bookmarkStart w:id="29" w:name="_Toc101074876"/>
      <w:bookmarkStart w:id="30" w:name="_Toc73518117"/>
      <w:r>
        <w:rPr>
          <w:rFonts w:hint="eastAsia"/>
          <w:szCs w:val="24"/>
        </w:rPr>
        <w:t>一、对通用条款的补充内容</w:t>
      </w:r>
    </w:p>
    <w:bookmarkEnd w:id="23"/>
    <w:bookmarkEnd w:id="24"/>
    <w:bookmarkEnd w:id="25"/>
    <w:bookmarkEnd w:id="26"/>
    <w:bookmarkEnd w:id="27"/>
    <w:bookmarkEnd w:id="28"/>
    <w:bookmarkEnd w:id="29"/>
    <w:bookmarkEnd w:id="30"/>
    <w:tbl>
      <w:tblPr>
        <w:tblStyle w:val="13"/>
        <w:tblW w:w="9483"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970"/>
        <w:gridCol w:w="1946"/>
        <w:gridCol w:w="6567"/>
      </w:tblGrid>
      <w:tr w14:paraId="499303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56000D07">
            <w:pPr>
              <w:keepNext w:val="0"/>
              <w:keepLines w:val="0"/>
              <w:suppressLineNumbers w:val="0"/>
              <w:spacing w:before="0" w:beforeAutospacing="0" w:after="0" w:afterAutospacing="0"/>
              <w:ind w:left="0" w:right="0"/>
              <w:jc w:val="center"/>
              <w:rPr>
                <w:rFonts w:hint="default" w:asciiTheme="minorEastAsia" w:hAnsiTheme="minorEastAsia" w:eastAsiaTheme="minorEastAsia"/>
                <w:b/>
                <w:bCs/>
              </w:rPr>
            </w:pPr>
            <w:r>
              <w:rPr>
                <w:rFonts w:hint="eastAsia" w:asciiTheme="minorEastAsia" w:hAnsiTheme="minorEastAsia" w:eastAsiaTheme="minorEastAsia"/>
                <w:b/>
                <w:bCs/>
              </w:rPr>
              <w:t>通用条款序号</w:t>
            </w:r>
          </w:p>
        </w:tc>
        <w:tc>
          <w:tcPr>
            <w:tcW w:w="1946" w:type="dxa"/>
            <w:vAlign w:val="center"/>
          </w:tcPr>
          <w:p w14:paraId="6D2AF7C3">
            <w:pPr>
              <w:keepNext w:val="0"/>
              <w:keepLines w:val="0"/>
              <w:suppressLineNumbers w:val="0"/>
              <w:spacing w:before="0" w:beforeAutospacing="0" w:after="0" w:afterAutospacing="0"/>
              <w:ind w:left="0" w:right="0"/>
              <w:jc w:val="center"/>
              <w:rPr>
                <w:rFonts w:hint="default" w:asciiTheme="minorEastAsia" w:hAnsiTheme="minorEastAsia" w:eastAsiaTheme="minorEastAsia"/>
                <w:b/>
                <w:bCs/>
              </w:rPr>
            </w:pPr>
            <w:r>
              <w:rPr>
                <w:rFonts w:hint="eastAsia" w:asciiTheme="minorEastAsia" w:hAnsiTheme="minorEastAsia" w:eastAsiaTheme="minorEastAsia"/>
                <w:b/>
                <w:bCs/>
              </w:rPr>
              <w:t>涉及事项</w:t>
            </w:r>
          </w:p>
        </w:tc>
        <w:tc>
          <w:tcPr>
            <w:tcW w:w="6567" w:type="dxa"/>
            <w:vAlign w:val="center"/>
          </w:tcPr>
          <w:p w14:paraId="5950431B">
            <w:pPr>
              <w:keepNext w:val="0"/>
              <w:keepLines w:val="0"/>
              <w:suppressLineNumbers w:val="0"/>
              <w:spacing w:before="0" w:beforeAutospacing="0" w:after="0" w:afterAutospacing="0"/>
              <w:ind w:left="0" w:right="0"/>
              <w:jc w:val="center"/>
              <w:rPr>
                <w:rFonts w:hint="default" w:asciiTheme="minorEastAsia" w:hAnsiTheme="minorEastAsia" w:eastAsiaTheme="minorEastAsia"/>
                <w:b/>
                <w:bCs/>
              </w:rPr>
            </w:pPr>
            <w:r>
              <w:rPr>
                <w:rFonts w:hint="eastAsia" w:asciiTheme="minorEastAsia" w:hAnsiTheme="minorEastAsia" w:eastAsiaTheme="minorEastAsia"/>
                <w:b/>
                <w:bCs/>
              </w:rPr>
              <w:t xml:space="preserve">具 </w:t>
            </w:r>
            <w:r>
              <w:rPr>
                <w:rFonts w:hint="default" w:asciiTheme="minorEastAsia" w:hAnsiTheme="minorEastAsia" w:eastAsiaTheme="minorEastAsia"/>
                <w:b/>
                <w:bCs/>
              </w:rPr>
              <w:t xml:space="preserve"> </w:t>
            </w:r>
            <w:r>
              <w:rPr>
                <w:rFonts w:hint="eastAsia" w:asciiTheme="minorEastAsia" w:hAnsiTheme="minorEastAsia" w:eastAsiaTheme="minorEastAsia"/>
                <w:b/>
                <w:bCs/>
              </w:rPr>
              <w:t xml:space="preserve">体 </w:t>
            </w:r>
            <w:r>
              <w:rPr>
                <w:rFonts w:hint="default" w:asciiTheme="minorEastAsia" w:hAnsiTheme="minorEastAsia" w:eastAsiaTheme="minorEastAsia"/>
                <w:b/>
                <w:bCs/>
              </w:rPr>
              <w:t xml:space="preserve"> </w:t>
            </w:r>
            <w:r>
              <w:rPr>
                <w:rFonts w:hint="eastAsia" w:asciiTheme="minorEastAsia" w:hAnsiTheme="minorEastAsia" w:eastAsiaTheme="minorEastAsia"/>
                <w:b/>
                <w:bCs/>
              </w:rPr>
              <w:t xml:space="preserve">补 </w:t>
            </w:r>
            <w:r>
              <w:rPr>
                <w:rFonts w:hint="default" w:asciiTheme="minorEastAsia" w:hAnsiTheme="minorEastAsia" w:eastAsiaTheme="minorEastAsia"/>
                <w:b/>
                <w:bCs/>
              </w:rPr>
              <w:t xml:space="preserve"> </w:t>
            </w:r>
            <w:r>
              <w:rPr>
                <w:rFonts w:hint="eastAsia" w:asciiTheme="minorEastAsia" w:hAnsiTheme="minorEastAsia" w:eastAsiaTheme="minorEastAsia"/>
                <w:b/>
                <w:bCs/>
              </w:rPr>
              <w:t xml:space="preserve">充 </w:t>
            </w:r>
            <w:r>
              <w:rPr>
                <w:rFonts w:hint="default" w:asciiTheme="minorEastAsia" w:hAnsiTheme="minorEastAsia" w:eastAsiaTheme="minorEastAsia"/>
                <w:b/>
                <w:bCs/>
              </w:rPr>
              <w:t xml:space="preserve"> </w:t>
            </w:r>
            <w:r>
              <w:rPr>
                <w:rFonts w:hint="eastAsia" w:asciiTheme="minorEastAsia" w:hAnsiTheme="minorEastAsia" w:eastAsiaTheme="minorEastAsia"/>
                <w:b/>
                <w:bCs/>
              </w:rPr>
              <w:t xml:space="preserve">内 </w:t>
            </w:r>
            <w:r>
              <w:rPr>
                <w:rFonts w:hint="default" w:asciiTheme="minorEastAsia" w:hAnsiTheme="minorEastAsia" w:eastAsiaTheme="minorEastAsia"/>
                <w:b/>
                <w:bCs/>
              </w:rPr>
              <w:t xml:space="preserve"> </w:t>
            </w:r>
            <w:r>
              <w:rPr>
                <w:rFonts w:hint="eastAsia" w:asciiTheme="minorEastAsia" w:hAnsiTheme="minorEastAsia" w:eastAsiaTheme="minorEastAsia"/>
                <w:b/>
                <w:bCs/>
              </w:rPr>
              <w:t>容</w:t>
            </w:r>
          </w:p>
        </w:tc>
      </w:tr>
      <w:tr w14:paraId="79C1052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483" w:type="dxa"/>
            <w:gridSpan w:val="3"/>
            <w:vAlign w:val="center"/>
          </w:tcPr>
          <w:p w14:paraId="2259E21E">
            <w:pPr>
              <w:keepNext w:val="0"/>
              <w:keepLines w:val="0"/>
              <w:suppressLineNumbers w:val="0"/>
              <w:spacing w:before="0" w:beforeAutospacing="0" w:after="0" w:afterAutospacing="0"/>
              <w:ind w:left="0" w:right="0"/>
              <w:jc w:val="center"/>
              <w:rPr>
                <w:rFonts w:hint="default" w:asciiTheme="minorEastAsia" w:hAnsiTheme="minorEastAsia" w:eastAsiaTheme="minorEastAsia"/>
                <w:b/>
                <w:bCs/>
              </w:rPr>
            </w:pPr>
            <w:r>
              <w:rPr>
                <w:rFonts w:hint="eastAsia" w:asciiTheme="minorEastAsia" w:hAnsiTheme="minorEastAsia" w:eastAsiaTheme="minorEastAsia"/>
              </w:rPr>
              <w:t>本项目为自行采购项目，相关事宜按照招标文件要求及采购单位内控制度执行。</w:t>
            </w:r>
          </w:p>
        </w:tc>
      </w:tr>
      <w:tr w14:paraId="5C6D9AD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429C66F4">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3</w:t>
            </w:r>
            <w:r>
              <w:rPr>
                <w:rFonts w:hint="default" w:asciiTheme="minorEastAsia" w:hAnsiTheme="minorEastAsia" w:eastAsiaTheme="minorEastAsia"/>
              </w:rPr>
              <w:t>.1</w:t>
            </w:r>
          </w:p>
        </w:tc>
        <w:tc>
          <w:tcPr>
            <w:tcW w:w="1946" w:type="dxa"/>
            <w:vAlign w:val="center"/>
          </w:tcPr>
          <w:p w14:paraId="1DA2926C">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采购人</w:t>
            </w:r>
          </w:p>
        </w:tc>
        <w:tc>
          <w:tcPr>
            <w:tcW w:w="6567" w:type="dxa"/>
            <w:vAlign w:val="center"/>
          </w:tcPr>
          <w:p w14:paraId="5B6873B8">
            <w:pPr>
              <w:keepNext w:val="0"/>
              <w:keepLines w:val="0"/>
              <w:suppressLineNumbers w:val="0"/>
              <w:spacing w:before="0" w:beforeAutospacing="0" w:after="0" w:afterAutospacing="0"/>
              <w:ind w:left="0" w:right="0"/>
              <w:jc w:val="center"/>
              <w:rPr>
                <w:rFonts w:hint="default" w:asciiTheme="minorEastAsia" w:hAnsiTheme="minorEastAsia" w:eastAsiaTheme="minorEastAsia"/>
                <w:lang w:val="en-US" w:eastAsia="zh-CN"/>
              </w:rPr>
            </w:pPr>
            <w:r>
              <w:rPr>
                <w:rFonts w:hint="eastAsia" w:asciiTheme="minorEastAsia" w:hAnsiTheme="minorEastAsia" w:eastAsiaTheme="minorEastAsia"/>
                <w:lang w:val="en-US" w:eastAsia="zh-CN"/>
              </w:rPr>
              <w:t>深圳市总工会</w:t>
            </w:r>
          </w:p>
        </w:tc>
      </w:tr>
      <w:tr w14:paraId="4BE43D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3F3A948E">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3</w:t>
            </w:r>
            <w:r>
              <w:rPr>
                <w:rFonts w:hint="default" w:asciiTheme="minorEastAsia" w:hAnsiTheme="minorEastAsia" w:eastAsiaTheme="minorEastAsia"/>
              </w:rPr>
              <w:t>.2</w:t>
            </w:r>
          </w:p>
        </w:tc>
        <w:tc>
          <w:tcPr>
            <w:tcW w:w="1946" w:type="dxa"/>
            <w:vAlign w:val="center"/>
          </w:tcPr>
          <w:p w14:paraId="157B2A6C">
            <w:pPr>
              <w:keepNext w:val="0"/>
              <w:keepLines w:val="0"/>
              <w:suppressLineNumbers w:val="0"/>
              <w:spacing w:before="0" w:beforeAutospacing="0" w:after="0" w:afterAutospacing="0"/>
              <w:ind w:left="0" w:right="0"/>
              <w:jc w:val="center"/>
              <w:rPr>
                <w:rFonts w:hint="default" w:asciiTheme="minorEastAsia" w:hAnsiTheme="minorEastAsia" w:eastAsiaTheme="minorEastAsia"/>
                <w:highlight w:val="none"/>
              </w:rPr>
            </w:pPr>
            <w:r>
              <w:rPr>
                <w:rFonts w:hint="eastAsia" w:asciiTheme="minorEastAsia" w:hAnsiTheme="minorEastAsia" w:eastAsiaTheme="minorEastAsia"/>
                <w:highlight w:val="none"/>
              </w:rPr>
              <w:t>采购代理机构</w:t>
            </w:r>
          </w:p>
        </w:tc>
        <w:tc>
          <w:tcPr>
            <w:tcW w:w="6567" w:type="dxa"/>
            <w:vAlign w:val="center"/>
          </w:tcPr>
          <w:p w14:paraId="38789ABA">
            <w:pPr>
              <w:keepNext w:val="0"/>
              <w:keepLines w:val="0"/>
              <w:suppressLineNumbers w:val="0"/>
              <w:spacing w:before="0" w:beforeAutospacing="0" w:after="0" w:afterAutospacing="0"/>
              <w:ind w:left="0" w:right="0"/>
              <w:jc w:val="center"/>
              <w:rPr>
                <w:rFonts w:hint="default" w:asciiTheme="minorEastAsia" w:hAnsiTheme="minorEastAsia" w:eastAsiaTheme="minorEastAsia"/>
                <w:highlight w:val="none"/>
              </w:rPr>
            </w:pPr>
            <w:r>
              <w:rPr>
                <w:rFonts w:hint="eastAsia" w:asciiTheme="minorEastAsia" w:hAnsiTheme="minorEastAsia" w:eastAsiaTheme="minorEastAsia"/>
                <w:highlight w:val="none"/>
              </w:rPr>
              <w:t>深圳公共资源交易中心</w:t>
            </w:r>
          </w:p>
          <w:p w14:paraId="2751C13C">
            <w:pPr>
              <w:keepNext w:val="0"/>
              <w:keepLines w:val="0"/>
              <w:suppressLineNumbers w:val="0"/>
              <w:spacing w:before="0" w:beforeAutospacing="0" w:after="0" w:afterAutospacing="0"/>
              <w:ind w:left="0" w:right="0"/>
              <w:jc w:val="center"/>
              <w:rPr>
                <w:rFonts w:hint="default" w:asciiTheme="minorEastAsia" w:hAnsiTheme="minorEastAsia" w:eastAsiaTheme="minorEastAsia"/>
                <w:highlight w:val="none"/>
              </w:rPr>
            </w:pPr>
            <w:r>
              <w:rPr>
                <w:rFonts w:hint="eastAsia" w:asciiTheme="minorEastAsia" w:hAnsiTheme="minorEastAsia" w:eastAsiaTheme="minorEastAsia"/>
                <w:highlight w:val="none"/>
              </w:rPr>
              <w:t>（深圳交易集团有限公司政府采购业务分公司）</w:t>
            </w:r>
          </w:p>
        </w:tc>
      </w:tr>
      <w:tr w14:paraId="4A83DB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6079D4E0">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9</w:t>
            </w:r>
          </w:p>
        </w:tc>
        <w:tc>
          <w:tcPr>
            <w:tcW w:w="1946" w:type="dxa"/>
            <w:vAlign w:val="center"/>
          </w:tcPr>
          <w:p w14:paraId="02C80B0D">
            <w:pPr>
              <w:keepNext w:val="0"/>
              <w:keepLines w:val="0"/>
              <w:suppressLineNumbers w:val="0"/>
              <w:spacing w:before="0" w:beforeAutospacing="0" w:after="0" w:afterAutospacing="0"/>
              <w:ind w:left="0" w:right="0"/>
              <w:jc w:val="center"/>
              <w:rPr>
                <w:rFonts w:hint="default" w:asciiTheme="minorEastAsia" w:hAnsiTheme="minorEastAsia" w:eastAsiaTheme="minorEastAsia"/>
                <w:highlight w:val="none"/>
              </w:rPr>
            </w:pPr>
            <w:r>
              <w:rPr>
                <w:rFonts w:hint="eastAsia" w:asciiTheme="minorEastAsia" w:hAnsiTheme="minorEastAsia" w:eastAsiaTheme="minorEastAsia"/>
                <w:highlight w:val="none"/>
              </w:rPr>
              <w:t>踏勘现场</w:t>
            </w:r>
          </w:p>
        </w:tc>
        <w:tc>
          <w:tcPr>
            <w:tcW w:w="6567" w:type="dxa"/>
            <w:vAlign w:val="center"/>
          </w:tcPr>
          <w:p w14:paraId="46E5DCAB">
            <w:pPr>
              <w:keepNext w:val="0"/>
              <w:keepLines w:val="0"/>
              <w:suppressLineNumbers w:val="0"/>
              <w:spacing w:before="0" w:beforeAutospacing="0" w:after="0" w:afterAutospacing="0"/>
              <w:ind w:left="0" w:right="0"/>
              <w:jc w:val="center"/>
              <w:rPr>
                <w:rFonts w:hint="default" w:asciiTheme="minorEastAsia" w:hAnsiTheme="minorEastAsia" w:eastAsiaTheme="minorEastAsia"/>
                <w:highlight w:val="none"/>
              </w:rPr>
            </w:pPr>
            <w:r>
              <w:rPr>
                <w:rFonts w:hint="eastAsia" w:asciiTheme="minorEastAsia" w:hAnsiTheme="minorEastAsia" w:eastAsiaTheme="minorEastAsia"/>
                <w:highlight w:val="none"/>
              </w:rPr>
              <w:t>不组织</w:t>
            </w:r>
          </w:p>
        </w:tc>
      </w:tr>
      <w:tr w14:paraId="5BC932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27E67720">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1</w:t>
            </w:r>
            <w:r>
              <w:rPr>
                <w:rFonts w:hint="default" w:asciiTheme="minorEastAsia" w:hAnsiTheme="minorEastAsia" w:eastAsiaTheme="minorEastAsia"/>
              </w:rPr>
              <w:t>0</w:t>
            </w:r>
          </w:p>
        </w:tc>
        <w:tc>
          <w:tcPr>
            <w:tcW w:w="1946" w:type="dxa"/>
            <w:vAlign w:val="center"/>
          </w:tcPr>
          <w:p w14:paraId="30DCEB27">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标前会议</w:t>
            </w:r>
          </w:p>
        </w:tc>
        <w:tc>
          <w:tcPr>
            <w:tcW w:w="6567" w:type="dxa"/>
            <w:vAlign w:val="center"/>
          </w:tcPr>
          <w:p w14:paraId="64925DB2">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不组织</w:t>
            </w:r>
          </w:p>
        </w:tc>
      </w:tr>
      <w:tr w14:paraId="7162C8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77A6C968">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1</w:t>
            </w:r>
            <w:r>
              <w:rPr>
                <w:rFonts w:hint="default" w:asciiTheme="minorEastAsia" w:hAnsiTheme="minorEastAsia" w:eastAsiaTheme="minorEastAsia"/>
              </w:rPr>
              <w:t>2</w:t>
            </w:r>
            <w:r>
              <w:rPr>
                <w:rFonts w:hint="eastAsia" w:asciiTheme="minorEastAsia" w:hAnsiTheme="minorEastAsia" w:eastAsiaTheme="minorEastAsia"/>
              </w:rPr>
              <w:t>/1</w:t>
            </w:r>
            <w:r>
              <w:rPr>
                <w:rFonts w:hint="default" w:asciiTheme="minorEastAsia" w:hAnsiTheme="minorEastAsia" w:eastAsiaTheme="minorEastAsia"/>
              </w:rPr>
              <w:t>3</w:t>
            </w:r>
          </w:p>
        </w:tc>
        <w:tc>
          <w:tcPr>
            <w:tcW w:w="1946" w:type="dxa"/>
            <w:vAlign w:val="center"/>
          </w:tcPr>
          <w:p w14:paraId="000B6978">
            <w:pPr>
              <w:keepNext w:val="0"/>
              <w:keepLines w:val="0"/>
              <w:suppressLineNumbers w:val="0"/>
              <w:spacing w:before="0" w:beforeAutospacing="0" w:after="0" w:afterAutospacing="0"/>
              <w:ind w:left="0" w:right="0"/>
              <w:jc w:val="center"/>
              <w:rPr>
                <w:rFonts w:hint="default" w:asciiTheme="minorEastAsia" w:hAnsiTheme="minorEastAsia" w:eastAsiaTheme="minorEastAsia"/>
                <w:highlight w:val="none"/>
              </w:rPr>
            </w:pPr>
            <w:r>
              <w:rPr>
                <w:rFonts w:hint="eastAsia" w:asciiTheme="minorEastAsia" w:hAnsiTheme="minorEastAsia" w:eastAsiaTheme="minorEastAsia"/>
                <w:highlight w:val="none"/>
              </w:rPr>
              <w:t>招标文件的澄清和修改</w:t>
            </w:r>
          </w:p>
        </w:tc>
        <w:tc>
          <w:tcPr>
            <w:tcW w:w="6567" w:type="dxa"/>
            <w:vAlign w:val="center"/>
          </w:tcPr>
          <w:p w14:paraId="5C5D0D94">
            <w:pPr>
              <w:keepNext w:val="0"/>
              <w:keepLines w:val="0"/>
              <w:suppressLineNumbers w:val="0"/>
              <w:spacing w:before="0" w:beforeAutospacing="0" w:after="0" w:afterAutospacing="0"/>
              <w:ind w:left="0" w:right="0"/>
              <w:jc w:val="left"/>
              <w:rPr>
                <w:rFonts w:hint="default" w:asciiTheme="minorEastAsia" w:hAnsiTheme="minorEastAsia" w:eastAsiaTheme="minorEastAsia"/>
                <w:highlight w:val="none"/>
              </w:rPr>
            </w:pPr>
            <w:r>
              <w:rPr>
                <w:rFonts w:hint="eastAsia" w:asciiTheme="minorEastAsia" w:hAnsiTheme="minorEastAsia" w:eastAsiaTheme="minorEastAsia"/>
                <w:highlight w:val="none"/>
              </w:rPr>
              <w:t>投标截止日三日前，投标人有义务在招标期间在深圳交易集团（深圳公共资源交易中心）网站浏览与本项目有关的澄清和修改信息</w:t>
            </w:r>
          </w:p>
        </w:tc>
      </w:tr>
      <w:tr w14:paraId="18A2C8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6643DCF6">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2</w:t>
            </w:r>
            <w:r>
              <w:rPr>
                <w:rFonts w:hint="default" w:asciiTheme="minorEastAsia" w:hAnsiTheme="minorEastAsia" w:eastAsiaTheme="minorEastAsia"/>
              </w:rPr>
              <w:t>0</w:t>
            </w:r>
          </w:p>
        </w:tc>
        <w:tc>
          <w:tcPr>
            <w:tcW w:w="1946" w:type="dxa"/>
            <w:vAlign w:val="center"/>
          </w:tcPr>
          <w:p w14:paraId="6AA98D7C">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投标有效期</w:t>
            </w:r>
          </w:p>
        </w:tc>
        <w:tc>
          <w:tcPr>
            <w:tcW w:w="6567" w:type="dxa"/>
            <w:vAlign w:val="center"/>
          </w:tcPr>
          <w:p w14:paraId="37E5E602">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120个日历日</w:t>
            </w:r>
          </w:p>
        </w:tc>
      </w:tr>
      <w:tr w14:paraId="752615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29CFCBEB">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2</w:t>
            </w:r>
            <w:r>
              <w:rPr>
                <w:rFonts w:hint="default" w:asciiTheme="minorEastAsia" w:hAnsiTheme="minorEastAsia" w:eastAsiaTheme="minorEastAsia"/>
              </w:rPr>
              <w:t>2</w:t>
            </w:r>
          </w:p>
        </w:tc>
        <w:tc>
          <w:tcPr>
            <w:tcW w:w="1946" w:type="dxa"/>
            <w:vAlign w:val="center"/>
          </w:tcPr>
          <w:p w14:paraId="571CC76F">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投标人的替代方案</w:t>
            </w:r>
          </w:p>
        </w:tc>
        <w:tc>
          <w:tcPr>
            <w:tcW w:w="6567" w:type="dxa"/>
            <w:vAlign w:val="center"/>
          </w:tcPr>
          <w:p w14:paraId="58F546C2">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不接受</w:t>
            </w:r>
          </w:p>
        </w:tc>
      </w:tr>
      <w:tr w14:paraId="49B50D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75507D7E">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2</w:t>
            </w:r>
            <w:r>
              <w:rPr>
                <w:rFonts w:hint="default" w:asciiTheme="minorEastAsia" w:hAnsiTheme="minorEastAsia" w:eastAsiaTheme="minorEastAsia"/>
              </w:rPr>
              <w:t>5</w:t>
            </w:r>
          </w:p>
        </w:tc>
        <w:tc>
          <w:tcPr>
            <w:tcW w:w="1946" w:type="dxa"/>
            <w:vAlign w:val="center"/>
          </w:tcPr>
          <w:p w14:paraId="2845E558">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投标文件的大小</w:t>
            </w:r>
          </w:p>
        </w:tc>
        <w:tc>
          <w:tcPr>
            <w:tcW w:w="6567" w:type="dxa"/>
            <w:vAlign w:val="center"/>
          </w:tcPr>
          <w:p w14:paraId="55ECD9B5">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投标文件大小不得超过</w:t>
            </w:r>
            <w:r>
              <w:rPr>
                <w:rFonts w:hint="default" w:asciiTheme="minorEastAsia" w:hAnsiTheme="minorEastAsia" w:eastAsiaTheme="minorEastAsia"/>
              </w:rPr>
              <w:t>1</w:t>
            </w:r>
            <w:r>
              <w:rPr>
                <w:rFonts w:hint="eastAsia" w:asciiTheme="minorEastAsia" w:hAnsiTheme="minorEastAsia" w:eastAsiaTheme="minorEastAsia"/>
              </w:rPr>
              <w:t>00MB</w:t>
            </w:r>
          </w:p>
        </w:tc>
      </w:tr>
      <w:tr w14:paraId="7D2BFD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4CBB9F00">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2</w:t>
            </w:r>
            <w:r>
              <w:rPr>
                <w:rFonts w:hint="default" w:asciiTheme="minorEastAsia" w:hAnsiTheme="minorEastAsia" w:eastAsiaTheme="minorEastAsia"/>
              </w:rPr>
              <w:t>6</w:t>
            </w:r>
          </w:p>
        </w:tc>
        <w:tc>
          <w:tcPr>
            <w:tcW w:w="1946" w:type="dxa"/>
            <w:vAlign w:val="center"/>
          </w:tcPr>
          <w:p w14:paraId="065BA246">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bookmarkStart w:id="31" w:name="_Hlk71664860"/>
            <w:r>
              <w:rPr>
                <w:rFonts w:hint="eastAsia" w:asciiTheme="minorEastAsia" w:hAnsiTheme="minorEastAsia" w:eastAsiaTheme="minorEastAsia"/>
              </w:rPr>
              <w:t>样品、演示、方案讲解</w:t>
            </w:r>
            <w:bookmarkEnd w:id="31"/>
          </w:p>
        </w:tc>
        <w:tc>
          <w:tcPr>
            <w:tcW w:w="6567" w:type="dxa"/>
            <w:vAlign w:val="center"/>
          </w:tcPr>
          <w:p w14:paraId="067CB46C">
            <w:pPr>
              <w:keepNext w:val="0"/>
              <w:keepLines w:val="0"/>
              <w:suppressLineNumbers w:val="0"/>
              <w:spacing w:before="0" w:beforeAutospacing="0" w:after="0" w:afterAutospacing="0"/>
              <w:ind w:left="0" w:right="0"/>
              <w:rPr>
                <w:rFonts w:hint="default" w:asciiTheme="minorEastAsia" w:hAnsiTheme="minorEastAsia" w:eastAsiaTheme="minorEastAsia"/>
              </w:rPr>
            </w:pPr>
            <w:r>
              <w:rPr>
                <w:rFonts w:hint="eastAsia" w:asciiTheme="minorEastAsia" w:hAnsiTheme="minorEastAsia" w:eastAsiaTheme="minorEastAsia"/>
              </w:rPr>
              <w:t>如有样品、演示、方案讲解，具体安排见第三章 用户需求书相关要求</w:t>
            </w:r>
          </w:p>
        </w:tc>
      </w:tr>
      <w:tr w14:paraId="051A63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2EC9C2B0">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3</w:t>
            </w:r>
            <w:r>
              <w:rPr>
                <w:rFonts w:hint="default" w:asciiTheme="minorEastAsia" w:hAnsiTheme="minorEastAsia" w:eastAsiaTheme="minorEastAsia"/>
              </w:rPr>
              <w:t>7</w:t>
            </w:r>
          </w:p>
        </w:tc>
        <w:tc>
          <w:tcPr>
            <w:tcW w:w="1946" w:type="dxa"/>
            <w:vAlign w:val="center"/>
          </w:tcPr>
          <w:p w14:paraId="6242BB81">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评审方法</w:t>
            </w:r>
          </w:p>
        </w:tc>
        <w:tc>
          <w:tcPr>
            <w:tcW w:w="6567" w:type="dxa"/>
            <w:vAlign w:val="center"/>
          </w:tcPr>
          <w:p w14:paraId="70C2B3B0">
            <w:pPr>
              <w:keepNext w:val="0"/>
              <w:keepLines w:val="0"/>
              <w:suppressLineNumbers w:val="0"/>
              <w:spacing w:before="0" w:beforeAutospacing="0" w:after="0" w:afterAutospacing="0"/>
              <w:ind w:left="0" w:right="0"/>
              <w:jc w:val="left"/>
              <w:rPr>
                <w:rFonts w:hint="default" w:asciiTheme="minorEastAsia" w:hAnsiTheme="minorEastAsia" w:eastAsiaTheme="minorEastAsia"/>
              </w:rPr>
            </w:pPr>
            <w:r>
              <w:rPr>
                <w:rFonts w:hint="eastAsia" w:asciiTheme="minorEastAsia" w:hAnsiTheme="minorEastAsia" w:eastAsiaTheme="minorEastAsia"/>
              </w:rPr>
              <w:t>综合评分法</w:t>
            </w:r>
          </w:p>
        </w:tc>
      </w:tr>
      <w:tr w14:paraId="4F82956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9" w:hRule="atLeast"/>
          <w:jc w:val="center"/>
        </w:trPr>
        <w:tc>
          <w:tcPr>
            <w:tcW w:w="970" w:type="dxa"/>
            <w:vAlign w:val="center"/>
          </w:tcPr>
          <w:p w14:paraId="52A3A528">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3</w:t>
            </w:r>
            <w:r>
              <w:rPr>
                <w:rFonts w:hint="default" w:asciiTheme="minorEastAsia" w:hAnsiTheme="minorEastAsia" w:eastAsiaTheme="minorEastAsia"/>
              </w:rPr>
              <w:t>8</w:t>
            </w:r>
          </w:p>
        </w:tc>
        <w:tc>
          <w:tcPr>
            <w:tcW w:w="1946" w:type="dxa"/>
            <w:vAlign w:val="center"/>
          </w:tcPr>
          <w:p w14:paraId="7204DF81">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定标方法</w:t>
            </w:r>
          </w:p>
        </w:tc>
        <w:tc>
          <w:tcPr>
            <w:tcW w:w="6567" w:type="dxa"/>
            <w:vAlign w:val="center"/>
          </w:tcPr>
          <w:p w14:paraId="49270295">
            <w:pPr>
              <w:keepNext w:val="0"/>
              <w:keepLines w:val="0"/>
              <w:suppressLineNumbers w:val="0"/>
              <w:spacing w:before="0" w:beforeAutospacing="0" w:after="0" w:afterAutospacing="0"/>
              <w:ind w:left="0" w:right="0"/>
              <w:jc w:val="left"/>
              <w:rPr>
                <w:rFonts w:hint="default" w:asciiTheme="minorEastAsia" w:hAnsiTheme="minorEastAsia" w:eastAsiaTheme="minorEastAsia"/>
              </w:rPr>
            </w:pPr>
            <w:r>
              <w:rPr>
                <w:rFonts w:hint="eastAsia" w:asciiTheme="minorEastAsia" w:hAnsiTheme="minorEastAsia" w:eastAsiaTheme="minorEastAsia"/>
              </w:rPr>
              <w:t>非评定分离</w:t>
            </w:r>
          </w:p>
        </w:tc>
      </w:tr>
      <w:tr w14:paraId="325714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336FA535">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42</w:t>
            </w:r>
          </w:p>
        </w:tc>
        <w:tc>
          <w:tcPr>
            <w:tcW w:w="1946" w:type="dxa"/>
            <w:vAlign w:val="center"/>
          </w:tcPr>
          <w:p w14:paraId="34601252">
            <w:pPr>
              <w:keepNext w:val="0"/>
              <w:keepLines w:val="0"/>
              <w:suppressLineNumbers w:val="0"/>
              <w:spacing w:before="0" w:beforeAutospacing="0" w:after="0" w:afterAutospacing="0"/>
              <w:ind w:left="0" w:right="0"/>
              <w:rPr>
                <w:rFonts w:hint="default" w:asciiTheme="minorEastAsia" w:hAnsiTheme="minorEastAsia" w:eastAsiaTheme="minorEastAsia"/>
              </w:rPr>
            </w:pPr>
            <w:r>
              <w:rPr>
                <w:rFonts w:hint="eastAsia" w:asciiTheme="minorEastAsia" w:hAnsiTheme="minorEastAsia" w:eastAsiaTheme="minorEastAsia"/>
              </w:rPr>
              <w:t>公开招标失败的处理</w:t>
            </w:r>
          </w:p>
        </w:tc>
        <w:tc>
          <w:tcPr>
            <w:tcW w:w="6567" w:type="dxa"/>
            <w:vAlign w:val="center"/>
          </w:tcPr>
          <w:p w14:paraId="4B51A7BA">
            <w:pPr>
              <w:keepNext w:val="0"/>
              <w:keepLines w:val="0"/>
              <w:suppressLineNumbers w:val="0"/>
              <w:spacing w:before="0" w:beforeAutospacing="0" w:after="0" w:afterAutospacing="0"/>
              <w:ind w:left="0" w:right="0"/>
              <w:rPr>
                <w:rFonts w:hint="default" w:asciiTheme="minorEastAsia" w:hAnsiTheme="minorEastAsia" w:eastAsiaTheme="minorEastAsia"/>
              </w:rPr>
            </w:pPr>
            <w:r>
              <w:rPr>
                <w:rFonts w:hint="eastAsia" w:asciiTheme="minorEastAsia" w:hAnsiTheme="minorEastAsia" w:eastAsiaTheme="minorEastAsia"/>
              </w:rPr>
              <w:t>公开招标有效供应商不足三家的，项目根据以下情况开展：</w:t>
            </w:r>
          </w:p>
          <w:p w14:paraId="185371B3">
            <w:pPr>
              <w:keepNext w:val="0"/>
              <w:keepLines w:val="0"/>
              <w:suppressLineNumbers w:val="0"/>
              <w:spacing w:before="0" w:beforeAutospacing="0" w:after="0" w:afterAutospacing="0"/>
              <w:ind w:left="0" w:leftChars="0" w:right="0" w:rightChars="0"/>
              <w:jc w:val="left"/>
              <w:rPr>
                <w:rFonts w:hint="default" w:asciiTheme="minorEastAsia" w:hAnsiTheme="minorEastAsia" w:eastAsiaTheme="minorEastAsia"/>
                <w:b/>
              </w:rPr>
            </w:pPr>
            <w:r>
              <w:rPr>
                <w:rFonts w:hint="eastAsia" w:asciiTheme="minorEastAsia" w:hAnsiTheme="minorEastAsia" w:eastAsiaTheme="minorEastAsia"/>
              </w:rPr>
              <w:t>项目公开招标失败，重新采购。</w:t>
            </w:r>
          </w:p>
        </w:tc>
      </w:tr>
      <w:tr w14:paraId="5AC795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338B0862">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4</w:t>
            </w:r>
            <w:r>
              <w:rPr>
                <w:rFonts w:hint="default" w:asciiTheme="minorEastAsia" w:hAnsiTheme="minorEastAsia" w:eastAsiaTheme="minorEastAsia"/>
              </w:rPr>
              <w:t>6</w:t>
            </w:r>
          </w:p>
        </w:tc>
        <w:tc>
          <w:tcPr>
            <w:tcW w:w="1946" w:type="dxa"/>
            <w:vAlign w:val="center"/>
          </w:tcPr>
          <w:p w14:paraId="304227F6">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履约担保</w:t>
            </w:r>
          </w:p>
        </w:tc>
        <w:tc>
          <w:tcPr>
            <w:tcW w:w="6567" w:type="dxa"/>
            <w:vAlign w:val="center"/>
          </w:tcPr>
          <w:p w14:paraId="1BE0BE46">
            <w:pPr>
              <w:keepNext w:val="0"/>
              <w:keepLines w:val="0"/>
              <w:suppressLineNumbers w:val="0"/>
              <w:spacing w:before="0" w:beforeAutospacing="0" w:after="0" w:afterAutospacing="0"/>
              <w:ind w:left="0" w:leftChars="0" w:right="0" w:rightChars="0"/>
              <w:jc w:val="left"/>
              <w:rPr>
                <w:rFonts w:hint="default" w:asciiTheme="minorEastAsia" w:hAnsiTheme="minorEastAsia" w:eastAsiaTheme="minorEastAsia"/>
              </w:rPr>
            </w:pPr>
            <w:r>
              <w:rPr>
                <w:rFonts w:hint="eastAsia" w:asciiTheme="minorEastAsia" w:hAnsiTheme="minorEastAsia" w:eastAsiaTheme="minorEastAsia"/>
              </w:rPr>
              <w:t>不需要</w:t>
            </w:r>
          </w:p>
        </w:tc>
      </w:tr>
      <w:tr w14:paraId="14665F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5641D8C6">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52.8</w:t>
            </w:r>
          </w:p>
        </w:tc>
        <w:tc>
          <w:tcPr>
            <w:tcW w:w="1946" w:type="dxa"/>
            <w:vAlign w:val="center"/>
          </w:tcPr>
          <w:p w14:paraId="0C6DD6F0">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投诉</w:t>
            </w:r>
          </w:p>
        </w:tc>
        <w:tc>
          <w:tcPr>
            <w:tcW w:w="6567" w:type="dxa"/>
            <w:vAlign w:val="center"/>
          </w:tcPr>
          <w:p w14:paraId="08B321A9">
            <w:pPr>
              <w:keepNext w:val="0"/>
              <w:keepLines w:val="0"/>
              <w:suppressLineNumbers w:val="0"/>
              <w:spacing w:before="0" w:beforeAutospacing="0" w:after="0" w:afterAutospacing="0"/>
              <w:ind w:left="0" w:leftChars="0" w:right="0" w:rightChars="0"/>
              <w:jc w:val="left"/>
              <w:rPr>
                <w:rFonts w:hint="default" w:asciiTheme="minorEastAsia" w:hAnsiTheme="minorEastAsia" w:eastAsiaTheme="minorEastAsia"/>
                <w:b/>
              </w:rPr>
            </w:pPr>
            <w:r>
              <w:rPr>
                <w:rFonts w:hint="eastAsia" w:asciiTheme="minorEastAsia" w:hAnsiTheme="minorEastAsia" w:eastAsiaTheme="minorEastAsia"/>
              </w:rPr>
              <w:t>对被质疑人的答复不满意或者被质疑人未在规定时间内答复的，提出质疑的供应商可以在答复期满后十五个工作日内向本项目采购人投诉。供应商投诉的事项应当是经过质疑的事项。</w:t>
            </w:r>
          </w:p>
        </w:tc>
      </w:tr>
    </w:tbl>
    <w:p w14:paraId="5A76D350">
      <w:pPr>
        <w:rPr>
          <w:b/>
        </w:rPr>
      </w:pPr>
      <w:r>
        <w:rPr>
          <w:rFonts w:hint="eastAsia"/>
          <w:szCs w:val="21"/>
        </w:rPr>
        <w:t>备注：本表是通用条款相关条款的补充和明确，如与通用条款内容相冲突的，以本表为准。</w:t>
      </w:r>
    </w:p>
    <w:p w14:paraId="1ADA307C">
      <w:pPr>
        <w:rPr>
          <w:b/>
        </w:rPr>
      </w:pPr>
    </w:p>
    <w:p w14:paraId="29965273">
      <w:pPr>
        <w:pStyle w:val="7"/>
        <w:spacing w:before="156" w:beforeLines="50" w:after="156" w:afterLines="50"/>
        <w:rPr>
          <w:szCs w:val="24"/>
        </w:rPr>
      </w:pPr>
      <w:r>
        <w:rPr>
          <w:rFonts w:hint="eastAsia"/>
          <w:szCs w:val="24"/>
        </w:rPr>
        <w:t>二、其他关键信息</w:t>
      </w:r>
    </w:p>
    <w:p w14:paraId="47F106A5">
      <w:pPr>
        <w:ind w:firstLine="422" w:firstLineChars="200"/>
        <w:rPr>
          <w:b/>
          <w:bCs/>
        </w:rPr>
      </w:pPr>
      <w:r>
        <w:rPr>
          <w:rFonts w:hint="eastAsia"/>
          <w:b/>
          <w:bCs/>
        </w:rPr>
        <w:t>（一）与“对通用条款的补充内容”章节相关的事项</w:t>
      </w:r>
    </w:p>
    <w:p w14:paraId="7CBA016D">
      <w:pPr>
        <w:spacing w:line="276" w:lineRule="auto"/>
        <w:ind w:firstLine="422" w:firstLineChars="200"/>
        <w:jc w:val="left"/>
        <w:rPr>
          <w:rFonts w:asciiTheme="minorEastAsia" w:hAnsiTheme="minorEastAsia" w:eastAsiaTheme="minorEastAsia"/>
          <w:b/>
          <w:kern w:val="0"/>
          <w:szCs w:val="20"/>
        </w:rPr>
      </w:pPr>
      <w:bookmarkStart w:id="32" w:name="_Hlk72579465"/>
      <w:r>
        <w:rPr>
          <w:rFonts w:hint="eastAsia" w:asciiTheme="minorEastAsia" w:hAnsiTheme="minorEastAsia" w:eastAsiaTheme="minorEastAsia"/>
          <w:b/>
          <w:kern w:val="0"/>
          <w:szCs w:val="20"/>
        </w:rPr>
        <w:t>1、评标定标信息</w:t>
      </w:r>
    </w:p>
    <w:p w14:paraId="314149F9">
      <w:pPr>
        <w:jc w:val="center"/>
      </w:pPr>
      <w:r>
        <w:rPr>
          <w:rFonts w:hint="eastAsia"/>
          <w:b/>
        </w:rPr>
        <w:t>非评定分离项目</w:t>
      </w:r>
    </w:p>
    <w:tbl>
      <w:tblPr>
        <w:tblStyle w:val="14"/>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45"/>
        <w:gridCol w:w="4941"/>
      </w:tblGrid>
      <w:tr w14:paraId="4A3FA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9" w:type="pct"/>
          </w:tcPr>
          <w:p w14:paraId="6E0FC1E1">
            <w:pPr>
              <w:keepNext w:val="0"/>
              <w:keepLines w:val="0"/>
              <w:suppressLineNumbers w:val="0"/>
              <w:spacing w:before="0" w:beforeAutospacing="0" w:after="0" w:afterAutospacing="0"/>
              <w:ind w:left="0" w:right="0"/>
              <w:jc w:val="center"/>
              <w:rPr>
                <w:rFonts w:hint="default"/>
              </w:rPr>
            </w:pPr>
            <w:r>
              <w:rPr>
                <w:rFonts w:hint="eastAsia"/>
              </w:rPr>
              <w:t>评标方法</w:t>
            </w:r>
          </w:p>
        </w:tc>
        <w:tc>
          <w:tcPr>
            <w:tcW w:w="2660" w:type="pct"/>
          </w:tcPr>
          <w:p w14:paraId="5F719EC4">
            <w:pPr>
              <w:keepNext w:val="0"/>
              <w:keepLines w:val="0"/>
              <w:suppressLineNumbers w:val="0"/>
              <w:spacing w:before="0" w:beforeAutospacing="0" w:after="0" w:afterAutospacing="0"/>
              <w:ind w:left="0" w:right="0"/>
              <w:jc w:val="center"/>
              <w:rPr>
                <w:rFonts w:hint="default"/>
              </w:rPr>
            </w:pPr>
            <w:r>
              <w:rPr>
                <w:rFonts w:hint="eastAsia"/>
              </w:rPr>
              <w:t>综合评分法</w:t>
            </w:r>
          </w:p>
        </w:tc>
      </w:tr>
      <w:tr w14:paraId="70ABC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9" w:type="pct"/>
          </w:tcPr>
          <w:p w14:paraId="56727C22">
            <w:pPr>
              <w:keepNext w:val="0"/>
              <w:keepLines w:val="0"/>
              <w:suppressLineNumbers w:val="0"/>
              <w:spacing w:before="0" w:beforeAutospacing="0" w:after="0" w:afterAutospacing="0"/>
              <w:ind w:left="0" w:right="0"/>
              <w:jc w:val="center"/>
              <w:rPr>
                <w:rFonts w:hint="default"/>
              </w:rPr>
            </w:pPr>
            <w:r>
              <w:rPr>
                <w:rFonts w:hint="eastAsia"/>
              </w:rPr>
              <w:t>候选中标供应商家数</w:t>
            </w:r>
          </w:p>
        </w:tc>
        <w:tc>
          <w:tcPr>
            <w:tcW w:w="2660" w:type="pct"/>
          </w:tcPr>
          <w:p w14:paraId="02ECA74C">
            <w:pPr>
              <w:keepNext w:val="0"/>
              <w:keepLines w:val="0"/>
              <w:suppressLineNumbers w:val="0"/>
              <w:spacing w:before="0" w:beforeAutospacing="0" w:after="0" w:afterAutospacing="0"/>
              <w:ind w:left="0" w:right="0"/>
              <w:jc w:val="center"/>
              <w:rPr>
                <w:rFonts w:hint="eastAsia" w:eastAsia="宋体"/>
                <w:lang w:val="en-US" w:eastAsia="zh-CN"/>
              </w:rPr>
            </w:pPr>
            <w:r>
              <w:rPr>
                <w:rFonts w:hint="eastAsia"/>
                <w:lang w:val="en-US" w:eastAsia="zh-CN"/>
              </w:rPr>
              <w:t>3</w:t>
            </w:r>
          </w:p>
        </w:tc>
      </w:tr>
      <w:tr w14:paraId="5E650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9" w:type="pct"/>
          </w:tcPr>
          <w:p w14:paraId="290E6DC7">
            <w:pPr>
              <w:keepNext w:val="0"/>
              <w:keepLines w:val="0"/>
              <w:suppressLineNumbers w:val="0"/>
              <w:spacing w:before="0" w:beforeAutospacing="0" w:after="0" w:afterAutospacing="0"/>
              <w:ind w:left="0" w:right="0"/>
              <w:jc w:val="center"/>
              <w:rPr>
                <w:rFonts w:hint="default"/>
              </w:rPr>
            </w:pPr>
            <w:r>
              <w:rPr>
                <w:rFonts w:hint="eastAsia"/>
              </w:rPr>
              <w:t>中标供应商家数</w:t>
            </w:r>
          </w:p>
        </w:tc>
        <w:tc>
          <w:tcPr>
            <w:tcW w:w="2660" w:type="pct"/>
          </w:tcPr>
          <w:p w14:paraId="5FB6C1BE">
            <w:pPr>
              <w:keepNext w:val="0"/>
              <w:keepLines w:val="0"/>
              <w:suppressLineNumbers w:val="0"/>
              <w:spacing w:before="0" w:beforeAutospacing="0" w:after="0" w:afterAutospacing="0"/>
              <w:ind w:left="0" w:right="0"/>
              <w:jc w:val="center"/>
              <w:rPr>
                <w:rFonts w:hint="eastAsia" w:eastAsia="宋体"/>
                <w:lang w:val="en-US" w:eastAsia="zh-CN"/>
              </w:rPr>
            </w:pPr>
            <w:r>
              <w:rPr>
                <w:rFonts w:hint="eastAsia"/>
                <w:lang w:val="en-US" w:eastAsia="zh-CN"/>
              </w:rPr>
              <w:t>1</w:t>
            </w:r>
          </w:p>
        </w:tc>
      </w:tr>
      <w:bookmarkEnd w:id="32"/>
    </w:tbl>
    <w:p w14:paraId="1FCD36C9">
      <w:pPr>
        <w:ind w:firstLine="422" w:firstLineChars="200"/>
        <w:rPr>
          <w:b/>
        </w:rPr>
      </w:pPr>
      <w:r>
        <w:rPr>
          <w:rFonts w:hint="eastAsia"/>
          <w:b/>
        </w:rPr>
        <w:t>（二）其他事项</w:t>
      </w:r>
    </w:p>
    <w:p w14:paraId="2AA94332">
      <w:pPr>
        <w:ind w:firstLine="422" w:firstLineChars="200"/>
        <w:rPr>
          <w:b/>
          <w:bCs/>
        </w:rPr>
      </w:pPr>
      <w:r>
        <w:rPr>
          <w:b/>
          <w:bCs/>
        </w:rPr>
        <w:t>1</w:t>
      </w:r>
      <w:r>
        <w:rPr>
          <w:rFonts w:hint="eastAsia"/>
          <w:b/>
          <w:bCs/>
        </w:rPr>
        <w:t>、关于享受优惠政策的主体及价格扣除比例</w:t>
      </w:r>
    </w:p>
    <w:p w14:paraId="1AE3FD6D">
      <w:pPr>
        <w:ind w:firstLine="420" w:firstLineChars="200"/>
        <w:rPr>
          <w:rFonts w:ascii="宋体" w:hAnsi="宋体" w:cs="宋体"/>
        </w:rPr>
      </w:pPr>
      <w:r>
        <w:rPr>
          <w:rFonts w:hint="eastAsia" w:ascii="宋体" w:hAnsi="宋体" w:cs="宋体"/>
        </w:rPr>
        <w:t>（1）专门面向中小企业采购的项目，不再执行价格扣除比例。</w:t>
      </w:r>
    </w:p>
    <w:p w14:paraId="08BF781E">
      <w:pPr>
        <w:ind w:firstLine="420" w:firstLineChars="200"/>
        <w:rPr>
          <w:rFonts w:ascii="宋体" w:hAnsi="宋体" w:cs="宋体"/>
        </w:rPr>
      </w:pPr>
      <w:r>
        <w:rPr>
          <w:rFonts w:hint="eastAsia" w:ascii="宋体" w:hAnsi="宋体" w:cs="宋体"/>
        </w:rPr>
        <w:t>（2）非专门面向中小企业采购的项目，应执行价格扣除比例：供应商提供的服务全部由优惠主体承接，则对其投标总价给予</w:t>
      </w:r>
      <w:r>
        <w:rPr>
          <w:rFonts w:hint="eastAsia" w:ascii="宋体" w:hAnsi="宋体" w:cs="宋体"/>
          <w:color w:val="FF0000"/>
          <w:u w:val="single"/>
          <w:lang w:val="en-US" w:eastAsia="zh-CN"/>
        </w:rPr>
        <w:t>10</w:t>
      </w:r>
      <w:r>
        <w:rPr>
          <w:rFonts w:hint="eastAsia" w:ascii="宋体" w:hAnsi="宋体" w:cs="宋体"/>
          <w:color w:val="FF0000"/>
          <w:u w:val="single"/>
        </w:rPr>
        <w:t>%</w:t>
      </w:r>
      <w:r>
        <w:rPr>
          <w:rFonts w:hint="eastAsia" w:ascii="宋体" w:hAnsi="宋体" w:cs="宋体"/>
          <w:color w:val="000000" w:themeColor="text1"/>
          <w14:textFill>
            <w14:solidFill>
              <w14:schemeClr w14:val="tx1"/>
            </w14:solidFill>
          </w14:textFill>
        </w:rPr>
        <w:t>（10%~20%）</w:t>
      </w:r>
      <w:r>
        <w:rPr>
          <w:rFonts w:hint="eastAsia" w:ascii="宋体" w:hAnsi="宋体" w:cs="宋体"/>
        </w:rPr>
        <w:t>的扣除，用扣除后的价格参与评审。满足多项优惠政策的企业，不重复享受多项价格扣除政策。</w:t>
      </w:r>
    </w:p>
    <w:p w14:paraId="3379B8DD">
      <w:pPr>
        <w:ind w:firstLine="420" w:firstLineChars="200"/>
        <w:rPr>
          <w:rFonts w:ascii="宋体" w:hAnsi="宋体" w:cs="宋体"/>
        </w:rPr>
      </w:pPr>
      <w:r>
        <w:rPr>
          <w:rFonts w:hint="eastAsia" w:ascii="宋体" w:hAnsi="宋体" w:cs="宋体"/>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采购活动中视同中小企业；(b)优惠主体承接是指提供服务的人员为中小企业依照《中华人民共和国劳动合同法》订立劳动合同的从业人员。</w:t>
      </w:r>
    </w:p>
    <w:p w14:paraId="634B9AA2">
      <w:pPr>
        <w:ind w:firstLine="420" w:firstLineChars="200"/>
        <w:rPr>
          <w:rFonts w:ascii="宋体" w:hAnsi="宋体" w:cs="宋体"/>
        </w:rPr>
      </w:pPr>
      <w:r>
        <w:rPr>
          <w:rFonts w:hint="eastAsia" w:ascii="宋体" w:hAnsi="宋体" w:cs="宋体"/>
          <w:szCs w:val="21"/>
          <w:lang w:bidi="ar"/>
        </w:rPr>
        <w:t>（3）中小企业参加采购活动，应当按照国务院批准的《中小企业划型标准规定》（工信部联企 业〔2011〕300号）、《金融业企业划型标准规定》（银发〔2015〕309号）和《财政部 工业和信息化部关于印发〈政府采购促进中小企业发展管理办法〉的通知》（财库〔2020〕46 号）的规定，出具《中小企业声明函》，</w:t>
      </w:r>
      <w:r>
        <w:rPr>
          <w:rFonts w:hint="eastAsia" w:ascii="宋体" w:hAnsi="宋体" w:cs="宋体"/>
          <w:b/>
          <w:bCs/>
          <w:color w:val="FF0000"/>
          <w:szCs w:val="21"/>
        </w:rPr>
        <w:t>本项目采购标的（服务需求）对应的中小企业划分标准所属行业为</w:t>
      </w:r>
      <w:r>
        <w:rPr>
          <w:rFonts w:hint="eastAsia" w:ascii="宋体" w:hAnsi="宋体" w:cs="宋体"/>
          <w:b/>
          <w:bCs/>
          <w:color w:val="FF0000"/>
          <w:szCs w:val="21"/>
          <w:u w:val="single"/>
          <w:lang w:val="en-US" w:eastAsia="zh-CN"/>
        </w:rPr>
        <w:t>租赁和商务服务业。</w:t>
      </w:r>
      <w:r>
        <w:rPr>
          <w:rFonts w:hint="eastAsia" w:ascii="宋体" w:hAnsi="宋体" w:cs="宋体"/>
          <w:szCs w:val="21"/>
        </w:rPr>
        <w:t>（4）小型企业、微</w:t>
      </w:r>
      <w:r>
        <w:rPr>
          <w:rFonts w:hint="eastAsia" w:ascii="宋体" w:hAnsi="宋体" w:cs="宋体"/>
        </w:rPr>
        <w:t>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一册专用条款第四章“投标文件组成要求及格式”中“三、投标人情况介绍及资格证明文件”章节提供的格式）。</w:t>
      </w:r>
    </w:p>
    <w:p w14:paraId="77DCF100">
      <w:pPr>
        <w:ind w:firstLine="420" w:firstLineChars="200"/>
        <w:rPr>
          <w:rFonts w:ascii="宋体" w:hAnsi="宋体" w:cs="宋体"/>
        </w:rPr>
      </w:pPr>
      <w:r>
        <w:rPr>
          <w:rFonts w:hint="eastAsia" w:ascii="宋体" w:hAnsi="宋体" w:cs="宋体"/>
        </w:rPr>
        <w:t>（5）享受价格扣除获得采购合同的，小微企业不得将合同分包给大中型企业。</w:t>
      </w:r>
    </w:p>
    <w:p w14:paraId="2C8ABE12">
      <w:pPr>
        <w:ind w:firstLine="422" w:firstLineChars="200"/>
        <w:rPr>
          <w:b/>
        </w:rPr>
      </w:pPr>
      <w:r>
        <w:rPr>
          <w:rFonts w:hint="eastAsia"/>
          <w:b/>
        </w:rPr>
        <w:t>2、</w:t>
      </w:r>
      <w:bookmarkStart w:id="33" w:name="_Hlk72594729"/>
      <w:bookmarkStart w:id="34" w:name="_Hlk76855768"/>
      <w:r>
        <w:rPr>
          <w:rFonts w:hint="eastAsia"/>
          <w:b/>
        </w:rPr>
        <w:t>本项目为代理服务项目，将向中标（成交）供应商收取代理服务费。</w:t>
      </w:r>
    </w:p>
    <w:bookmarkEnd w:id="33"/>
    <w:bookmarkEnd w:id="34"/>
    <w:p w14:paraId="476CC921">
      <w:pPr>
        <w:ind w:firstLine="420" w:firstLineChars="200"/>
      </w:pPr>
      <w:r>
        <w:rPr>
          <w:rFonts w:hint="eastAsia"/>
        </w:rPr>
        <w:t>本项目每个包的中标（成交）供应商在领取《中标（成交）通知书》之前须向深圳公共资源交易中心（深圳交易集团有限公司政府采购业务分公司）交纳代理服务费。若因中标（成交）供应商交纳代理服务费所产生的时间影响到合同签订的，由中标（成交）供应商自行承担责任。代理服务费标准参照下列标准收取。</w:t>
      </w:r>
      <w:r>
        <w:rPr>
          <w:rFonts w:hint="eastAsia"/>
          <w:b/>
          <w:color w:val="FF0000"/>
        </w:rPr>
        <w:t>本项目类型为服务采购：</w:t>
      </w:r>
    </w:p>
    <w:p w14:paraId="208A7943">
      <w:pPr>
        <w:ind w:firstLine="420" w:firstLineChars="200"/>
      </w:pPr>
      <w:r>
        <w:rPr>
          <w:rFonts w:hint="eastAsia"/>
        </w:rPr>
        <w:t>（1）代理服务费以《中标（成交）通知书》确定的中标（成交）金额作为计算基数，按差额定率累进法计算。</w:t>
      </w:r>
    </w:p>
    <w:p w14:paraId="39E7A122">
      <w:pPr>
        <w:ind w:firstLine="420" w:firstLineChars="200"/>
      </w:pPr>
      <w:r>
        <w:rPr>
          <w:rFonts w:hint="eastAsia"/>
        </w:rPr>
        <w:t>（2）中标（成交）金额的各部分费率如下表：</w:t>
      </w:r>
    </w:p>
    <w:tbl>
      <w:tblPr>
        <w:tblStyle w:val="1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5"/>
        <w:gridCol w:w="1799"/>
        <w:gridCol w:w="1799"/>
        <w:gridCol w:w="1799"/>
      </w:tblGrid>
      <w:tr w14:paraId="4A183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3125" w:type="dxa"/>
            <w:vAlign w:val="center"/>
          </w:tcPr>
          <w:p w14:paraId="34A4D29B">
            <w:pPr>
              <w:keepNext w:val="0"/>
              <w:keepLines w:val="0"/>
              <w:widowControl/>
              <w:suppressLineNumbers w:val="0"/>
              <w:spacing w:before="0" w:beforeAutospacing="0" w:after="0" w:afterAutospacing="0" w:line="360" w:lineRule="auto"/>
              <w:ind w:left="0" w:right="0"/>
              <w:jc w:val="center"/>
              <w:rPr>
                <w:rFonts w:hint="default"/>
              </w:rPr>
            </w:pPr>
            <w:r>
              <w:rPr>
                <w:rFonts w:hint="eastAsia"/>
              </w:rPr>
              <w:t>中标（成交）金额</w:t>
            </w:r>
          </w:p>
        </w:tc>
        <w:tc>
          <w:tcPr>
            <w:tcW w:w="1799" w:type="dxa"/>
            <w:vAlign w:val="center"/>
          </w:tcPr>
          <w:p w14:paraId="4890F67F">
            <w:pPr>
              <w:keepNext w:val="0"/>
              <w:keepLines w:val="0"/>
              <w:widowControl/>
              <w:suppressLineNumbers w:val="0"/>
              <w:spacing w:before="0" w:beforeAutospacing="0" w:after="0" w:afterAutospacing="0" w:line="360" w:lineRule="auto"/>
              <w:ind w:left="0" w:right="0"/>
              <w:jc w:val="center"/>
              <w:rPr>
                <w:rFonts w:hint="default"/>
              </w:rPr>
            </w:pPr>
            <w:r>
              <w:rPr>
                <w:rFonts w:hint="eastAsia"/>
              </w:rPr>
              <w:t>货物采购</w:t>
            </w:r>
          </w:p>
        </w:tc>
        <w:tc>
          <w:tcPr>
            <w:tcW w:w="1799" w:type="dxa"/>
            <w:vAlign w:val="center"/>
          </w:tcPr>
          <w:p w14:paraId="5C7596D6">
            <w:pPr>
              <w:keepNext w:val="0"/>
              <w:keepLines w:val="0"/>
              <w:widowControl/>
              <w:suppressLineNumbers w:val="0"/>
              <w:spacing w:before="0" w:beforeAutospacing="0" w:after="0" w:afterAutospacing="0" w:line="360" w:lineRule="auto"/>
              <w:ind w:left="0" w:right="0"/>
              <w:jc w:val="center"/>
              <w:rPr>
                <w:rFonts w:hint="default"/>
              </w:rPr>
            </w:pPr>
            <w:r>
              <w:rPr>
                <w:rFonts w:hint="eastAsia"/>
              </w:rPr>
              <w:t>服务采购</w:t>
            </w:r>
          </w:p>
        </w:tc>
        <w:tc>
          <w:tcPr>
            <w:tcW w:w="1799" w:type="dxa"/>
            <w:vAlign w:val="center"/>
          </w:tcPr>
          <w:p w14:paraId="2A834226">
            <w:pPr>
              <w:keepNext w:val="0"/>
              <w:keepLines w:val="0"/>
              <w:widowControl/>
              <w:suppressLineNumbers w:val="0"/>
              <w:spacing w:before="0" w:beforeAutospacing="0" w:after="0" w:afterAutospacing="0" w:line="360" w:lineRule="auto"/>
              <w:ind w:left="0" w:right="0"/>
              <w:jc w:val="center"/>
              <w:rPr>
                <w:rFonts w:hint="default"/>
              </w:rPr>
            </w:pPr>
            <w:r>
              <w:rPr>
                <w:rFonts w:hint="eastAsia"/>
              </w:rPr>
              <w:t>工程采购</w:t>
            </w:r>
          </w:p>
        </w:tc>
      </w:tr>
      <w:tr w14:paraId="21C35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6405145C">
            <w:pPr>
              <w:keepNext w:val="0"/>
              <w:keepLines w:val="0"/>
              <w:widowControl/>
              <w:suppressLineNumbers w:val="0"/>
              <w:spacing w:before="0" w:beforeAutospacing="0" w:after="0" w:afterAutospacing="0" w:line="360" w:lineRule="auto"/>
              <w:ind w:left="0" w:right="0"/>
              <w:jc w:val="center"/>
              <w:rPr>
                <w:rFonts w:hint="default"/>
              </w:rPr>
            </w:pPr>
            <w:r>
              <w:rPr>
                <w:rFonts w:hint="eastAsia"/>
              </w:rPr>
              <w:t>100万元以下</w:t>
            </w:r>
          </w:p>
        </w:tc>
        <w:tc>
          <w:tcPr>
            <w:tcW w:w="1799" w:type="dxa"/>
            <w:vAlign w:val="center"/>
          </w:tcPr>
          <w:p w14:paraId="610AEB2B">
            <w:pPr>
              <w:keepNext w:val="0"/>
              <w:keepLines w:val="0"/>
              <w:widowControl/>
              <w:suppressLineNumbers w:val="0"/>
              <w:spacing w:before="0" w:beforeAutospacing="0" w:after="0" w:afterAutospacing="0" w:line="360" w:lineRule="auto"/>
              <w:ind w:left="0" w:right="0"/>
              <w:jc w:val="center"/>
              <w:rPr>
                <w:rFonts w:hint="default"/>
              </w:rPr>
            </w:pPr>
            <w:r>
              <w:rPr>
                <w:rFonts w:hint="eastAsia"/>
              </w:rPr>
              <w:t>1.5%</w:t>
            </w:r>
          </w:p>
        </w:tc>
        <w:tc>
          <w:tcPr>
            <w:tcW w:w="1799" w:type="dxa"/>
            <w:vAlign w:val="center"/>
          </w:tcPr>
          <w:p w14:paraId="405B17DF">
            <w:pPr>
              <w:keepNext w:val="0"/>
              <w:keepLines w:val="0"/>
              <w:widowControl/>
              <w:suppressLineNumbers w:val="0"/>
              <w:spacing w:before="0" w:beforeAutospacing="0" w:after="0" w:afterAutospacing="0" w:line="360" w:lineRule="auto"/>
              <w:ind w:left="0" w:right="0"/>
              <w:jc w:val="center"/>
              <w:rPr>
                <w:rFonts w:hint="default"/>
              </w:rPr>
            </w:pPr>
            <w:r>
              <w:rPr>
                <w:rFonts w:hint="eastAsia"/>
              </w:rPr>
              <w:t>1.5%</w:t>
            </w:r>
          </w:p>
        </w:tc>
        <w:tc>
          <w:tcPr>
            <w:tcW w:w="1799" w:type="dxa"/>
            <w:vAlign w:val="center"/>
          </w:tcPr>
          <w:p w14:paraId="58CEB497">
            <w:pPr>
              <w:keepNext w:val="0"/>
              <w:keepLines w:val="0"/>
              <w:widowControl/>
              <w:suppressLineNumbers w:val="0"/>
              <w:spacing w:before="0" w:beforeAutospacing="0" w:after="0" w:afterAutospacing="0" w:line="360" w:lineRule="auto"/>
              <w:ind w:left="0" w:right="0"/>
              <w:jc w:val="center"/>
              <w:rPr>
                <w:rFonts w:hint="default"/>
              </w:rPr>
            </w:pPr>
            <w:r>
              <w:rPr>
                <w:rFonts w:hint="eastAsia"/>
              </w:rPr>
              <w:t>1.0%</w:t>
            </w:r>
          </w:p>
        </w:tc>
      </w:tr>
      <w:tr w14:paraId="6FD10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4B60EA10">
            <w:pPr>
              <w:keepNext w:val="0"/>
              <w:keepLines w:val="0"/>
              <w:widowControl/>
              <w:suppressLineNumbers w:val="0"/>
              <w:spacing w:before="0" w:beforeAutospacing="0" w:after="0" w:afterAutospacing="0" w:line="360" w:lineRule="auto"/>
              <w:ind w:left="0" w:right="0"/>
              <w:jc w:val="center"/>
              <w:rPr>
                <w:rFonts w:hint="default"/>
              </w:rPr>
            </w:pPr>
            <w:r>
              <w:rPr>
                <w:rFonts w:hint="eastAsia"/>
              </w:rPr>
              <w:t>100万元（含）-500万元</w:t>
            </w:r>
          </w:p>
        </w:tc>
        <w:tc>
          <w:tcPr>
            <w:tcW w:w="1799" w:type="dxa"/>
            <w:vAlign w:val="center"/>
          </w:tcPr>
          <w:p w14:paraId="344F6B80">
            <w:pPr>
              <w:keepNext w:val="0"/>
              <w:keepLines w:val="0"/>
              <w:widowControl/>
              <w:suppressLineNumbers w:val="0"/>
              <w:spacing w:before="0" w:beforeAutospacing="0" w:after="0" w:afterAutospacing="0" w:line="360" w:lineRule="auto"/>
              <w:ind w:left="0" w:right="0"/>
              <w:jc w:val="center"/>
              <w:rPr>
                <w:rFonts w:hint="default"/>
              </w:rPr>
            </w:pPr>
            <w:r>
              <w:rPr>
                <w:rFonts w:hint="eastAsia"/>
              </w:rPr>
              <w:t>1.1%</w:t>
            </w:r>
          </w:p>
        </w:tc>
        <w:tc>
          <w:tcPr>
            <w:tcW w:w="1799" w:type="dxa"/>
            <w:vAlign w:val="center"/>
          </w:tcPr>
          <w:p w14:paraId="79C454E6">
            <w:pPr>
              <w:keepNext w:val="0"/>
              <w:keepLines w:val="0"/>
              <w:widowControl/>
              <w:suppressLineNumbers w:val="0"/>
              <w:spacing w:before="0" w:beforeAutospacing="0" w:after="0" w:afterAutospacing="0" w:line="360" w:lineRule="auto"/>
              <w:ind w:left="0" w:right="0"/>
              <w:jc w:val="center"/>
              <w:rPr>
                <w:rFonts w:hint="default"/>
              </w:rPr>
            </w:pPr>
            <w:r>
              <w:rPr>
                <w:rFonts w:hint="eastAsia"/>
              </w:rPr>
              <w:t>0.8%</w:t>
            </w:r>
          </w:p>
        </w:tc>
        <w:tc>
          <w:tcPr>
            <w:tcW w:w="1799" w:type="dxa"/>
            <w:vAlign w:val="center"/>
          </w:tcPr>
          <w:p w14:paraId="3FBB2FB5">
            <w:pPr>
              <w:keepNext w:val="0"/>
              <w:keepLines w:val="0"/>
              <w:widowControl/>
              <w:suppressLineNumbers w:val="0"/>
              <w:spacing w:before="0" w:beforeAutospacing="0" w:after="0" w:afterAutospacing="0" w:line="360" w:lineRule="auto"/>
              <w:ind w:left="0" w:right="0"/>
              <w:jc w:val="center"/>
              <w:rPr>
                <w:rFonts w:hint="default"/>
              </w:rPr>
            </w:pPr>
            <w:r>
              <w:rPr>
                <w:rFonts w:hint="eastAsia"/>
              </w:rPr>
              <w:t>0.7%</w:t>
            </w:r>
          </w:p>
        </w:tc>
      </w:tr>
      <w:tr w14:paraId="6AC0E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43BC59BF">
            <w:pPr>
              <w:keepNext w:val="0"/>
              <w:keepLines w:val="0"/>
              <w:widowControl/>
              <w:suppressLineNumbers w:val="0"/>
              <w:spacing w:before="0" w:beforeAutospacing="0" w:after="0" w:afterAutospacing="0" w:line="360" w:lineRule="auto"/>
              <w:ind w:left="0" w:right="0"/>
              <w:jc w:val="center"/>
              <w:rPr>
                <w:rFonts w:hint="default"/>
              </w:rPr>
            </w:pPr>
            <w:r>
              <w:rPr>
                <w:rFonts w:hint="eastAsia"/>
              </w:rPr>
              <w:t>500万元（含）-1000万元</w:t>
            </w:r>
          </w:p>
        </w:tc>
        <w:tc>
          <w:tcPr>
            <w:tcW w:w="1799" w:type="dxa"/>
            <w:vAlign w:val="center"/>
          </w:tcPr>
          <w:p w14:paraId="79FBF9EC">
            <w:pPr>
              <w:keepNext w:val="0"/>
              <w:keepLines w:val="0"/>
              <w:widowControl/>
              <w:suppressLineNumbers w:val="0"/>
              <w:spacing w:before="0" w:beforeAutospacing="0" w:after="0" w:afterAutospacing="0" w:line="360" w:lineRule="auto"/>
              <w:ind w:left="0" w:right="0"/>
              <w:jc w:val="center"/>
              <w:rPr>
                <w:rFonts w:hint="default"/>
              </w:rPr>
            </w:pPr>
            <w:r>
              <w:rPr>
                <w:rFonts w:hint="eastAsia"/>
              </w:rPr>
              <w:t>0.8%</w:t>
            </w:r>
          </w:p>
        </w:tc>
        <w:tc>
          <w:tcPr>
            <w:tcW w:w="1799" w:type="dxa"/>
            <w:vAlign w:val="center"/>
          </w:tcPr>
          <w:p w14:paraId="0FB3D16D">
            <w:pPr>
              <w:keepNext w:val="0"/>
              <w:keepLines w:val="0"/>
              <w:widowControl/>
              <w:suppressLineNumbers w:val="0"/>
              <w:spacing w:before="0" w:beforeAutospacing="0" w:after="0" w:afterAutospacing="0" w:line="360" w:lineRule="auto"/>
              <w:ind w:left="0" w:right="0"/>
              <w:jc w:val="center"/>
              <w:rPr>
                <w:rFonts w:hint="default"/>
              </w:rPr>
            </w:pPr>
            <w:r>
              <w:rPr>
                <w:rFonts w:hint="eastAsia"/>
              </w:rPr>
              <w:t>0.45%</w:t>
            </w:r>
          </w:p>
        </w:tc>
        <w:tc>
          <w:tcPr>
            <w:tcW w:w="1799" w:type="dxa"/>
            <w:vAlign w:val="center"/>
          </w:tcPr>
          <w:p w14:paraId="1BD0AAF3">
            <w:pPr>
              <w:keepNext w:val="0"/>
              <w:keepLines w:val="0"/>
              <w:widowControl/>
              <w:suppressLineNumbers w:val="0"/>
              <w:spacing w:before="0" w:beforeAutospacing="0" w:after="0" w:afterAutospacing="0" w:line="360" w:lineRule="auto"/>
              <w:ind w:left="0" w:right="0"/>
              <w:jc w:val="center"/>
              <w:rPr>
                <w:rFonts w:hint="default"/>
              </w:rPr>
            </w:pPr>
            <w:r>
              <w:rPr>
                <w:rFonts w:hint="eastAsia"/>
              </w:rPr>
              <w:t>0.55%</w:t>
            </w:r>
          </w:p>
        </w:tc>
      </w:tr>
      <w:tr w14:paraId="3B8E4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10B5E3E4">
            <w:pPr>
              <w:keepNext w:val="0"/>
              <w:keepLines w:val="0"/>
              <w:widowControl/>
              <w:suppressLineNumbers w:val="0"/>
              <w:spacing w:before="0" w:beforeAutospacing="0" w:after="0" w:afterAutospacing="0" w:line="360" w:lineRule="auto"/>
              <w:ind w:left="0" w:right="0"/>
              <w:jc w:val="center"/>
              <w:rPr>
                <w:rFonts w:hint="default"/>
              </w:rPr>
            </w:pPr>
            <w:r>
              <w:rPr>
                <w:rFonts w:hint="eastAsia"/>
              </w:rPr>
              <w:t>1000万元（含）-5000万元</w:t>
            </w:r>
          </w:p>
        </w:tc>
        <w:tc>
          <w:tcPr>
            <w:tcW w:w="1799" w:type="dxa"/>
            <w:vAlign w:val="center"/>
          </w:tcPr>
          <w:p w14:paraId="3F4FE5B3">
            <w:pPr>
              <w:keepNext w:val="0"/>
              <w:keepLines w:val="0"/>
              <w:widowControl/>
              <w:suppressLineNumbers w:val="0"/>
              <w:spacing w:before="0" w:beforeAutospacing="0" w:after="0" w:afterAutospacing="0" w:line="360" w:lineRule="auto"/>
              <w:ind w:left="0" w:right="0"/>
              <w:jc w:val="center"/>
              <w:rPr>
                <w:rFonts w:hint="default"/>
              </w:rPr>
            </w:pPr>
            <w:r>
              <w:rPr>
                <w:rFonts w:hint="eastAsia"/>
              </w:rPr>
              <w:t>0.5%</w:t>
            </w:r>
          </w:p>
        </w:tc>
        <w:tc>
          <w:tcPr>
            <w:tcW w:w="1799" w:type="dxa"/>
            <w:vAlign w:val="center"/>
          </w:tcPr>
          <w:p w14:paraId="5E646881">
            <w:pPr>
              <w:keepNext w:val="0"/>
              <w:keepLines w:val="0"/>
              <w:widowControl/>
              <w:suppressLineNumbers w:val="0"/>
              <w:spacing w:before="0" w:beforeAutospacing="0" w:after="0" w:afterAutospacing="0" w:line="360" w:lineRule="auto"/>
              <w:ind w:left="0" w:right="0"/>
              <w:jc w:val="center"/>
              <w:rPr>
                <w:rFonts w:hint="default"/>
              </w:rPr>
            </w:pPr>
            <w:r>
              <w:rPr>
                <w:rFonts w:hint="eastAsia"/>
              </w:rPr>
              <w:t>0.25%</w:t>
            </w:r>
          </w:p>
        </w:tc>
        <w:tc>
          <w:tcPr>
            <w:tcW w:w="1799" w:type="dxa"/>
            <w:vAlign w:val="center"/>
          </w:tcPr>
          <w:p w14:paraId="6658C95E">
            <w:pPr>
              <w:keepNext w:val="0"/>
              <w:keepLines w:val="0"/>
              <w:widowControl/>
              <w:suppressLineNumbers w:val="0"/>
              <w:spacing w:before="0" w:beforeAutospacing="0" w:after="0" w:afterAutospacing="0" w:line="360" w:lineRule="auto"/>
              <w:ind w:left="0" w:right="0"/>
              <w:jc w:val="center"/>
              <w:rPr>
                <w:rFonts w:hint="default"/>
              </w:rPr>
            </w:pPr>
            <w:r>
              <w:rPr>
                <w:rFonts w:hint="eastAsia"/>
              </w:rPr>
              <w:t>0.35%</w:t>
            </w:r>
          </w:p>
        </w:tc>
      </w:tr>
      <w:tr w14:paraId="54E8B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5D8D68BE">
            <w:pPr>
              <w:keepNext w:val="0"/>
              <w:keepLines w:val="0"/>
              <w:widowControl/>
              <w:suppressLineNumbers w:val="0"/>
              <w:spacing w:before="0" w:beforeAutospacing="0" w:after="0" w:afterAutospacing="0" w:line="360" w:lineRule="auto"/>
              <w:ind w:left="0" w:right="0"/>
              <w:jc w:val="center"/>
              <w:rPr>
                <w:rFonts w:hint="default"/>
              </w:rPr>
            </w:pPr>
            <w:r>
              <w:rPr>
                <w:rFonts w:hint="eastAsia"/>
              </w:rPr>
              <w:t>5000万元（含）-1亿元</w:t>
            </w:r>
          </w:p>
        </w:tc>
        <w:tc>
          <w:tcPr>
            <w:tcW w:w="1799" w:type="dxa"/>
            <w:vAlign w:val="center"/>
          </w:tcPr>
          <w:p w14:paraId="22BC30D6">
            <w:pPr>
              <w:keepNext w:val="0"/>
              <w:keepLines w:val="0"/>
              <w:widowControl/>
              <w:suppressLineNumbers w:val="0"/>
              <w:spacing w:before="0" w:beforeAutospacing="0" w:after="0" w:afterAutospacing="0" w:line="360" w:lineRule="auto"/>
              <w:ind w:left="0" w:right="0"/>
              <w:jc w:val="center"/>
              <w:rPr>
                <w:rFonts w:hint="default"/>
              </w:rPr>
            </w:pPr>
            <w:r>
              <w:rPr>
                <w:rFonts w:hint="eastAsia"/>
              </w:rPr>
              <w:t>0.25%</w:t>
            </w:r>
          </w:p>
        </w:tc>
        <w:tc>
          <w:tcPr>
            <w:tcW w:w="1799" w:type="dxa"/>
            <w:vAlign w:val="center"/>
          </w:tcPr>
          <w:p w14:paraId="658688A1">
            <w:pPr>
              <w:keepNext w:val="0"/>
              <w:keepLines w:val="0"/>
              <w:widowControl/>
              <w:suppressLineNumbers w:val="0"/>
              <w:spacing w:before="0" w:beforeAutospacing="0" w:after="0" w:afterAutospacing="0" w:line="360" w:lineRule="auto"/>
              <w:ind w:left="0" w:right="0"/>
              <w:jc w:val="center"/>
              <w:rPr>
                <w:rFonts w:hint="default"/>
              </w:rPr>
            </w:pPr>
            <w:r>
              <w:rPr>
                <w:rFonts w:hint="eastAsia"/>
              </w:rPr>
              <w:t>0.1%</w:t>
            </w:r>
          </w:p>
        </w:tc>
        <w:tc>
          <w:tcPr>
            <w:tcW w:w="1799" w:type="dxa"/>
            <w:vAlign w:val="center"/>
          </w:tcPr>
          <w:p w14:paraId="553939F5">
            <w:pPr>
              <w:keepNext w:val="0"/>
              <w:keepLines w:val="0"/>
              <w:widowControl/>
              <w:suppressLineNumbers w:val="0"/>
              <w:spacing w:before="0" w:beforeAutospacing="0" w:after="0" w:afterAutospacing="0" w:line="360" w:lineRule="auto"/>
              <w:ind w:left="0" w:right="0"/>
              <w:jc w:val="center"/>
              <w:rPr>
                <w:rFonts w:hint="default"/>
              </w:rPr>
            </w:pPr>
            <w:r>
              <w:rPr>
                <w:rFonts w:hint="eastAsia"/>
              </w:rPr>
              <w:t>0.2%</w:t>
            </w:r>
          </w:p>
        </w:tc>
      </w:tr>
      <w:tr w14:paraId="383B4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1186C364">
            <w:pPr>
              <w:keepNext w:val="0"/>
              <w:keepLines w:val="0"/>
              <w:widowControl/>
              <w:suppressLineNumbers w:val="0"/>
              <w:spacing w:before="0" w:beforeAutospacing="0" w:after="0" w:afterAutospacing="0" w:line="360" w:lineRule="auto"/>
              <w:ind w:left="0" w:right="0"/>
              <w:jc w:val="center"/>
              <w:rPr>
                <w:rFonts w:hint="default"/>
              </w:rPr>
            </w:pPr>
            <w:r>
              <w:rPr>
                <w:rFonts w:hint="eastAsia"/>
              </w:rPr>
              <w:t>1亿元（含）-5亿元</w:t>
            </w:r>
          </w:p>
        </w:tc>
        <w:tc>
          <w:tcPr>
            <w:tcW w:w="1799" w:type="dxa"/>
            <w:vAlign w:val="center"/>
          </w:tcPr>
          <w:p w14:paraId="162D0E30">
            <w:pPr>
              <w:keepNext w:val="0"/>
              <w:keepLines w:val="0"/>
              <w:widowControl/>
              <w:suppressLineNumbers w:val="0"/>
              <w:spacing w:before="0" w:beforeAutospacing="0" w:after="0" w:afterAutospacing="0" w:line="360" w:lineRule="auto"/>
              <w:ind w:left="0" w:right="0"/>
              <w:jc w:val="center"/>
              <w:rPr>
                <w:rFonts w:hint="default"/>
              </w:rPr>
            </w:pPr>
            <w:r>
              <w:rPr>
                <w:rFonts w:hint="eastAsia"/>
              </w:rPr>
              <w:t>0.05%</w:t>
            </w:r>
          </w:p>
        </w:tc>
        <w:tc>
          <w:tcPr>
            <w:tcW w:w="1799" w:type="dxa"/>
            <w:vAlign w:val="center"/>
          </w:tcPr>
          <w:p w14:paraId="7189BEAE">
            <w:pPr>
              <w:keepNext w:val="0"/>
              <w:keepLines w:val="0"/>
              <w:widowControl/>
              <w:suppressLineNumbers w:val="0"/>
              <w:spacing w:before="0" w:beforeAutospacing="0" w:after="0" w:afterAutospacing="0" w:line="360" w:lineRule="auto"/>
              <w:ind w:left="0" w:right="0"/>
              <w:jc w:val="center"/>
              <w:rPr>
                <w:rFonts w:hint="default"/>
              </w:rPr>
            </w:pPr>
            <w:r>
              <w:rPr>
                <w:rFonts w:hint="eastAsia"/>
              </w:rPr>
              <w:t>0.05%</w:t>
            </w:r>
          </w:p>
        </w:tc>
        <w:tc>
          <w:tcPr>
            <w:tcW w:w="1799" w:type="dxa"/>
            <w:vAlign w:val="center"/>
          </w:tcPr>
          <w:p w14:paraId="3907404D">
            <w:pPr>
              <w:keepNext w:val="0"/>
              <w:keepLines w:val="0"/>
              <w:widowControl/>
              <w:suppressLineNumbers w:val="0"/>
              <w:spacing w:before="0" w:beforeAutospacing="0" w:after="0" w:afterAutospacing="0" w:line="360" w:lineRule="auto"/>
              <w:ind w:left="0" w:right="0"/>
              <w:jc w:val="center"/>
              <w:rPr>
                <w:rFonts w:hint="default"/>
              </w:rPr>
            </w:pPr>
            <w:r>
              <w:rPr>
                <w:rFonts w:hint="eastAsia"/>
              </w:rPr>
              <w:t>0.05%</w:t>
            </w:r>
          </w:p>
        </w:tc>
      </w:tr>
      <w:tr w14:paraId="1A34E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773A6C5B">
            <w:pPr>
              <w:keepNext w:val="0"/>
              <w:keepLines w:val="0"/>
              <w:widowControl/>
              <w:suppressLineNumbers w:val="0"/>
              <w:spacing w:before="0" w:beforeAutospacing="0" w:after="0" w:afterAutospacing="0" w:line="360" w:lineRule="auto"/>
              <w:ind w:left="0" w:right="0"/>
              <w:jc w:val="center"/>
              <w:rPr>
                <w:rFonts w:hint="default"/>
              </w:rPr>
            </w:pPr>
            <w:r>
              <w:rPr>
                <w:rFonts w:hint="eastAsia"/>
              </w:rPr>
              <w:t>5亿元（含）-10亿元</w:t>
            </w:r>
          </w:p>
        </w:tc>
        <w:tc>
          <w:tcPr>
            <w:tcW w:w="1799" w:type="dxa"/>
            <w:vAlign w:val="center"/>
          </w:tcPr>
          <w:p w14:paraId="2469B00C">
            <w:pPr>
              <w:keepNext w:val="0"/>
              <w:keepLines w:val="0"/>
              <w:widowControl/>
              <w:suppressLineNumbers w:val="0"/>
              <w:spacing w:before="0" w:beforeAutospacing="0" w:after="0" w:afterAutospacing="0" w:line="360" w:lineRule="auto"/>
              <w:ind w:left="0" w:right="0"/>
              <w:jc w:val="center"/>
              <w:rPr>
                <w:rFonts w:hint="default"/>
              </w:rPr>
            </w:pPr>
            <w:r>
              <w:rPr>
                <w:rFonts w:hint="eastAsia"/>
              </w:rPr>
              <w:t>0.035%</w:t>
            </w:r>
          </w:p>
        </w:tc>
        <w:tc>
          <w:tcPr>
            <w:tcW w:w="1799" w:type="dxa"/>
            <w:vAlign w:val="center"/>
          </w:tcPr>
          <w:p w14:paraId="2CA19FF5">
            <w:pPr>
              <w:keepNext w:val="0"/>
              <w:keepLines w:val="0"/>
              <w:widowControl/>
              <w:suppressLineNumbers w:val="0"/>
              <w:spacing w:before="0" w:beforeAutospacing="0" w:after="0" w:afterAutospacing="0" w:line="360" w:lineRule="auto"/>
              <w:ind w:left="0" w:right="0"/>
              <w:jc w:val="center"/>
              <w:rPr>
                <w:rFonts w:hint="default"/>
              </w:rPr>
            </w:pPr>
            <w:r>
              <w:rPr>
                <w:rFonts w:hint="eastAsia"/>
              </w:rPr>
              <w:t>0.035%</w:t>
            </w:r>
          </w:p>
        </w:tc>
        <w:tc>
          <w:tcPr>
            <w:tcW w:w="1799" w:type="dxa"/>
            <w:vAlign w:val="center"/>
          </w:tcPr>
          <w:p w14:paraId="1393745F">
            <w:pPr>
              <w:keepNext w:val="0"/>
              <w:keepLines w:val="0"/>
              <w:widowControl/>
              <w:suppressLineNumbers w:val="0"/>
              <w:spacing w:before="0" w:beforeAutospacing="0" w:after="0" w:afterAutospacing="0" w:line="360" w:lineRule="auto"/>
              <w:ind w:left="0" w:right="0"/>
              <w:jc w:val="center"/>
              <w:rPr>
                <w:rFonts w:hint="default"/>
              </w:rPr>
            </w:pPr>
            <w:r>
              <w:rPr>
                <w:rFonts w:hint="eastAsia"/>
              </w:rPr>
              <w:t>0.035%</w:t>
            </w:r>
          </w:p>
        </w:tc>
      </w:tr>
      <w:tr w14:paraId="32DF0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125" w:type="dxa"/>
            <w:vAlign w:val="center"/>
          </w:tcPr>
          <w:p w14:paraId="04E78303">
            <w:pPr>
              <w:keepNext w:val="0"/>
              <w:keepLines w:val="0"/>
              <w:widowControl/>
              <w:suppressLineNumbers w:val="0"/>
              <w:spacing w:before="0" w:beforeAutospacing="0" w:after="0" w:afterAutospacing="0" w:line="360" w:lineRule="auto"/>
              <w:ind w:left="0" w:right="0"/>
              <w:jc w:val="center"/>
              <w:rPr>
                <w:rFonts w:hint="default"/>
              </w:rPr>
            </w:pPr>
            <w:r>
              <w:rPr>
                <w:rFonts w:hint="eastAsia"/>
              </w:rPr>
              <w:t>10亿元（含）-50亿元</w:t>
            </w:r>
          </w:p>
        </w:tc>
        <w:tc>
          <w:tcPr>
            <w:tcW w:w="1799" w:type="dxa"/>
            <w:vAlign w:val="center"/>
          </w:tcPr>
          <w:p w14:paraId="7562F2CB">
            <w:pPr>
              <w:keepNext w:val="0"/>
              <w:keepLines w:val="0"/>
              <w:widowControl/>
              <w:suppressLineNumbers w:val="0"/>
              <w:spacing w:before="0" w:beforeAutospacing="0" w:after="0" w:afterAutospacing="0" w:line="360" w:lineRule="auto"/>
              <w:ind w:left="0" w:right="0"/>
              <w:jc w:val="center"/>
              <w:rPr>
                <w:rFonts w:hint="default"/>
              </w:rPr>
            </w:pPr>
            <w:r>
              <w:rPr>
                <w:rFonts w:hint="eastAsia"/>
              </w:rPr>
              <w:t>0.008%</w:t>
            </w:r>
          </w:p>
        </w:tc>
        <w:tc>
          <w:tcPr>
            <w:tcW w:w="1799" w:type="dxa"/>
            <w:vAlign w:val="center"/>
          </w:tcPr>
          <w:p w14:paraId="1F5F47F6">
            <w:pPr>
              <w:keepNext w:val="0"/>
              <w:keepLines w:val="0"/>
              <w:widowControl/>
              <w:suppressLineNumbers w:val="0"/>
              <w:spacing w:before="0" w:beforeAutospacing="0" w:after="0" w:afterAutospacing="0" w:line="360" w:lineRule="auto"/>
              <w:ind w:left="0" w:right="0"/>
              <w:jc w:val="center"/>
              <w:rPr>
                <w:rFonts w:hint="default"/>
              </w:rPr>
            </w:pPr>
            <w:r>
              <w:rPr>
                <w:rFonts w:hint="eastAsia"/>
              </w:rPr>
              <w:t>0.008%</w:t>
            </w:r>
          </w:p>
        </w:tc>
        <w:tc>
          <w:tcPr>
            <w:tcW w:w="1799" w:type="dxa"/>
            <w:vAlign w:val="center"/>
          </w:tcPr>
          <w:p w14:paraId="45D4FB38">
            <w:pPr>
              <w:keepNext w:val="0"/>
              <w:keepLines w:val="0"/>
              <w:widowControl/>
              <w:suppressLineNumbers w:val="0"/>
              <w:spacing w:before="0" w:beforeAutospacing="0" w:after="0" w:afterAutospacing="0" w:line="360" w:lineRule="auto"/>
              <w:ind w:left="0" w:right="0"/>
              <w:jc w:val="center"/>
              <w:rPr>
                <w:rFonts w:hint="default"/>
              </w:rPr>
            </w:pPr>
            <w:r>
              <w:rPr>
                <w:rFonts w:hint="eastAsia"/>
              </w:rPr>
              <w:t>0.008%</w:t>
            </w:r>
          </w:p>
        </w:tc>
      </w:tr>
      <w:tr w14:paraId="59018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047BA0AF">
            <w:pPr>
              <w:keepNext w:val="0"/>
              <w:keepLines w:val="0"/>
              <w:widowControl/>
              <w:suppressLineNumbers w:val="0"/>
              <w:spacing w:before="0" w:beforeAutospacing="0" w:after="0" w:afterAutospacing="0" w:line="360" w:lineRule="auto"/>
              <w:ind w:left="0" w:right="0"/>
              <w:jc w:val="center"/>
              <w:rPr>
                <w:rFonts w:hint="default"/>
              </w:rPr>
            </w:pPr>
            <w:r>
              <w:rPr>
                <w:rFonts w:hint="eastAsia"/>
              </w:rPr>
              <w:t>50亿元（含）-100亿元</w:t>
            </w:r>
          </w:p>
        </w:tc>
        <w:tc>
          <w:tcPr>
            <w:tcW w:w="1799" w:type="dxa"/>
            <w:vAlign w:val="center"/>
          </w:tcPr>
          <w:p w14:paraId="3734C071">
            <w:pPr>
              <w:keepNext w:val="0"/>
              <w:keepLines w:val="0"/>
              <w:widowControl/>
              <w:suppressLineNumbers w:val="0"/>
              <w:spacing w:before="0" w:beforeAutospacing="0" w:after="0" w:afterAutospacing="0" w:line="360" w:lineRule="auto"/>
              <w:ind w:left="0" w:right="0"/>
              <w:jc w:val="center"/>
              <w:rPr>
                <w:rFonts w:hint="default"/>
              </w:rPr>
            </w:pPr>
            <w:r>
              <w:rPr>
                <w:rFonts w:hint="eastAsia"/>
              </w:rPr>
              <w:t>0.006%</w:t>
            </w:r>
          </w:p>
        </w:tc>
        <w:tc>
          <w:tcPr>
            <w:tcW w:w="1799" w:type="dxa"/>
            <w:vAlign w:val="center"/>
          </w:tcPr>
          <w:p w14:paraId="403B0447">
            <w:pPr>
              <w:keepNext w:val="0"/>
              <w:keepLines w:val="0"/>
              <w:widowControl/>
              <w:suppressLineNumbers w:val="0"/>
              <w:spacing w:before="0" w:beforeAutospacing="0" w:after="0" w:afterAutospacing="0" w:line="360" w:lineRule="auto"/>
              <w:ind w:left="0" w:right="0"/>
              <w:jc w:val="center"/>
              <w:rPr>
                <w:rFonts w:hint="default"/>
              </w:rPr>
            </w:pPr>
            <w:r>
              <w:rPr>
                <w:rFonts w:hint="eastAsia"/>
              </w:rPr>
              <w:t>0.006%</w:t>
            </w:r>
          </w:p>
        </w:tc>
        <w:tc>
          <w:tcPr>
            <w:tcW w:w="1799" w:type="dxa"/>
            <w:vAlign w:val="center"/>
          </w:tcPr>
          <w:p w14:paraId="7EF9FBEA">
            <w:pPr>
              <w:keepNext w:val="0"/>
              <w:keepLines w:val="0"/>
              <w:widowControl/>
              <w:suppressLineNumbers w:val="0"/>
              <w:spacing w:before="0" w:beforeAutospacing="0" w:after="0" w:afterAutospacing="0" w:line="360" w:lineRule="auto"/>
              <w:ind w:left="0" w:right="0"/>
              <w:jc w:val="center"/>
              <w:rPr>
                <w:rFonts w:hint="default"/>
              </w:rPr>
            </w:pPr>
            <w:r>
              <w:rPr>
                <w:rFonts w:hint="eastAsia"/>
              </w:rPr>
              <w:t>0.006%</w:t>
            </w:r>
          </w:p>
        </w:tc>
      </w:tr>
      <w:tr w14:paraId="23188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317E6137">
            <w:pPr>
              <w:keepNext w:val="0"/>
              <w:keepLines w:val="0"/>
              <w:widowControl/>
              <w:suppressLineNumbers w:val="0"/>
              <w:spacing w:before="0" w:beforeAutospacing="0" w:after="0" w:afterAutospacing="0" w:line="360" w:lineRule="auto"/>
              <w:ind w:left="0" w:right="0"/>
              <w:jc w:val="center"/>
              <w:rPr>
                <w:rFonts w:hint="default"/>
              </w:rPr>
            </w:pPr>
            <w:r>
              <w:rPr>
                <w:rFonts w:hint="eastAsia"/>
              </w:rPr>
              <w:t>100亿元（含）以上</w:t>
            </w:r>
          </w:p>
        </w:tc>
        <w:tc>
          <w:tcPr>
            <w:tcW w:w="1799" w:type="dxa"/>
            <w:vAlign w:val="center"/>
          </w:tcPr>
          <w:p w14:paraId="1D5C319C">
            <w:pPr>
              <w:keepNext w:val="0"/>
              <w:keepLines w:val="0"/>
              <w:widowControl/>
              <w:suppressLineNumbers w:val="0"/>
              <w:spacing w:before="0" w:beforeAutospacing="0" w:after="0" w:afterAutospacing="0" w:line="360" w:lineRule="auto"/>
              <w:ind w:left="0" w:right="0"/>
              <w:jc w:val="center"/>
              <w:rPr>
                <w:rFonts w:hint="default"/>
              </w:rPr>
            </w:pPr>
            <w:r>
              <w:rPr>
                <w:rFonts w:hint="eastAsia"/>
              </w:rPr>
              <w:t>0.004%</w:t>
            </w:r>
          </w:p>
        </w:tc>
        <w:tc>
          <w:tcPr>
            <w:tcW w:w="1799" w:type="dxa"/>
            <w:vAlign w:val="center"/>
          </w:tcPr>
          <w:p w14:paraId="4C4F969C">
            <w:pPr>
              <w:keepNext w:val="0"/>
              <w:keepLines w:val="0"/>
              <w:widowControl/>
              <w:suppressLineNumbers w:val="0"/>
              <w:spacing w:before="0" w:beforeAutospacing="0" w:after="0" w:afterAutospacing="0" w:line="360" w:lineRule="auto"/>
              <w:ind w:left="0" w:right="0"/>
              <w:jc w:val="center"/>
              <w:rPr>
                <w:rFonts w:hint="default"/>
              </w:rPr>
            </w:pPr>
            <w:r>
              <w:rPr>
                <w:rFonts w:hint="eastAsia"/>
              </w:rPr>
              <w:t>0.004%</w:t>
            </w:r>
          </w:p>
        </w:tc>
        <w:tc>
          <w:tcPr>
            <w:tcW w:w="1799" w:type="dxa"/>
            <w:vAlign w:val="center"/>
          </w:tcPr>
          <w:p w14:paraId="6A9FF808">
            <w:pPr>
              <w:keepNext w:val="0"/>
              <w:keepLines w:val="0"/>
              <w:widowControl/>
              <w:suppressLineNumbers w:val="0"/>
              <w:spacing w:before="0" w:beforeAutospacing="0" w:after="0" w:afterAutospacing="0" w:line="360" w:lineRule="auto"/>
              <w:ind w:left="0" w:right="0"/>
              <w:jc w:val="center"/>
              <w:rPr>
                <w:rFonts w:hint="default"/>
              </w:rPr>
            </w:pPr>
            <w:r>
              <w:rPr>
                <w:rFonts w:hint="eastAsia"/>
              </w:rPr>
              <w:t>0.004%</w:t>
            </w:r>
          </w:p>
        </w:tc>
      </w:tr>
    </w:tbl>
    <w:p w14:paraId="634E12B4">
      <w:pPr>
        <w:ind w:firstLine="420" w:firstLineChars="200"/>
      </w:pPr>
      <w:r>
        <w:rPr>
          <w:rFonts w:hint="eastAsia"/>
        </w:rPr>
        <w:t>备注：1.每宗交易代理服务费不低于 5000 元；</w:t>
      </w:r>
    </w:p>
    <w:p w14:paraId="436B8963">
      <w:pPr>
        <w:ind w:firstLine="420" w:firstLineChars="200"/>
      </w:pPr>
      <w:r>
        <w:rPr>
          <w:rFonts w:hint="eastAsia"/>
        </w:rPr>
        <w:t>2.对于报总价的采购类项目，中标（成交）价为中标（成交）金额；对于报单价、折扣或费率的采购类项目，中标（成交）价为预算上限金额或经委托方与代理方确定的支付上限金额；</w:t>
      </w:r>
    </w:p>
    <w:p w14:paraId="2E2E8D57">
      <w:pPr>
        <w:ind w:firstLine="420" w:firstLineChars="200"/>
      </w:pPr>
      <w:r>
        <w:rPr>
          <w:rFonts w:hint="eastAsia"/>
        </w:rPr>
        <w:t>如某货物采购项目，中标（成交）金额为600万元，总共交纳的代理服务费的具体计算过程如下：</w:t>
      </w:r>
    </w:p>
    <w:p w14:paraId="4964ED5C">
      <w:pPr>
        <w:ind w:firstLine="420" w:firstLineChars="200"/>
      </w:pPr>
      <w:r>
        <w:rPr>
          <w:rFonts w:hint="eastAsia"/>
        </w:rPr>
        <w:t>标准代理服务费＝（100万以下部分的代理服务费）+（100万～500万部分的代理服务费）+（500万～600万部分的代理服务费）＝100万元×1.5%+（500-100）万元×1.1%+（600-500）万元×0.8%=1.5万元+4.4万元+0.8万元＝6.7万元</w:t>
      </w:r>
    </w:p>
    <w:p w14:paraId="72727796">
      <w:pPr>
        <w:ind w:firstLine="420" w:firstLineChars="200"/>
      </w:pPr>
      <w:r>
        <w:rPr>
          <w:rFonts w:hint="eastAsia"/>
        </w:rPr>
        <w:t>（3）中标（成交）供应商中标（成交）后，必须按规定采用银行对公转账方式向深圳交易集团有限公司直接交纳代理服务费，交纳信息及要求：</w:t>
      </w:r>
    </w:p>
    <w:p w14:paraId="203175E2">
      <w:pPr>
        <w:ind w:firstLine="422" w:firstLineChars="200"/>
        <w:rPr>
          <w:rFonts w:ascii="宋体" w:hAnsi="宋体" w:cs="宋体"/>
          <w:bCs/>
          <w:color w:val="FF0000"/>
          <w:szCs w:val="21"/>
        </w:rPr>
      </w:pPr>
      <w:r>
        <w:rPr>
          <w:rFonts w:hint="eastAsia" w:ascii="宋体" w:hAnsi="宋体" w:cs="宋体"/>
          <w:b/>
          <w:bCs/>
          <w:color w:val="FF0000"/>
          <w:szCs w:val="21"/>
        </w:rPr>
        <w:t>基本户信息：</w:t>
      </w:r>
    </w:p>
    <w:p w14:paraId="075616D8">
      <w:pPr>
        <w:ind w:firstLine="420" w:firstLineChars="200"/>
        <w:rPr>
          <w:rFonts w:ascii="宋体" w:hAnsi="宋体" w:cs="宋体"/>
          <w:color w:val="FF0000"/>
          <w:szCs w:val="21"/>
        </w:rPr>
      </w:pPr>
      <w:r>
        <w:rPr>
          <w:rFonts w:hint="eastAsia" w:ascii="宋体" w:hAnsi="宋体" w:cs="宋体"/>
          <w:color w:val="FF0000"/>
          <w:szCs w:val="21"/>
        </w:rPr>
        <w:t>账户名：深圳交易集团有限公司</w:t>
      </w:r>
    </w:p>
    <w:p w14:paraId="0AAA21BB">
      <w:pPr>
        <w:ind w:firstLine="420" w:firstLineChars="200"/>
        <w:rPr>
          <w:rFonts w:ascii="宋体" w:hAnsi="宋体" w:cs="宋体"/>
          <w:color w:val="FF0000"/>
          <w:szCs w:val="21"/>
        </w:rPr>
      </w:pPr>
      <w:r>
        <w:rPr>
          <w:rFonts w:hint="eastAsia" w:ascii="宋体" w:hAnsi="宋体" w:cs="宋体"/>
          <w:color w:val="FF0000"/>
          <w:szCs w:val="21"/>
        </w:rPr>
        <w:t>账号：632765883</w:t>
      </w:r>
    </w:p>
    <w:p w14:paraId="0FD7C387">
      <w:pPr>
        <w:ind w:firstLine="420" w:firstLineChars="200"/>
        <w:rPr>
          <w:rFonts w:ascii="宋体" w:hAnsi="宋体" w:cs="宋体"/>
          <w:color w:val="FF0000"/>
          <w:szCs w:val="21"/>
        </w:rPr>
      </w:pPr>
      <w:r>
        <w:rPr>
          <w:rFonts w:hint="eastAsia" w:ascii="宋体" w:hAnsi="宋体" w:cs="宋体"/>
          <w:color w:val="FF0000"/>
          <w:szCs w:val="21"/>
        </w:rPr>
        <w:t>开户行：民生银行深圳五洲支行</w:t>
      </w:r>
    </w:p>
    <w:p w14:paraId="0DF8D831">
      <w:pPr>
        <w:ind w:firstLine="422" w:firstLineChars="200"/>
        <w:rPr>
          <w:rFonts w:ascii="宋体" w:hAnsi="宋体" w:cs="宋体"/>
          <w:bCs/>
          <w:color w:val="FF0000"/>
          <w:szCs w:val="21"/>
        </w:rPr>
      </w:pPr>
      <w:r>
        <w:rPr>
          <w:rFonts w:hint="eastAsia" w:ascii="宋体" w:hAnsi="宋体" w:cs="宋体"/>
          <w:b/>
          <w:bCs/>
          <w:color w:val="FF0000"/>
          <w:szCs w:val="21"/>
        </w:rPr>
        <w:t>转账备注：</w:t>
      </w:r>
    </w:p>
    <w:p w14:paraId="143FFD5A">
      <w:pPr>
        <w:ind w:firstLine="420" w:firstLineChars="200"/>
        <w:rPr>
          <w:rFonts w:ascii="宋体" w:hAnsi="宋体" w:cs="宋体"/>
          <w:bCs/>
          <w:color w:val="FF0000"/>
          <w:szCs w:val="21"/>
        </w:rPr>
      </w:pPr>
      <w:r>
        <w:rPr>
          <w:rFonts w:hint="eastAsia" w:ascii="宋体" w:hAnsi="宋体" w:cs="宋体"/>
          <w:bCs/>
          <w:color w:val="FF0000"/>
          <w:szCs w:val="21"/>
        </w:rPr>
        <w:t>项目编号+项目名称</w:t>
      </w:r>
    </w:p>
    <w:p w14:paraId="624615B8">
      <w:pPr>
        <w:ind w:firstLine="422" w:firstLineChars="200"/>
        <w:jc w:val="left"/>
        <w:rPr>
          <w:b/>
          <w:bCs/>
        </w:rPr>
      </w:pPr>
      <w:r>
        <w:rPr>
          <w:rFonts w:hint="eastAsia"/>
          <w:b/>
          <w:bCs/>
        </w:rPr>
        <w:t>3、长期服务采购项目</w:t>
      </w:r>
    </w:p>
    <w:p w14:paraId="1FC99F23">
      <w:pPr>
        <w:ind w:firstLine="420" w:firstLineChars="200"/>
        <w:jc w:val="left"/>
        <w:rPr>
          <w:rFonts w:hint="eastAsia"/>
        </w:rPr>
      </w:pPr>
      <w:r>
        <w:rPr>
          <w:rFonts w:hint="eastAsia"/>
        </w:rPr>
        <w:t>本项目为长期服务项目，合同期满可以续签，但合同履行期限最长不得超过三十六个月。如甲方对履约情况不满意，甲方不再续约。</w:t>
      </w:r>
    </w:p>
    <w:p w14:paraId="253D7915"/>
    <w:p w14:paraId="1E341854">
      <w:pPr>
        <w:widowControl/>
        <w:ind w:firstLine="422" w:firstLineChars="200"/>
        <w:jc w:val="left"/>
        <w:rPr>
          <w:rFonts w:ascii="Times New Roman" w:hAnsi="Times New Roman" w:eastAsia="Times New Roman" w:cs="Times New Roman"/>
          <w:b/>
          <w:bCs/>
          <w:kern w:val="0"/>
          <w:sz w:val="24"/>
          <w:highlight w:val="none"/>
        </w:rPr>
      </w:pPr>
      <w:r>
        <w:rPr>
          <w:rFonts w:hint="eastAsia" w:ascii="Times New Roman" w:hAnsi="Times New Roman" w:eastAsia="宋体" w:cs="Times New Roman"/>
          <w:b/>
          <w:bCs/>
          <w:lang w:val="en-US" w:eastAsia="zh-CN"/>
        </w:rPr>
        <w:t>4、</w:t>
      </w:r>
      <w:r>
        <w:rPr>
          <w:rFonts w:hint="eastAsia" w:ascii="Times New Roman" w:hAnsi="Times New Roman" w:eastAsia="Times New Roman" w:cs="Times New Roman"/>
          <w:b/>
          <w:bCs/>
          <w:kern w:val="0"/>
          <w:sz w:val="24"/>
          <w:highlight w:val="none"/>
        </w:rPr>
        <w:t>多包组要求：</w:t>
      </w:r>
    </w:p>
    <w:p w14:paraId="62FC9A66">
      <w:pPr>
        <w:widowControl/>
        <w:jc w:val="left"/>
        <w:rPr>
          <w:rFonts w:ascii="Times New Roman" w:hAnsi="Times New Roman" w:eastAsia="Times New Roman" w:cs="Times New Roman"/>
          <w:kern w:val="0"/>
          <w:sz w:val="24"/>
          <w:highlight w:val="none"/>
        </w:rPr>
      </w:pPr>
      <w:r>
        <w:rPr>
          <w:rFonts w:hint="eastAsia" w:ascii="Times New Roman" w:hAnsi="Times New Roman" w:eastAsia="宋体" w:cs="Times New Roman"/>
          <w:highlight w:val="none"/>
        </w:rPr>
        <w:t>a.本项目通过采购，将选择出</w:t>
      </w:r>
      <w:r>
        <w:rPr>
          <w:rFonts w:hint="eastAsia" w:ascii="Times New Roman" w:hAnsi="Times New Roman" w:eastAsia="宋体" w:cs="Times New Roman"/>
          <w:b/>
          <w:bCs/>
          <w:color w:val="FF0000"/>
          <w:kern w:val="0"/>
          <w:sz w:val="24"/>
          <w:highlight w:val="none"/>
          <w:u w:val="single"/>
          <w:lang w:val="en-US" w:eastAsia="zh-CN"/>
        </w:rPr>
        <w:t>5</w:t>
      </w:r>
      <w:r>
        <w:rPr>
          <w:rFonts w:hint="eastAsia" w:ascii="Times New Roman" w:hAnsi="Times New Roman" w:eastAsia="Times New Roman" w:cs="Times New Roman"/>
          <w:b/>
          <w:bCs/>
          <w:color w:val="FF0000"/>
          <w:kern w:val="0"/>
          <w:sz w:val="24"/>
          <w:highlight w:val="none"/>
          <w:u w:val="single"/>
        </w:rPr>
        <w:t>家</w:t>
      </w:r>
      <w:r>
        <w:rPr>
          <w:rFonts w:hint="eastAsia" w:ascii="Times New Roman" w:hAnsi="Times New Roman" w:eastAsia="宋体" w:cs="Times New Roman"/>
          <w:highlight w:val="none"/>
        </w:rPr>
        <w:t>优秀的专业单位承担A、B、C、D</w:t>
      </w:r>
      <w:r>
        <w:rPr>
          <w:rFonts w:hint="eastAsia" w:ascii="Times New Roman" w:hAnsi="Times New Roman" w:eastAsia="宋体" w:cs="Times New Roman"/>
          <w:highlight w:val="none"/>
          <w:lang w:eastAsia="zh-CN"/>
        </w:rPr>
        <w:t>、</w:t>
      </w:r>
      <w:r>
        <w:rPr>
          <w:rFonts w:hint="eastAsia" w:ascii="Times New Roman" w:hAnsi="Times New Roman" w:eastAsia="宋体" w:cs="Times New Roman"/>
          <w:highlight w:val="none"/>
          <w:lang w:val="en-US" w:eastAsia="zh-CN"/>
        </w:rPr>
        <w:t>E</w:t>
      </w:r>
      <w:r>
        <w:rPr>
          <w:rFonts w:hint="eastAsia" w:ascii="Times New Roman" w:hAnsi="Times New Roman" w:eastAsia="宋体" w:cs="Times New Roman"/>
          <w:highlight w:val="none"/>
        </w:rPr>
        <w:t>包相关任务。本包为</w:t>
      </w:r>
      <w:r>
        <w:rPr>
          <w:rFonts w:hint="eastAsia" w:cs="Times New Roman"/>
          <w:b/>
          <w:bCs/>
          <w:color w:val="FF0000"/>
          <w:kern w:val="0"/>
          <w:sz w:val="24"/>
          <w:highlight w:val="none"/>
          <w:u w:val="single"/>
          <w:lang w:val="en-US" w:eastAsia="zh-CN"/>
        </w:rPr>
        <w:t>E</w:t>
      </w:r>
      <w:r>
        <w:rPr>
          <w:rFonts w:hint="eastAsia" w:ascii="Times New Roman" w:hAnsi="Times New Roman" w:eastAsia="Times New Roman" w:cs="Times New Roman"/>
          <w:b/>
          <w:bCs/>
          <w:color w:val="FF0000"/>
          <w:kern w:val="0"/>
          <w:sz w:val="24"/>
          <w:highlight w:val="none"/>
          <w:u w:val="single"/>
        </w:rPr>
        <w:t>包</w:t>
      </w:r>
      <w:r>
        <w:rPr>
          <w:rFonts w:hint="eastAsia" w:ascii="Times New Roman" w:hAnsi="Times New Roman" w:eastAsia="Times New Roman" w:cs="Times New Roman"/>
          <w:kern w:val="0"/>
          <w:sz w:val="24"/>
          <w:highlight w:val="none"/>
        </w:rPr>
        <w:t>。</w:t>
      </w:r>
    </w:p>
    <w:p w14:paraId="21DCFBCD">
      <w:pPr>
        <w:widowControl/>
        <w:jc w:val="left"/>
        <w:rPr>
          <w:rFonts w:ascii="Times New Roman" w:hAnsi="Times New Roman" w:eastAsia="宋体" w:cs="Times New Roman"/>
          <w:highlight w:val="none"/>
        </w:rPr>
      </w:pPr>
      <w:r>
        <w:rPr>
          <w:rFonts w:hint="eastAsia" w:ascii="Times New Roman" w:hAnsi="Times New Roman" w:eastAsia="宋体" w:cs="Times New Roman"/>
          <w:highlight w:val="none"/>
        </w:rPr>
        <w:t>b.投标原则：本项目将根据综合评分法，选择出优秀的专业供应商承担本项目任务。本项目共分为编号为A、B、C、D、E的</w:t>
      </w:r>
      <w:r>
        <w:rPr>
          <w:rFonts w:hint="eastAsia" w:ascii="Times New Roman" w:hAnsi="Times New Roman" w:eastAsia="宋体" w:cs="Times New Roman"/>
          <w:highlight w:val="none"/>
          <w:lang w:val="en-US" w:eastAsia="zh-CN"/>
        </w:rPr>
        <w:t>5</w:t>
      </w:r>
      <w:r>
        <w:rPr>
          <w:rFonts w:hint="eastAsia" w:ascii="Times New Roman" w:hAnsi="Times New Roman" w:eastAsia="宋体" w:cs="Times New Roman"/>
          <w:highlight w:val="none"/>
        </w:rPr>
        <w:t>个包，投标人可以选择投其中1个包或多个包，每个包需要独立制作1份投标文件，并按所投包号进行上传投标文件。</w:t>
      </w:r>
    </w:p>
    <w:p w14:paraId="1B258FBA">
      <w:pPr>
        <w:widowControl/>
        <w:jc w:val="left"/>
        <w:rPr>
          <w:rFonts w:ascii="Times New Roman" w:hAnsi="Times New Roman" w:eastAsia="Times New Roman" w:cs="Times New Roman"/>
          <w:kern w:val="0"/>
          <w:sz w:val="24"/>
          <w:highlight w:val="none"/>
        </w:rPr>
      </w:pPr>
      <w:r>
        <w:rPr>
          <w:rFonts w:hint="eastAsia" w:ascii="Times New Roman" w:hAnsi="Times New Roman" w:eastAsia="宋体" w:cs="Times New Roman"/>
          <w:highlight w:val="none"/>
        </w:rPr>
        <w:t>c.中标原则：本项目按A→B→C→D→E顺序分包进行评审，每个包均取排名第一名者为该包的候选中标供应商。各投标人可同时对多个包号进行投标，但最多只能中一个包，当某一投标人已在某个包号中综合得分排名第一时，则该投标人不得参与下一个包号评审</w:t>
      </w:r>
      <w:r>
        <w:rPr>
          <w:rFonts w:hint="eastAsia" w:ascii="Times New Roman" w:hAnsi="Times New Roman" w:eastAsia="Times New Roman" w:cs="Times New Roman"/>
          <w:color w:val="FF0000"/>
          <w:kern w:val="0"/>
          <w:sz w:val="24"/>
          <w:highlight w:val="none"/>
        </w:rPr>
        <w:t>（符合性审查条款不通过）</w:t>
      </w:r>
      <w:r>
        <w:rPr>
          <w:rFonts w:hint="eastAsia" w:ascii="Times New Roman" w:hAnsi="Times New Roman" w:eastAsia="宋体" w:cs="Times New Roman"/>
          <w:highlight w:val="none"/>
        </w:rPr>
        <w:t>，不得参与的包号按包的编号顺序（A→B→C→D→E）确定。所有包号有效投标人均需达到法定数量（三家或以上），有效投标人未达到法定数量的包组作废标处理。</w:t>
      </w:r>
    </w:p>
    <w:p w14:paraId="494E7906">
      <w:pPr>
        <w:widowControl/>
        <w:jc w:val="left"/>
        <w:rPr>
          <w:rFonts w:ascii="Times New Roman" w:hAnsi="Times New Roman" w:eastAsia="宋体" w:cs="Times New Roman"/>
          <w:highlight w:val="none"/>
        </w:rPr>
      </w:pPr>
      <w:r>
        <w:rPr>
          <w:rFonts w:hint="eastAsia" w:ascii="Times New Roman" w:hAnsi="Times New Roman" w:eastAsia="宋体" w:cs="Times New Roman"/>
          <w:highlight w:val="none"/>
        </w:rPr>
        <w:t>举例：甲单位同时投标三个包（A、C、D），且通过综合评分，在A包评审中综合得分排名第一时，不能再参与C、D包的评审。</w:t>
      </w:r>
    </w:p>
    <w:p w14:paraId="0DCDFEDF">
      <w:pPr>
        <w:widowControl/>
        <w:ind w:firstLine="420" w:firstLineChars="200"/>
        <w:jc w:val="left"/>
        <w:rPr>
          <w:rFonts w:hint="eastAsia" w:ascii="Times New Roman" w:hAnsi="Times New Roman" w:eastAsia="宋体" w:cs="Times New Roman"/>
          <w:highlight w:val="none"/>
        </w:rPr>
      </w:pPr>
      <w:r>
        <w:rPr>
          <w:rFonts w:hint="eastAsia" w:ascii="Times New Roman" w:hAnsi="Times New Roman" w:eastAsia="宋体" w:cs="Times New Roman"/>
          <w:b w:val="0"/>
          <w:bCs w:val="0"/>
          <w:highlight w:val="none"/>
        </w:rPr>
        <w:t>为避免出现不同包组之间的“交叉感染”，如其中某一个包因质疑投诉或其他原因导致出现中标结果发生变化的情况，相关情况不影响其它包的招标投标程序及定标结果。</w:t>
      </w:r>
    </w:p>
    <w:p w14:paraId="3D8C42BD">
      <w:pPr>
        <w:rPr>
          <w:rFonts w:ascii="宋体" w:hAnsi="宋体"/>
          <w:b/>
          <w:bCs/>
          <w:kern w:val="0"/>
          <w:sz w:val="28"/>
          <w:szCs w:val="28"/>
        </w:rPr>
      </w:pPr>
      <w:bookmarkStart w:id="35" w:name="_Toc128884461"/>
      <w:r>
        <w:rPr>
          <w:sz w:val="28"/>
          <w:szCs w:val="28"/>
        </w:rPr>
        <w:br w:type="page"/>
      </w:r>
    </w:p>
    <w:p w14:paraId="7D67CD61">
      <w:pPr>
        <w:pStyle w:val="7"/>
        <w:rPr>
          <w:sz w:val="28"/>
          <w:szCs w:val="28"/>
        </w:rPr>
      </w:pPr>
      <w:r>
        <w:rPr>
          <w:rFonts w:hint="eastAsia"/>
          <w:sz w:val="28"/>
          <w:szCs w:val="28"/>
        </w:rPr>
        <w:t>第三章 用户需求书</w:t>
      </w:r>
    </w:p>
    <w:p w14:paraId="126F0CD0">
      <w:pPr>
        <w:pStyle w:val="7"/>
        <w:spacing w:before="156" w:beforeLines="50" w:after="156" w:afterLines="50"/>
        <w:rPr>
          <w:szCs w:val="24"/>
        </w:rPr>
      </w:pPr>
      <w:r>
        <w:rPr>
          <w:rFonts w:hint="eastAsia"/>
          <w:szCs w:val="24"/>
        </w:rPr>
        <w:t>一、项目基本信息</w:t>
      </w:r>
    </w:p>
    <w:tbl>
      <w:tblPr>
        <w:tblStyle w:val="13"/>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2"/>
        <w:gridCol w:w="4627"/>
        <w:gridCol w:w="1319"/>
        <w:gridCol w:w="1319"/>
        <w:gridCol w:w="1319"/>
      </w:tblGrid>
      <w:tr w14:paraId="1779F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8" w:type="pct"/>
            <w:vAlign w:val="center"/>
          </w:tcPr>
          <w:p w14:paraId="450A2758">
            <w:pPr>
              <w:keepNext w:val="0"/>
              <w:keepLines w:val="0"/>
              <w:suppressLineNumbers w:val="0"/>
              <w:spacing w:before="0" w:beforeAutospacing="0" w:after="0" w:afterAutospacing="0"/>
              <w:ind w:left="0" w:right="0"/>
              <w:jc w:val="center"/>
              <w:rPr>
                <w:rFonts w:hint="default"/>
                <w:bCs/>
                <w:szCs w:val="21"/>
              </w:rPr>
            </w:pPr>
            <w:r>
              <w:rPr>
                <w:rFonts w:hint="eastAsia"/>
                <w:bCs/>
                <w:szCs w:val="21"/>
              </w:rPr>
              <w:t>序号</w:t>
            </w:r>
          </w:p>
        </w:tc>
        <w:tc>
          <w:tcPr>
            <w:tcW w:w="2491" w:type="pct"/>
            <w:vAlign w:val="center"/>
          </w:tcPr>
          <w:p w14:paraId="47EA0E68">
            <w:pPr>
              <w:keepNext w:val="0"/>
              <w:keepLines w:val="0"/>
              <w:suppressLineNumbers w:val="0"/>
              <w:spacing w:before="0" w:beforeAutospacing="0" w:after="0" w:afterAutospacing="0"/>
              <w:ind w:left="0" w:right="0"/>
              <w:jc w:val="center"/>
              <w:rPr>
                <w:rFonts w:hint="default"/>
                <w:bCs/>
                <w:szCs w:val="21"/>
              </w:rPr>
            </w:pPr>
            <w:r>
              <w:rPr>
                <w:rFonts w:hint="eastAsia"/>
                <w:bCs/>
                <w:szCs w:val="21"/>
              </w:rPr>
              <w:t>采购项目名称</w:t>
            </w:r>
          </w:p>
        </w:tc>
        <w:tc>
          <w:tcPr>
            <w:tcW w:w="710" w:type="pct"/>
            <w:vAlign w:val="center"/>
          </w:tcPr>
          <w:p w14:paraId="3E9F59A2">
            <w:pPr>
              <w:keepNext w:val="0"/>
              <w:keepLines w:val="0"/>
              <w:suppressLineNumbers w:val="0"/>
              <w:spacing w:before="0" w:beforeAutospacing="0" w:after="0" w:afterAutospacing="0"/>
              <w:ind w:left="0" w:right="0"/>
              <w:jc w:val="center"/>
              <w:rPr>
                <w:rFonts w:hint="eastAsia" w:eastAsia="宋体"/>
                <w:b/>
                <w:bCs/>
                <w:color w:val="FF0000"/>
                <w:szCs w:val="21"/>
                <w:lang w:val="en-US" w:eastAsia="zh-CN"/>
              </w:rPr>
            </w:pPr>
            <w:r>
              <w:rPr>
                <w:rFonts w:hint="eastAsia"/>
                <w:b/>
                <w:bCs/>
                <w:color w:val="FF0000"/>
                <w:szCs w:val="21"/>
                <w:lang w:val="en-US" w:eastAsia="zh-CN"/>
              </w:rPr>
              <w:t>包号</w:t>
            </w:r>
          </w:p>
        </w:tc>
        <w:tc>
          <w:tcPr>
            <w:tcW w:w="710" w:type="pct"/>
            <w:vAlign w:val="center"/>
          </w:tcPr>
          <w:p w14:paraId="71ECF18E">
            <w:pPr>
              <w:keepNext w:val="0"/>
              <w:keepLines w:val="0"/>
              <w:suppressLineNumbers w:val="0"/>
              <w:spacing w:before="0" w:beforeAutospacing="0" w:after="0" w:afterAutospacing="0"/>
              <w:ind w:left="0" w:right="0"/>
              <w:jc w:val="center"/>
              <w:rPr>
                <w:rFonts w:hint="default"/>
                <w:b/>
                <w:bCs/>
                <w:color w:val="FF0000"/>
                <w:szCs w:val="21"/>
              </w:rPr>
            </w:pPr>
            <w:r>
              <w:rPr>
                <w:rFonts w:hint="eastAsia"/>
                <w:b/>
                <w:bCs/>
                <w:color w:val="FF0000"/>
                <w:szCs w:val="21"/>
              </w:rPr>
              <w:t>预算金额（元）</w:t>
            </w:r>
          </w:p>
        </w:tc>
        <w:tc>
          <w:tcPr>
            <w:tcW w:w="710" w:type="pct"/>
            <w:vAlign w:val="center"/>
          </w:tcPr>
          <w:p w14:paraId="45F417EC">
            <w:pPr>
              <w:keepNext w:val="0"/>
              <w:keepLines w:val="0"/>
              <w:suppressLineNumbers w:val="0"/>
              <w:spacing w:before="0" w:beforeAutospacing="0" w:after="0" w:afterAutospacing="0"/>
              <w:ind w:left="0" w:right="0"/>
              <w:jc w:val="center"/>
              <w:rPr>
                <w:rFonts w:hint="eastAsia"/>
                <w:b/>
                <w:bCs/>
                <w:color w:val="FF0000"/>
                <w:szCs w:val="21"/>
              </w:rPr>
            </w:pPr>
            <w:r>
              <w:rPr>
                <w:rFonts w:hint="eastAsia"/>
                <w:b/>
                <w:bCs/>
                <w:color w:val="FF0000"/>
                <w:szCs w:val="21"/>
              </w:rPr>
              <w:t>支付上限金额（元）</w:t>
            </w:r>
          </w:p>
        </w:tc>
      </w:tr>
      <w:tr w14:paraId="0C77E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378" w:type="pct"/>
            <w:vAlign w:val="center"/>
          </w:tcPr>
          <w:p w14:paraId="4FCCAB05">
            <w:pPr>
              <w:keepNext w:val="0"/>
              <w:keepLines w:val="0"/>
              <w:suppressLineNumbers w:val="0"/>
              <w:spacing w:before="0" w:beforeAutospacing="0" w:after="0" w:afterAutospacing="0"/>
              <w:ind w:left="0" w:right="0"/>
              <w:jc w:val="center"/>
              <w:rPr>
                <w:rFonts w:hint="default"/>
                <w:bCs/>
                <w:szCs w:val="21"/>
              </w:rPr>
            </w:pPr>
            <w:r>
              <w:rPr>
                <w:rFonts w:hint="eastAsia"/>
                <w:bCs/>
                <w:szCs w:val="21"/>
              </w:rPr>
              <w:t>1</w:t>
            </w:r>
          </w:p>
        </w:tc>
        <w:tc>
          <w:tcPr>
            <w:tcW w:w="2491" w:type="pct"/>
            <w:vAlign w:val="center"/>
          </w:tcPr>
          <w:p w14:paraId="171DE6F1">
            <w:pPr>
              <w:keepNext w:val="0"/>
              <w:keepLines w:val="0"/>
              <w:suppressLineNumbers w:val="0"/>
              <w:spacing w:before="0" w:beforeAutospacing="0" w:after="0" w:afterAutospacing="0"/>
              <w:ind w:left="0" w:right="0"/>
              <w:jc w:val="center"/>
              <w:rPr>
                <w:rFonts w:hint="default" w:eastAsia="宋体"/>
                <w:bCs/>
                <w:szCs w:val="21"/>
                <w:lang w:val="en-US" w:eastAsia="zh-CN"/>
              </w:rPr>
            </w:pPr>
            <w:bookmarkStart w:id="36" w:name="OLE_LINK8"/>
            <w:bookmarkStart w:id="37" w:name="OLE_LINK14"/>
            <w:r>
              <w:rPr>
                <w:rFonts w:hint="eastAsia"/>
                <w:bCs/>
                <w:szCs w:val="21"/>
                <w:lang w:val="en-US" w:eastAsia="zh-CN"/>
              </w:rPr>
              <w:t>深圳市总工会“3+N”法律服务及法律事务服务项目</w:t>
            </w:r>
            <w:bookmarkEnd w:id="36"/>
            <w:bookmarkEnd w:id="37"/>
          </w:p>
        </w:tc>
        <w:tc>
          <w:tcPr>
            <w:tcW w:w="710" w:type="pct"/>
            <w:vAlign w:val="center"/>
          </w:tcPr>
          <w:p w14:paraId="0AAE7F88">
            <w:pPr>
              <w:keepNext w:val="0"/>
              <w:keepLines w:val="0"/>
              <w:suppressLineNumbers w:val="0"/>
              <w:spacing w:before="0" w:beforeAutospacing="0" w:after="0" w:afterAutospacing="0"/>
              <w:ind w:left="0" w:right="0"/>
              <w:jc w:val="center"/>
              <w:rPr>
                <w:rFonts w:hint="default"/>
                <w:bCs/>
                <w:color w:val="FF0000"/>
                <w:szCs w:val="21"/>
                <w:lang w:val="en-US" w:eastAsia="zh-CN"/>
              </w:rPr>
            </w:pPr>
            <w:r>
              <w:rPr>
                <w:rFonts w:hint="eastAsia"/>
                <w:bCs/>
                <w:color w:val="FF0000"/>
                <w:szCs w:val="21"/>
                <w:lang w:val="en-US" w:eastAsia="zh-CN"/>
              </w:rPr>
              <w:t>E</w:t>
            </w:r>
          </w:p>
        </w:tc>
        <w:tc>
          <w:tcPr>
            <w:tcW w:w="710" w:type="pct"/>
            <w:vAlign w:val="center"/>
          </w:tcPr>
          <w:p w14:paraId="41DAC73E">
            <w:pPr>
              <w:keepNext w:val="0"/>
              <w:keepLines w:val="0"/>
              <w:suppressLineNumbers w:val="0"/>
              <w:spacing w:before="0" w:beforeAutospacing="0" w:after="0" w:afterAutospacing="0"/>
              <w:ind w:left="0" w:right="0"/>
              <w:jc w:val="center"/>
              <w:rPr>
                <w:rFonts w:hint="default" w:eastAsia="宋体"/>
                <w:bCs/>
                <w:color w:val="FF0000"/>
                <w:szCs w:val="21"/>
                <w:lang w:val="en-US" w:eastAsia="zh-CN"/>
              </w:rPr>
            </w:pPr>
            <w:r>
              <w:rPr>
                <w:rFonts w:hint="eastAsia"/>
                <w:bCs/>
                <w:color w:val="FF0000"/>
                <w:szCs w:val="21"/>
                <w:lang w:val="en-US" w:eastAsia="zh-CN"/>
              </w:rPr>
              <w:t>442000</w:t>
            </w:r>
          </w:p>
        </w:tc>
        <w:tc>
          <w:tcPr>
            <w:tcW w:w="710" w:type="pct"/>
            <w:vAlign w:val="center"/>
          </w:tcPr>
          <w:p w14:paraId="3E90405B">
            <w:pPr>
              <w:keepNext w:val="0"/>
              <w:keepLines w:val="0"/>
              <w:suppressLineNumbers w:val="0"/>
              <w:spacing w:before="0" w:beforeAutospacing="0" w:after="0" w:afterAutospacing="0"/>
              <w:ind w:left="0" w:right="0"/>
              <w:jc w:val="center"/>
              <w:rPr>
                <w:rFonts w:hint="eastAsia"/>
                <w:bCs/>
                <w:color w:val="FF0000"/>
                <w:szCs w:val="21"/>
                <w:lang w:val="en-US" w:eastAsia="zh-CN"/>
              </w:rPr>
            </w:pPr>
            <w:bookmarkStart w:id="38" w:name="OLE_LINK2"/>
            <w:bookmarkStart w:id="39" w:name="OLE_LINK3"/>
            <w:r>
              <w:rPr>
                <w:rFonts w:hint="eastAsia"/>
                <w:bCs/>
                <w:color w:val="FF0000"/>
                <w:szCs w:val="21"/>
                <w:lang w:val="en-US" w:eastAsia="zh-CN"/>
              </w:rPr>
              <w:t>442</w:t>
            </w:r>
            <w:bookmarkEnd w:id="38"/>
            <w:r>
              <w:rPr>
                <w:rFonts w:hint="eastAsia"/>
                <w:bCs/>
                <w:color w:val="FF0000"/>
                <w:szCs w:val="21"/>
                <w:lang w:val="en-US" w:eastAsia="zh-CN"/>
              </w:rPr>
              <w:t>000</w:t>
            </w:r>
            <w:bookmarkEnd w:id="39"/>
          </w:p>
        </w:tc>
      </w:tr>
    </w:tbl>
    <w:p w14:paraId="31F1124E">
      <w:pPr>
        <w:pStyle w:val="7"/>
        <w:spacing w:before="156" w:beforeLines="50" w:after="156" w:afterLines="50"/>
        <w:rPr>
          <w:szCs w:val="24"/>
        </w:rPr>
      </w:pPr>
      <w:r>
        <w:rPr>
          <w:rFonts w:hint="eastAsia" w:ascii="Times New Roman" w:hAnsi="Times New Roman"/>
          <w:kern w:val="2"/>
          <w:szCs w:val="24"/>
          <w:lang w:val="en-US" w:eastAsia="zh-CN" w:bidi="ar"/>
        </w:rPr>
        <w:t>二、</w:t>
      </w:r>
      <w:bookmarkStart w:id="40" w:name="_Hlk72073432"/>
      <w:r>
        <w:rPr>
          <w:rFonts w:hint="eastAsia"/>
          <w:szCs w:val="24"/>
        </w:rPr>
        <w:t>服务需求明细</w:t>
      </w:r>
      <w:bookmarkEnd w:id="40"/>
    </w:p>
    <w:tbl>
      <w:tblPr>
        <w:tblStyle w:val="13"/>
        <w:tblpPr w:leftFromText="180" w:rightFromText="180" w:vertAnchor="text" w:horzAnchor="margin" w:tblpX="139" w:tblpY="173"/>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
        <w:gridCol w:w="4472"/>
        <w:gridCol w:w="817"/>
        <w:gridCol w:w="995"/>
        <w:gridCol w:w="960"/>
        <w:gridCol w:w="1096"/>
      </w:tblGrid>
      <w:tr w14:paraId="262DD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506" w:type="pct"/>
            <w:vAlign w:val="center"/>
          </w:tcPr>
          <w:p w14:paraId="36551D97">
            <w:pPr>
              <w:keepNext w:val="0"/>
              <w:keepLines w:val="0"/>
              <w:suppressLineNumbers w:val="0"/>
              <w:spacing w:before="0" w:beforeAutospacing="0" w:after="0" w:afterAutospacing="0"/>
              <w:ind w:left="0" w:right="0"/>
              <w:jc w:val="center"/>
              <w:rPr>
                <w:rFonts w:hint="default"/>
                <w:bCs/>
                <w:szCs w:val="21"/>
              </w:rPr>
            </w:pPr>
            <w:r>
              <w:rPr>
                <w:rFonts w:hint="eastAsia"/>
                <w:bCs/>
                <w:szCs w:val="21"/>
              </w:rPr>
              <w:t>序号</w:t>
            </w:r>
          </w:p>
        </w:tc>
        <w:tc>
          <w:tcPr>
            <w:tcW w:w="2409" w:type="pct"/>
            <w:vAlign w:val="center"/>
          </w:tcPr>
          <w:p w14:paraId="618AB142">
            <w:pPr>
              <w:keepNext w:val="0"/>
              <w:keepLines w:val="0"/>
              <w:suppressLineNumbers w:val="0"/>
              <w:spacing w:before="0" w:beforeAutospacing="0" w:after="0" w:afterAutospacing="0"/>
              <w:ind w:left="0" w:right="0"/>
              <w:jc w:val="center"/>
              <w:rPr>
                <w:rFonts w:hint="default"/>
                <w:bCs/>
                <w:szCs w:val="21"/>
              </w:rPr>
            </w:pPr>
            <w:r>
              <w:rPr>
                <w:rFonts w:hint="eastAsia"/>
                <w:bCs/>
                <w:szCs w:val="21"/>
              </w:rPr>
              <w:t>服务需求名称（标的名称）</w:t>
            </w:r>
          </w:p>
        </w:tc>
        <w:tc>
          <w:tcPr>
            <w:tcW w:w="440" w:type="pct"/>
            <w:vAlign w:val="center"/>
          </w:tcPr>
          <w:p w14:paraId="3B45FA44">
            <w:pPr>
              <w:keepNext w:val="0"/>
              <w:keepLines w:val="0"/>
              <w:suppressLineNumbers w:val="0"/>
              <w:spacing w:before="0" w:beforeAutospacing="0" w:after="0" w:afterAutospacing="0"/>
              <w:ind w:left="0" w:leftChars="0" w:right="0" w:rightChars="0"/>
              <w:jc w:val="center"/>
              <w:rPr>
                <w:rFonts w:hint="default"/>
                <w:bCs/>
                <w:szCs w:val="21"/>
              </w:rPr>
            </w:pPr>
            <w:r>
              <w:rPr>
                <w:rFonts w:hint="eastAsia"/>
                <w:bCs/>
                <w:szCs w:val="21"/>
              </w:rPr>
              <w:t>数量</w:t>
            </w:r>
          </w:p>
        </w:tc>
        <w:tc>
          <w:tcPr>
            <w:tcW w:w="536" w:type="pct"/>
            <w:vAlign w:val="center"/>
          </w:tcPr>
          <w:p w14:paraId="2F8F2075">
            <w:pPr>
              <w:keepNext w:val="0"/>
              <w:keepLines w:val="0"/>
              <w:suppressLineNumbers w:val="0"/>
              <w:spacing w:before="0" w:beforeAutospacing="0" w:after="0" w:afterAutospacing="0"/>
              <w:ind w:left="0" w:leftChars="0" w:right="0" w:rightChars="0"/>
              <w:jc w:val="center"/>
              <w:rPr>
                <w:rFonts w:hint="default"/>
                <w:bCs/>
                <w:szCs w:val="21"/>
              </w:rPr>
            </w:pPr>
            <w:r>
              <w:rPr>
                <w:rFonts w:hint="eastAsia"/>
                <w:bCs/>
                <w:szCs w:val="21"/>
              </w:rPr>
              <w:t>单位</w:t>
            </w:r>
          </w:p>
        </w:tc>
        <w:tc>
          <w:tcPr>
            <w:tcW w:w="517" w:type="pct"/>
            <w:vAlign w:val="center"/>
          </w:tcPr>
          <w:p w14:paraId="2F34CA52">
            <w:pPr>
              <w:keepNext w:val="0"/>
              <w:keepLines w:val="0"/>
              <w:suppressLineNumbers w:val="0"/>
              <w:spacing w:before="0" w:beforeAutospacing="0" w:after="0" w:afterAutospacing="0"/>
              <w:ind w:left="0" w:leftChars="0" w:right="0" w:rightChars="0"/>
              <w:jc w:val="center"/>
              <w:rPr>
                <w:rFonts w:hint="eastAsia"/>
                <w:bCs/>
                <w:szCs w:val="21"/>
              </w:rPr>
            </w:pPr>
            <w:r>
              <w:rPr>
                <w:rFonts w:hint="eastAsia"/>
                <w:b/>
                <w:bCs/>
                <w:color w:val="FF0000"/>
                <w:szCs w:val="21"/>
              </w:rPr>
              <w:t>预算金额（元）</w:t>
            </w:r>
          </w:p>
        </w:tc>
        <w:tc>
          <w:tcPr>
            <w:tcW w:w="590" w:type="pct"/>
            <w:vAlign w:val="center"/>
          </w:tcPr>
          <w:p w14:paraId="4BEBF214">
            <w:pPr>
              <w:keepNext w:val="0"/>
              <w:keepLines w:val="0"/>
              <w:suppressLineNumbers w:val="0"/>
              <w:spacing w:before="0" w:beforeAutospacing="0" w:after="0" w:afterAutospacing="0"/>
              <w:ind w:left="0" w:leftChars="0" w:right="0" w:rightChars="0"/>
              <w:jc w:val="center"/>
              <w:rPr>
                <w:rFonts w:hint="eastAsia"/>
                <w:bCs/>
                <w:szCs w:val="21"/>
              </w:rPr>
            </w:pPr>
            <w:r>
              <w:rPr>
                <w:rFonts w:hint="eastAsia"/>
                <w:b/>
                <w:bCs/>
                <w:color w:val="FF0000"/>
                <w:szCs w:val="21"/>
                <w:lang w:val="en-US" w:eastAsia="zh-CN"/>
              </w:rPr>
              <w:t>支付上限金额（元）</w:t>
            </w:r>
          </w:p>
        </w:tc>
      </w:tr>
      <w:tr w14:paraId="7CCE5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506" w:type="pct"/>
            <w:vAlign w:val="center"/>
          </w:tcPr>
          <w:p w14:paraId="7A093FA9">
            <w:pPr>
              <w:keepNext w:val="0"/>
              <w:keepLines w:val="0"/>
              <w:suppressLineNumbers w:val="0"/>
              <w:spacing w:before="0" w:beforeAutospacing="0" w:after="0" w:afterAutospacing="0"/>
              <w:ind w:left="0" w:right="0"/>
              <w:jc w:val="center"/>
              <w:rPr>
                <w:rFonts w:hint="default"/>
                <w:bCs/>
                <w:szCs w:val="21"/>
              </w:rPr>
            </w:pPr>
            <w:r>
              <w:rPr>
                <w:rFonts w:hint="eastAsia"/>
                <w:bCs/>
                <w:szCs w:val="21"/>
              </w:rPr>
              <w:t>1</w:t>
            </w:r>
          </w:p>
        </w:tc>
        <w:tc>
          <w:tcPr>
            <w:tcW w:w="2409" w:type="pct"/>
            <w:vAlign w:val="center"/>
          </w:tcPr>
          <w:p w14:paraId="6E87727A">
            <w:pPr>
              <w:keepNext w:val="0"/>
              <w:keepLines w:val="0"/>
              <w:suppressLineNumbers w:val="0"/>
              <w:spacing w:before="0" w:beforeAutospacing="0" w:after="0" w:afterAutospacing="0"/>
              <w:ind w:left="0" w:right="0"/>
              <w:jc w:val="center"/>
              <w:rPr>
                <w:rFonts w:hint="default"/>
                <w:bCs/>
                <w:szCs w:val="21"/>
              </w:rPr>
            </w:pPr>
            <w:bookmarkStart w:id="41" w:name="OLE_LINK13"/>
            <w:r>
              <w:rPr>
                <w:rFonts w:hint="eastAsia"/>
                <w:bCs/>
                <w:szCs w:val="21"/>
                <w:lang w:val="en-US" w:eastAsia="zh-CN"/>
              </w:rPr>
              <w:t>市级“3+N”法律服务</w:t>
            </w:r>
            <w:bookmarkEnd w:id="41"/>
          </w:p>
        </w:tc>
        <w:tc>
          <w:tcPr>
            <w:tcW w:w="440" w:type="pct"/>
            <w:vAlign w:val="center"/>
          </w:tcPr>
          <w:p w14:paraId="6059FD6C">
            <w:pPr>
              <w:keepNext w:val="0"/>
              <w:keepLines w:val="0"/>
              <w:suppressLineNumbers w:val="0"/>
              <w:spacing w:before="0" w:beforeAutospacing="0" w:after="0" w:afterAutospacing="0"/>
              <w:ind w:left="0" w:leftChars="0" w:right="0" w:rightChars="0"/>
              <w:jc w:val="center"/>
              <w:rPr>
                <w:rFonts w:hint="default"/>
                <w:bCs/>
                <w:szCs w:val="21"/>
              </w:rPr>
            </w:pPr>
            <w:r>
              <w:rPr>
                <w:rFonts w:hint="eastAsia"/>
                <w:bCs/>
                <w:szCs w:val="21"/>
                <w:lang w:val="en-US" w:eastAsia="zh-CN"/>
              </w:rPr>
              <w:t>1</w:t>
            </w:r>
          </w:p>
        </w:tc>
        <w:tc>
          <w:tcPr>
            <w:tcW w:w="536" w:type="pct"/>
            <w:vAlign w:val="center"/>
          </w:tcPr>
          <w:p w14:paraId="73731404">
            <w:pPr>
              <w:keepNext w:val="0"/>
              <w:keepLines w:val="0"/>
              <w:suppressLineNumbers w:val="0"/>
              <w:spacing w:before="0" w:beforeAutospacing="0" w:after="0" w:afterAutospacing="0"/>
              <w:ind w:left="0" w:leftChars="0" w:right="0" w:rightChars="0"/>
              <w:jc w:val="center"/>
              <w:rPr>
                <w:rFonts w:hint="default"/>
                <w:bCs/>
                <w:szCs w:val="21"/>
              </w:rPr>
            </w:pPr>
            <w:r>
              <w:rPr>
                <w:rFonts w:hint="eastAsia"/>
                <w:bCs/>
                <w:szCs w:val="21"/>
                <w:lang w:eastAsia="zh-CN"/>
              </w:rPr>
              <w:t>项</w:t>
            </w:r>
          </w:p>
        </w:tc>
        <w:tc>
          <w:tcPr>
            <w:tcW w:w="517" w:type="pct"/>
            <w:vAlign w:val="center"/>
          </w:tcPr>
          <w:p w14:paraId="55A23094">
            <w:pPr>
              <w:keepNext w:val="0"/>
              <w:keepLines w:val="0"/>
              <w:suppressLineNumbers w:val="0"/>
              <w:spacing w:before="0" w:beforeAutospacing="0" w:after="0" w:afterAutospacing="0"/>
              <w:ind w:left="0" w:leftChars="0" w:right="0" w:rightChars="0"/>
              <w:jc w:val="center"/>
              <w:rPr>
                <w:rFonts w:hint="default"/>
                <w:bCs/>
                <w:szCs w:val="21"/>
              </w:rPr>
            </w:pPr>
            <w:r>
              <w:rPr>
                <w:rFonts w:hint="eastAsia"/>
                <w:b/>
                <w:bCs/>
                <w:color w:val="FF0000"/>
                <w:szCs w:val="21"/>
                <w:lang w:val="en-US" w:eastAsia="zh-CN"/>
              </w:rPr>
              <w:t>442000</w:t>
            </w:r>
          </w:p>
        </w:tc>
        <w:tc>
          <w:tcPr>
            <w:tcW w:w="590" w:type="pct"/>
            <w:vAlign w:val="center"/>
          </w:tcPr>
          <w:p w14:paraId="70E07ED0">
            <w:pPr>
              <w:keepNext w:val="0"/>
              <w:keepLines w:val="0"/>
              <w:suppressLineNumbers w:val="0"/>
              <w:spacing w:before="0" w:beforeAutospacing="0" w:after="0" w:afterAutospacing="0"/>
              <w:ind w:left="0" w:leftChars="0" w:right="0" w:rightChars="0"/>
              <w:jc w:val="center"/>
              <w:rPr>
                <w:rFonts w:hint="default"/>
                <w:bCs/>
                <w:szCs w:val="21"/>
              </w:rPr>
            </w:pPr>
            <w:r>
              <w:rPr>
                <w:rFonts w:hint="eastAsia"/>
                <w:b/>
                <w:bCs/>
                <w:color w:val="FF0000"/>
                <w:szCs w:val="21"/>
                <w:lang w:val="en-US" w:eastAsia="zh-CN"/>
              </w:rPr>
              <w:t>442000</w:t>
            </w:r>
          </w:p>
        </w:tc>
      </w:tr>
    </w:tbl>
    <w:p w14:paraId="3D4C0247">
      <w:pPr>
        <w:rPr>
          <w:rFonts w:ascii="宋体" w:hAnsi="宋体"/>
          <w:b/>
          <w:color w:val="FF0000"/>
          <w:szCs w:val="21"/>
        </w:rPr>
      </w:pPr>
    </w:p>
    <w:p w14:paraId="6CC9E345">
      <w:pPr>
        <w:pStyle w:val="7"/>
        <w:spacing w:before="156" w:beforeLines="50" w:after="156" w:afterLines="50"/>
        <w:rPr>
          <w:szCs w:val="24"/>
        </w:rPr>
      </w:pPr>
      <w:r>
        <w:rPr>
          <w:rFonts w:hint="eastAsia"/>
          <w:szCs w:val="24"/>
          <w:lang w:val="en-US" w:eastAsia="zh-CN"/>
        </w:rPr>
        <w:t>三</w:t>
      </w:r>
      <w:r>
        <w:rPr>
          <w:rFonts w:hint="eastAsia"/>
          <w:szCs w:val="24"/>
        </w:rPr>
        <w:t>、实质性条款</w:t>
      </w:r>
    </w:p>
    <w:tbl>
      <w:tblPr>
        <w:tblStyle w:val="13"/>
        <w:tblW w:w="9236" w:type="dxa"/>
        <w:tblInd w:w="1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4"/>
        <w:gridCol w:w="8422"/>
      </w:tblGrid>
      <w:tr w14:paraId="42DC5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4" w:type="dxa"/>
            <w:vAlign w:val="center"/>
          </w:tcPr>
          <w:p w14:paraId="55C69212">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kern w:val="0"/>
                <w:szCs w:val="21"/>
              </w:rPr>
            </w:pPr>
            <w:r>
              <w:rPr>
                <w:rFonts w:hint="eastAsia" w:ascii="宋体" w:hAnsi="宋体"/>
                <w:kern w:val="0"/>
                <w:szCs w:val="21"/>
              </w:rPr>
              <w:t>序号</w:t>
            </w:r>
          </w:p>
        </w:tc>
        <w:tc>
          <w:tcPr>
            <w:tcW w:w="8422" w:type="dxa"/>
            <w:vAlign w:val="center"/>
          </w:tcPr>
          <w:p w14:paraId="51CCA21D">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kern w:val="0"/>
                <w:szCs w:val="21"/>
              </w:rPr>
            </w:pPr>
            <w:r>
              <w:rPr>
                <w:rFonts w:hint="eastAsia" w:ascii="宋体" w:hAnsi="宋体"/>
                <w:szCs w:val="21"/>
                <w:lang w:bidi="ar"/>
              </w:rPr>
              <w:t>实质性条款具体内容</w:t>
            </w:r>
          </w:p>
        </w:tc>
      </w:tr>
      <w:tr w14:paraId="45A56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14:paraId="5913B211">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kern w:val="0"/>
                <w:szCs w:val="21"/>
              </w:rPr>
            </w:pPr>
            <w:r>
              <w:rPr>
                <w:rFonts w:hint="eastAsia" w:ascii="宋体" w:hAnsi="宋体"/>
                <w:kern w:val="0"/>
                <w:szCs w:val="21"/>
              </w:rPr>
              <w:t>1</w:t>
            </w:r>
          </w:p>
        </w:tc>
        <w:tc>
          <w:tcPr>
            <w:tcW w:w="8422" w:type="dxa"/>
          </w:tcPr>
          <w:p w14:paraId="2CC4EFA4">
            <w:pPr>
              <w:keepNext w:val="0"/>
              <w:keepLines w:val="0"/>
              <w:suppressLineNumbers w:val="0"/>
              <w:spacing w:before="0" w:beforeAutospacing="0" w:after="0" w:afterAutospacing="0"/>
              <w:ind w:left="0" w:right="0"/>
              <w:rPr>
                <w:rFonts w:hint="default" w:hAnsi="宋体" w:eastAsiaTheme="minorEastAsia"/>
                <w:kern w:val="0"/>
                <w:szCs w:val="21"/>
              </w:rPr>
            </w:pPr>
            <w:r>
              <w:rPr>
                <w:rFonts w:hint="eastAsia" w:hAnsi="宋体"/>
                <w:szCs w:val="21"/>
                <w:lang w:bidi="ar"/>
              </w:rPr>
              <w:t>具体以采购文件第三章</w:t>
            </w:r>
            <w:r>
              <w:rPr>
                <w:rFonts w:hint="default" w:hAnsi="宋体"/>
                <w:szCs w:val="21"/>
                <w:lang w:bidi="ar"/>
              </w:rPr>
              <w:t xml:space="preserve"> </w:t>
            </w:r>
            <w:r>
              <w:rPr>
                <w:rFonts w:hint="eastAsia" w:hAnsi="宋体"/>
                <w:szCs w:val="21"/>
                <w:lang w:bidi="ar"/>
              </w:rPr>
              <w:t>用户需求书中带“★”的需求项为准。</w:t>
            </w:r>
          </w:p>
        </w:tc>
      </w:tr>
      <w:bookmarkEnd w:id="35"/>
    </w:tbl>
    <w:p w14:paraId="2449AB31">
      <w:pPr>
        <w:rPr>
          <w:rFonts w:ascii="宋体"/>
          <w:b/>
          <w:kern w:val="0"/>
          <w:sz w:val="24"/>
          <w:szCs w:val="20"/>
        </w:rPr>
      </w:pPr>
      <w:r>
        <w:rPr>
          <w:rFonts w:ascii="宋体"/>
          <w:b/>
          <w:kern w:val="0"/>
          <w:sz w:val="24"/>
          <w:szCs w:val="20"/>
        </w:rPr>
        <w:t>注：上表所列内容为不可负偏离条款，负偏离将视为未实质性满足</w:t>
      </w:r>
      <w:r>
        <w:rPr>
          <w:rFonts w:hint="eastAsia" w:ascii="宋体"/>
          <w:b/>
          <w:kern w:val="0"/>
          <w:sz w:val="24"/>
          <w:szCs w:val="20"/>
        </w:rPr>
        <w:t>招标</w:t>
      </w:r>
      <w:r>
        <w:rPr>
          <w:rFonts w:ascii="宋体"/>
          <w:b/>
          <w:kern w:val="0"/>
          <w:sz w:val="24"/>
          <w:szCs w:val="20"/>
        </w:rPr>
        <w:t>文件要求和条件作投标无效处理。</w:t>
      </w:r>
    </w:p>
    <w:p w14:paraId="3E3FFE9E">
      <w:pPr>
        <w:pStyle w:val="7"/>
        <w:widowControl/>
        <w:spacing w:before="156" w:beforeLines="50" w:after="156" w:afterLines="50"/>
        <w:rPr>
          <w:szCs w:val="24"/>
        </w:rPr>
      </w:pPr>
      <w:r>
        <w:rPr>
          <w:rFonts w:hint="eastAsia"/>
          <w:szCs w:val="24"/>
          <w:lang w:val="en-US" w:eastAsia="zh-CN"/>
        </w:rPr>
        <w:t>四</w:t>
      </w:r>
      <w:r>
        <w:rPr>
          <w:szCs w:val="24"/>
        </w:rPr>
        <w:t>、技术要求</w:t>
      </w:r>
    </w:p>
    <w:p w14:paraId="46992007">
      <w:pPr>
        <w:pStyle w:val="17"/>
        <w:numPr>
          <w:ilvl w:val="0"/>
          <w:numId w:val="0"/>
        </w:numPr>
        <w:spacing w:line="3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市级“3+N”法律服务团队应安排不少于8名执业律师且其中50%以上为三年以上执业经验组成服务团队提供法律服务。</w:t>
      </w:r>
    </w:p>
    <w:p w14:paraId="4AF9E35B">
      <w:pPr>
        <w:pStyle w:val="17"/>
        <w:numPr>
          <w:ilvl w:val="0"/>
          <w:numId w:val="0"/>
        </w:numPr>
        <w:spacing w:line="360" w:lineRule="exact"/>
        <w:ind w:firstLine="480"/>
        <w:rPr>
          <w:rFonts w:hint="eastAsia" w:ascii="宋体" w:hAnsi="宋体" w:eastAsia="宋体" w:cs="宋体"/>
          <w:szCs w:val="24"/>
        </w:rPr>
      </w:pPr>
      <w:r>
        <w:rPr>
          <w:rFonts w:hint="eastAsia" w:ascii="宋体" w:hAnsi="宋体" w:eastAsia="宋体" w:cs="宋体"/>
          <w:szCs w:val="24"/>
        </w:rPr>
        <w:t>按照《深圳市总工会关于进一步加强工会法律服务的工作方案》《深圳工会法律援助办法》《深圳市总工会法律服务工作管理制度》和《深圳市总工会法律服务计费标准》和《深圳工会法律援助案件档案管理办法》的规定办理市级工会法律援助案件，担任产业工会及下级工联会、企业工会的法律顾问，根据市总工会委派参与工会集体协商及专项法律服务工作。中标人团队成员应尽职尽责完成各项工作要求，无正当理由不得拒绝招标人安排。</w:t>
      </w:r>
    </w:p>
    <w:p w14:paraId="6C4EAC2C">
      <w:pPr>
        <w:pStyle w:val="7"/>
        <w:spacing w:before="156" w:beforeLines="50" w:after="156" w:afterLines="50"/>
        <w:rPr>
          <w:szCs w:val="24"/>
        </w:rPr>
      </w:pPr>
      <w:r>
        <w:rPr>
          <w:rFonts w:hint="eastAsia"/>
          <w:szCs w:val="24"/>
          <w:lang w:val="en-US" w:eastAsia="zh-CN"/>
        </w:rPr>
        <w:t>五</w:t>
      </w:r>
      <w:r>
        <w:rPr>
          <w:rFonts w:hint="eastAsia"/>
          <w:szCs w:val="24"/>
        </w:rPr>
        <w:t>、商务要求</w:t>
      </w:r>
    </w:p>
    <w:p w14:paraId="4D5CAA19">
      <w:pPr>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1.</w:t>
      </w:r>
      <w:r>
        <w:rPr>
          <w:rFonts w:hint="eastAsia" w:ascii="宋体" w:hAnsi="宋体" w:eastAsia="宋体" w:cs="宋体"/>
          <w:sz w:val="24"/>
          <w:szCs w:val="24"/>
          <w:lang w:val="en-US" w:eastAsia="zh-CN"/>
        </w:rPr>
        <w:t>市级“3+N”法律服务</w:t>
      </w:r>
    </w:p>
    <w:p w14:paraId="0D8906B3">
      <w:pPr>
        <w:pStyle w:val="18"/>
        <w:spacing w:after="62" w:afterLines="20" w:line="360" w:lineRule="auto"/>
        <w:ind w:firstLineChars="0"/>
        <w:rPr>
          <w:rFonts w:hAnsi="宋体"/>
          <w:color w:val="000000"/>
          <w:szCs w:val="21"/>
        </w:rPr>
      </w:pPr>
      <w:r>
        <w:rPr>
          <w:rFonts w:hAnsi="宋体"/>
          <w:szCs w:val="21"/>
        </w:rPr>
        <w:t>按照</w:t>
      </w:r>
      <w:r>
        <w:rPr>
          <w:rFonts w:hAnsi="宋体"/>
          <w:color w:val="000000"/>
          <w:szCs w:val="21"/>
        </w:rPr>
        <w:t>《深圳市总工会法律服务工作管理制度》和《深圳市总工会法律服务计费标准》向中标律师事务所提供的服务进行付费。根据近年来工作开展情况测算年度服务费用</w:t>
      </w:r>
      <w:r>
        <w:rPr>
          <w:rFonts w:hint="eastAsia" w:hAnsi="宋体"/>
          <w:color w:val="000000"/>
          <w:szCs w:val="21"/>
          <w:lang w:val="en-US" w:eastAsia="zh-CN"/>
        </w:rPr>
        <w:t>不超过44.2万元</w:t>
      </w:r>
      <w:r>
        <w:rPr>
          <w:rFonts w:hAnsi="宋体"/>
          <w:color w:val="000000"/>
          <w:szCs w:val="21"/>
        </w:rPr>
        <w:t>：</w:t>
      </w:r>
    </w:p>
    <w:p w14:paraId="4CCFBB7B">
      <w:pPr>
        <w:pStyle w:val="18"/>
        <w:spacing w:after="62" w:afterLines="20" w:line="360" w:lineRule="auto"/>
        <w:ind w:firstLineChars="0"/>
        <w:rPr>
          <w:rFonts w:hAnsi="宋体"/>
          <w:color w:val="000000"/>
          <w:szCs w:val="21"/>
        </w:rPr>
      </w:pPr>
      <w:bookmarkStart w:id="42" w:name="OLE_LINK15"/>
      <w:r>
        <w:rPr>
          <w:rFonts w:hAnsi="宋体"/>
          <w:b/>
          <w:bCs/>
          <w:color w:val="000000"/>
          <w:szCs w:val="21"/>
        </w:rPr>
        <w:t>一是</w:t>
      </w:r>
      <w:r>
        <w:rPr>
          <w:rFonts w:hAnsi="宋体"/>
          <w:color w:val="000000"/>
          <w:szCs w:val="21"/>
        </w:rPr>
        <w:t>劳动争议案件代理费用，</w:t>
      </w:r>
      <w:r>
        <w:rPr>
          <w:color w:val="000000"/>
          <w:szCs w:val="21"/>
        </w:rPr>
        <w:t>3500</w:t>
      </w:r>
      <w:r>
        <w:rPr>
          <w:rFonts w:hAnsi="宋体"/>
          <w:color w:val="000000"/>
          <w:szCs w:val="21"/>
        </w:rPr>
        <w:t>元</w:t>
      </w:r>
      <w:r>
        <w:rPr>
          <w:color w:val="000000"/>
          <w:szCs w:val="21"/>
        </w:rPr>
        <w:t>/</w:t>
      </w:r>
      <w:r>
        <w:rPr>
          <w:rFonts w:hAnsi="宋体"/>
          <w:color w:val="000000"/>
          <w:szCs w:val="21"/>
        </w:rPr>
        <w:t>件</w:t>
      </w:r>
    </w:p>
    <w:p w14:paraId="0AEDE9D3">
      <w:pPr>
        <w:pStyle w:val="18"/>
        <w:spacing w:after="62" w:afterLines="20" w:line="360" w:lineRule="auto"/>
        <w:ind w:firstLineChars="0"/>
        <w:rPr>
          <w:rFonts w:hAnsi="宋体"/>
          <w:color w:val="000000"/>
          <w:szCs w:val="21"/>
        </w:rPr>
      </w:pPr>
      <w:r>
        <w:rPr>
          <w:rFonts w:hAnsi="宋体"/>
          <w:b/>
          <w:bCs/>
          <w:color w:val="000000"/>
          <w:szCs w:val="21"/>
        </w:rPr>
        <w:t>二是</w:t>
      </w:r>
      <w:r>
        <w:rPr>
          <w:rFonts w:hAnsi="宋体"/>
          <w:color w:val="000000"/>
          <w:szCs w:val="21"/>
        </w:rPr>
        <w:t>工会法律顾问费用，</w:t>
      </w:r>
      <w:r>
        <w:rPr>
          <w:color w:val="000000"/>
          <w:szCs w:val="21"/>
        </w:rPr>
        <w:t>2</w:t>
      </w:r>
      <w:r>
        <w:rPr>
          <w:rFonts w:hAnsi="宋体"/>
          <w:color w:val="000000"/>
          <w:szCs w:val="21"/>
        </w:rPr>
        <w:t>万元</w:t>
      </w:r>
      <w:r>
        <w:rPr>
          <w:color w:val="000000"/>
          <w:szCs w:val="21"/>
        </w:rPr>
        <w:t>/</w:t>
      </w:r>
      <w:r>
        <w:rPr>
          <w:rFonts w:hAnsi="宋体"/>
          <w:color w:val="000000"/>
          <w:szCs w:val="21"/>
        </w:rPr>
        <w:t>家</w:t>
      </w:r>
    </w:p>
    <w:p w14:paraId="0A69A63C">
      <w:pPr>
        <w:pStyle w:val="18"/>
        <w:spacing w:after="62" w:afterLines="20" w:line="360" w:lineRule="auto"/>
        <w:ind w:firstLineChars="0"/>
        <w:rPr>
          <w:rFonts w:hAnsi="宋体"/>
          <w:color w:val="000000"/>
          <w:szCs w:val="21"/>
        </w:rPr>
      </w:pPr>
      <w:r>
        <w:rPr>
          <w:rFonts w:hAnsi="宋体"/>
          <w:b/>
          <w:bCs/>
          <w:color w:val="000000"/>
          <w:szCs w:val="21"/>
        </w:rPr>
        <w:t>三是</w:t>
      </w:r>
      <w:r>
        <w:rPr>
          <w:rFonts w:hAnsi="宋体"/>
          <w:color w:val="000000"/>
          <w:szCs w:val="21"/>
        </w:rPr>
        <w:t>参与集体协商费用，</w:t>
      </w:r>
      <w:r>
        <w:rPr>
          <w:rFonts w:hint="eastAsia" w:hAnsi="宋体"/>
          <w:color w:val="000000"/>
          <w:szCs w:val="21"/>
          <w:lang w:val="en-US" w:eastAsia="zh-CN"/>
        </w:rPr>
        <w:t>根据服务情况，最高不超过</w:t>
      </w:r>
      <w:r>
        <w:rPr>
          <w:color w:val="000000"/>
          <w:szCs w:val="21"/>
        </w:rPr>
        <w:t>2</w:t>
      </w:r>
      <w:r>
        <w:rPr>
          <w:rFonts w:hAnsi="宋体"/>
          <w:color w:val="000000"/>
          <w:szCs w:val="21"/>
        </w:rPr>
        <w:t>万元</w:t>
      </w:r>
      <w:r>
        <w:rPr>
          <w:color w:val="000000"/>
          <w:szCs w:val="21"/>
        </w:rPr>
        <w:t>/</w:t>
      </w:r>
      <w:r>
        <w:rPr>
          <w:rFonts w:hAnsi="宋体"/>
          <w:color w:val="000000"/>
          <w:szCs w:val="21"/>
        </w:rPr>
        <w:t>件</w:t>
      </w:r>
    </w:p>
    <w:p w14:paraId="783FD97E">
      <w:pPr>
        <w:pStyle w:val="18"/>
        <w:spacing w:after="62" w:afterLines="20" w:line="360" w:lineRule="auto"/>
        <w:ind w:firstLineChars="0"/>
        <w:rPr>
          <w:rFonts w:hint="eastAsia" w:hAnsi="宋体"/>
          <w:szCs w:val="21"/>
        </w:rPr>
      </w:pPr>
      <w:r>
        <w:rPr>
          <w:rFonts w:hAnsi="宋体"/>
          <w:b/>
          <w:bCs/>
          <w:color w:val="000000"/>
          <w:szCs w:val="21"/>
        </w:rPr>
        <w:t>四是</w:t>
      </w:r>
      <w:r>
        <w:rPr>
          <w:rFonts w:hAnsi="宋体"/>
          <w:color w:val="000000"/>
          <w:szCs w:val="21"/>
        </w:rPr>
        <w:t>专项法律服务费用，根据市总工会工作要求在</w:t>
      </w:r>
      <w:r>
        <w:rPr>
          <w:rFonts w:hAnsi="宋体"/>
          <w:szCs w:val="21"/>
        </w:rPr>
        <w:t>指定的工会法律服务站（点）提供法律服务、参与重大劳动争议调处、开展普法宣传、法治培训等，计费标准为每小时</w:t>
      </w:r>
      <w:r>
        <w:rPr>
          <w:szCs w:val="21"/>
        </w:rPr>
        <w:t>100</w:t>
      </w:r>
      <w:r>
        <w:rPr>
          <w:rFonts w:hAnsi="宋体"/>
          <w:szCs w:val="21"/>
        </w:rPr>
        <w:t>元</w:t>
      </w:r>
      <w:r>
        <w:rPr>
          <w:rFonts w:hint="eastAsia" w:hAnsi="宋体"/>
          <w:szCs w:val="21"/>
        </w:rPr>
        <w:t>。</w:t>
      </w:r>
      <w:bookmarkEnd w:id="42"/>
    </w:p>
    <w:p w14:paraId="6C763163">
      <w:pPr>
        <w:widowControl w:val="0"/>
        <w:numPr>
          <w:ilvl w:val="0"/>
          <w:numId w:val="0"/>
        </w:numPr>
        <w:spacing w:after="62" w:afterLines="20" w:line="360" w:lineRule="auto"/>
        <w:ind w:firstLine="420" w:firstLineChars="200"/>
        <w:jc w:val="both"/>
        <w:rPr>
          <w:rFonts w:hint="eastAsia" w:ascii="Calibri" w:hAnsi="宋体" w:eastAsia="宋体" w:cs="Times New Roman"/>
          <w:kern w:val="2"/>
          <w:sz w:val="21"/>
          <w:szCs w:val="21"/>
          <w:lang w:val="en-US" w:eastAsia="zh-CN" w:bidi="ar-SA"/>
        </w:rPr>
      </w:pPr>
      <w:r>
        <w:rPr>
          <w:rFonts w:hint="eastAsia" w:ascii="Calibri" w:hAnsi="宋体" w:eastAsia="宋体" w:cs="Times New Roman"/>
          <w:kern w:val="2"/>
          <w:sz w:val="21"/>
          <w:szCs w:val="21"/>
          <w:lang w:val="en-US" w:eastAsia="zh-CN" w:bidi="ar-SA"/>
        </w:rPr>
        <w:t>2.服务期限：1年。本项目为长期服务政府采购合同履行期限最长不得超过三十六个月，1年1签。如甲方对履约情况不满意，甲方不再续约。</w:t>
      </w:r>
    </w:p>
    <w:p w14:paraId="72487971">
      <w:pPr>
        <w:widowControl w:val="0"/>
        <w:spacing w:line="360" w:lineRule="auto"/>
        <w:ind w:firstLine="480" w:firstLineChars="200"/>
        <w:jc w:val="both"/>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3.服务地点：深圳市采购人指定地点。</w:t>
      </w:r>
    </w:p>
    <w:p w14:paraId="288DAC62">
      <w:pPr>
        <w:pStyle w:val="3"/>
      </w:pPr>
    </w:p>
    <w:p w14:paraId="3845FFE4">
      <w:pPr>
        <w:pStyle w:val="7"/>
        <w:spacing w:before="156" w:beforeLines="50" w:after="156" w:afterLines="50"/>
        <w:rPr>
          <w:szCs w:val="24"/>
        </w:rPr>
      </w:pPr>
      <w:r>
        <w:rPr>
          <w:rFonts w:hint="eastAsia" w:cs="宋体"/>
          <w:b/>
          <w:bCs/>
          <w:kern w:val="0"/>
          <w:sz w:val="24"/>
          <w:lang w:val="en-US" w:eastAsia="zh-CN" w:bidi="ar"/>
        </w:rPr>
        <w:t>六</w:t>
      </w:r>
      <w:r>
        <w:rPr>
          <w:rFonts w:hint="eastAsia" w:ascii="宋体" w:hAnsi="宋体" w:cs="宋体"/>
          <w:b/>
          <w:bCs/>
          <w:kern w:val="0"/>
          <w:sz w:val="24"/>
          <w:lang w:bidi="ar"/>
        </w:rPr>
        <w:t>、</w:t>
      </w:r>
      <w:r>
        <w:rPr>
          <w:rFonts w:hint="eastAsia"/>
          <w:szCs w:val="24"/>
        </w:rPr>
        <w:t>其他重要条款</w:t>
      </w:r>
    </w:p>
    <w:p w14:paraId="2DDBF7C2">
      <w:pPr>
        <w:ind w:firstLine="420" w:firstLineChars="200"/>
        <w:rPr>
          <w:bCs/>
          <w:szCs w:val="21"/>
        </w:rPr>
      </w:pPr>
      <w:r>
        <w:rPr>
          <w:bCs/>
          <w:szCs w:val="21"/>
          <w:lang w:bidi="ar"/>
        </w:rPr>
        <w:t>1</w:t>
      </w:r>
      <w:r>
        <w:rPr>
          <w:rFonts w:hint="eastAsia" w:cs="宋体"/>
          <w:bCs/>
          <w:szCs w:val="21"/>
          <w:lang w:bidi="ar"/>
        </w:rPr>
        <w:t>、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14:paraId="10CF8715">
      <w:pPr>
        <w:pStyle w:val="12"/>
        <w:spacing w:before="78" w:beforeLines="25" w:after="78" w:afterLines="25"/>
        <w:ind w:firstLine="392" w:firstLineChars="187"/>
        <w:rPr>
          <w:rFonts w:ascii="宋体" w:hAnsi="宋体" w:cs="宋体"/>
          <w:szCs w:val="21"/>
        </w:rPr>
      </w:pPr>
      <w:r>
        <w:rPr>
          <w:bCs/>
          <w:sz w:val="21"/>
          <w:szCs w:val="21"/>
          <w:lang w:bidi="ar"/>
        </w:rPr>
        <w:t>2</w:t>
      </w:r>
      <w:r>
        <w:rPr>
          <w:rFonts w:hint="eastAsia" w:cs="宋体"/>
          <w:bCs/>
          <w:sz w:val="21"/>
          <w:szCs w:val="21"/>
          <w:lang w:bidi="ar"/>
        </w:rPr>
        <w:t>、投标人应充分了解项目的位置、情况、道路及任何其它足以影响投标报价的情况，任何因忽视或误解项目情况而导致的索赔或服务期限延长申请将不获批准。</w:t>
      </w:r>
    </w:p>
    <w:p w14:paraId="71885987">
      <w:pPr>
        <w:ind w:firstLine="420" w:firstLineChars="200"/>
        <w:rPr>
          <w:bCs/>
          <w:szCs w:val="21"/>
        </w:rPr>
      </w:pPr>
      <w:r>
        <w:rPr>
          <w:bCs/>
          <w:szCs w:val="21"/>
          <w:lang w:bidi="ar"/>
        </w:rPr>
        <w:t>3</w:t>
      </w:r>
      <w:r>
        <w:rPr>
          <w:rFonts w:hint="eastAsia" w:cs="宋体"/>
          <w:bCs/>
          <w:szCs w:val="21"/>
          <w:lang w:bidi="ar"/>
        </w:rPr>
        <w:t>、投标人不得期望通过索赔等方式获取补偿，否则，除可能遭到拒绝外，还可能将被作为不良行为记录在案，并可能影响其以后参加政府采购的项目投标。各投标人在投标报价时，应充分考虑投标报价的风险。</w:t>
      </w:r>
    </w:p>
    <w:p w14:paraId="337822E2">
      <w:pPr>
        <w:ind w:firstLine="420" w:firstLineChars="200"/>
        <w:rPr>
          <w:bCs/>
          <w:szCs w:val="21"/>
        </w:rPr>
      </w:pPr>
      <w:r>
        <w:rPr>
          <w:bCs/>
          <w:szCs w:val="21"/>
          <w:lang w:bidi="ar"/>
        </w:rPr>
        <w:t>4</w:t>
      </w:r>
      <w:r>
        <w:rPr>
          <w:rFonts w:hint="eastAsia" w:cs="宋体"/>
          <w:bCs/>
          <w:szCs w:val="21"/>
          <w:lang w:bidi="ar"/>
        </w:rPr>
        <w:t>、除政府采购合同继续履行将损害国家利益和社会公共利益外，双方当事人不得擅自变更、中止或者终止合同。</w:t>
      </w:r>
    </w:p>
    <w:p w14:paraId="0900206B">
      <w:pPr>
        <w:ind w:firstLine="420" w:firstLineChars="200"/>
        <w:rPr>
          <w:bCs/>
          <w:szCs w:val="21"/>
        </w:rPr>
      </w:pPr>
      <w:r>
        <w:rPr>
          <w:bCs/>
          <w:szCs w:val="21"/>
          <w:lang w:bidi="ar"/>
        </w:rPr>
        <w:t>5</w:t>
      </w:r>
      <w:r>
        <w:rPr>
          <w:rFonts w:hint="eastAsia" w:cs="宋体"/>
          <w:bCs/>
          <w:szCs w:val="21"/>
          <w:lang w:bidi="ar"/>
        </w:rPr>
        <w:t>、“信用中国”中“信用服务”栏的“重大税收违法失信主体”“失信被执行人”，“中国政府采购网”中的“政府采购严重违法失信行为记录名单”，以及“深圳市政府采购监管网”为供应商信用信息的查询渠道，相关信息以开标当日的查询结果为准。</w:t>
      </w:r>
    </w:p>
    <w:p w14:paraId="0E0D7EAC">
      <w:r>
        <w:rPr>
          <w:lang w:bidi="ar"/>
        </w:rPr>
        <w:br w:type="page"/>
      </w:r>
    </w:p>
    <w:p w14:paraId="20A641F7">
      <w:pPr>
        <w:pStyle w:val="7"/>
        <w:rPr>
          <w:sz w:val="28"/>
          <w:szCs w:val="28"/>
        </w:rPr>
      </w:pPr>
      <w:r>
        <w:rPr>
          <w:rFonts w:hint="eastAsia"/>
          <w:sz w:val="28"/>
          <w:szCs w:val="28"/>
        </w:rPr>
        <w:t>第四章 投标文件组成要求及格式</w:t>
      </w:r>
    </w:p>
    <w:p w14:paraId="741EA21E">
      <w:pPr>
        <w:rPr>
          <w:rStyle w:val="19"/>
          <w:sz w:val="24"/>
        </w:rPr>
      </w:pPr>
      <w:r>
        <w:rPr>
          <w:rStyle w:val="19"/>
          <w:rFonts w:hint="eastAsia"/>
          <w:sz w:val="24"/>
        </w:rPr>
        <w:t>特别提醒：</w:t>
      </w:r>
    </w:p>
    <w:p w14:paraId="72AD06F3">
      <w:pPr>
        <w:tabs>
          <w:tab w:val="left" w:pos="1470"/>
        </w:tabs>
        <w:snapToGrid w:val="0"/>
        <w:spacing w:line="320" w:lineRule="atLeast"/>
        <w:ind w:firstLine="482" w:firstLineChars="200"/>
        <w:rPr>
          <w:rFonts w:ascii="宋体" w:hAnsi="宋体" w:cs="宋体"/>
          <w:b/>
          <w:color w:val="FF0000"/>
          <w:sz w:val="24"/>
        </w:rPr>
      </w:pPr>
      <w:r>
        <w:rPr>
          <w:rFonts w:hint="eastAsia" w:ascii="宋体" w:hAnsi="宋体" w:cs="宋体"/>
          <w:b/>
          <w:color w:val="FF0000"/>
          <w:sz w:val="24"/>
        </w:rPr>
        <w:t>1、投标文件正文将对外公开，投标文件附件不公开。投标人在编辑投标文件时，在投标文件目录中属于本节点内容的必须在本节点中填写，填写到其他节点或附件的将可能导致投标无效，一切后果由供应商自行承担。</w:t>
      </w:r>
    </w:p>
    <w:p w14:paraId="224ABEDF">
      <w:pPr>
        <w:tabs>
          <w:tab w:val="left" w:pos="1470"/>
        </w:tabs>
        <w:snapToGrid w:val="0"/>
        <w:spacing w:line="320" w:lineRule="atLeast"/>
        <w:ind w:firstLine="482" w:firstLineChars="200"/>
        <w:rPr>
          <w:rFonts w:ascii="宋体" w:hAnsi="宋体" w:cs="宋体"/>
          <w:b/>
          <w:color w:val="FF0000"/>
          <w:sz w:val="24"/>
        </w:rPr>
      </w:pPr>
      <w:r>
        <w:rPr>
          <w:rFonts w:hint="eastAsia" w:ascii="宋体" w:hAnsi="宋体" w:cs="宋体"/>
          <w:b/>
          <w:color w:val="FF0000"/>
          <w:sz w:val="24"/>
        </w:rPr>
        <w:t>2、投标文件正文（信息公开部分）必须编制于“正文（公开部分）”部分，投标文件附件（信息不公开部分）必须编制于“附件（不公开部分）”部分。</w:t>
      </w:r>
    </w:p>
    <w:p w14:paraId="790C2ED3">
      <w:pPr>
        <w:tabs>
          <w:tab w:val="left" w:pos="1470"/>
        </w:tabs>
        <w:snapToGrid w:val="0"/>
        <w:spacing w:line="320" w:lineRule="atLeast"/>
        <w:ind w:firstLine="482" w:firstLineChars="200"/>
        <w:rPr>
          <w:rFonts w:ascii="宋体" w:hAnsi="宋体"/>
          <w:sz w:val="24"/>
        </w:rPr>
      </w:pPr>
      <w:r>
        <w:rPr>
          <w:rFonts w:hint="eastAsia" w:ascii="宋体" w:hAnsi="宋体" w:cs="宋体"/>
          <w:b/>
          <w:color w:val="FF0000"/>
          <w:sz w:val="24"/>
        </w:rPr>
        <w:t>3、代理机构公布投标文件正文（信息公开部分）时，如投标人误将涉及个人隐私的信息放入投标文件正文，相关后果由投标人自负；如投标人将必须放于投标文件正文（信息公开部分）的内容放入投标文件附件（信息不公开部分），将作投标无效处理。</w:t>
      </w:r>
    </w:p>
    <w:p w14:paraId="3306FC54">
      <w:pPr>
        <w:rPr>
          <w:rFonts w:ascii="宋体" w:hAnsi="宋体"/>
          <w:b/>
          <w:bCs/>
          <w:sz w:val="24"/>
        </w:rPr>
      </w:pPr>
      <w:r>
        <w:rPr>
          <w:rFonts w:hint="eastAsia" w:ascii="宋体" w:hAnsi="宋体"/>
          <w:b/>
          <w:bCs/>
          <w:sz w:val="24"/>
        </w:rPr>
        <w:t>投标文件组成：</w:t>
      </w:r>
    </w:p>
    <w:p w14:paraId="611D674F">
      <w:pPr>
        <w:ind w:firstLine="480" w:firstLineChars="200"/>
        <w:outlineLvl w:val="0"/>
        <w:rPr>
          <w:rFonts w:ascii="宋体" w:hAnsi="宋体"/>
          <w:sz w:val="24"/>
        </w:rPr>
      </w:pPr>
      <w:r>
        <w:rPr>
          <w:rFonts w:hint="eastAsia" w:ascii="宋体" w:hAnsi="宋体"/>
          <w:sz w:val="24"/>
        </w:rPr>
        <w:t>1.投标文件正文</w:t>
      </w:r>
      <w:r>
        <w:rPr>
          <w:rFonts w:hint="eastAsia" w:ascii="宋体" w:hAnsi="宋体"/>
          <w:b/>
          <w:color w:val="FF0000"/>
          <w:sz w:val="24"/>
        </w:rPr>
        <w:t>（信息公开部分）</w:t>
      </w:r>
      <w:r>
        <w:rPr>
          <w:rFonts w:hint="eastAsia" w:ascii="宋体" w:hAnsi="宋体"/>
          <w:sz w:val="24"/>
        </w:rPr>
        <w:t>，主要包括以下内容：</w:t>
      </w:r>
    </w:p>
    <w:p w14:paraId="2ED1014F">
      <w:pPr>
        <w:ind w:firstLine="840" w:firstLineChars="400"/>
        <w:rPr>
          <w:szCs w:val="21"/>
        </w:rPr>
      </w:pPr>
      <w:r>
        <w:rPr>
          <w:rFonts w:hint="eastAsia"/>
          <w:szCs w:val="21"/>
        </w:rPr>
        <w:t>（1）投标函</w:t>
      </w:r>
    </w:p>
    <w:p w14:paraId="26EC85B3">
      <w:pPr>
        <w:ind w:firstLine="840" w:firstLineChars="400"/>
        <w:rPr>
          <w:szCs w:val="21"/>
        </w:rPr>
      </w:pPr>
      <w:r>
        <w:rPr>
          <w:rFonts w:hint="eastAsia"/>
          <w:szCs w:val="21"/>
        </w:rPr>
        <w:t>（2）采购投标及履约承诺函</w:t>
      </w:r>
    </w:p>
    <w:p w14:paraId="689341E0">
      <w:pPr>
        <w:ind w:firstLine="840" w:firstLineChars="400"/>
        <w:rPr>
          <w:szCs w:val="21"/>
        </w:rPr>
      </w:pPr>
      <w:r>
        <w:rPr>
          <w:rFonts w:hint="eastAsia"/>
          <w:szCs w:val="21"/>
        </w:rPr>
        <w:t>（</w:t>
      </w:r>
      <w:r>
        <w:rPr>
          <w:szCs w:val="21"/>
        </w:rPr>
        <w:t>3</w:t>
      </w:r>
      <w:r>
        <w:rPr>
          <w:rFonts w:hint="eastAsia"/>
          <w:szCs w:val="21"/>
        </w:rPr>
        <w:t>）投标人情况及资格证明文件</w:t>
      </w:r>
    </w:p>
    <w:p w14:paraId="3E2F0D46">
      <w:pPr>
        <w:ind w:firstLine="840" w:firstLineChars="400"/>
        <w:rPr>
          <w:szCs w:val="21"/>
        </w:rPr>
      </w:pPr>
      <w:r>
        <w:rPr>
          <w:rFonts w:hint="eastAsia"/>
          <w:szCs w:val="21"/>
        </w:rPr>
        <w:t>（</w:t>
      </w:r>
      <w:r>
        <w:rPr>
          <w:szCs w:val="21"/>
        </w:rPr>
        <w:t>4</w:t>
      </w:r>
      <w:r>
        <w:rPr>
          <w:rFonts w:hint="eastAsia"/>
          <w:szCs w:val="21"/>
        </w:rPr>
        <w:t>）项目详细报价</w:t>
      </w:r>
    </w:p>
    <w:p w14:paraId="29A30CA4">
      <w:pPr>
        <w:ind w:firstLine="840" w:firstLineChars="400"/>
        <w:rPr>
          <w:szCs w:val="21"/>
        </w:rPr>
      </w:pPr>
      <w:r>
        <w:rPr>
          <w:rFonts w:hint="eastAsia"/>
          <w:szCs w:val="21"/>
        </w:rPr>
        <w:t>（5）供应商获奖情况（格式自定）</w:t>
      </w:r>
    </w:p>
    <w:p w14:paraId="618D98C8">
      <w:pPr>
        <w:ind w:firstLine="840" w:firstLineChars="400"/>
        <w:rPr>
          <w:szCs w:val="21"/>
        </w:rPr>
      </w:pPr>
      <w:r>
        <w:rPr>
          <w:rFonts w:hint="eastAsia"/>
          <w:szCs w:val="21"/>
        </w:rPr>
        <w:t>（6）供应商同类项目业绩情况（格式自定）</w:t>
      </w:r>
    </w:p>
    <w:p w14:paraId="3246A48B">
      <w:pPr>
        <w:ind w:firstLine="480" w:firstLineChars="200"/>
        <w:outlineLvl w:val="0"/>
        <w:rPr>
          <w:rFonts w:ascii="宋体" w:hAnsi="宋体"/>
          <w:sz w:val="24"/>
        </w:rPr>
      </w:pPr>
      <w:r>
        <w:rPr>
          <w:rFonts w:hint="eastAsia" w:ascii="宋体" w:hAnsi="宋体"/>
          <w:sz w:val="24"/>
        </w:rPr>
        <w:t>2.投标文件附件</w:t>
      </w:r>
      <w:r>
        <w:rPr>
          <w:rFonts w:hint="eastAsia" w:ascii="宋体" w:hAnsi="宋体"/>
          <w:b/>
          <w:color w:val="FF0000"/>
          <w:sz w:val="24"/>
        </w:rPr>
        <w:t>（信息不公开部分）</w:t>
      </w:r>
      <w:r>
        <w:rPr>
          <w:rFonts w:hint="eastAsia" w:ascii="宋体" w:hAnsi="宋体"/>
          <w:sz w:val="24"/>
        </w:rPr>
        <w:t>：主要包括以下内容：</w:t>
      </w:r>
    </w:p>
    <w:p w14:paraId="47D91FDD">
      <w:pPr>
        <w:ind w:firstLine="840" w:firstLineChars="400"/>
        <w:rPr>
          <w:szCs w:val="21"/>
          <w:highlight w:val="none"/>
        </w:rPr>
      </w:pPr>
      <w:r>
        <w:rPr>
          <w:rFonts w:hint="eastAsia"/>
          <w:szCs w:val="21"/>
          <w:highlight w:val="none"/>
        </w:rPr>
        <w:t>（1）供应商基本情况表</w:t>
      </w:r>
    </w:p>
    <w:p w14:paraId="5B5EC477">
      <w:pPr>
        <w:ind w:firstLine="840" w:firstLineChars="400"/>
        <w:rPr>
          <w:szCs w:val="21"/>
        </w:rPr>
      </w:pPr>
      <w:r>
        <w:rPr>
          <w:rFonts w:hint="eastAsia"/>
          <w:szCs w:val="21"/>
        </w:rPr>
        <w:t>（2）法定代表人（负责人）证明书</w:t>
      </w:r>
    </w:p>
    <w:p w14:paraId="5BAE3630">
      <w:pPr>
        <w:ind w:firstLine="840" w:firstLineChars="400"/>
        <w:rPr>
          <w:szCs w:val="21"/>
        </w:rPr>
      </w:pPr>
      <w:r>
        <w:rPr>
          <w:rFonts w:hint="eastAsia"/>
          <w:szCs w:val="21"/>
        </w:rPr>
        <w:t>（3）投标文件签署授权委托书</w:t>
      </w:r>
    </w:p>
    <w:p w14:paraId="7BB86680">
      <w:pPr>
        <w:ind w:firstLine="840" w:firstLineChars="400"/>
        <w:rPr>
          <w:szCs w:val="21"/>
        </w:rPr>
      </w:pPr>
      <w:r>
        <w:rPr>
          <w:rFonts w:hint="eastAsia"/>
          <w:szCs w:val="21"/>
        </w:rPr>
        <w:t>（4）实质性条款响应情况表</w:t>
      </w:r>
    </w:p>
    <w:p w14:paraId="79788BDE">
      <w:pPr>
        <w:ind w:firstLine="840" w:firstLineChars="400"/>
        <w:rPr>
          <w:szCs w:val="21"/>
        </w:rPr>
      </w:pPr>
      <w:r>
        <w:rPr>
          <w:rFonts w:hint="eastAsia"/>
          <w:szCs w:val="21"/>
        </w:rPr>
        <w:t>（5）实施方案（格式自定）</w:t>
      </w:r>
    </w:p>
    <w:p w14:paraId="1A6923D5">
      <w:pPr>
        <w:ind w:firstLine="840" w:firstLineChars="400"/>
        <w:rPr>
          <w:szCs w:val="21"/>
        </w:rPr>
      </w:pPr>
      <w:r>
        <w:rPr>
          <w:rFonts w:hint="eastAsia"/>
          <w:szCs w:val="21"/>
        </w:rPr>
        <w:t>（6）</w:t>
      </w:r>
      <w:r>
        <w:rPr>
          <w:rFonts w:hint="eastAsia" w:eastAsia="宋体"/>
          <w:szCs w:val="21"/>
          <w:lang w:eastAsia="zh-CN"/>
        </w:rPr>
        <w:t>质量保障措施</w:t>
      </w:r>
      <w:r>
        <w:rPr>
          <w:rFonts w:hint="eastAsia"/>
          <w:szCs w:val="21"/>
        </w:rPr>
        <w:t>（格式自定）</w:t>
      </w:r>
    </w:p>
    <w:p w14:paraId="75CA8F6C">
      <w:pPr>
        <w:ind w:firstLine="840" w:firstLineChars="400"/>
        <w:rPr>
          <w:szCs w:val="21"/>
        </w:rPr>
      </w:pPr>
      <w:r>
        <w:rPr>
          <w:rFonts w:hint="eastAsia"/>
          <w:szCs w:val="21"/>
        </w:rPr>
        <w:t>（</w:t>
      </w:r>
      <w:r>
        <w:rPr>
          <w:rFonts w:hint="eastAsia" w:ascii="Times New Roman" w:eastAsia="宋体"/>
          <w:szCs w:val="21"/>
          <w:lang w:val="en-US" w:eastAsia="zh-CN"/>
        </w:rPr>
        <w:t>7</w:t>
      </w:r>
      <w:r>
        <w:rPr>
          <w:rFonts w:hint="eastAsia"/>
          <w:szCs w:val="21"/>
        </w:rPr>
        <w:t>）</w:t>
      </w:r>
      <w:r>
        <w:rPr>
          <w:rFonts w:hint="eastAsia" w:eastAsia="宋体"/>
          <w:szCs w:val="21"/>
          <w:lang w:eastAsia="zh-CN"/>
        </w:rPr>
        <w:t>服务承诺</w:t>
      </w:r>
      <w:r>
        <w:rPr>
          <w:rFonts w:hint="eastAsia"/>
          <w:szCs w:val="21"/>
        </w:rPr>
        <w:t>（格式自定）</w:t>
      </w:r>
    </w:p>
    <w:p w14:paraId="1A679A83">
      <w:pPr>
        <w:ind w:firstLine="840" w:firstLineChars="400"/>
        <w:rPr>
          <w:szCs w:val="21"/>
        </w:rPr>
      </w:pPr>
      <w:r>
        <w:rPr>
          <w:rFonts w:hint="eastAsia"/>
          <w:szCs w:val="21"/>
        </w:rPr>
        <w:t>（</w:t>
      </w:r>
      <w:r>
        <w:rPr>
          <w:rFonts w:hint="eastAsia" w:ascii="Times New Roman" w:eastAsia="宋体"/>
          <w:szCs w:val="21"/>
          <w:lang w:val="en-US" w:eastAsia="zh-CN"/>
        </w:rPr>
        <w:t>8</w:t>
      </w:r>
      <w:r>
        <w:rPr>
          <w:rFonts w:hint="eastAsia"/>
          <w:szCs w:val="21"/>
        </w:rPr>
        <w:t>）拟安排的项目负责人情况（仅限一人）（格式自定）</w:t>
      </w:r>
    </w:p>
    <w:p w14:paraId="55EC8879">
      <w:pPr>
        <w:ind w:firstLine="840" w:firstLineChars="400"/>
        <w:rPr>
          <w:szCs w:val="21"/>
        </w:rPr>
      </w:pPr>
      <w:r>
        <w:rPr>
          <w:rFonts w:hint="eastAsia"/>
          <w:szCs w:val="21"/>
        </w:rPr>
        <w:t>（</w:t>
      </w:r>
      <w:r>
        <w:rPr>
          <w:rFonts w:hint="eastAsia" w:ascii="Times New Roman" w:eastAsia="宋体"/>
          <w:szCs w:val="21"/>
          <w:lang w:val="en-US" w:eastAsia="zh-CN"/>
        </w:rPr>
        <w:t>9</w:t>
      </w:r>
      <w:r>
        <w:rPr>
          <w:rFonts w:hint="eastAsia"/>
          <w:szCs w:val="21"/>
        </w:rPr>
        <w:t>）拟安排项目团队成员情况（项目负责人除外）（格式自定）</w:t>
      </w:r>
    </w:p>
    <w:p w14:paraId="04C6305B">
      <w:pPr>
        <w:ind w:firstLine="840" w:firstLineChars="400"/>
        <w:rPr>
          <w:rFonts w:ascii="仿宋_GB2312" w:eastAsia="仿宋_GB2312"/>
          <w:sz w:val="24"/>
        </w:rPr>
      </w:pPr>
      <w:r>
        <w:rPr>
          <w:rFonts w:hint="eastAsia"/>
          <w:szCs w:val="21"/>
        </w:rPr>
        <w:t>（1</w:t>
      </w:r>
      <w:r>
        <w:rPr>
          <w:rFonts w:hint="eastAsia" w:ascii="Times New Roman" w:eastAsia="宋体"/>
          <w:szCs w:val="21"/>
          <w:lang w:val="en-US" w:eastAsia="zh-CN"/>
        </w:rPr>
        <w:t>0</w:t>
      </w:r>
      <w:r>
        <w:rPr>
          <w:rFonts w:hint="eastAsia"/>
          <w:szCs w:val="21"/>
        </w:rPr>
        <w:t>）投标人认为需要加以说明的其他内容（格式自定）</w:t>
      </w:r>
    </w:p>
    <w:p w14:paraId="612FE8E0">
      <w:pPr>
        <w:ind w:firstLine="426" w:firstLineChars="202"/>
        <w:rPr>
          <w:rFonts w:ascii="宋体" w:hAnsi="宋体"/>
          <w:b/>
          <w:szCs w:val="21"/>
        </w:rPr>
      </w:pPr>
    </w:p>
    <w:p w14:paraId="5C830325">
      <w:pPr>
        <w:ind w:firstLine="426" w:firstLineChars="202"/>
        <w:rPr>
          <w:rFonts w:ascii="宋体" w:hAnsi="宋体"/>
          <w:b/>
          <w:szCs w:val="21"/>
        </w:rPr>
      </w:pPr>
      <w:r>
        <w:rPr>
          <w:rFonts w:hint="eastAsia" w:ascii="宋体" w:hAnsi="宋体"/>
          <w:b/>
          <w:szCs w:val="21"/>
        </w:rPr>
        <w:t>备注：1.本项目为网上电子投标项目，投标文件不需法人或授权委托人另行签字，无需加盖单位公章，招标文件专用条款另有规定的除外。</w:t>
      </w:r>
    </w:p>
    <w:p w14:paraId="7BB5C96D">
      <w:pPr>
        <w:ind w:firstLine="426" w:firstLineChars="202"/>
        <w:rPr>
          <w:rFonts w:ascii="宋体" w:hAnsi="宋体"/>
          <w:b/>
          <w:szCs w:val="21"/>
        </w:rPr>
      </w:pPr>
      <w:r>
        <w:rPr>
          <w:rFonts w:hint="eastAsia" w:ascii="宋体" w:hAnsi="宋体"/>
          <w:b/>
          <w:szCs w:val="21"/>
        </w:rPr>
        <w:t>2.关于填写“开标一览表”的说明：“开标一览表”中除“投标报价”外，其他信息不作评审依据。</w:t>
      </w:r>
    </w:p>
    <w:p w14:paraId="3EFC8476">
      <w:pPr>
        <w:jc w:val="left"/>
        <w:rPr>
          <w:rFonts w:ascii="宋体" w:hAnsi="宋体"/>
          <w:b/>
          <w:color w:val="FF0000"/>
          <w:sz w:val="36"/>
          <w:szCs w:val="36"/>
        </w:rPr>
      </w:pPr>
      <w:r>
        <w:rPr>
          <w:rFonts w:hint="eastAsia" w:ascii="宋体" w:hAnsi="宋体"/>
          <w:b/>
          <w:color w:val="FF0000"/>
          <w:sz w:val="36"/>
          <w:szCs w:val="36"/>
        </w:rPr>
        <w:br w:type="page"/>
      </w:r>
    </w:p>
    <w:p w14:paraId="76658443">
      <w:pPr>
        <w:outlineLvl w:val="1"/>
        <w:rPr>
          <w:rFonts w:ascii="宋体" w:hAnsi="宋体"/>
          <w:b/>
          <w:color w:val="FF0000"/>
          <w:sz w:val="28"/>
          <w:szCs w:val="28"/>
        </w:rPr>
      </w:pPr>
      <w:r>
        <w:rPr>
          <w:rFonts w:hint="eastAsia" w:ascii="宋体" w:hAnsi="宋体"/>
          <w:b/>
          <w:color w:val="FF0000"/>
          <w:sz w:val="28"/>
          <w:szCs w:val="28"/>
        </w:rPr>
        <w:t>投标文件正文（信息公开部分）</w:t>
      </w:r>
    </w:p>
    <w:p w14:paraId="04853019">
      <w:pPr>
        <w:pStyle w:val="5"/>
        <w:jc w:val="center"/>
        <w:rPr>
          <w:rFonts w:ascii="黑体" w:eastAsia="黑体"/>
          <w:b w:val="0"/>
          <w:kern w:val="0"/>
          <w:sz w:val="24"/>
        </w:rPr>
      </w:pPr>
      <w:r>
        <w:rPr>
          <w:rFonts w:hint="eastAsia" w:ascii="黑体" w:eastAsia="黑体"/>
          <w:b w:val="0"/>
          <w:kern w:val="0"/>
          <w:sz w:val="24"/>
        </w:rPr>
        <w:t>一、投标函</w:t>
      </w:r>
    </w:p>
    <w:p w14:paraId="01DCDC60">
      <w:pPr>
        <w:spacing w:line="360" w:lineRule="auto"/>
        <w:rPr>
          <w:rFonts w:ascii="宋体" w:hAnsi="宋体"/>
          <w:color w:val="000000" w:themeColor="text1"/>
          <w:szCs w:val="21"/>
          <w14:textFill>
            <w14:solidFill>
              <w14:schemeClr w14:val="tx1"/>
            </w14:solidFill>
          </w14:textFill>
        </w:rPr>
      </w:pPr>
      <w:r>
        <w:rPr>
          <w:rFonts w:hint="eastAsia" w:ascii="宋体" w:hAnsi="宋体"/>
          <w:szCs w:val="21"/>
        </w:rPr>
        <w:t>致：</w:t>
      </w:r>
      <w:r>
        <w:rPr>
          <w:rFonts w:hint="eastAsia" w:ascii="宋体" w:hAnsi="宋体"/>
          <w:szCs w:val="21"/>
          <w:u w:val="single"/>
        </w:rPr>
        <w:t xml:space="preserve"> </w:t>
      </w:r>
      <w:r>
        <w:rPr>
          <w:rFonts w:hint="eastAsia" w:ascii="宋体" w:hAnsi="宋体"/>
          <w:color w:val="000000" w:themeColor="text1"/>
          <w:szCs w:val="21"/>
          <w:u w:val="single"/>
          <w14:textFill>
            <w14:solidFill>
              <w14:schemeClr w14:val="tx1"/>
            </w14:solidFill>
          </w14:textFill>
        </w:rPr>
        <w:t xml:space="preserve"> 深圳公共资源交易中心  </w:t>
      </w:r>
    </w:p>
    <w:p w14:paraId="788E7873">
      <w:pPr>
        <w:ind w:firstLine="420" w:firstLineChars="200"/>
        <w:rPr>
          <w:rFonts w:ascii="宋体" w:hAnsi="宋体"/>
          <w:szCs w:val="21"/>
        </w:rPr>
      </w:pPr>
      <w:bookmarkStart w:id="43" w:name="_Hlk73818812"/>
      <w:r>
        <w:rPr>
          <w:rFonts w:hint="eastAsia"/>
          <w:szCs w:val="21"/>
        </w:rPr>
        <w:t>1、根据已收到贵单位的项目编号为</w:t>
      </w:r>
      <w:r>
        <w:rPr>
          <w:szCs w:val="21"/>
          <w:u w:val="single"/>
        </w:rPr>
        <w:t xml:space="preserve">   </w:t>
      </w:r>
      <w:r>
        <w:rPr>
          <w:rFonts w:hint="eastAsia"/>
          <w:szCs w:val="21"/>
          <w:u w:val="single"/>
        </w:rPr>
        <w:t xml:space="preserve">      </w:t>
      </w:r>
      <w:r>
        <w:rPr>
          <w:rFonts w:hint="eastAsia"/>
          <w:szCs w:val="21"/>
        </w:rPr>
        <w:t>的</w:t>
      </w:r>
      <w:r>
        <w:rPr>
          <w:rFonts w:hint="eastAsia"/>
          <w:szCs w:val="21"/>
          <w:u w:val="single"/>
        </w:rPr>
        <w:t xml:space="preserve"> </w:t>
      </w:r>
      <w:r>
        <w:rPr>
          <w:rFonts w:hint="eastAsia"/>
          <w:szCs w:val="21"/>
          <w:u w:val="single"/>
          <w:lang w:bidi="ar"/>
        </w:rPr>
        <w:t xml:space="preserve">      （项目名称）</w:t>
      </w:r>
      <w:r>
        <w:rPr>
          <w:szCs w:val="21"/>
          <w:u w:val="single"/>
          <w:lang w:bidi="ar"/>
        </w:rPr>
        <w:t xml:space="preserve"> </w:t>
      </w:r>
      <w:r>
        <w:rPr>
          <w:rFonts w:hint="eastAsia"/>
          <w:szCs w:val="21"/>
          <w:u w:val="single"/>
          <w:lang w:bidi="ar"/>
        </w:rPr>
        <w:t xml:space="preserve">         </w:t>
      </w:r>
      <w:r>
        <w:rPr>
          <w:rFonts w:hint="eastAsia"/>
          <w:szCs w:val="21"/>
        </w:rPr>
        <w:t>项目的招标文件，遵照《深圳经济特区政府采购条例》和《深圳网上政府采购管理暂行办法》等有关规定，我单位经研究上述招标文件的专用条款及通用条款后，</w:t>
      </w:r>
      <w:bookmarkStart w:id="44" w:name="_Hlk72263588"/>
      <w:r>
        <w:rPr>
          <w:rFonts w:hint="eastAsia"/>
          <w:szCs w:val="21"/>
        </w:rPr>
        <w:t>愿意按照招标文件要求承包上述项目并修补其任何缺陷。</w:t>
      </w:r>
      <w:bookmarkEnd w:id="44"/>
    </w:p>
    <w:p w14:paraId="0FEB0004">
      <w:pPr>
        <w:ind w:firstLine="420" w:firstLineChars="200"/>
        <w:rPr>
          <w:rFonts w:ascii="宋体" w:hAnsi="宋体"/>
          <w:szCs w:val="21"/>
        </w:rPr>
      </w:pPr>
      <w:r>
        <w:rPr>
          <w:rFonts w:ascii="宋体" w:hAnsi="宋体"/>
          <w:szCs w:val="21"/>
        </w:rPr>
        <w:t>2</w:t>
      </w:r>
      <w:r>
        <w:rPr>
          <w:rFonts w:hint="eastAsia" w:ascii="宋体" w:hAnsi="宋体"/>
          <w:szCs w:val="21"/>
        </w:rPr>
        <w:t>、投标价格见</w:t>
      </w:r>
      <w:r>
        <w:rPr>
          <w:rFonts w:hint="eastAsia"/>
          <w:szCs w:val="21"/>
        </w:rPr>
        <w:t>投标书编制软件中《开标一览表》中填写的投标报价。</w:t>
      </w:r>
    </w:p>
    <w:p w14:paraId="6755563A">
      <w:pPr>
        <w:ind w:firstLine="420" w:firstLineChars="200"/>
        <w:rPr>
          <w:rFonts w:ascii="宋体" w:hAnsi="宋体"/>
          <w:szCs w:val="21"/>
        </w:rPr>
      </w:pPr>
      <w:r>
        <w:rPr>
          <w:rFonts w:hint="eastAsia" w:ascii="宋体" w:hAnsi="宋体"/>
          <w:szCs w:val="21"/>
        </w:rPr>
        <w:t>3、如果我单位中标，我单位将按照招标文件的要求提交履约担保。</w:t>
      </w:r>
    </w:p>
    <w:p w14:paraId="4AD11808">
      <w:pPr>
        <w:ind w:firstLine="420" w:firstLineChars="200"/>
        <w:rPr>
          <w:rFonts w:ascii="宋体" w:hAnsi="宋体"/>
          <w:szCs w:val="21"/>
        </w:rPr>
      </w:pPr>
      <w:r>
        <w:rPr>
          <w:rFonts w:hint="eastAsia" w:ascii="宋体" w:hAnsi="宋体"/>
          <w:szCs w:val="21"/>
        </w:rPr>
        <w:t>4、我单位同意所递交的投标文件在“对通用条款的补充内容”中明确的投标有效期内有效，在此期间内我单位的投标有可能中标，我方将受此约束。</w:t>
      </w:r>
    </w:p>
    <w:p w14:paraId="63D9C2CC">
      <w:pPr>
        <w:ind w:firstLine="420" w:firstLineChars="200"/>
        <w:rPr>
          <w:rFonts w:ascii="宋体" w:hAnsi="宋体"/>
          <w:szCs w:val="21"/>
        </w:rPr>
      </w:pPr>
      <w:r>
        <w:rPr>
          <w:rFonts w:hint="eastAsia" w:ascii="宋体" w:hAnsi="宋体"/>
          <w:szCs w:val="21"/>
        </w:rPr>
        <w:t>5、除非另外达成协议并生效，贵单位的中标通知书和本投标文件将构成合同的重要内容。</w:t>
      </w:r>
    </w:p>
    <w:p w14:paraId="455F1A67">
      <w:pPr>
        <w:ind w:left="525" w:leftChars="200" w:hanging="105" w:hangingChars="50"/>
        <w:rPr>
          <w:rFonts w:ascii="宋体" w:hAnsi="宋体"/>
          <w:szCs w:val="21"/>
        </w:rPr>
      </w:pPr>
      <w:r>
        <w:rPr>
          <w:rFonts w:hint="eastAsia" w:ascii="宋体" w:hAnsi="宋体"/>
          <w:szCs w:val="21"/>
        </w:rPr>
        <w:t>6、我单位理解贵单位将不受必须接受所收到的最低报价或其它任何投标文件的约束。</w:t>
      </w:r>
      <w:bookmarkEnd w:id="43"/>
    </w:p>
    <w:p w14:paraId="3C49AC9D">
      <w:pPr>
        <w:ind w:firstLine="420" w:firstLineChars="200"/>
        <w:rPr>
          <w:rFonts w:ascii="宋体" w:hAnsi="宋体"/>
          <w:szCs w:val="21"/>
        </w:rPr>
      </w:pPr>
      <w:r>
        <w:rPr>
          <w:rFonts w:hint="eastAsia" w:ascii="宋体" w:hAnsi="宋体"/>
          <w:szCs w:val="21"/>
        </w:rPr>
        <w:t>7、如我单位按项目要求提供样品，且未在规定时间内取回样品的，视同放弃取回，同意深圳公共资源交易中心对样品进行清理。</w:t>
      </w:r>
    </w:p>
    <w:p w14:paraId="5649FD95">
      <w:pPr>
        <w:pStyle w:val="2"/>
      </w:pPr>
    </w:p>
    <w:p w14:paraId="7869364F">
      <w:pPr>
        <w:ind w:left="420" w:leftChars="200" w:firstLine="210" w:firstLineChars="100"/>
        <w:rPr>
          <w:szCs w:val="21"/>
        </w:rPr>
      </w:pPr>
      <w:r>
        <w:rPr>
          <w:rFonts w:hint="eastAsia" w:cs="宋体"/>
          <w:szCs w:val="21"/>
          <w:lang w:bidi="ar"/>
        </w:rPr>
        <w:t>投标人：</w:t>
      </w:r>
      <w:r>
        <w:rPr>
          <w:szCs w:val="21"/>
          <w:u w:val="single"/>
          <w:lang w:bidi="ar"/>
        </w:rPr>
        <w:t xml:space="preserve">    </w:t>
      </w:r>
      <w:r>
        <w:rPr>
          <w:rFonts w:hint="eastAsia"/>
          <w:szCs w:val="21"/>
          <w:u w:val="single"/>
          <w:lang w:bidi="ar"/>
        </w:rPr>
        <w:t xml:space="preserve">        </w:t>
      </w:r>
      <w:r>
        <w:rPr>
          <w:szCs w:val="21"/>
          <w:u w:val="single"/>
          <w:lang w:bidi="ar"/>
        </w:rPr>
        <w:t xml:space="preserve">   </w:t>
      </w:r>
      <w:r>
        <w:rPr>
          <w:rFonts w:hint="eastAsia" w:cs="宋体"/>
          <w:szCs w:val="21"/>
          <w:lang w:bidi="ar"/>
        </w:rPr>
        <w:t>；单位地址：</w:t>
      </w:r>
      <w:r>
        <w:rPr>
          <w:szCs w:val="21"/>
          <w:u w:val="single"/>
          <w:lang w:bidi="ar"/>
        </w:rPr>
        <w:t xml:space="preserve">                    </w:t>
      </w:r>
      <w:r>
        <w:rPr>
          <w:rFonts w:hint="eastAsia" w:cs="宋体"/>
          <w:szCs w:val="21"/>
          <w:lang w:bidi="ar"/>
        </w:rPr>
        <w:t>；</w:t>
      </w:r>
    </w:p>
    <w:p w14:paraId="24C3BC71">
      <w:pPr>
        <w:ind w:left="420" w:leftChars="200" w:firstLine="210" w:firstLineChars="100"/>
        <w:rPr>
          <w:szCs w:val="21"/>
        </w:rPr>
      </w:pPr>
      <w:r>
        <w:rPr>
          <w:rFonts w:hint="eastAsia" w:cs="宋体"/>
          <w:szCs w:val="21"/>
          <w:lang w:bidi="ar"/>
        </w:rPr>
        <w:t>法定代表人（负责人）或其授权委托代理人：</w:t>
      </w:r>
      <w:r>
        <w:rPr>
          <w:szCs w:val="21"/>
          <w:u w:val="single"/>
          <w:lang w:bidi="ar"/>
        </w:rPr>
        <w:t xml:space="preserve">      </w:t>
      </w:r>
      <w:r>
        <w:rPr>
          <w:rFonts w:hint="eastAsia"/>
          <w:szCs w:val="21"/>
          <w:u w:val="single"/>
          <w:lang w:bidi="ar"/>
        </w:rPr>
        <w:t xml:space="preserve">      </w:t>
      </w:r>
      <w:r>
        <w:rPr>
          <w:szCs w:val="21"/>
          <w:u w:val="single"/>
          <w:lang w:bidi="ar"/>
        </w:rPr>
        <w:t xml:space="preserve">   </w:t>
      </w:r>
      <w:r>
        <w:rPr>
          <w:rFonts w:hint="eastAsia" w:cs="宋体"/>
          <w:szCs w:val="21"/>
          <w:lang w:bidi="ar"/>
        </w:rPr>
        <w:t>；</w:t>
      </w:r>
    </w:p>
    <w:p w14:paraId="20D18D3F">
      <w:pPr>
        <w:ind w:left="420" w:leftChars="200" w:firstLine="210" w:firstLineChars="100"/>
        <w:rPr>
          <w:szCs w:val="21"/>
        </w:rPr>
      </w:pPr>
      <w:r>
        <w:rPr>
          <w:rFonts w:hint="eastAsia" w:cs="宋体"/>
          <w:szCs w:val="21"/>
          <w:lang w:bidi="ar"/>
        </w:rPr>
        <w:t>电话：</w:t>
      </w:r>
      <w:r>
        <w:rPr>
          <w:szCs w:val="21"/>
          <w:u w:val="single"/>
          <w:lang w:bidi="ar"/>
        </w:rPr>
        <w:t xml:space="preserve">     </w:t>
      </w:r>
      <w:r>
        <w:rPr>
          <w:rFonts w:hint="eastAsia"/>
          <w:szCs w:val="21"/>
          <w:u w:val="single"/>
          <w:lang w:bidi="ar"/>
        </w:rPr>
        <w:t xml:space="preserve">    </w:t>
      </w:r>
      <w:r>
        <w:rPr>
          <w:szCs w:val="21"/>
          <w:u w:val="single"/>
          <w:lang w:bidi="ar"/>
        </w:rPr>
        <w:t xml:space="preserve"> </w:t>
      </w:r>
      <w:r>
        <w:rPr>
          <w:rFonts w:hint="eastAsia"/>
          <w:szCs w:val="21"/>
          <w:u w:val="single"/>
          <w:lang w:bidi="ar"/>
        </w:rPr>
        <w:t xml:space="preserve">      </w:t>
      </w:r>
      <w:r>
        <w:rPr>
          <w:szCs w:val="21"/>
          <w:u w:val="single"/>
          <w:lang w:bidi="ar"/>
        </w:rPr>
        <w:t xml:space="preserve">   </w:t>
      </w:r>
      <w:r>
        <w:rPr>
          <w:szCs w:val="21"/>
          <w:lang w:bidi="ar"/>
        </w:rPr>
        <w:t xml:space="preserve"> </w:t>
      </w:r>
    </w:p>
    <w:p w14:paraId="28545BD2">
      <w:pPr>
        <w:widowControl/>
        <w:ind w:firstLine="630" w:firstLineChars="300"/>
        <w:jc w:val="left"/>
      </w:pPr>
      <w:r>
        <w:rPr>
          <w:rFonts w:hint="eastAsia" w:ascii="宋体" w:hAnsi="宋体"/>
          <w:szCs w:val="21"/>
          <w:lang w:bidi="ar"/>
        </w:rPr>
        <w:t>日期：</w:t>
      </w:r>
      <w:r>
        <w:rPr>
          <w:rFonts w:hint="eastAsia" w:ascii="宋体" w:hAnsi="宋体"/>
          <w:szCs w:val="21"/>
          <w:u w:val="single"/>
          <w:lang w:bidi="ar"/>
        </w:rPr>
        <w:t xml:space="preserve">       </w:t>
      </w:r>
      <w:r>
        <w:rPr>
          <w:rFonts w:hint="eastAsia" w:ascii="宋体" w:hAnsi="宋体"/>
          <w:szCs w:val="21"/>
          <w:lang w:bidi="ar"/>
        </w:rPr>
        <w:t>年</w:t>
      </w:r>
      <w:r>
        <w:rPr>
          <w:rFonts w:hint="eastAsia" w:ascii="宋体" w:hAnsi="宋体"/>
          <w:szCs w:val="21"/>
          <w:u w:val="single"/>
          <w:lang w:bidi="ar"/>
        </w:rPr>
        <w:t xml:space="preserve">     </w:t>
      </w:r>
      <w:r>
        <w:rPr>
          <w:rFonts w:hint="eastAsia" w:ascii="宋体" w:hAnsi="宋体"/>
          <w:szCs w:val="21"/>
          <w:lang w:bidi="ar"/>
        </w:rPr>
        <w:t>月</w:t>
      </w:r>
      <w:r>
        <w:rPr>
          <w:rFonts w:hint="eastAsia" w:ascii="宋体" w:hAnsi="宋体"/>
          <w:szCs w:val="21"/>
          <w:u w:val="single"/>
          <w:lang w:bidi="ar"/>
        </w:rPr>
        <w:t xml:space="preserve">    </w:t>
      </w:r>
      <w:r>
        <w:rPr>
          <w:rFonts w:hint="eastAsia" w:ascii="宋体" w:hAnsi="宋体"/>
          <w:szCs w:val="21"/>
          <w:lang w:bidi="ar"/>
        </w:rPr>
        <w:t>日</w:t>
      </w:r>
    </w:p>
    <w:p w14:paraId="3F8F3DAD">
      <w:pPr>
        <w:rPr>
          <w:rFonts w:ascii="黑体" w:hAnsi="宋体" w:eastAsia="黑体"/>
        </w:rPr>
      </w:pPr>
    </w:p>
    <w:p w14:paraId="76BEAF1A">
      <w:pPr>
        <w:rPr>
          <w:rFonts w:ascii="黑体" w:hAnsi="宋体" w:eastAsia="黑体"/>
        </w:rPr>
      </w:pPr>
    </w:p>
    <w:p w14:paraId="7892602C">
      <w:pPr>
        <w:widowControl/>
        <w:jc w:val="left"/>
        <w:rPr>
          <w:rFonts w:ascii="黑体" w:hAnsi="宋体" w:eastAsia="黑体"/>
          <w:bCs/>
          <w:kern w:val="0"/>
          <w:sz w:val="24"/>
          <w:szCs w:val="32"/>
        </w:rPr>
      </w:pPr>
      <w:r>
        <w:rPr>
          <w:rFonts w:ascii="黑体" w:eastAsia="黑体"/>
          <w:b/>
          <w:kern w:val="0"/>
          <w:sz w:val="24"/>
        </w:rPr>
        <w:br w:type="page"/>
      </w:r>
    </w:p>
    <w:p w14:paraId="3467BA40">
      <w:pPr>
        <w:pStyle w:val="5"/>
        <w:jc w:val="center"/>
        <w:rPr>
          <w:rFonts w:ascii="黑体" w:eastAsia="黑体"/>
          <w:b w:val="0"/>
          <w:kern w:val="0"/>
          <w:sz w:val="24"/>
        </w:rPr>
      </w:pPr>
      <w:r>
        <w:rPr>
          <w:rFonts w:hint="eastAsia" w:ascii="黑体" w:eastAsia="黑体"/>
          <w:b w:val="0"/>
          <w:kern w:val="0"/>
          <w:sz w:val="24"/>
        </w:rPr>
        <w:t>二、采购投标及履约承诺函</w:t>
      </w:r>
    </w:p>
    <w:p w14:paraId="224AA86E">
      <w:pPr>
        <w:rPr>
          <w:rFonts w:ascii="宋体" w:hAnsi="宋体" w:cs="宋体"/>
          <w:color w:val="FF0000"/>
          <w:szCs w:val="21"/>
        </w:rPr>
      </w:pPr>
      <w:r>
        <w:rPr>
          <w:rFonts w:hint="eastAsia" w:ascii="宋体" w:hAnsi="宋体" w:cs="宋体"/>
          <w:color w:val="FF0000"/>
          <w:szCs w:val="21"/>
          <w:lang w:bidi="ar"/>
        </w:rPr>
        <w:t>致：</w:t>
      </w:r>
      <w:r>
        <w:rPr>
          <w:rFonts w:hint="eastAsia" w:ascii="宋体" w:hAnsi="宋体" w:cs="宋体"/>
          <w:color w:val="FF0000"/>
          <w:szCs w:val="21"/>
          <w:u w:val="single"/>
          <w:lang w:bidi="ar"/>
        </w:rPr>
        <w:t>深圳公共资源交易中心</w:t>
      </w:r>
    </w:p>
    <w:p w14:paraId="4C3402BC">
      <w:pPr>
        <w:ind w:right="-815" w:firstLine="420" w:firstLineChars="200"/>
        <w:rPr>
          <w:rFonts w:ascii="宋体" w:hAnsi="宋体" w:cs="宋体"/>
          <w:szCs w:val="21"/>
        </w:rPr>
      </w:pPr>
      <w:r>
        <w:rPr>
          <w:rFonts w:hint="eastAsia" w:ascii="宋体" w:hAnsi="宋体" w:cs="宋体"/>
          <w:szCs w:val="21"/>
          <w:lang w:bidi="ar"/>
        </w:rPr>
        <w:t>我单位承诺：</w:t>
      </w:r>
    </w:p>
    <w:p w14:paraId="44A43902">
      <w:pPr>
        <w:ind w:firstLine="420" w:firstLineChars="200"/>
        <w:rPr>
          <w:rFonts w:ascii="宋体" w:hAnsi="宋体" w:cs="宋体"/>
          <w:szCs w:val="21"/>
        </w:rPr>
      </w:pPr>
      <w:r>
        <w:rPr>
          <w:rFonts w:hint="eastAsia" w:ascii="宋体" w:hAnsi="宋体" w:cs="宋体"/>
          <w:szCs w:val="21"/>
          <w:lang w:bidi="ar"/>
        </w:rPr>
        <w:t>1.我单位参与本项目</w:t>
      </w:r>
      <w:r>
        <w:rPr>
          <w:rFonts w:hint="eastAsia" w:ascii="宋体" w:hAnsi="宋体" w:cs="宋体"/>
          <w:lang w:bidi="ar"/>
        </w:rPr>
        <w:t>所投标（响应）的货物、工程或服务，不存在侵犯知识产权的情况。</w:t>
      </w:r>
    </w:p>
    <w:p w14:paraId="0DDFF856">
      <w:pPr>
        <w:ind w:firstLine="420" w:firstLineChars="200"/>
        <w:rPr>
          <w:rFonts w:ascii="宋体" w:hAnsi="宋体" w:cs="宋体"/>
          <w:szCs w:val="21"/>
        </w:rPr>
      </w:pPr>
      <w:r>
        <w:rPr>
          <w:rFonts w:hint="eastAsia" w:ascii="宋体" w:hAnsi="宋体" w:cs="宋体"/>
          <w:szCs w:val="21"/>
          <w:lang w:bidi="ar"/>
        </w:rPr>
        <w:t>2.我单位</w:t>
      </w:r>
      <w:r>
        <w:rPr>
          <w:rFonts w:hint="eastAsia" w:ascii="宋体" w:hAnsi="宋体" w:cs="宋体"/>
          <w:kern w:val="0"/>
          <w:szCs w:val="21"/>
        </w:rPr>
        <w:t>参与本项目采购活动时</w:t>
      </w:r>
      <w:r>
        <w:rPr>
          <w:rFonts w:hint="eastAsia" w:cs="宋体"/>
          <w:lang w:bidi="ar"/>
        </w:rPr>
        <w:t>不存在被有关部门禁止参与政府采购活动且在有效期内的情况。</w:t>
      </w:r>
      <w:r>
        <w:rPr>
          <w:rFonts w:hint="eastAsia"/>
          <w:highlight w:val="yellow"/>
        </w:rPr>
        <w:t>符合招标文件关于联合体及进口产品的相关资格要求。</w:t>
      </w:r>
    </w:p>
    <w:p w14:paraId="4CC83F47">
      <w:pPr>
        <w:ind w:firstLine="420" w:firstLineChars="200"/>
        <w:rPr>
          <w:rFonts w:ascii="宋体" w:hAnsi="宋体" w:cs="宋体"/>
          <w:szCs w:val="21"/>
        </w:rPr>
      </w:pPr>
      <w:r>
        <w:rPr>
          <w:rFonts w:hint="eastAsia" w:ascii="宋体" w:hAnsi="宋体" w:cs="宋体"/>
          <w:szCs w:val="21"/>
          <w:lang w:bidi="ar"/>
        </w:rPr>
        <w:t>3.我单位具备《中华人民共和国政府采购法》第二十二条第一款规定的六项条件。</w:t>
      </w:r>
    </w:p>
    <w:p w14:paraId="73480773">
      <w:pPr>
        <w:ind w:firstLine="420" w:firstLineChars="200"/>
      </w:pPr>
      <w:r>
        <w:rPr>
          <w:rFonts w:hint="eastAsia" w:ascii="宋体" w:hAnsi="宋体" w:cs="宋体"/>
          <w:szCs w:val="21"/>
          <w:lang w:bidi="ar"/>
        </w:rPr>
        <w:t>4.我单位</w:t>
      </w:r>
      <w:r>
        <w:rPr>
          <w:rFonts w:hint="eastAsia" w:cs="宋体"/>
          <w:lang w:bidi="ar"/>
        </w:rPr>
        <w:t>未被列入失信被执行人、重大税收违法案件当事人名单、政府采购严重违法失信行为记录名单。</w:t>
      </w:r>
    </w:p>
    <w:p w14:paraId="3315F873">
      <w:pPr>
        <w:ind w:firstLine="420" w:firstLineChars="200"/>
      </w:pPr>
      <w:r>
        <w:rPr>
          <w:color w:val="FF0000"/>
          <w:lang w:bidi="ar"/>
        </w:rPr>
        <w:t>5.</w:t>
      </w:r>
      <w:r>
        <w:rPr>
          <w:rFonts w:hint="eastAsia" w:cs="宋体"/>
          <w:color w:val="FF0000"/>
          <w:lang w:bidi="ar"/>
        </w:rPr>
        <w:t>我单位不存在《深圳市财政局政府采购供应商信用信息管理办法》（深财规〔</w:t>
      </w:r>
      <w:r>
        <w:rPr>
          <w:color w:val="FF0000"/>
          <w:lang w:bidi="ar"/>
        </w:rPr>
        <w:t>2023</w:t>
      </w:r>
      <w:r>
        <w:rPr>
          <w:rFonts w:hint="eastAsia" w:cs="宋体"/>
          <w:color w:val="FF0000"/>
          <w:lang w:bidi="ar"/>
        </w:rPr>
        <w:t>〕</w:t>
      </w:r>
      <w:r>
        <w:rPr>
          <w:color w:val="FF0000"/>
          <w:lang w:bidi="ar"/>
        </w:rPr>
        <w:t>3</w:t>
      </w:r>
      <w:r>
        <w:rPr>
          <w:rFonts w:hint="eastAsia" w:cs="宋体"/>
          <w:color w:val="FF0000"/>
          <w:lang w:bidi="ar"/>
        </w:rPr>
        <w:t>号）列明的严重违法失信行为。</w:t>
      </w:r>
    </w:p>
    <w:p w14:paraId="06E40115">
      <w:pPr>
        <w:ind w:firstLine="420" w:firstLineChars="200"/>
        <w:rPr>
          <w:rFonts w:ascii="宋体" w:hAnsi="宋体" w:cs="宋体"/>
          <w:szCs w:val="21"/>
        </w:rPr>
      </w:pPr>
      <w:r>
        <w:rPr>
          <w:rFonts w:hint="eastAsia" w:ascii="宋体" w:hAnsi="宋体" w:cs="宋体"/>
          <w:szCs w:val="21"/>
          <w:lang w:bidi="ar"/>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14:paraId="696EB6BC">
      <w:pPr>
        <w:ind w:firstLine="420" w:firstLineChars="200"/>
        <w:rPr>
          <w:rFonts w:ascii="宋体" w:hAnsi="宋体" w:cs="宋体"/>
          <w:szCs w:val="21"/>
        </w:rPr>
      </w:pPr>
      <w:r>
        <w:rPr>
          <w:rFonts w:hint="eastAsia" w:ascii="宋体" w:hAnsi="宋体" w:cs="宋体"/>
          <w:szCs w:val="21"/>
          <w:lang w:bidi="ar"/>
        </w:rPr>
        <w:t>7.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14:paraId="2D23F4C9">
      <w:pPr>
        <w:ind w:firstLine="420" w:firstLineChars="200"/>
        <w:rPr>
          <w:rFonts w:ascii="宋体" w:hAnsi="宋体" w:cs="宋体"/>
          <w:szCs w:val="21"/>
        </w:rPr>
      </w:pPr>
      <w:r>
        <w:rPr>
          <w:rFonts w:hint="eastAsia" w:ascii="宋体" w:hAnsi="宋体" w:cs="宋体"/>
          <w:szCs w:val="21"/>
          <w:lang w:bidi="ar"/>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14:paraId="2E618AE3">
      <w:pPr>
        <w:ind w:firstLine="420" w:firstLineChars="200"/>
        <w:rPr>
          <w:rFonts w:ascii="宋体" w:hAnsi="宋体" w:cs="宋体"/>
          <w:szCs w:val="21"/>
        </w:rPr>
      </w:pPr>
      <w:r>
        <w:rPr>
          <w:rFonts w:hint="eastAsia" w:ascii="宋体" w:hAnsi="宋体" w:cs="宋体"/>
          <w:szCs w:val="21"/>
          <w:lang w:bidi="ar"/>
        </w:rPr>
        <w:t>8.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276DBEEE">
      <w:pPr>
        <w:ind w:firstLine="420" w:firstLineChars="200"/>
        <w:rPr>
          <w:rFonts w:ascii="宋体" w:hAnsi="宋体" w:cs="宋体"/>
          <w:szCs w:val="21"/>
        </w:rPr>
      </w:pPr>
      <w:r>
        <w:rPr>
          <w:rFonts w:hint="eastAsia" w:ascii="宋体" w:hAnsi="宋体" w:cs="宋体"/>
          <w:szCs w:val="21"/>
          <w:lang w:bidi="ar"/>
        </w:rPr>
        <w:t>9.我单位承诺中标后项目不转包，未经采购人同意不进行分包。</w:t>
      </w:r>
    </w:p>
    <w:p w14:paraId="3E4C5E48">
      <w:pPr>
        <w:ind w:firstLine="420" w:firstLineChars="200"/>
        <w:rPr>
          <w:rFonts w:ascii="宋体" w:hAnsi="宋体" w:cs="宋体"/>
        </w:rPr>
      </w:pPr>
      <w:r>
        <w:rPr>
          <w:rFonts w:hint="eastAsia" w:ascii="宋体" w:hAnsi="宋体" w:cs="宋体"/>
          <w:szCs w:val="21"/>
          <w:lang w:bidi="ar"/>
        </w:rPr>
        <w:t>10.</w:t>
      </w:r>
      <w:r>
        <w:rPr>
          <w:rFonts w:hint="eastAsia" w:ascii="宋体" w:hAnsi="宋体" w:cs="宋体"/>
          <w:lang w:bidi="ar"/>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14:paraId="094E69E2">
      <w:pPr>
        <w:ind w:firstLine="420" w:firstLineChars="200"/>
        <w:rPr>
          <w:rFonts w:ascii="宋体" w:hAnsi="宋体" w:cs="宋体"/>
          <w:b/>
          <w:kern w:val="0"/>
          <w:szCs w:val="21"/>
        </w:rPr>
      </w:pPr>
      <w:r>
        <w:rPr>
          <w:rFonts w:hint="eastAsia" w:ascii="宋体" w:hAnsi="宋体" w:cs="宋体"/>
          <w:lang w:bidi="ar"/>
        </w:rPr>
        <w:t>11.我单位保证，若所投货物涉及《财政部生态环境部关于印发节能产品政府采购品目清单的通知》（财库〔2019〕19号）列明的政府采购强制产品，则所投该产品符合节能产品的认证要求。若所投产品包括数据中心相关设备的，应满足</w:t>
      </w:r>
      <w:r>
        <w:rPr>
          <w:rFonts w:hint="eastAsia" w:cs="宋体"/>
          <w:lang w:bidi="ar"/>
        </w:rPr>
        <w:t>《财政部</w:t>
      </w:r>
      <w:r>
        <w:rPr>
          <w:lang w:bidi="ar"/>
        </w:rPr>
        <w:t xml:space="preserve"> </w:t>
      </w:r>
      <w:r>
        <w:rPr>
          <w:rFonts w:hint="eastAsia" w:cs="宋体"/>
          <w:lang w:bidi="ar"/>
        </w:rPr>
        <w:t>生态环境部</w:t>
      </w:r>
      <w:r>
        <w:rPr>
          <w:lang w:bidi="ar"/>
        </w:rPr>
        <w:t xml:space="preserve"> </w:t>
      </w:r>
      <w:r>
        <w:rPr>
          <w:rFonts w:hint="eastAsia" w:cs="宋体"/>
          <w:lang w:bidi="ar"/>
        </w:rPr>
        <w:t>工业和信息化部关于印发</w:t>
      </w:r>
      <w:r>
        <w:rPr>
          <w:lang w:bidi="ar"/>
        </w:rPr>
        <w:t>&lt;</w:t>
      </w:r>
      <w:r>
        <w:rPr>
          <w:rFonts w:hint="eastAsia" w:cs="宋体"/>
          <w:lang w:bidi="ar"/>
        </w:rPr>
        <w:t>绿色数据中心政府采购需求标准（试行）</w:t>
      </w:r>
      <w:r>
        <w:rPr>
          <w:lang w:bidi="ar"/>
        </w:rPr>
        <w:t>&gt;</w:t>
      </w:r>
      <w:r>
        <w:rPr>
          <w:rFonts w:hint="eastAsia" w:cs="宋体"/>
          <w:lang w:bidi="ar"/>
        </w:rPr>
        <w:t>的通知》（财库〔</w:t>
      </w:r>
      <w:r>
        <w:rPr>
          <w:lang w:bidi="ar"/>
        </w:rPr>
        <w:t>2023</w:t>
      </w:r>
      <w:r>
        <w:rPr>
          <w:rFonts w:hint="eastAsia" w:cs="宋体"/>
          <w:lang w:bidi="ar"/>
        </w:rPr>
        <w:t>〕</w:t>
      </w:r>
      <w:r>
        <w:rPr>
          <w:lang w:bidi="ar"/>
        </w:rPr>
        <w:t>7</w:t>
      </w:r>
      <w:r>
        <w:rPr>
          <w:rFonts w:hint="eastAsia" w:cs="宋体"/>
          <w:lang w:bidi="ar"/>
        </w:rPr>
        <w:t>号）要求。若所投产品涉及国家强制性标准的，所投产品应符合国家强制性标准相关要求。</w:t>
      </w:r>
    </w:p>
    <w:p w14:paraId="5A1C972D">
      <w:pPr>
        <w:ind w:firstLine="420" w:firstLineChars="200"/>
        <w:rPr>
          <w:rFonts w:ascii="宋体" w:hAnsi="宋体" w:cs="宋体"/>
          <w:bCs/>
        </w:rPr>
      </w:pPr>
      <w:r>
        <w:rPr>
          <w:rFonts w:hint="eastAsia" w:ascii="宋体" w:hAnsi="宋体" w:cs="宋体"/>
          <w:bCs/>
          <w:kern w:val="0"/>
          <w:szCs w:val="21"/>
          <w:lang w:bidi="ar"/>
        </w:rPr>
        <w:t>12.</w:t>
      </w:r>
      <w:r>
        <w:rPr>
          <w:rFonts w:hint="eastAsia" w:ascii="宋体" w:hAnsi="宋体" w:cs="宋体"/>
          <w:bCs/>
          <w:lang w:bidi="ar"/>
        </w:rPr>
        <w:t>我单位已知悉并同意中标（成交）结果信息公示（公开）的内容。</w:t>
      </w:r>
    </w:p>
    <w:p w14:paraId="462C720D">
      <w:pPr>
        <w:ind w:firstLine="420" w:firstLineChars="200"/>
        <w:rPr>
          <w:rFonts w:ascii="宋体" w:hAnsi="宋体" w:cs="宋体"/>
          <w:bCs/>
        </w:rPr>
      </w:pPr>
      <w:r>
        <w:rPr>
          <w:rFonts w:hint="eastAsia" w:ascii="宋体" w:hAnsi="宋体" w:cs="宋体"/>
          <w:bCs/>
          <w:lang w:bidi="ar"/>
        </w:rPr>
        <w:t>13.我单位保证，符合《中华人民共和国政府采购法实施条例》第十八条规定，与其他投标供应商不存在单位负责人为同一人或者存在直接控股、管理关系；不存在为本次采购项目提供整体设计、规范编制或者项目管理、监理、检测等服务的情形。若存在“不同供应商的董事、股东或其他高级管理人员为同一人的”情形的，我单位保证不存在串通投标、恶意串通或者视为串通投标的情形。</w:t>
      </w:r>
    </w:p>
    <w:p w14:paraId="28EEC35C">
      <w:pPr>
        <w:ind w:firstLine="422" w:firstLineChars="200"/>
        <w:rPr>
          <w:rFonts w:ascii="宋体" w:hAnsi="宋体" w:cs="宋体"/>
          <w:b/>
        </w:rPr>
      </w:pPr>
      <w:r>
        <w:rPr>
          <w:rFonts w:hint="eastAsia" w:ascii="宋体" w:hAnsi="宋体" w:cs="宋体"/>
          <w:b/>
          <w:lang w:bidi="ar"/>
        </w:rPr>
        <w:t>14.我单位清楚，如存在违反投标承诺行为情节严重的，将根据《深圳市财政局关于印发&lt;深圳市财政局政府采购供应商信用信息管理办法&gt;的通知》，依法被列入失信信息。</w:t>
      </w:r>
    </w:p>
    <w:p w14:paraId="6EBE3D12">
      <w:pPr>
        <w:ind w:firstLine="420" w:firstLineChars="200"/>
        <w:rPr>
          <w:rFonts w:ascii="宋体" w:hAnsi="宋体" w:cs="宋体"/>
          <w:bCs/>
        </w:rPr>
      </w:pPr>
      <w:r>
        <w:rPr>
          <w:rFonts w:hint="eastAsia" w:ascii="宋体" w:hAnsi="宋体" w:cs="宋体"/>
          <w:bCs/>
          <w:lang w:bidi="ar"/>
        </w:rPr>
        <w:t>15.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p>
    <w:p w14:paraId="4166031E">
      <w:pPr>
        <w:ind w:firstLine="420" w:firstLineChars="200"/>
        <w:rPr>
          <w:rFonts w:ascii="宋体" w:hAnsi="宋体" w:cs="宋体"/>
          <w:szCs w:val="21"/>
        </w:rPr>
      </w:pPr>
      <w:r>
        <w:rPr>
          <w:rFonts w:hint="eastAsia" w:ascii="宋体" w:hAnsi="宋体" w:cs="宋体"/>
          <w:szCs w:val="21"/>
          <w:lang w:bidi="ar"/>
        </w:rPr>
        <w:t>以上承诺，如有违反，愿依照国家相关法律法规处理，并承担由此给采购人带来的损失。</w:t>
      </w:r>
    </w:p>
    <w:p w14:paraId="07AF269A">
      <w:pPr>
        <w:spacing w:before="78" w:beforeLines="25" w:after="78" w:afterLines="25"/>
        <w:ind w:firstLine="5460" w:firstLineChars="2600"/>
        <w:rPr>
          <w:rFonts w:ascii="宋体" w:hAnsi="宋体" w:cs="宋体"/>
          <w:szCs w:val="21"/>
        </w:rPr>
      </w:pPr>
      <w:r>
        <w:rPr>
          <w:rFonts w:hint="eastAsia" w:ascii="宋体" w:hAnsi="宋体" w:cs="宋体"/>
          <w:szCs w:val="21"/>
          <w:lang w:bidi="ar"/>
        </w:rPr>
        <w:t xml:space="preserve">                                    </w:t>
      </w:r>
    </w:p>
    <w:p w14:paraId="573023B6">
      <w:pPr>
        <w:spacing w:before="78" w:beforeLines="25" w:after="78" w:afterLines="25"/>
        <w:ind w:firstLine="5460" w:firstLineChars="2600"/>
        <w:rPr>
          <w:color w:val="FF0000"/>
        </w:rPr>
      </w:pPr>
      <w:r>
        <w:rPr>
          <w:rFonts w:hint="eastAsia" w:cs="宋体"/>
          <w:color w:val="FF0000"/>
          <w:szCs w:val="21"/>
          <w:lang w:bidi="ar"/>
        </w:rPr>
        <w:t>投标人：</w:t>
      </w:r>
      <w:r>
        <w:rPr>
          <w:color w:val="FF0000"/>
          <w:szCs w:val="21"/>
          <w:u w:val="single"/>
          <w:lang w:bidi="ar"/>
        </w:rPr>
        <w:t xml:space="preserve">              </w:t>
      </w:r>
    </w:p>
    <w:p w14:paraId="75A6BB6D">
      <w:pPr>
        <w:ind w:firstLine="645"/>
        <w:rPr>
          <w:rFonts w:ascii="宋体" w:hAnsi="宋体" w:cs="宋体"/>
          <w:color w:val="FF0000"/>
          <w:szCs w:val="21"/>
        </w:rPr>
      </w:pPr>
      <w:r>
        <w:rPr>
          <w:rFonts w:hint="eastAsia" w:ascii="宋体" w:hAnsi="宋体" w:cs="宋体"/>
          <w:color w:val="FF0000"/>
          <w:szCs w:val="21"/>
          <w:lang w:bidi="ar"/>
        </w:rPr>
        <w:t xml:space="preserve">                                              日期：</w:t>
      </w:r>
      <w:r>
        <w:rPr>
          <w:rFonts w:hint="eastAsia" w:ascii="宋体" w:hAnsi="宋体" w:cs="宋体"/>
          <w:color w:val="FF0000"/>
          <w:szCs w:val="21"/>
          <w:u w:val="single"/>
          <w:lang w:bidi="ar"/>
        </w:rPr>
        <w:t xml:space="preserve">    </w:t>
      </w:r>
      <w:r>
        <w:rPr>
          <w:rFonts w:hint="eastAsia" w:ascii="宋体" w:hAnsi="宋体" w:cs="宋体"/>
          <w:color w:val="FF0000"/>
          <w:szCs w:val="21"/>
          <w:lang w:bidi="ar"/>
        </w:rPr>
        <w:t>年</w:t>
      </w:r>
      <w:r>
        <w:rPr>
          <w:rFonts w:hint="eastAsia" w:ascii="宋体" w:hAnsi="宋体" w:cs="宋体"/>
          <w:color w:val="FF0000"/>
          <w:szCs w:val="21"/>
          <w:u w:val="single"/>
          <w:lang w:bidi="ar"/>
        </w:rPr>
        <w:t xml:space="preserve">   </w:t>
      </w:r>
      <w:r>
        <w:rPr>
          <w:rFonts w:hint="eastAsia" w:ascii="宋体" w:hAnsi="宋体" w:cs="宋体"/>
          <w:color w:val="FF0000"/>
          <w:szCs w:val="21"/>
          <w:lang w:bidi="ar"/>
        </w:rPr>
        <w:t>月</w:t>
      </w:r>
      <w:r>
        <w:rPr>
          <w:rFonts w:hint="eastAsia" w:ascii="宋体" w:hAnsi="宋体" w:cs="宋体"/>
          <w:color w:val="FF0000"/>
          <w:szCs w:val="21"/>
          <w:u w:val="single"/>
          <w:lang w:bidi="ar"/>
        </w:rPr>
        <w:t xml:space="preserve">   </w:t>
      </w:r>
      <w:r>
        <w:rPr>
          <w:rFonts w:hint="eastAsia" w:ascii="宋体" w:hAnsi="宋体" w:cs="宋体"/>
          <w:color w:val="FF0000"/>
          <w:szCs w:val="21"/>
          <w:lang w:bidi="ar"/>
        </w:rPr>
        <w:t>日</w:t>
      </w:r>
    </w:p>
    <w:p w14:paraId="1BA47E24"/>
    <w:p w14:paraId="2BD0B987"/>
    <w:p w14:paraId="6687B344">
      <w:pPr>
        <w:widowControl/>
        <w:jc w:val="left"/>
        <w:rPr>
          <w:rFonts w:ascii="黑体" w:hAnsi="宋体" w:eastAsia="黑体"/>
          <w:bCs/>
          <w:kern w:val="0"/>
          <w:sz w:val="24"/>
          <w:szCs w:val="32"/>
        </w:rPr>
      </w:pPr>
      <w:r>
        <w:rPr>
          <w:rFonts w:ascii="黑体" w:eastAsia="黑体"/>
          <w:b/>
          <w:kern w:val="0"/>
          <w:sz w:val="24"/>
        </w:rPr>
        <w:br w:type="page"/>
      </w:r>
    </w:p>
    <w:p w14:paraId="12D5A251">
      <w:pPr>
        <w:pStyle w:val="5"/>
        <w:spacing w:before="120" w:after="120"/>
        <w:jc w:val="center"/>
        <w:rPr>
          <w:rFonts w:ascii="黑体" w:eastAsia="黑体"/>
          <w:b w:val="0"/>
          <w:kern w:val="0"/>
          <w:sz w:val="24"/>
        </w:rPr>
      </w:pPr>
      <w:r>
        <w:rPr>
          <w:rFonts w:hint="eastAsia" w:ascii="黑体" w:eastAsia="黑体"/>
          <w:b w:val="0"/>
          <w:kern w:val="0"/>
          <w:sz w:val="24"/>
        </w:rPr>
        <w:t>三、投标人情况及资格证明文件</w:t>
      </w:r>
    </w:p>
    <w:p w14:paraId="2A4DAEDA">
      <w:pPr>
        <w:outlineLvl w:val="3"/>
        <w:rPr>
          <w:rFonts w:ascii="黑体" w:hAnsi="宋体" w:eastAsia="黑体"/>
          <w:bCs/>
          <w:kern w:val="0"/>
          <w:sz w:val="24"/>
          <w:szCs w:val="32"/>
        </w:rPr>
      </w:pPr>
      <w:r>
        <w:rPr>
          <w:rFonts w:hint="eastAsia" w:ascii="黑体" w:hAnsi="宋体" w:eastAsia="黑体"/>
          <w:bCs/>
          <w:kern w:val="0"/>
          <w:sz w:val="24"/>
          <w:szCs w:val="32"/>
        </w:rPr>
        <w:t>（一）投标人资格证明文件</w:t>
      </w:r>
    </w:p>
    <w:p w14:paraId="661CF0CF">
      <w:pPr>
        <w:spacing w:before="156" w:beforeLines="50"/>
        <w:ind w:firstLine="422" w:firstLineChars="200"/>
        <w:rPr>
          <w:b/>
          <w:bCs/>
          <w:color w:val="FF0000"/>
        </w:rPr>
      </w:pPr>
      <w:r>
        <w:rPr>
          <w:rFonts w:hint="eastAsia"/>
          <w:b/>
          <w:bCs/>
          <w:color w:val="FF0000"/>
        </w:rPr>
        <w:t>（特别提示：投标人须按本招标文件第一册第一章招标公告 “投标人的资格要求”提供相关的资格证明资料，未提供或提供不完整、不符合要求的，将作投标无效处理，其中要求提供《采购投标及履约承诺函》《供应商基本情况表》且已在规定章节中提供的，此处不重复提供。）</w:t>
      </w:r>
    </w:p>
    <w:p w14:paraId="27DD04E0">
      <w:pPr>
        <w:widowControl/>
        <w:jc w:val="left"/>
      </w:pPr>
      <w:r>
        <w:br w:type="page"/>
      </w:r>
    </w:p>
    <w:p w14:paraId="1D178756"/>
    <w:p w14:paraId="6C5898B0">
      <w:pPr>
        <w:outlineLvl w:val="3"/>
        <w:rPr>
          <w:rFonts w:ascii="黑体" w:hAnsi="宋体" w:eastAsia="黑体"/>
          <w:bCs/>
          <w:kern w:val="0"/>
          <w:sz w:val="24"/>
          <w:szCs w:val="32"/>
        </w:rPr>
      </w:pPr>
      <w:r>
        <w:rPr>
          <w:rFonts w:hint="eastAsia" w:ascii="黑体" w:hAnsi="宋体" w:eastAsia="黑体"/>
          <w:bCs/>
          <w:kern w:val="0"/>
          <w:sz w:val="24"/>
          <w:szCs w:val="32"/>
        </w:rPr>
        <w:t>（二）中小企业声明函、残疾人福利性单位声明函及监狱企业声明函</w:t>
      </w:r>
    </w:p>
    <w:p w14:paraId="5607CA56">
      <w:pPr>
        <w:ind w:firstLine="420" w:firstLineChars="200"/>
        <w:outlineLvl w:val="3"/>
        <w:rPr>
          <w:rFonts w:ascii="黑体" w:hAnsi="宋体" w:eastAsia="黑体" w:cs="黑体"/>
          <w:bCs/>
          <w:color w:val="FF0000"/>
          <w:kern w:val="0"/>
          <w:szCs w:val="21"/>
        </w:rPr>
      </w:pPr>
      <w:r>
        <w:rPr>
          <w:rFonts w:hint="eastAsia" w:ascii="黑体" w:hAnsi="宋体" w:eastAsia="黑体" w:cs="黑体"/>
          <w:bCs/>
          <w:color w:val="FF0000"/>
          <w:kern w:val="0"/>
          <w:szCs w:val="21"/>
          <w:lang w:bidi="ar"/>
        </w:rPr>
        <w:t>填写指引：</w:t>
      </w:r>
    </w:p>
    <w:p w14:paraId="14A34F42">
      <w:pPr>
        <w:ind w:firstLine="420" w:firstLineChars="200"/>
        <w:outlineLvl w:val="3"/>
        <w:rPr>
          <w:rFonts w:ascii="黑体" w:hAnsi="宋体" w:eastAsia="黑体" w:cs="黑体"/>
          <w:color w:val="FF0000"/>
          <w:szCs w:val="21"/>
        </w:rPr>
      </w:pPr>
      <w:r>
        <w:rPr>
          <w:rFonts w:hint="eastAsia" w:ascii="黑体" w:hAnsi="宋体" w:eastAsia="黑体" w:cs="黑体"/>
          <w:bCs/>
          <w:color w:val="FF0000"/>
          <w:kern w:val="0"/>
          <w:szCs w:val="21"/>
          <w:lang w:bidi="ar"/>
        </w:rPr>
        <w:t>1、该部分内容由投标人根据自身实际情况填写，不符合要求的投标人可以不填写或直接删除相应的声明函。</w:t>
      </w:r>
      <w:r>
        <w:rPr>
          <w:rFonts w:hint="eastAsia" w:ascii="黑体" w:hAnsi="宋体" w:eastAsia="黑体" w:cs="黑体"/>
          <w:color w:val="FF0000"/>
          <w:szCs w:val="21"/>
          <w:lang w:bidi="ar"/>
        </w:rPr>
        <w:t>投标人提供的声明函不属实的，属于提供虚假资料谋取中标，依照《中华人民共和国政府采购法》等国家有关规定追究相应责任。</w:t>
      </w:r>
    </w:p>
    <w:p w14:paraId="64723308">
      <w:pPr>
        <w:ind w:firstLine="420" w:firstLineChars="200"/>
        <w:outlineLvl w:val="3"/>
        <w:rPr>
          <w:rFonts w:ascii="黑体" w:hAnsi="宋体" w:eastAsia="黑体" w:cs="黑体"/>
          <w:color w:val="FF0000"/>
          <w:szCs w:val="21"/>
        </w:rPr>
      </w:pPr>
      <w:r>
        <w:rPr>
          <w:rFonts w:hint="eastAsia" w:ascii="黑体" w:hAnsi="宋体" w:eastAsia="黑体" w:cs="黑体"/>
          <w:color w:val="FF0000"/>
          <w:szCs w:val="21"/>
          <w:lang w:bidi="ar"/>
        </w:rPr>
        <w:t>2、该部分内容填写需要参考的相关文件：</w:t>
      </w:r>
    </w:p>
    <w:p w14:paraId="567B09D1">
      <w:pPr>
        <w:ind w:firstLine="420" w:firstLineChars="200"/>
        <w:outlineLvl w:val="3"/>
        <w:rPr>
          <w:rFonts w:ascii="黑体" w:hAnsi="宋体" w:eastAsia="黑体" w:cs="黑体"/>
          <w:color w:val="FF0000"/>
          <w:szCs w:val="21"/>
        </w:rPr>
      </w:pPr>
      <w:r>
        <w:rPr>
          <w:rFonts w:hint="eastAsia" w:ascii="黑体" w:hAnsi="宋体" w:eastAsia="黑体" w:cs="黑体"/>
          <w:color w:val="FF0000"/>
          <w:szCs w:val="21"/>
          <w:lang w:bidi="ar"/>
        </w:rPr>
        <w:t>(1)财政部《政府采购促进中小企业发展管理办法》（财库〔2020〕46号）</w:t>
      </w:r>
    </w:p>
    <w:p w14:paraId="17ADA9C4">
      <w:pPr>
        <w:ind w:firstLine="420" w:firstLineChars="200"/>
        <w:outlineLvl w:val="3"/>
        <w:rPr>
          <w:rFonts w:ascii="黑体" w:hAnsi="宋体" w:eastAsia="黑体" w:cs="黑体"/>
          <w:color w:val="FF0000"/>
          <w:szCs w:val="21"/>
        </w:rPr>
      </w:pPr>
      <w:r>
        <w:rPr>
          <w:rFonts w:hint="eastAsia" w:ascii="黑体" w:hAnsi="宋体" w:eastAsia="黑体" w:cs="黑体"/>
          <w:color w:val="FF0000"/>
          <w:szCs w:val="21"/>
          <w:lang w:bidi="ar"/>
        </w:rPr>
        <w:t>(2)</w:t>
      </w:r>
      <w:bookmarkStart w:id="45" w:name="_Hlk71925120"/>
      <w:r>
        <w:rPr>
          <w:rFonts w:hint="eastAsia" w:ascii="黑体" w:hAnsi="宋体" w:eastAsia="黑体" w:cs="黑体"/>
          <w:color w:val="FF0000"/>
          <w:szCs w:val="21"/>
          <w:lang w:bidi="ar"/>
        </w:rPr>
        <w:t>《工业和信息化部、国家统计局、国家发展和改革委员会、财政部关于印发中小企业划型标准规定的通知》（工信部联企业〔2011〕300号</w:t>
      </w:r>
      <w:bookmarkEnd w:id="45"/>
      <w:r>
        <w:rPr>
          <w:rFonts w:hint="eastAsia" w:ascii="黑体" w:hAnsi="宋体" w:eastAsia="黑体" w:cs="黑体"/>
          <w:color w:val="FF0000"/>
          <w:szCs w:val="21"/>
          <w:lang w:bidi="ar"/>
        </w:rPr>
        <w:t>）</w:t>
      </w:r>
    </w:p>
    <w:p w14:paraId="28A4BB2C">
      <w:pPr>
        <w:ind w:firstLine="420" w:firstLineChars="200"/>
        <w:outlineLvl w:val="3"/>
        <w:rPr>
          <w:rFonts w:ascii="黑体" w:hAnsi="宋体" w:eastAsia="黑体" w:cs="黑体"/>
          <w:color w:val="FF0000"/>
          <w:szCs w:val="21"/>
        </w:rPr>
      </w:pPr>
      <w:r>
        <w:rPr>
          <w:rFonts w:hint="eastAsia" w:ascii="黑体" w:hAnsi="宋体" w:eastAsia="黑体" w:cs="黑体"/>
          <w:color w:val="FF0000"/>
          <w:szCs w:val="21"/>
          <w:lang w:bidi="ar"/>
        </w:rPr>
        <w:t>(3)《统计上大中小微型企业划分办法(2017)》（国统字〔2017〕213号）</w:t>
      </w:r>
    </w:p>
    <w:p w14:paraId="3843ADAC">
      <w:pPr>
        <w:ind w:firstLine="420" w:firstLineChars="200"/>
        <w:outlineLvl w:val="3"/>
        <w:rPr>
          <w:rFonts w:ascii="黑体" w:hAnsi="宋体" w:eastAsia="黑体" w:cs="黑体"/>
          <w:color w:val="FF0000"/>
          <w:szCs w:val="21"/>
        </w:rPr>
      </w:pPr>
      <w:r>
        <w:rPr>
          <w:rFonts w:hint="eastAsia" w:ascii="黑体" w:hAnsi="宋体" w:eastAsia="黑体" w:cs="黑体"/>
          <w:color w:val="FF0000"/>
          <w:szCs w:val="21"/>
          <w:lang w:bidi="ar"/>
        </w:rPr>
        <w:t>(4)《关于促进残疾人就业政府采购政策的通知》（财库〔2017〕141号）</w:t>
      </w:r>
    </w:p>
    <w:p w14:paraId="3D473E51">
      <w:pPr>
        <w:ind w:firstLine="420" w:firstLineChars="200"/>
        <w:outlineLvl w:val="3"/>
        <w:rPr>
          <w:rFonts w:ascii="黑体" w:hAnsi="宋体" w:eastAsia="黑体" w:cs="黑体"/>
          <w:color w:val="FF0000"/>
          <w:szCs w:val="21"/>
        </w:rPr>
      </w:pPr>
      <w:r>
        <w:rPr>
          <w:rFonts w:hint="eastAsia" w:ascii="黑体" w:hAnsi="宋体" w:eastAsia="黑体" w:cs="黑体"/>
          <w:color w:val="FF0000"/>
          <w:szCs w:val="21"/>
          <w:lang w:bidi="ar"/>
        </w:rPr>
        <w:t>(5)《关于政府采购支持监狱企业发展有关问题的通知》（财库〔2014〕68号）</w:t>
      </w:r>
    </w:p>
    <w:p w14:paraId="4943FAE0">
      <w:pPr>
        <w:ind w:firstLine="420" w:firstLineChars="200"/>
        <w:outlineLvl w:val="3"/>
        <w:rPr>
          <w:rFonts w:ascii="黑体" w:hAnsi="宋体" w:eastAsia="黑体" w:cs="黑体"/>
          <w:bCs/>
          <w:color w:val="FF0000"/>
          <w:kern w:val="0"/>
          <w:szCs w:val="21"/>
        </w:rPr>
      </w:pPr>
      <w:r>
        <w:rPr>
          <w:rFonts w:hint="eastAsia" w:ascii="黑体" w:hAnsi="宋体" w:eastAsia="黑体" w:cs="黑体"/>
          <w:bCs/>
          <w:color w:val="FF0000"/>
          <w:kern w:val="0"/>
          <w:szCs w:val="21"/>
          <w:lang w:bidi="ar"/>
        </w:rPr>
        <w:t>3、请依照提供的格式和内容填写声明函，不要随意变更格式；声明函不需要盖章或签字；</w:t>
      </w:r>
      <w:r>
        <w:rPr>
          <w:rFonts w:hint="eastAsia" w:ascii="黑体" w:hAnsi="宋体" w:eastAsia="黑体" w:cs="黑体"/>
          <w:color w:val="FF0000"/>
          <w:szCs w:val="21"/>
          <w:lang w:bidi="ar"/>
        </w:rPr>
        <w:t>满足多项优惠政策的投标人，不重复享受多项价格扣除政策。</w:t>
      </w:r>
    </w:p>
    <w:p w14:paraId="67602598">
      <w:pPr>
        <w:ind w:firstLine="420" w:firstLineChars="200"/>
        <w:outlineLvl w:val="3"/>
        <w:rPr>
          <w:rFonts w:ascii="黑体" w:hAnsi="宋体" w:eastAsia="黑体" w:cs="黑体"/>
          <w:bCs/>
          <w:color w:val="FF0000"/>
          <w:kern w:val="0"/>
          <w:szCs w:val="21"/>
        </w:rPr>
      </w:pPr>
      <w:r>
        <w:rPr>
          <w:rFonts w:hint="eastAsia" w:ascii="黑体" w:hAnsi="宋体" w:eastAsia="黑体" w:cs="黑体"/>
          <w:bCs/>
          <w:color w:val="FF0000"/>
          <w:kern w:val="0"/>
          <w:szCs w:val="21"/>
          <w:lang w:bidi="ar"/>
        </w:rPr>
        <w:t>4、声明函具体填写要求：</w:t>
      </w:r>
    </w:p>
    <w:p w14:paraId="491DCDDF">
      <w:pPr>
        <w:ind w:firstLine="420" w:firstLineChars="200"/>
        <w:outlineLvl w:val="3"/>
        <w:rPr>
          <w:rFonts w:ascii="黑体" w:hAnsi="宋体" w:eastAsia="黑体" w:cs="黑体"/>
          <w:bCs/>
          <w:color w:val="FF0000"/>
          <w:kern w:val="0"/>
          <w:szCs w:val="21"/>
        </w:rPr>
      </w:pPr>
      <w:r>
        <w:rPr>
          <w:rFonts w:hint="eastAsia" w:ascii="黑体" w:hAnsi="宋体" w:eastAsia="黑体" w:cs="黑体"/>
          <w:bCs/>
          <w:color w:val="FF0000"/>
          <w:kern w:val="0"/>
          <w:szCs w:val="21"/>
          <w:lang w:bidi="ar"/>
        </w:rPr>
        <w:t>（1）声明是中小企业须填写《中小企业声明函》的以下内容：</w:t>
      </w:r>
    </w:p>
    <w:p w14:paraId="199F498A">
      <w:pPr>
        <w:ind w:firstLine="420" w:firstLineChars="200"/>
        <w:outlineLvl w:val="3"/>
        <w:rPr>
          <w:rFonts w:ascii="黑体" w:hAnsi="宋体" w:eastAsia="黑体" w:cs="黑体"/>
          <w:bCs/>
          <w:color w:val="FF0000"/>
          <w:kern w:val="0"/>
          <w:szCs w:val="21"/>
        </w:rPr>
      </w:pPr>
      <w:r>
        <w:rPr>
          <w:rFonts w:hint="eastAsia" w:ascii="黑体" w:hAnsi="宋体" w:eastAsia="黑体" w:cs="黑体"/>
          <w:bCs/>
          <w:color w:val="FF0000"/>
          <w:kern w:val="0"/>
          <w:szCs w:val="21"/>
          <w:lang w:bidi="ar"/>
        </w:rPr>
        <w:t>第一处，在“单位名称”下划线处如实填写采购人名称（深圳公共资源交易中心不是本项目的采购人，而是组织实施机构）；</w:t>
      </w:r>
    </w:p>
    <w:p w14:paraId="262A6881">
      <w:pPr>
        <w:ind w:firstLine="420" w:firstLineChars="200"/>
        <w:outlineLvl w:val="3"/>
        <w:rPr>
          <w:rFonts w:ascii="黑体" w:hAnsi="宋体" w:eastAsia="黑体" w:cs="黑体"/>
          <w:bCs/>
          <w:color w:val="FF0000"/>
          <w:kern w:val="0"/>
          <w:szCs w:val="21"/>
        </w:rPr>
      </w:pPr>
      <w:r>
        <w:rPr>
          <w:rFonts w:hint="eastAsia" w:ascii="黑体" w:hAnsi="宋体" w:eastAsia="黑体" w:cs="黑体"/>
          <w:bCs/>
          <w:color w:val="FF0000"/>
          <w:kern w:val="0"/>
          <w:szCs w:val="21"/>
          <w:lang w:bidi="ar"/>
        </w:rPr>
        <w:t>第二处，在“项目名称”下划线处如实填写采购文件中确定的项目名称。对于分包方式面向中小企业采购的项目，应标明中小企业的具体分包内容；对于以联合体方式面向中小企业采购的项目，应标明联合体中中小企业所承担的具体内容；</w:t>
      </w:r>
    </w:p>
    <w:p w14:paraId="682F4310">
      <w:pPr>
        <w:ind w:firstLine="420" w:firstLineChars="200"/>
        <w:outlineLvl w:val="3"/>
        <w:rPr>
          <w:rFonts w:ascii="黑体" w:hAnsi="宋体" w:eastAsia="黑体" w:cs="黑体"/>
          <w:bCs/>
          <w:color w:val="FF0000"/>
          <w:kern w:val="0"/>
          <w:szCs w:val="21"/>
        </w:rPr>
      </w:pPr>
      <w:r>
        <w:rPr>
          <w:rFonts w:hint="eastAsia" w:ascii="黑体" w:hAnsi="宋体" w:eastAsia="黑体" w:cs="黑体"/>
          <w:bCs/>
          <w:color w:val="FF0000"/>
          <w:kern w:val="0"/>
          <w:szCs w:val="21"/>
          <w:lang w:bidi="ar"/>
        </w:rPr>
        <w:t>第三处，在“标的名称”下划线处填写所采购标的具体名称（以招标文件第一册第三章用户需求书“服务需求明细”的“服务需求名称（标的名称）”一栏为准）；如果涉及多项服务（标的）为同一企业承接的，“标的名称”下划线处可以如实填写多项服务；对于分包方式面向中小企业采购的项目，“标的名称”应填写采购文件中注明的分包给中小企业的采购标的名称；对于以联合体方式面向中小企业采购的项目“标的名称”应填写采购文件中注明的联合体中中小企业承担的采购标的名称。</w:t>
      </w:r>
    </w:p>
    <w:p w14:paraId="0058D7A9">
      <w:pPr>
        <w:ind w:firstLine="420" w:firstLineChars="200"/>
        <w:outlineLvl w:val="3"/>
        <w:rPr>
          <w:rFonts w:ascii="黑体" w:hAnsi="宋体" w:eastAsia="黑体" w:cs="黑体"/>
          <w:bCs/>
          <w:color w:val="FF0000"/>
          <w:kern w:val="0"/>
          <w:szCs w:val="21"/>
        </w:rPr>
      </w:pPr>
      <w:r>
        <w:rPr>
          <w:rFonts w:hint="eastAsia" w:ascii="黑体" w:hAnsi="宋体" w:eastAsia="黑体" w:cs="黑体"/>
          <w:bCs/>
          <w:color w:val="FF0000"/>
          <w:kern w:val="0"/>
          <w:szCs w:val="21"/>
          <w:lang w:bidi="ar"/>
        </w:rPr>
        <w:t>第四处，在“采购文件中明确的所属行业”下划线处填写采购标的对应的中小企业划分标准所属行业（所属行业以招标文件第一册第三章用户需求书“服务需求明细”的“标的所属行业”一栏为准），并应确保与采购标的涉及的服务承接商本身的所属行业保持一致。对于分包方式面向中小企业采购的项目，“采购文件中明确的所属行业”应按照采购文件中注明的分包给中小企业的采购标的所属行业填写，并应确保与该分包部分采购标的涉及的服务承接商本身的所属行业保持一致；对于以联合体方式面向中小企业采购的项目，“采购文件中明确的所属行业”应按照采购文件中注明的联合体中中小企业承担的采购标的所属行业填写，并应确保与该联合体部分采购标的涉及的服务承接商本身的所属行业保持一致；</w:t>
      </w:r>
    </w:p>
    <w:p w14:paraId="76FEDE99">
      <w:pPr>
        <w:ind w:firstLine="420" w:firstLineChars="200"/>
        <w:outlineLvl w:val="3"/>
        <w:rPr>
          <w:rFonts w:ascii="黑体" w:hAnsi="宋体" w:eastAsia="黑体" w:cs="黑体"/>
          <w:bCs/>
          <w:color w:val="FF0000"/>
          <w:kern w:val="0"/>
          <w:szCs w:val="21"/>
        </w:rPr>
      </w:pPr>
      <w:r>
        <w:rPr>
          <w:rFonts w:hint="eastAsia" w:ascii="黑体" w:hAnsi="宋体" w:eastAsia="黑体" w:cs="黑体"/>
          <w:bCs/>
          <w:color w:val="FF0000"/>
          <w:kern w:val="0"/>
          <w:szCs w:val="21"/>
          <w:lang w:bidi="ar"/>
        </w:rPr>
        <w:t>第五处，在“企业名称”下划线处如实填写</w:t>
      </w:r>
      <w:r>
        <w:rPr>
          <w:rFonts w:hint="eastAsia" w:ascii="黑体" w:hAnsi="宋体" w:eastAsia="黑体" w:cs="黑体"/>
          <w:b/>
          <w:color w:val="FF0000"/>
          <w:kern w:val="0"/>
          <w:szCs w:val="21"/>
          <w:lang w:bidi="ar"/>
        </w:rPr>
        <w:t>服务承接商名称。</w:t>
      </w:r>
      <w:r>
        <w:rPr>
          <w:rFonts w:hint="eastAsia" w:ascii="黑体" w:hAnsi="宋体" w:eastAsia="黑体" w:cs="黑体"/>
          <w:bCs/>
          <w:color w:val="FF0000"/>
          <w:kern w:val="0"/>
          <w:szCs w:val="21"/>
          <w:lang w:bidi="ar"/>
        </w:rPr>
        <w:t>对于分包方式面向中小企业采购的项目，“企业名称”应填写分包部分采购标的对应的服务承接商；对于以联合体方式面向中小企业采购的项目，“企业名称”应填写联合体中中小企业承担采购标的对应的服务承接商；</w:t>
      </w:r>
    </w:p>
    <w:p w14:paraId="48C685EE">
      <w:pPr>
        <w:ind w:firstLine="420" w:firstLineChars="200"/>
        <w:outlineLvl w:val="3"/>
        <w:rPr>
          <w:rFonts w:ascii="黑体" w:hAnsi="宋体" w:eastAsia="黑体" w:cs="黑体"/>
          <w:bCs/>
          <w:color w:val="FF0000"/>
          <w:kern w:val="0"/>
          <w:szCs w:val="21"/>
        </w:rPr>
      </w:pPr>
      <w:r>
        <w:rPr>
          <w:rFonts w:hint="eastAsia" w:ascii="黑体" w:hAnsi="宋体" w:eastAsia="黑体" w:cs="黑体"/>
          <w:bCs/>
          <w:color w:val="FF0000"/>
          <w:kern w:val="0"/>
          <w:szCs w:val="21"/>
          <w:lang w:bidi="ar"/>
        </w:rPr>
        <w:t>第六、七、八处，在“从业人员”、“营业收入”、“资产总额”下划线处如实填写从业人员、营业收入、资产总额。从业人员、资产总额指标以上年度末数据为依据，营业收入指标以上年度累计数据为依据。无上年度数据的新成立企业可不填报。</w:t>
      </w:r>
    </w:p>
    <w:p w14:paraId="213A543C">
      <w:pPr>
        <w:ind w:firstLine="420" w:firstLineChars="200"/>
        <w:outlineLvl w:val="3"/>
        <w:rPr>
          <w:rFonts w:ascii="黑体" w:hAnsi="宋体" w:eastAsia="黑体" w:cs="黑体"/>
          <w:bCs/>
          <w:color w:val="FF0000"/>
          <w:kern w:val="0"/>
          <w:szCs w:val="21"/>
        </w:rPr>
      </w:pPr>
      <w:r>
        <w:rPr>
          <w:rFonts w:hint="eastAsia" w:ascii="黑体" w:hAnsi="宋体" w:eastAsia="黑体" w:cs="黑体"/>
          <w:bCs/>
          <w:color w:val="FF0000"/>
          <w:kern w:val="0"/>
          <w:szCs w:val="21"/>
          <w:lang w:bidi="ar"/>
        </w:rPr>
        <w:t>第九处，在“中型企业、小型企业、微型企业”下划线处应依据企业上年度从业人员、营业收入、资产总额等指标，按照《中小企业划型标准规定》（工信部联企业〔2011〕300号）、《金融业企业划型标准规定》（银发〔2015〕309号），判断《中小企业声明函》载明的服务承接商是否属于采购文件所属行业的中型企业/小型企业/微型企业。</w:t>
      </w:r>
    </w:p>
    <w:p w14:paraId="309CCCC2">
      <w:pPr>
        <w:pStyle w:val="20"/>
        <w:widowControl/>
        <w:ind w:firstLine="420" w:firstLineChars="200"/>
        <w:rPr>
          <w:rFonts w:ascii="黑体" w:hAnsi="宋体" w:eastAsia="黑体" w:cs="黑体"/>
          <w:bCs/>
          <w:color w:val="FF0000"/>
          <w:kern w:val="0"/>
          <w:szCs w:val="21"/>
        </w:rPr>
      </w:pPr>
      <w:r>
        <w:rPr>
          <w:rFonts w:hint="eastAsia" w:ascii="黑体" w:hAnsi="宋体" w:eastAsia="黑体" w:cs="黑体"/>
          <w:bCs/>
          <w:color w:val="FF0000"/>
          <w:kern w:val="0"/>
          <w:szCs w:val="21"/>
        </w:rPr>
        <w:t>（2）对于已纳入统计部门统计范围的企业，所属行业、从业人员、营业收入、资产总额、规模类型应与统计部门报表保持一致。对于未纳入统计部门统计范围的企业，应对照《国民经济行业分类》确定所属行业，当企业从事两种以上的经济活动时，按照企业从事的主要活动确定所属行业；从业人员、营业收入、资产总额应按照上年度末实际情况填报，并应确保在争议纠纷处理时，可提供相关数据的来源依据。</w:t>
      </w:r>
    </w:p>
    <w:p w14:paraId="3890B676">
      <w:pPr>
        <w:ind w:firstLine="420" w:firstLineChars="200"/>
        <w:outlineLvl w:val="3"/>
        <w:rPr>
          <w:rFonts w:ascii="黑体" w:hAnsi="宋体" w:eastAsia="黑体" w:cs="黑体"/>
          <w:bCs/>
          <w:color w:val="FF0000"/>
          <w:kern w:val="0"/>
          <w:szCs w:val="21"/>
        </w:rPr>
      </w:pPr>
      <w:r>
        <w:rPr>
          <w:rFonts w:hint="eastAsia" w:ascii="黑体" w:hAnsi="宋体" w:eastAsia="黑体" w:cs="黑体"/>
          <w:bCs/>
          <w:color w:val="FF0000"/>
          <w:kern w:val="0"/>
          <w:szCs w:val="21"/>
          <w:lang w:bidi="ar"/>
        </w:rPr>
        <w:t>（3）事业单位、社会组织等非企业主体不享受中小企业扶持政策。</w:t>
      </w:r>
    </w:p>
    <w:p w14:paraId="3CF780FB">
      <w:pPr>
        <w:ind w:firstLine="420" w:firstLineChars="200"/>
        <w:outlineLvl w:val="3"/>
        <w:rPr>
          <w:rFonts w:ascii="黑体" w:hAnsi="宋体" w:eastAsia="黑体" w:cs="黑体"/>
          <w:bCs/>
          <w:color w:val="FF0000"/>
          <w:kern w:val="0"/>
          <w:szCs w:val="21"/>
        </w:rPr>
      </w:pPr>
      <w:r>
        <w:rPr>
          <w:rFonts w:hint="eastAsia" w:ascii="黑体" w:hAnsi="宋体" w:eastAsia="黑体" w:cs="黑体"/>
          <w:bCs/>
          <w:color w:val="FF0000"/>
          <w:kern w:val="0"/>
          <w:szCs w:val="21"/>
          <w:lang w:bidi="ar"/>
        </w:rPr>
        <w:t>（4）声明是残疾人福利性单位须填写《残疾人福利性单位声明函》的相关内容，具体参照以上《中小企业声明函》填写要求执行。</w:t>
      </w:r>
    </w:p>
    <w:p w14:paraId="5BEEEFD0">
      <w:pPr>
        <w:ind w:firstLine="420" w:firstLineChars="200"/>
        <w:outlineLvl w:val="3"/>
        <w:rPr>
          <w:rFonts w:ascii="黑体" w:hAnsi="宋体" w:eastAsia="黑体" w:cs="黑体"/>
          <w:bCs/>
          <w:color w:val="FF0000"/>
          <w:kern w:val="0"/>
          <w:szCs w:val="21"/>
        </w:rPr>
      </w:pPr>
      <w:r>
        <w:rPr>
          <w:rFonts w:hint="eastAsia" w:ascii="黑体" w:hAnsi="宋体" w:eastAsia="黑体" w:cs="黑体"/>
          <w:bCs/>
          <w:color w:val="FF0000"/>
          <w:kern w:val="0"/>
          <w:szCs w:val="21"/>
          <w:lang w:bidi="ar"/>
        </w:rPr>
        <w:t>（5）声明是监狱企业须填写《监狱企业声明函》的三项内容（填写位置的字体已加粗），具体参照以上《中小企业声明函》填写要求执行。</w:t>
      </w:r>
    </w:p>
    <w:p w14:paraId="20B66604">
      <w:pPr>
        <w:ind w:firstLine="420" w:firstLineChars="200"/>
        <w:outlineLvl w:val="3"/>
        <w:rPr>
          <w:rFonts w:ascii="黑体" w:hAnsi="宋体" w:eastAsia="黑体" w:cs="黑体"/>
          <w:bCs/>
          <w:color w:val="FF0000"/>
          <w:kern w:val="0"/>
          <w:szCs w:val="21"/>
        </w:rPr>
      </w:pPr>
      <w:r>
        <w:rPr>
          <w:rFonts w:hint="eastAsia" w:ascii="黑体" w:hAnsi="宋体" w:eastAsia="黑体" w:cs="黑体"/>
          <w:bCs/>
          <w:color w:val="FF0000"/>
          <w:kern w:val="0"/>
          <w:szCs w:val="21"/>
          <w:lang w:bidi="ar"/>
        </w:rPr>
        <w:t>5、本项目属于服务类项目，相关服务承接商应当为中小企业或残疾人福利性单位或监狱企业，如包含硬件设备、产品等货物采购的，不再对其中涉及的货物制造商作出要求。</w:t>
      </w:r>
    </w:p>
    <w:p w14:paraId="54E1BF13">
      <w:pPr>
        <w:ind w:firstLine="420" w:firstLineChars="200"/>
        <w:outlineLvl w:val="3"/>
        <w:rPr>
          <w:rFonts w:ascii="黑体" w:hAnsi="宋体" w:eastAsia="黑体" w:cs="黑体"/>
          <w:bCs/>
          <w:color w:val="FF0000"/>
          <w:kern w:val="0"/>
          <w:szCs w:val="21"/>
        </w:rPr>
      </w:pPr>
      <w:r>
        <w:rPr>
          <w:rFonts w:hint="eastAsia" w:ascii="黑体" w:hAnsi="宋体" w:eastAsia="黑体" w:cs="黑体"/>
          <w:bCs/>
          <w:color w:val="FF0000"/>
          <w:kern w:val="0"/>
          <w:szCs w:val="21"/>
          <w:lang w:bidi="ar"/>
        </w:rPr>
        <w:t>6、若本项目属于</w:t>
      </w:r>
      <w:r>
        <w:rPr>
          <w:rFonts w:hint="eastAsia" w:ascii="黑体" w:hAnsi="宋体" w:eastAsia="黑体" w:cs="黑体"/>
          <w:bCs/>
          <w:color w:val="FF0000"/>
          <w:kern w:val="0"/>
          <w:szCs w:val="21"/>
        </w:rPr>
        <w:t>专门面向中小企业、残疾人福利性单位或监狱企业，则声明函有效性由采购人或代理机构判定，如判定声明函无效的，相关供应商将作资格审查不通过处理；若本项目非专门面向中小企业、残疾人福利性单位或监狱企业，声明函的有效性由评审委员会判定，如评审委员会判定声明函无效，相关供应商不享受价格扣除（但不作投标无效处理）。</w:t>
      </w:r>
    </w:p>
    <w:p w14:paraId="3A4648B6">
      <w:pPr>
        <w:ind w:firstLine="420" w:firstLineChars="200"/>
        <w:outlineLvl w:val="3"/>
        <w:rPr>
          <w:rFonts w:ascii="黑体" w:hAnsi="宋体" w:eastAsia="黑体" w:cs="黑体"/>
          <w:bCs/>
          <w:color w:val="FF0000"/>
          <w:kern w:val="0"/>
          <w:szCs w:val="21"/>
        </w:rPr>
      </w:pPr>
      <w:r>
        <w:rPr>
          <w:rFonts w:hint="eastAsia" w:ascii="黑体" w:hAnsi="宋体" w:eastAsia="黑体" w:cs="黑体"/>
          <w:bCs/>
          <w:color w:val="FF0000"/>
          <w:kern w:val="0"/>
          <w:szCs w:val="21"/>
          <w:lang w:bidi="ar"/>
        </w:rPr>
        <w:t>7、采购人、代理机构、评审委员会在依法进行资格审查、评审过程中，发现《中小企业声明函》存在明显笔误或含义不明确的，应按规定要求供应商进行澄清、说明或补正。澄清修改后符合中小企业条件的供应商，可以享受中小企业扶持政策。</w:t>
      </w:r>
    </w:p>
    <w:p w14:paraId="55E814CF">
      <w:pPr>
        <w:ind w:firstLine="420" w:firstLineChars="200"/>
        <w:rPr>
          <w:rFonts w:ascii="黑体" w:hAnsi="黑体" w:eastAsia="黑体" w:cs="黑体"/>
          <w:color w:val="FF0000"/>
        </w:rPr>
      </w:pPr>
    </w:p>
    <w:p w14:paraId="0A2F9115">
      <w:pPr>
        <w:pStyle w:val="2"/>
      </w:pPr>
    </w:p>
    <w:p w14:paraId="53F8EF19">
      <w:pPr>
        <w:numPr>
          <w:ilvl w:val="0"/>
          <w:numId w:val="4"/>
        </w:numPr>
        <w:jc w:val="center"/>
        <w:outlineLvl w:val="3"/>
      </w:pPr>
      <w:r>
        <w:rPr>
          <w:rFonts w:hint="eastAsia" w:cs="宋体"/>
          <w:b/>
          <w:sz w:val="24"/>
          <w:lang w:bidi="ar"/>
        </w:rPr>
        <w:t>中小企业声明函（服务）</w:t>
      </w:r>
    </w:p>
    <w:p w14:paraId="5B60149B">
      <w:pPr>
        <w:spacing w:line="360" w:lineRule="auto"/>
        <w:ind w:firstLine="420" w:firstLineChars="200"/>
        <w:outlineLvl w:val="3"/>
        <w:rPr>
          <w:rFonts w:ascii="宋体" w:hAnsi="宋体" w:cs="宋体"/>
          <w:szCs w:val="21"/>
        </w:rPr>
      </w:pPr>
      <w:r>
        <w:rPr>
          <w:rFonts w:hint="eastAsia" w:ascii="宋体" w:hAnsi="宋体" w:cs="宋体"/>
          <w:szCs w:val="21"/>
          <w:lang w:bidi="ar"/>
        </w:rPr>
        <w:t>本公司（联合体）郑重声明，根据《政府采购促进中小企业发展管理办法》（财库﹝2020﹞46号）的规定，本公司（联合体）参加</w:t>
      </w:r>
      <w:r>
        <w:rPr>
          <w:rFonts w:hint="eastAsia" w:ascii="宋体" w:hAnsi="宋体" w:cs="宋体"/>
          <w:b/>
          <w:bCs/>
          <w:i/>
          <w:iCs/>
          <w:szCs w:val="21"/>
          <w:u w:val="single"/>
          <w:lang w:bidi="ar"/>
        </w:rPr>
        <w:t xml:space="preserve">    （单位名称）    </w:t>
      </w:r>
      <w:r>
        <w:rPr>
          <w:rFonts w:hint="eastAsia" w:ascii="宋体" w:hAnsi="宋体" w:cs="宋体"/>
          <w:szCs w:val="21"/>
          <w:lang w:bidi="ar"/>
        </w:rPr>
        <w:t>的</w:t>
      </w:r>
      <w:r>
        <w:rPr>
          <w:rFonts w:hint="eastAsia" w:ascii="宋体" w:hAnsi="宋体" w:cs="宋体"/>
          <w:b/>
          <w:bCs/>
          <w:i/>
          <w:iCs/>
          <w:szCs w:val="21"/>
          <w:u w:val="single"/>
          <w:lang w:bidi="ar"/>
        </w:rPr>
        <w:t xml:space="preserve">    （项目名称）    </w:t>
      </w:r>
      <w:r>
        <w:rPr>
          <w:rFonts w:hint="eastAsia" w:ascii="宋体" w:hAnsi="宋体" w:cs="宋体"/>
          <w:szCs w:val="21"/>
          <w:lang w:bidi="ar"/>
        </w:rPr>
        <w:t>采购活动，服务全部由符合政策要求的中小企业承接。相关企业（含联合体中的中小企业、签订分包意向协议的中小企业）的具体情况如下：</w:t>
      </w:r>
    </w:p>
    <w:p w14:paraId="69E9B901">
      <w:pPr>
        <w:spacing w:line="360" w:lineRule="auto"/>
        <w:ind w:firstLine="420" w:firstLineChars="200"/>
        <w:outlineLvl w:val="3"/>
        <w:rPr>
          <w:rFonts w:ascii="宋体" w:hAnsi="宋体" w:cs="宋体"/>
          <w:szCs w:val="21"/>
        </w:rPr>
      </w:pPr>
      <w:r>
        <w:rPr>
          <w:rFonts w:hint="eastAsia" w:ascii="宋体" w:hAnsi="宋体" w:cs="宋体"/>
          <w:szCs w:val="21"/>
          <w:lang w:bidi="ar"/>
        </w:rPr>
        <w:t>1.</w:t>
      </w:r>
      <w:r>
        <w:rPr>
          <w:rFonts w:hint="eastAsia" w:ascii="宋体" w:hAnsi="宋体" w:cs="宋体"/>
          <w:b/>
          <w:bCs/>
          <w:i/>
          <w:iCs/>
          <w:szCs w:val="21"/>
          <w:u w:val="single"/>
          <w:lang w:bidi="ar"/>
        </w:rPr>
        <w:t xml:space="preserve">    （标的名称）     </w:t>
      </w:r>
      <w:r>
        <w:rPr>
          <w:rFonts w:hint="eastAsia" w:ascii="宋体" w:hAnsi="宋体" w:cs="宋体"/>
          <w:szCs w:val="21"/>
          <w:lang w:bidi="ar"/>
        </w:rPr>
        <w:t>，属于</w:t>
      </w:r>
      <w:r>
        <w:rPr>
          <w:rFonts w:hint="eastAsia" w:ascii="宋体" w:hAnsi="宋体" w:cs="宋体"/>
          <w:b/>
          <w:bCs/>
          <w:i/>
          <w:iCs/>
          <w:szCs w:val="21"/>
          <w:u w:val="single"/>
          <w:lang w:bidi="ar"/>
        </w:rPr>
        <w:t xml:space="preserve">    （采购文件中明确的所属行业）    </w:t>
      </w:r>
      <w:r>
        <w:rPr>
          <w:rFonts w:hint="eastAsia" w:ascii="宋体" w:hAnsi="宋体" w:cs="宋体"/>
          <w:szCs w:val="21"/>
          <w:lang w:bidi="ar"/>
        </w:rPr>
        <w:t>行业；承接企业为</w:t>
      </w:r>
      <w:r>
        <w:rPr>
          <w:rFonts w:hint="eastAsia" w:ascii="宋体" w:hAnsi="宋体" w:cs="宋体"/>
          <w:b/>
          <w:bCs/>
          <w:i/>
          <w:iCs/>
          <w:szCs w:val="21"/>
          <w:u w:val="single"/>
          <w:lang w:bidi="ar"/>
        </w:rPr>
        <w:t xml:space="preserve">    （企业名称，要求承接企业本身所属行业应当与招标文件要求的行业相一致）    </w:t>
      </w:r>
      <w:r>
        <w:rPr>
          <w:rFonts w:hint="eastAsia" w:ascii="宋体" w:hAnsi="宋体" w:cs="宋体"/>
          <w:szCs w:val="21"/>
          <w:lang w:bidi="ar"/>
        </w:rPr>
        <w:t>，从业人员</w:t>
      </w:r>
      <w:r>
        <w:rPr>
          <w:rFonts w:hint="eastAsia" w:ascii="宋体" w:hAnsi="宋体" w:cs="宋体"/>
          <w:b/>
          <w:bCs/>
          <w:i/>
          <w:iCs/>
          <w:szCs w:val="21"/>
          <w:u w:val="single"/>
          <w:lang w:bidi="ar"/>
        </w:rPr>
        <w:t xml:space="preserve">        </w:t>
      </w:r>
      <w:r>
        <w:rPr>
          <w:rFonts w:hint="eastAsia" w:ascii="宋体" w:hAnsi="宋体" w:cs="宋体"/>
          <w:szCs w:val="21"/>
          <w:lang w:bidi="ar"/>
        </w:rPr>
        <w:t>人，营业收入为</w:t>
      </w:r>
      <w:r>
        <w:rPr>
          <w:rFonts w:hint="eastAsia" w:ascii="宋体" w:hAnsi="宋体" w:cs="宋体"/>
          <w:b/>
          <w:bCs/>
          <w:i/>
          <w:iCs/>
          <w:szCs w:val="21"/>
          <w:u w:val="single"/>
          <w:lang w:bidi="ar"/>
        </w:rPr>
        <w:t xml:space="preserve">        </w:t>
      </w:r>
      <w:r>
        <w:rPr>
          <w:rFonts w:hint="eastAsia" w:ascii="宋体" w:hAnsi="宋体" w:cs="宋体"/>
          <w:szCs w:val="21"/>
          <w:lang w:bidi="ar"/>
        </w:rPr>
        <w:t>万元，资产总额为</w:t>
      </w:r>
      <w:r>
        <w:rPr>
          <w:rFonts w:hint="eastAsia" w:ascii="宋体" w:hAnsi="宋体" w:cs="宋体"/>
          <w:b/>
          <w:bCs/>
          <w:i/>
          <w:iCs/>
          <w:szCs w:val="21"/>
          <w:u w:val="single"/>
          <w:lang w:bidi="ar"/>
        </w:rPr>
        <w:t xml:space="preserve">        </w:t>
      </w:r>
      <w:r>
        <w:rPr>
          <w:rFonts w:hint="eastAsia" w:ascii="宋体" w:hAnsi="宋体" w:cs="宋体"/>
          <w:szCs w:val="21"/>
          <w:lang w:bidi="ar"/>
        </w:rPr>
        <w:t>万元，属于</w:t>
      </w:r>
      <w:r>
        <w:rPr>
          <w:rFonts w:hint="eastAsia" w:ascii="宋体" w:hAnsi="宋体" w:cs="宋体"/>
          <w:b/>
          <w:bCs/>
          <w:i/>
          <w:iCs/>
          <w:szCs w:val="21"/>
          <w:u w:val="single"/>
          <w:lang w:bidi="ar"/>
        </w:rPr>
        <w:t xml:space="preserve">    （中型企业、小型企业、微型企业）    </w:t>
      </w:r>
      <w:r>
        <w:rPr>
          <w:rFonts w:hint="eastAsia" w:ascii="宋体" w:hAnsi="宋体" w:cs="宋体"/>
          <w:szCs w:val="21"/>
          <w:lang w:bidi="ar"/>
        </w:rPr>
        <w:t>；</w:t>
      </w:r>
    </w:p>
    <w:p w14:paraId="3DB4D406">
      <w:pPr>
        <w:spacing w:line="360" w:lineRule="auto"/>
        <w:ind w:firstLine="420" w:firstLineChars="200"/>
        <w:outlineLvl w:val="3"/>
        <w:rPr>
          <w:rFonts w:ascii="宋体" w:hAnsi="宋体" w:cs="宋体"/>
          <w:szCs w:val="21"/>
        </w:rPr>
      </w:pPr>
      <w:r>
        <w:rPr>
          <w:rFonts w:hint="eastAsia" w:ascii="宋体" w:hAnsi="宋体" w:cs="宋体"/>
          <w:szCs w:val="21"/>
          <w:lang w:bidi="ar"/>
        </w:rPr>
        <w:t>2.</w:t>
      </w:r>
      <w:r>
        <w:rPr>
          <w:rFonts w:hint="eastAsia" w:ascii="宋体" w:hAnsi="宋体" w:cs="宋体"/>
          <w:b/>
          <w:bCs/>
          <w:i/>
          <w:iCs/>
          <w:szCs w:val="21"/>
          <w:u w:val="single"/>
          <w:lang w:bidi="ar"/>
        </w:rPr>
        <w:t xml:space="preserve">    （标的名称）     </w:t>
      </w:r>
      <w:r>
        <w:rPr>
          <w:rFonts w:hint="eastAsia" w:ascii="宋体" w:hAnsi="宋体" w:cs="宋体"/>
          <w:szCs w:val="21"/>
          <w:lang w:bidi="ar"/>
        </w:rPr>
        <w:t>，属于</w:t>
      </w:r>
      <w:r>
        <w:rPr>
          <w:rFonts w:hint="eastAsia" w:ascii="宋体" w:hAnsi="宋体" w:cs="宋体"/>
          <w:b/>
          <w:bCs/>
          <w:i/>
          <w:iCs/>
          <w:szCs w:val="21"/>
          <w:u w:val="single"/>
          <w:lang w:bidi="ar"/>
        </w:rPr>
        <w:t xml:space="preserve">    （采购文件中明确的所属行业）    </w:t>
      </w:r>
      <w:r>
        <w:rPr>
          <w:rFonts w:hint="eastAsia" w:ascii="宋体" w:hAnsi="宋体" w:cs="宋体"/>
          <w:szCs w:val="21"/>
          <w:lang w:bidi="ar"/>
        </w:rPr>
        <w:t>行业；承接企业为</w:t>
      </w:r>
      <w:r>
        <w:rPr>
          <w:rFonts w:hint="eastAsia" w:ascii="宋体" w:hAnsi="宋体" w:cs="宋体"/>
          <w:b/>
          <w:bCs/>
          <w:i/>
          <w:iCs/>
          <w:szCs w:val="21"/>
          <w:u w:val="single"/>
          <w:lang w:bidi="ar"/>
        </w:rPr>
        <w:t xml:space="preserve">    （企业名称，要求承接企业本身所属行业应当与招标文件要求的行业相一致）    </w:t>
      </w:r>
      <w:r>
        <w:rPr>
          <w:rFonts w:hint="eastAsia" w:ascii="宋体" w:hAnsi="宋体" w:cs="宋体"/>
          <w:szCs w:val="21"/>
          <w:lang w:bidi="ar"/>
        </w:rPr>
        <w:t>，从业人员</w:t>
      </w:r>
      <w:r>
        <w:rPr>
          <w:rFonts w:hint="eastAsia" w:ascii="宋体" w:hAnsi="宋体" w:cs="宋体"/>
          <w:b/>
          <w:bCs/>
          <w:i/>
          <w:iCs/>
          <w:szCs w:val="21"/>
          <w:u w:val="single"/>
          <w:lang w:bidi="ar"/>
        </w:rPr>
        <w:t xml:space="preserve">        </w:t>
      </w:r>
      <w:r>
        <w:rPr>
          <w:rFonts w:hint="eastAsia" w:ascii="宋体" w:hAnsi="宋体" w:cs="宋体"/>
          <w:szCs w:val="21"/>
          <w:lang w:bidi="ar"/>
        </w:rPr>
        <w:t>人，营业收入为</w:t>
      </w:r>
      <w:r>
        <w:rPr>
          <w:rFonts w:hint="eastAsia" w:ascii="宋体" w:hAnsi="宋体" w:cs="宋体"/>
          <w:b/>
          <w:bCs/>
          <w:i/>
          <w:iCs/>
          <w:szCs w:val="21"/>
          <w:u w:val="single"/>
          <w:lang w:bidi="ar"/>
        </w:rPr>
        <w:t xml:space="preserve">        </w:t>
      </w:r>
      <w:r>
        <w:rPr>
          <w:rFonts w:hint="eastAsia" w:ascii="宋体" w:hAnsi="宋体" w:cs="宋体"/>
          <w:szCs w:val="21"/>
          <w:lang w:bidi="ar"/>
        </w:rPr>
        <w:t>万元，资产总额为</w:t>
      </w:r>
      <w:r>
        <w:rPr>
          <w:rFonts w:hint="eastAsia" w:ascii="宋体" w:hAnsi="宋体" w:cs="宋体"/>
          <w:b/>
          <w:bCs/>
          <w:i/>
          <w:iCs/>
          <w:szCs w:val="21"/>
          <w:u w:val="single"/>
          <w:lang w:bidi="ar"/>
        </w:rPr>
        <w:t xml:space="preserve">        </w:t>
      </w:r>
      <w:r>
        <w:rPr>
          <w:rFonts w:hint="eastAsia" w:ascii="宋体" w:hAnsi="宋体" w:cs="宋体"/>
          <w:szCs w:val="21"/>
          <w:lang w:bidi="ar"/>
        </w:rPr>
        <w:t>万元，属于</w:t>
      </w:r>
      <w:r>
        <w:rPr>
          <w:rFonts w:hint="eastAsia" w:ascii="宋体" w:hAnsi="宋体" w:cs="宋体"/>
          <w:b/>
          <w:bCs/>
          <w:i/>
          <w:iCs/>
          <w:szCs w:val="21"/>
          <w:u w:val="single"/>
          <w:lang w:bidi="ar"/>
        </w:rPr>
        <w:t xml:space="preserve">    （中型企业、小型企业、微型企业）    </w:t>
      </w:r>
      <w:r>
        <w:rPr>
          <w:rFonts w:hint="eastAsia" w:ascii="宋体" w:hAnsi="宋体" w:cs="宋体"/>
          <w:szCs w:val="21"/>
          <w:lang w:bidi="ar"/>
        </w:rPr>
        <w:t>；</w:t>
      </w:r>
    </w:p>
    <w:p w14:paraId="199BB3A5">
      <w:pPr>
        <w:spacing w:line="360" w:lineRule="auto"/>
        <w:ind w:firstLine="420" w:firstLineChars="200"/>
        <w:outlineLvl w:val="3"/>
        <w:rPr>
          <w:rFonts w:ascii="宋体" w:hAnsi="宋体" w:cs="宋体"/>
          <w:szCs w:val="21"/>
        </w:rPr>
      </w:pPr>
      <w:r>
        <w:rPr>
          <w:rFonts w:hint="eastAsia" w:ascii="宋体" w:hAnsi="宋体" w:cs="宋体"/>
          <w:szCs w:val="21"/>
          <w:lang w:bidi="ar"/>
        </w:rPr>
        <w:t>……</w:t>
      </w:r>
    </w:p>
    <w:p w14:paraId="03FE9753">
      <w:pPr>
        <w:spacing w:line="360" w:lineRule="auto"/>
        <w:ind w:firstLine="420" w:firstLineChars="200"/>
        <w:outlineLvl w:val="3"/>
        <w:rPr>
          <w:rFonts w:ascii="宋体" w:hAnsi="宋体" w:cs="宋体"/>
          <w:szCs w:val="21"/>
        </w:rPr>
      </w:pPr>
      <w:r>
        <w:rPr>
          <w:rFonts w:hint="eastAsia" w:ascii="宋体" w:hAnsi="宋体" w:cs="宋体"/>
          <w:szCs w:val="21"/>
          <w:lang w:bidi="ar"/>
        </w:rPr>
        <w:t>以上企业，不属于大企业的分支机构，不存在控股股东为大企业的情形，也不存在与大企业的负责人为同一人的情形。</w:t>
      </w:r>
    </w:p>
    <w:p w14:paraId="246CCB59">
      <w:pPr>
        <w:spacing w:line="360" w:lineRule="auto"/>
        <w:ind w:firstLine="420" w:firstLineChars="200"/>
        <w:outlineLvl w:val="3"/>
        <w:rPr>
          <w:rFonts w:ascii="宋体" w:hAnsi="宋体" w:cs="宋体"/>
          <w:szCs w:val="21"/>
        </w:rPr>
      </w:pPr>
      <w:r>
        <w:rPr>
          <w:rFonts w:hint="eastAsia" w:ascii="宋体" w:hAnsi="宋体" w:cs="宋体"/>
          <w:szCs w:val="21"/>
          <w:lang w:bidi="ar"/>
        </w:rPr>
        <w:t>本企业对上述声明内容的真实性负责。如有虚假，将依法承担相应责任。</w:t>
      </w:r>
    </w:p>
    <w:p w14:paraId="4062AABA">
      <w:pPr>
        <w:spacing w:line="360" w:lineRule="auto"/>
        <w:ind w:firstLine="420" w:firstLineChars="200"/>
        <w:outlineLvl w:val="3"/>
        <w:rPr>
          <w:rFonts w:ascii="宋体" w:hAnsi="宋体" w:cs="宋体"/>
          <w:szCs w:val="21"/>
          <w:lang w:bidi="ar"/>
        </w:rPr>
      </w:pPr>
      <w:bookmarkStart w:id="46" w:name="_Hlk73562275"/>
      <w:r>
        <w:rPr>
          <w:rFonts w:hint="eastAsia" w:ascii="宋体" w:hAnsi="宋体" w:cs="宋体"/>
          <w:szCs w:val="21"/>
          <w:lang w:bidi="ar"/>
        </w:rPr>
        <w:t>本投标人已知悉《政府采购促进中小企业发展管理办法》（财库〔2020〕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6"/>
    </w:p>
    <w:p w14:paraId="79DC48C0">
      <w:pPr>
        <w:pStyle w:val="2"/>
      </w:pPr>
    </w:p>
    <w:p w14:paraId="34306F63">
      <w:pPr>
        <w:ind w:firstLine="420" w:firstLineChars="200"/>
      </w:pPr>
    </w:p>
    <w:p w14:paraId="0DACB564">
      <w:pPr>
        <w:jc w:val="center"/>
        <w:outlineLvl w:val="3"/>
        <w:rPr>
          <w:b/>
          <w:sz w:val="24"/>
        </w:rPr>
      </w:pPr>
      <w:r>
        <w:rPr>
          <w:b/>
          <w:sz w:val="24"/>
          <w:lang w:bidi="ar"/>
        </w:rPr>
        <w:t>2</w:t>
      </w:r>
      <w:r>
        <w:rPr>
          <w:rFonts w:hint="eastAsia" w:cs="宋体"/>
          <w:b/>
          <w:sz w:val="24"/>
          <w:lang w:bidi="ar"/>
        </w:rPr>
        <w:t>、残疾人福利性单位声明函（服务类）</w:t>
      </w:r>
    </w:p>
    <w:p w14:paraId="2C697BFA">
      <w:pPr>
        <w:spacing w:line="360" w:lineRule="auto"/>
        <w:ind w:firstLine="420" w:firstLineChars="200"/>
        <w:rPr>
          <w:rFonts w:ascii="宋体" w:hAnsi="宋体" w:cs="宋体"/>
          <w:szCs w:val="21"/>
        </w:rPr>
      </w:pPr>
      <w:r>
        <w:rPr>
          <w:rFonts w:hint="eastAsia" w:ascii="宋体" w:hAnsi="宋体" w:cs="宋体"/>
          <w:szCs w:val="21"/>
          <w:lang w:bidi="ar"/>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宋体"/>
          <w:b/>
          <w:bCs/>
          <w:i/>
          <w:iCs/>
          <w:szCs w:val="21"/>
          <w:u w:val="single"/>
          <w:lang w:bidi="ar"/>
        </w:rPr>
        <w:t xml:space="preserve">    （单位名称）    </w:t>
      </w:r>
      <w:r>
        <w:rPr>
          <w:rFonts w:hint="eastAsia" w:ascii="宋体" w:hAnsi="宋体" w:cs="宋体"/>
          <w:szCs w:val="21"/>
          <w:lang w:bidi="ar"/>
        </w:rPr>
        <w:t>单位的</w:t>
      </w:r>
      <w:r>
        <w:rPr>
          <w:rFonts w:hint="eastAsia" w:ascii="宋体" w:hAnsi="宋体" w:cs="宋体"/>
          <w:b/>
          <w:bCs/>
          <w:i/>
          <w:iCs/>
          <w:szCs w:val="21"/>
          <w:u w:val="single"/>
          <w:lang w:bidi="ar"/>
        </w:rPr>
        <w:t xml:space="preserve">    （项目名称）    </w:t>
      </w:r>
      <w:r>
        <w:rPr>
          <w:rFonts w:hint="eastAsia" w:ascii="宋体" w:hAnsi="宋体" w:cs="宋体"/>
          <w:szCs w:val="21"/>
          <w:lang w:bidi="ar"/>
        </w:rPr>
        <w:t>项目采购活动由本单位提供服务。</w:t>
      </w:r>
    </w:p>
    <w:p w14:paraId="167D1AF5">
      <w:pPr>
        <w:spacing w:line="360" w:lineRule="auto"/>
        <w:ind w:firstLine="420" w:firstLineChars="200"/>
        <w:rPr>
          <w:rFonts w:ascii="宋体" w:hAnsi="宋体" w:cs="宋体"/>
          <w:szCs w:val="21"/>
        </w:rPr>
      </w:pPr>
      <w:r>
        <w:rPr>
          <w:rFonts w:hint="eastAsia" w:ascii="宋体" w:hAnsi="宋体" w:cs="宋体"/>
          <w:szCs w:val="21"/>
          <w:lang w:bidi="ar"/>
        </w:rPr>
        <w:t>本单位对上述声明的真实性负责。如有虚假，将依法承担相应责任。</w:t>
      </w:r>
    </w:p>
    <w:p w14:paraId="25C79455">
      <w:pPr>
        <w:spacing w:line="360" w:lineRule="auto"/>
        <w:ind w:firstLine="420" w:firstLineChars="200"/>
        <w:rPr>
          <w:rFonts w:ascii="宋体" w:hAnsi="宋体" w:cs="宋体"/>
          <w:szCs w:val="21"/>
        </w:rPr>
      </w:pPr>
      <w:r>
        <w:rPr>
          <w:rFonts w:hint="eastAsia" w:ascii="宋体" w:hAnsi="宋体" w:cs="宋体"/>
          <w:szCs w:val="21"/>
          <w:lang w:bidi="ar"/>
        </w:rPr>
        <w:t>本投标人已知悉《财政部民政部中国残疾人联合会关于促进残疾人就业政府采购政策的通知》（财库〔2017〕141号）的规定，承诺提供的声明函内容是真实的，如提供声明函内容不实，则依法追究相关法律责任。</w:t>
      </w:r>
    </w:p>
    <w:p w14:paraId="142FA519">
      <w:pPr>
        <w:ind w:firstLine="420" w:firstLineChars="200"/>
        <w:rPr>
          <w:rFonts w:ascii="宋体" w:hAnsi="宋体" w:cs="宋体"/>
          <w:szCs w:val="21"/>
        </w:rPr>
      </w:pPr>
    </w:p>
    <w:p w14:paraId="0B5BE2EB">
      <w:pPr>
        <w:ind w:firstLine="420" w:firstLineChars="200"/>
        <w:rPr>
          <w:rFonts w:ascii="宋体" w:hAnsi="宋体" w:cs="宋体"/>
          <w:szCs w:val="21"/>
        </w:rPr>
      </w:pPr>
    </w:p>
    <w:p w14:paraId="74B008A5">
      <w:pPr>
        <w:ind w:firstLine="420" w:firstLineChars="200"/>
        <w:rPr>
          <w:rFonts w:ascii="宋体" w:hAnsi="宋体" w:cs="宋体"/>
          <w:szCs w:val="21"/>
        </w:rPr>
      </w:pPr>
    </w:p>
    <w:p w14:paraId="17C43404">
      <w:pPr>
        <w:jc w:val="center"/>
        <w:outlineLvl w:val="3"/>
        <w:rPr>
          <w:b/>
          <w:sz w:val="24"/>
        </w:rPr>
      </w:pPr>
      <w:r>
        <w:rPr>
          <w:b/>
          <w:sz w:val="24"/>
          <w:lang w:bidi="ar"/>
        </w:rPr>
        <w:t>3</w:t>
      </w:r>
      <w:r>
        <w:rPr>
          <w:rFonts w:hint="eastAsia" w:cs="宋体"/>
          <w:b/>
          <w:sz w:val="24"/>
          <w:lang w:bidi="ar"/>
        </w:rPr>
        <w:t>、监狱企业声明函【服务类，监狱企业如需享受优惠政策，还须另行提供省级以上监狱管理局、戒毒管理局（含新疆生产建设兵团）出具的监狱企业证明文件】</w:t>
      </w:r>
    </w:p>
    <w:p w14:paraId="6EC494F5">
      <w:pPr>
        <w:ind w:firstLine="420" w:firstLineChars="200"/>
        <w:rPr>
          <w:rFonts w:ascii="宋体" w:hAnsi="宋体" w:cs="宋体"/>
          <w:szCs w:val="21"/>
        </w:rPr>
      </w:pPr>
      <w:r>
        <w:rPr>
          <w:rFonts w:hint="eastAsia" w:ascii="宋体" w:hAnsi="宋体" w:cs="宋体"/>
          <w:szCs w:val="21"/>
          <w:lang w:bidi="ar"/>
        </w:rPr>
        <w:t>本投标人郑重声明，根据《财政部司法部关于政府采购支持监狱企业发展有关问题的通知》（财库〔2014〕68号）的规定，本投标人</w:t>
      </w:r>
      <w:r>
        <w:rPr>
          <w:rFonts w:hint="eastAsia" w:ascii="宋体" w:hAnsi="宋体"/>
          <w:szCs w:val="21"/>
          <w:lang w:bidi="ar"/>
        </w:rPr>
        <w:t>参加</w:t>
      </w:r>
      <w:r>
        <w:rPr>
          <w:rFonts w:hint="eastAsia" w:ascii="宋体" w:hAnsi="宋体" w:cs="宋体"/>
          <w:b/>
          <w:bCs/>
          <w:szCs w:val="21"/>
          <w:u w:val="single"/>
          <w:lang w:bidi="ar"/>
        </w:rPr>
        <w:t>（采购人名称）</w:t>
      </w:r>
      <w:r>
        <w:rPr>
          <w:rFonts w:hint="eastAsia" w:ascii="宋体" w:hAnsi="宋体" w:cs="宋体"/>
          <w:szCs w:val="21"/>
          <w:lang w:bidi="ar"/>
        </w:rPr>
        <w:t>的</w:t>
      </w:r>
      <w:r>
        <w:rPr>
          <w:rFonts w:hint="eastAsia" w:ascii="宋体" w:hAnsi="宋体" w:cs="宋体"/>
          <w:b/>
          <w:bCs/>
          <w:szCs w:val="21"/>
          <w:u w:val="single"/>
          <w:lang w:bidi="ar"/>
        </w:rPr>
        <w:t>（项目名称）</w:t>
      </w:r>
      <w:r>
        <w:rPr>
          <w:rFonts w:hint="eastAsia" w:ascii="宋体" w:hAnsi="宋体" w:cs="宋体"/>
          <w:szCs w:val="21"/>
          <w:lang w:bidi="ar"/>
        </w:rPr>
        <w:t>采购活动，服务全部由符合政策要求的监狱企业承接。相关监狱企业的具体情况如下：</w:t>
      </w:r>
    </w:p>
    <w:p w14:paraId="353FA94E">
      <w:pPr>
        <w:ind w:firstLine="420" w:firstLineChars="200"/>
        <w:rPr>
          <w:rFonts w:ascii="宋体" w:hAnsi="宋体" w:cs="宋体"/>
          <w:szCs w:val="21"/>
        </w:rPr>
      </w:pPr>
      <w:r>
        <w:rPr>
          <w:rFonts w:hint="eastAsia" w:ascii="宋体" w:hAnsi="宋体" w:cs="宋体"/>
          <w:szCs w:val="21"/>
          <w:lang w:bidi="ar"/>
        </w:rPr>
        <w:t>1.</w:t>
      </w:r>
      <w:r>
        <w:rPr>
          <w:rFonts w:hint="eastAsia" w:ascii="宋体" w:hAnsi="宋体" w:cs="宋体"/>
          <w:b/>
          <w:bCs/>
          <w:szCs w:val="21"/>
          <w:u w:val="single"/>
          <w:lang w:bidi="ar"/>
        </w:rPr>
        <w:t xml:space="preserve"> </w:t>
      </w:r>
      <w:r>
        <w:rPr>
          <w:rFonts w:hint="eastAsia" w:ascii="宋体" w:hAnsi="宋体" w:cs="宋体"/>
          <w:b/>
          <w:bCs/>
          <w:i/>
          <w:iCs/>
          <w:szCs w:val="21"/>
          <w:u w:val="single"/>
          <w:lang w:bidi="ar"/>
        </w:rPr>
        <w:t>（标的名称</w:t>
      </w:r>
      <w:r>
        <w:rPr>
          <w:rFonts w:hint="eastAsia" w:ascii="宋体" w:hAnsi="宋体" w:cs="宋体"/>
          <w:b/>
          <w:bCs/>
          <w:szCs w:val="21"/>
          <w:u w:val="single"/>
          <w:lang w:bidi="ar"/>
        </w:rPr>
        <w:t>）</w:t>
      </w:r>
      <w:r>
        <w:rPr>
          <w:rFonts w:hint="eastAsia" w:ascii="宋体" w:hAnsi="宋体" w:cs="宋体"/>
          <w:szCs w:val="21"/>
          <w:lang w:bidi="ar"/>
        </w:rPr>
        <w:t xml:space="preserve"> ，承接单位为</w:t>
      </w:r>
      <w:r>
        <w:rPr>
          <w:rFonts w:hint="eastAsia" w:ascii="宋体" w:hAnsi="宋体" w:cs="宋体"/>
          <w:b/>
          <w:bCs/>
          <w:i/>
          <w:iCs/>
          <w:szCs w:val="21"/>
          <w:u w:val="single"/>
          <w:lang w:bidi="ar"/>
        </w:rPr>
        <w:t>（企业名称）</w:t>
      </w:r>
      <w:r>
        <w:rPr>
          <w:rFonts w:hint="eastAsia" w:ascii="宋体" w:hAnsi="宋体" w:cs="宋体"/>
          <w:szCs w:val="21"/>
          <w:lang w:bidi="ar"/>
        </w:rPr>
        <w:t>，属于</w:t>
      </w:r>
      <w:r>
        <w:rPr>
          <w:rFonts w:hint="eastAsia" w:ascii="宋体" w:hAnsi="宋体" w:cs="宋体"/>
          <w:b/>
          <w:bCs/>
          <w:i/>
          <w:iCs/>
          <w:szCs w:val="21"/>
          <w:u w:val="single"/>
          <w:lang w:bidi="ar"/>
        </w:rPr>
        <w:t>监狱企业</w:t>
      </w:r>
      <w:r>
        <w:rPr>
          <w:rFonts w:hint="eastAsia" w:ascii="宋体" w:hAnsi="宋体" w:cs="宋体"/>
          <w:szCs w:val="21"/>
          <w:lang w:bidi="ar"/>
        </w:rPr>
        <w:t>；</w:t>
      </w:r>
    </w:p>
    <w:p w14:paraId="5513BD12">
      <w:pPr>
        <w:ind w:firstLine="420" w:firstLineChars="200"/>
        <w:rPr>
          <w:rFonts w:ascii="宋体" w:hAnsi="宋体" w:cs="宋体"/>
          <w:szCs w:val="21"/>
        </w:rPr>
      </w:pPr>
      <w:r>
        <w:rPr>
          <w:rFonts w:hint="eastAsia" w:ascii="宋体" w:hAnsi="宋体" w:cs="宋体"/>
          <w:szCs w:val="21"/>
          <w:lang w:bidi="ar"/>
        </w:rPr>
        <w:t>2.</w:t>
      </w:r>
      <w:r>
        <w:rPr>
          <w:rFonts w:hint="eastAsia" w:ascii="宋体" w:hAnsi="宋体" w:cs="宋体"/>
          <w:b/>
          <w:bCs/>
          <w:szCs w:val="21"/>
          <w:u w:val="single"/>
          <w:lang w:bidi="ar"/>
        </w:rPr>
        <w:t xml:space="preserve"> </w:t>
      </w:r>
      <w:r>
        <w:rPr>
          <w:rFonts w:hint="eastAsia" w:ascii="宋体" w:hAnsi="宋体" w:cs="宋体"/>
          <w:b/>
          <w:bCs/>
          <w:i/>
          <w:iCs/>
          <w:szCs w:val="21"/>
          <w:u w:val="single"/>
          <w:lang w:bidi="ar"/>
        </w:rPr>
        <w:t>（标的名称）</w:t>
      </w:r>
      <w:r>
        <w:rPr>
          <w:rFonts w:hint="eastAsia" w:ascii="宋体" w:hAnsi="宋体" w:cs="宋体"/>
          <w:i/>
          <w:iCs/>
          <w:szCs w:val="21"/>
          <w:lang w:bidi="ar"/>
        </w:rPr>
        <w:t xml:space="preserve"> </w:t>
      </w:r>
      <w:r>
        <w:rPr>
          <w:rFonts w:hint="eastAsia" w:ascii="宋体" w:hAnsi="宋体" w:cs="宋体"/>
          <w:szCs w:val="21"/>
          <w:lang w:bidi="ar"/>
        </w:rPr>
        <w:t>，承接单位为</w:t>
      </w:r>
      <w:r>
        <w:rPr>
          <w:rFonts w:hint="eastAsia" w:ascii="宋体" w:hAnsi="宋体" w:cs="宋体"/>
          <w:b/>
          <w:bCs/>
          <w:i/>
          <w:iCs/>
          <w:szCs w:val="21"/>
          <w:u w:val="single"/>
          <w:lang w:bidi="ar"/>
        </w:rPr>
        <w:t>（企业名称）</w:t>
      </w:r>
      <w:r>
        <w:rPr>
          <w:rFonts w:hint="eastAsia" w:ascii="宋体" w:hAnsi="宋体" w:cs="宋体"/>
          <w:szCs w:val="21"/>
          <w:lang w:bidi="ar"/>
        </w:rPr>
        <w:t>，属于</w:t>
      </w:r>
      <w:r>
        <w:rPr>
          <w:rFonts w:hint="eastAsia" w:ascii="宋体" w:hAnsi="宋体" w:cs="宋体"/>
          <w:b/>
          <w:bCs/>
          <w:i/>
          <w:iCs/>
          <w:szCs w:val="21"/>
          <w:u w:val="single"/>
          <w:lang w:bidi="ar"/>
        </w:rPr>
        <w:t>监狱企业</w:t>
      </w:r>
      <w:r>
        <w:rPr>
          <w:rFonts w:hint="eastAsia" w:ascii="宋体" w:hAnsi="宋体" w:cs="宋体"/>
          <w:szCs w:val="21"/>
          <w:lang w:bidi="ar"/>
        </w:rPr>
        <w:t>。</w:t>
      </w:r>
    </w:p>
    <w:p w14:paraId="344A2378">
      <w:pPr>
        <w:ind w:firstLine="420" w:firstLineChars="200"/>
        <w:outlineLvl w:val="3"/>
        <w:rPr>
          <w:rFonts w:ascii="宋体" w:hAnsi="宋体" w:cs="宋体"/>
          <w:szCs w:val="21"/>
        </w:rPr>
      </w:pPr>
      <w:r>
        <w:rPr>
          <w:rFonts w:hint="eastAsia" w:ascii="宋体" w:hAnsi="宋体" w:cs="宋体"/>
          <w:szCs w:val="21"/>
          <w:lang w:bidi="ar"/>
        </w:rPr>
        <w:t xml:space="preserve">…… </w:t>
      </w:r>
    </w:p>
    <w:p w14:paraId="611CD463">
      <w:pPr>
        <w:ind w:firstLine="420" w:firstLineChars="200"/>
        <w:rPr>
          <w:rFonts w:ascii="宋体" w:hAnsi="宋体" w:cs="宋体"/>
          <w:szCs w:val="21"/>
        </w:rPr>
      </w:pPr>
      <w:r>
        <w:rPr>
          <w:rFonts w:hint="eastAsia" w:ascii="宋体" w:hAnsi="宋体"/>
          <w:szCs w:val="21"/>
          <w:lang w:bidi="ar"/>
        </w:rPr>
        <w:t>本投标人</w:t>
      </w:r>
      <w:r>
        <w:rPr>
          <w:rFonts w:hint="eastAsia" w:ascii="宋体" w:hAnsi="宋体" w:cs="宋体"/>
          <w:szCs w:val="21"/>
          <w:lang w:bidi="ar"/>
        </w:rPr>
        <w:t>对上述声明内容的真实性负责。如有虚假，将依法承担相应责任。</w:t>
      </w:r>
    </w:p>
    <w:p w14:paraId="25A273C7">
      <w:pPr>
        <w:ind w:firstLine="420" w:firstLineChars="200"/>
        <w:rPr>
          <w:rFonts w:ascii="宋体" w:hAnsi="宋体" w:cs="宋体"/>
          <w:szCs w:val="21"/>
        </w:rPr>
      </w:pPr>
      <w:r>
        <w:rPr>
          <w:rFonts w:hint="eastAsia" w:ascii="宋体" w:hAnsi="宋体" w:cs="宋体"/>
          <w:szCs w:val="21"/>
          <w:lang w:bidi="ar"/>
        </w:rPr>
        <w:t>附：省级以上监狱管理局、戒毒管理局（含新疆生产建设兵团）出具的监狱企业证明文件。</w:t>
      </w:r>
    </w:p>
    <w:p w14:paraId="6F287D17">
      <w:pPr>
        <w:rPr>
          <w:rFonts w:ascii="黑体" w:eastAsia="黑体"/>
          <w:sz w:val="24"/>
        </w:rPr>
      </w:pPr>
      <w:r>
        <w:rPr>
          <w:rFonts w:hint="eastAsia" w:ascii="黑体" w:eastAsia="黑体"/>
          <w:sz w:val="24"/>
        </w:rPr>
        <w:br w:type="page"/>
      </w:r>
    </w:p>
    <w:p w14:paraId="5BDD2645">
      <w:pPr>
        <w:pStyle w:val="5"/>
        <w:jc w:val="center"/>
        <w:rPr>
          <w:rFonts w:ascii="黑体" w:eastAsia="黑体"/>
          <w:b w:val="0"/>
          <w:sz w:val="24"/>
          <w:szCs w:val="24"/>
        </w:rPr>
      </w:pPr>
      <w:r>
        <w:rPr>
          <w:rFonts w:hint="eastAsia" w:ascii="黑体" w:eastAsia="黑体"/>
          <w:b w:val="0"/>
          <w:sz w:val="24"/>
          <w:szCs w:val="24"/>
        </w:rPr>
        <w:t>四、项目详细报价</w:t>
      </w:r>
    </w:p>
    <w:p w14:paraId="1382FB8F">
      <w:pPr>
        <w:pStyle w:val="3"/>
        <w:jc w:val="center"/>
        <w:rPr>
          <w:rFonts w:hint="eastAsia"/>
          <w:b/>
        </w:rPr>
      </w:pPr>
      <w:r>
        <w:rPr>
          <w:rFonts w:hint="eastAsia"/>
          <w:b/>
          <w:bCs/>
        </w:rPr>
        <w:t>（一）</w:t>
      </w:r>
      <w:r>
        <w:rPr>
          <w:rFonts w:hint="eastAsia"/>
          <w:b/>
        </w:rPr>
        <w:t>分项报价表</w:t>
      </w:r>
    </w:p>
    <w:p w14:paraId="782EA187">
      <w:pPr>
        <w:pStyle w:val="3"/>
        <w:jc w:val="left"/>
        <w:rPr>
          <w:rFonts w:hint="eastAsia"/>
          <w:b/>
        </w:rPr>
      </w:pPr>
      <w:r>
        <w:rPr>
          <w:rFonts w:hint="eastAsia"/>
          <w:b/>
        </w:rPr>
        <w:t>项目名称：</w:t>
      </w:r>
    </w:p>
    <w:p w14:paraId="70D84D35">
      <w:pPr>
        <w:pStyle w:val="3"/>
        <w:jc w:val="left"/>
        <w:rPr>
          <w:rFonts w:hint="eastAsia"/>
          <w:b/>
        </w:rPr>
      </w:pPr>
      <w:r>
        <w:rPr>
          <w:rFonts w:hint="eastAsia"/>
          <w:b/>
        </w:rPr>
        <w:t>项目编号：</w:t>
      </w:r>
    </w:p>
    <w:p w14:paraId="3BF16EEE">
      <w:pPr>
        <w:pStyle w:val="3"/>
        <w:jc w:val="left"/>
        <w:rPr>
          <w:rFonts w:hint="eastAsia"/>
          <w:b/>
        </w:rPr>
      </w:pPr>
      <w:r>
        <w:rPr>
          <w:rFonts w:hint="eastAsia"/>
          <w:b/>
        </w:rPr>
        <w:t>包号：</w:t>
      </w:r>
    </w:p>
    <w:tbl>
      <w:tblPr>
        <w:tblStyle w:val="13"/>
        <w:tblW w:w="9777" w:type="dxa"/>
        <w:jc w:val="center"/>
        <w:tblLayout w:type="fixed"/>
        <w:tblCellMar>
          <w:top w:w="0" w:type="dxa"/>
          <w:left w:w="108" w:type="dxa"/>
          <w:bottom w:w="0" w:type="dxa"/>
          <w:right w:w="108" w:type="dxa"/>
        </w:tblCellMar>
      </w:tblPr>
      <w:tblGrid>
        <w:gridCol w:w="618"/>
        <w:gridCol w:w="2367"/>
        <w:gridCol w:w="1551"/>
        <w:gridCol w:w="1608"/>
        <w:gridCol w:w="3633"/>
      </w:tblGrid>
      <w:tr w14:paraId="24C0DECA">
        <w:tblPrEx>
          <w:tblCellMar>
            <w:top w:w="0" w:type="dxa"/>
            <w:left w:w="108" w:type="dxa"/>
            <w:bottom w:w="0" w:type="dxa"/>
            <w:right w:w="108" w:type="dxa"/>
          </w:tblCellMar>
        </w:tblPrEx>
        <w:trPr>
          <w:trHeight w:val="285" w:hRule="atLeast"/>
          <w:jc w:val="center"/>
        </w:trPr>
        <w:tc>
          <w:tcPr>
            <w:tcW w:w="618" w:type="dxa"/>
            <w:tcBorders>
              <w:top w:val="single" w:color="auto" w:sz="8" w:space="0"/>
              <w:left w:val="single" w:color="auto" w:sz="8" w:space="0"/>
              <w:bottom w:val="single" w:color="auto" w:sz="4" w:space="0"/>
              <w:right w:val="single" w:color="auto" w:sz="4" w:space="0"/>
            </w:tcBorders>
            <w:shd w:val="clear" w:color="000000" w:fill="E7E6E6"/>
            <w:vAlign w:val="center"/>
          </w:tcPr>
          <w:p w14:paraId="6485632C">
            <w:pPr>
              <w:keepNext w:val="0"/>
              <w:keepLines w:val="0"/>
              <w:widowControl/>
              <w:suppressLineNumbers w:val="0"/>
              <w:spacing w:before="0" w:beforeAutospacing="0" w:after="0" w:afterAutospacing="0"/>
              <w:ind w:left="0" w:right="0"/>
              <w:jc w:val="center"/>
              <w:rPr>
                <w:rFonts w:hint="default" w:ascii="宋体" w:hAnsi="宋体" w:cs="宋体"/>
                <w:b/>
                <w:bCs/>
                <w:kern w:val="0"/>
                <w:sz w:val="20"/>
                <w:szCs w:val="20"/>
              </w:rPr>
            </w:pPr>
            <w:r>
              <w:rPr>
                <w:rFonts w:hint="eastAsia" w:ascii="宋体" w:hAnsi="宋体" w:cs="宋体"/>
                <w:b/>
                <w:bCs/>
                <w:kern w:val="0"/>
                <w:sz w:val="20"/>
                <w:szCs w:val="20"/>
              </w:rPr>
              <w:t>序号</w:t>
            </w:r>
          </w:p>
        </w:tc>
        <w:tc>
          <w:tcPr>
            <w:tcW w:w="2367" w:type="dxa"/>
            <w:tcBorders>
              <w:top w:val="single" w:color="auto" w:sz="8" w:space="0"/>
              <w:left w:val="nil"/>
              <w:bottom w:val="single" w:color="auto" w:sz="4" w:space="0"/>
              <w:right w:val="single" w:color="auto" w:sz="4" w:space="0"/>
            </w:tcBorders>
            <w:shd w:val="clear" w:color="000000" w:fill="E7E6E6"/>
            <w:vAlign w:val="center"/>
          </w:tcPr>
          <w:p w14:paraId="1B5E53F9">
            <w:pPr>
              <w:keepNext w:val="0"/>
              <w:keepLines w:val="0"/>
              <w:widowControl/>
              <w:suppressLineNumbers w:val="0"/>
              <w:spacing w:before="0" w:beforeAutospacing="0" w:after="0" w:afterAutospacing="0"/>
              <w:ind w:left="0" w:right="0"/>
              <w:jc w:val="center"/>
              <w:rPr>
                <w:rFonts w:hint="default" w:ascii="宋体" w:hAnsi="宋体" w:cs="宋体"/>
                <w:b/>
                <w:bCs/>
                <w:kern w:val="0"/>
                <w:sz w:val="20"/>
                <w:szCs w:val="20"/>
              </w:rPr>
            </w:pPr>
            <w:r>
              <w:rPr>
                <w:rFonts w:hint="eastAsia" w:ascii="宋体" w:hAnsi="宋体" w:cs="宋体"/>
                <w:b/>
                <w:bCs/>
                <w:kern w:val="0"/>
                <w:sz w:val="20"/>
                <w:szCs w:val="20"/>
              </w:rPr>
              <w:t>需求名称</w:t>
            </w:r>
          </w:p>
        </w:tc>
        <w:tc>
          <w:tcPr>
            <w:tcW w:w="1551" w:type="dxa"/>
            <w:tcBorders>
              <w:top w:val="single" w:color="auto" w:sz="8" w:space="0"/>
              <w:left w:val="nil"/>
              <w:bottom w:val="single" w:color="auto" w:sz="4" w:space="0"/>
              <w:right w:val="single" w:color="auto" w:sz="4" w:space="0"/>
            </w:tcBorders>
            <w:shd w:val="clear" w:color="000000" w:fill="E7E6E6"/>
            <w:vAlign w:val="center"/>
          </w:tcPr>
          <w:p w14:paraId="2F27B560">
            <w:pPr>
              <w:keepNext w:val="0"/>
              <w:keepLines w:val="0"/>
              <w:widowControl/>
              <w:suppressLineNumbers w:val="0"/>
              <w:spacing w:before="0" w:beforeAutospacing="0" w:after="0" w:afterAutospacing="0"/>
              <w:ind w:left="0" w:right="0"/>
              <w:jc w:val="center"/>
              <w:rPr>
                <w:rFonts w:hint="default" w:ascii="宋体" w:hAnsi="宋体" w:cs="宋体"/>
                <w:b/>
                <w:bCs/>
                <w:kern w:val="0"/>
                <w:sz w:val="20"/>
                <w:szCs w:val="20"/>
              </w:rPr>
            </w:pPr>
            <w:r>
              <w:rPr>
                <w:rFonts w:hint="eastAsia" w:ascii="宋体" w:hAnsi="宋体" w:cs="宋体"/>
                <w:b/>
                <w:bCs/>
                <w:kern w:val="0"/>
                <w:sz w:val="20"/>
                <w:szCs w:val="20"/>
              </w:rPr>
              <w:t>金额（元）</w:t>
            </w:r>
          </w:p>
        </w:tc>
        <w:tc>
          <w:tcPr>
            <w:tcW w:w="1608" w:type="dxa"/>
            <w:tcBorders>
              <w:top w:val="single" w:color="auto" w:sz="8" w:space="0"/>
              <w:left w:val="nil"/>
              <w:bottom w:val="single" w:color="auto" w:sz="4" w:space="0"/>
              <w:right w:val="single" w:color="auto" w:sz="8" w:space="0"/>
            </w:tcBorders>
            <w:shd w:val="clear" w:color="000000" w:fill="E7E6E6"/>
            <w:vAlign w:val="center"/>
          </w:tcPr>
          <w:p w14:paraId="2CD2355C">
            <w:pPr>
              <w:keepNext w:val="0"/>
              <w:keepLines w:val="0"/>
              <w:widowControl/>
              <w:suppressLineNumbers w:val="0"/>
              <w:spacing w:before="0" w:beforeAutospacing="0" w:after="0" w:afterAutospacing="0"/>
              <w:ind w:left="0" w:right="0"/>
              <w:jc w:val="center"/>
              <w:rPr>
                <w:rFonts w:hint="default" w:ascii="宋体" w:hAnsi="宋体" w:eastAsia="宋体" w:cs="宋体"/>
                <w:b/>
                <w:bCs/>
                <w:kern w:val="0"/>
                <w:sz w:val="20"/>
                <w:szCs w:val="20"/>
                <w:lang w:val="en-US" w:eastAsia="zh-CN"/>
              </w:rPr>
            </w:pPr>
            <w:r>
              <w:rPr>
                <w:rFonts w:hint="eastAsia" w:ascii="宋体" w:hAnsi="宋体" w:cs="宋体"/>
                <w:b/>
                <w:bCs/>
                <w:kern w:val="0"/>
                <w:sz w:val="20"/>
                <w:szCs w:val="20"/>
                <w:lang w:val="en-US" w:eastAsia="zh-CN"/>
              </w:rPr>
              <w:t>预算金额（元）</w:t>
            </w:r>
          </w:p>
        </w:tc>
        <w:tc>
          <w:tcPr>
            <w:tcW w:w="3633" w:type="dxa"/>
            <w:tcBorders>
              <w:top w:val="single" w:color="auto" w:sz="8" w:space="0"/>
              <w:left w:val="nil"/>
              <w:bottom w:val="single" w:color="auto" w:sz="4" w:space="0"/>
              <w:right w:val="single" w:color="auto" w:sz="8" w:space="0"/>
            </w:tcBorders>
            <w:shd w:val="clear" w:color="000000" w:fill="E7E6E6"/>
            <w:vAlign w:val="center"/>
          </w:tcPr>
          <w:p w14:paraId="4FFC31D1">
            <w:pPr>
              <w:keepNext w:val="0"/>
              <w:keepLines w:val="0"/>
              <w:widowControl/>
              <w:suppressLineNumbers w:val="0"/>
              <w:spacing w:before="0" w:beforeAutospacing="0" w:after="0" w:afterAutospacing="0"/>
              <w:ind w:left="0" w:right="0"/>
              <w:jc w:val="center"/>
              <w:rPr>
                <w:rFonts w:hint="default" w:ascii="宋体" w:hAnsi="宋体" w:cs="宋体"/>
                <w:b/>
                <w:bCs/>
                <w:kern w:val="0"/>
                <w:sz w:val="20"/>
                <w:szCs w:val="20"/>
              </w:rPr>
            </w:pPr>
            <w:r>
              <w:rPr>
                <w:rFonts w:hint="eastAsia" w:ascii="宋体" w:hAnsi="宋体" w:cs="宋体"/>
                <w:b/>
                <w:bCs/>
                <w:kern w:val="0"/>
                <w:sz w:val="20"/>
                <w:szCs w:val="20"/>
              </w:rPr>
              <w:t>说明</w:t>
            </w:r>
          </w:p>
        </w:tc>
      </w:tr>
      <w:tr w14:paraId="34CC55DA">
        <w:tblPrEx>
          <w:tblCellMar>
            <w:top w:w="0" w:type="dxa"/>
            <w:left w:w="108" w:type="dxa"/>
            <w:bottom w:w="0" w:type="dxa"/>
            <w:right w:w="108" w:type="dxa"/>
          </w:tblCellMar>
        </w:tblPrEx>
        <w:trPr>
          <w:trHeight w:val="285" w:hRule="atLeast"/>
          <w:jc w:val="center"/>
        </w:trPr>
        <w:tc>
          <w:tcPr>
            <w:tcW w:w="618" w:type="dxa"/>
            <w:tcBorders>
              <w:top w:val="single" w:color="auto" w:sz="4" w:space="0"/>
              <w:left w:val="single" w:color="auto" w:sz="8" w:space="0"/>
              <w:bottom w:val="single" w:color="auto" w:sz="4" w:space="0"/>
              <w:right w:val="single" w:color="auto" w:sz="4" w:space="0"/>
            </w:tcBorders>
            <w:shd w:val="clear" w:color="auto" w:fill="auto"/>
            <w:vAlign w:val="center"/>
          </w:tcPr>
          <w:p w14:paraId="028BDED2">
            <w:pPr>
              <w:keepNext w:val="0"/>
              <w:keepLines w:val="0"/>
              <w:widowControl/>
              <w:suppressLineNumbers w:val="0"/>
              <w:spacing w:before="0" w:beforeAutospacing="0" w:after="0" w:afterAutospacing="0"/>
              <w:ind w:left="0" w:right="0"/>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w:t>
            </w:r>
          </w:p>
        </w:tc>
        <w:tc>
          <w:tcPr>
            <w:tcW w:w="2367" w:type="dxa"/>
            <w:tcBorders>
              <w:top w:val="single" w:color="auto" w:sz="4" w:space="0"/>
              <w:left w:val="nil"/>
              <w:bottom w:val="single" w:color="auto" w:sz="4" w:space="0"/>
              <w:right w:val="single" w:color="auto" w:sz="4" w:space="0"/>
            </w:tcBorders>
            <w:shd w:val="clear" w:color="auto" w:fill="auto"/>
            <w:vAlign w:val="center"/>
          </w:tcPr>
          <w:p w14:paraId="1FD92F01">
            <w:pPr>
              <w:keepNext w:val="0"/>
              <w:keepLines w:val="0"/>
              <w:suppressLineNumbers w:val="0"/>
              <w:spacing w:before="0" w:beforeAutospacing="0" w:after="0" w:afterAutospacing="0"/>
              <w:ind w:left="0" w:leftChars="0" w:right="0" w:rightChars="0"/>
              <w:jc w:val="center"/>
              <w:rPr>
                <w:rFonts w:hint="eastAsia"/>
                <w:bCs/>
                <w:szCs w:val="21"/>
                <w:lang w:val="en-US" w:eastAsia="zh-CN"/>
              </w:rPr>
            </w:pPr>
            <w:r>
              <w:rPr>
                <w:rFonts w:hint="eastAsia" w:ascii="Times New Roman" w:eastAsia="宋体"/>
                <w:bCs/>
                <w:szCs w:val="21"/>
                <w:lang w:val="en-US" w:eastAsia="zh-CN"/>
              </w:rPr>
              <w:t>市级“3+N”法律服务</w:t>
            </w:r>
          </w:p>
        </w:tc>
        <w:tc>
          <w:tcPr>
            <w:tcW w:w="1551" w:type="dxa"/>
            <w:tcBorders>
              <w:top w:val="single" w:color="auto" w:sz="4" w:space="0"/>
              <w:left w:val="nil"/>
              <w:bottom w:val="single" w:color="auto" w:sz="4" w:space="0"/>
              <w:right w:val="single" w:color="auto" w:sz="4" w:space="0"/>
            </w:tcBorders>
            <w:shd w:val="clear" w:color="000000" w:fill="FFFFFF"/>
            <w:vAlign w:val="center"/>
          </w:tcPr>
          <w:p w14:paraId="36E24F57">
            <w:pPr>
              <w:keepNext w:val="0"/>
              <w:keepLines w:val="0"/>
              <w:widowControl/>
              <w:suppressLineNumbers w:val="0"/>
              <w:spacing w:before="0" w:beforeAutospacing="0" w:after="0" w:afterAutospacing="0"/>
              <w:ind w:left="0" w:right="0"/>
              <w:jc w:val="center"/>
              <w:rPr>
                <w:rFonts w:hint="eastAsia" w:ascii="宋体" w:hAnsi="宋体" w:cs="宋体"/>
                <w:kern w:val="0"/>
                <w:sz w:val="20"/>
                <w:szCs w:val="20"/>
                <w:lang w:val="en-US" w:eastAsia="zh-CN"/>
              </w:rPr>
            </w:pPr>
            <w:r>
              <w:rPr>
                <w:rFonts w:hint="eastAsia" w:ascii="宋体" w:hAnsi="宋体" w:cs="宋体"/>
                <w:kern w:val="0"/>
                <w:sz w:val="20"/>
                <w:szCs w:val="20"/>
                <w:lang w:val="en-US" w:eastAsia="zh-CN"/>
              </w:rPr>
              <w:t>442000</w:t>
            </w:r>
          </w:p>
        </w:tc>
        <w:tc>
          <w:tcPr>
            <w:tcW w:w="1608" w:type="dxa"/>
            <w:tcBorders>
              <w:top w:val="single" w:color="auto" w:sz="4" w:space="0"/>
              <w:left w:val="single" w:color="auto" w:sz="4" w:space="0"/>
              <w:bottom w:val="single" w:color="auto" w:sz="4" w:space="0"/>
              <w:right w:val="single" w:color="auto" w:sz="4" w:space="0"/>
            </w:tcBorders>
            <w:shd w:val="clear" w:color="auto" w:fill="auto"/>
            <w:vAlign w:val="center"/>
          </w:tcPr>
          <w:p w14:paraId="1E213106">
            <w:pPr>
              <w:keepNext w:val="0"/>
              <w:keepLines w:val="0"/>
              <w:widowControl/>
              <w:suppressLineNumbers w:val="0"/>
              <w:spacing w:before="0" w:beforeAutospacing="0" w:after="0" w:afterAutospacing="0"/>
              <w:ind w:left="0" w:right="0"/>
              <w:jc w:val="center"/>
              <w:rPr>
                <w:rFonts w:hint="eastAsia" w:ascii="宋体" w:hAnsi="宋体" w:cs="宋体"/>
                <w:kern w:val="0"/>
                <w:sz w:val="20"/>
                <w:szCs w:val="20"/>
                <w:lang w:val="en-US" w:eastAsia="zh-CN"/>
              </w:rPr>
            </w:pPr>
            <w:r>
              <w:rPr>
                <w:rFonts w:hint="eastAsia" w:ascii="宋体" w:hAnsi="宋体" w:cs="宋体"/>
                <w:kern w:val="0"/>
                <w:sz w:val="20"/>
                <w:szCs w:val="20"/>
                <w:lang w:val="en-US" w:eastAsia="zh-CN"/>
              </w:rPr>
              <w:t>442000</w:t>
            </w:r>
          </w:p>
        </w:tc>
        <w:tc>
          <w:tcPr>
            <w:tcW w:w="3633" w:type="dxa"/>
            <w:vMerge w:val="restart"/>
            <w:tcBorders>
              <w:top w:val="single" w:color="auto" w:sz="4" w:space="0"/>
              <w:left w:val="single" w:color="auto" w:sz="4" w:space="0"/>
              <w:right w:val="single" w:color="auto" w:sz="8" w:space="0"/>
            </w:tcBorders>
            <w:shd w:val="clear" w:color="auto" w:fill="auto"/>
            <w:vAlign w:val="center"/>
          </w:tcPr>
          <w:p w14:paraId="5F85A00C">
            <w:pPr>
              <w:keepNext w:val="0"/>
              <w:keepLines w:val="0"/>
              <w:widowControl/>
              <w:suppressLineNumbers w:val="0"/>
              <w:spacing w:before="0" w:beforeAutospacing="0" w:after="0" w:afterAutospacing="0"/>
              <w:ind w:left="0" w:right="0"/>
              <w:jc w:val="left"/>
              <w:rPr>
                <w:rFonts w:hint="eastAsia" w:ascii="宋体" w:hAnsi="宋体" w:cs="宋体"/>
                <w:kern w:val="0"/>
                <w:sz w:val="20"/>
                <w:szCs w:val="20"/>
                <w:lang w:val="en-US" w:eastAsia="zh-CN"/>
              </w:rPr>
            </w:pPr>
            <w:r>
              <w:rPr>
                <w:rFonts w:hint="default" w:ascii="宋体" w:hAnsi="宋体" w:cs="宋体"/>
                <w:kern w:val="0"/>
                <w:sz w:val="20"/>
                <w:szCs w:val="20"/>
                <w:lang w:val="en-US" w:eastAsia="zh-CN"/>
              </w:rPr>
              <w:t>市级“3+N”法律服务</w:t>
            </w:r>
            <w:r>
              <w:rPr>
                <w:rFonts w:hint="eastAsia" w:ascii="宋体" w:hAnsi="宋体" w:cs="宋体"/>
                <w:kern w:val="0"/>
                <w:sz w:val="20"/>
                <w:szCs w:val="20"/>
                <w:lang w:val="en-US" w:eastAsia="zh-CN"/>
              </w:rPr>
              <w:t>费用</w:t>
            </w:r>
            <w:r>
              <w:rPr>
                <w:rFonts w:hint="default" w:ascii="宋体" w:hAnsi="宋体" w:cs="宋体"/>
                <w:kern w:val="0"/>
                <w:sz w:val="20"/>
                <w:szCs w:val="20"/>
                <w:lang w:val="en-US" w:eastAsia="zh-CN"/>
              </w:rPr>
              <w:t>按照《深圳市总工会法律服务计费标准》进行计算</w:t>
            </w:r>
            <w:r>
              <w:rPr>
                <w:rFonts w:hint="eastAsia" w:ascii="宋体" w:hAnsi="宋体" w:cs="宋体"/>
                <w:kern w:val="0"/>
                <w:sz w:val="20"/>
                <w:szCs w:val="20"/>
                <w:lang w:val="en-US" w:eastAsia="zh-CN"/>
              </w:rPr>
              <w:t>，其中：</w:t>
            </w:r>
          </w:p>
          <w:p w14:paraId="74D94AEC">
            <w:pPr>
              <w:keepNext w:val="0"/>
              <w:keepLines w:val="0"/>
              <w:widowControl/>
              <w:suppressLineNumbers w:val="0"/>
              <w:spacing w:before="0" w:beforeAutospacing="0" w:after="0" w:afterAutospacing="0"/>
              <w:ind w:left="0" w:right="0"/>
              <w:jc w:val="left"/>
              <w:rPr>
                <w:rFonts w:hint="eastAsia" w:ascii="宋体" w:hAnsi="宋体" w:cs="宋体"/>
                <w:kern w:val="0"/>
                <w:sz w:val="20"/>
                <w:szCs w:val="20"/>
                <w:lang w:val="en-US" w:eastAsia="zh-CN"/>
              </w:rPr>
            </w:pPr>
            <w:r>
              <w:rPr>
                <w:rFonts w:hint="eastAsia" w:ascii="宋体" w:hAnsi="宋体" w:cs="宋体"/>
                <w:kern w:val="0"/>
                <w:sz w:val="20"/>
                <w:szCs w:val="20"/>
                <w:lang w:val="en-US" w:eastAsia="zh-CN"/>
              </w:rPr>
              <w:t>一是劳动争议案件代理费用，3500元/件；</w:t>
            </w:r>
          </w:p>
          <w:p w14:paraId="5AAFF839">
            <w:pPr>
              <w:keepNext w:val="0"/>
              <w:keepLines w:val="0"/>
              <w:widowControl/>
              <w:suppressLineNumbers w:val="0"/>
              <w:spacing w:before="0" w:beforeAutospacing="0" w:after="0" w:afterAutospacing="0"/>
              <w:ind w:left="0" w:right="0"/>
              <w:jc w:val="left"/>
              <w:rPr>
                <w:rFonts w:hint="eastAsia" w:ascii="宋体" w:hAnsi="宋体" w:cs="宋体"/>
                <w:kern w:val="0"/>
                <w:sz w:val="20"/>
                <w:szCs w:val="20"/>
                <w:lang w:val="en-US" w:eastAsia="zh-CN"/>
              </w:rPr>
            </w:pPr>
            <w:r>
              <w:rPr>
                <w:rFonts w:hint="eastAsia" w:ascii="宋体" w:hAnsi="宋体" w:cs="宋体"/>
                <w:kern w:val="0"/>
                <w:sz w:val="20"/>
                <w:szCs w:val="20"/>
                <w:lang w:val="en-US" w:eastAsia="zh-CN"/>
              </w:rPr>
              <w:t>二是工会法律顾问费用，2万元/家；</w:t>
            </w:r>
          </w:p>
          <w:p w14:paraId="7661B2E3">
            <w:pPr>
              <w:keepNext w:val="0"/>
              <w:keepLines w:val="0"/>
              <w:widowControl/>
              <w:suppressLineNumbers w:val="0"/>
              <w:spacing w:before="0" w:beforeAutospacing="0" w:after="0" w:afterAutospacing="0"/>
              <w:ind w:left="0" w:right="0"/>
              <w:jc w:val="left"/>
              <w:rPr>
                <w:rFonts w:hint="eastAsia" w:ascii="宋体" w:hAnsi="宋体" w:cs="宋体"/>
                <w:kern w:val="0"/>
                <w:sz w:val="20"/>
                <w:szCs w:val="20"/>
                <w:lang w:val="en-US" w:eastAsia="zh-CN"/>
              </w:rPr>
            </w:pPr>
            <w:r>
              <w:rPr>
                <w:rFonts w:hint="eastAsia" w:ascii="宋体" w:hAnsi="宋体" w:cs="宋体"/>
                <w:kern w:val="0"/>
                <w:sz w:val="20"/>
                <w:szCs w:val="20"/>
                <w:lang w:val="en-US" w:eastAsia="zh-CN"/>
              </w:rPr>
              <w:t>三是参与集体协商费用，根据服务情况，最高不超过2万元/件；</w:t>
            </w:r>
          </w:p>
          <w:p w14:paraId="5A2AEA36">
            <w:pPr>
              <w:keepNext w:val="0"/>
              <w:keepLines w:val="0"/>
              <w:widowControl/>
              <w:suppressLineNumbers w:val="0"/>
              <w:spacing w:before="0" w:beforeAutospacing="0" w:after="0" w:afterAutospacing="0"/>
              <w:ind w:left="0" w:right="0"/>
              <w:jc w:val="left"/>
              <w:rPr>
                <w:rFonts w:hint="default" w:ascii="宋体" w:hAnsi="宋体" w:cs="宋体"/>
                <w:kern w:val="0"/>
                <w:sz w:val="20"/>
                <w:szCs w:val="20"/>
                <w:lang w:val="en-US" w:eastAsia="zh-CN"/>
              </w:rPr>
            </w:pPr>
            <w:r>
              <w:rPr>
                <w:rFonts w:hint="eastAsia" w:ascii="宋体" w:hAnsi="宋体" w:cs="宋体"/>
                <w:kern w:val="0"/>
                <w:sz w:val="20"/>
                <w:szCs w:val="20"/>
                <w:lang w:val="en-US" w:eastAsia="zh-CN"/>
              </w:rPr>
              <w:t>四是专项法律服务费用，根据市总工会工作要求在指定的工会法律服务站（点）提供法律服务、参与重大劳动争议调处、开展普法宣传、法治培训等，计费标准为每小时100元。</w:t>
            </w:r>
          </w:p>
        </w:tc>
      </w:tr>
      <w:tr w14:paraId="161AC7D7">
        <w:tblPrEx>
          <w:tblCellMar>
            <w:top w:w="0" w:type="dxa"/>
            <w:left w:w="108" w:type="dxa"/>
            <w:bottom w:w="0" w:type="dxa"/>
            <w:right w:w="108" w:type="dxa"/>
          </w:tblCellMar>
        </w:tblPrEx>
        <w:trPr>
          <w:trHeight w:val="285" w:hRule="atLeast"/>
          <w:jc w:val="center"/>
        </w:trPr>
        <w:tc>
          <w:tcPr>
            <w:tcW w:w="618" w:type="dxa"/>
            <w:tcBorders>
              <w:top w:val="single" w:color="auto" w:sz="4" w:space="0"/>
              <w:left w:val="single" w:color="auto" w:sz="8" w:space="0"/>
              <w:bottom w:val="single" w:color="auto" w:sz="4" w:space="0"/>
              <w:right w:val="single" w:color="auto" w:sz="4" w:space="0"/>
            </w:tcBorders>
            <w:shd w:val="clear" w:color="auto" w:fill="auto"/>
            <w:vAlign w:val="center"/>
          </w:tcPr>
          <w:p w14:paraId="17099370">
            <w:pPr>
              <w:keepNext w:val="0"/>
              <w:keepLines w:val="0"/>
              <w:widowControl/>
              <w:suppressLineNumbers w:val="0"/>
              <w:spacing w:before="0" w:beforeAutospacing="0" w:after="0" w:afterAutospacing="0"/>
              <w:ind w:left="0" w:right="0"/>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1.1</w:t>
            </w:r>
          </w:p>
        </w:tc>
        <w:tc>
          <w:tcPr>
            <w:tcW w:w="2367" w:type="dxa"/>
            <w:tcBorders>
              <w:top w:val="single" w:color="auto" w:sz="4" w:space="0"/>
              <w:left w:val="nil"/>
              <w:bottom w:val="single" w:color="auto" w:sz="4" w:space="0"/>
              <w:right w:val="single" w:color="auto" w:sz="4" w:space="0"/>
            </w:tcBorders>
            <w:shd w:val="clear" w:color="auto" w:fill="auto"/>
            <w:vAlign w:val="center"/>
          </w:tcPr>
          <w:p w14:paraId="7D796808">
            <w:pPr>
              <w:keepNext w:val="0"/>
              <w:keepLines w:val="0"/>
              <w:widowControl/>
              <w:suppressLineNumbers w:val="0"/>
              <w:spacing w:before="0" w:beforeAutospacing="0" w:after="0" w:afterAutospacing="0"/>
              <w:ind w:left="0" w:right="0"/>
              <w:jc w:val="center"/>
              <w:rPr>
                <w:rFonts w:hint="eastAsia"/>
                <w:bCs/>
                <w:szCs w:val="21"/>
                <w:lang w:val="en-US" w:eastAsia="zh-CN"/>
              </w:rPr>
            </w:pPr>
            <w:r>
              <w:rPr>
                <w:rFonts w:hint="eastAsia" w:ascii="Times New Roman" w:eastAsia="宋体"/>
                <w:bCs/>
                <w:szCs w:val="21"/>
                <w:lang w:val="en-US" w:eastAsia="zh-CN"/>
              </w:rPr>
              <w:t>劳动争议案件代理费用</w:t>
            </w:r>
          </w:p>
        </w:tc>
        <w:tc>
          <w:tcPr>
            <w:tcW w:w="3159" w:type="dxa"/>
            <w:gridSpan w:val="2"/>
            <w:vMerge w:val="restart"/>
            <w:tcBorders>
              <w:left w:val="nil"/>
              <w:right w:val="single" w:color="auto" w:sz="4" w:space="0"/>
            </w:tcBorders>
            <w:shd w:val="clear" w:color="000000" w:fill="FFFFFF"/>
            <w:vAlign w:val="center"/>
          </w:tcPr>
          <w:p w14:paraId="55CA5917">
            <w:pPr>
              <w:keepNext w:val="0"/>
              <w:keepLines w:val="0"/>
              <w:widowControl/>
              <w:suppressLineNumbers w:val="0"/>
              <w:spacing w:before="0" w:beforeAutospacing="0" w:after="0" w:afterAutospacing="0"/>
              <w:ind w:left="0" w:leftChars="0" w:right="0" w:rightChars="0"/>
              <w:jc w:val="center"/>
              <w:rPr>
                <w:rFonts w:hint="eastAsia" w:ascii="宋体" w:hAnsi="宋体" w:cs="宋体"/>
                <w:kern w:val="0"/>
                <w:sz w:val="20"/>
                <w:szCs w:val="20"/>
                <w:lang w:val="en-US" w:eastAsia="zh-CN"/>
              </w:rPr>
            </w:pPr>
            <w:r>
              <w:rPr>
                <w:rFonts w:hint="eastAsia" w:ascii="宋体" w:hAnsi="宋体" w:cs="宋体"/>
                <w:kern w:val="0"/>
                <w:sz w:val="20"/>
                <w:szCs w:val="20"/>
                <w:lang w:val="en-US" w:eastAsia="zh-CN"/>
              </w:rPr>
              <w:t>/</w:t>
            </w:r>
          </w:p>
        </w:tc>
        <w:tc>
          <w:tcPr>
            <w:tcW w:w="3633" w:type="dxa"/>
            <w:vMerge w:val="continue"/>
            <w:tcBorders>
              <w:left w:val="single" w:color="auto" w:sz="4" w:space="0"/>
              <w:right w:val="single" w:color="auto" w:sz="8" w:space="0"/>
            </w:tcBorders>
            <w:shd w:val="clear" w:color="auto" w:fill="auto"/>
            <w:vAlign w:val="center"/>
          </w:tcPr>
          <w:p w14:paraId="19DC60C6">
            <w:pPr>
              <w:keepNext w:val="0"/>
              <w:keepLines w:val="0"/>
              <w:widowControl/>
              <w:suppressLineNumbers w:val="0"/>
              <w:spacing w:before="0" w:beforeAutospacing="0" w:after="0" w:afterAutospacing="0"/>
              <w:ind w:left="0" w:right="0"/>
              <w:jc w:val="left"/>
              <w:rPr>
                <w:rFonts w:hint="eastAsia" w:ascii="宋体" w:hAnsi="宋体" w:cs="宋体"/>
                <w:kern w:val="0"/>
                <w:sz w:val="20"/>
                <w:szCs w:val="20"/>
                <w:lang w:val="en-US" w:eastAsia="zh-CN"/>
              </w:rPr>
            </w:pPr>
          </w:p>
        </w:tc>
      </w:tr>
      <w:tr w14:paraId="7A3C7BF7">
        <w:tblPrEx>
          <w:tblCellMar>
            <w:top w:w="0" w:type="dxa"/>
            <w:left w:w="108" w:type="dxa"/>
            <w:bottom w:w="0" w:type="dxa"/>
            <w:right w:w="108" w:type="dxa"/>
          </w:tblCellMar>
        </w:tblPrEx>
        <w:trPr>
          <w:trHeight w:val="285" w:hRule="atLeast"/>
          <w:jc w:val="center"/>
        </w:trPr>
        <w:tc>
          <w:tcPr>
            <w:tcW w:w="618" w:type="dxa"/>
            <w:tcBorders>
              <w:top w:val="single" w:color="auto" w:sz="4" w:space="0"/>
              <w:left w:val="single" w:color="auto" w:sz="8" w:space="0"/>
              <w:bottom w:val="single" w:color="auto" w:sz="4" w:space="0"/>
              <w:right w:val="single" w:color="auto" w:sz="4" w:space="0"/>
            </w:tcBorders>
            <w:shd w:val="clear" w:color="auto" w:fill="auto"/>
            <w:vAlign w:val="center"/>
          </w:tcPr>
          <w:p w14:paraId="36DD11EF">
            <w:pPr>
              <w:keepNext w:val="0"/>
              <w:keepLines w:val="0"/>
              <w:widowControl/>
              <w:suppressLineNumbers w:val="0"/>
              <w:spacing w:before="0" w:beforeAutospacing="0" w:after="0" w:afterAutospacing="0"/>
              <w:ind w:left="0" w:right="0"/>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1.2</w:t>
            </w:r>
          </w:p>
        </w:tc>
        <w:tc>
          <w:tcPr>
            <w:tcW w:w="2367" w:type="dxa"/>
            <w:tcBorders>
              <w:top w:val="single" w:color="auto" w:sz="4" w:space="0"/>
              <w:left w:val="nil"/>
              <w:bottom w:val="single" w:color="auto" w:sz="4" w:space="0"/>
              <w:right w:val="single" w:color="auto" w:sz="4" w:space="0"/>
            </w:tcBorders>
            <w:shd w:val="clear" w:color="auto" w:fill="auto"/>
            <w:vAlign w:val="center"/>
          </w:tcPr>
          <w:p w14:paraId="6AB131BB">
            <w:pPr>
              <w:keepNext w:val="0"/>
              <w:keepLines w:val="0"/>
              <w:widowControl/>
              <w:suppressLineNumbers w:val="0"/>
              <w:spacing w:before="0" w:beforeAutospacing="0" w:after="0" w:afterAutospacing="0"/>
              <w:ind w:left="0" w:right="0"/>
              <w:jc w:val="center"/>
              <w:rPr>
                <w:rFonts w:hint="eastAsia"/>
                <w:bCs/>
                <w:szCs w:val="21"/>
                <w:lang w:val="en-US" w:eastAsia="zh-CN"/>
              </w:rPr>
            </w:pPr>
            <w:r>
              <w:rPr>
                <w:rFonts w:hint="eastAsia" w:ascii="Times New Roman" w:eastAsia="宋体"/>
                <w:bCs/>
                <w:szCs w:val="21"/>
                <w:lang w:val="en-US" w:eastAsia="zh-CN"/>
              </w:rPr>
              <w:t>工会法律顾问费用</w:t>
            </w:r>
          </w:p>
        </w:tc>
        <w:tc>
          <w:tcPr>
            <w:tcW w:w="3159" w:type="dxa"/>
            <w:gridSpan w:val="2"/>
            <w:vMerge w:val="continue"/>
            <w:tcBorders>
              <w:left w:val="nil"/>
              <w:right w:val="single" w:color="auto" w:sz="4" w:space="0"/>
            </w:tcBorders>
            <w:shd w:val="clear" w:color="000000" w:fill="FFFFFF"/>
            <w:vAlign w:val="center"/>
          </w:tcPr>
          <w:p w14:paraId="5B33BAEC">
            <w:pPr>
              <w:keepNext w:val="0"/>
              <w:keepLines w:val="0"/>
              <w:widowControl/>
              <w:suppressLineNumbers w:val="0"/>
              <w:spacing w:before="0" w:beforeAutospacing="0" w:after="0" w:afterAutospacing="0"/>
              <w:ind w:left="0" w:leftChars="0" w:right="0" w:rightChars="0"/>
              <w:jc w:val="left"/>
              <w:rPr>
                <w:rFonts w:hint="eastAsia" w:ascii="宋体" w:hAnsi="宋体" w:cs="宋体"/>
                <w:kern w:val="0"/>
                <w:sz w:val="20"/>
                <w:szCs w:val="20"/>
                <w:lang w:val="en-US" w:eastAsia="zh-CN"/>
              </w:rPr>
            </w:pPr>
          </w:p>
        </w:tc>
        <w:tc>
          <w:tcPr>
            <w:tcW w:w="3633" w:type="dxa"/>
            <w:vMerge w:val="continue"/>
            <w:tcBorders>
              <w:left w:val="single" w:color="auto" w:sz="4" w:space="0"/>
              <w:right w:val="single" w:color="auto" w:sz="8" w:space="0"/>
            </w:tcBorders>
            <w:shd w:val="clear" w:color="auto" w:fill="auto"/>
            <w:vAlign w:val="center"/>
          </w:tcPr>
          <w:p w14:paraId="18C1A753">
            <w:pPr>
              <w:keepNext w:val="0"/>
              <w:keepLines w:val="0"/>
              <w:widowControl/>
              <w:suppressLineNumbers w:val="0"/>
              <w:spacing w:before="0" w:beforeAutospacing="0" w:after="0" w:afterAutospacing="0"/>
              <w:ind w:left="0" w:right="0"/>
              <w:jc w:val="left"/>
              <w:rPr>
                <w:rFonts w:hint="eastAsia" w:ascii="宋体" w:hAnsi="宋体" w:cs="宋体"/>
                <w:kern w:val="0"/>
                <w:sz w:val="20"/>
                <w:szCs w:val="20"/>
                <w:lang w:val="en-US" w:eastAsia="zh-CN"/>
              </w:rPr>
            </w:pPr>
          </w:p>
        </w:tc>
      </w:tr>
      <w:tr w14:paraId="516147A3">
        <w:tblPrEx>
          <w:tblCellMar>
            <w:top w:w="0" w:type="dxa"/>
            <w:left w:w="108" w:type="dxa"/>
            <w:bottom w:w="0" w:type="dxa"/>
            <w:right w:w="108" w:type="dxa"/>
          </w:tblCellMar>
        </w:tblPrEx>
        <w:trPr>
          <w:trHeight w:val="285" w:hRule="atLeast"/>
          <w:jc w:val="center"/>
        </w:trPr>
        <w:tc>
          <w:tcPr>
            <w:tcW w:w="618" w:type="dxa"/>
            <w:tcBorders>
              <w:top w:val="single" w:color="auto" w:sz="4" w:space="0"/>
              <w:left w:val="single" w:color="auto" w:sz="8" w:space="0"/>
              <w:bottom w:val="single" w:color="auto" w:sz="4" w:space="0"/>
              <w:right w:val="single" w:color="auto" w:sz="4" w:space="0"/>
            </w:tcBorders>
            <w:shd w:val="clear" w:color="auto" w:fill="auto"/>
            <w:vAlign w:val="center"/>
          </w:tcPr>
          <w:p w14:paraId="03F83173">
            <w:pPr>
              <w:keepNext w:val="0"/>
              <w:keepLines w:val="0"/>
              <w:widowControl/>
              <w:suppressLineNumbers w:val="0"/>
              <w:spacing w:before="0" w:beforeAutospacing="0" w:after="0" w:afterAutospacing="0"/>
              <w:ind w:left="0" w:right="0"/>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1.3</w:t>
            </w:r>
          </w:p>
        </w:tc>
        <w:tc>
          <w:tcPr>
            <w:tcW w:w="2367" w:type="dxa"/>
            <w:tcBorders>
              <w:top w:val="single" w:color="auto" w:sz="4" w:space="0"/>
              <w:left w:val="nil"/>
              <w:bottom w:val="single" w:color="auto" w:sz="4" w:space="0"/>
              <w:right w:val="single" w:color="auto" w:sz="4" w:space="0"/>
            </w:tcBorders>
            <w:shd w:val="clear" w:color="auto" w:fill="auto"/>
            <w:vAlign w:val="center"/>
          </w:tcPr>
          <w:p w14:paraId="7BB3C9B0">
            <w:pPr>
              <w:keepNext w:val="0"/>
              <w:keepLines w:val="0"/>
              <w:widowControl/>
              <w:suppressLineNumbers w:val="0"/>
              <w:spacing w:before="0" w:beforeAutospacing="0" w:after="0" w:afterAutospacing="0"/>
              <w:ind w:left="0" w:right="0"/>
              <w:jc w:val="center"/>
              <w:rPr>
                <w:rFonts w:hint="eastAsia"/>
                <w:bCs/>
                <w:szCs w:val="21"/>
                <w:lang w:val="en-US" w:eastAsia="zh-CN"/>
              </w:rPr>
            </w:pPr>
            <w:r>
              <w:rPr>
                <w:rFonts w:hint="eastAsia" w:ascii="Times New Roman" w:eastAsia="宋体"/>
                <w:bCs/>
                <w:szCs w:val="21"/>
                <w:lang w:val="en-US" w:eastAsia="zh-CN"/>
              </w:rPr>
              <w:t>参与集体协商费用</w:t>
            </w:r>
          </w:p>
        </w:tc>
        <w:tc>
          <w:tcPr>
            <w:tcW w:w="3159" w:type="dxa"/>
            <w:gridSpan w:val="2"/>
            <w:vMerge w:val="continue"/>
            <w:tcBorders>
              <w:left w:val="nil"/>
              <w:right w:val="single" w:color="auto" w:sz="4" w:space="0"/>
            </w:tcBorders>
            <w:shd w:val="clear" w:color="000000" w:fill="FFFFFF"/>
            <w:vAlign w:val="center"/>
          </w:tcPr>
          <w:p w14:paraId="0D7C3393">
            <w:pPr>
              <w:keepNext w:val="0"/>
              <w:keepLines w:val="0"/>
              <w:widowControl/>
              <w:suppressLineNumbers w:val="0"/>
              <w:spacing w:before="0" w:beforeAutospacing="0" w:after="0" w:afterAutospacing="0"/>
              <w:ind w:left="0" w:leftChars="0" w:right="0" w:rightChars="0"/>
              <w:jc w:val="left"/>
              <w:rPr>
                <w:rFonts w:hint="eastAsia" w:ascii="宋体" w:hAnsi="宋体" w:cs="宋体"/>
                <w:kern w:val="0"/>
                <w:sz w:val="20"/>
                <w:szCs w:val="20"/>
                <w:lang w:val="en-US" w:eastAsia="zh-CN"/>
              </w:rPr>
            </w:pPr>
          </w:p>
        </w:tc>
        <w:tc>
          <w:tcPr>
            <w:tcW w:w="3633" w:type="dxa"/>
            <w:vMerge w:val="continue"/>
            <w:tcBorders>
              <w:left w:val="single" w:color="auto" w:sz="4" w:space="0"/>
              <w:right w:val="single" w:color="auto" w:sz="8" w:space="0"/>
            </w:tcBorders>
            <w:shd w:val="clear" w:color="auto" w:fill="auto"/>
            <w:vAlign w:val="center"/>
          </w:tcPr>
          <w:p w14:paraId="4014EC63">
            <w:pPr>
              <w:keepNext w:val="0"/>
              <w:keepLines w:val="0"/>
              <w:widowControl/>
              <w:suppressLineNumbers w:val="0"/>
              <w:spacing w:before="0" w:beforeAutospacing="0" w:after="0" w:afterAutospacing="0"/>
              <w:ind w:left="0" w:right="0"/>
              <w:jc w:val="left"/>
              <w:rPr>
                <w:rFonts w:hint="eastAsia" w:ascii="宋体" w:hAnsi="宋体" w:cs="宋体"/>
                <w:kern w:val="0"/>
                <w:sz w:val="20"/>
                <w:szCs w:val="20"/>
                <w:lang w:val="en-US" w:eastAsia="zh-CN"/>
              </w:rPr>
            </w:pPr>
          </w:p>
        </w:tc>
      </w:tr>
      <w:tr w14:paraId="3C151AD3">
        <w:tblPrEx>
          <w:tblCellMar>
            <w:top w:w="0" w:type="dxa"/>
            <w:left w:w="108" w:type="dxa"/>
            <w:bottom w:w="0" w:type="dxa"/>
            <w:right w:w="108" w:type="dxa"/>
          </w:tblCellMar>
        </w:tblPrEx>
        <w:trPr>
          <w:trHeight w:val="285" w:hRule="atLeast"/>
          <w:jc w:val="center"/>
        </w:trPr>
        <w:tc>
          <w:tcPr>
            <w:tcW w:w="618" w:type="dxa"/>
            <w:tcBorders>
              <w:top w:val="single" w:color="auto" w:sz="4" w:space="0"/>
              <w:left w:val="single" w:color="auto" w:sz="8" w:space="0"/>
              <w:bottom w:val="single" w:color="auto" w:sz="4" w:space="0"/>
              <w:right w:val="single" w:color="auto" w:sz="4" w:space="0"/>
            </w:tcBorders>
            <w:shd w:val="clear" w:color="auto" w:fill="auto"/>
            <w:vAlign w:val="center"/>
          </w:tcPr>
          <w:p w14:paraId="109C0D22">
            <w:pPr>
              <w:keepNext w:val="0"/>
              <w:keepLines w:val="0"/>
              <w:widowControl/>
              <w:suppressLineNumbers w:val="0"/>
              <w:spacing w:before="0" w:beforeAutospacing="0" w:after="0" w:afterAutospacing="0"/>
              <w:ind w:left="0" w:right="0"/>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1.4</w:t>
            </w:r>
          </w:p>
        </w:tc>
        <w:tc>
          <w:tcPr>
            <w:tcW w:w="2367" w:type="dxa"/>
            <w:tcBorders>
              <w:top w:val="single" w:color="auto" w:sz="4" w:space="0"/>
              <w:left w:val="nil"/>
              <w:bottom w:val="single" w:color="auto" w:sz="4" w:space="0"/>
              <w:right w:val="single" w:color="auto" w:sz="4" w:space="0"/>
            </w:tcBorders>
            <w:shd w:val="clear" w:color="auto" w:fill="auto"/>
            <w:vAlign w:val="center"/>
          </w:tcPr>
          <w:p w14:paraId="4CA1D592">
            <w:pPr>
              <w:keepNext w:val="0"/>
              <w:keepLines w:val="0"/>
              <w:widowControl/>
              <w:suppressLineNumbers w:val="0"/>
              <w:spacing w:before="0" w:beforeAutospacing="0" w:after="0" w:afterAutospacing="0"/>
              <w:ind w:left="0" w:right="0"/>
              <w:jc w:val="center"/>
              <w:rPr>
                <w:rFonts w:hint="eastAsia"/>
                <w:bCs/>
                <w:szCs w:val="21"/>
                <w:lang w:val="en-US" w:eastAsia="zh-CN"/>
              </w:rPr>
            </w:pPr>
            <w:r>
              <w:rPr>
                <w:rFonts w:hint="eastAsia" w:ascii="Times New Roman" w:eastAsia="宋体"/>
                <w:bCs/>
                <w:szCs w:val="21"/>
                <w:lang w:val="en-US" w:eastAsia="zh-CN"/>
              </w:rPr>
              <w:t>专项法律服务费用</w:t>
            </w:r>
          </w:p>
        </w:tc>
        <w:tc>
          <w:tcPr>
            <w:tcW w:w="3159" w:type="dxa"/>
            <w:gridSpan w:val="2"/>
            <w:vMerge w:val="continue"/>
            <w:tcBorders>
              <w:left w:val="nil"/>
              <w:bottom w:val="single" w:color="auto" w:sz="4" w:space="0"/>
              <w:right w:val="single" w:color="auto" w:sz="4" w:space="0"/>
            </w:tcBorders>
            <w:shd w:val="clear" w:color="000000" w:fill="FFFFFF"/>
            <w:vAlign w:val="center"/>
          </w:tcPr>
          <w:p w14:paraId="41034742">
            <w:pPr>
              <w:keepNext w:val="0"/>
              <w:keepLines w:val="0"/>
              <w:widowControl/>
              <w:suppressLineNumbers w:val="0"/>
              <w:spacing w:before="0" w:beforeAutospacing="0" w:after="0" w:afterAutospacing="0"/>
              <w:ind w:left="0" w:leftChars="0" w:right="0" w:rightChars="0"/>
              <w:jc w:val="left"/>
              <w:rPr>
                <w:rFonts w:hint="eastAsia" w:ascii="宋体" w:hAnsi="宋体" w:cs="宋体"/>
                <w:kern w:val="0"/>
                <w:sz w:val="20"/>
                <w:szCs w:val="20"/>
                <w:lang w:val="en-US" w:eastAsia="zh-CN"/>
              </w:rPr>
            </w:pPr>
          </w:p>
        </w:tc>
        <w:tc>
          <w:tcPr>
            <w:tcW w:w="3633" w:type="dxa"/>
            <w:vMerge w:val="continue"/>
            <w:tcBorders>
              <w:left w:val="single" w:color="auto" w:sz="4" w:space="0"/>
              <w:right w:val="single" w:color="auto" w:sz="8" w:space="0"/>
            </w:tcBorders>
            <w:shd w:val="clear" w:color="auto" w:fill="auto"/>
            <w:vAlign w:val="center"/>
          </w:tcPr>
          <w:p w14:paraId="18A9058A">
            <w:pPr>
              <w:keepNext w:val="0"/>
              <w:keepLines w:val="0"/>
              <w:widowControl/>
              <w:suppressLineNumbers w:val="0"/>
              <w:spacing w:before="0" w:beforeAutospacing="0" w:after="0" w:afterAutospacing="0"/>
              <w:ind w:left="0" w:right="0"/>
              <w:jc w:val="left"/>
              <w:rPr>
                <w:rFonts w:hint="eastAsia" w:ascii="宋体" w:hAnsi="宋体" w:cs="宋体"/>
                <w:kern w:val="0"/>
                <w:sz w:val="20"/>
                <w:szCs w:val="20"/>
                <w:lang w:val="en-US" w:eastAsia="zh-CN"/>
              </w:rPr>
            </w:pPr>
          </w:p>
        </w:tc>
      </w:tr>
      <w:tr w14:paraId="31548ED6">
        <w:tblPrEx>
          <w:tblCellMar>
            <w:top w:w="0" w:type="dxa"/>
            <w:left w:w="108" w:type="dxa"/>
            <w:bottom w:w="0" w:type="dxa"/>
            <w:right w:w="108" w:type="dxa"/>
          </w:tblCellMar>
        </w:tblPrEx>
        <w:trPr>
          <w:trHeight w:val="609" w:hRule="atLeast"/>
          <w:jc w:val="center"/>
        </w:trPr>
        <w:tc>
          <w:tcPr>
            <w:tcW w:w="2985" w:type="dxa"/>
            <w:gridSpan w:val="2"/>
            <w:tcBorders>
              <w:top w:val="nil"/>
              <w:left w:val="single" w:color="auto" w:sz="8" w:space="0"/>
              <w:bottom w:val="single" w:color="auto" w:sz="4" w:space="0"/>
              <w:right w:val="single" w:color="auto" w:sz="4" w:space="0"/>
            </w:tcBorders>
            <w:shd w:val="clear" w:color="000000" w:fill="FFFFFF"/>
            <w:vAlign w:val="center"/>
          </w:tcPr>
          <w:p w14:paraId="513F0F80">
            <w:pPr>
              <w:keepNext w:val="0"/>
              <w:keepLines w:val="0"/>
              <w:widowControl/>
              <w:suppressLineNumbers w:val="0"/>
              <w:spacing w:before="0" w:beforeAutospacing="0" w:after="0" w:afterAutospacing="0"/>
              <w:ind w:left="0" w:right="0"/>
              <w:jc w:val="center"/>
              <w:rPr>
                <w:rFonts w:hint="eastAsia" w:ascii="宋体" w:hAnsi="宋体" w:cs="宋体"/>
                <w:b w:val="0"/>
                <w:bCs w:val="0"/>
                <w:kern w:val="0"/>
                <w:sz w:val="20"/>
                <w:szCs w:val="20"/>
              </w:rPr>
            </w:pPr>
            <w:r>
              <w:rPr>
                <w:rFonts w:hint="eastAsia" w:ascii="宋体" w:hAnsi="宋体" w:cs="宋体"/>
                <w:b w:val="0"/>
                <w:bCs w:val="0"/>
                <w:kern w:val="0"/>
                <w:sz w:val="20"/>
                <w:szCs w:val="20"/>
                <w:lang w:val="en-US" w:eastAsia="zh-CN"/>
              </w:rPr>
              <w:t>投标报价合计(元)：</w:t>
            </w:r>
          </w:p>
        </w:tc>
        <w:tc>
          <w:tcPr>
            <w:tcW w:w="1551" w:type="dxa"/>
            <w:tcBorders>
              <w:top w:val="nil"/>
              <w:left w:val="nil"/>
              <w:bottom w:val="single" w:color="auto" w:sz="4" w:space="0"/>
              <w:right w:val="single" w:color="auto" w:sz="4" w:space="0"/>
            </w:tcBorders>
            <w:shd w:val="clear" w:color="000000" w:fill="FFFFFF"/>
            <w:vAlign w:val="center"/>
          </w:tcPr>
          <w:p w14:paraId="48DFAE53">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b w:val="0"/>
                <w:bCs w:val="0"/>
                <w:kern w:val="0"/>
                <w:sz w:val="20"/>
                <w:szCs w:val="20"/>
                <w:lang w:val="en-US" w:eastAsia="zh-CN"/>
              </w:rPr>
            </w:pPr>
            <w:r>
              <w:rPr>
                <w:rFonts w:hint="eastAsia" w:ascii="宋体" w:hAnsi="宋体" w:cs="宋体"/>
                <w:kern w:val="0"/>
                <w:sz w:val="20"/>
                <w:szCs w:val="20"/>
                <w:lang w:val="en-US" w:eastAsia="zh-CN"/>
              </w:rPr>
              <w:t>442000</w:t>
            </w:r>
          </w:p>
        </w:tc>
        <w:tc>
          <w:tcPr>
            <w:tcW w:w="1608" w:type="dxa"/>
            <w:tcBorders>
              <w:top w:val="single" w:color="auto" w:sz="4" w:space="0"/>
              <w:left w:val="single" w:color="auto" w:sz="4" w:space="0"/>
              <w:bottom w:val="single" w:color="auto" w:sz="4" w:space="0"/>
              <w:right w:val="single" w:color="auto" w:sz="4" w:space="0"/>
            </w:tcBorders>
            <w:shd w:val="clear" w:color="000000" w:fill="FFFFFF"/>
            <w:vAlign w:val="center"/>
          </w:tcPr>
          <w:p w14:paraId="5DA9C280">
            <w:pPr>
              <w:keepNext w:val="0"/>
              <w:keepLines w:val="0"/>
              <w:widowControl/>
              <w:suppressLineNumbers w:val="0"/>
              <w:spacing w:before="0" w:beforeAutospacing="0" w:after="0" w:afterAutospacing="0"/>
              <w:ind w:left="0" w:leftChars="0" w:right="0" w:rightChars="0"/>
              <w:jc w:val="center"/>
              <w:rPr>
                <w:rFonts w:hint="eastAsia" w:ascii="宋体" w:hAnsi="宋体" w:cs="宋体"/>
                <w:b w:val="0"/>
                <w:bCs w:val="0"/>
                <w:kern w:val="0"/>
                <w:sz w:val="20"/>
                <w:szCs w:val="20"/>
                <w:lang w:val="en-US" w:eastAsia="zh-CN"/>
              </w:rPr>
            </w:pPr>
            <w:r>
              <w:rPr>
                <w:rFonts w:hint="eastAsia" w:ascii="宋体" w:hAnsi="宋体" w:cs="宋体"/>
                <w:kern w:val="0"/>
                <w:sz w:val="20"/>
                <w:szCs w:val="20"/>
                <w:lang w:val="en-US" w:eastAsia="zh-CN"/>
              </w:rPr>
              <w:t>442000</w:t>
            </w:r>
          </w:p>
        </w:tc>
        <w:tc>
          <w:tcPr>
            <w:tcW w:w="3633" w:type="dxa"/>
            <w:tcBorders>
              <w:top w:val="single" w:color="auto" w:sz="4" w:space="0"/>
              <w:left w:val="single" w:color="auto" w:sz="4" w:space="0"/>
              <w:bottom w:val="single" w:color="auto" w:sz="4" w:space="0"/>
              <w:right w:val="single" w:color="auto" w:sz="4" w:space="0"/>
            </w:tcBorders>
            <w:shd w:val="clear" w:color="000000" w:fill="FFFFFF"/>
            <w:vAlign w:val="center"/>
          </w:tcPr>
          <w:p w14:paraId="2AC0D58F">
            <w:pPr>
              <w:keepNext w:val="0"/>
              <w:keepLines w:val="0"/>
              <w:widowControl/>
              <w:suppressLineNumbers w:val="0"/>
              <w:spacing w:before="0" w:beforeAutospacing="0" w:after="0" w:afterAutospacing="0"/>
              <w:ind w:left="0" w:right="0"/>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该金额为含税金额，相关税费由投标人缴纳</w:t>
            </w:r>
          </w:p>
        </w:tc>
      </w:tr>
    </w:tbl>
    <w:p w14:paraId="698B8B20">
      <w:pPr>
        <w:ind w:left="632" w:hanging="723" w:hangingChars="300"/>
        <w:jc w:val="left"/>
        <w:rPr>
          <w:rFonts w:hint="eastAsia" w:ascii="宋体" w:hAnsi="宋体"/>
          <w:color w:val="0000FF"/>
          <w:kern w:val="0"/>
          <w:szCs w:val="21"/>
        </w:rPr>
      </w:pPr>
      <w:r>
        <w:rPr>
          <w:rFonts w:hint="eastAsia" w:hAnsi="宋体"/>
          <w:b/>
          <w:bCs/>
          <w:color w:val="FF0000"/>
          <w:sz w:val="24"/>
        </w:rPr>
        <w:t>注：</w:t>
      </w:r>
      <w:r>
        <w:rPr>
          <w:rFonts w:hint="eastAsia" w:ascii="宋体" w:hAnsi="宋体"/>
          <w:color w:val="0000FF"/>
          <w:kern w:val="0"/>
          <w:szCs w:val="21"/>
        </w:rPr>
        <w:t>1、投标人的投标报价不得超过预算金额，否则将导致投标无效。</w:t>
      </w:r>
    </w:p>
    <w:p w14:paraId="5CAC9E3D">
      <w:pPr>
        <w:tabs>
          <w:tab w:val="left" w:pos="720"/>
        </w:tabs>
        <w:jc w:val="left"/>
        <w:rPr>
          <w:rFonts w:hint="eastAsia"/>
          <w:b/>
          <w:sz w:val="24"/>
        </w:rPr>
      </w:pPr>
      <w:r>
        <w:rPr>
          <w:rFonts w:hint="eastAsia" w:ascii="宋体" w:hAnsi="宋体" w:eastAsia="仿宋_GB2312" w:cs="Arial"/>
          <w:color w:val="0000FF"/>
          <w:kern w:val="0"/>
          <w:sz w:val="24"/>
          <w:szCs w:val="21"/>
          <w:lang w:val="en-US" w:eastAsia="zh-CN" w:bidi="ar-SA"/>
        </w:rPr>
        <w:t>2、市级“3+N”法律服务费用按照《深圳市总工会法律服务计费标准》进行计算，按完成的每个事项进行计费，供应商不对其报价进行下浮，按442000元报价，未按此要求报价的将导致投标无效。</w:t>
      </w:r>
    </w:p>
    <w:p w14:paraId="7352EF66">
      <w:pPr>
        <w:tabs>
          <w:tab w:val="left" w:pos="720"/>
        </w:tabs>
        <w:jc w:val="center"/>
        <w:rPr>
          <w:rFonts w:hint="eastAsia"/>
          <w:b/>
          <w:sz w:val="24"/>
        </w:rPr>
      </w:pPr>
      <w:r>
        <w:rPr>
          <w:rFonts w:hint="eastAsia"/>
          <w:b/>
          <w:sz w:val="24"/>
        </w:rPr>
        <w:t>（二）</w:t>
      </w:r>
      <w:bookmarkStart w:id="47" w:name="_Hlk72073235"/>
      <w:r>
        <w:rPr>
          <w:rFonts w:hint="eastAsia"/>
          <w:b/>
          <w:sz w:val="24"/>
        </w:rPr>
        <w:t>投标人认为需要涉及的其他内容报价清单</w:t>
      </w:r>
      <w:bookmarkEnd w:id="47"/>
    </w:p>
    <w:p w14:paraId="36D3B298">
      <w:pPr>
        <w:jc w:val="left"/>
        <w:rPr>
          <w:rFonts w:hint="eastAsia"/>
          <w:b/>
          <w:sz w:val="24"/>
        </w:rPr>
      </w:pPr>
      <w:r>
        <w:rPr>
          <w:rFonts w:hint="eastAsia"/>
          <w:b/>
          <w:sz w:val="24"/>
        </w:rPr>
        <w:br w:type="page"/>
      </w:r>
    </w:p>
    <w:p w14:paraId="01853238">
      <w:pPr>
        <w:keepNext/>
        <w:keepLines/>
        <w:widowControl w:val="0"/>
        <w:spacing w:before="260" w:after="260" w:line="240" w:lineRule="auto"/>
        <w:jc w:val="both"/>
        <w:outlineLvl w:val="2"/>
        <w:rPr>
          <w:rFonts w:ascii="黑体" w:hAnsi="黑体" w:eastAsia="黑体" w:cs="黑体"/>
          <w:b w:val="0"/>
          <w:bCs w:val="0"/>
          <w:kern w:val="2"/>
          <w:sz w:val="24"/>
          <w:szCs w:val="28"/>
          <w:lang w:val="en-US" w:eastAsia="zh-CN" w:bidi="ar-SA"/>
        </w:rPr>
      </w:pPr>
      <w:r>
        <w:rPr>
          <w:rFonts w:hint="eastAsia" w:ascii="黑体" w:hAnsi="黑体" w:eastAsia="黑体" w:cs="黑体"/>
          <w:b w:val="0"/>
          <w:bCs w:val="0"/>
          <w:kern w:val="2"/>
          <w:sz w:val="24"/>
          <w:szCs w:val="28"/>
          <w:lang w:val="en-US" w:eastAsia="zh-CN" w:bidi="ar-SA"/>
        </w:rPr>
        <w:t>五、供应商获奖情况（格式自定）</w:t>
      </w:r>
    </w:p>
    <w:p w14:paraId="2927EED8">
      <w:pPr>
        <w:widowControl w:val="0"/>
        <w:spacing w:line="360" w:lineRule="auto"/>
        <w:jc w:val="center"/>
        <w:rPr>
          <w:rFonts w:ascii="Times New Roman" w:hAnsi="Times New Roman" w:eastAsia="宋体" w:cs="Times New Roman"/>
          <w:b w:val="0"/>
          <w:bCs w:val="0"/>
          <w:color w:val="FF0000"/>
          <w:kern w:val="2"/>
          <w:sz w:val="24"/>
          <w:szCs w:val="24"/>
          <w:lang w:val="en-US" w:eastAsia="zh-CN" w:bidi="ar-SA"/>
        </w:rPr>
      </w:pPr>
      <w:r>
        <w:rPr>
          <w:rFonts w:hint="eastAsia" w:ascii="Times New Roman" w:hAnsi="Times New Roman" w:eastAsia="宋体" w:cs="Times New Roman"/>
          <w:b w:val="0"/>
          <w:bCs w:val="0"/>
          <w:color w:val="FF0000"/>
          <w:kern w:val="2"/>
          <w:sz w:val="24"/>
          <w:szCs w:val="24"/>
          <w:lang w:val="en-US" w:eastAsia="zh-CN" w:bidi="ar-SA"/>
        </w:rPr>
        <w:t>（特别提示：投标人须按本招标文件评标信息中这一评审因素要求，提供证明资料）</w:t>
      </w:r>
    </w:p>
    <w:p w14:paraId="468C17AD">
      <w:pPr>
        <w:widowControl w:val="0"/>
        <w:spacing w:line="360" w:lineRule="auto"/>
        <w:jc w:val="both"/>
        <w:rPr>
          <w:rFonts w:ascii="Times New Roman" w:hAnsi="Times New Roman" w:eastAsia="宋体" w:cs="Times New Roman"/>
          <w:color w:val="FF0000"/>
          <w:kern w:val="2"/>
          <w:sz w:val="22"/>
          <w:szCs w:val="22"/>
          <w:lang w:val="en-US" w:eastAsia="zh-CN" w:bidi="ar-SA"/>
        </w:rPr>
      </w:pPr>
    </w:p>
    <w:p w14:paraId="78034B09">
      <w:pPr>
        <w:keepNext/>
        <w:keepLines/>
        <w:widowControl w:val="0"/>
        <w:spacing w:before="260" w:after="260" w:line="240" w:lineRule="auto"/>
        <w:jc w:val="both"/>
        <w:outlineLvl w:val="2"/>
        <w:rPr>
          <w:rFonts w:ascii="黑体" w:hAnsi="黑体" w:eastAsia="黑体" w:cs="黑体"/>
          <w:b w:val="0"/>
          <w:bCs w:val="0"/>
          <w:kern w:val="2"/>
          <w:sz w:val="24"/>
          <w:szCs w:val="28"/>
          <w:lang w:val="en-US" w:eastAsia="zh-CN" w:bidi="ar-SA"/>
        </w:rPr>
      </w:pPr>
      <w:r>
        <w:rPr>
          <w:rFonts w:hint="eastAsia" w:ascii="黑体" w:hAnsi="黑体" w:eastAsia="黑体" w:cs="黑体"/>
          <w:b w:val="0"/>
          <w:bCs w:val="0"/>
          <w:kern w:val="2"/>
          <w:sz w:val="24"/>
          <w:szCs w:val="28"/>
          <w:lang w:val="en-US" w:eastAsia="zh-CN" w:bidi="ar-SA"/>
        </w:rPr>
        <w:t>六、供应商同类项目业绩情况（格式自定）</w:t>
      </w:r>
    </w:p>
    <w:p w14:paraId="597840BD">
      <w:r>
        <w:rPr>
          <w:rFonts w:hint="eastAsia" w:ascii="Times New Roman" w:hAnsi="Times New Roman" w:eastAsia="宋体" w:cs="Times New Roman"/>
          <w:b w:val="0"/>
          <w:bCs w:val="0"/>
          <w:color w:val="FF0000"/>
          <w:kern w:val="2"/>
          <w:sz w:val="24"/>
          <w:szCs w:val="24"/>
          <w:lang w:val="en-US" w:eastAsia="zh-CN" w:bidi="ar-SA"/>
        </w:rPr>
        <w:t>（特别提示：投标人须按本招标文件评标信息中这一评审因素要求，提供证明资料）</w:t>
      </w:r>
    </w:p>
    <w:p w14:paraId="7171E6C5">
      <w:pPr>
        <w:ind w:firstLine="1446" w:firstLineChars="600"/>
        <w:rPr>
          <w:rFonts w:hint="eastAsia"/>
          <w:b/>
          <w:color w:val="FF0000"/>
          <w:sz w:val="24"/>
        </w:rPr>
      </w:pPr>
    </w:p>
    <w:p w14:paraId="23F9D8E6">
      <w:pPr>
        <w:ind w:firstLine="1446" w:firstLineChars="600"/>
        <w:rPr>
          <w:b/>
          <w:color w:val="FF0000"/>
          <w:sz w:val="24"/>
        </w:rPr>
      </w:pPr>
      <w:r>
        <w:rPr>
          <w:rFonts w:hint="eastAsia"/>
          <w:b/>
          <w:color w:val="FF0000"/>
          <w:sz w:val="24"/>
        </w:rPr>
        <w:t>（信息公开部分的内容到此为止！以下为信息不公开部分）</w:t>
      </w:r>
    </w:p>
    <w:p w14:paraId="064B10FC">
      <w:pPr>
        <w:rPr>
          <w:rFonts w:ascii="宋体" w:hAnsi="宋体"/>
          <w:b/>
          <w:color w:val="FF0000"/>
          <w:sz w:val="28"/>
          <w:szCs w:val="28"/>
        </w:rPr>
      </w:pPr>
      <w:r>
        <w:rPr>
          <w:rFonts w:hint="eastAsia" w:ascii="宋体" w:hAnsi="宋体"/>
          <w:b/>
          <w:color w:val="FF0000"/>
          <w:sz w:val="28"/>
          <w:szCs w:val="28"/>
        </w:rPr>
        <w:br w:type="page"/>
      </w:r>
    </w:p>
    <w:p w14:paraId="4DAD20C0">
      <w:pPr>
        <w:outlineLvl w:val="1"/>
        <w:rPr>
          <w:rFonts w:ascii="宋体" w:hAnsi="宋体"/>
          <w:b/>
          <w:color w:val="FF0000"/>
          <w:sz w:val="28"/>
          <w:szCs w:val="28"/>
        </w:rPr>
      </w:pPr>
      <w:r>
        <w:rPr>
          <w:rFonts w:hint="eastAsia" w:ascii="宋体" w:hAnsi="宋体"/>
          <w:b/>
          <w:color w:val="FF0000"/>
          <w:sz w:val="28"/>
          <w:szCs w:val="28"/>
        </w:rPr>
        <w:t>投标文件附件（信息不公开部分）</w:t>
      </w:r>
    </w:p>
    <w:p w14:paraId="5C3F7270">
      <w:pPr>
        <w:pStyle w:val="5"/>
        <w:spacing w:before="0" w:after="0"/>
        <w:jc w:val="center"/>
        <w:rPr>
          <w:rFonts w:ascii="黑体" w:hAnsi="黑体" w:eastAsia="黑体" w:cs="黑体"/>
          <w:b w:val="0"/>
          <w:bCs w:val="0"/>
          <w:sz w:val="24"/>
          <w:szCs w:val="28"/>
        </w:rPr>
      </w:pPr>
      <w:r>
        <w:rPr>
          <w:rFonts w:hint="eastAsia" w:ascii="黑体" w:hAnsi="黑体" w:eastAsia="黑体" w:cs="黑体"/>
          <w:b w:val="0"/>
          <w:bCs w:val="0"/>
          <w:sz w:val="24"/>
          <w:szCs w:val="28"/>
        </w:rPr>
        <w:t>一、供应商基本情况表</w:t>
      </w:r>
    </w:p>
    <w:p w14:paraId="7016DC78"/>
    <w:p w14:paraId="27F40366">
      <w:pPr>
        <w:rPr>
          <w:rFonts w:ascii="宋体" w:hAnsi="宋体" w:cs="宋体"/>
          <w:sz w:val="24"/>
        </w:rPr>
      </w:pPr>
      <w:r>
        <w:rPr>
          <w:rFonts w:hint="eastAsia" w:ascii="宋体" w:hAnsi="宋体" w:cs="宋体"/>
          <w:sz w:val="24"/>
        </w:rPr>
        <w:t>填表单位：</w:t>
      </w:r>
      <w:r>
        <w:rPr>
          <w:rFonts w:hint="eastAsia" w:ascii="宋体" w:hAnsi="宋体" w:cs="宋体"/>
          <w:b/>
          <w:color w:val="FF0000"/>
          <w:sz w:val="24"/>
          <w:highlight w:val="yellow"/>
        </w:rPr>
        <w:t>（加盖单位公章）</w:t>
      </w:r>
      <w:r>
        <w:rPr>
          <w:rFonts w:hint="eastAsia" w:ascii="宋体" w:hAnsi="宋体" w:cs="宋体"/>
          <w:sz w:val="24"/>
        </w:rPr>
        <w:tab/>
      </w:r>
      <w:r>
        <w:rPr>
          <w:rFonts w:hint="eastAsia" w:ascii="宋体" w:hAnsi="宋体" w:cs="宋体"/>
          <w:sz w:val="24"/>
        </w:rPr>
        <w:t xml:space="preserve">                   填表日期：    年   月   日</w:t>
      </w:r>
    </w:p>
    <w:tbl>
      <w:tblPr>
        <w:tblStyle w:val="14"/>
        <w:tblW w:w="9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676"/>
        <w:gridCol w:w="1157"/>
        <w:gridCol w:w="1396"/>
        <w:gridCol w:w="791"/>
        <w:gridCol w:w="912"/>
        <w:gridCol w:w="1972"/>
        <w:gridCol w:w="1928"/>
      </w:tblGrid>
      <w:tr w14:paraId="043B3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12" w:type="dxa"/>
            <w:gridSpan w:val="2"/>
            <w:tcBorders>
              <w:top w:val="single" w:color="auto" w:sz="4" w:space="0"/>
              <w:left w:val="single" w:color="auto" w:sz="4" w:space="0"/>
              <w:bottom w:val="single" w:color="auto" w:sz="4" w:space="0"/>
              <w:right w:val="single" w:color="auto" w:sz="4" w:space="0"/>
            </w:tcBorders>
            <w:vAlign w:val="center"/>
          </w:tcPr>
          <w:p w14:paraId="73985845">
            <w:pPr>
              <w:keepNext w:val="0"/>
              <w:keepLines w:val="0"/>
              <w:suppressLineNumbers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采购人</w:t>
            </w:r>
          </w:p>
        </w:tc>
        <w:tc>
          <w:tcPr>
            <w:tcW w:w="2553" w:type="dxa"/>
            <w:gridSpan w:val="2"/>
            <w:tcBorders>
              <w:top w:val="single" w:color="auto" w:sz="4" w:space="0"/>
              <w:left w:val="single" w:color="auto" w:sz="4" w:space="0"/>
              <w:bottom w:val="single" w:color="auto" w:sz="4" w:space="0"/>
              <w:right w:val="single" w:color="auto" w:sz="4" w:space="0"/>
            </w:tcBorders>
            <w:vAlign w:val="center"/>
          </w:tcPr>
          <w:p w14:paraId="4BCD998E">
            <w:pPr>
              <w:keepNext w:val="0"/>
              <w:keepLines w:val="0"/>
              <w:suppressLineNumbers w:val="0"/>
              <w:spacing w:before="0" w:beforeAutospacing="0" w:after="0" w:afterAutospacing="0" w:line="400" w:lineRule="exact"/>
              <w:ind w:left="0" w:right="0"/>
              <w:jc w:val="left"/>
              <w:rPr>
                <w:rFonts w:hint="default" w:ascii="宋体" w:hAnsi="宋体" w:cs="宋体"/>
                <w:sz w:val="24"/>
              </w:rPr>
            </w:pPr>
          </w:p>
        </w:tc>
        <w:tc>
          <w:tcPr>
            <w:tcW w:w="1703" w:type="dxa"/>
            <w:gridSpan w:val="2"/>
            <w:tcBorders>
              <w:top w:val="single" w:color="auto" w:sz="4" w:space="0"/>
              <w:left w:val="single" w:color="auto" w:sz="4" w:space="0"/>
              <w:bottom w:val="single" w:color="auto" w:sz="4" w:space="0"/>
              <w:right w:val="single" w:color="auto" w:sz="4" w:space="0"/>
            </w:tcBorders>
            <w:vAlign w:val="center"/>
          </w:tcPr>
          <w:p w14:paraId="0D7ECEF4">
            <w:pPr>
              <w:keepNext w:val="0"/>
              <w:keepLines w:val="0"/>
              <w:suppressLineNumbers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项目名称</w:t>
            </w:r>
          </w:p>
        </w:tc>
        <w:tc>
          <w:tcPr>
            <w:tcW w:w="3900" w:type="dxa"/>
            <w:gridSpan w:val="2"/>
            <w:tcBorders>
              <w:top w:val="single" w:color="auto" w:sz="4" w:space="0"/>
              <w:left w:val="single" w:color="auto" w:sz="4" w:space="0"/>
              <w:bottom w:val="single" w:color="auto" w:sz="4" w:space="0"/>
              <w:right w:val="single" w:color="auto" w:sz="4" w:space="0"/>
            </w:tcBorders>
            <w:vAlign w:val="center"/>
          </w:tcPr>
          <w:p w14:paraId="224FD5BA">
            <w:pPr>
              <w:keepNext w:val="0"/>
              <w:keepLines w:val="0"/>
              <w:suppressLineNumbers w:val="0"/>
              <w:spacing w:before="0" w:beforeAutospacing="0" w:after="0" w:afterAutospacing="0" w:line="400" w:lineRule="exact"/>
              <w:ind w:left="0" w:right="0"/>
              <w:rPr>
                <w:rFonts w:hint="default" w:ascii="宋体" w:hAnsi="宋体" w:cs="宋体"/>
                <w:sz w:val="24"/>
              </w:rPr>
            </w:pPr>
          </w:p>
        </w:tc>
      </w:tr>
      <w:tr w14:paraId="2EB50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12" w:type="dxa"/>
            <w:gridSpan w:val="2"/>
            <w:tcBorders>
              <w:top w:val="single" w:color="auto" w:sz="4" w:space="0"/>
              <w:left w:val="single" w:color="auto" w:sz="4" w:space="0"/>
              <w:bottom w:val="single" w:color="auto" w:sz="4" w:space="0"/>
              <w:right w:val="single" w:color="auto" w:sz="4" w:space="0"/>
            </w:tcBorders>
            <w:vAlign w:val="center"/>
          </w:tcPr>
          <w:p w14:paraId="5ED22908">
            <w:pPr>
              <w:keepNext w:val="0"/>
              <w:keepLines w:val="0"/>
              <w:suppressLineNumbers w:val="0"/>
              <w:snapToGrid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投标（响应）供应商</w:t>
            </w:r>
          </w:p>
        </w:tc>
        <w:tc>
          <w:tcPr>
            <w:tcW w:w="2553" w:type="dxa"/>
            <w:gridSpan w:val="2"/>
            <w:tcBorders>
              <w:top w:val="single" w:color="auto" w:sz="4" w:space="0"/>
              <w:left w:val="single" w:color="auto" w:sz="4" w:space="0"/>
              <w:bottom w:val="single" w:color="auto" w:sz="4" w:space="0"/>
              <w:right w:val="single" w:color="auto" w:sz="4" w:space="0"/>
            </w:tcBorders>
            <w:vAlign w:val="center"/>
          </w:tcPr>
          <w:p w14:paraId="4B7E096F">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c>
          <w:tcPr>
            <w:tcW w:w="1703" w:type="dxa"/>
            <w:gridSpan w:val="2"/>
            <w:tcBorders>
              <w:top w:val="single" w:color="auto" w:sz="4" w:space="0"/>
              <w:left w:val="single" w:color="auto" w:sz="4" w:space="0"/>
              <w:bottom w:val="single" w:color="auto" w:sz="4" w:space="0"/>
              <w:right w:val="single" w:color="auto" w:sz="4" w:space="0"/>
            </w:tcBorders>
            <w:vAlign w:val="center"/>
          </w:tcPr>
          <w:p w14:paraId="47074B10">
            <w:pPr>
              <w:keepNext w:val="0"/>
              <w:keepLines w:val="0"/>
              <w:suppressLineNumbers w:val="0"/>
              <w:snapToGrid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供应商统一社会信用代码</w:t>
            </w:r>
          </w:p>
        </w:tc>
        <w:tc>
          <w:tcPr>
            <w:tcW w:w="3900" w:type="dxa"/>
            <w:gridSpan w:val="2"/>
            <w:tcBorders>
              <w:top w:val="single" w:color="auto" w:sz="4" w:space="0"/>
              <w:left w:val="single" w:color="auto" w:sz="4" w:space="0"/>
              <w:bottom w:val="single" w:color="auto" w:sz="4" w:space="0"/>
              <w:right w:val="single" w:color="auto" w:sz="4" w:space="0"/>
            </w:tcBorders>
            <w:vAlign w:val="center"/>
          </w:tcPr>
          <w:p w14:paraId="5326D004">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r>
      <w:tr w14:paraId="0CFEE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568" w:type="dxa"/>
            <w:gridSpan w:val="8"/>
            <w:tcBorders>
              <w:top w:val="single" w:color="auto" w:sz="4" w:space="0"/>
              <w:left w:val="single" w:color="auto" w:sz="4" w:space="0"/>
              <w:bottom w:val="single" w:color="auto" w:sz="4" w:space="0"/>
              <w:right w:val="single" w:color="auto" w:sz="4" w:space="0"/>
            </w:tcBorders>
            <w:vAlign w:val="center"/>
          </w:tcPr>
          <w:p w14:paraId="64FFAEA1">
            <w:pPr>
              <w:keepNext w:val="0"/>
              <w:keepLines w:val="0"/>
              <w:suppressLineNumbers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b/>
                <w:bCs/>
                <w:sz w:val="24"/>
              </w:rPr>
              <w:t>投标（响应）供应商相关人员情况</w:t>
            </w:r>
          </w:p>
        </w:tc>
      </w:tr>
      <w:tr w14:paraId="2702F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46E0486E">
            <w:pPr>
              <w:keepNext w:val="0"/>
              <w:keepLines w:val="0"/>
              <w:suppressLineNumbers w:val="0"/>
              <w:snapToGrid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序号</w:t>
            </w:r>
          </w:p>
        </w:tc>
        <w:tc>
          <w:tcPr>
            <w:tcW w:w="1833" w:type="dxa"/>
            <w:gridSpan w:val="2"/>
            <w:tcBorders>
              <w:top w:val="single" w:color="auto" w:sz="4" w:space="0"/>
              <w:left w:val="single" w:color="auto" w:sz="4" w:space="0"/>
              <w:bottom w:val="single" w:color="auto" w:sz="4" w:space="0"/>
              <w:right w:val="single" w:color="auto" w:sz="4" w:space="0"/>
            </w:tcBorders>
            <w:vAlign w:val="center"/>
          </w:tcPr>
          <w:p w14:paraId="03F6BD12">
            <w:pPr>
              <w:keepNext w:val="0"/>
              <w:keepLines w:val="0"/>
              <w:suppressLineNumbers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职务</w:t>
            </w:r>
          </w:p>
        </w:tc>
        <w:tc>
          <w:tcPr>
            <w:tcW w:w="1396" w:type="dxa"/>
            <w:tcBorders>
              <w:top w:val="single" w:color="auto" w:sz="4" w:space="0"/>
              <w:left w:val="single" w:color="auto" w:sz="4" w:space="0"/>
              <w:bottom w:val="single" w:color="auto" w:sz="4" w:space="0"/>
              <w:right w:val="single" w:color="auto" w:sz="4" w:space="0"/>
            </w:tcBorders>
            <w:vAlign w:val="center"/>
          </w:tcPr>
          <w:p w14:paraId="3004E7C1">
            <w:pPr>
              <w:keepNext w:val="0"/>
              <w:keepLines w:val="0"/>
              <w:suppressLineNumbers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姓名</w:t>
            </w:r>
          </w:p>
        </w:tc>
        <w:tc>
          <w:tcPr>
            <w:tcW w:w="1703" w:type="dxa"/>
            <w:gridSpan w:val="2"/>
            <w:tcBorders>
              <w:top w:val="single" w:color="auto" w:sz="4" w:space="0"/>
              <w:left w:val="single" w:color="auto" w:sz="4" w:space="0"/>
              <w:bottom w:val="single" w:color="auto" w:sz="4" w:space="0"/>
              <w:right w:val="single" w:color="auto" w:sz="4" w:space="0"/>
            </w:tcBorders>
            <w:vAlign w:val="center"/>
          </w:tcPr>
          <w:p w14:paraId="2E41218F">
            <w:pPr>
              <w:keepNext w:val="0"/>
              <w:keepLines w:val="0"/>
              <w:suppressLineNumbers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身份证号码</w:t>
            </w:r>
          </w:p>
        </w:tc>
        <w:tc>
          <w:tcPr>
            <w:tcW w:w="1972" w:type="dxa"/>
            <w:tcBorders>
              <w:top w:val="single" w:color="auto" w:sz="4" w:space="0"/>
              <w:left w:val="single" w:color="auto" w:sz="4" w:space="0"/>
              <w:bottom w:val="single" w:color="auto" w:sz="4" w:space="0"/>
              <w:right w:val="single" w:color="auto" w:sz="4" w:space="0"/>
            </w:tcBorders>
            <w:vAlign w:val="center"/>
          </w:tcPr>
          <w:p w14:paraId="3A895172">
            <w:pPr>
              <w:keepNext w:val="0"/>
              <w:keepLines w:val="0"/>
              <w:suppressLineNumbers w:val="0"/>
              <w:snapToGrid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劳动合同</w:t>
            </w:r>
          </w:p>
          <w:p w14:paraId="3C22994F">
            <w:pPr>
              <w:keepNext w:val="0"/>
              <w:keepLines w:val="0"/>
              <w:suppressLineNumbers w:val="0"/>
              <w:snapToGrid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关系单位</w:t>
            </w:r>
          </w:p>
        </w:tc>
        <w:tc>
          <w:tcPr>
            <w:tcW w:w="1928" w:type="dxa"/>
            <w:tcBorders>
              <w:top w:val="single" w:color="auto" w:sz="4" w:space="0"/>
              <w:left w:val="single" w:color="auto" w:sz="4" w:space="0"/>
              <w:bottom w:val="single" w:color="auto" w:sz="4" w:space="0"/>
              <w:right w:val="single" w:color="auto" w:sz="4" w:space="0"/>
            </w:tcBorders>
            <w:vAlign w:val="center"/>
          </w:tcPr>
          <w:p w14:paraId="6FACCC2A">
            <w:pPr>
              <w:keepNext w:val="0"/>
              <w:keepLines w:val="0"/>
              <w:suppressLineNumbers w:val="0"/>
              <w:snapToGrid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缴纳社会</w:t>
            </w:r>
          </w:p>
          <w:p w14:paraId="51B8DE3E">
            <w:pPr>
              <w:keepNext w:val="0"/>
              <w:keepLines w:val="0"/>
              <w:suppressLineNumbers w:val="0"/>
              <w:snapToGrid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保险单位</w:t>
            </w:r>
          </w:p>
        </w:tc>
      </w:tr>
      <w:tr w14:paraId="110C1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466F55BD">
            <w:pPr>
              <w:keepNext w:val="0"/>
              <w:keepLines w:val="0"/>
              <w:suppressLineNumbers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1</w:t>
            </w:r>
          </w:p>
        </w:tc>
        <w:tc>
          <w:tcPr>
            <w:tcW w:w="1833" w:type="dxa"/>
            <w:gridSpan w:val="2"/>
            <w:tcBorders>
              <w:top w:val="single" w:color="auto" w:sz="4" w:space="0"/>
              <w:left w:val="single" w:color="auto" w:sz="4" w:space="0"/>
              <w:bottom w:val="single" w:color="auto" w:sz="4" w:space="0"/>
              <w:right w:val="single" w:color="auto" w:sz="4" w:space="0"/>
            </w:tcBorders>
            <w:vAlign w:val="center"/>
          </w:tcPr>
          <w:p w14:paraId="01D1B957">
            <w:pPr>
              <w:keepNext w:val="0"/>
              <w:keepLines w:val="0"/>
              <w:suppressLineNumbers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法定代表人/单位负责人/主要经营负责人</w:t>
            </w:r>
          </w:p>
        </w:tc>
        <w:tc>
          <w:tcPr>
            <w:tcW w:w="1396" w:type="dxa"/>
            <w:tcBorders>
              <w:top w:val="single" w:color="auto" w:sz="4" w:space="0"/>
              <w:left w:val="single" w:color="auto" w:sz="4" w:space="0"/>
              <w:bottom w:val="single" w:color="auto" w:sz="4" w:space="0"/>
              <w:right w:val="single" w:color="auto" w:sz="4" w:space="0"/>
            </w:tcBorders>
            <w:vAlign w:val="center"/>
          </w:tcPr>
          <w:p w14:paraId="338FF660">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c>
          <w:tcPr>
            <w:tcW w:w="1703" w:type="dxa"/>
            <w:gridSpan w:val="2"/>
            <w:tcBorders>
              <w:top w:val="single" w:color="auto" w:sz="4" w:space="0"/>
              <w:left w:val="single" w:color="auto" w:sz="4" w:space="0"/>
              <w:bottom w:val="single" w:color="auto" w:sz="4" w:space="0"/>
              <w:right w:val="single" w:color="auto" w:sz="4" w:space="0"/>
            </w:tcBorders>
            <w:vAlign w:val="center"/>
          </w:tcPr>
          <w:p w14:paraId="17DC5DBA">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c>
          <w:tcPr>
            <w:tcW w:w="1972" w:type="dxa"/>
            <w:tcBorders>
              <w:top w:val="single" w:color="auto" w:sz="4" w:space="0"/>
              <w:left w:val="single" w:color="auto" w:sz="4" w:space="0"/>
              <w:bottom w:val="single" w:color="auto" w:sz="4" w:space="0"/>
              <w:right w:val="single" w:color="auto" w:sz="4" w:space="0"/>
            </w:tcBorders>
            <w:vAlign w:val="center"/>
          </w:tcPr>
          <w:p w14:paraId="4BF1BE38">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c>
          <w:tcPr>
            <w:tcW w:w="1928" w:type="dxa"/>
            <w:tcBorders>
              <w:top w:val="single" w:color="auto" w:sz="4" w:space="0"/>
              <w:left w:val="single" w:color="auto" w:sz="4" w:space="0"/>
              <w:bottom w:val="single" w:color="auto" w:sz="4" w:space="0"/>
              <w:right w:val="single" w:color="auto" w:sz="4" w:space="0"/>
            </w:tcBorders>
            <w:vAlign w:val="center"/>
          </w:tcPr>
          <w:p w14:paraId="4A82153C">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r>
      <w:tr w14:paraId="613A9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6377977B">
            <w:pPr>
              <w:keepNext w:val="0"/>
              <w:keepLines w:val="0"/>
              <w:suppressLineNumbers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2</w:t>
            </w:r>
          </w:p>
        </w:tc>
        <w:tc>
          <w:tcPr>
            <w:tcW w:w="1833" w:type="dxa"/>
            <w:gridSpan w:val="2"/>
            <w:tcBorders>
              <w:top w:val="single" w:color="auto" w:sz="4" w:space="0"/>
              <w:left w:val="single" w:color="auto" w:sz="4" w:space="0"/>
              <w:bottom w:val="single" w:color="auto" w:sz="4" w:space="0"/>
              <w:right w:val="single" w:color="auto" w:sz="4" w:space="0"/>
            </w:tcBorders>
            <w:vAlign w:val="center"/>
          </w:tcPr>
          <w:p w14:paraId="27F42882">
            <w:pPr>
              <w:keepNext w:val="0"/>
              <w:keepLines w:val="0"/>
              <w:suppressLineNumbers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项目投标授权代表人</w:t>
            </w:r>
          </w:p>
        </w:tc>
        <w:tc>
          <w:tcPr>
            <w:tcW w:w="1396" w:type="dxa"/>
            <w:tcBorders>
              <w:top w:val="single" w:color="auto" w:sz="4" w:space="0"/>
              <w:left w:val="single" w:color="auto" w:sz="4" w:space="0"/>
              <w:bottom w:val="single" w:color="auto" w:sz="4" w:space="0"/>
              <w:right w:val="single" w:color="auto" w:sz="4" w:space="0"/>
            </w:tcBorders>
            <w:vAlign w:val="center"/>
          </w:tcPr>
          <w:p w14:paraId="6D32E965">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c>
          <w:tcPr>
            <w:tcW w:w="1703" w:type="dxa"/>
            <w:gridSpan w:val="2"/>
            <w:tcBorders>
              <w:top w:val="single" w:color="auto" w:sz="4" w:space="0"/>
              <w:left w:val="single" w:color="auto" w:sz="4" w:space="0"/>
              <w:bottom w:val="single" w:color="auto" w:sz="4" w:space="0"/>
              <w:right w:val="single" w:color="auto" w:sz="4" w:space="0"/>
            </w:tcBorders>
            <w:vAlign w:val="center"/>
          </w:tcPr>
          <w:p w14:paraId="1CE35422">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c>
          <w:tcPr>
            <w:tcW w:w="1972" w:type="dxa"/>
            <w:tcBorders>
              <w:top w:val="single" w:color="auto" w:sz="4" w:space="0"/>
              <w:left w:val="single" w:color="auto" w:sz="4" w:space="0"/>
              <w:bottom w:val="single" w:color="auto" w:sz="4" w:space="0"/>
              <w:right w:val="single" w:color="auto" w:sz="4" w:space="0"/>
            </w:tcBorders>
            <w:vAlign w:val="center"/>
          </w:tcPr>
          <w:p w14:paraId="651802CD">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c>
          <w:tcPr>
            <w:tcW w:w="1928" w:type="dxa"/>
            <w:tcBorders>
              <w:top w:val="single" w:color="auto" w:sz="4" w:space="0"/>
              <w:left w:val="single" w:color="auto" w:sz="4" w:space="0"/>
              <w:bottom w:val="single" w:color="auto" w:sz="4" w:space="0"/>
              <w:right w:val="single" w:color="auto" w:sz="4" w:space="0"/>
            </w:tcBorders>
            <w:vAlign w:val="center"/>
          </w:tcPr>
          <w:p w14:paraId="29DB90B5">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r>
      <w:tr w14:paraId="40789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7F864D78">
            <w:pPr>
              <w:keepNext w:val="0"/>
              <w:keepLines w:val="0"/>
              <w:suppressLineNumbers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lang w:bidi="ar"/>
              </w:rPr>
              <w:t>3</w:t>
            </w:r>
          </w:p>
        </w:tc>
        <w:tc>
          <w:tcPr>
            <w:tcW w:w="1833" w:type="dxa"/>
            <w:gridSpan w:val="2"/>
            <w:tcBorders>
              <w:top w:val="single" w:color="auto" w:sz="4" w:space="0"/>
              <w:left w:val="single" w:color="auto" w:sz="4" w:space="0"/>
              <w:bottom w:val="single" w:color="auto" w:sz="4" w:space="0"/>
              <w:right w:val="single" w:color="auto" w:sz="4" w:space="0"/>
            </w:tcBorders>
            <w:vAlign w:val="center"/>
          </w:tcPr>
          <w:p w14:paraId="7C5E4F4F">
            <w:pPr>
              <w:keepNext w:val="0"/>
              <w:keepLines w:val="0"/>
              <w:suppressLineNumbers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项目负责人</w:t>
            </w:r>
          </w:p>
        </w:tc>
        <w:tc>
          <w:tcPr>
            <w:tcW w:w="1396" w:type="dxa"/>
            <w:tcBorders>
              <w:top w:val="single" w:color="auto" w:sz="4" w:space="0"/>
              <w:left w:val="single" w:color="auto" w:sz="4" w:space="0"/>
              <w:bottom w:val="single" w:color="auto" w:sz="4" w:space="0"/>
              <w:right w:val="single" w:color="auto" w:sz="4" w:space="0"/>
            </w:tcBorders>
            <w:vAlign w:val="center"/>
          </w:tcPr>
          <w:p w14:paraId="4C1B33CE">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c>
          <w:tcPr>
            <w:tcW w:w="1703" w:type="dxa"/>
            <w:gridSpan w:val="2"/>
            <w:tcBorders>
              <w:top w:val="single" w:color="auto" w:sz="4" w:space="0"/>
              <w:left w:val="single" w:color="auto" w:sz="4" w:space="0"/>
              <w:bottom w:val="single" w:color="auto" w:sz="4" w:space="0"/>
              <w:right w:val="single" w:color="auto" w:sz="4" w:space="0"/>
            </w:tcBorders>
            <w:vAlign w:val="center"/>
          </w:tcPr>
          <w:p w14:paraId="44DC5985">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c>
          <w:tcPr>
            <w:tcW w:w="1972" w:type="dxa"/>
            <w:tcBorders>
              <w:top w:val="single" w:color="auto" w:sz="4" w:space="0"/>
              <w:left w:val="single" w:color="auto" w:sz="4" w:space="0"/>
              <w:bottom w:val="single" w:color="auto" w:sz="4" w:space="0"/>
              <w:right w:val="single" w:color="auto" w:sz="4" w:space="0"/>
            </w:tcBorders>
            <w:vAlign w:val="center"/>
          </w:tcPr>
          <w:p w14:paraId="49D697E7">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c>
          <w:tcPr>
            <w:tcW w:w="1928" w:type="dxa"/>
            <w:tcBorders>
              <w:top w:val="single" w:color="auto" w:sz="4" w:space="0"/>
              <w:left w:val="single" w:color="auto" w:sz="4" w:space="0"/>
              <w:bottom w:val="single" w:color="auto" w:sz="4" w:space="0"/>
              <w:right w:val="single" w:color="auto" w:sz="4" w:space="0"/>
            </w:tcBorders>
            <w:vAlign w:val="center"/>
          </w:tcPr>
          <w:p w14:paraId="577DDDFE">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r>
      <w:tr w14:paraId="76DDA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779BCE05">
            <w:pPr>
              <w:keepNext w:val="0"/>
              <w:keepLines w:val="0"/>
              <w:suppressLineNumbers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lang w:bidi="ar"/>
              </w:rPr>
              <w:t>4</w:t>
            </w:r>
          </w:p>
        </w:tc>
        <w:tc>
          <w:tcPr>
            <w:tcW w:w="1833" w:type="dxa"/>
            <w:gridSpan w:val="2"/>
            <w:tcBorders>
              <w:top w:val="single" w:color="auto" w:sz="4" w:space="0"/>
              <w:left w:val="single" w:color="auto" w:sz="4" w:space="0"/>
              <w:bottom w:val="single" w:color="auto" w:sz="4" w:space="0"/>
              <w:right w:val="single" w:color="auto" w:sz="4" w:space="0"/>
            </w:tcBorders>
            <w:vAlign w:val="center"/>
          </w:tcPr>
          <w:p w14:paraId="1E469181">
            <w:pPr>
              <w:keepNext w:val="0"/>
              <w:keepLines w:val="0"/>
              <w:suppressLineNumbers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主要技术人员</w:t>
            </w:r>
          </w:p>
        </w:tc>
        <w:tc>
          <w:tcPr>
            <w:tcW w:w="1396" w:type="dxa"/>
            <w:tcBorders>
              <w:top w:val="single" w:color="auto" w:sz="4" w:space="0"/>
              <w:left w:val="single" w:color="auto" w:sz="4" w:space="0"/>
              <w:bottom w:val="single" w:color="auto" w:sz="4" w:space="0"/>
              <w:right w:val="single" w:color="auto" w:sz="4" w:space="0"/>
            </w:tcBorders>
            <w:vAlign w:val="center"/>
          </w:tcPr>
          <w:p w14:paraId="1E172766">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c>
          <w:tcPr>
            <w:tcW w:w="1703" w:type="dxa"/>
            <w:gridSpan w:val="2"/>
            <w:tcBorders>
              <w:top w:val="single" w:color="auto" w:sz="4" w:space="0"/>
              <w:left w:val="single" w:color="auto" w:sz="4" w:space="0"/>
              <w:bottom w:val="single" w:color="auto" w:sz="4" w:space="0"/>
              <w:right w:val="single" w:color="auto" w:sz="4" w:space="0"/>
            </w:tcBorders>
            <w:vAlign w:val="center"/>
          </w:tcPr>
          <w:p w14:paraId="4EC3C917">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c>
          <w:tcPr>
            <w:tcW w:w="1972" w:type="dxa"/>
            <w:tcBorders>
              <w:top w:val="single" w:color="auto" w:sz="4" w:space="0"/>
              <w:left w:val="single" w:color="auto" w:sz="4" w:space="0"/>
              <w:bottom w:val="single" w:color="auto" w:sz="4" w:space="0"/>
              <w:right w:val="single" w:color="auto" w:sz="4" w:space="0"/>
            </w:tcBorders>
            <w:vAlign w:val="center"/>
          </w:tcPr>
          <w:p w14:paraId="4DFC40E1">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c>
          <w:tcPr>
            <w:tcW w:w="1928" w:type="dxa"/>
            <w:tcBorders>
              <w:top w:val="single" w:color="auto" w:sz="4" w:space="0"/>
              <w:left w:val="single" w:color="auto" w:sz="4" w:space="0"/>
              <w:bottom w:val="single" w:color="auto" w:sz="4" w:space="0"/>
              <w:right w:val="single" w:color="auto" w:sz="4" w:space="0"/>
            </w:tcBorders>
            <w:vAlign w:val="center"/>
          </w:tcPr>
          <w:p w14:paraId="4D2ABF1F">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r>
      <w:tr w14:paraId="4780A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3301B62F">
            <w:pPr>
              <w:keepNext w:val="0"/>
              <w:keepLines w:val="0"/>
              <w:suppressLineNumbers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lang w:bidi="ar"/>
              </w:rPr>
              <w:t>5</w:t>
            </w:r>
          </w:p>
        </w:tc>
        <w:tc>
          <w:tcPr>
            <w:tcW w:w="1833" w:type="dxa"/>
            <w:gridSpan w:val="2"/>
            <w:tcBorders>
              <w:top w:val="single" w:color="auto" w:sz="4" w:space="0"/>
              <w:left w:val="single" w:color="auto" w:sz="4" w:space="0"/>
              <w:bottom w:val="single" w:color="auto" w:sz="4" w:space="0"/>
              <w:right w:val="single" w:color="auto" w:sz="4" w:space="0"/>
            </w:tcBorders>
            <w:vAlign w:val="center"/>
          </w:tcPr>
          <w:p w14:paraId="264B51BE">
            <w:pPr>
              <w:pStyle w:val="8"/>
              <w:keepNext w:val="0"/>
              <w:keepLines w:val="0"/>
              <w:suppressLineNumbers w:val="0"/>
              <w:snapToGrid w:val="0"/>
              <w:spacing w:before="0" w:beforeAutospacing="0" w:after="0" w:afterAutospacing="0" w:line="400" w:lineRule="exact"/>
              <w:ind w:left="0" w:right="0" w:firstLine="0"/>
              <w:jc w:val="center"/>
              <w:rPr>
                <w:rFonts w:hint="default" w:ascii="宋体" w:hAnsi="宋体" w:cs="宋体"/>
                <w:sz w:val="24"/>
                <w:szCs w:val="24"/>
              </w:rPr>
            </w:pPr>
            <w:r>
              <w:rPr>
                <w:rFonts w:hint="eastAsia" w:ascii="宋体" w:hAnsi="宋体" w:cs="宋体"/>
                <w:sz w:val="24"/>
                <w:szCs w:val="24"/>
              </w:rPr>
              <w:t>投标文件编制人员</w:t>
            </w:r>
          </w:p>
        </w:tc>
        <w:tc>
          <w:tcPr>
            <w:tcW w:w="1396" w:type="dxa"/>
            <w:tcBorders>
              <w:top w:val="single" w:color="auto" w:sz="4" w:space="0"/>
              <w:left w:val="single" w:color="auto" w:sz="4" w:space="0"/>
              <w:bottom w:val="single" w:color="auto" w:sz="4" w:space="0"/>
              <w:right w:val="single" w:color="auto" w:sz="4" w:space="0"/>
            </w:tcBorders>
            <w:vAlign w:val="center"/>
          </w:tcPr>
          <w:p w14:paraId="121F31A5">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c>
          <w:tcPr>
            <w:tcW w:w="1703" w:type="dxa"/>
            <w:gridSpan w:val="2"/>
            <w:tcBorders>
              <w:top w:val="single" w:color="auto" w:sz="4" w:space="0"/>
              <w:left w:val="single" w:color="auto" w:sz="4" w:space="0"/>
              <w:bottom w:val="single" w:color="auto" w:sz="4" w:space="0"/>
              <w:right w:val="single" w:color="auto" w:sz="4" w:space="0"/>
            </w:tcBorders>
            <w:vAlign w:val="center"/>
          </w:tcPr>
          <w:p w14:paraId="3EE43084">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c>
          <w:tcPr>
            <w:tcW w:w="1972" w:type="dxa"/>
            <w:tcBorders>
              <w:top w:val="single" w:color="auto" w:sz="4" w:space="0"/>
              <w:left w:val="single" w:color="auto" w:sz="4" w:space="0"/>
              <w:bottom w:val="single" w:color="auto" w:sz="4" w:space="0"/>
              <w:right w:val="single" w:color="auto" w:sz="4" w:space="0"/>
            </w:tcBorders>
            <w:vAlign w:val="center"/>
          </w:tcPr>
          <w:p w14:paraId="47383F43">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c>
          <w:tcPr>
            <w:tcW w:w="1928" w:type="dxa"/>
            <w:tcBorders>
              <w:top w:val="single" w:color="auto" w:sz="4" w:space="0"/>
              <w:left w:val="single" w:color="auto" w:sz="4" w:space="0"/>
              <w:bottom w:val="single" w:color="auto" w:sz="4" w:space="0"/>
              <w:right w:val="single" w:color="auto" w:sz="4" w:space="0"/>
            </w:tcBorders>
            <w:vAlign w:val="center"/>
          </w:tcPr>
          <w:p w14:paraId="7ECDC557">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r>
      <w:tr w14:paraId="1A8ED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568" w:type="dxa"/>
            <w:gridSpan w:val="8"/>
            <w:tcBorders>
              <w:top w:val="single" w:color="auto" w:sz="4" w:space="0"/>
              <w:left w:val="single" w:color="auto" w:sz="4" w:space="0"/>
              <w:bottom w:val="single" w:color="auto" w:sz="4" w:space="0"/>
              <w:right w:val="single" w:color="auto" w:sz="4" w:space="0"/>
            </w:tcBorders>
            <w:vAlign w:val="center"/>
          </w:tcPr>
          <w:p w14:paraId="7336E065">
            <w:pPr>
              <w:keepNext w:val="0"/>
              <w:keepLines w:val="0"/>
              <w:suppressLineNumbers w:val="0"/>
              <w:spacing w:before="0" w:beforeAutospacing="0" w:after="0" w:afterAutospacing="0" w:line="400" w:lineRule="exact"/>
              <w:ind w:left="0" w:right="0"/>
              <w:jc w:val="left"/>
              <w:rPr>
                <w:rFonts w:hint="default" w:ascii="宋体" w:hAnsi="宋体" w:cs="宋体"/>
                <w:sz w:val="24"/>
              </w:rPr>
            </w:pPr>
            <w:r>
              <w:rPr>
                <w:rFonts w:hint="eastAsia" w:ascii="宋体" w:hAnsi="宋体" w:cs="宋体"/>
                <w:b/>
                <w:bCs/>
                <w:sz w:val="24"/>
              </w:rPr>
              <w:t>说明：同一职务有多人担任（如主要技术人员），应分行填写。</w:t>
            </w:r>
          </w:p>
        </w:tc>
      </w:tr>
      <w:tr w14:paraId="24441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568" w:type="dxa"/>
            <w:gridSpan w:val="8"/>
            <w:tcBorders>
              <w:top w:val="single" w:color="auto" w:sz="4" w:space="0"/>
              <w:left w:val="single" w:color="auto" w:sz="4" w:space="0"/>
              <w:bottom w:val="single" w:color="auto" w:sz="4" w:space="0"/>
              <w:right w:val="single" w:color="auto" w:sz="4" w:space="0"/>
            </w:tcBorders>
            <w:vAlign w:val="center"/>
          </w:tcPr>
          <w:p w14:paraId="7CC7198A">
            <w:pPr>
              <w:keepNext w:val="0"/>
              <w:keepLines w:val="0"/>
              <w:suppressLineNumbers w:val="0"/>
              <w:spacing w:before="0" w:beforeAutospacing="0" w:after="0" w:afterAutospacing="0" w:line="400" w:lineRule="exact"/>
              <w:ind w:left="0" w:right="0"/>
              <w:jc w:val="center"/>
              <w:rPr>
                <w:rFonts w:hint="default" w:ascii="宋体" w:hAnsi="宋体" w:cs="宋体"/>
                <w:b/>
                <w:bCs/>
                <w:sz w:val="24"/>
              </w:rPr>
            </w:pPr>
            <w:r>
              <w:rPr>
                <w:rFonts w:hint="eastAsia" w:ascii="宋体" w:hAnsi="宋体" w:cs="宋体"/>
                <w:b/>
                <w:bCs/>
                <w:sz w:val="24"/>
              </w:rPr>
              <w:t>投标（响应）供应商关联关系情况</w:t>
            </w:r>
          </w:p>
        </w:tc>
      </w:tr>
      <w:tr w14:paraId="353CB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333F0E00">
            <w:pPr>
              <w:keepNext w:val="0"/>
              <w:keepLines w:val="0"/>
              <w:suppressLineNumbers w:val="0"/>
              <w:spacing w:before="0" w:beforeAutospacing="0" w:after="0" w:afterAutospacing="0" w:line="400" w:lineRule="exact"/>
              <w:ind w:left="0" w:right="0"/>
              <w:jc w:val="center"/>
              <w:rPr>
                <w:rFonts w:hint="default" w:ascii="宋体" w:hAnsi="宋体" w:cs="宋体"/>
                <w:sz w:val="24"/>
                <w:lang w:bidi="ar"/>
              </w:rPr>
            </w:pPr>
            <w:r>
              <w:rPr>
                <w:rFonts w:hint="eastAsia" w:ascii="宋体" w:hAnsi="宋体" w:cs="宋体"/>
                <w:sz w:val="24"/>
                <w:lang w:bidi="ar"/>
              </w:rPr>
              <w:t>序号</w:t>
            </w:r>
          </w:p>
        </w:tc>
        <w:tc>
          <w:tcPr>
            <w:tcW w:w="1833" w:type="dxa"/>
            <w:gridSpan w:val="2"/>
            <w:tcBorders>
              <w:top w:val="single" w:color="auto" w:sz="4" w:space="0"/>
              <w:left w:val="single" w:color="auto" w:sz="4" w:space="0"/>
              <w:bottom w:val="single" w:color="auto" w:sz="4" w:space="0"/>
              <w:right w:val="single" w:color="auto" w:sz="4" w:space="0"/>
            </w:tcBorders>
            <w:vAlign w:val="center"/>
          </w:tcPr>
          <w:p w14:paraId="482E2036">
            <w:pPr>
              <w:keepNext w:val="0"/>
              <w:keepLines w:val="0"/>
              <w:suppressLineNumbers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关联关系类型</w:t>
            </w:r>
          </w:p>
        </w:tc>
        <w:tc>
          <w:tcPr>
            <w:tcW w:w="2187" w:type="dxa"/>
            <w:gridSpan w:val="2"/>
            <w:tcBorders>
              <w:top w:val="single" w:color="auto" w:sz="4" w:space="0"/>
              <w:left w:val="single" w:color="auto" w:sz="4" w:space="0"/>
              <w:bottom w:val="single" w:color="auto" w:sz="4" w:space="0"/>
              <w:right w:val="single" w:color="auto" w:sz="4" w:space="0"/>
            </w:tcBorders>
            <w:vAlign w:val="center"/>
          </w:tcPr>
          <w:p w14:paraId="615F5900">
            <w:pPr>
              <w:keepNext w:val="0"/>
              <w:keepLines w:val="0"/>
              <w:suppressLineNumbers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关联主体名称</w:t>
            </w:r>
          </w:p>
        </w:tc>
        <w:tc>
          <w:tcPr>
            <w:tcW w:w="4812" w:type="dxa"/>
            <w:gridSpan w:val="3"/>
            <w:tcBorders>
              <w:top w:val="single" w:color="auto" w:sz="4" w:space="0"/>
              <w:left w:val="single" w:color="auto" w:sz="4" w:space="0"/>
              <w:bottom w:val="single" w:color="auto" w:sz="4" w:space="0"/>
              <w:right w:val="single" w:color="auto" w:sz="4" w:space="0"/>
            </w:tcBorders>
            <w:vAlign w:val="center"/>
          </w:tcPr>
          <w:p w14:paraId="0F2EFFCB">
            <w:pPr>
              <w:keepNext w:val="0"/>
              <w:keepLines w:val="0"/>
              <w:suppressLineNumbers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备注</w:t>
            </w:r>
          </w:p>
        </w:tc>
      </w:tr>
      <w:tr w14:paraId="07434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16C0DF2F">
            <w:pPr>
              <w:keepNext w:val="0"/>
              <w:keepLines w:val="0"/>
              <w:suppressLineNumbers w:val="0"/>
              <w:spacing w:before="0" w:beforeAutospacing="0" w:after="0" w:afterAutospacing="0" w:line="400" w:lineRule="exact"/>
              <w:ind w:left="0" w:right="0"/>
              <w:jc w:val="center"/>
              <w:rPr>
                <w:rFonts w:hint="default" w:ascii="宋体" w:hAnsi="宋体" w:cs="宋体"/>
                <w:sz w:val="24"/>
                <w:lang w:bidi="ar"/>
              </w:rPr>
            </w:pPr>
            <w:r>
              <w:rPr>
                <w:rFonts w:hint="eastAsia" w:ascii="宋体" w:hAnsi="宋体" w:cs="宋体"/>
                <w:sz w:val="24"/>
                <w:lang w:bidi="ar"/>
              </w:rPr>
              <w:t>1</w:t>
            </w:r>
          </w:p>
        </w:tc>
        <w:tc>
          <w:tcPr>
            <w:tcW w:w="1833" w:type="dxa"/>
            <w:gridSpan w:val="2"/>
            <w:tcBorders>
              <w:top w:val="single" w:color="auto" w:sz="4" w:space="0"/>
              <w:left w:val="single" w:color="auto" w:sz="4" w:space="0"/>
              <w:bottom w:val="single" w:color="auto" w:sz="4" w:space="0"/>
              <w:right w:val="single" w:color="auto" w:sz="4" w:space="0"/>
            </w:tcBorders>
            <w:vAlign w:val="center"/>
          </w:tcPr>
          <w:p w14:paraId="0EF1B49B">
            <w:pPr>
              <w:keepNext w:val="0"/>
              <w:keepLines w:val="0"/>
              <w:suppressLineNumbers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控股股东</w:t>
            </w:r>
          </w:p>
        </w:tc>
        <w:tc>
          <w:tcPr>
            <w:tcW w:w="2187" w:type="dxa"/>
            <w:gridSpan w:val="2"/>
            <w:tcBorders>
              <w:top w:val="single" w:color="auto" w:sz="4" w:space="0"/>
              <w:left w:val="single" w:color="auto" w:sz="4" w:space="0"/>
              <w:bottom w:val="single" w:color="auto" w:sz="4" w:space="0"/>
              <w:right w:val="single" w:color="auto" w:sz="4" w:space="0"/>
            </w:tcBorders>
            <w:vAlign w:val="center"/>
          </w:tcPr>
          <w:p w14:paraId="3690EFCD">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c>
          <w:tcPr>
            <w:tcW w:w="4812" w:type="dxa"/>
            <w:gridSpan w:val="3"/>
            <w:tcBorders>
              <w:top w:val="single" w:color="auto" w:sz="4" w:space="0"/>
              <w:left w:val="single" w:color="auto" w:sz="4" w:space="0"/>
              <w:bottom w:val="single" w:color="auto" w:sz="4" w:space="0"/>
              <w:right w:val="single" w:color="auto" w:sz="4" w:space="0"/>
            </w:tcBorders>
            <w:vAlign w:val="center"/>
          </w:tcPr>
          <w:p w14:paraId="2AA7C1B6">
            <w:pPr>
              <w:keepNext w:val="0"/>
              <w:keepLines w:val="0"/>
              <w:suppressLineNumbers w:val="0"/>
              <w:snapToGrid w:val="0"/>
              <w:spacing w:before="0" w:beforeAutospacing="0" w:after="0" w:afterAutospacing="0" w:line="400" w:lineRule="exact"/>
              <w:ind w:left="0" w:right="0"/>
              <w:jc w:val="left"/>
              <w:rPr>
                <w:rFonts w:hint="default" w:ascii="宋体" w:hAnsi="宋体" w:cs="宋体"/>
                <w:sz w:val="24"/>
              </w:rPr>
            </w:pPr>
            <w:r>
              <w:rPr>
                <w:rFonts w:hint="eastAsia" w:ascii="宋体" w:hAnsi="宋体" w:cs="宋体"/>
                <w:sz w:val="24"/>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14:paraId="451D9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0AA89DC9">
            <w:pPr>
              <w:keepNext w:val="0"/>
              <w:keepLines w:val="0"/>
              <w:suppressLineNumbers w:val="0"/>
              <w:spacing w:before="0" w:beforeAutospacing="0" w:after="0" w:afterAutospacing="0" w:line="400" w:lineRule="exact"/>
              <w:ind w:left="0" w:right="0"/>
              <w:jc w:val="center"/>
              <w:rPr>
                <w:rFonts w:hint="default" w:ascii="宋体" w:hAnsi="宋体" w:cs="宋体"/>
                <w:sz w:val="24"/>
                <w:lang w:bidi="ar"/>
              </w:rPr>
            </w:pPr>
            <w:r>
              <w:rPr>
                <w:rFonts w:hint="eastAsia" w:ascii="宋体" w:hAnsi="宋体" w:cs="宋体"/>
                <w:sz w:val="24"/>
                <w:lang w:bidi="ar"/>
              </w:rPr>
              <w:t>2</w:t>
            </w:r>
          </w:p>
        </w:tc>
        <w:tc>
          <w:tcPr>
            <w:tcW w:w="1833" w:type="dxa"/>
            <w:gridSpan w:val="2"/>
            <w:tcBorders>
              <w:top w:val="single" w:color="auto" w:sz="4" w:space="0"/>
              <w:left w:val="single" w:color="auto" w:sz="4" w:space="0"/>
              <w:bottom w:val="single" w:color="auto" w:sz="4" w:space="0"/>
              <w:right w:val="single" w:color="auto" w:sz="4" w:space="0"/>
            </w:tcBorders>
            <w:vAlign w:val="center"/>
          </w:tcPr>
          <w:p w14:paraId="47EACE14">
            <w:pPr>
              <w:keepNext w:val="0"/>
              <w:keepLines w:val="0"/>
              <w:suppressLineNumbers w:val="0"/>
              <w:spacing w:before="0" w:beforeAutospacing="0" w:after="0" w:afterAutospacing="0" w:line="400" w:lineRule="exact"/>
              <w:ind w:left="0" w:right="0"/>
              <w:jc w:val="center"/>
              <w:rPr>
                <w:rFonts w:hint="default" w:ascii="宋体" w:hAnsi="宋体" w:cs="宋体"/>
                <w:sz w:val="24"/>
              </w:rPr>
            </w:pPr>
            <w:r>
              <w:rPr>
                <w:rFonts w:hint="eastAsia" w:ascii="宋体" w:hAnsi="宋体" w:cs="宋体"/>
                <w:sz w:val="24"/>
              </w:rPr>
              <w:t>管理关系</w:t>
            </w:r>
          </w:p>
        </w:tc>
        <w:tc>
          <w:tcPr>
            <w:tcW w:w="2187" w:type="dxa"/>
            <w:gridSpan w:val="2"/>
            <w:tcBorders>
              <w:top w:val="single" w:color="auto" w:sz="4" w:space="0"/>
              <w:left w:val="single" w:color="auto" w:sz="4" w:space="0"/>
              <w:bottom w:val="single" w:color="auto" w:sz="4" w:space="0"/>
              <w:right w:val="single" w:color="auto" w:sz="4" w:space="0"/>
            </w:tcBorders>
            <w:vAlign w:val="center"/>
          </w:tcPr>
          <w:p w14:paraId="760F7856">
            <w:pPr>
              <w:keepNext w:val="0"/>
              <w:keepLines w:val="0"/>
              <w:suppressLineNumbers w:val="0"/>
              <w:spacing w:before="0" w:beforeAutospacing="0" w:after="0" w:afterAutospacing="0" w:line="400" w:lineRule="exact"/>
              <w:ind w:left="0" w:right="0"/>
              <w:jc w:val="center"/>
              <w:rPr>
                <w:rFonts w:hint="default" w:ascii="宋体" w:hAnsi="宋体" w:cs="宋体"/>
                <w:sz w:val="24"/>
              </w:rPr>
            </w:pPr>
          </w:p>
        </w:tc>
        <w:tc>
          <w:tcPr>
            <w:tcW w:w="4812" w:type="dxa"/>
            <w:gridSpan w:val="3"/>
            <w:tcBorders>
              <w:top w:val="single" w:color="auto" w:sz="4" w:space="0"/>
              <w:left w:val="single" w:color="auto" w:sz="4" w:space="0"/>
              <w:bottom w:val="single" w:color="auto" w:sz="4" w:space="0"/>
              <w:right w:val="single" w:color="auto" w:sz="4" w:space="0"/>
            </w:tcBorders>
            <w:vAlign w:val="center"/>
          </w:tcPr>
          <w:p w14:paraId="47F17E79">
            <w:pPr>
              <w:keepNext w:val="0"/>
              <w:keepLines w:val="0"/>
              <w:suppressLineNumbers w:val="0"/>
              <w:snapToGrid w:val="0"/>
              <w:spacing w:before="0" w:beforeAutospacing="0" w:after="0" w:afterAutospacing="0" w:line="400" w:lineRule="exact"/>
              <w:ind w:left="0" w:right="0"/>
              <w:jc w:val="left"/>
              <w:rPr>
                <w:rFonts w:hint="default" w:ascii="宋体" w:hAnsi="宋体" w:cs="宋体"/>
                <w:sz w:val="24"/>
              </w:rPr>
            </w:pPr>
            <w:r>
              <w:rPr>
                <w:rFonts w:hint="eastAsia" w:ascii="宋体" w:hAnsi="宋体" w:cs="宋体"/>
                <w:sz w:val="24"/>
              </w:rPr>
              <w:t>指对投标（响应）供应商不具有出资持股关系，但对其存在管理关系的主体。</w:t>
            </w:r>
          </w:p>
        </w:tc>
      </w:tr>
      <w:tr w14:paraId="5014B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568" w:type="dxa"/>
            <w:gridSpan w:val="8"/>
            <w:tcBorders>
              <w:top w:val="single" w:color="auto" w:sz="4" w:space="0"/>
              <w:left w:val="single" w:color="auto" w:sz="4" w:space="0"/>
              <w:bottom w:val="single" w:color="auto" w:sz="4" w:space="0"/>
              <w:right w:val="single" w:color="auto" w:sz="4" w:space="0"/>
            </w:tcBorders>
            <w:vAlign w:val="center"/>
          </w:tcPr>
          <w:p w14:paraId="7F81F0BE">
            <w:pPr>
              <w:keepNext w:val="0"/>
              <w:keepLines w:val="0"/>
              <w:suppressLineNumbers w:val="0"/>
              <w:snapToGrid w:val="0"/>
              <w:spacing w:before="0" w:beforeAutospacing="0" w:after="0" w:afterAutospacing="0" w:line="400" w:lineRule="exact"/>
              <w:ind w:left="0" w:right="0"/>
              <w:jc w:val="left"/>
              <w:rPr>
                <w:rFonts w:hint="default" w:ascii="宋体" w:hAnsi="宋体" w:cs="宋体"/>
                <w:sz w:val="24"/>
              </w:rPr>
            </w:pPr>
            <w:r>
              <w:rPr>
                <w:rFonts w:hint="eastAsia" w:ascii="宋体" w:hAnsi="宋体" w:cs="宋体"/>
                <w:b/>
                <w:bCs/>
                <w:sz w:val="24"/>
              </w:rPr>
              <w:t>说明：同一关联关系类型有多个主体的，应分行填写。</w:t>
            </w:r>
          </w:p>
        </w:tc>
      </w:tr>
    </w:tbl>
    <w:p w14:paraId="2A6D6D25">
      <w:pPr>
        <w:widowControl/>
        <w:jc w:val="left"/>
        <w:rPr>
          <w:rFonts w:ascii="宋体" w:hAnsi="宋体" w:cs="宋体"/>
          <w:sz w:val="20"/>
          <w:szCs w:val="22"/>
        </w:rPr>
        <w:sectPr>
          <w:pgSz w:w="11906" w:h="16838"/>
          <w:pgMar w:top="1361" w:right="1417" w:bottom="1417" w:left="1417" w:header="851" w:footer="1588" w:gutter="0"/>
          <w:pgBorders>
            <w:top w:val="none" w:sz="0" w:space="0"/>
            <w:left w:val="none" w:sz="0" w:space="0"/>
            <w:bottom w:val="none" w:sz="0" w:space="0"/>
            <w:right w:val="none" w:sz="0" w:space="0"/>
          </w:pgBorders>
          <w:pgNumType w:fmt="numberInDash"/>
          <w:cols w:space="720" w:num="1"/>
          <w:docGrid w:type="lines" w:linePitch="312" w:charSpace="0"/>
        </w:sectPr>
      </w:pPr>
    </w:p>
    <w:p w14:paraId="127868C4">
      <w:pPr>
        <w:pStyle w:val="5"/>
        <w:jc w:val="center"/>
        <w:rPr>
          <w:rFonts w:ascii="黑体" w:eastAsia="黑体"/>
          <w:b w:val="0"/>
          <w:sz w:val="24"/>
        </w:rPr>
      </w:pPr>
      <w:r>
        <w:rPr>
          <w:rFonts w:hint="eastAsia" w:ascii="黑体" w:eastAsia="黑体"/>
          <w:b w:val="0"/>
          <w:sz w:val="24"/>
        </w:rPr>
        <w:t>二、</w:t>
      </w:r>
      <w:bookmarkStart w:id="48" w:name="_Hlk72092499"/>
      <w:r>
        <w:rPr>
          <w:rFonts w:hint="eastAsia" w:ascii="黑体" w:eastAsia="黑体"/>
          <w:b w:val="0"/>
          <w:sz w:val="24"/>
        </w:rPr>
        <w:t>法定代表人（负责人）证明书</w:t>
      </w:r>
      <w:bookmarkEnd w:id="48"/>
    </w:p>
    <w:p w14:paraId="670743F6">
      <w:pPr>
        <w:rPr>
          <w:sz w:val="24"/>
        </w:rPr>
      </w:pPr>
    </w:p>
    <w:p w14:paraId="21E6784D">
      <w:pPr>
        <w:spacing w:line="360" w:lineRule="auto"/>
        <w:ind w:firstLine="420" w:firstLineChars="200"/>
        <w:rPr>
          <w:szCs w:val="21"/>
        </w:rPr>
      </w:pPr>
      <w:r>
        <w:rPr>
          <w:szCs w:val="21"/>
          <w:u w:val="single"/>
          <w:lang w:bidi="ar"/>
        </w:rPr>
        <w:t xml:space="preserve">                 </w:t>
      </w:r>
      <w:r>
        <w:rPr>
          <w:rFonts w:hint="eastAsia" w:cs="宋体"/>
          <w:szCs w:val="21"/>
          <w:lang w:bidi="ar"/>
        </w:rPr>
        <w:t>（姓名），现任我单位</w:t>
      </w:r>
      <w:r>
        <w:rPr>
          <w:szCs w:val="21"/>
          <w:u w:val="single"/>
          <w:lang w:bidi="ar"/>
        </w:rPr>
        <w:t xml:space="preserve">             </w:t>
      </w:r>
      <w:r>
        <w:rPr>
          <w:rFonts w:hint="eastAsia" w:cs="宋体"/>
          <w:szCs w:val="21"/>
          <w:lang w:bidi="ar"/>
        </w:rPr>
        <w:t>职务，为法定代表人（负责人），身份证件号为：</w:t>
      </w:r>
      <w:r>
        <w:rPr>
          <w:szCs w:val="21"/>
          <w:u w:val="single"/>
          <w:lang w:bidi="ar"/>
        </w:rPr>
        <w:t xml:space="preserve">                                     </w:t>
      </w:r>
      <w:r>
        <w:rPr>
          <w:rFonts w:hint="eastAsia" w:cs="宋体"/>
          <w:szCs w:val="21"/>
          <w:lang w:bidi="ar"/>
        </w:rPr>
        <w:t>，联系电话：</w:t>
      </w:r>
      <w:r>
        <w:rPr>
          <w:szCs w:val="21"/>
          <w:u w:val="single"/>
          <w:lang w:bidi="ar"/>
        </w:rPr>
        <w:t xml:space="preserve">                </w:t>
      </w:r>
      <w:r>
        <w:rPr>
          <w:rFonts w:hint="eastAsia" w:cs="宋体"/>
          <w:szCs w:val="21"/>
          <w:lang w:bidi="ar"/>
        </w:rPr>
        <w:t>。</w:t>
      </w:r>
    </w:p>
    <w:p w14:paraId="2EC2719F">
      <w:pPr>
        <w:spacing w:line="360" w:lineRule="auto"/>
        <w:ind w:firstLine="422" w:firstLineChars="200"/>
        <w:rPr>
          <w:b/>
          <w:bCs/>
          <w:color w:val="FF0000"/>
          <w:szCs w:val="21"/>
        </w:rPr>
      </w:pPr>
      <w:r>
        <w:rPr>
          <w:rFonts w:hint="eastAsia" w:cs="宋体"/>
          <w:b/>
          <w:bCs/>
          <w:color w:val="FF0000"/>
          <w:szCs w:val="21"/>
          <w:lang w:bidi="ar"/>
        </w:rPr>
        <w:t>特此证明。</w:t>
      </w:r>
    </w:p>
    <w:p w14:paraId="6369E690">
      <w:pPr>
        <w:spacing w:line="360" w:lineRule="auto"/>
        <w:ind w:firstLine="422" w:firstLineChars="200"/>
        <w:rPr>
          <w:b/>
          <w:bCs/>
          <w:color w:val="FF0000"/>
          <w:szCs w:val="21"/>
        </w:rPr>
      </w:pPr>
      <w:r>
        <w:rPr>
          <w:rFonts w:hint="eastAsia" w:cs="宋体"/>
          <w:b/>
          <w:bCs/>
          <w:color w:val="FF0000"/>
          <w:szCs w:val="21"/>
          <w:lang w:bidi="ar"/>
        </w:rPr>
        <w:t>说明：</w:t>
      </w:r>
      <w:r>
        <w:rPr>
          <w:b/>
          <w:bCs/>
          <w:color w:val="FF0000"/>
          <w:szCs w:val="21"/>
          <w:lang w:bidi="ar"/>
        </w:rPr>
        <w:t>1</w:t>
      </w:r>
      <w:r>
        <w:rPr>
          <w:rFonts w:hint="eastAsia" w:cs="宋体"/>
          <w:b/>
          <w:bCs/>
          <w:color w:val="FF0000"/>
          <w:szCs w:val="21"/>
          <w:lang w:bidi="ar"/>
        </w:rPr>
        <w:t>、法定代表人为投标人（企业事业单位、国家机关、社会团体）的主要行政负责人。</w:t>
      </w:r>
    </w:p>
    <w:p w14:paraId="47E34BCC">
      <w:pPr>
        <w:numPr>
          <w:ilvl w:val="0"/>
          <w:numId w:val="5"/>
        </w:numPr>
        <w:spacing w:line="360" w:lineRule="auto"/>
        <w:ind w:firstLine="422" w:firstLineChars="200"/>
        <w:rPr>
          <w:b/>
          <w:bCs/>
          <w:color w:val="FF0000"/>
          <w:szCs w:val="21"/>
        </w:rPr>
      </w:pPr>
      <w:r>
        <w:rPr>
          <w:rFonts w:hint="eastAsia" w:cs="宋体"/>
          <w:b/>
          <w:bCs/>
          <w:color w:val="FF0000"/>
          <w:szCs w:val="21"/>
          <w:lang w:bidi="ar"/>
        </w:rPr>
        <w:t>本证明书要供法定代表人（负责人）相关身份证明文件：身份证扫描件（正反两面）；港澳台居民可提供来往通行证扫描件；非中国国籍管辖范围人员，可提供公安部门认可的身份证明材料扫描件。</w:t>
      </w:r>
    </w:p>
    <w:p w14:paraId="5D1B06E2">
      <w:pPr>
        <w:numPr>
          <w:ilvl w:val="0"/>
          <w:numId w:val="5"/>
        </w:numPr>
        <w:spacing w:line="360" w:lineRule="auto"/>
        <w:ind w:firstLine="422" w:firstLineChars="200"/>
        <w:rPr>
          <w:b/>
          <w:bCs/>
          <w:color w:val="FF0000"/>
          <w:szCs w:val="21"/>
        </w:rPr>
      </w:pPr>
      <w:r>
        <w:rPr>
          <w:rFonts w:hint="eastAsia" w:cs="宋体"/>
          <w:b/>
          <w:bCs/>
          <w:color w:val="FF0000"/>
          <w:szCs w:val="21"/>
          <w:lang w:bidi="ar"/>
        </w:rPr>
        <w:t>本项目投标授权代表为法定代表人（负责人）的，无需提供《投标文件签署授权委托书》。</w:t>
      </w:r>
    </w:p>
    <w:p w14:paraId="29364DD3">
      <w:pPr>
        <w:numPr>
          <w:ilvl w:val="0"/>
          <w:numId w:val="5"/>
        </w:numPr>
        <w:spacing w:line="360" w:lineRule="auto"/>
        <w:ind w:firstLine="422" w:firstLineChars="200"/>
        <w:rPr>
          <w:b/>
          <w:bCs/>
          <w:color w:val="FF0000"/>
          <w:szCs w:val="21"/>
        </w:rPr>
      </w:pPr>
      <w:r>
        <w:rPr>
          <w:rFonts w:hint="eastAsia" w:cs="宋体"/>
          <w:b/>
          <w:bCs/>
          <w:color w:val="FF0000"/>
          <w:szCs w:val="21"/>
          <w:lang w:bidi="ar"/>
        </w:rPr>
        <w:t>内容必须填写真实、清楚，涂改无效，不得转让、买卖。</w:t>
      </w:r>
    </w:p>
    <w:tbl>
      <w:tblPr>
        <w:tblStyle w:val="14"/>
        <w:tblW w:w="85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7"/>
        <w:gridCol w:w="4268"/>
      </w:tblGrid>
      <w:tr w14:paraId="17982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4" w:type="dxa"/>
            <w:tcBorders>
              <w:top w:val="single" w:color="auto" w:sz="4" w:space="0"/>
              <w:left w:val="single" w:color="auto" w:sz="4" w:space="0"/>
              <w:bottom w:val="single" w:color="auto" w:sz="4" w:space="0"/>
              <w:right w:val="single" w:color="auto" w:sz="4" w:space="0"/>
            </w:tcBorders>
            <w:shd w:val="clear" w:color="auto" w:fill="auto"/>
          </w:tcPr>
          <w:p w14:paraId="53EF0A09">
            <w:pPr>
              <w:keepNext w:val="0"/>
              <w:keepLines w:val="0"/>
              <w:suppressLineNumbers w:val="0"/>
              <w:spacing w:before="0" w:beforeAutospacing="0" w:after="0" w:afterAutospacing="0"/>
              <w:ind w:left="0" w:right="0"/>
              <w:jc w:val="center"/>
              <w:rPr>
                <w:rFonts w:hint="default"/>
              </w:rPr>
            </w:pPr>
            <w:r>
              <w:rPr>
                <w:rFonts w:hint="eastAsia" w:cs="宋体"/>
                <w:lang w:bidi="ar"/>
              </w:rPr>
              <w:t>证件扫描件正面</w:t>
            </w:r>
          </w:p>
          <w:p w14:paraId="7619AE8B">
            <w:pPr>
              <w:pStyle w:val="12"/>
              <w:keepNext w:val="0"/>
              <w:keepLines w:val="0"/>
              <w:suppressLineNumbers w:val="0"/>
              <w:spacing w:before="0" w:beforeAutospacing="0" w:after="120" w:afterAutospacing="0"/>
              <w:ind w:left="0" w:right="0"/>
              <w:rPr>
                <w:rFonts w:hint="default"/>
              </w:rPr>
            </w:pPr>
          </w:p>
          <w:p w14:paraId="7C015819">
            <w:pPr>
              <w:pStyle w:val="12"/>
              <w:keepNext w:val="0"/>
              <w:keepLines w:val="0"/>
              <w:suppressLineNumbers w:val="0"/>
              <w:spacing w:before="0" w:beforeAutospacing="0" w:after="0" w:afterAutospacing="0" w:line="360" w:lineRule="auto"/>
              <w:ind w:left="0" w:right="0"/>
              <w:rPr>
                <w:rFonts w:hint="default"/>
              </w:rPr>
            </w:pPr>
          </w:p>
          <w:p w14:paraId="2207F4B7">
            <w:pPr>
              <w:pStyle w:val="12"/>
              <w:keepNext w:val="0"/>
              <w:keepLines w:val="0"/>
              <w:suppressLineNumbers w:val="0"/>
              <w:spacing w:before="0" w:beforeAutospacing="0" w:after="0" w:afterAutospacing="0" w:line="360" w:lineRule="auto"/>
              <w:ind w:left="0" w:right="0"/>
              <w:rPr>
                <w:rFonts w:hint="default"/>
              </w:rPr>
            </w:pPr>
          </w:p>
          <w:p w14:paraId="7817A2E4">
            <w:pPr>
              <w:pStyle w:val="12"/>
              <w:keepNext w:val="0"/>
              <w:keepLines w:val="0"/>
              <w:suppressLineNumbers w:val="0"/>
              <w:spacing w:before="0" w:beforeAutospacing="0" w:after="0" w:afterAutospacing="0" w:line="360" w:lineRule="auto"/>
              <w:ind w:left="0" w:right="0"/>
              <w:rPr>
                <w:rFonts w:hint="default"/>
              </w:rPr>
            </w:pPr>
          </w:p>
        </w:tc>
        <w:tc>
          <w:tcPr>
            <w:tcW w:w="4265" w:type="dxa"/>
            <w:tcBorders>
              <w:top w:val="single" w:color="auto" w:sz="4" w:space="0"/>
              <w:left w:val="single" w:color="auto" w:sz="4" w:space="0"/>
              <w:bottom w:val="single" w:color="auto" w:sz="4" w:space="0"/>
              <w:right w:val="single" w:color="auto" w:sz="4" w:space="0"/>
            </w:tcBorders>
            <w:shd w:val="clear" w:color="auto" w:fill="auto"/>
          </w:tcPr>
          <w:p w14:paraId="5FE4A2B9">
            <w:pPr>
              <w:keepNext w:val="0"/>
              <w:keepLines w:val="0"/>
              <w:suppressLineNumbers w:val="0"/>
              <w:spacing w:before="0" w:beforeAutospacing="0" w:after="0" w:afterAutospacing="0"/>
              <w:ind w:left="0" w:right="0"/>
              <w:jc w:val="center"/>
              <w:rPr>
                <w:rFonts w:hint="default"/>
              </w:rPr>
            </w:pPr>
            <w:r>
              <w:rPr>
                <w:rFonts w:hint="eastAsia" w:cs="宋体"/>
                <w:lang w:bidi="ar"/>
              </w:rPr>
              <w:t>证件扫描件反面</w:t>
            </w:r>
          </w:p>
          <w:p w14:paraId="3FAFABB9">
            <w:pPr>
              <w:pStyle w:val="12"/>
              <w:keepNext w:val="0"/>
              <w:keepLines w:val="0"/>
              <w:suppressLineNumbers w:val="0"/>
              <w:spacing w:before="0" w:beforeAutospacing="0" w:after="120" w:afterAutospacing="0"/>
              <w:ind w:left="0" w:right="0"/>
              <w:jc w:val="center"/>
              <w:rPr>
                <w:rFonts w:hint="default"/>
              </w:rPr>
            </w:pPr>
          </w:p>
          <w:p w14:paraId="58550446">
            <w:pPr>
              <w:pStyle w:val="12"/>
              <w:keepNext w:val="0"/>
              <w:keepLines w:val="0"/>
              <w:suppressLineNumbers w:val="0"/>
              <w:spacing w:before="0" w:beforeAutospacing="0" w:after="0" w:afterAutospacing="0" w:line="360" w:lineRule="auto"/>
              <w:ind w:left="0" w:right="0"/>
              <w:jc w:val="center"/>
              <w:rPr>
                <w:rFonts w:hint="default"/>
              </w:rPr>
            </w:pPr>
          </w:p>
        </w:tc>
      </w:tr>
    </w:tbl>
    <w:p w14:paraId="47E0BBA0">
      <w:pPr>
        <w:pStyle w:val="12"/>
        <w:rPr>
          <w:szCs w:val="22"/>
        </w:rPr>
      </w:pPr>
      <w:r>
        <w:rPr>
          <w:rFonts w:hint="eastAsia" w:ascii="黑体" w:hAnsi="宋体" w:eastAsia="黑体" w:cs="黑体"/>
          <w:b/>
          <w:bCs/>
          <w:lang w:bidi="ar"/>
        </w:rPr>
        <w:t>温馨提示</w:t>
      </w:r>
      <w:r>
        <w:rPr>
          <w:rFonts w:hint="eastAsia" w:ascii="黑体" w:hAnsi="宋体" w:eastAsia="黑体" w:cs="黑体"/>
          <w:lang w:bidi="ar"/>
        </w:rPr>
        <w:t>：</w:t>
      </w:r>
      <w:r>
        <w:rPr>
          <w:rFonts w:hint="eastAsia" w:cs="宋体"/>
          <w:sz w:val="21"/>
          <w:szCs w:val="21"/>
          <w:lang w:bidi="ar"/>
        </w:rPr>
        <w:t>为避免出现《深圳经济特区政府采购条例实施细则》第七十五条第二项所列情形，请投标供应商核实贵单位法定代表人、本项目投标授权代表人、项目负责人（如有）、主要技术人员（如有）等是否在贵单位缴纳社会保险。</w:t>
      </w:r>
    </w:p>
    <w:p w14:paraId="089D5EEC">
      <w:pPr>
        <w:rPr>
          <w:sz w:val="24"/>
        </w:rPr>
      </w:pPr>
    </w:p>
    <w:p w14:paraId="24C8B951">
      <w:pPr>
        <w:rPr>
          <w:rFonts w:ascii="黑体" w:hAnsi="宋体" w:eastAsia="黑体" w:cs="黑体"/>
          <w:bCs/>
          <w:sz w:val="24"/>
          <w:szCs w:val="32"/>
        </w:rPr>
      </w:pPr>
      <w:r>
        <w:rPr>
          <w:rFonts w:hint="eastAsia" w:ascii="黑体" w:hAnsi="宋体" w:eastAsia="黑体" w:cs="黑体"/>
          <w:bCs/>
          <w:sz w:val="24"/>
          <w:szCs w:val="32"/>
        </w:rPr>
        <w:br w:type="page"/>
      </w:r>
    </w:p>
    <w:p w14:paraId="5E15A55E">
      <w:pPr>
        <w:pStyle w:val="5"/>
        <w:widowControl/>
        <w:spacing w:before="120" w:after="120"/>
        <w:jc w:val="center"/>
        <w:rPr>
          <w:rFonts w:ascii="黑体" w:eastAsia="黑体" w:cs="黑体"/>
          <w:b w:val="0"/>
          <w:sz w:val="24"/>
        </w:rPr>
      </w:pPr>
      <w:r>
        <w:rPr>
          <w:rFonts w:hint="eastAsia" w:ascii="黑体" w:eastAsia="黑体" w:cs="黑体"/>
          <w:b w:val="0"/>
          <w:sz w:val="24"/>
        </w:rPr>
        <w:t>三、投标文件签署授权委托书</w:t>
      </w:r>
    </w:p>
    <w:p w14:paraId="2C775CBE">
      <w:pPr>
        <w:spacing w:line="360" w:lineRule="auto"/>
        <w:ind w:firstLine="420" w:firstLineChars="200"/>
        <w:rPr>
          <w:szCs w:val="21"/>
        </w:rPr>
      </w:pPr>
      <w:r>
        <w:rPr>
          <w:rFonts w:hint="eastAsia" w:cs="宋体"/>
          <w:szCs w:val="21"/>
          <w:lang w:bidi="ar"/>
        </w:rPr>
        <w:t>本授权委托书声明：我</w:t>
      </w:r>
      <w:r>
        <w:rPr>
          <w:szCs w:val="21"/>
          <w:u w:val="single"/>
          <w:lang w:bidi="ar"/>
        </w:rPr>
        <w:t xml:space="preserve">           </w:t>
      </w:r>
      <w:r>
        <w:rPr>
          <w:rFonts w:hint="eastAsia" w:cs="宋体"/>
          <w:szCs w:val="21"/>
          <w:lang w:bidi="ar"/>
        </w:rPr>
        <w:t>（姓名）系</w:t>
      </w:r>
      <w:r>
        <w:rPr>
          <w:szCs w:val="21"/>
          <w:u w:val="single"/>
          <w:lang w:bidi="ar"/>
        </w:rPr>
        <w:t xml:space="preserve">             </w:t>
      </w:r>
      <w:r>
        <w:rPr>
          <w:rFonts w:hint="eastAsia" w:cs="宋体"/>
          <w:szCs w:val="21"/>
          <w:lang w:bidi="ar"/>
        </w:rPr>
        <w:t>（投标人名称）的法定代表人（负责人），现授权委托</w:t>
      </w:r>
      <w:r>
        <w:rPr>
          <w:szCs w:val="21"/>
          <w:u w:val="single"/>
          <w:lang w:bidi="ar"/>
        </w:rPr>
        <w:t xml:space="preserve">            </w:t>
      </w:r>
      <w:r>
        <w:rPr>
          <w:rFonts w:hint="eastAsia" w:cs="宋体"/>
          <w:szCs w:val="21"/>
          <w:lang w:bidi="ar"/>
        </w:rPr>
        <w:t>（姓名）为我单位签署本项目已递交的投标文件的法定代表人（负责人）的授权委托代理人，代理人全权代表我所签署的本项目已递交的投标文件内容我均承认。</w:t>
      </w:r>
    </w:p>
    <w:p w14:paraId="32975A30">
      <w:pPr>
        <w:spacing w:line="360" w:lineRule="auto"/>
        <w:ind w:firstLine="420" w:firstLineChars="200"/>
        <w:rPr>
          <w:szCs w:val="21"/>
        </w:rPr>
      </w:pPr>
      <w:r>
        <w:rPr>
          <w:rFonts w:hint="eastAsia" w:cs="宋体"/>
          <w:szCs w:val="21"/>
          <w:lang w:bidi="ar"/>
        </w:rPr>
        <w:t>代理人无转委托权，特此委托。</w:t>
      </w:r>
    </w:p>
    <w:p w14:paraId="40EFB131">
      <w:pPr>
        <w:spacing w:line="360" w:lineRule="auto"/>
        <w:ind w:firstLine="420" w:firstLineChars="200"/>
        <w:rPr>
          <w:szCs w:val="21"/>
        </w:rPr>
      </w:pPr>
    </w:p>
    <w:p w14:paraId="18EF5FB7">
      <w:pPr>
        <w:spacing w:line="360" w:lineRule="auto"/>
        <w:ind w:firstLine="420" w:firstLineChars="200"/>
        <w:rPr>
          <w:szCs w:val="21"/>
        </w:rPr>
      </w:pPr>
      <w:r>
        <w:rPr>
          <w:rFonts w:hint="eastAsia" w:cs="宋体"/>
          <w:szCs w:val="21"/>
          <w:lang w:bidi="ar"/>
        </w:rPr>
        <w:t>代理人：</w:t>
      </w:r>
      <w:r>
        <w:rPr>
          <w:szCs w:val="21"/>
          <w:u w:val="single"/>
          <w:lang w:bidi="ar"/>
        </w:rPr>
        <w:t xml:space="preserve">              </w:t>
      </w:r>
      <w:r>
        <w:rPr>
          <w:rFonts w:hint="eastAsia" w:cs="宋体"/>
          <w:szCs w:val="21"/>
          <w:lang w:bidi="ar"/>
        </w:rPr>
        <w:t>；</w:t>
      </w:r>
    </w:p>
    <w:p w14:paraId="185EE95E">
      <w:pPr>
        <w:spacing w:line="360" w:lineRule="auto"/>
        <w:ind w:firstLine="420" w:firstLineChars="200"/>
        <w:rPr>
          <w:szCs w:val="21"/>
        </w:rPr>
      </w:pPr>
      <w:r>
        <w:rPr>
          <w:rFonts w:hint="eastAsia" w:cs="宋体"/>
          <w:szCs w:val="21"/>
          <w:lang w:bidi="ar"/>
        </w:rPr>
        <w:t>身份证件号：</w:t>
      </w:r>
      <w:r>
        <w:rPr>
          <w:szCs w:val="21"/>
          <w:u w:val="single"/>
          <w:lang w:bidi="ar"/>
        </w:rPr>
        <w:t xml:space="preserve">                        </w:t>
      </w:r>
      <w:r>
        <w:rPr>
          <w:rFonts w:hint="eastAsia" w:cs="宋体"/>
          <w:szCs w:val="21"/>
          <w:lang w:bidi="ar"/>
        </w:rPr>
        <w:t>，职务：</w:t>
      </w:r>
      <w:r>
        <w:rPr>
          <w:szCs w:val="21"/>
          <w:u w:val="single"/>
          <w:lang w:bidi="ar"/>
        </w:rPr>
        <w:t xml:space="preserve">                </w:t>
      </w:r>
      <w:r>
        <w:rPr>
          <w:rFonts w:hint="eastAsia" w:cs="宋体"/>
          <w:szCs w:val="21"/>
          <w:lang w:bidi="ar"/>
        </w:rPr>
        <w:t>；</w:t>
      </w:r>
    </w:p>
    <w:p w14:paraId="0B25322C">
      <w:pPr>
        <w:spacing w:line="360" w:lineRule="auto"/>
        <w:ind w:firstLine="420" w:firstLineChars="200"/>
        <w:rPr>
          <w:szCs w:val="21"/>
        </w:rPr>
      </w:pPr>
      <w:r>
        <w:rPr>
          <w:rFonts w:hint="eastAsia" w:cs="宋体"/>
          <w:szCs w:val="21"/>
          <w:lang w:bidi="ar"/>
        </w:rPr>
        <w:t>联系电话：</w:t>
      </w:r>
      <w:r>
        <w:rPr>
          <w:szCs w:val="21"/>
          <w:u w:val="single"/>
          <w:lang w:bidi="ar"/>
        </w:rPr>
        <w:t xml:space="preserve">         </w:t>
      </w:r>
      <w:r>
        <w:rPr>
          <w:rFonts w:hint="eastAsia" w:cs="宋体"/>
          <w:szCs w:val="21"/>
          <w:lang w:bidi="ar"/>
        </w:rPr>
        <w:t>，手机：</w:t>
      </w:r>
      <w:r>
        <w:rPr>
          <w:szCs w:val="21"/>
          <w:u w:val="single"/>
          <w:lang w:bidi="ar"/>
        </w:rPr>
        <w:t xml:space="preserve">                </w:t>
      </w:r>
      <w:r>
        <w:rPr>
          <w:rFonts w:hint="eastAsia" w:cs="宋体"/>
          <w:szCs w:val="21"/>
          <w:lang w:bidi="ar"/>
        </w:rPr>
        <w:t>，电子邮箱：</w:t>
      </w:r>
      <w:r>
        <w:rPr>
          <w:szCs w:val="21"/>
          <w:u w:val="single"/>
          <w:lang w:bidi="ar"/>
        </w:rPr>
        <w:t xml:space="preserve">                     </w:t>
      </w:r>
      <w:r>
        <w:rPr>
          <w:rFonts w:hint="eastAsia" w:cs="宋体"/>
          <w:szCs w:val="21"/>
          <w:lang w:bidi="ar"/>
        </w:rPr>
        <w:t>；</w:t>
      </w:r>
    </w:p>
    <w:p w14:paraId="1D3A40E0">
      <w:pPr>
        <w:spacing w:line="360" w:lineRule="auto"/>
        <w:ind w:firstLine="420" w:firstLineChars="200"/>
        <w:rPr>
          <w:szCs w:val="21"/>
        </w:rPr>
      </w:pPr>
      <w:r>
        <w:rPr>
          <w:rFonts w:hint="eastAsia" w:cs="宋体"/>
          <w:szCs w:val="21"/>
          <w:lang w:bidi="ar"/>
        </w:rPr>
        <w:t>授权委托日期：</w:t>
      </w:r>
      <w:r>
        <w:rPr>
          <w:szCs w:val="21"/>
          <w:u w:val="single"/>
          <w:lang w:bidi="ar"/>
        </w:rPr>
        <w:t xml:space="preserve">         </w:t>
      </w:r>
      <w:r>
        <w:rPr>
          <w:rFonts w:hint="eastAsia" w:cs="宋体"/>
          <w:szCs w:val="21"/>
          <w:lang w:bidi="ar"/>
        </w:rPr>
        <w:t>年</w:t>
      </w:r>
      <w:r>
        <w:rPr>
          <w:szCs w:val="21"/>
          <w:u w:val="single"/>
          <w:lang w:bidi="ar"/>
        </w:rPr>
        <w:t xml:space="preserve">     </w:t>
      </w:r>
      <w:r>
        <w:rPr>
          <w:rFonts w:hint="eastAsia" w:cs="宋体"/>
          <w:szCs w:val="21"/>
          <w:lang w:bidi="ar"/>
        </w:rPr>
        <w:t>月</w:t>
      </w:r>
      <w:r>
        <w:rPr>
          <w:szCs w:val="21"/>
          <w:lang w:bidi="ar"/>
        </w:rPr>
        <w:t xml:space="preserve"> </w:t>
      </w:r>
      <w:r>
        <w:rPr>
          <w:szCs w:val="21"/>
          <w:u w:val="single"/>
          <w:lang w:bidi="ar"/>
        </w:rPr>
        <w:t xml:space="preserve">      </w:t>
      </w:r>
      <w:r>
        <w:rPr>
          <w:rFonts w:hint="eastAsia" w:cs="宋体"/>
          <w:szCs w:val="21"/>
          <w:lang w:bidi="ar"/>
        </w:rPr>
        <w:t>日。</w:t>
      </w:r>
    </w:p>
    <w:p w14:paraId="3B749755">
      <w:pPr>
        <w:spacing w:line="360" w:lineRule="auto"/>
        <w:rPr>
          <w:b/>
          <w:color w:val="FF0000"/>
          <w:szCs w:val="21"/>
        </w:rPr>
      </w:pPr>
      <w:r>
        <w:rPr>
          <w:rFonts w:hint="eastAsia" w:cs="宋体"/>
          <w:b/>
          <w:color w:val="FF0000"/>
          <w:szCs w:val="21"/>
          <w:lang w:bidi="ar"/>
        </w:rPr>
        <w:t>附：请提供代理人身份证扫描件（正反两面）；港澳台居民可提供来往通行证扫描件；非中国国籍管辖范围人员，可提供公安部门认可的身份证明材料扫描件。</w:t>
      </w:r>
    </w:p>
    <w:tbl>
      <w:tblPr>
        <w:tblStyle w:val="14"/>
        <w:tblW w:w="85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7"/>
        <w:gridCol w:w="4268"/>
      </w:tblGrid>
      <w:tr w14:paraId="2636D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Borders>
              <w:top w:val="single" w:color="auto" w:sz="4" w:space="0"/>
              <w:left w:val="single" w:color="auto" w:sz="4" w:space="0"/>
              <w:bottom w:val="single" w:color="auto" w:sz="4" w:space="0"/>
              <w:right w:val="single" w:color="auto" w:sz="4" w:space="0"/>
            </w:tcBorders>
            <w:shd w:val="clear" w:color="auto" w:fill="auto"/>
          </w:tcPr>
          <w:p w14:paraId="621738D3">
            <w:pPr>
              <w:keepNext w:val="0"/>
              <w:keepLines w:val="0"/>
              <w:suppressLineNumbers w:val="0"/>
              <w:spacing w:before="0" w:beforeAutospacing="0" w:after="0" w:afterAutospacing="0"/>
              <w:ind w:left="0" w:right="0"/>
              <w:jc w:val="center"/>
              <w:rPr>
                <w:rFonts w:hint="default"/>
              </w:rPr>
            </w:pPr>
            <w:r>
              <w:rPr>
                <w:rFonts w:hint="eastAsia" w:cs="宋体"/>
                <w:lang w:bidi="ar"/>
              </w:rPr>
              <w:t>证件扫描件正面</w:t>
            </w:r>
          </w:p>
          <w:p w14:paraId="3C004ED2">
            <w:pPr>
              <w:pStyle w:val="12"/>
              <w:keepNext w:val="0"/>
              <w:keepLines w:val="0"/>
              <w:suppressLineNumbers w:val="0"/>
              <w:spacing w:before="0" w:beforeAutospacing="0" w:after="120" w:afterAutospacing="0"/>
              <w:ind w:left="0" w:right="0"/>
              <w:rPr>
                <w:rFonts w:hint="default"/>
              </w:rPr>
            </w:pPr>
          </w:p>
          <w:p w14:paraId="7237B45F">
            <w:pPr>
              <w:pStyle w:val="12"/>
              <w:keepNext w:val="0"/>
              <w:keepLines w:val="0"/>
              <w:suppressLineNumbers w:val="0"/>
              <w:spacing w:before="0" w:beforeAutospacing="0" w:after="0" w:afterAutospacing="0" w:line="360" w:lineRule="auto"/>
              <w:ind w:left="0" w:right="0"/>
              <w:rPr>
                <w:rFonts w:hint="default"/>
              </w:rPr>
            </w:pPr>
          </w:p>
          <w:p w14:paraId="1DE272A9">
            <w:pPr>
              <w:pStyle w:val="12"/>
              <w:keepNext w:val="0"/>
              <w:keepLines w:val="0"/>
              <w:suppressLineNumbers w:val="0"/>
              <w:spacing w:before="0" w:beforeAutospacing="0" w:after="0" w:afterAutospacing="0" w:line="360" w:lineRule="auto"/>
              <w:ind w:left="0" w:right="0"/>
              <w:rPr>
                <w:rFonts w:hint="default"/>
              </w:rPr>
            </w:pPr>
          </w:p>
          <w:p w14:paraId="266C0FE1">
            <w:pPr>
              <w:pStyle w:val="12"/>
              <w:keepNext w:val="0"/>
              <w:keepLines w:val="0"/>
              <w:suppressLineNumbers w:val="0"/>
              <w:spacing w:before="0" w:beforeAutospacing="0" w:after="0" w:afterAutospacing="0" w:line="360" w:lineRule="auto"/>
              <w:ind w:left="0" w:right="0"/>
              <w:rPr>
                <w:rFonts w:hint="default"/>
              </w:rPr>
            </w:pPr>
          </w:p>
        </w:tc>
        <w:tc>
          <w:tcPr>
            <w:tcW w:w="4265" w:type="dxa"/>
            <w:tcBorders>
              <w:top w:val="single" w:color="auto" w:sz="4" w:space="0"/>
              <w:left w:val="single" w:color="auto" w:sz="4" w:space="0"/>
              <w:bottom w:val="single" w:color="auto" w:sz="4" w:space="0"/>
              <w:right w:val="single" w:color="auto" w:sz="4" w:space="0"/>
            </w:tcBorders>
            <w:shd w:val="clear" w:color="auto" w:fill="auto"/>
          </w:tcPr>
          <w:p w14:paraId="755FDC2D">
            <w:pPr>
              <w:keepNext w:val="0"/>
              <w:keepLines w:val="0"/>
              <w:suppressLineNumbers w:val="0"/>
              <w:spacing w:before="0" w:beforeAutospacing="0" w:after="0" w:afterAutospacing="0"/>
              <w:ind w:left="0" w:right="0"/>
              <w:jc w:val="center"/>
              <w:rPr>
                <w:rFonts w:hint="default"/>
              </w:rPr>
            </w:pPr>
            <w:r>
              <w:rPr>
                <w:rFonts w:hint="eastAsia" w:cs="宋体"/>
                <w:lang w:bidi="ar"/>
              </w:rPr>
              <w:t>证件扫描件反面</w:t>
            </w:r>
          </w:p>
          <w:p w14:paraId="67C3CE6C">
            <w:pPr>
              <w:pStyle w:val="12"/>
              <w:keepNext w:val="0"/>
              <w:keepLines w:val="0"/>
              <w:suppressLineNumbers w:val="0"/>
              <w:spacing w:before="0" w:beforeAutospacing="0" w:after="120" w:afterAutospacing="0"/>
              <w:ind w:left="0" w:right="0"/>
              <w:jc w:val="center"/>
              <w:rPr>
                <w:rFonts w:hint="default"/>
              </w:rPr>
            </w:pPr>
          </w:p>
          <w:p w14:paraId="6D25B92B">
            <w:pPr>
              <w:pStyle w:val="12"/>
              <w:keepNext w:val="0"/>
              <w:keepLines w:val="0"/>
              <w:suppressLineNumbers w:val="0"/>
              <w:spacing w:before="0" w:beforeAutospacing="0" w:after="0" w:afterAutospacing="0" w:line="360" w:lineRule="auto"/>
              <w:ind w:left="0" w:right="0"/>
              <w:jc w:val="center"/>
              <w:rPr>
                <w:rFonts w:hint="default"/>
              </w:rPr>
            </w:pPr>
          </w:p>
        </w:tc>
      </w:tr>
    </w:tbl>
    <w:p w14:paraId="6F0CEEFA">
      <w:pPr>
        <w:pStyle w:val="12"/>
        <w:rPr>
          <w:szCs w:val="22"/>
        </w:rPr>
      </w:pPr>
      <w:r>
        <w:rPr>
          <w:rFonts w:hint="eastAsia" w:ascii="黑体" w:hAnsi="宋体" w:eastAsia="黑体" w:cs="黑体"/>
          <w:b/>
          <w:bCs/>
          <w:lang w:bidi="ar"/>
        </w:rPr>
        <w:t>温馨提示</w:t>
      </w:r>
      <w:r>
        <w:rPr>
          <w:rFonts w:hint="eastAsia" w:ascii="黑体" w:hAnsi="宋体" w:eastAsia="黑体" w:cs="黑体"/>
          <w:lang w:bidi="ar"/>
        </w:rPr>
        <w:t>：</w:t>
      </w:r>
      <w:r>
        <w:rPr>
          <w:rFonts w:hint="eastAsia" w:cs="宋体"/>
          <w:sz w:val="21"/>
          <w:szCs w:val="21"/>
          <w:lang w:bidi="ar"/>
        </w:rPr>
        <w:t>为避免出现《深圳经济特区政府采购条例实施细则》第七十五条第二项所列情形，请投标供应商核实贵单位法定代表人、本项目投标授权代表人、项目负责人（如有）、主要技术人员（如有）等是否在贵单位缴纳社会保险。</w:t>
      </w:r>
    </w:p>
    <w:p w14:paraId="3C1876FE"/>
    <w:p w14:paraId="2B50D2FE">
      <w:pPr>
        <w:pStyle w:val="2"/>
        <w:rPr>
          <w:rFonts w:hAnsi="宋体"/>
        </w:rPr>
      </w:pPr>
      <w:r>
        <w:br w:type="page"/>
      </w:r>
    </w:p>
    <w:p w14:paraId="6342EC3C">
      <w:pPr>
        <w:pStyle w:val="5"/>
        <w:jc w:val="center"/>
        <w:rPr>
          <w:rFonts w:ascii="黑体" w:eastAsia="黑体"/>
          <w:b w:val="0"/>
          <w:kern w:val="0"/>
          <w:sz w:val="24"/>
          <w:szCs w:val="24"/>
        </w:rPr>
      </w:pPr>
      <w:r>
        <w:rPr>
          <w:rFonts w:hint="eastAsia" w:ascii="黑体" w:eastAsia="黑体"/>
          <w:b w:val="0"/>
          <w:kern w:val="0"/>
          <w:sz w:val="24"/>
          <w:szCs w:val="24"/>
        </w:rPr>
        <w:t>四、</w:t>
      </w:r>
      <w:bookmarkStart w:id="49" w:name="_Hlk72092634"/>
      <w:r>
        <w:rPr>
          <w:rFonts w:hint="eastAsia" w:ascii="黑体" w:eastAsia="黑体"/>
          <w:b w:val="0"/>
          <w:kern w:val="0"/>
          <w:sz w:val="24"/>
          <w:szCs w:val="24"/>
        </w:rPr>
        <w:t>实质性条款响应情况表</w:t>
      </w:r>
      <w:bookmarkEnd w:id="49"/>
    </w:p>
    <w:tbl>
      <w:tblPr>
        <w:tblStyle w:val="13"/>
        <w:tblW w:w="8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665"/>
        <w:gridCol w:w="1589"/>
        <w:gridCol w:w="1843"/>
        <w:gridCol w:w="1419"/>
      </w:tblGrid>
      <w:tr w14:paraId="6AE2D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14:paraId="7DD7C545">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s="宋体"/>
                <w:kern w:val="0"/>
                <w:szCs w:val="21"/>
              </w:rPr>
            </w:pPr>
            <w:bookmarkStart w:id="50" w:name="_Hlk72092651"/>
            <w:r>
              <w:rPr>
                <w:rFonts w:hint="eastAsia" w:ascii="宋体" w:hAnsi="宋体" w:cs="宋体"/>
                <w:kern w:val="0"/>
                <w:szCs w:val="21"/>
                <w:lang w:bidi="ar"/>
              </w:rPr>
              <w:t>序号</w:t>
            </w:r>
          </w:p>
        </w:tc>
        <w:tc>
          <w:tcPr>
            <w:tcW w:w="2665" w:type="dxa"/>
            <w:tcBorders>
              <w:top w:val="single" w:color="auto" w:sz="4" w:space="0"/>
              <w:left w:val="single" w:color="auto" w:sz="4" w:space="0"/>
              <w:bottom w:val="single" w:color="auto" w:sz="4" w:space="0"/>
              <w:right w:val="single" w:color="auto" w:sz="4" w:space="0"/>
            </w:tcBorders>
            <w:shd w:val="clear" w:color="auto" w:fill="auto"/>
            <w:vAlign w:val="center"/>
          </w:tcPr>
          <w:p w14:paraId="5F699F35">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s="宋体"/>
                <w:kern w:val="0"/>
                <w:szCs w:val="21"/>
              </w:rPr>
            </w:pPr>
            <w:r>
              <w:rPr>
                <w:rFonts w:hint="eastAsia" w:ascii="宋体" w:hAnsi="宋体" w:cs="宋体"/>
                <w:kern w:val="0"/>
                <w:szCs w:val="21"/>
                <w:lang w:bidi="ar"/>
              </w:rPr>
              <w:t>实质性条款具体内容</w:t>
            </w:r>
          </w:p>
        </w:tc>
        <w:tc>
          <w:tcPr>
            <w:tcW w:w="1589" w:type="dxa"/>
            <w:tcBorders>
              <w:top w:val="single" w:color="auto" w:sz="4" w:space="0"/>
              <w:left w:val="single" w:color="auto" w:sz="4" w:space="0"/>
              <w:bottom w:val="single" w:color="auto" w:sz="4" w:space="0"/>
              <w:right w:val="single" w:color="auto" w:sz="4" w:space="0"/>
            </w:tcBorders>
            <w:shd w:val="clear" w:color="auto" w:fill="auto"/>
            <w:vAlign w:val="center"/>
          </w:tcPr>
          <w:p w14:paraId="39B71F6E">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s="宋体"/>
                <w:kern w:val="0"/>
                <w:szCs w:val="21"/>
              </w:rPr>
            </w:pPr>
            <w:r>
              <w:rPr>
                <w:rFonts w:hint="eastAsia" w:cs="宋体"/>
                <w:lang w:bidi="ar"/>
              </w:rPr>
              <w:t>投标响应</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14:paraId="452FEA98">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s="宋体"/>
                <w:kern w:val="0"/>
                <w:szCs w:val="21"/>
              </w:rPr>
            </w:pPr>
            <w:r>
              <w:rPr>
                <w:rFonts w:hint="eastAsia" w:cs="宋体"/>
                <w:lang w:bidi="ar"/>
              </w:rPr>
              <w:t>偏离情况</w:t>
            </w:r>
          </w:p>
        </w:tc>
        <w:tc>
          <w:tcPr>
            <w:tcW w:w="1419" w:type="dxa"/>
            <w:tcBorders>
              <w:top w:val="single" w:color="auto" w:sz="4" w:space="0"/>
              <w:left w:val="single" w:color="auto" w:sz="4" w:space="0"/>
              <w:bottom w:val="single" w:color="auto" w:sz="4" w:space="0"/>
              <w:right w:val="single" w:color="auto" w:sz="4" w:space="0"/>
            </w:tcBorders>
            <w:shd w:val="clear" w:color="auto" w:fill="auto"/>
            <w:vAlign w:val="center"/>
          </w:tcPr>
          <w:p w14:paraId="345C7657">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s="宋体"/>
                <w:kern w:val="0"/>
                <w:szCs w:val="21"/>
              </w:rPr>
            </w:pPr>
            <w:r>
              <w:rPr>
                <w:rFonts w:hint="eastAsia" w:cs="宋体"/>
                <w:lang w:bidi="ar"/>
              </w:rPr>
              <w:t>说明</w:t>
            </w:r>
          </w:p>
        </w:tc>
      </w:tr>
      <w:bookmarkEnd w:id="50"/>
      <w:tr w14:paraId="174DF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auto"/>
          </w:tcPr>
          <w:p w14:paraId="7F269B0E">
            <w:pPr>
              <w:keepNext w:val="0"/>
              <w:keepLines w:val="0"/>
              <w:suppressLineNumbers w:val="0"/>
              <w:adjustRightInd w:val="0"/>
              <w:snapToGrid w:val="0"/>
              <w:spacing w:before="0" w:beforeAutospacing="0" w:after="0" w:afterAutospacing="0" w:line="360" w:lineRule="auto"/>
              <w:ind w:left="0" w:right="0"/>
              <w:rPr>
                <w:rFonts w:hint="default" w:ascii="宋体" w:hAnsi="宋体" w:cs="宋体"/>
                <w:kern w:val="0"/>
                <w:szCs w:val="21"/>
              </w:rPr>
            </w:pPr>
            <w:r>
              <w:rPr>
                <w:rFonts w:hint="eastAsia" w:ascii="宋体" w:hAnsi="宋体" w:cs="宋体"/>
                <w:kern w:val="0"/>
                <w:szCs w:val="21"/>
                <w:lang w:bidi="ar"/>
              </w:rPr>
              <w:t>1</w:t>
            </w:r>
          </w:p>
        </w:tc>
        <w:tc>
          <w:tcPr>
            <w:tcW w:w="2665" w:type="dxa"/>
            <w:tcBorders>
              <w:top w:val="single" w:color="auto" w:sz="4" w:space="0"/>
              <w:left w:val="single" w:color="auto" w:sz="4" w:space="0"/>
              <w:bottom w:val="single" w:color="auto" w:sz="4" w:space="0"/>
              <w:right w:val="single" w:color="auto" w:sz="4" w:space="0"/>
            </w:tcBorders>
            <w:shd w:val="clear" w:color="auto" w:fill="auto"/>
            <w:vAlign w:val="center"/>
          </w:tcPr>
          <w:p w14:paraId="2F45EA59">
            <w:pPr>
              <w:keepNext w:val="0"/>
              <w:keepLines w:val="0"/>
              <w:suppressLineNumbers w:val="0"/>
              <w:adjustRightInd w:val="0"/>
              <w:snapToGrid w:val="0"/>
              <w:spacing w:before="0" w:beforeAutospacing="0" w:after="0" w:afterAutospacing="0" w:line="360" w:lineRule="auto"/>
              <w:ind w:left="0" w:right="0"/>
              <w:jc w:val="center"/>
              <w:rPr>
                <w:rFonts w:hint="default" w:hAnsi="宋体"/>
                <w:kern w:val="0"/>
                <w:szCs w:val="21"/>
              </w:rPr>
            </w:pPr>
            <w:r>
              <w:rPr>
                <w:rFonts w:hint="eastAsia" w:cs="宋体"/>
                <w:lang w:bidi="ar"/>
              </w:rPr>
              <w:t>具体以采购文件第三章</w:t>
            </w:r>
            <w:r>
              <w:rPr>
                <w:rFonts w:hint="default"/>
                <w:snapToGrid w:val="0"/>
                <w:lang w:bidi="ar"/>
              </w:rPr>
              <w:t xml:space="preserve"> </w:t>
            </w:r>
            <w:r>
              <w:rPr>
                <w:rFonts w:hint="eastAsia" w:cs="宋体"/>
                <w:lang w:bidi="ar"/>
              </w:rPr>
              <w:t>用户需求书中带“★”的需求项为准。</w:t>
            </w:r>
          </w:p>
        </w:tc>
        <w:tc>
          <w:tcPr>
            <w:tcW w:w="1589" w:type="dxa"/>
            <w:tcBorders>
              <w:top w:val="single" w:color="auto" w:sz="4" w:space="0"/>
              <w:left w:val="single" w:color="auto" w:sz="4" w:space="0"/>
              <w:bottom w:val="single" w:color="auto" w:sz="4" w:space="0"/>
              <w:right w:val="single" w:color="auto" w:sz="4" w:space="0"/>
            </w:tcBorders>
            <w:shd w:val="clear" w:color="auto" w:fill="auto"/>
          </w:tcPr>
          <w:p w14:paraId="08FC21A6">
            <w:pPr>
              <w:keepNext w:val="0"/>
              <w:keepLines w:val="0"/>
              <w:suppressLineNumbers w:val="0"/>
              <w:adjustRightInd w:val="0"/>
              <w:snapToGrid w:val="0"/>
              <w:spacing w:before="0" w:beforeAutospacing="0" w:after="0" w:afterAutospacing="0" w:line="360" w:lineRule="auto"/>
              <w:ind w:left="0" w:right="0"/>
              <w:rPr>
                <w:rFonts w:hint="default" w:ascii="宋体" w:hAnsi="宋体" w:cs="宋体"/>
                <w:kern w:val="0"/>
                <w:szCs w:val="21"/>
              </w:rPr>
            </w:pPr>
          </w:p>
        </w:tc>
        <w:tc>
          <w:tcPr>
            <w:tcW w:w="1843" w:type="dxa"/>
            <w:tcBorders>
              <w:top w:val="single" w:color="auto" w:sz="4" w:space="0"/>
              <w:left w:val="single" w:color="auto" w:sz="4" w:space="0"/>
              <w:bottom w:val="single" w:color="auto" w:sz="4" w:space="0"/>
              <w:right w:val="single" w:color="auto" w:sz="4" w:space="0"/>
            </w:tcBorders>
            <w:shd w:val="clear" w:color="auto" w:fill="auto"/>
          </w:tcPr>
          <w:p w14:paraId="1E4D4E48">
            <w:pPr>
              <w:keepNext w:val="0"/>
              <w:keepLines w:val="0"/>
              <w:suppressLineNumbers w:val="0"/>
              <w:adjustRightInd w:val="0"/>
              <w:snapToGrid w:val="0"/>
              <w:spacing w:before="0" w:beforeAutospacing="0" w:after="0" w:afterAutospacing="0" w:line="360" w:lineRule="auto"/>
              <w:ind w:left="0" w:right="0"/>
              <w:rPr>
                <w:rFonts w:hint="default" w:ascii="宋体" w:hAnsi="宋体" w:cs="宋体"/>
                <w:kern w:val="0"/>
                <w:szCs w:val="21"/>
              </w:rPr>
            </w:pPr>
          </w:p>
        </w:tc>
        <w:tc>
          <w:tcPr>
            <w:tcW w:w="1419" w:type="dxa"/>
            <w:tcBorders>
              <w:top w:val="single" w:color="auto" w:sz="4" w:space="0"/>
              <w:left w:val="single" w:color="auto" w:sz="4" w:space="0"/>
              <w:bottom w:val="single" w:color="auto" w:sz="4" w:space="0"/>
              <w:right w:val="single" w:color="auto" w:sz="4" w:space="0"/>
            </w:tcBorders>
            <w:shd w:val="clear" w:color="auto" w:fill="auto"/>
          </w:tcPr>
          <w:p w14:paraId="54D4699F">
            <w:pPr>
              <w:keepNext w:val="0"/>
              <w:keepLines w:val="0"/>
              <w:suppressLineNumbers w:val="0"/>
              <w:adjustRightInd w:val="0"/>
              <w:snapToGrid w:val="0"/>
              <w:spacing w:before="0" w:beforeAutospacing="0" w:after="0" w:afterAutospacing="0" w:line="360" w:lineRule="auto"/>
              <w:ind w:left="0" w:right="0"/>
              <w:rPr>
                <w:rFonts w:hint="default" w:ascii="宋体" w:hAnsi="宋体" w:cs="宋体"/>
                <w:kern w:val="0"/>
                <w:szCs w:val="21"/>
              </w:rPr>
            </w:pPr>
          </w:p>
        </w:tc>
      </w:tr>
    </w:tbl>
    <w:p w14:paraId="6E74C981">
      <w:pPr>
        <w:ind w:firstLine="482" w:firstLineChars="200"/>
        <w:rPr>
          <w:b/>
          <w:sz w:val="24"/>
          <w:szCs w:val="22"/>
        </w:rPr>
      </w:pPr>
      <w:r>
        <w:rPr>
          <w:rFonts w:hint="eastAsia" w:cs="宋体"/>
          <w:b/>
          <w:sz w:val="24"/>
          <w:szCs w:val="22"/>
          <w:lang w:bidi="ar"/>
        </w:rPr>
        <w:t>注：</w:t>
      </w:r>
      <w:r>
        <w:rPr>
          <w:b/>
          <w:sz w:val="24"/>
          <w:szCs w:val="22"/>
          <w:lang w:bidi="ar"/>
        </w:rPr>
        <w:t>1.</w:t>
      </w:r>
      <w:r>
        <w:rPr>
          <w:rFonts w:hint="eastAsia" w:cs="宋体"/>
          <w:b/>
          <w:sz w:val="24"/>
          <w:szCs w:val="22"/>
          <w:lang w:bidi="ar"/>
        </w:rPr>
        <w:t>上表所列各项均为不可负偏离条款。</w:t>
      </w:r>
    </w:p>
    <w:p w14:paraId="5631FB45">
      <w:pPr>
        <w:ind w:firstLine="482" w:firstLineChars="200"/>
        <w:rPr>
          <w:b/>
          <w:sz w:val="24"/>
          <w:szCs w:val="22"/>
        </w:rPr>
      </w:pPr>
      <w:r>
        <w:rPr>
          <w:b/>
          <w:sz w:val="24"/>
          <w:szCs w:val="22"/>
          <w:lang w:bidi="ar"/>
        </w:rPr>
        <w:t>2.</w:t>
      </w:r>
      <w:r>
        <w:rPr>
          <w:rFonts w:hint="eastAsia" w:cs="宋体"/>
          <w:b/>
          <w:sz w:val="24"/>
          <w:szCs w:val="22"/>
          <w:lang w:bidi="ar"/>
        </w:rPr>
        <w:t>“投标响应”一栏应当详细填写投标人自身响应情况，而不能不合理照搬照抄招实质性条款具体内容。</w:t>
      </w:r>
    </w:p>
    <w:p w14:paraId="4B890E52">
      <w:pPr>
        <w:ind w:firstLine="482" w:firstLineChars="200"/>
        <w:rPr>
          <w:b/>
          <w:sz w:val="24"/>
          <w:szCs w:val="22"/>
        </w:rPr>
      </w:pPr>
      <w:r>
        <w:rPr>
          <w:b/>
          <w:sz w:val="24"/>
          <w:szCs w:val="22"/>
          <w:lang w:bidi="ar"/>
        </w:rPr>
        <w:t>3.</w:t>
      </w:r>
      <w:r>
        <w:rPr>
          <w:rFonts w:hint="eastAsia" w:cs="宋体"/>
          <w:b/>
          <w:sz w:val="24"/>
          <w:szCs w:val="22"/>
          <w:lang w:bidi="ar"/>
        </w:rPr>
        <w:t>“偏离情况”一栏应填写“正偏离”、“负偏离”或“无偏离”，</w:t>
      </w:r>
      <w:r>
        <w:rPr>
          <w:rFonts w:hint="eastAsia" w:cs="宋体"/>
          <w:b/>
          <w:sz w:val="24"/>
          <w:lang w:bidi="ar"/>
        </w:rPr>
        <w:t>“正偏离”表示“投标响应优于实质性条款具体内容要求”，“负偏离”表示“投标响应不满足实质性条款具体内容要求”，“无偏离”表示“投标响应与实质性条款具体内容要求一致”。</w:t>
      </w:r>
    </w:p>
    <w:p w14:paraId="5276F154">
      <w:pPr>
        <w:ind w:firstLine="482" w:firstLineChars="200"/>
        <w:rPr>
          <w:b/>
          <w:sz w:val="24"/>
        </w:rPr>
      </w:pPr>
      <w:r>
        <w:rPr>
          <w:b/>
          <w:sz w:val="24"/>
          <w:lang w:bidi="ar"/>
        </w:rPr>
        <w:t>4.</w:t>
      </w:r>
      <w:r>
        <w:rPr>
          <w:rFonts w:hint="eastAsia" w:cs="宋体"/>
          <w:b/>
          <w:sz w:val="24"/>
          <w:lang w:bidi="ar"/>
        </w:rPr>
        <w:t>评审委员会有权对投标响应情况作出判断（作出评审结论）。</w:t>
      </w:r>
    </w:p>
    <w:p w14:paraId="1BC23EDD">
      <w:pPr>
        <w:ind w:firstLine="482" w:firstLineChars="200"/>
        <w:rPr>
          <w:b/>
          <w:sz w:val="24"/>
          <w:szCs w:val="22"/>
        </w:rPr>
      </w:pPr>
      <w:r>
        <w:rPr>
          <w:b/>
          <w:sz w:val="24"/>
          <w:szCs w:val="22"/>
          <w:lang w:bidi="ar"/>
        </w:rPr>
        <w:t>5.</w:t>
      </w:r>
      <w:r>
        <w:rPr>
          <w:rFonts w:hint="eastAsia" w:cs="宋体"/>
          <w:b/>
          <w:sz w:val="24"/>
          <w:szCs w:val="22"/>
          <w:lang w:bidi="ar"/>
        </w:rPr>
        <w:t>实质性响应条款“投标响应情况”与投标文件其它内容冲突的，以实质性响应条款“投标响应情况”为准。</w:t>
      </w:r>
    </w:p>
    <w:p w14:paraId="6490633E">
      <w:pPr>
        <w:ind w:firstLine="482" w:firstLineChars="200"/>
        <w:rPr>
          <w:b/>
          <w:sz w:val="24"/>
          <w:szCs w:val="22"/>
        </w:rPr>
      </w:pPr>
      <w:r>
        <w:rPr>
          <w:b/>
          <w:sz w:val="24"/>
          <w:szCs w:val="22"/>
          <w:lang w:bidi="ar"/>
        </w:rPr>
        <w:t>6.</w:t>
      </w:r>
      <w:r>
        <w:rPr>
          <w:rFonts w:hint="eastAsia" w:cs="宋体"/>
          <w:b/>
          <w:sz w:val="24"/>
          <w:szCs w:val="22"/>
          <w:lang w:bidi="ar"/>
        </w:rPr>
        <w:t>要求提供证明资料，在“说明”一栏中列明证明资料的位置</w:t>
      </w:r>
      <w:r>
        <w:rPr>
          <w:b/>
          <w:sz w:val="24"/>
          <w:szCs w:val="22"/>
          <w:lang w:bidi="ar"/>
        </w:rPr>
        <w:t>,</w:t>
      </w:r>
      <w:r>
        <w:rPr>
          <w:rFonts w:hint="eastAsia" w:cs="宋体"/>
          <w:b/>
          <w:sz w:val="24"/>
          <w:szCs w:val="22"/>
          <w:lang w:bidi="ar"/>
        </w:rPr>
        <w:t>以便评审；未要求提供证明材料的，投标人可以不提供。</w:t>
      </w:r>
    </w:p>
    <w:p w14:paraId="5F692036"/>
    <w:p w14:paraId="383E7875">
      <w:pPr>
        <w:rPr>
          <w:b/>
          <w:bCs/>
          <w:sz w:val="24"/>
        </w:rPr>
      </w:pPr>
    </w:p>
    <w:p w14:paraId="5C3129F6">
      <w:pPr>
        <w:widowControl/>
        <w:jc w:val="left"/>
        <w:rPr>
          <w:rFonts w:ascii="黑体" w:hAnsi="宋体" w:eastAsia="黑体"/>
          <w:sz w:val="24"/>
          <w:szCs w:val="20"/>
          <w:highlight w:val="yellow"/>
        </w:rPr>
      </w:pPr>
      <w:r>
        <w:rPr>
          <w:rFonts w:ascii="黑体" w:hAnsi="宋体" w:eastAsia="黑体"/>
          <w:sz w:val="24"/>
          <w:szCs w:val="20"/>
          <w:highlight w:val="yellow"/>
        </w:rPr>
        <w:br w:type="page"/>
      </w:r>
    </w:p>
    <w:p w14:paraId="1A325D0A">
      <w:pPr>
        <w:keepNext/>
        <w:keepLines/>
        <w:widowControl w:val="0"/>
        <w:spacing w:before="260" w:after="260" w:line="240" w:lineRule="auto"/>
        <w:jc w:val="both"/>
        <w:outlineLvl w:val="2"/>
        <w:rPr>
          <w:rFonts w:ascii="黑体" w:hAnsi="黑体" w:eastAsia="黑体" w:cs="黑体"/>
          <w:b w:val="0"/>
          <w:bCs w:val="0"/>
          <w:kern w:val="2"/>
          <w:sz w:val="24"/>
          <w:szCs w:val="28"/>
          <w:lang w:val="en-US" w:eastAsia="zh-CN" w:bidi="ar-SA"/>
        </w:rPr>
      </w:pPr>
      <w:r>
        <w:rPr>
          <w:rFonts w:hint="eastAsia" w:ascii="黑体" w:hAnsi="黑体" w:eastAsia="黑体" w:cs="黑体"/>
          <w:b w:val="0"/>
          <w:bCs w:val="0"/>
          <w:kern w:val="2"/>
          <w:sz w:val="24"/>
          <w:szCs w:val="28"/>
          <w:lang w:val="en-US" w:eastAsia="zh-CN" w:bidi="ar-SA"/>
        </w:rPr>
        <w:t>五、实施方案（格式自定）</w:t>
      </w:r>
    </w:p>
    <w:p w14:paraId="377DA223">
      <w:pPr>
        <w:widowControl w:val="0"/>
        <w:ind w:firstLine="0"/>
        <w:jc w:val="both"/>
        <w:rPr>
          <w:rFonts w:ascii="宋体" w:hAnsi="宋体" w:eastAsia="宋体" w:cs="宋体"/>
          <w:color w:val="FF0000"/>
          <w:kern w:val="2"/>
          <w:sz w:val="24"/>
          <w:szCs w:val="20"/>
          <w:highlight w:val="yellow"/>
          <w:lang w:val="en-US" w:eastAsia="zh-CN" w:bidi="ar-SA"/>
        </w:rPr>
      </w:pPr>
      <w:r>
        <w:rPr>
          <w:rFonts w:hint="eastAsia" w:ascii="宋体" w:hAnsi="宋体" w:eastAsia="宋体" w:cs="宋体"/>
          <w:color w:val="FF0000"/>
          <w:kern w:val="2"/>
          <w:sz w:val="24"/>
          <w:szCs w:val="20"/>
          <w:highlight w:val="yellow"/>
          <w:lang w:val="en-US" w:eastAsia="zh-CN" w:bidi="ar-SA"/>
        </w:rPr>
        <w:t>（特别提示：投标人须按本招标文件评标信息中这一评审因素要求，提供证明资料）</w:t>
      </w:r>
    </w:p>
    <w:p w14:paraId="17A5379A">
      <w:pPr>
        <w:widowControl w:val="0"/>
        <w:ind w:firstLine="0"/>
        <w:jc w:val="both"/>
        <w:rPr>
          <w:rFonts w:ascii="宋体" w:hAnsi="宋体" w:eastAsia="宋体" w:cs="宋体"/>
          <w:kern w:val="2"/>
          <w:sz w:val="24"/>
          <w:szCs w:val="20"/>
          <w:highlight w:val="yellow"/>
          <w:lang w:val="en-US" w:eastAsia="zh-CN" w:bidi="ar-SA"/>
        </w:rPr>
      </w:pPr>
    </w:p>
    <w:p w14:paraId="280C04EF">
      <w:pPr>
        <w:keepNext/>
        <w:keepLines/>
        <w:widowControl w:val="0"/>
        <w:spacing w:before="260" w:after="260" w:line="240" w:lineRule="auto"/>
        <w:jc w:val="both"/>
        <w:outlineLvl w:val="2"/>
        <w:rPr>
          <w:rFonts w:ascii="黑体" w:hAnsi="黑体" w:eastAsia="黑体" w:cs="黑体"/>
          <w:b w:val="0"/>
          <w:bCs w:val="0"/>
          <w:kern w:val="2"/>
          <w:sz w:val="24"/>
          <w:szCs w:val="28"/>
          <w:lang w:val="en-US" w:eastAsia="zh-CN" w:bidi="ar-SA"/>
        </w:rPr>
      </w:pPr>
      <w:r>
        <w:rPr>
          <w:rFonts w:hint="eastAsia" w:ascii="黑体" w:hAnsi="黑体" w:eastAsia="黑体" w:cs="黑体"/>
          <w:b w:val="0"/>
          <w:bCs w:val="0"/>
          <w:kern w:val="2"/>
          <w:sz w:val="24"/>
          <w:szCs w:val="28"/>
          <w:lang w:val="en-US" w:eastAsia="zh-CN" w:bidi="ar-SA"/>
        </w:rPr>
        <w:t>六、质量保障措施（格式自定）</w:t>
      </w:r>
    </w:p>
    <w:p w14:paraId="7EF6CE8E">
      <w:pPr>
        <w:widowControl w:val="0"/>
        <w:ind w:firstLine="0"/>
        <w:jc w:val="both"/>
        <w:rPr>
          <w:rFonts w:ascii="宋体" w:hAnsi="宋体" w:eastAsia="宋体" w:cs="宋体"/>
          <w:color w:val="FF0000"/>
          <w:kern w:val="2"/>
          <w:sz w:val="24"/>
          <w:szCs w:val="20"/>
          <w:highlight w:val="yellow"/>
          <w:lang w:val="en-US" w:eastAsia="zh-CN" w:bidi="ar-SA"/>
        </w:rPr>
      </w:pPr>
      <w:r>
        <w:rPr>
          <w:rFonts w:hint="eastAsia" w:ascii="宋体" w:hAnsi="宋体" w:eastAsia="宋体" w:cs="宋体"/>
          <w:color w:val="FF0000"/>
          <w:kern w:val="2"/>
          <w:sz w:val="24"/>
          <w:szCs w:val="20"/>
          <w:highlight w:val="yellow"/>
          <w:lang w:val="en-US" w:eastAsia="zh-CN" w:bidi="ar-SA"/>
        </w:rPr>
        <w:t>（特别提示：投标人须按本招标文件评标信息中这一评审因素要求，提供证明资料）</w:t>
      </w:r>
    </w:p>
    <w:p w14:paraId="4E305AF9">
      <w:pPr>
        <w:widowControl w:val="0"/>
        <w:ind w:firstLine="0"/>
        <w:jc w:val="both"/>
        <w:rPr>
          <w:rFonts w:ascii="宋体" w:hAnsi="宋体" w:eastAsia="宋体" w:cs="宋体"/>
          <w:kern w:val="2"/>
          <w:sz w:val="24"/>
          <w:szCs w:val="20"/>
          <w:highlight w:val="yellow"/>
          <w:lang w:val="en-US" w:eastAsia="zh-CN" w:bidi="ar-SA"/>
        </w:rPr>
      </w:pPr>
    </w:p>
    <w:p w14:paraId="474E4609">
      <w:pPr>
        <w:keepNext/>
        <w:keepLines/>
        <w:widowControl w:val="0"/>
        <w:spacing w:before="260" w:after="260" w:line="240" w:lineRule="auto"/>
        <w:jc w:val="both"/>
        <w:outlineLvl w:val="2"/>
        <w:rPr>
          <w:rFonts w:ascii="黑体" w:hAnsi="黑体" w:eastAsia="黑体" w:cs="黑体"/>
          <w:b w:val="0"/>
          <w:bCs w:val="0"/>
          <w:kern w:val="2"/>
          <w:sz w:val="24"/>
          <w:szCs w:val="28"/>
          <w:lang w:val="en-US" w:eastAsia="zh-CN" w:bidi="ar-SA"/>
        </w:rPr>
      </w:pPr>
      <w:r>
        <w:rPr>
          <w:rFonts w:hint="eastAsia" w:ascii="黑体" w:hAnsi="黑体" w:eastAsia="黑体" w:cs="黑体"/>
          <w:b w:val="0"/>
          <w:bCs w:val="0"/>
          <w:kern w:val="2"/>
          <w:sz w:val="24"/>
          <w:szCs w:val="28"/>
          <w:lang w:val="en-US" w:eastAsia="zh-CN" w:bidi="ar-SA"/>
        </w:rPr>
        <w:t>七、服务承诺（格式自定）</w:t>
      </w:r>
    </w:p>
    <w:p w14:paraId="34A7FE04">
      <w:pPr>
        <w:widowControl w:val="0"/>
        <w:ind w:firstLine="0"/>
        <w:jc w:val="both"/>
        <w:rPr>
          <w:rFonts w:ascii="宋体" w:hAnsi="宋体" w:eastAsia="宋体" w:cs="宋体"/>
          <w:color w:val="FF0000"/>
          <w:kern w:val="2"/>
          <w:sz w:val="24"/>
          <w:szCs w:val="20"/>
          <w:highlight w:val="yellow"/>
          <w:lang w:val="en-US" w:eastAsia="zh-CN" w:bidi="ar-SA"/>
        </w:rPr>
      </w:pPr>
      <w:r>
        <w:rPr>
          <w:rFonts w:hint="eastAsia" w:ascii="宋体" w:hAnsi="宋体" w:eastAsia="宋体" w:cs="宋体"/>
          <w:color w:val="FF0000"/>
          <w:kern w:val="2"/>
          <w:sz w:val="24"/>
          <w:szCs w:val="20"/>
          <w:highlight w:val="yellow"/>
          <w:lang w:val="en-US" w:eastAsia="zh-CN" w:bidi="ar-SA"/>
        </w:rPr>
        <w:t>（特别提示：投标人须按本招标文件评标信息中这一评审因素要求，提供证明资料）</w:t>
      </w:r>
    </w:p>
    <w:p w14:paraId="3691C2CF">
      <w:pPr>
        <w:widowControl w:val="0"/>
        <w:ind w:firstLine="0"/>
        <w:jc w:val="both"/>
        <w:rPr>
          <w:rFonts w:ascii="宋体" w:hAnsi="宋体" w:eastAsia="宋体" w:cs="宋体"/>
          <w:kern w:val="2"/>
          <w:sz w:val="24"/>
          <w:szCs w:val="20"/>
          <w:highlight w:val="yellow"/>
          <w:lang w:val="en-US" w:eastAsia="zh-CN" w:bidi="ar-SA"/>
        </w:rPr>
      </w:pPr>
    </w:p>
    <w:p w14:paraId="69C72D91">
      <w:pPr>
        <w:keepNext/>
        <w:keepLines/>
        <w:widowControl w:val="0"/>
        <w:spacing w:before="260" w:after="260" w:line="240" w:lineRule="auto"/>
        <w:jc w:val="both"/>
        <w:outlineLvl w:val="2"/>
        <w:rPr>
          <w:rFonts w:ascii="宋体" w:hAnsi="宋体" w:eastAsia="宋体" w:cs="Times New Roman"/>
          <w:b w:val="0"/>
          <w:bCs w:val="0"/>
          <w:kern w:val="2"/>
          <w:sz w:val="24"/>
          <w:szCs w:val="28"/>
          <w:lang w:val="en-US" w:eastAsia="zh-CN" w:bidi="ar-SA"/>
        </w:rPr>
      </w:pPr>
      <w:r>
        <w:rPr>
          <w:rFonts w:hint="eastAsia" w:ascii="宋体" w:hAnsi="宋体" w:eastAsia="宋体" w:cs="Times New Roman"/>
          <w:b w:val="0"/>
          <w:bCs w:val="0"/>
          <w:kern w:val="2"/>
          <w:sz w:val="24"/>
          <w:szCs w:val="28"/>
          <w:lang w:val="en-US" w:eastAsia="zh-CN" w:bidi="ar-SA"/>
        </w:rPr>
        <w:t>八、拟安排的项目负责人情况（仅限一人）（格式自定）</w:t>
      </w:r>
    </w:p>
    <w:p w14:paraId="7A43CCA3">
      <w:pPr>
        <w:widowControl w:val="0"/>
        <w:spacing w:before="60" w:beforeLines="25" w:after="60" w:afterLines="25"/>
        <w:ind w:firstLine="0"/>
        <w:jc w:val="both"/>
        <w:rPr>
          <w:rFonts w:ascii="宋体" w:hAnsi="宋体" w:eastAsia="宋体" w:cs="宋体"/>
          <w:color w:val="FF0000"/>
          <w:kern w:val="2"/>
          <w:sz w:val="24"/>
          <w:szCs w:val="20"/>
          <w:highlight w:val="yellow"/>
          <w:lang w:val="en-US" w:eastAsia="zh-CN" w:bidi="ar-SA"/>
        </w:rPr>
      </w:pPr>
      <w:r>
        <w:rPr>
          <w:rFonts w:hint="eastAsia" w:ascii="宋体" w:hAnsi="宋体" w:eastAsia="宋体" w:cs="宋体"/>
          <w:color w:val="FF0000"/>
          <w:kern w:val="2"/>
          <w:sz w:val="24"/>
          <w:szCs w:val="20"/>
          <w:highlight w:val="yellow"/>
          <w:lang w:val="en-US" w:eastAsia="zh-CN" w:bidi="ar-SA"/>
        </w:rPr>
        <w:t>（特别提示：投标人须按本招标文件评标信息中这一评审因素要求，提供证明资料）</w:t>
      </w:r>
    </w:p>
    <w:p w14:paraId="62E5AD80">
      <w:pPr>
        <w:widowControl w:val="0"/>
        <w:spacing w:before="60" w:beforeLines="25" w:after="60" w:afterLines="25"/>
        <w:ind w:firstLine="0"/>
        <w:jc w:val="both"/>
        <w:rPr>
          <w:rFonts w:ascii="宋体" w:hAnsi="宋体" w:eastAsia="宋体" w:cs="宋体"/>
          <w:kern w:val="2"/>
          <w:sz w:val="24"/>
          <w:szCs w:val="20"/>
          <w:highlight w:val="yellow"/>
          <w:lang w:val="en-US" w:eastAsia="zh-CN" w:bidi="ar-SA"/>
        </w:rPr>
      </w:pPr>
    </w:p>
    <w:p w14:paraId="172E4A80">
      <w:pPr>
        <w:keepNext/>
        <w:keepLines/>
        <w:widowControl w:val="0"/>
        <w:spacing w:before="260" w:after="260" w:line="240" w:lineRule="auto"/>
        <w:jc w:val="both"/>
        <w:outlineLvl w:val="2"/>
        <w:rPr>
          <w:rFonts w:ascii="宋体" w:hAnsi="宋体" w:eastAsia="宋体" w:cs="Times New Roman"/>
          <w:b w:val="0"/>
          <w:bCs w:val="0"/>
          <w:kern w:val="2"/>
          <w:sz w:val="24"/>
          <w:szCs w:val="28"/>
          <w:lang w:val="en-US" w:eastAsia="zh-CN" w:bidi="ar-SA"/>
        </w:rPr>
      </w:pPr>
      <w:r>
        <w:rPr>
          <w:rFonts w:hint="eastAsia" w:ascii="宋体" w:hAnsi="宋体" w:eastAsia="宋体" w:cs="Times New Roman"/>
          <w:b w:val="0"/>
          <w:bCs w:val="0"/>
          <w:kern w:val="2"/>
          <w:sz w:val="24"/>
          <w:szCs w:val="28"/>
          <w:lang w:val="en-US" w:eastAsia="zh-CN" w:bidi="ar-SA"/>
        </w:rPr>
        <w:t>九、拟安排项目团队成员情况（项目负责人除外）（格式自定）</w:t>
      </w:r>
    </w:p>
    <w:p w14:paraId="3F8C2DA1">
      <w:pPr>
        <w:rPr>
          <w:rFonts w:ascii="宋体" w:hAnsi="宋体" w:eastAsia="宋体" w:cs="宋体"/>
          <w:sz w:val="24"/>
          <w:highlight w:val="yellow"/>
        </w:rPr>
      </w:pPr>
      <w:r>
        <w:rPr>
          <w:rFonts w:hint="eastAsia" w:ascii="宋体" w:hAnsi="宋体" w:eastAsia="宋体" w:cs="宋体"/>
          <w:color w:val="FF0000"/>
          <w:sz w:val="24"/>
          <w:highlight w:val="yellow"/>
        </w:rPr>
        <w:t>（特别提示：投标人须按本招标文件评标信息中这一评审因素要求，提供证明资料）</w:t>
      </w:r>
    </w:p>
    <w:p w14:paraId="2A458636">
      <w:pPr>
        <w:widowControl w:val="0"/>
        <w:spacing w:line="360" w:lineRule="auto"/>
        <w:jc w:val="both"/>
        <w:rPr>
          <w:rFonts w:ascii="Times New Roman" w:hAnsi="Times New Roman" w:eastAsia="宋体" w:cs="Times New Roman"/>
          <w:b/>
          <w:bCs/>
          <w:kern w:val="2"/>
          <w:sz w:val="24"/>
          <w:szCs w:val="24"/>
          <w:lang w:val="en-US" w:eastAsia="zh-CN" w:bidi="ar-SA"/>
        </w:rPr>
      </w:pPr>
    </w:p>
    <w:p w14:paraId="02EA1744">
      <w:pPr>
        <w:rPr>
          <w:rFonts w:hint="eastAsia" w:ascii="宋体" w:hAnsi="宋体" w:eastAsia="宋体" w:cs="Times New Roman"/>
          <w:b w:val="0"/>
          <w:bCs w:val="0"/>
          <w:sz w:val="24"/>
          <w:szCs w:val="28"/>
        </w:rPr>
      </w:pPr>
      <w:r>
        <w:rPr>
          <w:rFonts w:hint="eastAsia" w:ascii="宋体" w:hAnsi="宋体" w:eastAsia="宋体" w:cs="Times New Roman"/>
          <w:b w:val="0"/>
          <w:bCs w:val="0"/>
          <w:kern w:val="2"/>
          <w:sz w:val="24"/>
          <w:szCs w:val="28"/>
          <w:lang w:val="en-US" w:eastAsia="zh-CN" w:bidi="ar-SA"/>
        </w:rPr>
        <w:t>十、投标人认为需要加以说明的其他内容（格式自定）</w:t>
      </w:r>
    </w:p>
    <w:p w14:paraId="1276CD3B">
      <w:pPr>
        <w:widowControl/>
        <w:jc w:val="center"/>
        <w:rPr>
          <w:rFonts w:ascii="黑体" w:hAnsi="宋体" w:eastAsia="黑体"/>
          <w:kern w:val="0"/>
          <w:sz w:val="24"/>
          <w:szCs w:val="20"/>
        </w:rPr>
      </w:pPr>
      <w:r>
        <w:rPr>
          <w:rFonts w:hint="eastAsia" w:ascii="黑体" w:hAnsi="宋体" w:eastAsia="黑体"/>
          <w:kern w:val="0"/>
          <w:sz w:val="24"/>
          <w:szCs w:val="20"/>
        </w:rPr>
        <w:t>（一）采购违法行为风险知悉确认书</w:t>
      </w:r>
    </w:p>
    <w:p w14:paraId="18C8590D">
      <w:pPr>
        <w:keepNext w:val="0"/>
        <w:keepLines w:val="0"/>
        <w:widowControl w:val="0"/>
        <w:suppressLineNumbers w:val="0"/>
        <w:spacing w:before="0" w:beforeAutospacing="0" w:after="120" w:afterLines="50" w:afterAutospacing="0" w:line="360" w:lineRule="exact"/>
        <w:ind w:left="0" w:right="0" w:firstLine="422" w:firstLineChars="200"/>
        <w:jc w:val="both"/>
        <w:rPr>
          <w:rFonts w:hint="eastAsia" w:ascii="宋体" w:hAnsi="宋体" w:eastAsia="宋体" w:cs="宋体"/>
          <w:b/>
          <w:bCs/>
          <w:szCs w:val="21"/>
          <w:lang w:val="en-US"/>
        </w:rPr>
      </w:pPr>
      <w:r>
        <w:rPr>
          <w:rFonts w:hint="eastAsia" w:ascii="宋体" w:hAnsi="宋体" w:eastAsia="宋体" w:cs="宋体"/>
          <w:b/>
          <w:bCs/>
          <w:kern w:val="2"/>
          <w:sz w:val="21"/>
          <w:szCs w:val="21"/>
          <w:lang w:val="en-US" w:eastAsia="zh-CN" w:bidi="ar"/>
        </w:rPr>
        <w:t>我单位在投标前已充分知悉以下情形为参与</w:t>
      </w:r>
      <w:r>
        <w:rPr>
          <w:rFonts w:hint="eastAsia" w:ascii="宋体" w:hAnsi="宋体" w:cs="宋体"/>
          <w:b/>
          <w:bCs/>
          <w:kern w:val="2"/>
          <w:sz w:val="21"/>
          <w:szCs w:val="21"/>
          <w:lang w:val="en-US" w:eastAsia="zh-CN" w:bidi="ar"/>
        </w:rPr>
        <w:t>自行</w:t>
      </w:r>
      <w:r>
        <w:rPr>
          <w:rFonts w:hint="eastAsia" w:ascii="宋体" w:hAnsi="宋体" w:eastAsia="宋体" w:cs="宋体"/>
          <w:b/>
          <w:bCs/>
          <w:kern w:val="2"/>
          <w:sz w:val="21"/>
          <w:szCs w:val="21"/>
          <w:lang w:val="en-US" w:eastAsia="zh-CN" w:bidi="ar"/>
        </w:rPr>
        <w:t>采购活动时的重大风险事项，并承诺已对下述风险提示事项重点排查，若存在下述情况，我单位愿意依法承担被记入供应商诚信档案、罚款、取消参与政府采购资格、吊销营业执照等处罚；构成犯罪的，依法承担刑事责任。</w:t>
      </w:r>
    </w:p>
    <w:tbl>
      <w:tblPr>
        <w:tblStyle w:val="14"/>
        <w:tblW w:w="9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11"/>
        <w:gridCol w:w="8223"/>
      </w:tblGrid>
      <w:tr w14:paraId="48C79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66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3BB43EF7">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序号</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36F116A5">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auto"/>
                <w:sz w:val="21"/>
                <w:szCs w:val="21"/>
                <w:lang w:val="en-US"/>
              </w:rPr>
            </w:pPr>
            <w:r>
              <w:rPr>
                <w:rFonts w:hint="eastAsia" w:ascii="宋体" w:hAnsi="宋体" w:eastAsia="宋体" w:cs="宋体"/>
                <w:b/>
                <w:bCs/>
                <w:color w:val="auto"/>
                <w:kern w:val="2"/>
                <w:sz w:val="21"/>
                <w:szCs w:val="21"/>
                <w:lang w:val="en-US" w:eastAsia="zh-CN" w:bidi="ar"/>
              </w:rPr>
              <w:t>供应商参与投标禁止情形</w:t>
            </w:r>
          </w:p>
        </w:tc>
      </w:tr>
      <w:tr w14:paraId="62331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1ED90C31">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1</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1A595408">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与其他投标供应商的法定代表人、主要经营负责人、投标授权代表人、项目负责人、主要技术人员为</w:t>
            </w:r>
            <w:r>
              <w:rPr>
                <w:rFonts w:hint="eastAsia" w:ascii="宋体" w:hAnsi="宋体" w:eastAsia="宋体" w:cs="宋体"/>
                <w:b/>
                <w:bCs/>
                <w:color w:val="auto"/>
                <w:kern w:val="2"/>
                <w:sz w:val="21"/>
                <w:szCs w:val="21"/>
                <w:lang w:val="en-US" w:eastAsia="zh-CN" w:bidi="ar"/>
              </w:rPr>
              <w:t>同一人、属同一单位或者在同一单位缴纳社会保险</w:t>
            </w:r>
            <w:r>
              <w:rPr>
                <w:rFonts w:hint="eastAsia" w:ascii="宋体" w:hAnsi="宋体" w:eastAsia="宋体" w:cs="宋体"/>
                <w:color w:val="auto"/>
                <w:kern w:val="2"/>
                <w:sz w:val="21"/>
                <w:szCs w:val="21"/>
                <w:lang w:val="en-US" w:eastAsia="zh-CN" w:bidi="ar"/>
              </w:rPr>
              <w:t>。</w:t>
            </w:r>
          </w:p>
        </w:tc>
      </w:tr>
      <w:tr w14:paraId="50B85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4E88EC8C">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2</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6E3D5951">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参与本项目采购活动时，与其他投标供应商存在单位负责人为</w:t>
            </w:r>
            <w:r>
              <w:rPr>
                <w:rFonts w:hint="eastAsia" w:ascii="宋体" w:hAnsi="宋体" w:eastAsia="宋体" w:cs="宋体"/>
                <w:b/>
                <w:bCs/>
                <w:color w:val="auto"/>
                <w:kern w:val="2"/>
                <w:sz w:val="21"/>
                <w:szCs w:val="21"/>
                <w:lang w:val="en-US" w:eastAsia="zh-CN" w:bidi="ar"/>
              </w:rPr>
              <w:t>同一人或直接控股、管理关系</w:t>
            </w:r>
            <w:r>
              <w:rPr>
                <w:rFonts w:hint="eastAsia" w:ascii="宋体" w:hAnsi="宋体" w:eastAsia="宋体" w:cs="宋体"/>
                <w:color w:val="auto"/>
                <w:kern w:val="2"/>
                <w:sz w:val="21"/>
                <w:szCs w:val="21"/>
                <w:lang w:val="en-US" w:eastAsia="zh-CN" w:bidi="ar"/>
              </w:rPr>
              <w:t>。</w:t>
            </w:r>
          </w:p>
        </w:tc>
      </w:tr>
      <w:tr w14:paraId="26125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1046FD70">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3</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6D4A8CA4">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与其他投标供应商的投标文件或部分投标文件</w:t>
            </w:r>
            <w:r>
              <w:rPr>
                <w:rFonts w:hint="eastAsia" w:ascii="宋体" w:hAnsi="宋体" w:eastAsia="宋体" w:cs="宋体"/>
                <w:b/>
                <w:bCs/>
                <w:color w:val="auto"/>
                <w:kern w:val="2"/>
                <w:sz w:val="21"/>
                <w:szCs w:val="21"/>
                <w:lang w:val="en-US" w:eastAsia="zh-CN" w:bidi="ar"/>
              </w:rPr>
              <w:t>相互混装或存在非正常一致</w:t>
            </w:r>
            <w:r>
              <w:rPr>
                <w:rFonts w:hint="eastAsia" w:ascii="宋体" w:hAnsi="宋体" w:eastAsia="宋体" w:cs="宋体"/>
                <w:color w:val="auto"/>
                <w:kern w:val="2"/>
                <w:sz w:val="21"/>
                <w:szCs w:val="21"/>
                <w:lang w:val="en-US" w:eastAsia="zh-CN" w:bidi="ar"/>
              </w:rPr>
              <w:t>。</w:t>
            </w:r>
          </w:p>
        </w:tc>
      </w:tr>
      <w:tr w14:paraId="7985A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77EF1F86">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4</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6CF3C521">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与其他投标供应商的投标文件由</w:t>
            </w:r>
            <w:r>
              <w:rPr>
                <w:rFonts w:hint="eastAsia" w:ascii="宋体" w:hAnsi="宋体" w:eastAsia="宋体" w:cs="宋体"/>
                <w:b/>
                <w:bCs/>
                <w:color w:val="auto"/>
                <w:kern w:val="2"/>
                <w:sz w:val="21"/>
                <w:szCs w:val="21"/>
                <w:lang w:val="en-US" w:eastAsia="zh-CN" w:bidi="ar"/>
              </w:rPr>
              <w:t>同一单位或者同一人编制</w:t>
            </w:r>
            <w:r>
              <w:rPr>
                <w:rFonts w:hint="eastAsia" w:ascii="宋体" w:hAnsi="宋体" w:eastAsia="宋体" w:cs="宋体"/>
                <w:color w:val="auto"/>
                <w:kern w:val="2"/>
                <w:sz w:val="21"/>
                <w:szCs w:val="21"/>
                <w:lang w:val="en-US" w:eastAsia="zh-CN" w:bidi="ar"/>
              </w:rPr>
              <w:t>，或者使用</w:t>
            </w:r>
            <w:r>
              <w:rPr>
                <w:rFonts w:hint="eastAsia" w:ascii="宋体" w:hAnsi="宋体" w:eastAsia="宋体" w:cs="宋体"/>
                <w:b/>
                <w:bCs/>
                <w:color w:val="auto"/>
                <w:kern w:val="2"/>
                <w:sz w:val="21"/>
                <w:szCs w:val="21"/>
                <w:lang w:val="en-US" w:eastAsia="zh-CN" w:bidi="ar"/>
              </w:rPr>
              <w:t>同一设备编制</w:t>
            </w:r>
            <w:r>
              <w:rPr>
                <w:rFonts w:hint="eastAsia" w:ascii="宋体" w:hAnsi="宋体" w:eastAsia="宋体" w:cs="宋体"/>
                <w:color w:val="auto"/>
                <w:kern w:val="2"/>
                <w:sz w:val="21"/>
                <w:szCs w:val="21"/>
                <w:lang w:val="en-US" w:eastAsia="zh-CN" w:bidi="ar"/>
              </w:rPr>
              <w:t>。</w:t>
            </w:r>
          </w:p>
        </w:tc>
      </w:tr>
      <w:tr w14:paraId="588FD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4B514702">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5</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7044C35E">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提供</w:t>
            </w:r>
            <w:r>
              <w:rPr>
                <w:rFonts w:hint="eastAsia" w:ascii="宋体" w:hAnsi="宋体" w:eastAsia="宋体" w:cs="宋体"/>
                <w:b/>
                <w:bCs/>
                <w:color w:val="auto"/>
                <w:kern w:val="2"/>
                <w:sz w:val="21"/>
                <w:szCs w:val="21"/>
                <w:lang w:val="en-US" w:eastAsia="zh-CN" w:bidi="ar"/>
              </w:rPr>
              <w:t>未经出具机构核实</w:t>
            </w:r>
            <w:r>
              <w:rPr>
                <w:rFonts w:hint="eastAsia" w:ascii="宋体" w:hAnsi="宋体" w:eastAsia="宋体" w:cs="宋体"/>
                <w:color w:val="auto"/>
                <w:kern w:val="2"/>
                <w:sz w:val="21"/>
                <w:szCs w:val="21"/>
                <w:lang w:val="en-US" w:eastAsia="zh-CN" w:bidi="ar"/>
              </w:rPr>
              <w:t>的虚假的检验检测报告、业绩材料、社保缴纳证明、学历学位证书、职称认证证书等材料。</w:t>
            </w:r>
          </w:p>
        </w:tc>
      </w:tr>
      <w:tr w14:paraId="1EB22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151135F5">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6</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51068742">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擅自将投标密钥出借他人使用或未妥善保管。</w:t>
            </w:r>
          </w:p>
        </w:tc>
      </w:tr>
    </w:tbl>
    <w:p w14:paraId="0D73033B">
      <w:pPr>
        <w:keepNext w:val="0"/>
        <w:keepLines w:val="0"/>
        <w:widowControl w:val="0"/>
        <w:suppressLineNumbers w:val="0"/>
        <w:spacing w:before="120" w:beforeLines="50" w:beforeAutospacing="0" w:after="0" w:afterAutospacing="0" w:line="380" w:lineRule="exact"/>
        <w:ind w:left="0" w:right="0" w:firstLine="422" w:firstLineChars="200"/>
        <w:jc w:val="both"/>
        <w:rPr>
          <w:rFonts w:hint="eastAsia" w:ascii="宋体" w:hAnsi="宋体" w:eastAsia="宋体" w:cs="宋体"/>
          <w:b/>
          <w:bCs w:val="0"/>
          <w:szCs w:val="21"/>
          <w:lang w:val="en-US"/>
        </w:rPr>
      </w:pPr>
      <w:r>
        <w:rPr>
          <w:rFonts w:hint="eastAsia" w:ascii="宋体" w:hAnsi="宋体" w:eastAsia="宋体" w:cs="宋体"/>
          <w:b/>
          <w:bCs w:val="0"/>
          <w:kern w:val="2"/>
          <w:sz w:val="21"/>
          <w:szCs w:val="21"/>
          <w:lang w:val="en-US" w:eastAsia="zh-CN" w:bidi="ar"/>
        </w:rPr>
        <w:t>一、我单位已充分知悉“隐瞒真实情况，提供虚假资料”的法定情形，包括但不限于：</w:t>
      </w:r>
    </w:p>
    <w:p w14:paraId="30541E64">
      <w:pPr>
        <w:keepNext w:val="0"/>
        <w:keepLines w:val="0"/>
        <w:widowControl w:val="0"/>
        <w:suppressLineNumbers w:val="0"/>
        <w:spacing w:before="0" w:beforeAutospacing="0" w:after="0" w:afterAutospacing="0" w:line="38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（一）通过转让或者租借等方式从其他单位获取资格或者资质证书投标的。</w:t>
      </w:r>
    </w:p>
    <w:p w14:paraId="0E7B13DE">
      <w:pPr>
        <w:keepNext w:val="0"/>
        <w:keepLines w:val="0"/>
        <w:widowControl w:val="0"/>
        <w:suppressLineNumbers w:val="0"/>
        <w:spacing w:before="0" w:beforeAutospacing="0" w:after="0" w:afterAutospacing="0" w:line="38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（二）由其他单位或者其他单位负责人在投标供应商编制的投标文件上加盖印章或者签字的。</w:t>
      </w:r>
    </w:p>
    <w:p w14:paraId="012B7ADD">
      <w:pPr>
        <w:keepNext w:val="0"/>
        <w:keepLines w:val="0"/>
        <w:widowControl w:val="0"/>
        <w:suppressLineNumbers w:val="0"/>
        <w:spacing w:before="0" w:beforeAutospacing="0" w:after="0" w:afterAutospacing="0" w:line="38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（三）项目负责人或者主要技术人员不是本单位人员的。</w:t>
      </w:r>
    </w:p>
    <w:p w14:paraId="3C163823">
      <w:pPr>
        <w:keepNext w:val="0"/>
        <w:keepLines w:val="0"/>
        <w:widowControl w:val="0"/>
        <w:suppressLineNumbers w:val="0"/>
        <w:spacing w:before="0" w:beforeAutospacing="0" w:after="0" w:afterAutospacing="0" w:line="38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（四）投标保证金不是从投标供应商基本账户转出的。</w:t>
      </w:r>
    </w:p>
    <w:p w14:paraId="3AA6CBFD">
      <w:pPr>
        <w:keepNext w:val="0"/>
        <w:keepLines w:val="0"/>
        <w:widowControl w:val="0"/>
        <w:suppressLineNumbers w:val="0"/>
        <w:spacing w:before="0" w:beforeAutospacing="0" w:after="0" w:afterAutospacing="0" w:line="38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（五）其他隐瞒真实情况、提供虚假资料的行为。</w:t>
      </w:r>
    </w:p>
    <w:p w14:paraId="5ACD2E79">
      <w:pPr>
        <w:keepNext w:val="0"/>
        <w:keepLines w:val="0"/>
        <w:widowControl w:val="0"/>
        <w:suppressLineNumbers w:val="0"/>
        <w:spacing w:before="0" w:beforeAutospacing="0" w:after="0" w:afterAutospacing="0" w:line="380" w:lineRule="exact"/>
        <w:ind w:left="0" w:right="0" w:firstLine="422" w:firstLineChars="200"/>
        <w:jc w:val="both"/>
        <w:rPr>
          <w:rFonts w:hint="eastAsia" w:ascii="宋体" w:hAnsi="宋体" w:eastAsia="宋体" w:cs="宋体"/>
          <w:b/>
          <w:bCs w:val="0"/>
          <w:szCs w:val="21"/>
          <w:lang w:val="en-US"/>
        </w:rPr>
      </w:pPr>
      <w:r>
        <w:rPr>
          <w:rFonts w:hint="eastAsia" w:ascii="宋体" w:hAnsi="宋体" w:eastAsia="宋体" w:cs="宋体"/>
          <w:b/>
          <w:bCs w:val="0"/>
          <w:kern w:val="2"/>
          <w:sz w:val="21"/>
          <w:szCs w:val="21"/>
          <w:lang w:val="en-US" w:eastAsia="zh-CN" w:bidi="ar"/>
        </w:rPr>
        <w:t>二、我单位已充分知悉“与其他采购参加人串通投标”的法定情形，包括但不限于：</w:t>
      </w:r>
    </w:p>
    <w:p w14:paraId="42735160">
      <w:pPr>
        <w:keepNext w:val="0"/>
        <w:keepLines w:val="0"/>
        <w:widowControl w:val="0"/>
        <w:suppressLineNumbers w:val="0"/>
        <w:spacing w:before="0" w:beforeAutospacing="0" w:after="0" w:afterAutospacing="0" w:line="38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（一）投标供应商之间相互约定给予未中标的供应商利益补偿。</w:t>
      </w:r>
    </w:p>
    <w:p w14:paraId="50B4D2C4">
      <w:pPr>
        <w:keepNext w:val="0"/>
        <w:keepLines w:val="0"/>
        <w:widowControl w:val="0"/>
        <w:suppressLineNumbers w:val="0"/>
        <w:spacing w:before="0" w:beforeAutospacing="0" w:after="0" w:afterAutospacing="0" w:line="38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（二）不同投标供应商的法定代表人、主要经营负责人、项目投标授权代表人、项目负责人、主要技术人员为同一人、属同一单位或者在同一单位缴纳社会保险。</w:t>
      </w:r>
    </w:p>
    <w:p w14:paraId="347E7289">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（三）不同投标供应商的投标文件由同一单位或者同一人编制，或者由同一人分阶段参与编制的。</w:t>
      </w:r>
    </w:p>
    <w:p w14:paraId="107C4115">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（四）不同投标供应商的投标文件或部分投标文件相互混装。</w:t>
      </w:r>
    </w:p>
    <w:p w14:paraId="569422E6">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（五）不同投标供应商的投标文件内容存在非正常一致。</w:t>
      </w:r>
    </w:p>
    <w:p w14:paraId="1DE3BE9A">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（六）由同一单位工作人员为两家以上（含两家）供应商进行同一项投标活动的。</w:t>
      </w:r>
    </w:p>
    <w:p w14:paraId="62ED7028">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（七）不同投标人的投标报价呈规律性差异。</w:t>
      </w:r>
    </w:p>
    <w:p w14:paraId="57DE4735">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（八）不同投标人的投标保证金从同一单位或者个人的账户转出。</w:t>
      </w:r>
    </w:p>
    <w:p w14:paraId="4DBFDB6A">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（九）主管部门依照法律、法规认定的其他情形。</w:t>
      </w:r>
    </w:p>
    <w:p w14:paraId="267CB366">
      <w:pPr>
        <w:keepNext w:val="0"/>
        <w:keepLines w:val="0"/>
        <w:widowControl w:val="0"/>
        <w:suppressLineNumbers w:val="0"/>
        <w:spacing w:before="0" w:beforeAutospacing="0" w:after="0" w:afterAutospacing="0" w:line="340" w:lineRule="exact"/>
        <w:ind w:left="0" w:right="0" w:firstLine="422" w:firstLineChars="200"/>
        <w:jc w:val="both"/>
        <w:rPr>
          <w:rFonts w:hint="eastAsia" w:ascii="宋体" w:hAnsi="宋体" w:eastAsia="宋体" w:cs="宋体"/>
          <w:b/>
          <w:bCs w:val="0"/>
          <w:szCs w:val="21"/>
          <w:lang w:val="en-US"/>
        </w:rPr>
      </w:pPr>
      <w:r>
        <w:rPr>
          <w:rFonts w:hint="eastAsia" w:ascii="宋体" w:hAnsi="宋体" w:eastAsia="宋体" w:cs="宋体"/>
          <w:b/>
          <w:bCs w:val="0"/>
          <w:kern w:val="2"/>
          <w:sz w:val="21"/>
          <w:szCs w:val="21"/>
          <w:lang w:val="en-US" w:eastAsia="zh-CN" w:bidi="ar"/>
        </w:rPr>
        <w:t>三、我单位已充分知悉下列情形存在法律风险，在投标前已对相关风险事项进行排查。</w:t>
      </w:r>
    </w:p>
    <w:p w14:paraId="6AAEAD5D">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b/>
          <w:bCs w:val="0"/>
          <w:szCs w:val="21"/>
          <w:lang w:val="en-US"/>
        </w:rPr>
      </w:pPr>
      <w:r>
        <w:rPr>
          <w:rFonts w:hint="eastAsia" w:ascii="宋体" w:hAnsi="宋体" w:eastAsia="宋体" w:cs="宋体"/>
          <w:kern w:val="2"/>
          <w:sz w:val="21"/>
          <w:szCs w:val="21"/>
          <w:lang w:val="en-US" w:eastAsia="zh-CN" w:bidi="ar"/>
        </w:rPr>
        <w:t>（一）对于从其他主体获取的投标资料，我单位应审慎核查，确保其真实性。</w:t>
      </w:r>
      <w:r>
        <w:rPr>
          <w:rFonts w:hint="eastAsia" w:ascii="宋体" w:hAnsi="宋体" w:eastAsia="宋体" w:cs="宋体"/>
          <w:b/>
          <w:bCs w:val="0"/>
          <w:kern w:val="2"/>
          <w:sz w:val="21"/>
          <w:szCs w:val="21"/>
          <w:lang w:val="en-US" w:eastAsia="zh-CN" w:bidi="ar"/>
        </w:rPr>
        <w:t>如主管部门查实投标文件中存在虚假资料的，无论相关资料是否由第三方或本公司员工提供，均不影响主管部门对供应商存在“隐瞒真实情况，提供虚假资料”违法行为的认定。</w:t>
      </w:r>
    </w:p>
    <w:p w14:paraId="553765ED">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（二）对于涉及国家机关出具的公文、证件、证明材料等文件，一旦涉嫌虚假，经查实，主管部门将依法从严处理，并移送有关部门追究法律责任；涉嫌犯罪的，移送司法机关处理。</w:t>
      </w:r>
    </w:p>
    <w:p w14:paraId="791997FC">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（三）我单位对投标电子密钥负有妥善保管、及时变更和续期等主体责任；使用电子密钥在</w:t>
      </w:r>
      <w:r>
        <w:rPr>
          <w:rFonts w:hint="eastAsia" w:ascii="Times New Roman" w:hAnsi="Times New Roman" w:eastAsia="宋体" w:cs="Times New Roman"/>
          <w:kern w:val="2"/>
          <w:sz w:val="21"/>
          <w:szCs w:val="24"/>
          <w:lang w:val="en-US" w:eastAsia="zh-CN" w:bidi="ar"/>
        </w:rPr>
        <w:t>深圳自行采购网站</w:t>
      </w:r>
      <w:r>
        <w:rPr>
          <w:rFonts w:hint="eastAsia" w:ascii="宋体" w:hAnsi="宋体" w:eastAsia="宋体" w:cs="宋体"/>
          <w:kern w:val="2"/>
          <w:sz w:val="21"/>
          <w:szCs w:val="21"/>
          <w:lang w:val="en-US" w:eastAsia="zh-CN" w:bidi="ar"/>
        </w:rPr>
        <w:t>进行的活动，均具有法律效力，须承担相应的法律后果。若</w:t>
      </w:r>
      <w:r>
        <w:rPr>
          <w:rFonts w:hint="eastAsia" w:ascii="宋体" w:hAnsi="宋体" w:eastAsia="宋体" w:cs="宋体"/>
          <w:b/>
          <w:bCs/>
          <w:kern w:val="2"/>
          <w:sz w:val="21"/>
          <w:szCs w:val="21"/>
          <w:lang w:val="en-US" w:eastAsia="zh-CN" w:bidi="ar"/>
        </w:rPr>
        <w:t>擅自将投标密钥出借他人使用所造成的法律后果，由我单位自行承担</w:t>
      </w:r>
      <w:r>
        <w:rPr>
          <w:rFonts w:hint="eastAsia" w:ascii="宋体" w:hAnsi="宋体" w:eastAsia="宋体" w:cs="宋体"/>
          <w:kern w:val="2"/>
          <w:sz w:val="21"/>
          <w:szCs w:val="21"/>
          <w:lang w:val="en-US" w:eastAsia="zh-CN" w:bidi="ar"/>
        </w:rPr>
        <w:t>。</w:t>
      </w:r>
    </w:p>
    <w:p w14:paraId="3B580362">
      <w:pPr>
        <w:keepNext w:val="0"/>
        <w:keepLines w:val="0"/>
        <w:widowControl w:val="0"/>
        <w:suppressLineNumbers w:val="0"/>
        <w:spacing w:before="0" w:beforeAutospacing="0" w:after="0" w:afterAutospacing="0" w:line="340" w:lineRule="exact"/>
        <w:ind w:left="0" w:right="0" w:firstLine="422" w:firstLineChars="200"/>
        <w:jc w:val="both"/>
        <w:rPr>
          <w:rFonts w:hint="eastAsia" w:ascii="宋体" w:hAnsi="宋体" w:eastAsia="宋体" w:cs="宋体"/>
          <w:b/>
          <w:bCs w:val="0"/>
          <w:szCs w:val="21"/>
          <w:lang w:val="en-US"/>
        </w:rPr>
      </w:pPr>
      <w:r>
        <w:rPr>
          <w:rFonts w:hint="eastAsia" w:ascii="宋体" w:hAnsi="宋体" w:eastAsia="宋体" w:cs="宋体"/>
          <w:b/>
          <w:bCs w:val="0"/>
          <w:kern w:val="2"/>
          <w:sz w:val="21"/>
          <w:szCs w:val="21"/>
          <w:lang w:val="en-US" w:eastAsia="zh-CN" w:bidi="ar"/>
        </w:rPr>
        <w:t>四、我单位已充分知悉政府采购违法、违规行为的法律后果。</w:t>
      </w:r>
    </w:p>
    <w:p w14:paraId="0FA59989">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经查实，若我单位存在政府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分之二十以上千分之三十以下罚款，由市场监管部门依法吊销营业执照。</w:t>
      </w:r>
    </w:p>
    <w:p w14:paraId="1C5EE404">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szCs w:val="21"/>
          <w:highlight w:val="yellow"/>
          <w:lang w:val="en-US"/>
        </w:rPr>
      </w:pPr>
      <w:r>
        <w:rPr>
          <w:rFonts w:hint="eastAsia" w:ascii="宋体" w:hAnsi="宋体" w:eastAsia="宋体" w:cs="宋体"/>
          <w:kern w:val="2"/>
          <w:sz w:val="21"/>
          <w:szCs w:val="21"/>
          <w:highlight w:val="yellow"/>
          <w:lang w:val="en-US" w:eastAsia="zh-CN" w:bidi="ar"/>
        </w:rPr>
        <w:t>以下文字请投标供应商抄写并确认：“我单位已仔细阅读《采购违法行为风险知悉确认书》，充分知悉违法行为的法律后果，并承诺将严谨、诚信、依法依规参与采购活动”。</w:t>
      </w:r>
    </w:p>
    <w:tbl>
      <w:tblPr>
        <w:tblStyle w:val="21"/>
        <w:tblW w:w="8535" w:type="dxa"/>
        <w:tblInd w:w="0" w:type="dxa"/>
        <w:tblBorders>
          <w:top w:val="none" w:color="auto" w:sz="4" w:space="0"/>
          <w:left w:val="none" w:color="auto" w:sz="4" w:space="0"/>
          <w:bottom w:val="single" w:color="auto" w:sz="4" w:space="0"/>
          <w:right w:val="none" w:color="auto" w:sz="4" w:space="0"/>
          <w:insideH w:val="none" w:color="auto" w:sz="4" w:space="0"/>
          <w:insideV w:val="none" w:color="auto" w:sz="4" w:space="0"/>
        </w:tblBorders>
        <w:shd w:val="clear" w:color="auto" w:fill="auto"/>
        <w:tblLayout w:type="fixed"/>
        <w:tblCellMar>
          <w:top w:w="0" w:type="dxa"/>
          <w:left w:w="108" w:type="dxa"/>
          <w:bottom w:w="0" w:type="dxa"/>
          <w:right w:w="108" w:type="dxa"/>
        </w:tblCellMar>
      </w:tblPr>
      <w:tblGrid>
        <w:gridCol w:w="8535"/>
      </w:tblGrid>
      <w:tr w14:paraId="7FCF9212">
        <w:tblPrEx>
          <w:tblBorders>
            <w:top w:val="non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04" w:hRule="atLeast"/>
        </w:trPr>
        <w:tc>
          <w:tcPr>
            <w:tcW w:w="8529" w:type="dxa"/>
            <w:tcBorders>
              <w:top w:val="nil"/>
              <w:left w:val="nil"/>
              <w:bottom w:val="single" w:color="000000" w:sz="8" w:space="0"/>
              <w:right w:val="nil"/>
            </w:tcBorders>
            <w:shd w:val="clear" w:color="auto" w:fill="auto"/>
            <w:vAlign w:val="top"/>
          </w:tcPr>
          <w:p w14:paraId="40F8C47C">
            <w:pPr>
              <w:keepNext w:val="0"/>
              <w:keepLines w:val="0"/>
              <w:widowControl w:val="0"/>
              <w:suppressLineNumbers w:val="0"/>
              <w:autoSpaceDE w:val="0"/>
              <w:autoSpaceDN w:val="0"/>
              <w:spacing w:before="0" w:beforeAutospacing="0" w:after="0" w:afterAutospacing="0" w:line="340" w:lineRule="exact"/>
              <w:ind w:left="0" w:right="0" w:firstLine="1866"/>
              <w:jc w:val="both"/>
              <w:rPr>
                <w:rFonts w:hint="eastAsia" w:ascii="宋体" w:hAnsi="宋体" w:eastAsia="宋体" w:cs="宋体"/>
                <w:spacing w:val="-4"/>
                <w:kern w:val="0"/>
                <w:szCs w:val="21"/>
                <w:lang w:val="en-US"/>
              </w:rPr>
            </w:pPr>
          </w:p>
        </w:tc>
      </w:tr>
      <w:tr w14:paraId="38112A6A">
        <w:tblPrEx>
          <w:tblBorders>
            <w:top w:val="none" w:color="auto" w:sz="4" w:space="0"/>
            <w:left w:val="none" w:color="auto" w:sz="4" w:space="0"/>
            <w:bottom w:val="single" w:color="auto" w:sz="4" w:space="0"/>
            <w:right w:val="none" w:color="auto" w:sz="4" w:space="0"/>
            <w:insideH w:val="none" w:color="auto" w:sz="4" w:space="0"/>
            <w:insideV w:val="none" w:color="auto" w:sz="4" w:space="0"/>
          </w:tblBorders>
          <w:shd w:val="clear" w:color="auto" w:fill="auto"/>
          <w:tblCellMar>
            <w:top w:w="0" w:type="dxa"/>
            <w:left w:w="108" w:type="dxa"/>
            <w:bottom w:w="0" w:type="dxa"/>
            <w:right w:w="108" w:type="dxa"/>
          </w:tblCellMar>
        </w:tblPrEx>
        <w:tc>
          <w:tcPr>
            <w:tcW w:w="8529" w:type="dxa"/>
            <w:tcBorders>
              <w:top w:val="single" w:color="000000" w:sz="8" w:space="0"/>
              <w:left w:val="nil"/>
              <w:bottom w:val="single" w:color="000000" w:sz="8" w:space="0"/>
              <w:right w:val="nil"/>
            </w:tcBorders>
            <w:shd w:val="clear" w:color="auto" w:fill="auto"/>
            <w:vAlign w:val="top"/>
          </w:tcPr>
          <w:p w14:paraId="3580699B">
            <w:pPr>
              <w:keepNext w:val="0"/>
              <w:keepLines w:val="0"/>
              <w:widowControl w:val="0"/>
              <w:suppressLineNumbers w:val="0"/>
              <w:autoSpaceDE w:val="0"/>
              <w:autoSpaceDN w:val="0"/>
              <w:spacing w:before="0" w:beforeAutospacing="0" w:after="0" w:afterAutospacing="0" w:line="340" w:lineRule="exact"/>
              <w:ind w:left="0" w:right="0" w:firstLine="1866"/>
              <w:jc w:val="both"/>
              <w:rPr>
                <w:rFonts w:hint="eastAsia" w:ascii="宋体" w:hAnsi="宋体" w:eastAsia="宋体" w:cs="宋体"/>
                <w:spacing w:val="-4"/>
                <w:kern w:val="0"/>
                <w:szCs w:val="21"/>
                <w:lang w:val="en-US"/>
              </w:rPr>
            </w:pPr>
          </w:p>
        </w:tc>
      </w:tr>
      <w:tr w14:paraId="7D9415DE">
        <w:tblPrEx>
          <w:tblBorders>
            <w:top w:val="none" w:color="auto" w:sz="4" w:space="0"/>
            <w:left w:val="none" w:color="auto" w:sz="4" w:space="0"/>
            <w:bottom w:val="single" w:color="auto" w:sz="4" w:space="0"/>
            <w:right w:val="none" w:color="auto" w:sz="4" w:space="0"/>
            <w:insideH w:val="none" w:color="auto" w:sz="4" w:space="0"/>
            <w:insideV w:val="none" w:color="auto" w:sz="4" w:space="0"/>
          </w:tblBorders>
          <w:shd w:val="clear" w:color="auto" w:fill="auto"/>
          <w:tblCellMar>
            <w:top w:w="0" w:type="dxa"/>
            <w:left w:w="108" w:type="dxa"/>
            <w:bottom w:w="0" w:type="dxa"/>
            <w:right w:w="108" w:type="dxa"/>
          </w:tblCellMar>
        </w:tblPrEx>
        <w:tc>
          <w:tcPr>
            <w:tcW w:w="8529" w:type="dxa"/>
            <w:tcBorders>
              <w:top w:val="single" w:color="000000" w:sz="8" w:space="0"/>
              <w:left w:val="nil"/>
              <w:bottom w:val="single" w:color="000000" w:sz="8" w:space="0"/>
              <w:right w:val="nil"/>
            </w:tcBorders>
            <w:shd w:val="clear" w:color="auto" w:fill="auto"/>
            <w:vAlign w:val="top"/>
          </w:tcPr>
          <w:p w14:paraId="2C6645FC">
            <w:pPr>
              <w:keepNext w:val="0"/>
              <w:keepLines w:val="0"/>
              <w:widowControl w:val="0"/>
              <w:suppressLineNumbers w:val="0"/>
              <w:autoSpaceDE w:val="0"/>
              <w:autoSpaceDN w:val="0"/>
              <w:spacing w:before="0" w:beforeAutospacing="0" w:after="0" w:afterAutospacing="0" w:line="340" w:lineRule="exact"/>
              <w:ind w:left="0" w:right="0" w:firstLine="1866"/>
              <w:jc w:val="both"/>
              <w:rPr>
                <w:rFonts w:hint="eastAsia" w:ascii="宋体" w:hAnsi="宋体" w:eastAsia="宋体" w:cs="宋体"/>
                <w:spacing w:val="-4"/>
                <w:kern w:val="0"/>
                <w:szCs w:val="21"/>
                <w:lang w:val="en-US"/>
              </w:rPr>
            </w:pPr>
          </w:p>
        </w:tc>
      </w:tr>
      <w:tr w14:paraId="5F3DC3D2">
        <w:tblPrEx>
          <w:tblBorders>
            <w:top w:val="none" w:color="auto" w:sz="4" w:space="0"/>
            <w:left w:val="none" w:color="auto" w:sz="4" w:space="0"/>
            <w:bottom w:val="single" w:color="auto" w:sz="4" w:space="0"/>
            <w:right w:val="none" w:color="auto" w:sz="4" w:space="0"/>
            <w:insideH w:val="none" w:color="auto" w:sz="4" w:space="0"/>
            <w:insideV w:val="none" w:color="auto" w:sz="4" w:space="0"/>
          </w:tblBorders>
          <w:shd w:val="clear" w:color="auto" w:fill="auto"/>
          <w:tblCellMar>
            <w:top w:w="0" w:type="dxa"/>
            <w:left w:w="108" w:type="dxa"/>
            <w:bottom w:w="0" w:type="dxa"/>
            <w:right w:w="108" w:type="dxa"/>
          </w:tblCellMar>
        </w:tblPrEx>
        <w:tc>
          <w:tcPr>
            <w:tcW w:w="8529" w:type="dxa"/>
            <w:tcBorders>
              <w:top w:val="single" w:color="000000" w:sz="8" w:space="0"/>
              <w:left w:val="nil"/>
              <w:bottom w:val="single" w:color="auto" w:sz="8" w:space="0"/>
              <w:right w:val="nil"/>
            </w:tcBorders>
            <w:shd w:val="clear" w:color="auto" w:fill="auto"/>
            <w:vAlign w:val="top"/>
          </w:tcPr>
          <w:p w14:paraId="3A6C25D8">
            <w:pPr>
              <w:keepNext w:val="0"/>
              <w:keepLines w:val="0"/>
              <w:widowControl w:val="0"/>
              <w:suppressLineNumbers w:val="0"/>
              <w:autoSpaceDE w:val="0"/>
              <w:autoSpaceDN w:val="0"/>
              <w:spacing w:before="0" w:beforeAutospacing="0" w:after="0" w:afterAutospacing="0" w:line="340" w:lineRule="exact"/>
              <w:ind w:left="0" w:right="0" w:firstLine="1866"/>
              <w:jc w:val="both"/>
              <w:rPr>
                <w:rFonts w:hint="eastAsia" w:ascii="宋体" w:hAnsi="宋体" w:eastAsia="宋体" w:cs="宋体"/>
                <w:spacing w:val="-4"/>
                <w:kern w:val="0"/>
                <w:szCs w:val="21"/>
                <w:lang w:val="en-US"/>
              </w:rPr>
            </w:pPr>
          </w:p>
        </w:tc>
      </w:tr>
    </w:tbl>
    <w:p w14:paraId="5D0E1EC3">
      <w:pPr>
        <w:keepNext w:val="0"/>
        <w:keepLines w:val="0"/>
        <w:widowControl/>
        <w:suppressLineNumbers w:val="0"/>
        <w:wordWrap w:val="0"/>
        <w:autoSpaceDE w:val="0"/>
        <w:autoSpaceDN w:val="0"/>
        <w:spacing w:before="0" w:beforeAutospacing="0" w:after="0" w:afterAutospacing="0" w:line="340" w:lineRule="exact"/>
        <w:ind w:left="0" w:right="808" w:firstLine="404" w:firstLineChars="200"/>
        <w:jc w:val="right"/>
        <w:rPr>
          <w:rFonts w:hint="eastAsia" w:ascii="宋体" w:hAnsi="宋体" w:eastAsia="宋体" w:cs="宋体"/>
          <w:spacing w:val="-4"/>
          <w:kern w:val="0"/>
          <w:szCs w:val="21"/>
          <w:lang w:val="en-US"/>
        </w:rPr>
      </w:pPr>
    </w:p>
    <w:p w14:paraId="7AF1009B">
      <w:pPr>
        <w:keepNext w:val="0"/>
        <w:keepLines w:val="0"/>
        <w:widowControl/>
        <w:suppressLineNumbers w:val="0"/>
        <w:wordWrap w:val="0"/>
        <w:autoSpaceDE w:val="0"/>
        <w:autoSpaceDN w:val="0"/>
        <w:spacing w:before="0" w:beforeAutospacing="0" w:after="0" w:afterAutospacing="0" w:line="340" w:lineRule="exact"/>
        <w:ind w:left="0" w:right="808" w:firstLine="404" w:firstLineChars="200"/>
        <w:jc w:val="right"/>
        <w:rPr>
          <w:rFonts w:hint="eastAsia" w:ascii="宋体" w:hAnsi="宋体" w:eastAsia="宋体" w:cs="宋体"/>
          <w:spacing w:val="-4"/>
          <w:kern w:val="0"/>
          <w:szCs w:val="21"/>
          <w:u w:val="single"/>
          <w:lang w:val="en-US"/>
        </w:rPr>
      </w:pPr>
      <w:r>
        <w:rPr>
          <w:rFonts w:hint="eastAsia" w:ascii="宋体" w:hAnsi="宋体" w:eastAsia="宋体" w:cs="宋体"/>
          <w:spacing w:val="-4"/>
          <w:kern w:val="0"/>
          <w:sz w:val="21"/>
          <w:szCs w:val="21"/>
          <w:lang w:val="en-US" w:eastAsia="zh-CN" w:bidi="ar"/>
        </w:rPr>
        <w:t>单位负责人签名：</w:t>
      </w:r>
      <w:r>
        <w:rPr>
          <w:rFonts w:hint="eastAsia" w:ascii="宋体" w:hAnsi="宋体" w:eastAsia="宋体" w:cs="宋体"/>
          <w:spacing w:val="-4"/>
          <w:kern w:val="0"/>
          <w:sz w:val="21"/>
          <w:szCs w:val="21"/>
          <w:u w:val="single"/>
          <w:lang w:val="en-US" w:eastAsia="zh-CN" w:bidi="ar"/>
        </w:rPr>
        <w:t xml:space="preserve">              </w:t>
      </w:r>
    </w:p>
    <w:p w14:paraId="05CF8D6A">
      <w:pPr>
        <w:keepNext w:val="0"/>
        <w:keepLines w:val="0"/>
        <w:widowControl/>
        <w:suppressLineNumbers w:val="0"/>
        <w:wordWrap w:val="0"/>
        <w:autoSpaceDE w:val="0"/>
        <w:autoSpaceDN w:val="0"/>
        <w:spacing w:before="0" w:beforeAutospacing="0" w:after="0" w:afterAutospacing="0" w:line="340" w:lineRule="exact"/>
        <w:ind w:left="0" w:right="808" w:firstLine="404" w:firstLineChars="200"/>
        <w:jc w:val="center"/>
        <w:rPr>
          <w:rFonts w:hint="eastAsia" w:ascii="宋体" w:hAnsi="宋体" w:eastAsia="宋体" w:cs="宋体"/>
          <w:spacing w:val="-4"/>
          <w:kern w:val="0"/>
          <w:szCs w:val="21"/>
          <w:u w:val="single"/>
          <w:lang w:val="en-US"/>
        </w:rPr>
      </w:pPr>
      <w:r>
        <w:rPr>
          <w:rFonts w:hint="eastAsia" w:ascii="宋体" w:hAnsi="宋体" w:eastAsia="宋体" w:cs="宋体"/>
          <w:spacing w:val="-4"/>
          <w:kern w:val="0"/>
          <w:sz w:val="21"/>
          <w:szCs w:val="21"/>
          <w:lang w:val="en-US" w:eastAsia="zh-CN" w:bidi="ar"/>
        </w:rPr>
        <w:t xml:space="preserve">                                 （加盖公章）</w:t>
      </w:r>
    </w:p>
    <w:p w14:paraId="516215ED">
      <w:pPr>
        <w:keepNext w:val="0"/>
        <w:keepLines w:val="0"/>
        <w:widowControl/>
        <w:suppressLineNumbers w:val="0"/>
        <w:wordWrap w:val="0"/>
        <w:autoSpaceDE w:val="0"/>
        <w:autoSpaceDN w:val="0"/>
        <w:spacing w:before="0" w:beforeAutospacing="0" w:after="0" w:afterAutospacing="0" w:line="340" w:lineRule="exact"/>
        <w:ind w:left="0" w:right="808" w:firstLine="404" w:firstLineChars="200"/>
        <w:jc w:val="right"/>
        <w:rPr>
          <w:rFonts w:hint="eastAsia" w:ascii="宋体" w:hAnsi="宋体" w:eastAsia="宋体" w:cs="宋体"/>
          <w:spacing w:val="-4"/>
          <w:kern w:val="0"/>
          <w:szCs w:val="21"/>
          <w:u w:val="single"/>
          <w:lang w:val="en-US"/>
        </w:rPr>
      </w:pPr>
      <w:r>
        <w:rPr>
          <w:rFonts w:hint="eastAsia" w:ascii="宋体" w:hAnsi="宋体" w:eastAsia="宋体" w:cs="宋体"/>
          <w:spacing w:val="-4"/>
          <w:kern w:val="0"/>
          <w:sz w:val="21"/>
          <w:szCs w:val="21"/>
          <w:lang w:val="en-US" w:eastAsia="zh-CN" w:bidi="ar"/>
        </w:rPr>
        <w:t xml:space="preserve">     日期：</w:t>
      </w:r>
      <w:r>
        <w:rPr>
          <w:rFonts w:hint="eastAsia" w:ascii="宋体" w:hAnsi="宋体" w:eastAsia="宋体" w:cs="宋体"/>
          <w:spacing w:val="-4"/>
          <w:kern w:val="0"/>
          <w:sz w:val="21"/>
          <w:szCs w:val="21"/>
          <w:u w:val="single"/>
          <w:lang w:val="en-US" w:eastAsia="zh-CN" w:bidi="ar"/>
        </w:rPr>
        <w:t xml:space="preserve">              </w:t>
      </w:r>
    </w:p>
    <w:p w14:paraId="0C4D49C4">
      <w:pPr>
        <w:keepNext w:val="0"/>
        <w:keepLines w:val="0"/>
        <w:widowControl/>
        <w:suppressLineNumbers w:val="0"/>
        <w:autoSpaceDE w:val="0"/>
        <w:autoSpaceDN w:val="0"/>
        <w:spacing w:before="0" w:beforeAutospacing="0" w:after="0" w:afterAutospacing="0" w:line="340" w:lineRule="exact"/>
        <w:ind w:left="0" w:right="0" w:firstLine="406" w:firstLineChars="200"/>
        <w:jc w:val="left"/>
        <w:rPr>
          <w:rFonts w:hint="eastAsia" w:ascii="宋体" w:hAnsi="宋体" w:eastAsia="宋体" w:cs="宋体"/>
          <w:b/>
          <w:bCs/>
          <w:color w:val="FF0000"/>
          <w:spacing w:val="-4"/>
          <w:kern w:val="0"/>
          <w:szCs w:val="21"/>
          <w:lang w:val="en-US"/>
        </w:rPr>
      </w:pPr>
    </w:p>
    <w:p w14:paraId="32977BED">
      <w:pPr>
        <w:keepNext w:val="0"/>
        <w:keepLines w:val="0"/>
        <w:widowControl/>
        <w:suppressLineNumbers w:val="0"/>
        <w:autoSpaceDE w:val="0"/>
        <w:autoSpaceDN w:val="0"/>
        <w:spacing w:before="0" w:beforeAutospacing="0" w:after="0" w:afterAutospacing="0" w:line="340" w:lineRule="exact"/>
        <w:ind w:right="0"/>
        <w:jc w:val="left"/>
        <w:rPr>
          <w:rFonts w:hint="eastAsia" w:ascii="宋体" w:hAnsi="宋体" w:eastAsia="宋体" w:cs="宋体"/>
          <w:b/>
          <w:bCs/>
          <w:color w:val="FF0000"/>
          <w:spacing w:val="-4"/>
          <w:kern w:val="0"/>
          <w:szCs w:val="21"/>
          <w:lang w:val="en-US"/>
        </w:rPr>
      </w:pPr>
      <w:r>
        <w:rPr>
          <w:rFonts w:hint="eastAsia" w:ascii="宋体" w:hAnsi="宋体" w:eastAsia="宋体" w:cs="宋体"/>
          <w:b/>
          <w:bCs/>
          <w:color w:val="FF0000"/>
          <w:spacing w:val="-4"/>
          <w:kern w:val="0"/>
          <w:sz w:val="21"/>
          <w:szCs w:val="21"/>
          <w:lang w:val="en-US" w:eastAsia="zh-CN" w:bidi="ar"/>
        </w:rPr>
        <w:t>注：1.《采购违法行为风险知悉确认书》需由投标供应商负责人</w:t>
      </w:r>
      <w:r>
        <w:rPr>
          <w:rFonts w:hint="eastAsia" w:ascii="宋体" w:hAnsi="宋体" w:eastAsia="宋体" w:cs="宋体"/>
          <w:b/>
          <w:bCs/>
          <w:color w:val="FF0000"/>
          <w:spacing w:val="-4"/>
          <w:kern w:val="0"/>
          <w:sz w:val="21"/>
          <w:szCs w:val="21"/>
          <w:highlight w:val="yellow"/>
          <w:lang w:val="en-US" w:eastAsia="zh-CN" w:bidi="ar"/>
        </w:rPr>
        <w:t>签字并加盖单位公章</w:t>
      </w:r>
      <w:r>
        <w:rPr>
          <w:rFonts w:hint="eastAsia" w:ascii="宋体" w:hAnsi="宋体" w:eastAsia="宋体" w:cs="宋体"/>
          <w:b/>
          <w:bCs/>
          <w:color w:val="FF0000"/>
          <w:spacing w:val="-4"/>
          <w:kern w:val="0"/>
          <w:sz w:val="21"/>
          <w:szCs w:val="21"/>
          <w:lang w:val="en-US" w:eastAsia="zh-CN" w:bidi="ar"/>
        </w:rPr>
        <w:t>后，扫描上传至投标文件一并提交。</w:t>
      </w:r>
    </w:p>
    <w:p w14:paraId="208380ED">
      <w:pPr>
        <w:pStyle w:val="12"/>
        <w:keepNext w:val="0"/>
        <w:keepLines w:val="0"/>
        <w:widowControl w:val="0"/>
        <w:suppressLineNumbers w:val="0"/>
        <w:spacing w:before="0" w:beforeAutospacing="0" w:after="0" w:afterAutospacing="0"/>
        <w:ind w:left="0" w:right="0"/>
        <w:jc w:val="both"/>
        <w:rPr>
          <w:color w:val="FF0000"/>
          <w:lang w:val="en-US" w:bidi="ar"/>
        </w:rPr>
      </w:pPr>
      <w:r>
        <w:rPr>
          <w:rFonts w:hint="eastAsia" w:ascii="宋体" w:hAnsi="宋体" w:eastAsia="宋体" w:cs="宋体"/>
          <w:b/>
          <w:bCs/>
          <w:color w:val="FF0000"/>
          <w:spacing w:val="-4"/>
          <w:kern w:val="0"/>
          <w:sz w:val="21"/>
          <w:szCs w:val="21"/>
          <w:lang w:val="en-US" w:eastAsia="zh-CN" w:bidi="ar"/>
        </w:rPr>
        <w:t>2.根据《深圳市财政局关于在采购文件及深圳政府采购智慧平台增设供应商投标特别警示条款等事宜的通知》（深财购〔2025〕7号）的要求，《采购违法行为风险知悉确认书》用于对供应商违法行为的提醒，不作为供应商资格性审查及符合性审查条件。</w:t>
      </w:r>
    </w:p>
    <w:p w14:paraId="5372F62B">
      <w:pPr>
        <w:keepNext w:val="0"/>
        <w:keepLines w:val="0"/>
        <w:widowControl/>
        <w:suppressLineNumbers w:val="0"/>
        <w:autoSpaceDE w:val="0"/>
        <w:autoSpaceDN w:val="0"/>
        <w:spacing w:before="0" w:beforeAutospacing="0" w:after="0" w:afterAutospacing="0" w:line="400" w:lineRule="exact"/>
        <w:ind w:left="0" w:right="0" w:firstLine="404" w:firstLineChars="200"/>
        <w:jc w:val="left"/>
        <w:rPr>
          <w:rFonts w:hint="eastAsia" w:ascii="宋体" w:hAnsi="宋体" w:eastAsia="宋体" w:cs="宋体"/>
          <w:color w:val="FF0000"/>
          <w:spacing w:val="-4"/>
          <w:kern w:val="0"/>
          <w:szCs w:val="21"/>
          <w:lang w:val="en-US"/>
        </w:rPr>
      </w:pPr>
    </w:p>
    <w:p w14:paraId="668D2D16">
      <w:pPr>
        <w:keepNext w:val="0"/>
        <w:keepLines w:val="0"/>
        <w:widowControl/>
        <w:suppressLineNumbers w:val="0"/>
        <w:autoSpaceDE w:val="0"/>
        <w:autoSpaceDN w:val="0"/>
        <w:spacing w:before="0" w:beforeAutospacing="0" w:after="0" w:afterAutospacing="0" w:line="400" w:lineRule="exact"/>
        <w:ind w:left="0" w:right="1414" w:firstLine="480" w:firstLineChars="200"/>
        <w:jc w:val="right"/>
        <w:rPr>
          <w:rFonts w:eastAsia="宋体"/>
          <w:kern w:val="0"/>
          <w:sz w:val="24"/>
          <w:szCs w:val="24"/>
          <w:lang w:val="en-US"/>
        </w:rPr>
      </w:pPr>
    </w:p>
    <w:p w14:paraId="4F5271BC">
      <w:pPr>
        <w:rPr>
          <w:rFonts w:hint="eastAsia" w:ascii="黑体" w:hAnsi="Times New Roman" w:eastAsia="黑体" w:cs="黑体"/>
          <w:kern w:val="2"/>
          <w:sz w:val="24"/>
          <w:szCs w:val="20"/>
          <w:lang w:val="en-US" w:eastAsia="zh-CN" w:bidi="ar"/>
        </w:rPr>
      </w:pPr>
      <w:r>
        <w:rPr>
          <w:rFonts w:hint="eastAsia" w:ascii="黑体" w:hAnsi="Times New Roman" w:eastAsia="黑体" w:cs="黑体"/>
          <w:kern w:val="2"/>
          <w:sz w:val="24"/>
          <w:szCs w:val="20"/>
          <w:lang w:val="en-US" w:eastAsia="zh-CN" w:bidi="ar"/>
        </w:rPr>
        <w:br w:type="page"/>
      </w:r>
    </w:p>
    <w:p w14:paraId="26F6A71F">
      <w:pPr>
        <w:keepNext w:val="0"/>
        <w:keepLines w:val="0"/>
        <w:widowControl w:val="0"/>
        <w:suppressLineNumbers w:val="0"/>
        <w:spacing w:before="0" w:beforeAutospacing="0" w:after="0" w:afterAutospacing="0"/>
        <w:ind w:left="0" w:right="0"/>
        <w:jc w:val="center"/>
        <w:rPr>
          <w:rFonts w:hint="eastAsia" w:ascii="黑体" w:hAnsi="Times New Roman" w:eastAsia="黑体" w:cs="黑体"/>
          <w:sz w:val="24"/>
          <w:szCs w:val="20"/>
          <w:lang w:val="en-US"/>
        </w:rPr>
      </w:pPr>
      <w:r>
        <w:rPr>
          <w:rFonts w:hint="eastAsia" w:ascii="黑体" w:hAnsi="Times New Roman" w:eastAsia="黑体" w:cs="黑体"/>
          <w:kern w:val="2"/>
          <w:sz w:val="24"/>
          <w:szCs w:val="20"/>
          <w:lang w:val="en-US" w:eastAsia="zh-CN" w:bidi="ar"/>
        </w:rPr>
        <w:t>（二）订单融资情况</w:t>
      </w:r>
    </w:p>
    <w:p w14:paraId="3A1E289F">
      <w:pPr>
        <w:keepNext w:val="0"/>
        <w:keepLines w:val="0"/>
        <w:widowControl w:val="0"/>
        <w:suppressLineNumbers w:val="0"/>
        <w:spacing w:before="0" w:beforeAutospacing="0" w:after="0" w:afterAutospacing="0"/>
        <w:ind w:left="0" w:right="0" w:firstLine="422" w:firstLineChars="200"/>
        <w:jc w:val="both"/>
        <w:rPr>
          <w:rFonts w:hint="eastAsia" w:ascii="宋体" w:hAnsi="宋体" w:eastAsia="宋体" w:cs="宋体"/>
          <w:b/>
          <w:bCs/>
          <w:lang w:val="en-US"/>
        </w:rPr>
      </w:pPr>
      <w:r>
        <w:rPr>
          <w:rFonts w:hint="eastAsia" w:ascii="宋体" w:hAnsi="宋体" w:eastAsia="宋体" w:cs="宋体"/>
          <w:b/>
          <w:bCs/>
          <w:kern w:val="2"/>
          <w:sz w:val="21"/>
          <w:szCs w:val="24"/>
          <w:lang w:val="en-US" w:eastAsia="zh-CN" w:bidi="ar"/>
        </w:rPr>
        <w:t>1、关于政府采购订单融资政策</w:t>
      </w:r>
    </w:p>
    <w:p w14:paraId="17D5AF0F">
      <w:pPr>
        <w:pStyle w:val="12"/>
        <w:keepNext w:val="0"/>
        <w:keepLines w:val="0"/>
        <w:widowControl w:val="0"/>
        <w:suppressLineNumbers w:val="0"/>
        <w:spacing w:before="0" w:beforeAutospacing="0" w:after="120" w:afterAutospacing="0"/>
        <w:ind w:left="0" w:right="0" w:firstLine="420" w:firstLineChars="200"/>
        <w:jc w:val="both"/>
        <w:rPr>
          <w:b/>
          <w:bCs w:val="0"/>
          <w:szCs w:val="21"/>
          <w:lang w:val="en-US"/>
        </w:rPr>
      </w:pPr>
      <w:r>
        <w:rPr>
          <w:rFonts w:hint="eastAsia" w:ascii="Times New Roman" w:hAnsi="Times New Roman" w:eastAsia="宋体" w:cs="宋体"/>
          <w:bCs/>
          <w:kern w:val="2"/>
          <w:sz w:val="21"/>
          <w:szCs w:val="21"/>
          <w:lang w:val="en-US" w:eastAsia="zh-CN" w:bidi="ar"/>
        </w:rPr>
        <w:t>为深入贯彻落实国家深化政府采购制度改革精神，充分发挥政府采购扶持中小企业发展的政策功能，缓解中小微企业融资难、融资贵的问题，根据《深圳市财政局关于加大力度运用政府采购订单融资政策支持企业发展的通知》要求，参与深圳市</w:t>
      </w:r>
      <w:r>
        <w:rPr>
          <w:rFonts w:hint="eastAsia" w:cs="宋体"/>
          <w:bCs/>
          <w:kern w:val="2"/>
          <w:sz w:val="21"/>
          <w:szCs w:val="21"/>
          <w:lang w:val="en-US" w:eastAsia="zh-CN" w:bidi="ar"/>
        </w:rPr>
        <w:t>自行</w:t>
      </w:r>
      <w:r>
        <w:rPr>
          <w:rFonts w:hint="eastAsia" w:ascii="Times New Roman" w:hAnsi="Times New Roman" w:eastAsia="宋体" w:cs="宋体"/>
          <w:bCs/>
          <w:kern w:val="2"/>
          <w:sz w:val="21"/>
          <w:szCs w:val="21"/>
          <w:lang w:val="en-US" w:eastAsia="zh-CN" w:bidi="ar"/>
        </w:rPr>
        <w:t>采购活动供应商可凭借所获取的深圳市政府采购中标通知书与采购合同，向参与订单融资业务的金融机构提出融资申请，金融机构以各自信贷政策为基础，为中标（成交）供应商提供融资授信，订单融资具体流程可登录深圳要素交易金融服务平台</w:t>
      </w:r>
      <w:r>
        <w:rPr>
          <w:rFonts w:hint="default" w:ascii="Times New Roman" w:hAnsi="Times New Roman" w:eastAsia="宋体" w:cs="Times New Roman"/>
          <w:bCs/>
          <w:kern w:val="2"/>
          <w:sz w:val="21"/>
          <w:szCs w:val="21"/>
          <w:lang w:val="en-US" w:eastAsia="zh-CN" w:bidi="ar"/>
        </w:rPr>
        <w:t>(https://finance.szexgrp.com/gtm/web/guarantee/#/)</w:t>
      </w:r>
      <w:r>
        <w:rPr>
          <w:rFonts w:hint="eastAsia" w:ascii="Times New Roman" w:hAnsi="Times New Roman" w:eastAsia="宋体" w:cs="宋体"/>
          <w:bCs/>
          <w:kern w:val="2"/>
          <w:sz w:val="21"/>
          <w:szCs w:val="21"/>
          <w:lang w:val="en-US" w:eastAsia="zh-CN" w:bidi="ar"/>
        </w:rPr>
        <w:t>，相关政策法规参阅深圳市政府采购监管网（</w:t>
      </w:r>
      <w:r>
        <w:rPr>
          <w:rFonts w:hint="default" w:ascii="Times New Roman" w:hAnsi="Times New Roman" w:eastAsia="宋体" w:cs="Times New Roman"/>
          <w:bCs/>
          <w:kern w:val="2"/>
          <w:sz w:val="21"/>
          <w:szCs w:val="21"/>
          <w:lang w:val="en-US" w:eastAsia="zh-CN" w:bidi="ar"/>
        </w:rPr>
        <w:t>http://zfcg.sz.gov.cn/</w:t>
      </w:r>
      <w:r>
        <w:rPr>
          <w:rFonts w:hint="eastAsia" w:ascii="Times New Roman" w:hAnsi="Times New Roman" w:eastAsia="宋体" w:cs="宋体"/>
          <w:bCs/>
          <w:kern w:val="2"/>
          <w:sz w:val="21"/>
          <w:szCs w:val="21"/>
          <w:lang w:val="en-US" w:eastAsia="zh-CN" w:bidi="ar"/>
        </w:rPr>
        <w:t>）信息公开栏目。</w:t>
      </w:r>
    </w:p>
    <w:p w14:paraId="65C13343">
      <w:pPr>
        <w:keepNext w:val="0"/>
        <w:keepLines w:val="0"/>
        <w:widowControl w:val="0"/>
        <w:suppressLineNumbers w:val="0"/>
        <w:spacing w:before="0" w:beforeAutospacing="0" w:after="0" w:afterAutospacing="0"/>
        <w:ind w:left="0" w:right="0" w:firstLine="422" w:firstLineChars="200"/>
        <w:jc w:val="both"/>
        <w:rPr>
          <w:rFonts w:hint="eastAsia" w:ascii="宋体" w:hAnsi="宋体" w:eastAsia="宋体" w:cs="宋体"/>
          <w:b/>
          <w:bCs/>
          <w:lang w:val="en-US"/>
        </w:rPr>
      </w:pPr>
      <w:r>
        <w:rPr>
          <w:rFonts w:hint="eastAsia" w:ascii="宋体" w:hAnsi="宋体" w:eastAsia="宋体" w:cs="宋体"/>
          <w:b/>
          <w:bCs/>
          <w:kern w:val="2"/>
          <w:sz w:val="21"/>
          <w:szCs w:val="24"/>
          <w:lang w:val="en-US" w:eastAsia="zh-CN" w:bidi="ar"/>
        </w:rPr>
        <w:t>2、供应商账户信息</w:t>
      </w:r>
    </w:p>
    <w:p w14:paraId="3FA25B4A">
      <w:pPr>
        <w:keepNext w:val="0"/>
        <w:keepLines w:val="0"/>
        <w:widowControl w:val="0"/>
        <w:suppressLineNumbers w:val="0"/>
        <w:spacing w:before="0" w:beforeAutospacing="0" w:after="0" w:afterAutospacing="0"/>
        <w:ind w:left="420" w:leftChars="200" w:right="0" w:firstLine="210" w:firstLineChars="100"/>
        <w:jc w:val="both"/>
        <w:rPr>
          <w:szCs w:val="21"/>
          <w:lang w:val="en-US"/>
        </w:rPr>
      </w:pPr>
      <w:r>
        <w:rPr>
          <w:rFonts w:hint="eastAsia" w:ascii="Times New Roman" w:hAnsi="Times New Roman" w:eastAsia="宋体" w:cs="宋体"/>
          <w:kern w:val="2"/>
          <w:sz w:val="21"/>
          <w:szCs w:val="21"/>
          <w:lang w:val="en-US" w:eastAsia="zh-CN" w:bidi="ar"/>
        </w:rPr>
        <w:t>投标人（单位全称）：</w:t>
      </w:r>
      <w:r>
        <w:rPr>
          <w:rFonts w:hint="default" w:ascii="Times New Roman" w:hAnsi="Times New Roman" w:eastAsia="宋体" w:cs="Times New Roman"/>
          <w:kern w:val="2"/>
          <w:sz w:val="21"/>
          <w:szCs w:val="21"/>
          <w:u w:val="thick"/>
          <w:lang w:val="en-US" w:eastAsia="zh-CN" w:bidi="ar"/>
        </w:rPr>
        <w:t xml:space="preserve">                           </w:t>
      </w: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 xml:space="preserve">  </w:t>
      </w:r>
    </w:p>
    <w:p w14:paraId="33310FE4">
      <w:pPr>
        <w:keepNext w:val="0"/>
        <w:keepLines w:val="0"/>
        <w:widowControl w:val="0"/>
        <w:suppressLineNumbers w:val="0"/>
        <w:spacing w:before="0" w:beforeAutospacing="0" w:after="0" w:afterAutospacing="0"/>
        <w:ind w:left="420" w:leftChars="200" w:right="0" w:firstLine="210" w:firstLineChars="100"/>
        <w:jc w:val="both"/>
        <w:rPr>
          <w:szCs w:val="21"/>
          <w:lang w:val="en-US"/>
        </w:rPr>
      </w:pPr>
      <w:r>
        <w:rPr>
          <w:rFonts w:hint="eastAsia" w:ascii="Times New Roman" w:hAnsi="Times New Roman" w:eastAsia="宋体" w:cs="宋体"/>
          <w:kern w:val="2"/>
          <w:sz w:val="21"/>
          <w:szCs w:val="21"/>
          <w:lang w:val="en-US" w:eastAsia="zh-CN" w:bidi="ar"/>
        </w:rPr>
        <w:t>投标人单位地址：</w:t>
      </w:r>
      <w:r>
        <w:rPr>
          <w:rFonts w:hint="default" w:ascii="Times New Roman" w:hAnsi="Times New Roman" w:eastAsia="宋体" w:cs="Times New Roman"/>
          <w:kern w:val="2"/>
          <w:sz w:val="21"/>
          <w:szCs w:val="21"/>
          <w:u w:val="thick"/>
          <w:lang w:val="en-US" w:eastAsia="zh-CN" w:bidi="ar"/>
        </w:rPr>
        <w:t xml:space="preserve">                    </w:t>
      </w:r>
      <w:r>
        <w:rPr>
          <w:rFonts w:hint="eastAsia" w:ascii="Times New Roman" w:hAnsi="Times New Roman" w:eastAsia="宋体" w:cs="宋体"/>
          <w:kern w:val="2"/>
          <w:sz w:val="21"/>
          <w:szCs w:val="21"/>
          <w:lang w:val="en-US" w:eastAsia="zh-CN" w:bidi="ar"/>
        </w:rPr>
        <w:t>；</w:t>
      </w:r>
    </w:p>
    <w:p w14:paraId="5AEBBF1A">
      <w:pPr>
        <w:keepNext w:val="0"/>
        <w:keepLines w:val="0"/>
        <w:widowControl w:val="0"/>
        <w:suppressLineNumbers w:val="0"/>
        <w:spacing w:before="0" w:beforeAutospacing="0" w:after="0" w:afterAutospacing="0"/>
        <w:ind w:left="420" w:leftChars="200" w:right="0" w:firstLine="210" w:firstLineChars="100"/>
        <w:jc w:val="both"/>
        <w:rPr>
          <w:szCs w:val="21"/>
          <w:lang w:val="en-US"/>
        </w:rPr>
      </w:pPr>
      <w:r>
        <w:rPr>
          <w:rFonts w:hint="eastAsia" w:ascii="Times New Roman" w:hAnsi="Times New Roman" w:eastAsia="宋体" w:cs="宋体"/>
          <w:kern w:val="2"/>
          <w:sz w:val="21"/>
          <w:szCs w:val="21"/>
          <w:lang w:val="en-US" w:eastAsia="zh-CN" w:bidi="ar"/>
        </w:rPr>
        <w:t>法定代表人（负责人）或其授权委托代理人：</w:t>
      </w:r>
      <w:r>
        <w:rPr>
          <w:rFonts w:hint="default" w:ascii="Times New Roman" w:hAnsi="Times New Roman" w:eastAsia="宋体" w:cs="Times New Roman"/>
          <w:kern w:val="2"/>
          <w:sz w:val="21"/>
          <w:szCs w:val="21"/>
          <w:u w:val="thick"/>
          <w:lang w:val="en-US" w:eastAsia="zh-CN" w:bidi="ar"/>
        </w:rPr>
        <w:t xml:space="preserve">                      </w:t>
      </w:r>
      <w:r>
        <w:rPr>
          <w:rFonts w:hint="eastAsia" w:ascii="Times New Roman" w:hAnsi="Times New Roman" w:eastAsia="宋体" w:cs="宋体"/>
          <w:kern w:val="2"/>
          <w:sz w:val="21"/>
          <w:szCs w:val="21"/>
          <w:lang w:val="en-US" w:eastAsia="zh-CN" w:bidi="ar"/>
        </w:rPr>
        <w:t>；</w:t>
      </w:r>
    </w:p>
    <w:p w14:paraId="2EF24F8F">
      <w:pPr>
        <w:keepNext w:val="0"/>
        <w:keepLines w:val="0"/>
        <w:widowControl w:val="0"/>
        <w:suppressLineNumbers w:val="0"/>
        <w:spacing w:before="0" w:beforeAutospacing="0" w:after="0" w:afterAutospacing="0"/>
        <w:ind w:left="420" w:leftChars="200" w:right="0" w:firstLine="210" w:firstLineChars="100"/>
        <w:jc w:val="both"/>
        <w:rPr>
          <w:szCs w:val="21"/>
          <w:u w:val="thick"/>
          <w:lang w:val="en-US"/>
        </w:rPr>
      </w:pPr>
      <w:r>
        <w:rPr>
          <w:rFonts w:hint="eastAsia" w:ascii="Times New Roman" w:hAnsi="Times New Roman" w:eastAsia="宋体" w:cs="宋体"/>
          <w:kern w:val="2"/>
          <w:sz w:val="21"/>
          <w:szCs w:val="21"/>
          <w:lang w:val="en-US" w:eastAsia="zh-CN" w:bidi="ar"/>
        </w:rPr>
        <w:t>联系电话：</w:t>
      </w:r>
      <w:r>
        <w:rPr>
          <w:rFonts w:hint="default" w:ascii="Times New Roman" w:hAnsi="Times New Roman" w:eastAsia="宋体" w:cs="Times New Roman"/>
          <w:kern w:val="2"/>
          <w:sz w:val="21"/>
          <w:szCs w:val="21"/>
          <w:u w:val="thick"/>
          <w:lang w:val="en-US" w:eastAsia="zh-CN" w:bidi="ar"/>
        </w:rPr>
        <w:t xml:space="preserve">                     </w:t>
      </w:r>
      <w:r>
        <w:rPr>
          <w:rFonts w:hint="eastAsia" w:ascii="Times New Roman" w:hAnsi="Times New Roman" w:eastAsia="宋体" w:cs="宋体"/>
          <w:kern w:val="2"/>
          <w:sz w:val="21"/>
          <w:szCs w:val="21"/>
          <w:lang w:val="en-US" w:eastAsia="zh-CN" w:bidi="ar"/>
        </w:rPr>
        <w:t>；</w:t>
      </w:r>
    </w:p>
    <w:p w14:paraId="5AAC6FB6">
      <w:pPr>
        <w:keepNext w:val="0"/>
        <w:keepLines w:val="0"/>
        <w:widowControl w:val="0"/>
        <w:suppressLineNumbers w:val="0"/>
        <w:spacing w:before="0" w:beforeAutospacing="0" w:after="0" w:afterAutospacing="0"/>
        <w:ind w:left="420" w:leftChars="200" w:right="0" w:firstLine="210" w:firstLineChars="100"/>
        <w:jc w:val="both"/>
        <w:rPr>
          <w:szCs w:val="21"/>
          <w:lang w:val="en-US"/>
        </w:rPr>
      </w:pPr>
      <w:r>
        <w:rPr>
          <w:rFonts w:hint="eastAsia" w:ascii="Times New Roman" w:hAnsi="Times New Roman" w:eastAsia="宋体" w:cs="宋体"/>
          <w:kern w:val="2"/>
          <w:sz w:val="21"/>
          <w:szCs w:val="21"/>
          <w:lang w:val="en-US" w:eastAsia="zh-CN" w:bidi="ar"/>
        </w:rPr>
        <w:t>开户银行名称：</w:t>
      </w:r>
      <w:r>
        <w:rPr>
          <w:rFonts w:hint="default" w:ascii="Times New Roman" w:hAnsi="Times New Roman" w:eastAsia="宋体" w:cs="Times New Roman"/>
          <w:kern w:val="2"/>
          <w:sz w:val="21"/>
          <w:szCs w:val="21"/>
          <w:u w:val="thick"/>
          <w:lang w:val="en-US" w:eastAsia="zh-CN" w:bidi="ar"/>
        </w:rPr>
        <w:t xml:space="preserve">                                                 </w:t>
      </w:r>
      <w:r>
        <w:rPr>
          <w:rFonts w:hint="eastAsia" w:ascii="Times New Roman" w:hAnsi="Times New Roman" w:eastAsia="宋体" w:cs="宋体"/>
          <w:kern w:val="2"/>
          <w:sz w:val="21"/>
          <w:szCs w:val="21"/>
          <w:lang w:val="en-US" w:eastAsia="zh-CN" w:bidi="ar"/>
        </w:rPr>
        <w:t>；</w:t>
      </w:r>
    </w:p>
    <w:p w14:paraId="3654C4BA">
      <w:pPr>
        <w:keepNext w:val="0"/>
        <w:keepLines w:val="0"/>
        <w:widowControl w:val="0"/>
        <w:suppressLineNumbers w:val="0"/>
        <w:spacing w:before="0" w:beforeAutospacing="0" w:after="0" w:afterAutospacing="0"/>
        <w:ind w:left="420" w:leftChars="200" w:right="0" w:firstLine="210" w:firstLineChars="100"/>
        <w:jc w:val="both"/>
        <w:rPr>
          <w:szCs w:val="21"/>
          <w:u w:val="thick"/>
          <w:lang w:val="en-US"/>
        </w:rPr>
      </w:pPr>
      <w:r>
        <w:rPr>
          <w:rFonts w:hint="eastAsia" w:ascii="Times New Roman" w:hAnsi="Times New Roman" w:eastAsia="宋体" w:cs="宋体"/>
          <w:kern w:val="2"/>
          <w:sz w:val="21"/>
          <w:szCs w:val="21"/>
          <w:lang w:val="en-US" w:eastAsia="zh-CN" w:bidi="ar"/>
        </w:rPr>
        <w:t>开户银行账号：</w:t>
      </w:r>
      <w:r>
        <w:rPr>
          <w:rFonts w:hint="default" w:ascii="Times New Roman" w:hAnsi="Times New Roman" w:eastAsia="宋体" w:cs="Times New Roman"/>
          <w:kern w:val="2"/>
          <w:sz w:val="21"/>
          <w:szCs w:val="21"/>
          <w:u w:val="thick"/>
          <w:lang w:val="en-US" w:eastAsia="zh-CN" w:bidi="ar"/>
        </w:rPr>
        <w:t xml:space="preserve">                                                  </w:t>
      </w:r>
      <w:r>
        <w:rPr>
          <w:rFonts w:hint="eastAsia" w:ascii="Times New Roman" w:hAnsi="Times New Roman" w:eastAsia="宋体" w:cs="宋体"/>
          <w:kern w:val="2"/>
          <w:sz w:val="21"/>
          <w:szCs w:val="21"/>
          <w:lang w:val="en-US" w:eastAsia="zh-CN" w:bidi="ar"/>
        </w:rPr>
        <w:t>；</w:t>
      </w:r>
    </w:p>
    <w:p w14:paraId="0333CE52">
      <w:pPr>
        <w:keepNext w:val="0"/>
        <w:keepLines w:val="0"/>
        <w:widowControl w:val="0"/>
        <w:suppressLineNumbers w:val="0"/>
        <w:spacing w:before="0" w:beforeAutospacing="0" w:after="0" w:afterAutospacing="0"/>
        <w:ind w:left="420" w:leftChars="200" w:right="0" w:firstLine="210" w:firstLineChars="100"/>
        <w:jc w:val="both"/>
        <w:rPr>
          <w:szCs w:val="21"/>
          <w:lang w:val="en-US"/>
        </w:rPr>
      </w:pPr>
      <w:r>
        <w:rPr>
          <w:rFonts w:hint="eastAsia" w:ascii="Times New Roman" w:hAnsi="Times New Roman" w:eastAsia="宋体" w:cs="宋体"/>
          <w:kern w:val="2"/>
          <w:sz w:val="21"/>
          <w:szCs w:val="21"/>
          <w:lang w:val="en-US" w:eastAsia="zh-CN" w:bidi="ar"/>
        </w:rPr>
        <w:t>开户银行地址：</w:t>
      </w:r>
      <w:r>
        <w:rPr>
          <w:rFonts w:hint="default" w:ascii="Times New Roman" w:hAnsi="Times New Roman" w:eastAsia="宋体" w:cs="Times New Roman"/>
          <w:kern w:val="2"/>
          <w:sz w:val="21"/>
          <w:szCs w:val="21"/>
          <w:u w:val="thick"/>
          <w:lang w:val="en-US" w:eastAsia="zh-CN" w:bidi="ar"/>
        </w:rPr>
        <w:t xml:space="preserve">                                                  </w:t>
      </w:r>
      <w:r>
        <w:rPr>
          <w:rFonts w:hint="eastAsia" w:ascii="Times New Roman" w:hAnsi="Times New Roman" w:eastAsia="宋体" w:cs="宋体"/>
          <w:kern w:val="2"/>
          <w:sz w:val="21"/>
          <w:szCs w:val="21"/>
          <w:lang w:val="en-US" w:eastAsia="zh-CN" w:bidi="ar"/>
        </w:rPr>
        <w:t>。</w:t>
      </w:r>
    </w:p>
    <w:p w14:paraId="7F7400A9">
      <w:pPr>
        <w:keepNext w:val="0"/>
        <w:keepLines w:val="0"/>
        <w:widowControl w:val="0"/>
        <w:suppressLineNumbers w:val="0"/>
        <w:spacing w:before="0" w:beforeAutospacing="0" w:after="0" w:afterAutospacing="0"/>
        <w:ind w:right="0"/>
        <w:jc w:val="both"/>
        <w:rPr>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宋体"/>
          <w:b/>
          <w:bCs/>
          <w:color w:val="FF0000"/>
          <w:spacing w:val="-4"/>
          <w:kern w:val="0"/>
          <w:sz w:val="21"/>
          <w:szCs w:val="21"/>
          <w:lang w:val="en-US" w:eastAsia="zh-CN" w:bidi="ar"/>
        </w:rPr>
        <w:t>注：本项填写内容作为订单融资开展的参考信息，不作为供应商资格性审查及符合性审查条件。</w:t>
      </w:r>
    </w:p>
    <w:p w14:paraId="2470D0AD">
      <w:pPr>
        <w:keepNext w:val="0"/>
        <w:keepLines w:val="0"/>
        <w:widowControl/>
        <w:suppressLineNumbers w:val="0"/>
        <w:autoSpaceDE w:val="0"/>
        <w:autoSpaceDN w:val="0"/>
        <w:spacing w:before="0" w:beforeAutospacing="0" w:after="0" w:afterAutospacing="0" w:line="400" w:lineRule="exact"/>
        <w:ind w:left="0" w:right="1414" w:firstLine="480" w:firstLineChars="200"/>
        <w:jc w:val="right"/>
        <w:rPr>
          <w:rFonts w:eastAsia="宋体"/>
          <w:kern w:val="0"/>
          <w:sz w:val="24"/>
          <w:szCs w:val="24"/>
          <w:lang w:val="en-US"/>
        </w:rPr>
      </w:pPr>
    </w:p>
    <w:p w14:paraId="7D3A4EBA">
      <w:pPr>
        <w:rPr>
          <w:rFonts w:hint="eastAsia" w:ascii="黑体" w:hAnsi="宋体" w:eastAsia="黑体" w:cs="黑体"/>
          <w:kern w:val="0"/>
          <w:sz w:val="24"/>
          <w:szCs w:val="20"/>
          <w:lang w:val="en-US" w:eastAsia="zh-CN" w:bidi="ar"/>
        </w:rPr>
      </w:pPr>
      <w:r>
        <w:rPr>
          <w:rFonts w:hint="eastAsia" w:ascii="黑体" w:hAnsi="宋体" w:eastAsia="黑体" w:cs="黑体"/>
          <w:kern w:val="0"/>
          <w:sz w:val="24"/>
          <w:szCs w:val="20"/>
          <w:lang w:val="en-US" w:eastAsia="zh-CN" w:bidi="ar"/>
        </w:rPr>
        <w:br w:type="page"/>
      </w:r>
    </w:p>
    <w:p w14:paraId="3A38AE7E">
      <w:pPr>
        <w:keepNext w:val="0"/>
        <w:keepLines w:val="0"/>
        <w:widowControl/>
        <w:suppressLineNumbers w:val="0"/>
        <w:spacing w:before="0" w:beforeAutospacing="0" w:after="0" w:afterAutospacing="0"/>
        <w:ind w:left="0" w:right="0"/>
        <w:jc w:val="center"/>
        <w:rPr>
          <w:rFonts w:hint="eastAsia" w:ascii="黑体" w:hAnsi="宋体" w:eastAsia="黑体" w:cs="黑体"/>
          <w:kern w:val="0"/>
          <w:sz w:val="24"/>
          <w:szCs w:val="20"/>
          <w:lang w:val="en-US"/>
        </w:rPr>
      </w:pPr>
      <w:r>
        <w:rPr>
          <w:rFonts w:hint="eastAsia" w:ascii="黑体" w:hAnsi="宋体" w:eastAsia="黑体" w:cs="黑体"/>
          <w:kern w:val="0"/>
          <w:sz w:val="24"/>
          <w:szCs w:val="20"/>
          <w:lang w:val="en-US" w:eastAsia="zh-CN" w:bidi="ar"/>
        </w:rPr>
        <w:t>（三）投标人认为需要加以说明的其他内容（格式自定）</w:t>
      </w:r>
    </w:p>
    <w:p w14:paraId="517766F0">
      <w:pPr>
        <w:widowControl/>
        <w:jc w:val="left"/>
        <w:rPr>
          <w:rFonts w:ascii="宋体" w:hAnsi="宋体"/>
          <w:b/>
          <w:bCs/>
          <w:kern w:val="0"/>
          <w:sz w:val="24"/>
          <w:szCs w:val="20"/>
        </w:rPr>
      </w:pPr>
      <w:r>
        <w:br w:type="page"/>
      </w:r>
    </w:p>
    <w:p w14:paraId="1605E19A">
      <w:pPr>
        <w:pStyle w:val="7"/>
        <w:rPr>
          <w:sz w:val="28"/>
          <w:szCs w:val="28"/>
        </w:rPr>
      </w:pPr>
      <w:r>
        <w:rPr>
          <w:rFonts w:hint="eastAsia"/>
          <w:sz w:val="28"/>
          <w:szCs w:val="28"/>
        </w:rPr>
        <w:t>第五章  合同条款及格式</w:t>
      </w:r>
    </w:p>
    <w:p w14:paraId="06035D20">
      <w:pPr>
        <w:jc w:val="center"/>
        <w:outlineLvl w:val="0"/>
      </w:pPr>
      <w:r>
        <w:rPr>
          <w:rFonts w:hint="eastAsia"/>
          <w:b/>
          <w:sz w:val="24"/>
        </w:rPr>
        <w:t>（仅供参考，具体以项目需求及实际签订为准）</w:t>
      </w:r>
    </w:p>
    <w:p w14:paraId="09E791A1">
      <w:pPr>
        <w:ind w:firstLine="411" w:firstLineChars="196"/>
      </w:pPr>
    </w:p>
    <w:p w14:paraId="696AB87E">
      <w:pPr>
        <w:rPr>
          <w:rFonts w:ascii="宋体" w:hAnsi="宋体"/>
          <w:b/>
          <w:bCs/>
          <w:szCs w:val="21"/>
        </w:rPr>
      </w:pPr>
      <w:r>
        <w:rPr>
          <w:rFonts w:hint="eastAsia" w:ascii="宋体" w:hAnsi="宋体"/>
          <w:b/>
          <w:bCs/>
          <w:szCs w:val="21"/>
        </w:rPr>
        <w:t>甲方：</w:t>
      </w:r>
    </w:p>
    <w:p w14:paraId="4933B060">
      <w:pPr>
        <w:rPr>
          <w:rFonts w:ascii="宋体" w:hAnsi="宋体"/>
          <w:szCs w:val="21"/>
        </w:rPr>
      </w:pPr>
      <w:r>
        <w:rPr>
          <w:rFonts w:hint="eastAsia" w:ascii="宋体" w:hAnsi="宋体"/>
          <w:szCs w:val="21"/>
        </w:rPr>
        <w:t>地址：</w:t>
      </w:r>
    </w:p>
    <w:p w14:paraId="3B1F8940">
      <w:pPr>
        <w:rPr>
          <w:rFonts w:ascii="宋体" w:hAnsi="宋体"/>
          <w:szCs w:val="21"/>
        </w:rPr>
      </w:pPr>
      <w:r>
        <w:rPr>
          <w:rFonts w:hint="eastAsia" w:ascii="宋体" w:hAnsi="宋体"/>
          <w:szCs w:val="21"/>
        </w:rPr>
        <w:t xml:space="preserve">联系人：                          </w:t>
      </w:r>
    </w:p>
    <w:p w14:paraId="3878D8E9">
      <w:pPr>
        <w:rPr>
          <w:rFonts w:ascii="宋体" w:hAnsi="宋体"/>
          <w:b/>
          <w:bCs/>
          <w:szCs w:val="21"/>
        </w:rPr>
      </w:pPr>
      <w:r>
        <w:rPr>
          <w:rFonts w:hint="eastAsia" w:ascii="宋体" w:hAnsi="宋体"/>
          <w:szCs w:val="21"/>
        </w:rPr>
        <w:t>联系电话：</w:t>
      </w:r>
    </w:p>
    <w:p w14:paraId="7EB883A9">
      <w:pPr>
        <w:rPr>
          <w:rFonts w:ascii="宋体" w:hAnsi="宋体"/>
          <w:b/>
          <w:bCs/>
          <w:szCs w:val="21"/>
        </w:rPr>
      </w:pPr>
      <w:r>
        <w:rPr>
          <w:rFonts w:hint="eastAsia" w:ascii="宋体" w:hAnsi="宋体"/>
          <w:b/>
          <w:bCs/>
          <w:szCs w:val="21"/>
        </w:rPr>
        <w:t xml:space="preserve">   </w:t>
      </w:r>
    </w:p>
    <w:p w14:paraId="36F0CD06">
      <w:pPr>
        <w:rPr>
          <w:rFonts w:ascii="宋体" w:hAnsi="宋体"/>
          <w:b/>
          <w:bCs/>
          <w:szCs w:val="21"/>
        </w:rPr>
      </w:pPr>
      <w:r>
        <w:rPr>
          <w:rFonts w:hint="eastAsia" w:ascii="宋体" w:hAnsi="宋体"/>
          <w:b/>
          <w:bCs/>
          <w:szCs w:val="21"/>
        </w:rPr>
        <w:t>乙方：</w:t>
      </w:r>
    </w:p>
    <w:p w14:paraId="500F0638">
      <w:pPr>
        <w:rPr>
          <w:rFonts w:ascii="宋体" w:hAnsi="宋体"/>
          <w:szCs w:val="21"/>
        </w:rPr>
      </w:pPr>
      <w:r>
        <w:rPr>
          <w:rFonts w:hint="eastAsia" w:ascii="宋体" w:hAnsi="宋体"/>
          <w:szCs w:val="21"/>
        </w:rPr>
        <w:t>地址：</w:t>
      </w:r>
    </w:p>
    <w:p w14:paraId="6CD00167">
      <w:pPr>
        <w:rPr>
          <w:rFonts w:ascii="宋体" w:hAnsi="宋体"/>
          <w:szCs w:val="21"/>
        </w:rPr>
      </w:pPr>
      <w:r>
        <w:rPr>
          <w:rFonts w:hint="eastAsia" w:ascii="宋体" w:hAnsi="宋体"/>
          <w:szCs w:val="21"/>
        </w:rPr>
        <w:t xml:space="preserve">联系人：                          </w:t>
      </w:r>
    </w:p>
    <w:p w14:paraId="3DA1904D">
      <w:pPr>
        <w:rPr>
          <w:rFonts w:ascii="宋体" w:hAnsi="宋体"/>
          <w:b/>
          <w:bCs/>
          <w:szCs w:val="21"/>
        </w:rPr>
      </w:pPr>
      <w:r>
        <w:rPr>
          <w:rFonts w:hint="eastAsia" w:ascii="宋体" w:hAnsi="宋体"/>
          <w:szCs w:val="21"/>
        </w:rPr>
        <w:t>联系电话：</w:t>
      </w:r>
    </w:p>
    <w:p w14:paraId="5AF6B222">
      <w:pPr>
        <w:rPr>
          <w:rFonts w:ascii="宋体" w:hAnsi="宋体"/>
          <w:szCs w:val="21"/>
        </w:rPr>
      </w:pPr>
      <w:r>
        <w:rPr>
          <w:rFonts w:hint="eastAsia" w:ascii="宋体" w:hAnsi="宋体"/>
          <w:b/>
          <w:bCs/>
          <w:szCs w:val="21"/>
        </w:rPr>
        <w:t xml:space="preserve">                      </w:t>
      </w:r>
    </w:p>
    <w:p w14:paraId="391C4217">
      <w:pPr>
        <w:rPr>
          <w:rFonts w:ascii="宋体" w:hAnsi="宋体"/>
          <w:szCs w:val="21"/>
        </w:rPr>
      </w:pPr>
    </w:p>
    <w:p w14:paraId="63E6B062">
      <w:pPr>
        <w:ind w:firstLine="420" w:firstLineChars="200"/>
        <w:rPr>
          <w:rFonts w:ascii="宋体" w:hAnsi="宋体"/>
          <w:szCs w:val="21"/>
        </w:rPr>
      </w:pPr>
      <w:r>
        <w:rPr>
          <w:rFonts w:hint="eastAsia" w:ascii="宋体" w:hAnsi="宋体"/>
          <w:szCs w:val="21"/>
        </w:rPr>
        <w:t>根据深圳公共资源交易中心（深圳交易集团有限公司政府采购业务分公司）***号项目结果，***单位为中标人。按照《中华人民共和国民法典》（第三编 合同）》和《深圳经济特区政府采购条例》，经深圳市（以下简称甲方）和单位（以下简称乙方）协商，就甲方委托乙方承担</w:t>
      </w:r>
      <w:r>
        <w:rPr>
          <w:rFonts w:hint="eastAsia" w:ascii="宋体" w:hAnsi="宋体"/>
          <w:b/>
          <w:bCs/>
          <w:snapToGrid w:val="0"/>
          <w:kern w:val="0"/>
          <w:szCs w:val="21"/>
          <w:u w:val="single"/>
          <w:lang w:val="zh-CN"/>
        </w:rPr>
        <w:t xml:space="preserve">                      服务项目</w:t>
      </w:r>
      <w:r>
        <w:rPr>
          <w:rFonts w:hint="eastAsia" w:ascii="宋体" w:hAnsi="宋体"/>
          <w:szCs w:val="21"/>
        </w:rPr>
        <w:t>，达成以下合同条款：</w:t>
      </w:r>
    </w:p>
    <w:p w14:paraId="6557A929">
      <w:pPr>
        <w:ind w:firstLine="422" w:firstLineChars="200"/>
        <w:rPr>
          <w:rFonts w:ascii="宋体" w:hAnsi="宋体"/>
          <w:b/>
          <w:bCs/>
          <w:szCs w:val="21"/>
        </w:rPr>
      </w:pPr>
      <w:r>
        <w:rPr>
          <w:rFonts w:hint="eastAsia" w:ascii="宋体" w:hAnsi="宋体"/>
          <w:b/>
          <w:bCs/>
          <w:szCs w:val="21"/>
        </w:rPr>
        <w:t>第一条　项目概况</w:t>
      </w:r>
    </w:p>
    <w:p w14:paraId="00BF125E">
      <w:pPr>
        <w:ind w:firstLine="420" w:firstLineChars="200"/>
        <w:rPr>
          <w:rFonts w:ascii="宋体" w:hAnsi="宋体"/>
          <w:szCs w:val="21"/>
        </w:rPr>
      </w:pPr>
      <w:r>
        <w:rPr>
          <w:rFonts w:hint="eastAsia" w:ascii="宋体" w:hAnsi="宋体"/>
          <w:szCs w:val="21"/>
        </w:rPr>
        <w:t xml:space="preserve">项目名称： </w:t>
      </w:r>
    </w:p>
    <w:p w14:paraId="781B8176">
      <w:pPr>
        <w:ind w:firstLine="420" w:firstLineChars="200"/>
        <w:rPr>
          <w:rFonts w:ascii="宋体" w:hAnsi="宋体"/>
          <w:szCs w:val="21"/>
        </w:rPr>
      </w:pPr>
      <w:r>
        <w:rPr>
          <w:rFonts w:hint="eastAsia" w:ascii="宋体" w:hAnsi="宋体"/>
          <w:szCs w:val="21"/>
        </w:rPr>
        <w:t xml:space="preserve">项目内容： </w:t>
      </w:r>
    </w:p>
    <w:p w14:paraId="5A677D64">
      <w:pPr>
        <w:ind w:firstLine="420" w:firstLineChars="200"/>
        <w:rPr>
          <w:rFonts w:ascii="宋体" w:hAnsi="宋体"/>
          <w:szCs w:val="21"/>
        </w:rPr>
      </w:pPr>
      <w:r>
        <w:rPr>
          <w:rFonts w:hint="eastAsia" w:ascii="宋体" w:hAnsi="宋体"/>
          <w:szCs w:val="21"/>
        </w:rPr>
        <w:t xml:space="preserve">服务时间： </w:t>
      </w:r>
    </w:p>
    <w:p w14:paraId="7524FC4A">
      <w:pPr>
        <w:ind w:firstLine="420" w:firstLineChars="200"/>
        <w:rPr>
          <w:rFonts w:ascii="宋体" w:hAnsi="宋体"/>
          <w:szCs w:val="21"/>
        </w:rPr>
      </w:pPr>
      <w:r>
        <w:rPr>
          <w:rFonts w:hint="eastAsia" w:ascii="宋体" w:hAnsi="宋体"/>
          <w:szCs w:val="21"/>
        </w:rPr>
        <w:t>合同价款：合同总价为元，含一切税费。</w:t>
      </w:r>
      <w:r>
        <w:rPr>
          <w:rFonts w:hint="eastAsia"/>
        </w:rPr>
        <w:t>本合同总价包括</w:t>
      </w:r>
      <w:r>
        <w:rPr>
          <w:rFonts w:hint="eastAsia" w:ascii="宋体" w:hAnsi="宋体"/>
          <w:szCs w:val="21"/>
        </w:rPr>
        <w:t>乙方为实施本项目***所需的设备仪器费、车辆租赁费、</w:t>
      </w:r>
      <w:r>
        <w:rPr>
          <w:rFonts w:hint="eastAsia"/>
        </w:rPr>
        <w:t>服务和技术费用等，为固定不变价格，且不随通货膨胀的影响而波动。合同总价包括</w:t>
      </w:r>
      <w:r>
        <w:rPr>
          <w:rFonts w:hint="eastAsia" w:ascii="宋体" w:hAnsi="宋体"/>
          <w:szCs w:val="21"/>
        </w:rPr>
        <w:t>乙方</w:t>
      </w:r>
      <w:r>
        <w:rPr>
          <w:rFonts w:hint="eastAsia"/>
        </w:rPr>
        <w:t>履行本合同义务所发生的一切费用和支出和以各种方式寄送技术资料到甲方办公室所发生的费用。</w:t>
      </w:r>
    </w:p>
    <w:p w14:paraId="7131FBB5">
      <w:pPr>
        <w:pStyle w:val="8"/>
        <w:rPr>
          <w:rFonts w:ascii="宋体" w:hAnsi="宋体"/>
          <w:szCs w:val="21"/>
        </w:rPr>
      </w:pPr>
      <w:r>
        <w:rPr>
          <w:rFonts w:hint="eastAsia" w:ascii="宋体" w:hAnsi="宋体"/>
          <w:szCs w:val="21"/>
        </w:rPr>
        <w:t>支付方式：分期支付。</w:t>
      </w:r>
    </w:p>
    <w:p w14:paraId="0F86BF6D">
      <w:pPr>
        <w:ind w:firstLine="422" w:firstLineChars="200"/>
        <w:rPr>
          <w:rFonts w:ascii="宋体" w:hAnsi="宋体"/>
          <w:b/>
          <w:bCs/>
          <w:szCs w:val="21"/>
        </w:rPr>
      </w:pPr>
      <w:r>
        <w:rPr>
          <w:rFonts w:hint="eastAsia" w:ascii="宋体" w:hAnsi="宋体"/>
          <w:b/>
          <w:bCs/>
          <w:szCs w:val="21"/>
        </w:rPr>
        <w:t>第二条  服务范围</w:t>
      </w:r>
    </w:p>
    <w:p w14:paraId="47EA50F8">
      <w:pPr>
        <w:ind w:firstLine="420" w:firstLineChars="200"/>
        <w:rPr>
          <w:rFonts w:ascii="宋体" w:hAnsi="宋体"/>
          <w:szCs w:val="21"/>
        </w:rPr>
      </w:pPr>
      <w:r>
        <w:rPr>
          <w:rFonts w:hint="eastAsia" w:ascii="宋体" w:hAnsi="宋体"/>
          <w:szCs w:val="21"/>
        </w:rPr>
        <w:t xml:space="preserve">1、  </w:t>
      </w:r>
    </w:p>
    <w:p w14:paraId="13A1E2EE">
      <w:pPr>
        <w:ind w:firstLine="420" w:firstLineChars="200"/>
        <w:rPr>
          <w:rFonts w:ascii="宋体" w:hAnsi="宋体"/>
          <w:szCs w:val="21"/>
        </w:rPr>
      </w:pPr>
      <w:r>
        <w:rPr>
          <w:rFonts w:hint="eastAsia" w:ascii="宋体" w:hAnsi="宋体"/>
          <w:szCs w:val="21"/>
        </w:rPr>
        <w:t xml:space="preserve">2、  </w:t>
      </w:r>
    </w:p>
    <w:p w14:paraId="3DE55D0D">
      <w:pPr>
        <w:ind w:firstLine="420" w:firstLineChars="200"/>
        <w:rPr>
          <w:rFonts w:ascii="宋体" w:hAnsi="宋体"/>
          <w:szCs w:val="21"/>
        </w:rPr>
      </w:pPr>
      <w:r>
        <w:rPr>
          <w:rFonts w:hint="eastAsia" w:ascii="宋体" w:hAnsi="宋体"/>
          <w:szCs w:val="21"/>
        </w:rPr>
        <w:t>3、其他合同未明示的相关工作。</w:t>
      </w:r>
    </w:p>
    <w:p w14:paraId="35EFDDC4">
      <w:pPr>
        <w:ind w:firstLine="422" w:firstLineChars="200"/>
        <w:rPr>
          <w:rFonts w:ascii="宋体" w:hAnsi="宋体"/>
          <w:b/>
          <w:bCs/>
          <w:szCs w:val="21"/>
        </w:rPr>
      </w:pPr>
      <w:r>
        <w:rPr>
          <w:rFonts w:hint="eastAsia" w:ascii="宋体" w:hAnsi="宋体"/>
          <w:b/>
          <w:bCs/>
          <w:szCs w:val="21"/>
        </w:rPr>
        <w:t>第三条  时间要求及阶段成果</w:t>
      </w:r>
    </w:p>
    <w:p w14:paraId="37D87E48">
      <w:pPr>
        <w:ind w:firstLine="420" w:firstLineChars="200"/>
        <w:rPr>
          <w:rFonts w:ascii="宋体" w:hAnsi="宋体"/>
          <w:szCs w:val="21"/>
        </w:rPr>
      </w:pPr>
      <w:r>
        <w:rPr>
          <w:rFonts w:hint="eastAsia" w:ascii="宋体" w:hAnsi="宋体"/>
          <w:szCs w:val="21"/>
        </w:rPr>
        <w:t>1、合同签订天内完成项目实施的准备工作，包括工作大纲和细则的编制；</w:t>
      </w:r>
    </w:p>
    <w:p w14:paraId="6A5D71E0">
      <w:pPr>
        <w:ind w:firstLine="420" w:firstLineChars="200"/>
        <w:rPr>
          <w:rFonts w:ascii="宋体" w:hAnsi="宋体"/>
          <w:szCs w:val="21"/>
        </w:rPr>
      </w:pPr>
      <w:r>
        <w:rPr>
          <w:rFonts w:hint="eastAsia" w:ascii="宋体" w:hAnsi="宋体"/>
          <w:szCs w:val="21"/>
        </w:rPr>
        <w:t xml:space="preserve">2、 </w:t>
      </w:r>
    </w:p>
    <w:p w14:paraId="151D2A73">
      <w:pPr>
        <w:ind w:firstLine="420" w:firstLineChars="200"/>
        <w:rPr>
          <w:rFonts w:ascii="宋体" w:hAnsi="宋体"/>
          <w:szCs w:val="21"/>
        </w:rPr>
      </w:pPr>
      <w:r>
        <w:rPr>
          <w:rFonts w:hint="eastAsia" w:ascii="宋体" w:hAnsi="宋体"/>
          <w:szCs w:val="21"/>
        </w:rPr>
        <w:t>...</w:t>
      </w:r>
    </w:p>
    <w:p w14:paraId="0BE4116C">
      <w:pPr>
        <w:ind w:firstLine="422" w:firstLineChars="200"/>
        <w:rPr>
          <w:rFonts w:ascii="宋体" w:hAnsi="宋体"/>
          <w:b/>
          <w:bCs/>
          <w:szCs w:val="21"/>
        </w:rPr>
      </w:pPr>
      <w:r>
        <w:rPr>
          <w:rFonts w:hint="eastAsia" w:ascii="宋体" w:hAnsi="宋体"/>
          <w:b/>
          <w:bCs/>
          <w:szCs w:val="21"/>
        </w:rPr>
        <w:t>第四条  咨询服务资料归属</w:t>
      </w:r>
    </w:p>
    <w:p w14:paraId="08863B7B">
      <w:pPr>
        <w:ind w:firstLine="420" w:firstLineChars="200"/>
      </w:pPr>
      <w:r>
        <w:t>1</w:t>
      </w:r>
      <w:r>
        <w:rPr>
          <w:rFonts w:hint="eastAsia"/>
        </w:rPr>
        <w:t>、所有提交给甲方的服务文件及相关的资料的最后文本，包括为履行技术服务范围所编制的计划和证明资料等，都属于甲方的财产，</w:t>
      </w:r>
      <w:r>
        <w:rPr>
          <w:rFonts w:hint="eastAsia" w:ascii="宋体" w:hAnsi="宋体"/>
          <w:szCs w:val="21"/>
        </w:rPr>
        <w:t>乙</w:t>
      </w:r>
      <w:r>
        <w:rPr>
          <w:rFonts w:hint="eastAsia"/>
        </w:rPr>
        <w:t>方在提交给甲方之前应将上述资料进行整理归类和编制索引。</w:t>
      </w:r>
    </w:p>
    <w:p w14:paraId="6C5E0282">
      <w:pPr>
        <w:ind w:firstLine="420" w:firstLineChars="200"/>
      </w:pPr>
      <w:r>
        <w:t>2</w:t>
      </w:r>
      <w:r>
        <w:rPr>
          <w:rFonts w:hint="eastAsia"/>
        </w:rPr>
        <w:t>、</w:t>
      </w:r>
      <w:r>
        <w:rPr>
          <w:rFonts w:hint="eastAsia" w:ascii="宋体" w:hAnsi="宋体"/>
          <w:szCs w:val="21"/>
        </w:rPr>
        <w:t>乙</w:t>
      </w:r>
      <w:r>
        <w:rPr>
          <w:rFonts w:hint="eastAsia"/>
        </w:rPr>
        <w:t>方未经甲方的书面同意，不得将上述资料用于与本服务项目之外的任何项目。</w:t>
      </w:r>
    </w:p>
    <w:p w14:paraId="118432B0">
      <w:pPr>
        <w:ind w:firstLine="420" w:firstLineChars="200"/>
      </w:pPr>
      <w:r>
        <w:t>3</w:t>
      </w:r>
      <w:r>
        <w:rPr>
          <w:rFonts w:hint="eastAsia"/>
        </w:rPr>
        <w:t>、合同履行完毕，未经甲方的书面同意，</w:t>
      </w:r>
      <w:r>
        <w:rPr>
          <w:rFonts w:hint="eastAsia" w:ascii="宋体" w:hAnsi="宋体"/>
          <w:szCs w:val="21"/>
        </w:rPr>
        <w:t>乙</w:t>
      </w:r>
      <w:r>
        <w:rPr>
          <w:rFonts w:hint="eastAsia"/>
        </w:rPr>
        <w:t>方不得保存在履行合同过程中所获得或接触到的任何</w:t>
      </w:r>
      <w:r>
        <w:rPr>
          <w:rFonts w:hint="eastAsia" w:ascii="宋体" w:hAnsi="宋体"/>
          <w:szCs w:val="21"/>
        </w:rPr>
        <w:t>内部数据资料。</w:t>
      </w:r>
    </w:p>
    <w:p w14:paraId="216C3953">
      <w:pPr>
        <w:ind w:firstLine="422" w:firstLineChars="200"/>
        <w:rPr>
          <w:rFonts w:ascii="宋体" w:hAnsi="宋体"/>
          <w:b/>
          <w:bCs/>
          <w:szCs w:val="21"/>
        </w:rPr>
      </w:pPr>
      <w:r>
        <w:rPr>
          <w:rFonts w:hint="eastAsia" w:ascii="宋体" w:hAnsi="宋体"/>
          <w:b/>
          <w:bCs/>
          <w:szCs w:val="21"/>
        </w:rPr>
        <w:t>第五条  甲方的义务</w:t>
      </w:r>
    </w:p>
    <w:p w14:paraId="17036AD8">
      <w:pPr>
        <w:ind w:firstLine="420" w:firstLineChars="200"/>
        <w:rPr>
          <w:rFonts w:ascii="宋体" w:hAnsi="宋体"/>
          <w:szCs w:val="21"/>
        </w:rPr>
      </w:pPr>
      <w:r>
        <w:rPr>
          <w:rFonts w:hint="eastAsia" w:ascii="宋体" w:hAnsi="宋体"/>
          <w:szCs w:val="21"/>
        </w:rPr>
        <w:t>1、负责与本服务项目有关的第三方的协调，提供开展服务工作的外部条件。</w:t>
      </w:r>
    </w:p>
    <w:p w14:paraId="4053C8C0">
      <w:pPr>
        <w:ind w:firstLine="420" w:firstLineChars="200"/>
        <w:rPr>
          <w:rFonts w:ascii="宋体" w:hAnsi="宋体"/>
          <w:szCs w:val="21"/>
        </w:rPr>
      </w:pPr>
      <w:r>
        <w:rPr>
          <w:rFonts w:hint="eastAsia" w:ascii="宋体" w:hAnsi="宋体"/>
          <w:szCs w:val="21"/>
        </w:rPr>
        <w:t>2、向乙方提供与本项目服务工作有关的资料。</w:t>
      </w:r>
    </w:p>
    <w:p w14:paraId="5A55F143">
      <w:pPr>
        <w:ind w:firstLine="420" w:firstLineChars="200"/>
        <w:rPr>
          <w:rFonts w:ascii="宋体" w:hAnsi="宋体"/>
          <w:szCs w:val="21"/>
        </w:rPr>
      </w:pPr>
      <w:r>
        <w:rPr>
          <w:rFonts w:hint="eastAsia" w:ascii="宋体" w:hAnsi="宋体"/>
          <w:szCs w:val="21"/>
        </w:rPr>
        <w:t>3、负责组织有关专家对项目成果报告的评审。</w:t>
      </w:r>
    </w:p>
    <w:p w14:paraId="02EF9EAB">
      <w:pPr>
        <w:ind w:firstLine="422" w:firstLineChars="200"/>
        <w:rPr>
          <w:rFonts w:ascii="宋体" w:hAnsi="宋体"/>
          <w:b/>
          <w:bCs/>
          <w:szCs w:val="21"/>
        </w:rPr>
      </w:pPr>
      <w:r>
        <w:rPr>
          <w:rFonts w:hint="eastAsia" w:ascii="宋体" w:hAnsi="宋体"/>
          <w:b/>
          <w:bCs/>
          <w:szCs w:val="21"/>
        </w:rPr>
        <w:t>第七条　乙方的义务</w:t>
      </w:r>
    </w:p>
    <w:p w14:paraId="175D2F7A">
      <w:pPr>
        <w:ind w:firstLine="420" w:firstLineChars="200"/>
        <w:rPr>
          <w:rFonts w:ascii="宋体" w:hAnsi="宋体"/>
          <w:szCs w:val="21"/>
        </w:rPr>
      </w:pPr>
      <w:r>
        <w:rPr>
          <w:rFonts w:hint="eastAsia" w:ascii="宋体" w:hAnsi="宋体"/>
          <w:szCs w:val="21"/>
        </w:rPr>
        <w:t>１、应按照招标文件、投标文件要求按期完成本项目服务工作。</w:t>
      </w:r>
    </w:p>
    <w:p w14:paraId="2BD1CB7A">
      <w:pPr>
        <w:ind w:firstLine="420" w:firstLineChars="200"/>
        <w:rPr>
          <w:rFonts w:ascii="宋体" w:hAnsi="宋体"/>
          <w:szCs w:val="21"/>
        </w:rPr>
      </w:pPr>
      <w:r>
        <w:rPr>
          <w:rFonts w:hint="eastAsia" w:ascii="宋体" w:hAnsi="宋体"/>
          <w:szCs w:val="21"/>
        </w:rPr>
        <w:t>2、负责组织项目的实施，保证进度和工作质量，并满足验收相关标准。</w:t>
      </w:r>
    </w:p>
    <w:p w14:paraId="2B0AF3D5">
      <w:pPr>
        <w:ind w:firstLine="420" w:firstLineChars="200"/>
        <w:rPr>
          <w:rFonts w:ascii="宋体" w:hAnsi="宋体"/>
          <w:szCs w:val="21"/>
        </w:rPr>
      </w:pPr>
      <w:r>
        <w:rPr>
          <w:rFonts w:hint="eastAsia" w:ascii="宋体" w:hAnsi="宋体"/>
          <w:szCs w:val="21"/>
        </w:rPr>
        <w:t>3、</w:t>
      </w:r>
      <w:r>
        <w:rPr>
          <w:rFonts w:hint="eastAsia" w:ascii="宋体" w:hAnsi="宋体"/>
        </w:rPr>
        <w:t>向甲方提交资料等各套，一套电子版文件。</w:t>
      </w:r>
    </w:p>
    <w:p w14:paraId="5F7C66E4">
      <w:pPr>
        <w:ind w:firstLine="420" w:firstLineChars="200"/>
        <w:rPr>
          <w:rFonts w:ascii="宋体" w:hAnsi="宋体"/>
          <w:szCs w:val="21"/>
        </w:rPr>
      </w:pPr>
      <w:r>
        <w:rPr>
          <w:rFonts w:hint="eastAsia" w:ascii="宋体" w:hAnsi="宋体"/>
          <w:szCs w:val="21"/>
        </w:rPr>
        <w:t>4、在履行合同期间或合同规定期限内，不得泄露与本合同规定业务活动有关的保密资料。</w:t>
      </w:r>
    </w:p>
    <w:p w14:paraId="43E1A0CE">
      <w:pPr>
        <w:ind w:firstLine="422" w:firstLineChars="200"/>
        <w:rPr>
          <w:rFonts w:ascii="宋体" w:hAnsi="宋体"/>
          <w:b/>
          <w:bCs/>
          <w:szCs w:val="21"/>
        </w:rPr>
      </w:pPr>
      <w:r>
        <w:rPr>
          <w:rFonts w:hint="eastAsia" w:ascii="宋体" w:hAnsi="宋体"/>
          <w:b/>
          <w:bCs/>
          <w:szCs w:val="21"/>
        </w:rPr>
        <w:t>第八条  甲方的权利</w:t>
      </w:r>
    </w:p>
    <w:p w14:paraId="4BF2C553">
      <w:pPr>
        <w:ind w:firstLine="420" w:firstLineChars="200"/>
        <w:rPr>
          <w:rFonts w:ascii="宋体" w:hAnsi="宋体"/>
          <w:szCs w:val="21"/>
        </w:rPr>
      </w:pPr>
      <w:r>
        <w:rPr>
          <w:rFonts w:hint="eastAsia" w:ascii="宋体" w:hAnsi="宋体"/>
          <w:szCs w:val="21"/>
        </w:rPr>
        <w:t>1、有权向乙方询问工作进展情况及相关的内容。</w:t>
      </w:r>
    </w:p>
    <w:p w14:paraId="6DDED94F">
      <w:pPr>
        <w:ind w:firstLine="420" w:firstLineChars="200"/>
        <w:rPr>
          <w:rFonts w:ascii="宋体" w:hAnsi="宋体"/>
          <w:szCs w:val="21"/>
        </w:rPr>
      </w:pPr>
      <w:r>
        <w:rPr>
          <w:rFonts w:hint="eastAsia" w:ascii="宋体" w:hAnsi="宋体"/>
          <w:szCs w:val="21"/>
        </w:rPr>
        <w:t>2、有权阐述对具体问题的意见和建议。</w:t>
      </w:r>
    </w:p>
    <w:p w14:paraId="09F863A0">
      <w:pPr>
        <w:ind w:firstLine="420" w:firstLineChars="200"/>
        <w:rPr>
          <w:rFonts w:ascii="宋体" w:hAnsi="宋体"/>
          <w:szCs w:val="21"/>
        </w:rPr>
      </w:pPr>
      <w:r>
        <w:rPr>
          <w:rFonts w:hint="eastAsia" w:ascii="宋体" w:hAnsi="宋体"/>
          <w:szCs w:val="21"/>
        </w:rPr>
        <w:t>3、当甲方认定乙方人员不按合同履行其职责，或与第三人串通给甲方造成经济损失的，甲方有权要求更换人员，直至终止合同并要求乙方承担相应的赔偿责任。</w:t>
      </w:r>
    </w:p>
    <w:p w14:paraId="2F669196">
      <w:pPr>
        <w:ind w:firstLine="422" w:firstLineChars="200"/>
        <w:rPr>
          <w:rFonts w:ascii="宋体" w:hAnsi="宋体"/>
          <w:b/>
          <w:bCs/>
          <w:szCs w:val="21"/>
        </w:rPr>
      </w:pPr>
      <w:r>
        <w:rPr>
          <w:rFonts w:hint="eastAsia" w:ascii="宋体" w:hAnsi="宋体"/>
          <w:b/>
          <w:bCs/>
          <w:szCs w:val="21"/>
        </w:rPr>
        <w:t>第九条  乙方的权利</w:t>
      </w:r>
    </w:p>
    <w:p w14:paraId="77242D3F">
      <w:pPr>
        <w:ind w:firstLine="420" w:firstLineChars="200"/>
        <w:rPr>
          <w:rFonts w:ascii="宋体" w:hAnsi="宋体"/>
          <w:szCs w:val="21"/>
        </w:rPr>
      </w:pPr>
      <w:r>
        <w:rPr>
          <w:rFonts w:hint="eastAsia" w:ascii="宋体" w:hAnsi="宋体"/>
          <w:szCs w:val="21"/>
        </w:rPr>
        <w:t>1、乙方在本项目服务过程中，如甲方提供的资料不明确时可向甲方提出书面报告。</w:t>
      </w:r>
    </w:p>
    <w:p w14:paraId="4B563814">
      <w:pPr>
        <w:ind w:firstLine="420" w:firstLineChars="200"/>
        <w:rPr>
          <w:rFonts w:ascii="宋体" w:hAnsi="宋体"/>
          <w:szCs w:val="21"/>
        </w:rPr>
      </w:pPr>
      <w:r>
        <w:rPr>
          <w:rFonts w:hint="eastAsia" w:ascii="宋体" w:hAnsi="宋体"/>
          <w:szCs w:val="21"/>
        </w:rPr>
        <w:t>2、乙方在本项目服务过程中，有权对第三方提出与本咨询服务业务有关的问题进行核对或查问。</w:t>
      </w:r>
    </w:p>
    <w:p w14:paraId="435B6304">
      <w:pPr>
        <w:ind w:firstLine="420" w:firstLineChars="200"/>
        <w:rPr>
          <w:rFonts w:ascii="宋体" w:hAnsi="宋体"/>
          <w:szCs w:val="21"/>
        </w:rPr>
      </w:pPr>
      <w:r>
        <w:rPr>
          <w:rFonts w:hint="eastAsia" w:ascii="宋体" w:hAnsi="宋体"/>
          <w:szCs w:val="21"/>
        </w:rPr>
        <w:t>3、乙方在本项目服务过程中，有到现场勘察的权利。</w:t>
      </w:r>
    </w:p>
    <w:p w14:paraId="71E391DF">
      <w:pPr>
        <w:ind w:firstLine="422" w:firstLineChars="200"/>
        <w:rPr>
          <w:rFonts w:ascii="宋体" w:hAnsi="宋体"/>
          <w:b/>
          <w:bCs/>
          <w:szCs w:val="21"/>
        </w:rPr>
      </w:pPr>
      <w:r>
        <w:rPr>
          <w:rFonts w:hint="eastAsia" w:ascii="宋体" w:hAnsi="宋体"/>
          <w:b/>
          <w:bCs/>
          <w:szCs w:val="21"/>
        </w:rPr>
        <w:t>第十条  甲方的责任</w:t>
      </w:r>
    </w:p>
    <w:p w14:paraId="01AD1B5A">
      <w:pPr>
        <w:ind w:firstLine="420" w:firstLineChars="200"/>
        <w:rPr>
          <w:rFonts w:ascii="宋体" w:hAnsi="宋体"/>
          <w:szCs w:val="21"/>
        </w:rPr>
      </w:pPr>
      <w:r>
        <w:rPr>
          <w:rFonts w:hint="eastAsia" w:ascii="宋体" w:hAnsi="宋体"/>
          <w:szCs w:val="21"/>
        </w:rPr>
        <w:t>1、应当履行本合同约定的义务，如有违反则应当承担违约责任，赔偿给乙方造成的损失。</w:t>
      </w:r>
    </w:p>
    <w:p w14:paraId="68C60644">
      <w:pPr>
        <w:ind w:firstLine="420" w:firstLineChars="200"/>
        <w:rPr>
          <w:rFonts w:ascii="宋体" w:hAnsi="宋体"/>
          <w:szCs w:val="21"/>
        </w:rPr>
      </w:pPr>
      <w:r>
        <w:rPr>
          <w:rFonts w:hint="eastAsia" w:ascii="宋体" w:hAnsi="宋体"/>
          <w:szCs w:val="21"/>
        </w:rPr>
        <w:t>2、甲方向乙方提出赔偿要求不能成立时，则应补偿由于该赔偿或其他要求所导致乙方的各种费用的支出。</w:t>
      </w:r>
    </w:p>
    <w:p w14:paraId="02641BD6">
      <w:pPr>
        <w:ind w:firstLine="422" w:firstLineChars="200"/>
        <w:rPr>
          <w:rFonts w:ascii="宋体" w:hAnsi="宋体"/>
          <w:b/>
          <w:bCs/>
          <w:szCs w:val="21"/>
        </w:rPr>
      </w:pPr>
      <w:r>
        <w:rPr>
          <w:rFonts w:hint="eastAsia" w:ascii="宋体" w:hAnsi="宋体"/>
          <w:b/>
          <w:bCs/>
          <w:szCs w:val="21"/>
        </w:rPr>
        <w:t>第十一条  乙方的责任</w:t>
      </w:r>
    </w:p>
    <w:p w14:paraId="304FED3F">
      <w:pPr>
        <w:ind w:firstLine="420" w:firstLineChars="200"/>
        <w:rPr>
          <w:rFonts w:ascii="宋体" w:hAnsi="宋体"/>
          <w:szCs w:val="21"/>
        </w:rPr>
      </w:pPr>
      <w:r>
        <w:rPr>
          <w:rFonts w:hint="eastAsia" w:ascii="宋体" w:hAnsi="宋体"/>
          <w:szCs w:val="21"/>
        </w:rPr>
        <w:t>1、乙方的责任期即本合同有效期。如因非乙方的责任造成进度的推迟或延误而超过约定的日期，双方应进一步约定相应延长合同有效期。</w:t>
      </w:r>
    </w:p>
    <w:p w14:paraId="5A6D0054">
      <w:pPr>
        <w:ind w:firstLine="420" w:firstLineChars="200"/>
        <w:rPr>
          <w:rFonts w:ascii="宋体" w:hAnsi="宋体"/>
          <w:szCs w:val="21"/>
        </w:rPr>
      </w:pPr>
      <w:r>
        <w:rPr>
          <w:rFonts w:hint="eastAsia" w:ascii="宋体" w:hAnsi="宋体"/>
          <w:szCs w:val="21"/>
        </w:rPr>
        <w:t>2、乙方的责任期内，应当履行本合同中约定的义务，因乙方的单方过失造成的经济损失，应当向甲方进行赔偿。</w:t>
      </w:r>
    </w:p>
    <w:p w14:paraId="61CC642E">
      <w:pPr>
        <w:ind w:firstLine="420" w:firstLineChars="200"/>
        <w:rPr>
          <w:rFonts w:ascii="宋体" w:hAnsi="宋体"/>
          <w:szCs w:val="21"/>
        </w:rPr>
      </w:pPr>
      <w:r>
        <w:rPr>
          <w:rFonts w:hint="eastAsia" w:ascii="宋体" w:hAnsi="宋体"/>
          <w:szCs w:val="21"/>
        </w:rPr>
        <w:t>3、乙方对甲方或第三方所提出的问题不能及时核对或答复，导致合同不能全部或部分履行，乙方应承担责任。</w:t>
      </w:r>
    </w:p>
    <w:p w14:paraId="03E8E447">
      <w:pPr>
        <w:ind w:firstLine="420" w:firstLineChars="200"/>
        <w:rPr>
          <w:rFonts w:ascii="宋体" w:hAnsi="宋体"/>
          <w:szCs w:val="21"/>
        </w:rPr>
      </w:pPr>
      <w:r>
        <w:rPr>
          <w:rFonts w:hint="eastAsia" w:ascii="宋体" w:hAnsi="宋体"/>
          <w:szCs w:val="21"/>
        </w:rPr>
        <w:t>4、乙方向甲方提出赔偿要求不能成立时，则应补偿由于该赔偿或其他要求所导致甲方的各种费用的支出。</w:t>
      </w:r>
    </w:p>
    <w:p w14:paraId="24753FD6">
      <w:pPr>
        <w:ind w:firstLine="422" w:firstLineChars="200"/>
        <w:rPr>
          <w:rFonts w:ascii="宋体" w:hAnsi="宋体"/>
          <w:b/>
          <w:bCs/>
          <w:szCs w:val="21"/>
        </w:rPr>
      </w:pPr>
      <w:r>
        <w:rPr>
          <w:rFonts w:hint="eastAsia" w:ascii="宋体" w:hAnsi="宋体"/>
          <w:b/>
          <w:bCs/>
          <w:szCs w:val="21"/>
        </w:rPr>
        <w:t>第十二条  人员要求</w:t>
      </w:r>
    </w:p>
    <w:p w14:paraId="39F25A3A">
      <w:pPr>
        <w:ind w:firstLine="420" w:firstLineChars="200"/>
        <w:rPr>
          <w:rFonts w:ascii="宋体" w:hAnsi="宋体" w:cs="宋体"/>
          <w:szCs w:val="21"/>
        </w:rPr>
      </w:pPr>
      <w:r>
        <w:rPr>
          <w:rFonts w:hint="eastAsia" w:ascii="宋体" w:hAnsi="宋体" w:cs="宋体"/>
          <w:szCs w:val="21"/>
        </w:rPr>
        <w:t>1. 安排不少于2名人员执行本项目，具备项目所需的专业和技能条件，工作细致、认真、责任心强。中标人中标后，提前15个工作日提供符合条件的人选直至选定人员为止，提供待选人员的证书等文件由甲方确定最终人选。服务期内，如档案整理员有变动，乙方应提前15天通知甲方，并按照原条件及时补充人选，补充人选须经过甲方认可后方可更换。</w:t>
      </w:r>
    </w:p>
    <w:p w14:paraId="0290002D">
      <w:pPr>
        <w:ind w:firstLine="420" w:firstLineChars="200"/>
        <w:rPr>
          <w:rFonts w:ascii="宋体" w:hAnsi="宋体" w:cs="宋体"/>
          <w:szCs w:val="21"/>
        </w:rPr>
      </w:pPr>
      <w:r>
        <w:rPr>
          <w:rFonts w:hint="eastAsia" w:ascii="宋体" w:hAnsi="宋体" w:cs="宋体"/>
          <w:szCs w:val="21"/>
        </w:rPr>
        <w:t>2.执行项目的档案整理员具备良好的沟通能力，能熟练操作计算机、办公室软件、档案管理系统软件。</w:t>
      </w:r>
    </w:p>
    <w:p w14:paraId="5681A1CA">
      <w:pPr>
        <w:ind w:firstLine="420" w:firstLineChars="200"/>
        <w:rPr>
          <w:rFonts w:ascii="宋体" w:hAnsi="宋体" w:cs="宋体"/>
          <w:szCs w:val="21"/>
        </w:rPr>
      </w:pPr>
      <w:r>
        <w:rPr>
          <w:rFonts w:hint="eastAsia" w:ascii="宋体" w:hAnsi="宋体" w:cs="宋体"/>
          <w:szCs w:val="21"/>
        </w:rPr>
        <w:t>3.执行项目的档案整理员政治历史和社会关系清楚，无犯罪记录。</w:t>
      </w:r>
    </w:p>
    <w:p w14:paraId="21FD54D2">
      <w:pPr>
        <w:ind w:firstLine="420" w:firstLineChars="200"/>
        <w:rPr>
          <w:rFonts w:ascii="宋体" w:hAnsi="宋体" w:cs="宋体"/>
          <w:szCs w:val="21"/>
        </w:rPr>
      </w:pPr>
      <w:r>
        <w:rPr>
          <w:rFonts w:hint="eastAsia" w:ascii="宋体" w:hAnsi="宋体" w:cs="宋体"/>
          <w:szCs w:val="21"/>
        </w:rPr>
        <w:t>4.执行项目的档案整理员应当遵守甲方相关工作纪律，接受甲方的管理。</w:t>
      </w:r>
    </w:p>
    <w:p w14:paraId="0AF6BF91">
      <w:pPr>
        <w:ind w:firstLine="420" w:firstLineChars="200"/>
        <w:rPr>
          <w:rFonts w:ascii="宋体" w:hAnsi="宋体" w:cs="宋体"/>
          <w:szCs w:val="21"/>
        </w:rPr>
      </w:pPr>
      <w:r>
        <w:rPr>
          <w:rFonts w:hint="eastAsia" w:ascii="宋体" w:hAnsi="宋体" w:cs="宋体"/>
          <w:szCs w:val="21"/>
        </w:rPr>
        <w:t>5.如遇特殊情况需要加班或增加工作人员的，乙方需无条件进行保障。</w:t>
      </w:r>
    </w:p>
    <w:p w14:paraId="34B5D73B">
      <w:pPr>
        <w:ind w:firstLine="422" w:firstLineChars="200"/>
        <w:rPr>
          <w:rFonts w:ascii="宋体" w:hAnsi="宋体"/>
          <w:b/>
          <w:bCs/>
          <w:szCs w:val="21"/>
        </w:rPr>
      </w:pPr>
      <w:r>
        <w:rPr>
          <w:rFonts w:hint="eastAsia" w:ascii="宋体" w:hAnsi="宋体"/>
          <w:b/>
          <w:bCs/>
          <w:szCs w:val="21"/>
        </w:rPr>
        <w:t>第十三条  乙方服务工具要求</w:t>
      </w:r>
    </w:p>
    <w:p w14:paraId="49071E58">
      <w:pPr>
        <w:ind w:firstLine="420" w:firstLineChars="200"/>
        <w:rPr>
          <w:rFonts w:ascii="宋体" w:hAnsi="宋体"/>
          <w:szCs w:val="21"/>
        </w:rPr>
      </w:pPr>
      <w:r>
        <w:rPr>
          <w:rFonts w:hint="eastAsia" w:ascii="宋体" w:hAnsi="宋体"/>
          <w:szCs w:val="21"/>
        </w:rPr>
        <w:t>1、乙方应配备中标项目所需的足够数量的仪器、仪表以及工具等设备。用户不需向乙方提供施工工具和仪器、仪表。</w:t>
      </w:r>
    </w:p>
    <w:p w14:paraId="545BE4CE">
      <w:pPr>
        <w:ind w:firstLine="420" w:firstLineChars="200"/>
        <w:rPr>
          <w:rFonts w:ascii="宋体" w:hAnsi="宋体"/>
          <w:szCs w:val="21"/>
        </w:rPr>
      </w:pPr>
      <w:r>
        <w:rPr>
          <w:rFonts w:hint="eastAsia" w:ascii="宋体" w:hAnsi="宋体"/>
          <w:szCs w:val="21"/>
        </w:rPr>
        <w:t>2、乙方在提供服务过程中应自备车辆。</w:t>
      </w:r>
    </w:p>
    <w:p w14:paraId="58A14D57">
      <w:pPr>
        <w:ind w:firstLine="422" w:firstLineChars="200"/>
        <w:rPr>
          <w:rFonts w:ascii="宋体" w:hAnsi="宋体"/>
          <w:b/>
          <w:bCs/>
          <w:szCs w:val="21"/>
        </w:rPr>
      </w:pPr>
      <w:r>
        <w:rPr>
          <w:rFonts w:hint="eastAsia" w:ascii="宋体" w:hAnsi="宋体"/>
          <w:b/>
          <w:bCs/>
          <w:szCs w:val="21"/>
        </w:rPr>
        <w:t>第十四条  保密要求</w:t>
      </w:r>
    </w:p>
    <w:p w14:paraId="5CF0D9E1">
      <w:pPr>
        <w:ind w:firstLine="420" w:firstLineChars="200"/>
        <w:rPr>
          <w:rFonts w:ascii="宋体" w:hAnsi="宋体"/>
          <w:szCs w:val="21"/>
        </w:rPr>
      </w:pPr>
      <w:r>
        <w:rPr>
          <w:rFonts w:hint="eastAsia" w:ascii="宋体" w:hAnsi="宋体"/>
          <w:szCs w:val="21"/>
        </w:rPr>
        <w:t>1、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14:paraId="33318C6D">
      <w:pPr>
        <w:ind w:firstLine="420" w:firstLineChars="200"/>
        <w:rPr>
          <w:rFonts w:ascii="宋体" w:hAnsi="宋体"/>
          <w:szCs w:val="21"/>
        </w:rPr>
      </w:pPr>
      <w:r>
        <w:rPr>
          <w:rFonts w:hint="eastAsia" w:ascii="宋体" w:hAnsi="宋体"/>
          <w:szCs w:val="21"/>
        </w:rPr>
        <w:t>2、乙方在履行合同过程中所获得或接触到的任何内部数据资料，未经甲方同意，不得向第三方透露。</w:t>
      </w:r>
    </w:p>
    <w:p w14:paraId="39ED8509">
      <w:pPr>
        <w:ind w:firstLine="420" w:firstLineChars="200"/>
        <w:rPr>
          <w:rFonts w:ascii="宋体" w:hAnsi="宋体"/>
          <w:szCs w:val="21"/>
        </w:rPr>
      </w:pPr>
      <w:r>
        <w:rPr>
          <w:rFonts w:hint="eastAsia" w:ascii="宋体" w:hAnsi="宋体"/>
          <w:szCs w:val="21"/>
        </w:rPr>
        <w:t>3、乙方实施项目的一切程序都应符合国家安全、保密的有关规定和标准。</w:t>
      </w:r>
    </w:p>
    <w:p w14:paraId="16CBB226">
      <w:pPr>
        <w:ind w:firstLine="420" w:firstLineChars="200"/>
        <w:rPr>
          <w:rFonts w:ascii="宋体" w:hAnsi="宋体"/>
          <w:szCs w:val="21"/>
        </w:rPr>
      </w:pPr>
      <w:r>
        <w:rPr>
          <w:rFonts w:hint="eastAsia" w:ascii="宋体" w:hAnsi="宋体"/>
          <w:szCs w:val="21"/>
        </w:rPr>
        <w:t>4、乙方参加项目的有关人员均需同甲方签订保密协议。</w:t>
      </w:r>
    </w:p>
    <w:p w14:paraId="3E5C380E">
      <w:pPr>
        <w:ind w:firstLine="422" w:firstLineChars="200"/>
        <w:rPr>
          <w:rFonts w:ascii="宋体" w:hAnsi="宋体"/>
          <w:b/>
          <w:bCs/>
          <w:szCs w:val="21"/>
        </w:rPr>
      </w:pPr>
      <w:r>
        <w:rPr>
          <w:rFonts w:hint="eastAsia" w:ascii="宋体" w:hAnsi="宋体"/>
          <w:b/>
          <w:bCs/>
          <w:szCs w:val="21"/>
        </w:rPr>
        <w:t xml:space="preserve">第十五条  验收     </w:t>
      </w:r>
    </w:p>
    <w:p w14:paraId="6A1B045E">
      <w:pPr>
        <w:ind w:firstLine="420" w:firstLineChars="200"/>
        <w:rPr>
          <w:rFonts w:ascii="宋体" w:hAnsi="宋体"/>
          <w:szCs w:val="21"/>
        </w:rPr>
      </w:pPr>
      <w:r>
        <w:rPr>
          <w:rFonts w:hint="eastAsia" w:ascii="宋体" w:hAnsi="宋体"/>
          <w:szCs w:val="21"/>
        </w:rPr>
        <w:t>1、下列文件的验收分为</w:t>
      </w:r>
      <w:r>
        <w:rPr>
          <w:rFonts w:hint="eastAsia" w:ascii="宋体" w:hAnsi="宋体"/>
          <w:szCs w:val="21"/>
          <w:u w:val="single"/>
        </w:rPr>
        <w:t xml:space="preserve">          </w:t>
      </w:r>
      <w:r>
        <w:rPr>
          <w:rFonts w:hint="eastAsia" w:ascii="宋体" w:hAnsi="宋体"/>
          <w:szCs w:val="21"/>
        </w:rPr>
        <w:t>个阶段:</w:t>
      </w:r>
    </w:p>
    <w:p w14:paraId="6E0B2230">
      <w:pPr>
        <w:ind w:firstLine="420" w:firstLineChars="200"/>
        <w:rPr>
          <w:rFonts w:ascii="宋体" w:hAnsi="宋体"/>
          <w:szCs w:val="21"/>
        </w:rPr>
      </w:pPr>
      <w:r>
        <w:rPr>
          <w:rFonts w:hint="eastAsia" w:ascii="宋体" w:hAnsi="宋体"/>
          <w:szCs w:val="21"/>
        </w:rPr>
        <w:t>2、其余文件和工作由用户组织有关技术人员根据国家和行业有关规范、规程、标准和用户需求直接验收。</w:t>
      </w:r>
    </w:p>
    <w:p w14:paraId="2FF2C7ED">
      <w:pPr>
        <w:ind w:firstLine="420" w:firstLineChars="200"/>
        <w:rPr>
          <w:rFonts w:ascii="宋体" w:hAnsi="宋体"/>
          <w:szCs w:val="21"/>
        </w:rPr>
      </w:pPr>
      <w:r>
        <w:rPr>
          <w:rFonts w:hint="eastAsia" w:ascii="宋体" w:hAnsi="宋体"/>
          <w:szCs w:val="21"/>
        </w:rPr>
        <w:t>3、验收依据为招标文件、投标文件，国家和行业有关规范、规程和标准。</w:t>
      </w:r>
    </w:p>
    <w:p w14:paraId="7DC046E4">
      <w:pPr>
        <w:ind w:firstLine="422" w:firstLineChars="200"/>
        <w:rPr>
          <w:rFonts w:ascii="宋体" w:hAnsi="宋体"/>
          <w:b/>
          <w:bCs/>
          <w:szCs w:val="21"/>
        </w:rPr>
      </w:pPr>
      <w:r>
        <w:rPr>
          <w:rFonts w:hint="eastAsia" w:ascii="宋体" w:hAnsi="宋体"/>
          <w:b/>
          <w:bCs/>
          <w:szCs w:val="21"/>
        </w:rPr>
        <w:t>第十六条  付款方式</w:t>
      </w:r>
    </w:p>
    <w:p w14:paraId="1C8359EA">
      <w:pPr>
        <w:ind w:firstLine="420" w:firstLineChars="200"/>
        <w:rPr>
          <w:rFonts w:ascii="宋体" w:hAnsi="宋体"/>
          <w:szCs w:val="21"/>
        </w:rPr>
      </w:pPr>
      <w:r>
        <w:rPr>
          <w:rFonts w:hint="eastAsia" w:ascii="宋体" w:hAnsi="宋体"/>
          <w:szCs w:val="21"/>
        </w:rPr>
        <w:t>1.该项目以人民币结算，合同签定后，甲方收到乙方提供的等额税务发票后15日内，支付合同总价款50%的款项；</w:t>
      </w:r>
    </w:p>
    <w:p w14:paraId="7FA6E5FA">
      <w:pPr>
        <w:ind w:firstLine="420" w:firstLineChars="200"/>
        <w:rPr>
          <w:rFonts w:ascii="宋体" w:hAnsi="宋体"/>
          <w:szCs w:val="21"/>
        </w:rPr>
      </w:pPr>
      <w:r>
        <w:rPr>
          <w:rFonts w:hint="eastAsia" w:ascii="宋体" w:hAnsi="宋体"/>
          <w:szCs w:val="21"/>
        </w:rPr>
        <w:t>2.在合同履行满5个月后，乙方依约履行合同义务并通过甲方中期验收，甲方收到发票后15日内向乙方支付合同金额的40%；</w:t>
      </w:r>
    </w:p>
    <w:p w14:paraId="734174C9">
      <w:pPr>
        <w:ind w:firstLine="420" w:firstLineChars="200"/>
        <w:rPr>
          <w:rFonts w:ascii="宋体" w:hAnsi="宋体"/>
          <w:szCs w:val="21"/>
        </w:rPr>
      </w:pPr>
      <w:r>
        <w:rPr>
          <w:rFonts w:hint="eastAsia" w:ascii="宋体" w:hAnsi="宋体"/>
          <w:szCs w:val="21"/>
        </w:rPr>
        <w:t>3.在乙方依约完成全部项目内容，乙方向甲方申请终期验收，经甲方确认验收合格，甲方收到乙方提供的等额税务发票后15日内支付剩余10%项目尾款经费。</w:t>
      </w:r>
    </w:p>
    <w:p w14:paraId="69AF392C">
      <w:pPr>
        <w:ind w:firstLine="422" w:firstLineChars="200"/>
        <w:rPr>
          <w:rFonts w:ascii="宋体" w:hAnsi="宋体"/>
          <w:b/>
          <w:bCs/>
          <w:szCs w:val="21"/>
        </w:rPr>
      </w:pPr>
      <w:r>
        <w:rPr>
          <w:rFonts w:hint="eastAsia" w:ascii="宋体" w:hAnsi="宋体"/>
          <w:b/>
          <w:bCs/>
          <w:szCs w:val="21"/>
        </w:rPr>
        <w:t>第十七条  争议解决办法</w:t>
      </w:r>
    </w:p>
    <w:p w14:paraId="7E875CD0">
      <w:pPr>
        <w:ind w:firstLine="420" w:firstLineChars="200"/>
        <w:rPr>
          <w:rFonts w:ascii="宋体" w:hAnsi="宋体"/>
          <w:szCs w:val="21"/>
        </w:rPr>
      </w:pPr>
      <w:r>
        <w:rPr>
          <w:rFonts w:hint="eastAsia" w:ascii="宋体" w:hAnsi="宋体"/>
          <w:szCs w:val="21"/>
        </w:rPr>
        <w:t>执行本合同发生的争议，由甲乙双方协商解决，如协商不成的，应提交甲方所在地人民法院诉讼解决。</w:t>
      </w:r>
    </w:p>
    <w:p w14:paraId="0702D793">
      <w:pPr>
        <w:ind w:firstLine="422" w:firstLineChars="200"/>
        <w:rPr>
          <w:rFonts w:ascii="宋体" w:hAnsi="宋体"/>
          <w:b/>
          <w:bCs/>
          <w:szCs w:val="21"/>
        </w:rPr>
      </w:pPr>
      <w:r>
        <w:rPr>
          <w:rFonts w:hint="eastAsia" w:ascii="宋体" w:hAnsi="宋体"/>
          <w:b/>
          <w:bCs/>
          <w:szCs w:val="21"/>
        </w:rPr>
        <w:t>第十八条  风险责任</w:t>
      </w:r>
    </w:p>
    <w:p w14:paraId="11522E7B">
      <w:pPr>
        <w:ind w:firstLine="420" w:firstLineChars="200"/>
        <w:rPr>
          <w:rFonts w:ascii="宋体" w:hAnsi="宋体"/>
          <w:szCs w:val="21"/>
        </w:rPr>
      </w:pPr>
      <w:r>
        <w:rPr>
          <w:rFonts w:hint="eastAsia" w:ascii="宋体" w:hAnsi="宋体"/>
          <w:szCs w:val="21"/>
        </w:rPr>
        <w:t>１、乙方应完全地按照招标文件的要求和乙方投标文件的承诺完成本项目，出于自身财务、技术、人力等原因导致项目失败的，应承担全部责任。</w:t>
      </w:r>
    </w:p>
    <w:p w14:paraId="2930012D">
      <w:pPr>
        <w:ind w:firstLine="420" w:firstLineChars="200"/>
        <w:rPr>
          <w:rFonts w:ascii="宋体" w:hAnsi="宋体"/>
          <w:szCs w:val="21"/>
        </w:rPr>
      </w:pPr>
      <w:r>
        <w:rPr>
          <w:rFonts w:hint="eastAsia" w:ascii="宋体" w:hAnsi="宋体"/>
          <w:szCs w:val="21"/>
        </w:rPr>
        <w:t>2、乙方在实施过程中应对自身的安全生产负责，若非因甲方原因发生的各种事故甲方不承担任何责任。</w:t>
      </w:r>
    </w:p>
    <w:p w14:paraId="559A427A">
      <w:pPr>
        <w:ind w:firstLine="422" w:firstLineChars="200"/>
        <w:rPr>
          <w:rFonts w:ascii="宋体" w:hAnsi="宋体"/>
          <w:b/>
          <w:bCs/>
          <w:szCs w:val="21"/>
        </w:rPr>
      </w:pPr>
      <w:r>
        <w:rPr>
          <w:rFonts w:hint="eastAsia" w:ascii="宋体" w:hAnsi="宋体"/>
          <w:b/>
          <w:bCs/>
          <w:szCs w:val="21"/>
        </w:rPr>
        <w:t>第十九条  违约责任</w:t>
      </w:r>
    </w:p>
    <w:p w14:paraId="72BF9FCF">
      <w:pPr>
        <w:pStyle w:val="10"/>
        <w:spacing w:line="240" w:lineRule="auto"/>
        <w:ind w:left="420"/>
        <w:rPr>
          <w:rFonts w:ascii="宋体" w:hAnsi="宋体"/>
          <w:szCs w:val="21"/>
        </w:rPr>
      </w:pPr>
      <w:r>
        <w:rPr>
          <w:rFonts w:hint="eastAsia" w:ascii="宋体" w:hAnsi="宋体"/>
          <w:szCs w:val="21"/>
        </w:rPr>
        <w:t>１、因乙方原因，未能按规定时间完成有关工作的，每延误一天，甲方可在支付合同余款中扣除合同价款千分之一。</w:t>
      </w:r>
    </w:p>
    <w:p w14:paraId="7E41019F">
      <w:pPr>
        <w:ind w:firstLine="420" w:firstLineChars="200"/>
        <w:rPr>
          <w:rFonts w:ascii="宋体" w:hAnsi="宋体"/>
          <w:szCs w:val="21"/>
        </w:rPr>
      </w:pPr>
      <w:r>
        <w:rPr>
          <w:rFonts w:hint="eastAsia" w:ascii="宋体" w:hAnsi="宋体"/>
          <w:szCs w:val="21"/>
        </w:rPr>
        <w:t>2、由于乙方原因造成成果质量低劣，不能满足要求时，应继续完善工作，其费用由乙方承担。</w:t>
      </w:r>
    </w:p>
    <w:p w14:paraId="3E826579">
      <w:pPr>
        <w:ind w:firstLine="420" w:firstLineChars="200"/>
        <w:rPr>
          <w:rFonts w:ascii="宋体" w:hAnsi="宋体"/>
          <w:szCs w:val="21"/>
        </w:rPr>
      </w:pPr>
      <w:r>
        <w:rPr>
          <w:rFonts w:hint="eastAsia" w:ascii="宋体" w:hAnsi="宋体"/>
          <w:szCs w:val="21"/>
        </w:rPr>
        <w:t>3、乙方交付的成果经验收不合格，应于7日内无条件修改，费用由乙方自行承担，在甲方要求整改后再次验收不合格的，甲方有权解除合同、要求乙方返还甲方已支付的合同款项，并有权要求乙方按合同总额   %支付违约金。</w:t>
      </w:r>
    </w:p>
    <w:p w14:paraId="5EC6DE2F">
      <w:pPr>
        <w:ind w:firstLine="420" w:firstLineChars="200"/>
        <w:rPr>
          <w:rFonts w:ascii="宋体" w:hAnsi="宋体"/>
          <w:szCs w:val="21"/>
        </w:rPr>
      </w:pPr>
      <w:r>
        <w:rPr>
          <w:rFonts w:hint="eastAsia" w:ascii="宋体" w:hAnsi="宋体"/>
          <w:szCs w:val="21"/>
        </w:rPr>
        <w:t>4、若甲方发现乙方派出的服务人员或提供的仪器设备不符合合同要求，乙方应在3天之内按要求派出人员或提供满足投标文件承诺的仪器设备，否则甲方有权终止合同，并保留追究乙方责任及要求赔偿损失的权利。</w:t>
      </w:r>
    </w:p>
    <w:p w14:paraId="134A1766">
      <w:pPr>
        <w:ind w:firstLine="420" w:firstLineChars="200"/>
        <w:rPr>
          <w:rFonts w:ascii="宋体" w:hAnsi="宋体"/>
          <w:szCs w:val="21"/>
        </w:rPr>
      </w:pPr>
      <w:r>
        <w:rPr>
          <w:rFonts w:hint="eastAsia" w:ascii="宋体" w:hAnsi="宋体"/>
          <w:szCs w:val="21"/>
        </w:rPr>
        <w:t>5、乙方或其工作人员违反本合同约定的保密义务，甲方有权要求乙方按合同总额   %支付违约金；造成不良影响或对甲方造成损失的，甲方有权要求乙方消除影响，承担赔偿责任，并有权解除合同。</w:t>
      </w:r>
    </w:p>
    <w:p w14:paraId="0C339B21">
      <w:pPr>
        <w:ind w:firstLine="420" w:firstLineChars="200"/>
        <w:rPr>
          <w:rFonts w:ascii="宋体" w:hAnsi="宋体"/>
          <w:szCs w:val="21"/>
        </w:rPr>
      </w:pPr>
      <w:r>
        <w:rPr>
          <w:rFonts w:hint="eastAsia" w:ascii="宋体" w:hAnsi="宋体"/>
          <w:szCs w:val="21"/>
        </w:rPr>
        <w:t>6、因乙方提供的服务成果受到侵权指控或者引发法律纠纷，影响甲方使用服务成果或者导致合同目的不能实现的，甲方有权要求乙方按合同总额   %支付违约金，并有权解除合同。</w:t>
      </w:r>
    </w:p>
    <w:p w14:paraId="33799AA2">
      <w:pPr>
        <w:ind w:firstLine="422" w:firstLineChars="200"/>
        <w:rPr>
          <w:rFonts w:ascii="宋体" w:hAnsi="宋体"/>
          <w:b/>
          <w:bCs/>
          <w:szCs w:val="21"/>
        </w:rPr>
      </w:pPr>
      <w:r>
        <w:rPr>
          <w:rFonts w:hint="eastAsia" w:ascii="宋体" w:hAnsi="宋体"/>
          <w:b/>
          <w:bCs/>
          <w:szCs w:val="21"/>
        </w:rPr>
        <w:t>第二十条  其他</w:t>
      </w:r>
    </w:p>
    <w:p w14:paraId="3869C704">
      <w:pPr>
        <w:ind w:firstLine="420" w:firstLineChars="200"/>
        <w:rPr>
          <w:rFonts w:ascii="宋体" w:hAnsi="宋体"/>
          <w:szCs w:val="21"/>
        </w:rPr>
      </w:pPr>
      <w:r>
        <w:rPr>
          <w:rFonts w:hint="eastAsia" w:ascii="宋体" w:hAnsi="宋体"/>
          <w:szCs w:val="21"/>
        </w:rPr>
        <w:t>1、本合同与招标文件、乙方投标文件如有抵触之处，以本合同条款为准。</w:t>
      </w:r>
    </w:p>
    <w:p w14:paraId="7D8F3AF8">
      <w:pPr>
        <w:ind w:firstLine="420" w:firstLineChars="200"/>
        <w:rPr>
          <w:rFonts w:ascii="宋体" w:hAnsi="宋体"/>
          <w:szCs w:val="21"/>
        </w:rPr>
      </w:pPr>
      <w:r>
        <w:rPr>
          <w:rFonts w:hint="eastAsia" w:ascii="宋体" w:hAnsi="宋体"/>
          <w:szCs w:val="21"/>
        </w:rPr>
        <w:t>2、下列文件均为本合同的组成部分：</w:t>
      </w:r>
    </w:p>
    <w:p w14:paraId="471A5E2D">
      <w:pPr>
        <w:ind w:firstLine="420" w:firstLineChars="200"/>
        <w:rPr>
          <w:rFonts w:ascii="宋体" w:hAnsi="宋体"/>
          <w:szCs w:val="21"/>
        </w:rPr>
      </w:pPr>
      <w:r>
        <w:rPr>
          <w:rFonts w:hint="eastAsia" w:ascii="宋体" w:hAnsi="宋体"/>
          <w:szCs w:val="21"/>
        </w:rPr>
        <w:t>（1）号招标文件、答疑及补充通知；</w:t>
      </w:r>
    </w:p>
    <w:p w14:paraId="1926F905">
      <w:pPr>
        <w:ind w:firstLine="420" w:firstLineChars="200"/>
        <w:rPr>
          <w:rFonts w:ascii="宋体" w:hAnsi="宋体"/>
          <w:szCs w:val="21"/>
        </w:rPr>
      </w:pPr>
      <w:r>
        <w:rPr>
          <w:rFonts w:hint="eastAsia" w:ascii="宋体" w:hAnsi="宋体"/>
          <w:szCs w:val="21"/>
        </w:rPr>
        <w:t>（2）投标文件；</w:t>
      </w:r>
    </w:p>
    <w:p w14:paraId="33D8F0B2">
      <w:pPr>
        <w:ind w:firstLine="420" w:firstLineChars="200"/>
        <w:rPr>
          <w:rFonts w:ascii="宋体" w:hAnsi="宋体"/>
          <w:szCs w:val="21"/>
        </w:rPr>
      </w:pPr>
      <w:r>
        <w:rPr>
          <w:rFonts w:hint="eastAsia" w:ascii="宋体" w:hAnsi="宋体"/>
          <w:szCs w:val="21"/>
        </w:rPr>
        <w:t>（3）本合同执行中共同签署的补充与修正文件。</w:t>
      </w:r>
    </w:p>
    <w:p w14:paraId="6EBBB4F7">
      <w:pPr>
        <w:ind w:firstLine="420" w:firstLineChars="200"/>
        <w:rPr>
          <w:rFonts w:ascii="宋体" w:hAnsi="宋体"/>
          <w:szCs w:val="21"/>
        </w:rPr>
      </w:pPr>
      <w:r>
        <w:rPr>
          <w:rFonts w:hint="eastAsia" w:ascii="宋体" w:hAnsi="宋体"/>
          <w:szCs w:val="21"/>
        </w:rPr>
        <w:t>本合同一式份，甲、乙方双方各执份，具有同等法律效力。本合同自双方法人代表签字（盖章）认可之日起生效。</w:t>
      </w:r>
    </w:p>
    <w:p w14:paraId="702E9833">
      <w:pPr>
        <w:ind w:firstLine="420" w:firstLineChars="200"/>
        <w:rPr>
          <w:rFonts w:ascii="宋体" w:hAnsi="宋体"/>
          <w:szCs w:val="21"/>
        </w:rPr>
      </w:pPr>
      <w:r>
        <w:rPr>
          <w:rFonts w:hint="eastAsia" w:ascii="宋体" w:hAnsi="宋体"/>
          <w:szCs w:val="21"/>
        </w:rPr>
        <w:t>本合同未尽事宜，双方友好协商，达成解决方案，经双方签字后，可作为本合同的有效附件。</w:t>
      </w:r>
    </w:p>
    <w:p w14:paraId="261E3FEB">
      <w:pPr>
        <w:ind w:firstLine="420" w:firstLineChars="200"/>
        <w:rPr>
          <w:rFonts w:ascii="宋体" w:hAnsi="宋体"/>
          <w:szCs w:val="21"/>
        </w:rPr>
      </w:pPr>
    </w:p>
    <w:p w14:paraId="75723A99">
      <w:pPr>
        <w:spacing w:line="360" w:lineRule="auto"/>
        <w:ind w:firstLine="560"/>
        <w:jc w:val="left"/>
        <w:rPr>
          <w:rFonts w:ascii="宋体" w:hAnsi="宋体"/>
          <w:szCs w:val="21"/>
        </w:rPr>
      </w:pPr>
      <w:r>
        <w:rPr>
          <w:rFonts w:hint="eastAsia" w:ascii="宋体" w:hAnsi="宋体"/>
          <w:szCs w:val="21"/>
        </w:rPr>
        <w:t>甲方（采购人）：   （盖章）       乙方（供应商）：    （盖章）</w:t>
      </w:r>
    </w:p>
    <w:p w14:paraId="0F5DBCEA">
      <w:pPr>
        <w:spacing w:line="360" w:lineRule="auto"/>
        <w:ind w:firstLine="560"/>
        <w:jc w:val="left"/>
        <w:rPr>
          <w:rFonts w:ascii="宋体" w:hAnsi="宋体"/>
          <w:szCs w:val="21"/>
        </w:rPr>
      </w:pPr>
      <w:r>
        <w:rPr>
          <w:rFonts w:hint="eastAsia" w:ascii="宋体" w:hAnsi="宋体"/>
          <w:szCs w:val="21"/>
        </w:rPr>
        <w:t xml:space="preserve">法定代表人：                     法定代表人： </w:t>
      </w:r>
    </w:p>
    <w:p w14:paraId="1827C624">
      <w:pPr>
        <w:spacing w:line="360" w:lineRule="auto"/>
        <w:ind w:firstLine="560"/>
        <w:jc w:val="left"/>
        <w:rPr>
          <w:rFonts w:ascii="宋体" w:hAnsi="宋体"/>
          <w:szCs w:val="21"/>
        </w:rPr>
      </w:pPr>
      <w:r>
        <w:rPr>
          <w:rFonts w:hint="eastAsia" w:ascii="宋体" w:hAnsi="宋体"/>
          <w:szCs w:val="21"/>
        </w:rPr>
        <w:t>委托代理人：                     委托代理人：</w:t>
      </w:r>
    </w:p>
    <w:p w14:paraId="178E4E03">
      <w:pPr>
        <w:rPr>
          <w:sz w:val="28"/>
          <w:szCs w:val="28"/>
        </w:rPr>
      </w:pPr>
      <w:r>
        <w:rPr>
          <w:rFonts w:hint="eastAsia"/>
          <w:sz w:val="28"/>
          <w:szCs w:val="28"/>
        </w:rPr>
        <w:br w:type="page"/>
      </w:r>
    </w:p>
    <w:p w14:paraId="69CF0BAF">
      <w:pPr>
        <w:pStyle w:val="7"/>
        <w:spacing w:before="120" w:beforeLines="50" w:after="120" w:afterLines="50"/>
        <w:ind w:left="562"/>
        <w:rPr>
          <w:sz w:val="28"/>
          <w:szCs w:val="28"/>
        </w:rPr>
      </w:pPr>
      <w:r>
        <w:rPr>
          <w:rFonts w:hint="eastAsia"/>
          <w:sz w:val="28"/>
          <w:szCs w:val="28"/>
        </w:rPr>
        <w:t>第二册  通用条款（公开招标）</w:t>
      </w:r>
    </w:p>
    <w:p w14:paraId="5992ED59">
      <w:pPr>
        <w:pStyle w:val="18"/>
        <w:keepNext/>
        <w:keepLines/>
        <w:numPr>
          <w:ilvl w:val="0"/>
          <w:numId w:val="6"/>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bookmarkStart w:id="51" w:name="_Hlk72399513"/>
      <w:bookmarkStart w:id="52" w:name="_Hlk72439706"/>
      <w:r>
        <w:rPr>
          <w:rFonts w:hint="eastAsia" w:ascii="Cambria" w:hAnsi="Cambria" w:cs="宋体"/>
          <w:b/>
          <w:bCs/>
          <w:sz w:val="28"/>
          <w:szCs w:val="28"/>
        </w:rPr>
        <w:t>总则</w:t>
      </w:r>
    </w:p>
    <w:bookmarkEnd w:id="51"/>
    <w:p w14:paraId="559DCB77">
      <w:pPr>
        <w:ind w:firstLine="420" w:firstLineChars="200"/>
        <w:rPr>
          <w:rFonts w:ascii="黑体" w:hAnsi="宋体" w:eastAsia="黑体"/>
          <w:szCs w:val="21"/>
        </w:rPr>
      </w:pPr>
      <w:r>
        <w:rPr>
          <w:rFonts w:hint="eastAsia" w:ascii="黑体" w:hAnsi="宋体" w:eastAsia="黑体"/>
          <w:szCs w:val="21"/>
        </w:rPr>
        <w:t>1. 通用条款说明</w:t>
      </w:r>
    </w:p>
    <w:p w14:paraId="166B3D8A">
      <w:pPr>
        <w:ind w:firstLine="420" w:firstLineChars="200"/>
        <w:rPr>
          <w:rFonts w:ascii="宋体" w:hAnsi="宋体"/>
          <w:szCs w:val="21"/>
        </w:rPr>
      </w:pPr>
      <w:r>
        <w:rPr>
          <w:rFonts w:hint="eastAsia" w:ascii="宋体" w:hAnsi="宋体"/>
          <w:szCs w:val="21"/>
        </w:rPr>
        <w:t>1.1</w:t>
      </w:r>
      <w:r>
        <w:rPr>
          <w:rFonts w:hint="eastAsia" w:ascii="宋体" w:hAnsi="宋体"/>
          <w:szCs w:val="21"/>
          <w:highlight w:val="yellow"/>
        </w:rPr>
        <w:t>采购代理机构</w:t>
      </w:r>
      <w:r>
        <w:rPr>
          <w:rFonts w:hint="eastAsia" w:ascii="宋体" w:hAnsi="宋体"/>
          <w:szCs w:val="21"/>
        </w:rPr>
        <w:t>发出招标文件通用条款版本，列出深圳市自行采购项目进行招标采购所适用的通用条款内容。</w:t>
      </w:r>
      <w:bookmarkStart w:id="53" w:name="_Hlk72399729"/>
      <w:r>
        <w:rPr>
          <w:rFonts w:hint="eastAsia" w:ascii="宋体" w:hAnsi="宋体"/>
          <w:szCs w:val="21"/>
        </w:rPr>
        <w:t>如有需要，</w:t>
      </w:r>
      <w:r>
        <w:rPr>
          <w:rFonts w:hint="eastAsia" w:ascii="宋体" w:hAnsi="宋体"/>
          <w:szCs w:val="21"/>
          <w:highlight w:val="yellow"/>
        </w:rPr>
        <w:t>采购代理机构</w:t>
      </w:r>
      <w:r>
        <w:rPr>
          <w:rFonts w:hint="eastAsia" w:ascii="宋体" w:hAnsi="宋体"/>
          <w:szCs w:val="21"/>
        </w:rPr>
        <w:t>可以对通用条款的内容进行补充。</w:t>
      </w:r>
      <w:bookmarkEnd w:id="53"/>
    </w:p>
    <w:p w14:paraId="3FB0A990">
      <w:pPr>
        <w:ind w:firstLine="420" w:firstLineChars="200"/>
        <w:rPr>
          <w:rFonts w:ascii="宋体" w:hAnsi="宋体"/>
          <w:szCs w:val="21"/>
        </w:rPr>
      </w:pPr>
      <w:r>
        <w:rPr>
          <w:rFonts w:hint="eastAsia" w:ascii="宋体" w:hAnsi="宋体"/>
          <w:szCs w:val="21"/>
        </w:rPr>
        <w:t>1.2招标文件分为第一册“专用条款”和第二册“通用条款”。</w:t>
      </w:r>
    </w:p>
    <w:p w14:paraId="4FB35892">
      <w:pPr>
        <w:ind w:firstLine="420" w:firstLineChars="200"/>
        <w:rPr>
          <w:rFonts w:ascii="宋体" w:hAnsi="宋体"/>
          <w:szCs w:val="21"/>
        </w:rPr>
      </w:pPr>
      <w:r>
        <w:rPr>
          <w:rFonts w:hint="eastAsia" w:ascii="宋体" w:hAnsi="宋体"/>
          <w:szCs w:val="21"/>
        </w:rPr>
        <w:t>1.3“专用条款”是对本次采购项目的具体要求，包含招标公告、对通用条款的补充内容及其他关键信息、用户需求书、投标文件格式及附件、合同条款及格式等内容。</w:t>
      </w:r>
    </w:p>
    <w:p w14:paraId="067BDA9B">
      <w:pPr>
        <w:ind w:firstLine="420" w:firstLineChars="200"/>
        <w:rPr>
          <w:rFonts w:ascii="宋体" w:hAnsi="宋体"/>
          <w:szCs w:val="21"/>
        </w:rPr>
      </w:pPr>
      <w:r>
        <w:rPr>
          <w:rFonts w:hint="eastAsia" w:ascii="宋体" w:hAnsi="宋体"/>
          <w:szCs w:val="21"/>
        </w:rPr>
        <w:t>1.4“通用条款”是适用于自行采购公开招标项目的基础性条款，具有普遍性和通用性。</w:t>
      </w:r>
    </w:p>
    <w:p w14:paraId="3F8E024D">
      <w:pPr>
        <w:ind w:firstLine="420" w:firstLineChars="200"/>
        <w:rPr>
          <w:rFonts w:ascii="宋体" w:hAnsi="宋体"/>
          <w:szCs w:val="21"/>
        </w:rPr>
      </w:pPr>
      <w:r>
        <w:rPr>
          <w:rFonts w:hint="eastAsia" w:ascii="宋体" w:hAnsi="宋体"/>
          <w:szCs w:val="21"/>
        </w:rPr>
        <w:t>1.5 “专用条款”和“通用条款”表述不一致或有冲突时，以“专用条款”为准。</w:t>
      </w:r>
    </w:p>
    <w:p w14:paraId="1A6B8FFE">
      <w:pPr>
        <w:ind w:firstLine="420" w:firstLineChars="200"/>
        <w:rPr>
          <w:rFonts w:ascii="黑体" w:hAnsi="宋体" w:eastAsia="黑体"/>
          <w:szCs w:val="21"/>
        </w:rPr>
      </w:pPr>
      <w:r>
        <w:rPr>
          <w:rFonts w:hint="eastAsia" w:ascii="黑体" w:hAnsi="宋体" w:eastAsia="黑体"/>
          <w:szCs w:val="21"/>
        </w:rPr>
        <w:t>2．招标说明</w:t>
      </w:r>
    </w:p>
    <w:p w14:paraId="6C6E2D95">
      <w:pPr>
        <w:ind w:firstLine="422" w:firstLineChars="200"/>
        <w:rPr>
          <w:rFonts w:ascii="宋体" w:hAnsi="宋体"/>
          <w:b/>
          <w:bCs/>
          <w:color w:val="FF0000"/>
          <w:szCs w:val="21"/>
        </w:rPr>
      </w:pPr>
      <w:r>
        <w:rPr>
          <w:rFonts w:hint="eastAsia" w:ascii="宋体" w:hAnsi="宋体"/>
          <w:b/>
          <w:bCs/>
          <w:color w:val="FF0000"/>
          <w:szCs w:val="21"/>
        </w:rPr>
        <w:t>本项目为自行采购项目，参照《深圳经济特区政府采购条例》、《深圳经济特区政府采购条例实施细则》及政府采购其他法律法规，通过公开招标方式确定中标供应商。</w:t>
      </w:r>
    </w:p>
    <w:p w14:paraId="582BF499">
      <w:pPr>
        <w:ind w:firstLine="420" w:firstLineChars="200"/>
        <w:rPr>
          <w:rFonts w:ascii="黑体" w:hAnsi="宋体" w:eastAsia="黑体"/>
          <w:szCs w:val="21"/>
        </w:rPr>
      </w:pPr>
      <w:r>
        <w:rPr>
          <w:rFonts w:hint="eastAsia" w:ascii="黑体" w:hAnsi="宋体" w:eastAsia="黑体"/>
          <w:szCs w:val="21"/>
        </w:rPr>
        <w:t>3．定义</w:t>
      </w:r>
    </w:p>
    <w:p w14:paraId="646E94A2">
      <w:pPr>
        <w:ind w:firstLine="420" w:firstLineChars="200"/>
        <w:rPr>
          <w:rFonts w:ascii="宋体" w:hAnsi="宋体"/>
          <w:szCs w:val="21"/>
        </w:rPr>
      </w:pPr>
      <w:r>
        <w:rPr>
          <w:rFonts w:hint="eastAsia" w:ascii="宋体" w:hAnsi="宋体"/>
          <w:szCs w:val="21"/>
        </w:rPr>
        <w:t>招标文件中下列术语应解释为：</w:t>
      </w:r>
    </w:p>
    <w:p w14:paraId="0CB33E24">
      <w:pPr>
        <w:ind w:firstLine="420" w:firstLineChars="200"/>
        <w:rPr>
          <w:rFonts w:ascii="宋体" w:hAnsi="宋体"/>
          <w:szCs w:val="21"/>
        </w:rPr>
      </w:pPr>
      <w:r>
        <w:rPr>
          <w:rFonts w:hint="eastAsia" w:ascii="宋体" w:hAnsi="宋体"/>
          <w:szCs w:val="21"/>
        </w:rPr>
        <w:t>3.1“采购人”：指利用财政性资金依法进行</w:t>
      </w:r>
      <w:r>
        <w:rPr>
          <w:rFonts w:hint="eastAsia" w:ascii="宋体" w:hAnsi="宋体"/>
          <w:b/>
          <w:bCs/>
          <w:color w:val="FF0000"/>
          <w:szCs w:val="21"/>
        </w:rPr>
        <w:t>自行采购</w:t>
      </w:r>
      <w:r>
        <w:rPr>
          <w:rFonts w:hint="eastAsia" w:ascii="宋体" w:hAnsi="宋体"/>
          <w:szCs w:val="21"/>
        </w:rPr>
        <w:t xml:space="preserve">的国家机关、事业单位、团体组织； </w:t>
      </w:r>
    </w:p>
    <w:p w14:paraId="4184601F">
      <w:pPr>
        <w:ind w:firstLine="420" w:firstLineChars="200"/>
        <w:rPr>
          <w:rFonts w:ascii="宋体" w:hAnsi="宋体"/>
          <w:szCs w:val="21"/>
        </w:rPr>
      </w:pPr>
      <w:r>
        <w:rPr>
          <w:rFonts w:hint="eastAsia" w:ascii="宋体" w:hAnsi="宋体"/>
          <w:szCs w:val="21"/>
        </w:rPr>
        <w:t>3.2 “政府集中采购机构”</w:t>
      </w:r>
      <w:r>
        <w:rPr>
          <w:rFonts w:hint="eastAsia" w:ascii="Arial" w:hAnsi="Arial" w:cs="Arial"/>
          <w:szCs w:val="21"/>
          <w:shd w:val="clear" w:color="auto" w:fill="FFFFFF"/>
        </w:rPr>
        <w:t>是指市政府设立的，组织实施采购项目，并对采购活动提供服务的专门机构；</w:t>
      </w:r>
      <w:r>
        <w:rPr>
          <w:rFonts w:hint="eastAsia" w:ascii="宋体" w:hAnsi="宋体"/>
          <w:szCs w:val="21"/>
        </w:rPr>
        <w:t>本文件所述的“</w:t>
      </w:r>
      <w:r>
        <w:rPr>
          <w:rFonts w:hint="eastAsia" w:ascii="宋体" w:hAnsi="宋体"/>
          <w:szCs w:val="21"/>
          <w:highlight w:val="yellow"/>
        </w:rPr>
        <w:t>采购代理机构</w:t>
      </w:r>
      <w:r>
        <w:rPr>
          <w:rFonts w:hint="eastAsia" w:ascii="宋体" w:hAnsi="宋体"/>
          <w:szCs w:val="21"/>
        </w:rPr>
        <w:t>”指</w:t>
      </w:r>
      <w:r>
        <w:rPr>
          <w:rFonts w:hint="eastAsia" w:ascii="宋体" w:hAnsi="宋体"/>
          <w:b/>
          <w:bCs/>
          <w:szCs w:val="21"/>
        </w:rPr>
        <w:t>深圳公共资源交易中心</w:t>
      </w:r>
      <w:r>
        <w:rPr>
          <w:rFonts w:hint="eastAsia" w:ascii="宋体" w:hAnsi="宋体"/>
          <w:b/>
          <w:bCs/>
          <w:szCs w:val="21"/>
          <w:highlight w:val="yellow"/>
          <w:lang w:eastAsia="zh-CN"/>
        </w:rPr>
        <w:t>（</w:t>
      </w:r>
      <w:r>
        <w:rPr>
          <w:rFonts w:hint="eastAsia" w:asciiTheme="minorEastAsia" w:hAnsiTheme="minorEastAsia" w:eastAsiaTheme="minorEastAsia"/>
          <w:b/>
          <w:bCs/>
          <w:highlight w:val="yellow"/>
        </w:rPr>
        <w:t>深圳交易集团有限公司政府采购业务分公司）</w:t>
      </w:r>
      <w:r>
        <w:rPr>
          <w:rFonts w:hint="eastAsia" w:ascii="宋体" w:hAnsi="宋体"/>
          <w:szCs w:val="21"/>
        </w:rPr>
        <w:t>；</w:t>
      </w:r>
    </w:p>
    <w:p w14:paraId="62EC3682">
      <w:pPr>
        <w:ind w:firstLine="420" w:firstLineChars="200"/>
        <w:rPr>
          <w:rFonts w:ascii="宋体" w:hAnsi="宋体"/>
          <w:szCs w:val="21"/>
        </w:rPr>
      </w:pPr>
      <w:r>
        <w:rPr>
          <w:rFonts w:hint="eastAsia" w:ascii="宋体" w:hAnsi="宋体"/>
          <w:szCs w:val="21"/>
        </w:rPr>
        <w:t>3.3“投标人”，即供应商，指参加投标竞争并愿意按照招标文件要求向采购人提供货物、工程或者服务的依法成立的法人、其他组织或者自然人；</w:t>
      </w:r>
    </w:p>
    <w:p w14:paraId="5327B179">
      <w:pPr>
        <w:ind w:firstLine="420" w:firstLineChars="200"/>
        <w:rPr>
          <w:rFonts w:ascii="宋体" w:hAnsi="宋体"/>
          <w:szCs w:val="21"/>
        </w:rPr>
      </w:pPr>
      <w:r>
        <w:rPr>
          <w:rFonts w:hint="eastAsia" w:ascii="宋体" w:hAnsi="宋体"/>
          <w:szCs w:val="21"/>
        </w:rPr>
        <w:t>3.4“评审委员会”是依据《深圳经济特区政府采购条例》、《深圳经济特区政府采购条例实施细则》等有关规定组建的专门负责本次招标其评审工作的临时性机构；</w:t>
      </w:r>
    </w:p>
    <w:p w14:paraId="1BB6D918">
      <w:pPr>
        <w:ind w:firstLine="420" w:firstLineChars="200"/>
        <w:rPr>
          <w:rFonts w:ascii="宋体" w:hAnsi="宋体"/>
          <w:szCs w:val="21"/>
        </w:rPr>
      </w:pPr>
      <w:r>
        <w:rPr>
          <w:rFonts w:hint="eastAsia" w:ascii="宋体" w:hAnsi="宋体"/>
          <w:szCs w:val="21"/>
        </w:rPr>
        <w:t>3.5“日期”指公历日；</w:t>
      </w:r>
    </w:p>
    <w:p w14:paraId="5E94983B">
      <w:pPr>
        <w:ind w:firstLine="420" w:firstLineChars="200"/>
        <w:rPr>
          <w:rFonts w:ascii="宋体" w:hAnsi="宋体"/>
          <w:szCs w:val="21"/>
        </w:rPr>
      </w:pPr>
      <w:r>
        <w:rPr>
          <w:rFonts w:hint="eastAsia" w:ascii="宋体" w:hAnsi="宋体"/>
          <w:szCs w:val="21"/>
        </w:rPr>
        <w:t>3.6“合同”指由本次招标所产生的合同或合约文件；</w:t>
      </w:r>
    </w:p>
    <w:p w14:paraId="1261D7D2">
      <w:pPr>
        <w:ind w:firstLine="420" w:firstLineChars="200"/>
        <w:rPr>
          <w:rFonts w:ascii="宋体" w:hAnsi="宋体"/>
          <w:szCs w:val="21"/>
        </w:rPr>
      </w:pPr>
      <w:r>
        <w:rPr>
          <w:rFonts w:hint="eastAsia" w:ascii="宋体" w:hAnsi="宋体"/>
          <w:szCs w:val="21"/>
        </w:rPr>
        <w:t>3.7“电子投标文件”指利用</w:t>
      </w:r>
      <w:r>
        <w:rPr>
          <w:rFonts w:hint="eastAsia" w:ascii="宋体" w:hAnsi="宋体"/>
          <w:b/>
          <w:bCs/>
          <w:color w:val="FF0000"/>
          <w:szCs w:val="21"/>
        </w:rPr>
        <w:t>深圳公共资源交易中心（深圳交易集团有限公司政府采购业务分公司）</w:t>
      </w:r>
      <w:r>
        <w:rPr>
          <w:rFonts w:hint="eastAsia" w:ascii="宋体" w:hAnsi="宋体"/>
          <w:szCs w:val="21"/>
        </w:rPr>
        <w:t>网站提供的深圳市自行采购系统投标文件制作专用软件（以下简称：投标文件制作软件）制作的投标文件,适用于网上投标；（投标文件制作软件可从“下载地址：https://www.szggzy.com/jyfw/details.html?contentId=2053275深圳市自行采购系统投标文件编制工具”下载）</w:t>
      </w:r>
    </w:p>
    <w:p w14:paraId="21EEAFF0">
      <w:pPr>
        <w:ind w:firstLine="420" w:firstLineChars="200"/>
        <w:rPr>
          <w:rFonts w:ascii="宋体" w:hAnsi="宋体"/>
          <w:szCs w:val="21"/>
        </w:rPr>
      </w:pPr>
      <w:r>
        <w:rPr>
          <w:rFonts w:hint="eastAsia" w:ascii="宋体" w:hAnsi="宋体"/>
          <w:szCs w:val="21"/>
        </w:rPr>
        <w:t>3.8“网上投标”指通过</w:t>
      </w:r>
      <w:r>
        <w:rPr>
          <w:rFonts w:hint="eastAsia" w:ascii="宋体" w:hAnsi="宋体"/>
          <w:b/>
          <w:bCs/>
          <w:color w:val="FF0000"/>
          <w:szCs w:val="21"/>
        </w:rPr>
        <w:t>深圳市自行采购系统</w:t>
      </w:r>
      <w:r>
        <w:rPr>
          <w:rFonts w:hint="eastAsia" w:ascii="宋体" w:hAnsi="宋体"/>
          <w:szCs w:val="21"/>
        </w:rPr>
        <w:t>网站上传电子投标文件；</w:t>
      </w:r>
    </w:p>
    <w:p w14:paraId="5F5D8A49">
      <w:pPr>
        <w:ind w:firstLine="420" w:firstLineChars="200"/>
        <w:rPr>
          <w:rFonts w:ascii="宋体" w:hAnsi="宋体"/>
          <w:szCs w:val="21"/>
        </w:rPr>
      </w:pPr>
      <w:r>
        <w:rPr>
          <w:rFonts w:hint="eastAsia" w:ascii="宋体" w:hAnsi="宋体"/>
          <w:szCs w:val="21"/>
        </w:rPr>
        <w:t>3.9招标文件中的标题或题名仅起引导作用，而不应视为对招标文件内容的理解和解释。</w:t>
      </w:r>
    </w:p>
    <w:p w14:paraId="248098D7">
      <w:pPr>
        <w:ind w:firstLine="420" w:firstLineChars="200"/>
        <w:rPr>
          <w:rFonts w:ascii="黑体" w:hAnsi="宋体" w:eastAsia="黑体"/>
          <w:szCs w:val="21"/>
        </w:rPr>
      </w:pPr>
      <w:r>
        <w:rPr>
          <w:rFonts w:hint="eastAsia" w:ascii="黑体" w:hAnsi="宋体" w:eastAsia="黑体"/>
          <w:szCs w:val="21"/>
        </w:rPr>
        <w:t xml:space="preserve">4. </w:t>
      </w:r>
      <w:bookmarkStart w:id="54" w:name="_Hlk72398643"/>
      <w:r>
        <w:rPr>
          <w:rFonts w:hint="eastAsia" w:ascii="黑体" w:hAnsi="宋体" w:eastAsia="黑体"/>
          <w:szCs w:val="21"/>
        </w:rPr>
        <w:t>自行采购供应商责任</w:t>
      </w:r>
    </w:p>
    <w:p w14:paraId="6EECED1D">
      <w:pPr>
        <w:ind w:firstLine="420" w:firstLineChars="200"/>
        <w:rPr>
          <w:rFonts w:ascii="宋体" w:hAnsi="宋体"/>
          <w:szCs w:val="21"/>
        </w:rPr>
      </w:pPr>
      <w:r>
        <w:rPr>
          <w:rFonts w:hint="eastAsia" w:ascii="宋体" w:hAnsi="宋体"/>
          <w:szCs w:val="21"/>
        </w:rPr>
        <w:t>4.1欢迎诚信、有实力和有社会责任心的供应商参与自行采购事业。</w:t>
      </w:r>
    </w:p>
    <w:p w14:paraId="6EEA7605">
      <w:pPr>
        <w:ind w:firstLine="420" w:firstLineChars="200"/>
        <w:rPr>
          <w:rFonts w:ascii="宋体" w:hAnsi="宋体"/>
          <w:szCs w:val="21"/>
        </w:rPr>
      </w:pPr>
      <w:r>
        <w:rPr>
          <w:rFonts w:hint="eastAsia" w:ascii="宋体" w:hAnsi="宋体"/>
          <w:szCs w:val="21"/>
        </w:rPr>
        <w:t>4.2投标人应当遵循公平竞争的原则，不得恶意串通，不得妨碍其他投标人的竞争行为，不得损害采购人或者其他投标人的合法权益。如违反上述要求，经核实后，供应商的投标无效。</w:t>
      </w:r>
    </w:p>
    <w:p w14:paraId="110F263F">
      <w:pPr>
        <w:ind w:firstLine="420" w:firstLineChars="200"/>
        <w:rPr>
          <w:rFonts w:ascii="黑体" w:hAnsi="宋体" w:eastAsia="黑体"/>
          <w:szCs w:val="21"/>
        </w:rPr>
      </w:pPr>
      <w:r>
        <w:rPr>
          <w:rFonts w:hint="eastAsia" w:ascii="黑体" w:hAnsi="宋体" w:eastAsia="黑体"/>
          <w:szCs w:val="21"/>
        </w:rPr>
        <w:t>5．投标人参加自行采购的条件</w:t>
      </w:r>
    </w:p>
    <w:p w14:paraId="2F555FCB">
      <w:pPr>
        <w:ind w:firstLine="420" w:firstLineChars="200"/>
        <w:jc w:val="left"/>
        <w:rPr>
          <w:rFonts w:ascii="宋体" w:hAnsi="宋体"/>
          <w:szCs w:val="21"/>
        </w:rPr>
      </w:pPr>
      <w:r>
        <w:rPr>
          <w:rFonts w:hint="eastAsia" w:ascii="宋体" w:hAnsi="宋体"/>
          <w:szCs w:val="21"/>
        </w:rPr>
        <w:t>5.1投标人应在投标前到</w:t>
      </w:r>
      <w:r>
        <w:rPr>
          <w:rFonts w:hint="eastAsia" w:ascii="宋体" w:hAnsi="宋体"/>
          <w:b/>
          <w:bCs/>
          <w:szCs w:val="21"/>
        </w:rPr>
        <w:t>深圳市自行采购系统（具体在深圳交易集团有限公司政府采购业务分公司进行办理）</w:t>
      </w:r>
      <w:r>
        <w:rPr>
          <w:rFonts w:hint="eastAsia" w:ascii="宋体" w:hAnsi="宋体"/>
          <w:szCs w:val="21"/>
        </w:rPr>
        <w:t>进行注册并办理电子密钥。《深圳政府采购自行采购系统用户操作指引（供应商）》详见www.szggzy.com网站“交易服务指南-政府采购-资料下载”。</w:t>
      </w:r>
    </w:p>
    <w:p w14:paraId="6FADF203">
      <w:pPr>
        <w:ind w:firstLine="420" w:firstLineChars="200"/>
        <w:rPr>
          <w:rFonts w:ascii="宋体" w:hAnsi="宋体"/>
          <w:szCs w:val="21"/>
        </w:rPr>
      </w:pPr>
      <w:r>
        <w:rPr>
          <w:rFonts w:hint="eastAsia" w:ascii="宋体" w:hAnsi="宋体"/>
          <w:szCs w:val="21"/>
        </w:rPr>
        <w:t>5.2投标人资格要求</w:t>
      </w:r>
    </w:p>
    <w:p w14:paraId="70A62C34">
      <w:pPr>
        <w:ind w:firstLine="420" w:firstLineChars="200"/>
        <w:rPr>
          <w:rFonts w:ascii="宋体" w:hAnsi="宋体"/>
          <w:szCs w:val="21"/>
        </w:rPr>
      </w:pPr>
      <w:r>
        <w:rPr>
          <w:rFonts w:hint="eastAsia" w:ascii="宋体" w:hAnsi="宋体"/>
          <w:szCs w:val="21"/>
        </w:rPr>
        <w:t>参加本项目的投标人应具备的资格条件详见本项目招标公告中 “投标人资格要求”的内容。</w:t>
      </w:r>
    </w:p>
    <w:p w14:paraId="4B86FB91">
      <w:pPr>
        <w:ind w:firstLine="420" w:firstLineChars="200"/>
        <w:rPr>
          <w:rFonts w:ascii="宋体" w:hAnsi="宋体"/>
          <w:szCs w:val="21"/>
        </w:rPr>
      </w:pPr>
      <w:r>
        <w:rPr>
          <w:rFonts w:hint="eastAsia" w:ascii="宋体" w:hAnsi="宋体"/>
          <w:szCs w:val="21"/>
        </w:rPr>
        <w:t>5.3联合体投标</w:t>
      </w:r>
    </w:p>
    <w:p w14:paraId="77DCE979">
      <w:pPr>
        <w:ind w:firstLine="420" w:firstLineChars="200"/>
        <w:rPr>
          <w:rFonts w:ascii="宋体" w:hAnsi="宋体"/>
          <w:szCs w:val="21"/>
        </w:rPr>
      </w:pPr>
      <w:r>
        <w:rPr>
          <w:rFonts w:hint="eastAsia" w:ascii="宋体" w:hAnsi="宋体"/>
          <w:szCs w:val="21"/>
        </w:rPr>
        <w:t>5.3.1以下有关联合体投标的条款仅适用于允许投标人组成联合体投标的项目。</w:t>
      </w:r>
    </w:p>
    <w:p w14:paraId="6B5A62AD">
      <w:pPr>
        <w:ind w:firstLine="420" w:firstLineChars="200"/>
        <w:rPr>
          <w:rFonts w:ascii="宋体" w:hAnsi="宋体"/>
          <w:szCs w:val="21"/>
        </w:rPr>
      </w:pPr>
      <w:r>
        <w:rPr>
          <w:rFonts w:hint="eastAsia" w:ascii="宋体" w:hAnsi="宋体"/>
          <w:szCs w:val="21"/>
        </w:rPr>
        <w:t>5.3.2  由两个或两个以上的自然人、法人或者其他组织可以组成一个联合体，以一个供应商的身份共同投标时，应符合以下原则：</w:t>
      </w:r>
    </w:p>
    <w:p w14:paraId="58C05131">
      <w:pPr>
        <w:ind w:firstLine="420" w:firstLineChars="200"/>
        <w:rPr>
          <w:rFonts w:ascii="宋体" w:hAnsi="宋体"/>
          <w:szCs w:val="21"/>
        </w:rPr>
      </w:pPr>
      <w:r>
        <w:rPr>
          <w:rFonts w:hint="eastAsia" w:ascii="宋体" w:hAnsi="宋体"/>
          <w:szCs w:val="21"/>
        </w:rPr>
        <w:t xml:space="preserve">（1）投标联合体各方参加采购活动应当具备下列条件： </w:t>
      </w:r>
    </w:p>
    <w:p w14:paraId="7F0321F9">
      <w:pPr>
        <w:ind w:firstLine="420" w:firstLineChars="200"/>
        <w:rPr>
          <w:rFonts w:ascii="宋体" w:hAnsi="宋体"/>
          <w:szCs w:val="21"/>
        </w:rPr>
      </w:pPr>
      <w:r>
        <w:rPr>
          <w:rFonts w:hint="eastAsia" w:ascii="宋体" w:hAnsi="宋体"/>
          <w:szCs w:val="21"/>
        </w:rPr>
        <w:t xml:space="preserve">1、具有独立承担民事责任的能力； </w:t>
      </w:r>
    </w:p>
    <w:p w14:paraId="5DB9CE7C">
      <w:pPr>
        <w:ind w:firstLine="420" w:firstLineChars="200"/>
        <w:rPr>
          <w:rFonts w:ascii="宋体" w:hAnsi="宋体"/>
          <w:szCs w:val="21"/>
        </w:rPr>
      </w:pPr>
      <w:r>
        <w:rPr>
          <w:rFonts w:hint="eastAsia" w:ascii="宋体" w:hAnsi="宋体"/>
          <w:szCs w:val="21"/>
        </w:rPr>
        <w:t xml:space="preserve">2、有良好的商业信誉和健全的财务会计制度； </w:t>
      </w:r>
    </w:p>
    <w:p w14:paraId="70774B09">
      <w:pPr>
        <w:ind w:firstLine="420" w:firstLineChars="200"/>
        <w:rPr>
          <w:rFonts w:ascii="宋体" w:hAnsi="宋体"/>
          <w:szCs w:val="21"/>
        </w:rPr>
      </w:pPr>
      <w:r>
        <w:rPr>
          <w:rFonts w:hint="eastAsia" w:ascii="宋体" w:hAnsi="宋体"/>
          <w:szCs w:val="21"/>
        </w:rPr>
        <w:t xml:space="preserve">3、具有履行合同所必需的设备和专业技术能力； </w:t>
      </w:r>
    </w:p>
    <w:p w14:paraId="6F9D27F5">
      <w:pPr>
        <w:ind w:firstLine="420" w:firstLineChars="200"/>
        <w:rPr>
          <w:rFonts w:ascii="宋体" w:hAnsi="宋体"/>
          <w:szCs w:val="21"/>
        </w:rPr>
      </w:pPr>
      <w:r>
        <w:rPr>
          <w:rFonts w:hint="eastAsia" w:ascii="宋体" w:hAnsi="宋体"/>
          <w:szCs w:val="21"/>
        </w:rPr>
        <w:t xml:space="preserve">4、有依法缴纳税收和社会保障资金的良好记录； </w:t>
      </w:r>
    </w:p>
    <w:p w14:paraId="53975401">
      <w:pPr>
        <w:ind w:firstLine="420" w:firstLineChars="200"/>
        <w:rPr>
          <w:rFonts w:ascii="宋体" w:hAnsi="宋体"/>
          <w:szCs w:val="21"/>
        </w:rPr>
      </w:pPr>
      <w:r>
        <w:rPr>
          <w:rFonts w:hint="eastAsia" w:ascii="宋体" w:hAnsi="宋体"/>
          <w:szCs w:val="21"/>
        </w:rPr>
        <w:t xml:space="preserve">5、参加采购活动前三年内，在经营活动中没有重大违法记录； </w:t>
      </w:r>
    </w:p>
    <w:p w14:paraId="6C039864">
      <w:pPr>
        <w:ind w:firstLine="420" w:firstLineChars="200"/>
        <w:rPr>
          <w:rFonts w:ascii="宋体" w:hAnsi="宋体"/>
          <w:szCs w:val="21"/>
        </w:rPr>
      </w:pPr>
      <w:r>
        <w:rPr>
          <w:rFonts w:hint="eastAsia" w:ascii="宋体" w:hAnsi="宋体"/>
          <w:szCs w:val="21"/>
        </w:rPr>
        <w:t xml:space="preserve">6、法律、行政法规规定的其他条件。 </w:t>
      </w:r>
    </w:p>
    <w:p w14:paraId="08D4635C">
      <w:pPr>
        <w:ind w:firstLine="420" w:firstLineChars="200"/>
        <w:rPr>
          <w:rFonts w:ascii="宋体" w:hAnsi="宋体"/>
          <w:szCs w:val="21"/>
        </w:rPr>
      </w:pPr>
      <w:r>
        <w:rPr>
          <w:rFonts w:hint="eastAsia" w:ascii="宋体" w:hAnsi="宋体"/>
          <w:szCs w:val="21"/>
        </w:rPr>
        <w:t>（2）在投标截止前，投标联合体各方均应注册成</w:t>
      </w:r>
      <w:r>
        <w:rPr>
          <w:rFonts w:hint="eastAsia" w:ascii="宋体" w:hAnsi="宋体"/>
          <w:b/>
          <w:bCs/>
          <w:color w:val="FF0000"/>
          <w:szCs w:val="21"/>
        </w:rPr>
        <w:t>深圳市自行采购系统</w:t>
      </w:r>
      <w:r>
        <w:rPr>
          <w:rFonts w:hint="eastAsia" w:ascii="宋体" w:hAnsi="宋体"/>
          <w:szCs w:val="21"/>
        </w:rPr>
        <w:t>供应商；</w:t>
      </w:r>
    </w:p>
    <w:p w14:paraId="341C7244">
      <w:pPr>
        <w:ind w:firstLine="420" w:firstLineChars="200"/>
        <w:rPr>
          <w:rFonts w:ascii="宋体" w:hAnsi="宋体"/>
          <w:szCs w:val="21"/>
        </w:rPr>
      </w:pPr>
      <w:r>
        <w:rPr>
          <w:rFonts w:hint="eastAsia" w:ascii="宋体" w:hAnsi="宋体"/>
          <w:szCs w:val="21"/>
        </w:rPr>
        <w:t>（3）联合体中有同类资质的供应商按照联合体分工承担相同工作的，应当按照资质等级较低的供应商确定资质等级；</w:t>
      </w:r>
    </w:p>
    <w:p w14:paraId="147FADFE">
      <w:pPr>
        <w:ind w:firstLine="420" w:firstLineChars="200"/>
        <w:rPr>
          <w:szCs w:val="21"/>
        </w:rPr>
      </w:pPr>
      <w:r>
        <w:rPr>
          <w:rFonts w:hint="eastAsia"/>
          <w:szCs w:val="21"/>
        </w:rPr>
        <w:t>（</w:t>
      </w:r>
      <w:r>
        <w:rPr>
          <w:szCs w:val="21"/>
        </w:rPr>
        <w:t>4</w:t>
      </w:r>
      <w:r>
        <w:rPr>
          <w:rFonts w:hint="eastAsia"/>
          <w:szCs w:val="21"/>
        </w:rPr>
        <w:t>）是否允许联合体参加投标，应当由采购人和采购代理机构根据项目的实际情况和潜在供应商的数量自主决定，如果决定接受联合体投标则应当在招标公告中明示；</w:t>
      </w:r>
    </w:p>
    <w:p w14:paraId="24F6B61B">
      <w:pPr>
        <w:ind w:firstLine="420" w:firstLineChars="200"/>
        <w:rPr>
          <w:rFonts w:ascii="宋体" w:hAnsi="宋体"/>
          <w:szCs w:val="21"/>
        </w:rPr>
      </w:pPr>
      <w:r>
        <w:rPr>
          <w:rFonts w:hint="eastAsia" w:ascii="宋体" w:hAnsi="宋体"/>
          <w:szCs w:val="21"/>
        </w:rPr>
        <w:t>（5）投标人的投标文件及中标后签署的合同协议对联合体各方均具法律约束力；</w:t>
      </w:r>
    </w:p>
    <w:p w14:paraId="75ADEC17">
      <w:pPr>
        <w:ind w:firstLine="420" w:firstLineChars="200"/>
        <w:rPr>
          <w:rFonts w:ascii="宋体" w:hAnsi="宋体"/>
          <w:szCs w:val="21"/>
        </w:rPr>
      </w:pPr>
      <w:r>
        <w:rPr>
          <w:rFonts w:hint="eastAsia" w:ascii="宋体" w:hAnsi="宋体"/>
          <w:szCs w:val="21"/>
        </w:rPr>
        <w:t>（6）联合体各方应当签订联合体投标协议，明确约定各方拟承担的工作和责任，并将该协议随投标文件一并递交给</w:t>
      </w:r>
      <w:r>
        <w:rPr>
          <w:rFonts w:hint="eastAsia" w:ascii="宋体" w:hAnsi="宋体"/>
          <w:szCs w:val="21"/>
          <w:highlight w:val="yellow"/>
        </w:rPr>
        <w:t>采购代理机构</w:t>
      </w:r>
      <w:r>
        <w:rPr>
          <w:rFonts w:hint="eastAsia" w:ascii="宋体" w:hAnsi="宋体"/>
          <w:szCs w:val="21"/>
        </w:rPr>
        <w:t>；</w:t>
      </w:r>
    </w:p>
    <w:p w14:paraId="193B2B41">
      <w:pPr>
        <w:ind w:firstLine="420" w:firstLineChars="200"/>
        <w:rPr>
          <w:rFonts w:ascii="宋体" w:hAnsi="宋体"/>
          <w:szCs w:val="21"/>
        </w:rPr>
      </w:pPr>
      <w:r>
        <w:rPr>
          <w:rFonts w:hint="eastAsia" w:ascii="宋体" w:hAnsi="宋体"/>
          <w:szCs w:val="21"/>
        </w:rPr>
        <w:t>（7）联合体中标后，联合体各方应当共同与采购人签订合同，就中标项目向采购人承担连带责任；</w:t>
      </w:r>
    </w:p>
    <w:p w14:paraId="2A8327E4">
      <w:pPr>
        <w:ind w:firstLine="420" w:firstLineChars="200"/>
        <w:rPr>
          <w:rFonts w:ascii="宋体" w:hAnsi="宋体"/>
          <w:szCs w:val="21"/>
        </w:rPr>
      </w:pPr>
      <w:r>
        <w:rPr>
          <w:rFonts w:hint="eastAsia" w:ascii="宋体" w:hAnsi="宋体"/>
          <w:szCs w:val="21"/>
        </w:rPr>
        <w:t>（8）以联合体形式参加采购活动的，联合体各方不得再单独参加或者与其他供应商另外组成联合体参加同一合同项下的采购活动，出现上述情况者，其投标和与此有关联合体、总包单位的投标将被拒绝；</w:t>
      </w:r>
    </w:p>
    <w:p w14:paraId="309C4444">
      <w:pPr>
        <w:ind w:firstLine="420" w:firstLineChars="200"/>
        <w:rPr>
          <w:rFonts w:ascii="宋体" w:hAnsi="宋体"/>
          <w:szCs w:val="21"/>
        </w:rPr>
      </w:pPr>
      <w:r>
        <w:rPr>
          <w:rFonts w:hint="eastAsia" w:ascii="宋体" w:hAnsi="宋体"/>
          <w:szCs w:val="21"/>
        </w:rPr>
        <w:t>（9）本通用条款中“投标人”一词亦指联合体各方，专用条款另有规定或说明的除外。</w:t>
      </w:r>
    </w:p>
    <w:p w14:paraId="05B067CE">
      <w:pPr>
        <w:ind w:firstLine="420" w:firstLineChars="200"/>
        <w:rPr>
          <w:rFonts w:ascii="黑体" w:hAnsi="宋体" w:eastAsia="黑体"/>
          <w:szCs w:val="21"/>
        </w:rPr>
      </w:pPr>
      <w:r>
        <w:rPr>
          <w:rFonts w:hint="eastAsia" w:ascii="黑体" w:hAnsi="宋体" w:eastAsia="黑体"/>
          <w:szCs w:val="21"/>
        </w:rPr>
        <w:t>6．政策导向</w:t>
      </w:r>
    </w:p>
    <w:p w14:paraId="5A690559">
      <w:pPr>
        <w:ind w:firstLine="420" w:firstLineChars="200"/>
        <w:rPr>
          <w:rFonts w:ascii="宋体" w:hAnsi="宋体"/>
          <w:szCs w:val="21"/>
        </w:rPr>
      </w:pPr>
      <w:r>
        <w:rPr>
          <w:rFonts w:hint="eastAsia" w:ascii="宋体" w:hAnsi="宋体"/>
          <w:szCs w:val="21"/>
        </w:rPr>
        <w:t>6.1  采购扶持贫困地区、中小企业、监狱企业和残疾人福利性单位发展，支持节能减排、环境保护。</w:t>
      </w:r>
    </w:p>
    <w:p w14:paraId="20D855A3">
      <w:pPr>
        <w:ind w:firstLine="420" w:firstLineChars="200"/>
        <w:rPr>
          <w:szCs w:val="21"/>
          <w:shd w:val="clear" w:color="auto" w:fill="FFFFFF"/>
        </w:rPr>
      </w:pPr>
      <w:r>
        <w:rPr>
          <w:rFonts w:hint="eastAsia" w:ascii="宋体" w:hAnsi="宋体"/>
          <w:szCs w:val="21"/>
        </w:rPr>
        <w:t>6.2  本项目落实深圳市政府采购供应商诚信管理政策要求。</w:t>
      </w:r>
    </w:p>
    <w:p w14:paraId="4C4BD0C3">
      <w:pPr>
        <w:ind w:firstLine="420" w:firstLineChars="200"/>
        <w:rPr>
          <w:rFonts w:ascii="黑体" w:hAnsi="宋体" w:eastAsia="黑体"/>
          <w:szCs w:val="21"/>
        </w:rPr>
      </w:pPr>
      <w:r>
        <w:rPr>
          <w:rFonts w:hint="eastAsia" w:ascii="黑体" w:hAnsi="宋体" w:eastAsia="黑体"/>
          <w:szCs w:val="21"/>
        </w:rPr>
        <w:t>7. 本项目若涉及采购货物，则合格的货物及相应服务应满足以下要求：</w:t>
      </w:r>
    </w:p>
    <w:p w14:paraId="00F261BD">
      <w:pPr>
        <w:ind w:firstLine="420" w:firstLineChars="200"/>
        <w:rPr>
          <w:rFonts w:ascii="宋体" w:hAnsi="宋体"/>
          <w:szCs w:val="21"/>
        </w:rPr>
      </w:pPr>
      <w:r>
        <w:rPr>
          <w:rFonts w:hint="eastAsia" w:ascii="宋体" w:hAnsi="宋体"/>
          <w:szCs w:val="21"/>
        </w:rPr>
        <w:t>7.1  必须是全新、未使用过的原装合格正品（包括零部件），如安装或配置了软件的，须为正版软件。</w:t>
      </w:r>
    </w:p>
    <w:p w14:paraId="03FE8B05">
      <w:pPr>
        <w:ind w:firstLine="420" w:firstLineChars="200"/>
        <w:rPr>
          <w:rFonts w:ascii="宋体" w:hAnsi="宋体"/>
          <w:szCs w:val="21"/>
        </w:rPr>
      </w:pPr>
      <w:r>
        <w:rPr>
          <w:rFonts w:hint="eastAsia" w:ascii="宋体" w:hAnsi="宋体"/>
          <w:szCs w:val="21"/>
        </w:rPr>
        <w:t>7.2  国产的货物及其有关服务必须符合中华人民共和国的设计、制造生产标准及行业标准。招标公告有其他要求的，亦应符合其要求。</w:t>
      </w:r>
    </w:p>
    <w:p w14:paraId="2E2D0F74">
      <w:pPr>
        <w:ind w:firstLine="420" w:firstLineChars="200"/>
        <w:rPr>
          <w:rFonts w:ascii="宋体" w:hAnsi="宋体"/>
          <w:szCs w:val="21"/>
        </w:rPr>
      </w:pPr>
      <w:r>
        <w:rPr>
          <w:rFonts w:hint="eastAsia" w:ascii="宋体" w:hAnsi="宋体"/>
          <w:szCs w:val="21"/>
        </w:rPr>
        <w:t>7.3  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14:paraId="6F192BFA">
      <w:pPr>
        <w:ind w:firstLine="420" w:firstLineChars="200"/>
        <w:rPr>
          <w:rFonts w:ascii="宋体" w:hAnsi="宋体"/>
          <w:szCs w:val="21"/>
        </w:rPr>
      </w:pPr>
      <w:r>
        <w:rPr>
          <w:rFonts w:hint="eastAsia" w:ascii="宋体" w:hAnsi="宋体"/>
          <w:szCs w:val="21"/>
        </w:rPr>
        <w:t>7.4  投标人</w:t>
      </w:r>
      <w:bookmarkStart w:id="55" w:name="_Hlk72152753"/>
      <w:r>
        <w:rPr>
          <w:rFonts w:hint="eastAsia" w:ascii="宋体" w:hAnsi="宋体"/>
          <w:szCs w:val="21"/>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55"/>
    </w:p>
    <w:p w14:paraId="55B4FD4F">
      <w:pPr>
        <w:ind w:firstLine="420" w:firstLineChars="200"/>
        <w:rPr>
          <w:rFonts w:ascii="宋体" w:hAnsi="宋体"/>
          <w:szCs w:val="21"/>
        </w:rPr>
      </w:pPr>
      <w:r>
        <w:rPr>
          <w:rFonts w:hint="eastAsia" w:ascii="宋体" w:hAnsi="宋体"/>
          <w:szCs w:val="21"/>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14:paraId="6EB60F81">
      <w:pPr>
        <w:ind w:firstLine="420" w:firstLineChars="200"/>
        <w:rPr>
          <w:rFonts w:ascii="宋体" w:hAnsi="宋体"/>
          <w:szCs w:val="21"/>
        </w:rPr>
      </w:pPr>
      <w:r>
        <w:rPr>
          <w:rFonts w:hint="eastAsia" w:ascii="宋体" w:hAnsi="宋体"/>
          <w:szCs w:val="21"/>
        </w:rPr>
        <w:t>7.6  工期要求：投标人在投标时对其所投项目应提交交货进度、交货计划等，在合同规定的时间内完成项目实施工作。</w:t>
      </w:r>
    </w:p>
    <w:p w14:paraId="251B412C">
      <w:pPr>
        <w:ind w:firstLine="420" w:firstLineChars="200"/>
        <w:rPr>
          <w:rFonts w:ascii="宋体" w:hAnsi="宋体"/>
          <w:szCs w:val="21"/>
        </w:rPr>
      </w:pPr>
      <w:r>
        <w:rPr>
          <w:rFonts w:hint="eastAsia" w:ascii="宋体" w:hAnsi="宋体"/>
          <w:szCs w:val="21"/>
        </w:rPr>
        <w:t>7.7  投标人必须承担的设备运输、安装调试、验收检测和提供设备操作说明书、图纸等其他相关及类似的义务。</w:t>
      </w:r>
    </w:p>
    <w:p w14:paraId="2A631179">
      <w:pPr>
        <w:ind w:firstLine="420" w:firstLineChars="200"/>
        <w:rPr>
          <w:rFonts w:ascii="黑体" w:hAnsi="宋体" w:eastAsia="黑体"/>
          <w:szCs w:val="21"/>
        </w:rPr>
      </w:pPr>
      <w:r>
        <w:rPr>
          <w:rFonts w:hint="eastAsia" w:ascii="黑体" w:hAnsi="宋体" w:eastAsia="黑体"/>
          <w:szCs w:val="21"/>
        </w:rPr>
        <w:t>8．投标费用</w:t>
      </w:r>
    </w:p>
    <w:p w14:paraId="09E6C73C">
      <w:pPr>
        <w:ind w:firstLine="420" w:firstLineChars="200"/>
        <w:rPr>
          <w:rFonts w:ascii="宋体" w:hAnsi="宋体"/>
          <w:szCs w:val="21"/>
        </w:rPr>
      </w:pPr>
      <w:r>
        <w:rPr>
          <w:rFonts w:hint="eastAsia" w:ascii="宋体" w:hAnsi="宋体"/>
          <w:szCs w:val="21"/>
        </w:rPr>
        <w:t>不论投标结果如何，投标人应承担其编制投标文件与递交投标文件所涉及的一切费用。</w:t>
      </w:r>
    </w:p>
    <w:p w14:paraId="238EF7E8">
      <w:pPr>
        <w:ind w:firstLine="420" w:firstLineChars="200"/>
        <w:rPr>
          <w:rFonts w:ascii="黑体" w:hAnsi="宋体" w:eastAsia="黑体"/>
          <w:szCs w:val="21"/>
        </w:rPr>
      </w:pPr>
      <w:r>
        <w:rPr>
          <w:rFonts w:hint="eastAsia" w:ascii="黑体" w:hAnsi="宋体" w:eastAsia="黑体"/>
          <w:szCs w:val="21"/>
        </w:rPr>
        <w:t>9．踏勘现场</w:t>
      </w:r>
    </w:p>
    <w:p w14:paraId="11C5861D">
      <w:pPr>
        <w:ind w:firstLine="420" w:firstLineChars="200"/>
        <w:rPr>
          <w:rFonts w:ascii="宋体" w:hAnsi="宋体"/>
          <w:szCs w:val="21"/>
        </w:rPr>
      </w:pPr>
      <w:r>
        <w:rPr>
          <w:rFonts w:hint="eastAsia" w:ascii="宋体" w:hAnsi="宋体"/>
          <w:szCs w:val="21"/>
        </w:rPr>
        <w:t>9.1如有需要（详见专用条款），采购人或</w:t>
      </w:r>
      <w:r>
        <w:rPr>
          <w:rFonts w:hint="eastAsia" w:ascii="宋体" w:hAnsi="宋体"/>
          <w:szCs w:val="21"/>
          <w:highlight w:val="yellow"/>
          <w:lang w:val="en-US" w:eastAsia="zh-CN"/>
        </w:rPr>
        <w:t>采购代理机构</w:t>
      </w:r>
      <w:r>
        <w:rPr>
          <w:rFonts w:hint="eastAsia" w:ascii="宋体" w:hAnsi="宋体"/>
          <w:szCs w:val="21"/>
        </w:rPr>
        <w:t>将组织投标人对项目现场及周围环境进行踏勘，以便投标人获取有关编制投标文件和签署合同所需的资料。踏勘现场所发生的费用由投标人自行承担。投标人应按招标文件所约定的时间、地点踏勘现场。</w:t>
      </w:r>
    </w:p>
    <w:p w14:paraId="0AAABAC0">
      <w:pPr>
        <w:ind w:firstLine="420" w:firstLineChars="200"/>
        <w:rPr>
          <w:rFonts w:ascii="宋体" w:hAnsi="宋体"/>
          <w:szCs w:val="21"/>
        </w:rPr>
      </w:pPr>
      <w:r>
        <w:rPr>
          <w:rFonts w:hint="eastAsia" w:ascii="宋体" w:hAnsi="宋体"/>
          <w:szCs w:val="21"/>
        </w:rPr>
        <w:t>9.2投标人及其人员经过采购人的允许，可以进入采购人的项目现场踏勘。若招标文件要求投标人于统一时间地点踏勘现场的，投标人应当按时前往。</w:t>
      </w:r>
    </w:p>
    <w:p w14:paraId="22347A15">
      <w:pPr>
        <w:ind w:firstLine="420" w:firstLineChars="200"/>
        <w:rPr>
          <w:rFonts w:ascii="宋体" w:hAnsi="宋体"/>
          <w:szCs w:val="21"/>
        </w:rPr>
      </w:pPr>
      <w:r>
        <w:rPr>
          <w:rFonts w:hint="eastAsia" w:ascii="宋体" w:hAnsi="宋体"/>
          <w:szCs w:val="21"/>
        </w:rPr>
        <w:t>9.3采购人应当通过</w:t>
      </w:r>
      <w:r>
        <w:rPr>
          <w:rFonts w:hint="eastAsia" w:ascii="宋体" w:hAnsi="宋体"/>
          <w:szCs w:val="21"/>
          <w:highlight w:val="yellow"/>
          <w:lang w:val="en-US" w:eastAsia="zh-CN"/>
        </w:rPr>
        <w:t>采购代理机构</w:t>
      </w:r>
      <w:r>
        <w:rPr>
          <w:rFonts w:hint="eastAsia" w:ascii="宋体" w:hAnsi="宋体"/>
          <w:szCs w:val="21"/>
        </w:rPr>
        <w:t>向投标人提供有关现场的书面资料和数据。</w:t>
      </w:r>
    </w:p>
    <w:p w14:paraId="1786897B">
      <w:pPr>
        <w:ind w:firstLine="420" w:firstLineChars="200"/>
        <w:rPr>
          <w:rFonts w:ascii="宋体" w:hAnsi="宋体"/>
          <w:szCs w:val="21"/>
        </w:rPr>
      </w:pPr>
      <w:r>
        <w:rPr>
          <w:rFonts w:hint="eastAsia" w:ascii="宋体" w:hAnsi="宋体"/>
          <w:szCs w:val="21"/>
        </w:rPr>
        <w:t>9.4任何人或任何组织在踏勘现场时向投标人提供的任何书面资料或口头承诺，未经</w:t>
      </w:r>
      <w:r>
        <w:rPr>
          <w:rFonts w:hint="eastAsia" w:ascii="宋体" w:hAnsi="宋体"/>
          <w:szCs w:val="21"/>
          <w:highlight w:val="yellow"/>
          <w:lang w:val="en-US" w:eastAsia="zh-CN"/>
        </w:rPr>
        <w:t>采购代理机构</w:t>
      </w:r>
      <w:r>
        <w:rPr>
          <w:rFonts w:hint="eastAsia" w:ascii="宋体" w:hAnsi="宋体"/>
          <w:szCs w:val="21"/>
        </w:rPr>
        <w:t>在网上发布或书面通知，均作无效处理。</w:t>
      </w:r>
    </w:p>
    <w:p w14:paraId="25A3215A">
      <w:pPr>
        <w:ind w:firstLine="420" w:firstLineChars="200"/>
        <w:rPr>
          <w:rFonts w:ascii="宋体" w:hAnsi="宋体"/>
          <w:szCs w:val="21"/>
        </w:rPr>
      </w:pPr>
      <w:r>
        <w:rPr>
          <w:rFonts w:hint="eastAsia" w:ascii="宋体" w:hAnsi="宋体"/>
          <w:szCs w:val="21"/>
        </w:rPr>
        <w:t>9.5未参与踏勘现场不作为否定投标人资格的理由。</w:t>
      </w:r>
    </w:p>
    <w:p w14:paraId="65BEE218">
      <w:pPr>
        <w:ind w:firstLine="420" w:firstLineChars="200"/>
        <w:rPr>
          <w:rFonts w:ascii="宋体" w:hAnsi="宋体"/>
          <w:szCs w:val="21"/>
        </w:rPr>
      </w:pPr>
      <w:r>
        <w:rPr>
          <w:rFonts w:hint="eastAsia" w:ascii="黑体" w:hAnsi="宋体" w:eastAsia="黑体"/>
          <w:szCs w:val="21"/>
        </w:rPr>
        <w:t>10．标前会议</w:t>
      </w:r>
    </w:p>
    <w:p w14:paraId="6AF102EF">
      <w:pPr>
        <w:ind w:firstLine="420" w:firstLineChars="200"/>
        <w:rPr>
          <w:rFonts w:ascii="宋体" w:hAnsi="宋体"/>
          <w:szCs w:val="21"/>
        </w:rPr>
      </w:pPr>
      <w:r>
        <w:rPr>
          <w:rFonts w:hint="eastAsia" w:ascii="宋体" w:hAnsi="宋体"/>
          <w:szCs w:val="21"/>
        </w:rPr>
        <w:t>10.1如采购人或</w:t>
      </w:r>
      <w:r>
        <w:rPr>
          <w:rFonts w:hint="eastAsia" w:ascii="宋体" w:hAnsi="宋体"/>
          <w:szCs w:val="21"/>
          <w:highlight w:val="yellow"/>
          <w:lang w:val="en-US" w:eastAsia="zh-CN"/>
        </w:rPr>
        <w:t>采购代理机构</w:t>
      </w:r>
      <w:r>
        <w:rPr>
          <w:rFonts w:hint="eastAsia" w:ascii="宋体" w:hAnsi="宋体"/>
          <w:szCs w:val="21"/>
        </w:rPr>
        <w:t>认为有必要组织标前会议，投标人应按照招标文件规定的时间或</w:t>
      </w:r>
      <w:r>
        <w:rPr>
          <w:rFonts w:hint="eastAsia" w:ascii="宋体" w:hAnsi="宋体"/>
          <w:szCs w:val="21"/>
          <w:highlight w:val="yellow"/>
          <w:lang w:val="en-US" w:eastAsia="zh-CN"/>
        </w:rPr>
        <w:t>采购代理机构</w:t>
      </w:r>
      <w:r>
        <w:rPr>
          <w:rFonts w:hint="eastAsia" w:ascii="宋体" w:hAnsi="宋体"/>
          <w:szCs w:val="21"/>
        </w:rPr>
        <w:t>另行书面通知（包括</w:t>
      </w:r>
      <w:r>
        <w:rPr>
          <w:rFonts w:hint="eastAsia" w:ascii="宋体" w:hAnsi="宋体"/>
          <w:szCs w:val="21"/>
          <w:highlight w:val="yellow"/>
          <w:lang w:val="en-US" w:eastAsia="zh-CN"/>
        </w:rPr>
        <w:t>采购代理机构</w:t>
      </w:r>
      <w:r>
        <w:rPr>
          <w:rFonts w:hint="eastAsia" w:ascii="宋体" w:hAnsi="宋体"/>
          <w:szCs w:val="21"/>
        </w:rPr>
        <w:t>网站发布方式，如更正公告等）的时间和地点，参与标前会议。</w:t>
      </w:r>
    </w:p>
    <w:p w14:paraId="1D4E26FE">
      <w:pPr>
        <w:ind w:firstLine="420" w:firstLineChars="200"/>
        <w:rPr>
          <w:rFonts w:ascii="宋体" w:hAnsi="宋体"/>
          <w:szCs w:val="21"/>
        </w:rPr>
      </w:pPr>
      <w:r>
        <w:rPr>
          <w:rFonts w:hint="eastAsia" w:ascii="宋体" w:hAnsi="宋体"/>
          <w:szCs w:val="21"/>
        </w:rPr>
        <w:t>10.2任何人或任何组织在标前会议时向投标人提供的任何书面资料或口头承诺，未经</w:t>
      </w:r>
      <w:r>
        <w:rPr>
          <w:rFonts w:hint="eastAsia" w:ascii="宋体" w:hAnsi="宋体"/>
          <w:szCs w:val="21"/>
          <w:highlight w:val="yellow"/>
          <w:lang w:val="en-US" w:eastAsia="zh-CN"/>
        </w:rPr>
        <w:t>采购代理机构</w:t>
      </w:r>
      <w:r>
        <w:rPr>
          <w:rFonts w:hint="eastAsia" w:ascii="宋体" w:hAnsi="宋体"/>
          <w:szCs w:val="21"/>
        </w:rPr>
        <w:t>在网上发布或书面通知，均作无效处理。</w:t>
      </w:r>
    </w:p>
    <w:p w14:paraId="5E8FA95D">
      <w:pPr>
        <w:ind w:firstLine="420" w:firstLineChars="200"/>
        <w:rPr>
          <w:rFonts w:ascii="宋体" w:hAnsi="宋体"/>
          <w:szCs w:val="21"/>
        </w:rPr>
      </w:pPr>
      <w:r>
        <w:rPr>
          <w:rFonts w:hint="eastAsia" w:ascii="宋体" w:hAnsi="宋体"/>
          <w:szCs w:val="21"/>
        </w:rPr>
        <w:t>10.3未参与标前会议不作为否定投标人资格的理由。</w:t>
      </w:r>
    </w:p>
    <w:bookmarkEnd w:id="54"/>
    <w:p w14:paraId="6E9A44A0">
      <w:pPr>
        <w:ind w:firstLine="411" w:firstLineChars="196"/>
        <w:rPr>
          <w:rFonts w:ascii="宋体" w:hAnsi="宋体"/>
        </w:rPr>
      </w:pPr>
    </w:p>
    <w:p w14:paraId="43F63B82">
      <w:pPr>
        <w:pStyle w:val="18"/>
        <w:keepNext/>
        <w:keepLines/>
        <w:numPr>
          <w:ilvl w:val="0"/>
          <w:numId w:val="6"/>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招标文件</w:t>
      </w:r>
    </w:p>
    <w:p w14:paraId="7DB72C10">
      <w:pPr>
        <w:ind w:firstLine="420" w:firstLineChars="200"/>
        <w:rPr>
          <w:rFonts w:ascii="黑体" w:hAnsi="宋体" w:eastAsia="黑体"/>
          <w:szCs w:val="21"/>
        </w:rPr>
      </w:pPr>
      <w:r>
        <w:rPr>
          <w:rFonts w:hint="eastAsia" w:ascii="黑体" w:hAnsi="宋体" w:eastAsia="黑体"/>
          <w:szCs w:val="21"/>
        </w:rPr>
        <w:t>11．</w:t>
      </w:r>
      <w:bookmarkStart w:id="56" w:name="_Hlk72399819"/>
      <w:r>
        <w:rPr>
          <w:rFonts w:hint="eastAsia" w:ascii="黑体" w:hAnsi="宋体" w:eastAsia="黑体"/>
          <w:szCs w:val="21"/>
        </w:rPr>
        <w:t>招标文件的编制与组成</w:t>
      </w:r>
    </w:p>
    <w:p w14:paraId="0B537D5B">
      <w:pPr>
        <w:snapToGrid w:val="0"/>
        <w:ind w:firstLine="420" w:firstLineChars="200"/>
        <w:rPr>
          <w:rFonts w:ascii="宋体" w:hAnsi="宋体"/>
          <w:szCs w:val="21"/>
        </w:rPr>
      </w:pPr>
      <w:r>
        <w:rPr>
          <w:rFonts w:hint="eastAsia" w:ascii="宋体" w:hAnsi="宋体"/>
          <w:szCs w:val="21"/>
        </w:rPr>
        <w:t>11.1招标文件除以下内容外，</w:t>
      </w:r>
      <w:r>
        <w:rPr>
          <w:rFonts w:hint="eastAsia" w:ascii="宋体" w:hAnsi="宋体"/>
          <w:szCs w:val="21"/>
          <w:highlight w:val="yellow"/>
          <w:lang w:val="en-US" w:eastAsia="zh-CN"/>
        </w:rPr>
        <w:t>采购代理机构</w:t>
      </w:r>
      <w:r>
        <w:rPr>
          <w:rFonts w:hint="eastAsia" w:ascii="宋体" w:hAnsi="宋体"/>
          <w:szCs w:val="21"/>
        </w:rPr>
        <w:t>在招标期间发出的澄清或修改等相关公告或通知内容，均是招标文件的组成部分，对投标人起约束作用；</w:t>
      </w:r>
    </w:p>
    <w:p w14:paraId="3406FE36">
      <w:pPr>
        <w:ind w:firstLine="420" w:firstLineChars="200"/>
        <w:rPr>
          <w:rFonts w:ascii="宋体" w:hAnsi="宋体"/>
          <w:szCs w:val="21"/>
        </w:rPr>
      </w:pPr>
      <w:r>
        <w:rPr>
          <w:rFonts w:hint="eastAsia" w:ascii="宋体" w:hAnsi="宋体"/>
          <w:szCs w:val="21"/>
        </w:rPr>
        <w:t>招标文件包括下列内容：</w:t>
      </w:r>
    </w:p>
    <w:p w14:paraId="30BF4F97">
      <w:pPr>
        <w:ind w:firstLine="422" w:firstLineChars="200"/>
        <w:rPr>
          <w:rFonts w:ascii="宋体" w:hAnsi="宋体"/>
          <w:b/>
          <w:szCs w:val="21"/>
        </w:rPr>
      </w:pPr>
      <w:r>
        <w:rPr>
          <w:rFonts w:hint="eastAsia" w:ascii="宋体" w:hAnsi="宋体"/>
          <w:b/>
          <w:szCs w:val="21"/>
        </w:rPr>
        <w:t>第一册  专用条款</w:t>
      </w:r>
    </w:p>
    <w:p w14:paraId="3FCF03FD">
      <w:pPr>
        <w:ind w:firstLine="422" w:firstLineChars="200"/>
        <w:rPr>
          <w:rFonts w:ascii="宋体" w:hAnsi="宋体"/>
          <w:b/>
          <w:szCs w:val="21"/>
        </w:rPr>
      </w:pPr>
      <w:r>
        <w:rPr>
          <w:rFonts w:hint="eastAsia" w:ascii="宋体" w:hAnsi="宋体"/>
          <w:b/>
          <w:szCs w:val="21"/>
        </w:rPr>
        <w:t>关键信息</w:t>
      </w:r>
    </w:p>
    <w:p w14:paraId="124D1D4F">
      <w:pPr>
        <w:ind w:firstLine="420" w:firstLineChars="200"/>
        <w:rPr>
          <w:rFonts w:ascii="宋体" w:hAnsi="宋体"/>
          <w:szCs w:val="21"/>
        </w:rPr>
      </w:pPr>
      <w:r>
        <w:rPr>
          <w:rFonts w:hint="eastAsia" w:ascii="宋体" w:hAnsi="宋体"/>
          <w:szCs w:val="21"/>
        </w:rPr>
        <w:t>第一章  招标公告</w:t>
      </w:r>
    </w:p>
    <w:p w14:paraId="3454647F">
      <w:pPr>
        <w:ind w:firstLine="420" w:firstLineChars="200"/>
        <w:rPr>
          <w:rFonts w:ascii="宋体" w:hAnsi="宋体"/>
          <w:szCs w:val="21"/>
        </w:rPr>
      </w:pPr>
      <w:r>
        <w:rPr>
          <w:rFonts w:hint="eastAsia" w:ascii="宋体" w:hAnsi="宋体"/>
          <w:szCs w:val="21"/>
        </w:rPr>
        <w:t>第二章  对通用条款的补充内容及其他关键信息</w:t>
      </w:r>
    </w:p>
    <w:p w14:paraId="6629C7F2">
      <w:pPr>
        <w:ind w:firstLine="420" w:firstLineChars="200"/>
        <w:rPr>
          <w:rFonts w:ascii="宋体" w:hAnsi="宋体"/>
          <w:szCs w:val="21"/>
        </w:rPr>
      </w:pPr>
      <w:r>
        <w:rPr>
          <w:rFonts w:hint="eastAsia" w:ascii="宋体" w:hAnsi="宋体"/>
          <w:szCs w:val="21"/>
        </w:rPr>
        <w:t>第三章  用户需求书</w:t>
      </w:r>
    </w:p>
    <w:p w14:paraId="30543DB5">
      <w:pPr>
        <w:ind w:firstLine="420" w:firstLineChars="200"/>
        <w:rPr>
          <w:rFonts w:ascii="宋体" w:hAnsi="宋体"/>
          <w:szCs w:val="21"/>
        </w:rPr>
      </w:pPr>
      <w:r>
        <w:rPr>
          <w:rFonts w:hint="eastAsia"/>
          <w:szCs w:val="21"/>
        </w:rPr>
        <w:t>第四章</w:t>
      </w:r>
      <w:r>
        <w:rPr>
          <w:szCs w:val="21"/>
        </w:rPr>
        <w:t xml:space="preserve">  </w:t>
      </w:r>
      <w:r>
        <w:rPr>
          <w:rFonts w:hint="eastAsia"/>
          <w:szCs w:val="21"/>
        </w:rPr>
        <w:t>投标文件格式及附件</w:t>
      </w:r>
    </w:p>
    <w:p w14:paraId="68820E9A">
      <w:pPr>
        <w:ind w:firstLine="420" w:firstLineChars="200"/>
        <w:rPr>
          <w:rFonts w:ascii="宋体" w:hAnsi="宋体"/>
          <w:szCs w:val="21"/>
        </w:rPr>
      </w:pPr>
      <w:r>
        <w:rPr>
          <w:rFonts w:hint="eastAsia" w:ascii="宋体" w:hAnsi="宋体"/>
          <w:szCs w:val="21"/>
        </w:rPr>
        <w:t>第五章  合同条款及格式</w:t>
      </w:r>
    </w:p>
    <w:p w14:paraId="6A8D46A1">
      <w:pPr>
        <w:ind w:firstLine="422" w:firstLineChars="200"/>
        <w:rPr>
          <w:rFonts w:ascii="宋体" w:hAnsi="宋体"/>
          <w:b/>
          <w:szCs w:val="21"/>
        </w:rPr>
      </w:pPr>
      <w:r>
        <w:rPr>
          <w:rFonts w:hint="eastAsia" w:ascii="宋体" w:hAnsi="宋体"/>
          <w:b/>
          <w:szCs w:val="21"/>
        </w:rPr>
        <w:t>第二册  通用条款</w:t>
      </w:r>
    </w:p>
    <w:p w14:paraId="1DA0AAF2">
      <w:pPr>
        <w:ind w:firstLine="420" w:firstLineChars="200"/>
        <w:rPr>
          <w:rFonts w:ascii="宋体" w:hAnsi="宋体"/>
          <w:szCs w:val="21"/>
        </w:rPr>
      </w:pPr>
      <w:r>
        <w:rPr>
          <w:rFonts w:hint="eastAsia" w:ascii="宋体" w:hAnsi="宋体"/>
          <w:szCs w:val="21"/>
        </w:rPr>
        <w:t>第一章  总则</w:t>
      </w:r>
    </w:p>
    <w:p w14:paraId="0A349D71">
      <w:pPr>
        <w:ind w:firstLine="420" w:firstLineChars="200"/>
        <w:rPr>
          <w:rFonts w:ascii="宋体" w:hAnsi="宋体"/>
          <w:szCs w:val="21"/>
        </w:rPr>
      </w:pPr>
      <w:r>
        <w:rPr>
          <w:rFonts w:hint="eastAsia" w:ascii="宋体" w:hAnsi="宋体"/>
          <w:szCs w:val="21"/>
        </w:rPr>
        <w:t>第二章  招标文件</w:t>
      </w:r>
    </w:p>
    <w:p w14:paraId="2D558404">
      <w:pPr>
        <w:ind w:firstLine="420" w:firstLineChars="200"/>
        <w:rPr>
          <w:rFonts w:ascii="宋体" w:hAnsi="宋体"/>
          <w:szCs w:val="21"/>
        </w:rPr>
      </w:pPr>
      <w:r>
        <w:rPr>
          <w:rFonts w:hint="eastAsia" w:ascii="宋体" w:hAnsi="宋体"/>
          <w:szCs w:val="21"/>
        </w:rPr>
        <w:t>第三章  投标文件的编制</w:t>
      </w:r>
    </w:p>
    <w:p w14:paraId="38F4CED8">
      <w:pPr>
        <w:ind w:firstLine="420" w:firstLineChars="200"/>
        <w:rPr>
          <w:rFonts w:ascii="宋体" w:hAnsi="宋体"/>
          <w:szCs w:val="21"/>
        </w:rPr>
      </w:pPr>
      <w:r>
        <w:rPr>
          <w:rFonts w:hint="eastAsia" w:ascii="宋体" w:hAnsi="宋体"/>
          <w:szCs w:val="21"/>
        </w:rPr>
        <w:t>第四章  投标文件的递交</w:t>
      </w:r>
    </w:p>
    <w:p w14:paraId="5C17C16B">
      <w:pPr>
        <w:ind w:firstLine="420" w:firstLineChars="200"/>
        <w:rPr>
          <w:rFonts w:ascii="宋体" w:hAnsi="宋体"/>
          <w:szCs w:val="21"/>
        </w:rPr>
      </w:pPr>
      <w:r>
        <w:rPr>
          <w:rFonts w:hint="eastAsia" w:ascii="宋体" w:hAnsi="宋体"/>
          <w:szCs w:val="21"/>
        </w:rPr>
        <w:t>第五章  开标</w:t>
      </w:r>
    </w:p>
    <w:p w14:paraId="2B518565">
      <w:pPr>
        <w:ind w:firstLine="420" w:firstLineChars="200"/>
        <w:rPr>
          <w:rFonts w:ascii="宋体" w:hAnsi="宋体"/>
          <w:szCs w:val="21"/>
        </w:rPr>
      </w:pPr>
      <w:r>
        <w:rPr>
          <w:rFonts w:hint="eastAsia" w:ascii="宋体" w:hAnsi="宋体"/>
          <w:szCs w:val="21"/>
        </w:rPr>
        <w:t>第六章  评审要求</w:t>
      </w:r>
    </w:p>
    <w:p w14:paraId="3F42A214">
      <w:pPr>
        <w:ind w:firstLine="420" w:firstLineChars="200"/>
        <w:rPr>
          <w:rFonts w:ascii="宋体" w:hAnsi="宋体"/>
          <w:szCs w:val="21"/>
        </w:rPr>
      </w:pPr>
      <w:r>
        <w:rPr>
          <w:rFonts w:hint="eastAsia" w:ascii="宋体" w:hAnsi="宋体"/>
          <w:szCs w:val="21"/>
        </w:rPr>
        <w:t>第七章  评审程序及评审方法</w:t>
      </w:r>
    </w:p>
    <w:p w14:paraId="12A380E6">
      <w:pPr>
        <w:ind w:firstLine="420" w:firstLineChars="200"/>
        <w:rPr>
          <w:rFonts w:ascii="宋体" w:hAnsi="宋体"/>
          <w:szCs w:val="21"/>
        </w:rPr>
      </w:pPr>
      <w:r>
        <w:rPr>
          <w:rFonts w:hint="eastAsia" w:ascii="宋体" w:hAnsi="宋体"/>
          <w:szCs w:val="21"/>
        </w:rPr>
        <w:t>第八章  定标及公示</w:t>
      </w:r>
    </w:p>
    <w:p w14:paraId="67FCB156">
      <w:pPr>
        <w:ind w:firstLine="420" w:firstLineChars="200"/>
        <w:rPr>
          <w:rFonts w:ascii="宋体" w:hAnsi="宋体"/>
          <w:szCs w:val="21"/>
        </w:rPr>
      </w:pPr>
      <w:r>
        <w:rPr>
          <w:rFonts w:hint="eastAsia" w:ascii="宋体" w:hAnsi="宋体"/>
          <w:szCs w:val="21"/>
        </w:rPr>
        <w:t>第九章  公开招标失败的后续处理</w:t>
      </w:r>
    </w:p>
    <w:p w14:paraId="27661F60">
      <w:pPr>
        <w:ind w:firstLine="420" w:firstLineChars="200"/>
        <w:rPr>
          <w:rFonts w:ascii="宋体" w:hAnsi="宋体"/>
          <w:szCs w:val="21"/>
        </w:rPr>
      </w:pPr>
      <w:r>
        <w:rPr>
          <w:rFonts w:hint="eastAsia" w:ascii="宋体" w:hAnsi="宋体"/>
          <w:szCs w:val="21"/>
        </w:rPr>
        <w:t>第十章  合同的授予与备案</w:t>
      </w:r>
    </w:p>
    <w:p w14:paraId="5607548B">
      <w:pPr>
        <w:ind w:firstLine="420" w:firstLineChars="200"/>
        <w:rPr>
          <w:rFonts w:ascii="宋体" w:hAnsi="宋体"/>
          <w:szCs w:val="21"/>
        </w:rPr>
      </w:pPr>
      <w:r>
        <w:rPr>
          <w:rFonts w:hint="eastAsia" w:ascii="宋体" w:hAnsi="宋体"/>
          <w:szCs w:val="21"/>
        </w:rPr>
        <w:t>第十一章  质疑处理</w:t>
      </w:r>
    </w:p>
    <w:p w14:paraId="673A2210">
      <w:pPr>
        <w:ind w:firstLine="420" w:firstLineChars="200"/>
        <w:rPr>
          <w:rFonts w:ascii="宋体" w:hAnsi="宋体"/>
          <w:szCs w:val="21"/>
        </w:rPr>
      </w:pPr>
      <w:r>
        <w:rPr>
          <w:rFonts w:hint="eastAsia" w:ascii="宋体" w:hAnsi="宋体"/>
          <w:szCs w:val="21"/>
        </w:rPr>
        <w:t>11.2 投标人下载招标文件后，应仔细检查招标文件的所有内容，如有疑问应在答疑截止时间之前向</w:t>
      </w:r>
      <w:r>
        <w:rPr>
          <w:rFonts w:hint="eastAsia" w:ascii="宋体" w:hAnsi="宋体"/>
          <w:szCs w:val="21"/>
          <w:highlight w:val="yellow"/>
          <w:lang w:val="en-US" w:eastAsia="zh-CN"/>
        </w:rPr>
        <w:t>采购代理机构</w:t>
      </w:r>
      <w:r>
        <w:rPr>
          <w:rFonts w:hint="eastAsia" w:ascii="宋体" w:hAnsi="宋体"/>
          <w:szCs w:val="21"/>
        </w:rPr>
        <w:t>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14:paraId="511BEF25">
      <w:pPr>
        <w:ind w:firstLine="420" w:firstLineChars="200"/>
        <w:rPr>
          <w:rFonts w:ascii="宋体" w:hAnsi="宋体"/>
          <w:szCs w:val="21"/>
        </w:rPr>
      </w:pPr>
      <w:r>
        <w:rPr>
          <w:rFonts w:hint="eastAsia" w:ascii="宋体" w:hAnsi="宋体"/>
          <w:szCs w:val="21"/>
        </w:rPr>
        <w:t>11.3任何人或任何组织向投标人提交的任何书面或口头资料，未经</w:t>
      </w:r>
      <w:r>
        <w:rPr>
          <w:rFonts w:hint="eastAsia" w:ascii="宋体" w:hAnsi="宋体"/>
          <w:szCs w:val="21"/>
          <w:highlight w:val="yellow"/>
          <w:lang w:val="en-US" w:eastAsia="zh-CN"/>
        </w:rPr>
        <w:t>采购代理机构</w:t>
      </w:r>
      <w:r>
        <w:rPr>
          <w:rFonts w:hint="eastAsia" w:ascii="宋体" w:hAnsi="宋体"/>
          <w:szCs w:val="21"/>
        </w:rPr>
        <w:t>在网上发布或书面通知，均作无效处理，不得作为招标文件的组成部分。</w:t>
      </w:r>
      <w:r>
        <w:rPr>
          <w:rFonts w:hint="eastAsia" w:ascii="宋体" w:hAnsi="宋体"/>
          <w:szCs w:val="21"/>
          <w:highlight w:val="yellow"/>
          <w:lang w:val="en-US" w:eastAsia="zh-CN"/>
        </w:rPr>
        <w:t>采购代理机构</w:t>
      </w:r>
      <w:r>
        <w:rPr>
          <w:rFonts w:hint="eastAsia" w:ascii="宋体" w:hAnsi="宋体"/>
          <w:szCs w:val="21"/>
        </w:rPr>
        <w:t>对投标人由此而做出的推论、理解和结论概不负责。</w:t>
      </w:r>
    </w:p>
    <w:p w14:paraId="1F2FACEE">
      <w:pPr>
        <w:ind w:firstLine="420" w:firstLineChars="200"/>
        <w:rPr>
          <w:rFonts w:ascii="黑体" w:hAnsi="宋体" w:eastAsia="黑体"/>
          <w:szCs w:val="21"/>
        </w:rPr>
      </w:pPr>
      <w:r>
        <w:rPr>
          <w:rFonts w:hint="eastAsia" w:ascii="黑体" w:hAnsi="宋体" w:eastAsia="黑体"/>
          <w:szCs w:val="21"/>
        </w:rPr>
        <w:t>12．招标文件的澄清</w:t>
      </w:r>
    </w:p>
    <w:p w14:paraId="747E342E">
      <w:pPr>
        <w:ind w:firstLine="420" w:firstLineChars="200"/>
        <w:rPr>
          <w:rFonts w:ascii="宋体" w:hAnsi="宋体"/>
          <w:szCs w:val="21"/>
        </w:rPr>
      </w:pPr>
      <w:r>
        <w:rPr>
          <w:rFonts w:hint="eastAsia" w:ascii="宋体" w:hAnsi="宋体"/>
          <w:szCs w:val="21"/>
        </w:rPr>
        <w:t>12.1招标文件澄清的目的是澄清、解答投标人在查阅招标文件后或现场踏勘中可能提出的与投标有关的疑问或询问。</w:t>
      </w:r>
    </w:p>
    <w:p w14:paraId="0D072625">
      <w:pPr>
        <w:ind w:firstLine="420" w:firstLineChars="200"/>
        <w:rPr>
          <w:rFonts w:ascii="宋体" w:hAnsi="宋体"/>
          <w:color w:val="FF0000"/>
          <w:szCs w:val="21"/>
        </w:rPr>
      </w:pPr>
      <w:r>
        <w:rPr>
          <w:rFonts w:hint="eastAsia" w:ascii="宋体" w:hAnsi="宋体"/>
          <w:color w:val="FF0000"/>
          <w:szCs w:val="21"/>
        </w:rPr>
        <w:t>12.2投标人如对招标文件内容有疑问，应当在招标公告规定的澄清（提问）截止时间前将疑问内容加盖公章书面提交至</w:t>
      </w:r>
      <w:r>
        <w:rPr>
          <w:rFonts w:hint="eastAsia" w:ascii="宋体" w:hAnsi="宋体"/>
          <w:color w:val="FF0000"/>
          <w:szCs w:val="21"/>
          <w:highlight w:val="yellow"/>
          <w:lang w:val="en-US" w:eastAsia="zh-CN"/>
        </w:rPr>
        <w:t>采购代理机构</w:t>
      </w:r>
      <w:r>
        <w:rPr>
          <w:rFonts w:hint="eastAsia" w:ascii="宋体" w:hAnsi="宋体"/>
          <w:color w:val="FF0000"/>
          <w:szCs w:val="21"/>
        </w:rPr>
        <w:t>。</w:t>
      </w:r>
    </w:p>
    <w:p w14:paraId="2364079E">
      <w:pPr>
        <w:ind w:firstLine="420" w:firstLineChars="200"/>
        <w:rPr>
          <w:rFonts w:ascii="宋体" w:hAnsi="宋体"/>
          <w:szCs w:val="21"/>
        </w:rPr>
      </w:pPr>
      <w:r>
        <w:rPr>
          <w:rFonts w:hint="eastAsia" w:ascii="宋体" w:hAnsi="宋体"/>
          <w:szCs w:val="21"/>
        </w:rPr>
        <w:t>12.3不论是</w:t>
      </w:r>
      <w:r>
        <w:rPr>
          <w:rFonts w:hint="eastAsia" w:ascii="宋体" w:hAnsi="宋体"/>
          <w:szCs w:val="21"/>
          <w:highlight w:val="yellow"/>
          <w:lang w:val="en-US" w:eastAsia="zh-CN"/>
        </w:rPr>
        <w:t>采购代理机构</w:t>
      </w:r>
      <w:r>
        <w:rPr>
          <w:rFonts w:hint="eastAsia" w:ascii="宋体" w:hAnsi="宋体"/>
          <w:szCs w:val="21"/>
        </w:rPr>
        <w:t>根据需要主动对招标文件进行必要的澄清或是根据投标人的要求对招标文件做出澄清，</w:t>
      </w:r>
      <w:r>
        <w:rPr>
          <w:rFonts w:hint="eastAsia" w:ascii="宋体" w:hAnsi="宋体"/>
          <w:szCs w:val="21"/>
          <w:highlight w:val="yellow"/>
          <w:lang w:val="en-US" w:eastAsia="zh-CN"/>
        </w:rPr>
        <w:t>采购代理机构</w:t>
      </w:r>
      <w:r>
        <w:rPr>
          <w:rFonts w:hint="eastAsia" w:ascii="宋体" w:hAnsi="宋体"/>
          <w:szCs w:val="21"/>
        </w:rPr>
        <w:t>都将在投标截止日期前以书面形式（包括</w:t>
      </w:r>
      <w:r>
        <w:rPr>
          <w:rFonts w:hint="eastAsia" w:ascii="宋体" w:hAnsi="宋体"/>
          <w:szCs w:val="21"/>
          <w:highlight w:val="yellow"/>
          <w:lang w:val="en-US" w:eastAsia="zh-CN"/>
        </w:rPr>
        <w:t>采购代理机构</w:t>
      </w:r>
      <w:r>
        <w:rPr>
          <w:rFonts w:hint="eastAsia" w:ascii="宋体" w:hAnsi="宋体"/>
          <w:szCs w:val="21"/>
        </w:rPr>
        <w:t>网站发布方式）答复或发送给所有投标人。答复内容是招标文件的组成部分，对投标人起约束作用，其有效性按照本通用条款第13.3、13.4款规定执行。</w:t>
      </w:r>
    </w:p>
    <w:p w14:paraId="5BABFFC8">
      <w:pPr>
        <w:ind w:firstLine="420" w:firstLineChars="200"/>
        <w:rPr>
          <w:rFonts w:ascii="黑体" w:hAnsi="宋体" w:eastAsia="黑体"/>
          <w:szCs w:val="21"/>
        </w:rPr>
      </w:pPr>
      <w:r>
        <w:rPr>
          <w:rFonts w:hint="eastAsia" w:ascii="黑体" w:hAnsi="宋体" w:eastAsia="黑体"/>
          <w:szCs w:val="21"/>
        </w:rPr>
        <w:t>13．招标文件的修改</w:t>
      </w:r>
    </w:p>
    <w:p w14:paraId="1A689A92">
      <w:pPr>
        <w:ind w:firstLine="420" w:firstLineChars="200"/>
        <w:rPr>
          <w:rFonts w:ascii="宋体" w:hAnsi="宋体"/>
          <w:szCs w:val="21"/>
        </w:rPr>
      </w:pPr>
      <w:r>
        <w:rPr>
          <w:rFonts w:hint="eastAsia" w:ascii="宋体" w:hAnsi="宋体"/>
          <w:szCs w:val="21"/>
        </w:rPr>
        <w:t>13.1招标文件发出后，在投标截止日期前任何时候，确需要变更招标文件内容的，</w:t>
      </w:r>
      <w:r>
        <w:rPr>
          <w:rFonts w:hint="eastAsia" w:ascii="宋体" w:hAnsi="宋体"/>
          <w:szCs w:val="21"/>
          <w:highlight w:val="yellow"/>
          <w:lang w:val="en-US" w:eastAsia="zh-CN"/>
        </w:rPr>
        <w:t>采购代理机构</w:t>
      </w:r>
      <w:r>
        <w:rPr>
          <w:rFonts w:hint="eastAsia" w:ascii="宋体" w:hAnsi="宋体"/>
          <w:szCs w:val="21"/>
        </w:rPr>
        <w:t>可主动或在解答投标人提出的澄清问题时对招标文件进行修改。</w:t>
      </w:r>
    </w:p>
    <w:p w14:paraId="5E497353">
      <w:pPr>
        <w:ind w:firstLine="420" w:firstLineChars="200"/>
        <w:rPr>
          <w:rFonts w:ascii="宋体" w:hAnsi="宋体"/>
          <w:szCs w:val="21"/>
        </w:rPr>
      </w:pPr>
      <w:r>
        <w:rPr>
          <w:rFonts w:hint="eastAsia" w:ascii="宋体" w:hAnsi="宋体"/>
          <w:szCs w:val="21"/>
        </w:rPr>
        <w:t>13.2招标文件的修改以书面形式（包括</w:t>
      </w:r>
      <w:r>
        <w:rPr>
          <w:rFonts w:hint="eastAsia" w:ascii="宋体" w:hAnsi="宋体"/>
          <w:szCs w:val="21"/>
          <w:highlight w:val="yellow"/>
          <w:lang w:val="en-US" w:eastAsia="zh-CN"/>
        </w:rPr>
        <w:t>采购代理机构</w:t>
      </w:r>
      <w:r>
        <w:rPr>
          <w:rFonts w:hint="eastAsia" w:ascii="宋体" w:hAnsi="宋体"/>
          <w:szCs w:val="21"/>
        </w:rPr>
        <w:t>网站发布方式，如更正公告等）发送给所有投标人，招标文件的修改内容作为招标文件的组成部分，并具有约束力。</w:t>
      </w:r>
    </w:p>
    <w:p w14:paraId="253E7E49">
      <w:pPr>
        <w:ind w:firstLine="420" w:firstLineChars="200"/>
        <w:rPr>
          <w:rFonts w:ascii="宋体" w:hAnsi="宋体"/>
          <w:szCs w:val="21"/>
        </w:rPr>
      </w:pPr>
      <w:r>
        <w:rPr>
          <w:rFonts w:hint="eastAsia" w:ascii="宋体" w:hAnsi="宋体"/>
          <w:szCs w:val="21"/>
        </w:rPr>
        <w:t>13.3招标文件、招标文件澄清答复内容、招标文件修改补充内容均以书面形式（包括</w:t>
      </w:r>
      <w:r>
        <w:rPr>
          <w:rFonts w:hint="eastAsia" w:ascii="宋体" w:hAnsi="宋体"/>
          <w:szCs w:val="21"/>
          <w:highlight w:val="yellow"/>
          <w:lang w:val="en-US" w:eastAsia="zh-CN"/>
        </w:rPr>
        <w:t>采购代理机构</w:t>
      </w:r>
      <w:r>
        <w:rPr>
          <w:rFonts w:hint="eastAsia" w:ascii="宋体" w:hAnsi="宋体"/>
          <w:szCs w:val="21"/>
        </w:rPr>
        <w:t>网站公开发布方式，如更正公告等）明确的内容为准。当招标文件、修改补充通知、招标文件澄清答复内容相互矛盾时，以最后发出的内容为准。</w:t>
      </w:r>
    </w:p>
    <w:p w14:paraId="3CAA264F">
      <w:pPr>
        <w:ind w:firstLine="420" w:firstLineChars="200"/>
        <w:rPr>
          <w:rFonts w:ascii="宋体" w:hAnsi="宋体"/>
          <w:szCs w:val="21"/>
        </w:rPr>
      </w:pPr>
      <w:r>
        <w:rPr>
          <w:rFonts w:hint="eastAsia" w:ascii="宋体" w:hAnsi="宋体"/>
          <w:szCs w:val="21"/>
        </w:rPr>
        <w:t>13.4</w:t>
      </w:r>
      <w:r>
        <w:rPr>
          <w:rFonts w:hint="eastAsia" w:ascii="宋体" w:hAnsi="宋体"/>
          <w:szCs w:val="21"/>
          <w:highlight w:val="yellow"/>
          <w:lang w:val="en-US" w:eastAsia="zh-CN"/>
        </w:rPr>
        <w:t>采购代理机构</w:t>
      </w:r>
      <w:r>
        <w:rPr>
          <w:rFonts w:hint="eastAsia" w:ascii="宋体" w:hAnsi="宋体"/>
          <w:szCs w:val="21"/>
        </w:rPr>
        <w:t>保证招标文件澄清答复内容和招标文件修改补充内容在投标截止时间前以书面形式（包括</w:t>
      </w:r>
      <w:r>
        <w:rPr>
          <w:rFonts w:hint="eastAsia" w:ascii="宋体" w:hAnsi="宋体"/>
          <w:szCs w:val="21"/>
          <w:highlight w:val="yellow"/>
          <w:lang w:val="en-US" w:eastAsia="zh-CN"/>
        </w:rPr>
        <w:t>采购代理机构</w:t>
      </w:r>
      <w:r>
        <w:rPr>
          <w:rFonts w:hint="eastAsia" w:ascii="宋体" w:hAnsi="宋体"/>
          <w:szCs w:val="21"/>
        </w:rPr>
        <w:t>网站发布方式，如更正公告等）发送给所有投标人。为使投标人在编制投标文件时有充分时间对招标文件的修改部分进行研究，</w:t>
      </w:r>
      <w:r>
        <w:rPr>
          <w:rFonts w:hint="eastAsia" w:ascii="宋体" w:hAnsi="宋体"/>
          <w:szCs w:val="21"/>
          <w:highlight w:val="yellow"/>
          <w:lang w:val="en-US" w:eastAsia="zh-CN"/>
        </w:rPr>
        <w:t>采购代理机构</w:t>
      </w:r>
      <w:r>
        <w:rPr>
          <w:rFonts w:hint="eastAsia" w:ascii="宋体" w:hAnsi="宋体"/>
          <w:szCs w:val="21"/>
        </w:rPr>
        <w:t>可以酌情延长递交投标文件的截止日期。</w:t>
      </w:r>
      <w:bookmarkEnd w:id="56"/>
    </w:p>
    <w:p w14:paraId="1A7A28C3">
      <w:pPr>
        <w:rPr>
          <w:rFonts w:ascii="宋体" w:hAnsi="宋体"/>
          <w:szCs w:val="21"/>
        </w:rPr>
      </w:pPr>
    </w:p>
    <w:p w14:paraId="7A4193E1">
      <w:pPr>
        <w:pStyle w:val="18"/>
        <w:keepNext/>
        <w:keepLines/>
        <w:numPr>
          <w:ilvl w:val="0"/>
          <w:numId w:val="6"/>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投标文件的编制</w:t>
      </w:r>
    </w:p>
    <w:p w14:paraId="3CF0ABA7">
      <w:pPr>
        <w:ind w:firstLine="420" w:firstLineChars="200"/>
        <w:rPr>
          <w:rFonts w:ascii="黑体" w:hAnsi="宋体" w:eastAsia="黑体"/>
          <w:szCs w:val="21"/>
        </w:rPr>
      </w:pPr>
      <w:r>
        <w:rPr>
          <w:rFonts w:hint="eastAsia" w:ascii="黑体" w:hAnsi="宋体" w:eastAsia="黑体"/>
          <w:szCs w:val="21"/>
        </w:rPr>
        <w:t>14．</w:t>
      </w:r>
      <w:bookmarkStart w:id="57" w:name="_Hlk72400236"/>
      <w:r>
        <w:rPr>
          <w:rFonts w:hint="eastAsia" w:ascii="黑体" w:hAnsi="宋体" w:eastAsia="黑体"/>
          <w:szCs w:val="21"/>
        </w:rPr>
        <w:t>投标文件的语言及度量单位</w:t>
      </w:r>
    </w:p>
    <w:p w14:paraId="71F3E463">
      <w:pPr>
        <w:ind w:firstLine="420" w:firstLineChars="200"/>
        <w:rPr>
          <w:rFonts w:ascii="宋体" w:hAnsi="宋体"/>
          <w:szCs w:val="21"/>
        </w:rPr>
      </w:pPr>
      <w:r>
        <w:rPr>
          <w:rFonts w:hint="eastAsia" w:ascii="宋体" w:hAnsi="宋体"/>
          <w:szCs w:val="21"/>
        </w:rPr>
        <w:t>14.1 投标人与</w:t>
      </w:r>
      <w:r>
        <w:rPr>
          <w:rFonts w:hint="eastAsia" w:ascii="宋体" w:hAnsi="宋体"/>
          <w:szCs w:val="21"/>
          <w:highlight w:val="yellow"/>
          <w:lang w:val="en-US" w:eastAsia="zh-CN"/>
        </w:rPr>
        <w:t>采购代理机构</w:t>
      </w:r>
      <w:r>
        <w:rPr>
          <w:rFonts w:hint="eastAsia" w:ascii="宋体" w:hAnsi="宋体"/>
          <w:szCs w:val="21"/>
        </w:rPr>
        <w:t>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14:paraId="3C09F649">
      <w:pPr>
        <w:ind w:firstLine="420" w:firstLineChars="200"/>
        <w:rPr>
          <w:rFonts w:ascii="宋体" w:hAnsi="宋体"/>
          <w:szCs w:val="21"/>
        </w:rPr>
      </w:pPr>
      <w:r>
        <w:rPr>
          <w:rFonts w:hint="eastAsia" w:ascii="宋体" w:hAnsi="宋体"/>
          <w:szCs w:val="21"/>
        </w:rPr>
        <w:t>14.2 除技术规范另有规定外，投标文件使用的度量单位，均采用中华人民共和国法定计量单位。</w:t>
      </w:r>
    </w:p>
    <w:bookmarkEnd w:id="57"/>
    <w:p w14:paraId="38077EBB">
      <w:pPr>
        <w:ind w:firstLine="420" w:firstLineChars="200"/>
        <w:rPr>
          <w:rFonts w:ascii="黑体" w:hAnsi="宋体" w:eastAsia="黑体"/>
          <w:szCs w:val="21"/>
        </w:rPr>
      </w:pPr>
      <w:r>
        <w:rPr>
          <w:rFonts w:hint="eastAsia" w:ascii="黑体" w:hAnsi="宋体" w:eastAsia="黑体"/>
          <w:szCs w:val="21"/>
        </w:rPr>
        <w:t>15．</w:t>
      </w:r>
      <w:bookmarkStart w:id="58" w:name="_Hlk72401567"/>
      <w:r>
        <w:rPr>
          <w:rFonts w:hint="eastAsia" w:ascii="黑体" w:hAnsi="宋体" w:eastAsia="黑体"/>
          <w:szCs w:val="21"/>
        </w:rPr>
        <w:t>投标文件的组成</w:t>
      </w:r>
    </w:p>
    <w:p w14:paraId="6DE515F6">
      <w:pPr>
        <w:ind w:firstLine="420" w:firstLineChars="200"/>
        <w:rPr>
          <w:rFonts w:ascii="宋体" w:hAnsi="宋体"/>
          <w:szCs w:val="21"/>
        </w:rPr>
      </w:pPr>
      <w:r>
        <w:rPr>
          <w:rFonts w:hint="eastAsia" w:ascii="宋体" w:hAnsi="宋体"/>
          <w:szCs w:val="21"/>
        </w:rPr>
        <w:t>具体内容在招标文件专用条款中进行规定。</w:t>
      </w:r>
    </w:p>
    <w:p w14:paraId="41869AB6">
      <w:pPr>
        <w:ind w:firstLine="420" w:firstLineChars="200"/>
        <w:rPr>
          <w:rFonts w:ascii="黑体" w:hAnsi="宋体" w:eastAsia="黑体"/>
          <w:szCs w:val="21"/>
        </w:rPr>
      </w:pPr>
      <w:r>
        <w:rPr>
          <w:rFonts w:hint="eastAsia" w:ascii="黑体" w:hAnsi="宋体" w:eastAsia="黑体"/>
          <w:szCs w:val="21"/>
        </w:rPr>
        <w:t>16．投标文件格式</w:t>
      </w:r>
    </w:p>
    <w:p w14:paraId="2DE00BCA">
      <w:pPr>
        <w:ind w:firstLine="420" w:firstLineChars="200"/>
        <w:rPr>
          <w:rFonts w:ascii="宋体" w:hAnsi="宋体"/>
          <w:szCs w:val="21"/>
        </w:rPr>
      </w:pPr>
      <w:r>
        <w:rPr>
          <w:rFonts w:hint="eastAsia" w:ascii="宋体" w:hAnsi="宋体"/>
          <w:szCs w:val="21"/>
        </w:rPr>
        <w:t>投标文件包括本通用条款第15条中规定的内容。如招标文件提供了投标文件格式，则</w:t>
      </w:r>
      <w:r>
        <w:rPr>
          <w:rFonts w:hint="eastAsia" w:ascii="宋体" w:hAnsi="宋体"/>
          <w:b/>
          <w:bCs/>
          <w:szCs w:val="21"/>
        </w:rPr>
        <w:t>投标人提交的投标文件应毫无例外地使用招标文件所提供的相应格式</w:t>
      </w:r>
      <w:r>
        <w:rPr>
          <w:rFonts w:hint="eastAsia" w:ascii="宋体" w:hAnsi="宋体"/>
          <w:szCs w:val="21"/>
        </w:rPr>
        <w:t>（表格均可按同样格式扩展）。</w:t>
      </w:r>
    </w:p>
    <w:p w14:paraId="15BCB720">
      <w:pPr>
        <w:ind w:firstLine="420" w:firstLineChars="200"/>
        <w:rPr>
          <w:rFonts w:ascii="黑体" w:hAnsi="宋体" w:eastAsia="黑体"/>
          <w:szCs w:val="21"/>
        </w:rPr>
      </w:pPr>
      <w:r>
        <w:rPr>
          <w:rFonts w:hint="eastAsia" w:ascii="黑体" w:hAnsi="宋体" w:eastAsia="黑体"/>
          <w:szCs w:val="21"/>
        </w:rPr>
        <w:t>17．投标货币</w:t>
      </w:r>
    </w:p>
    <w:p w14:paraId="0CB9CAFF">
      <w:pPr>
        <w:ind w:firstLine="420" w:firstLineChars="200"/>
        <w:rPr>
          <w:rFonts w:ascii="宋体" w:hAnsi="宋体"/>
          <w:szCs w:val="21"/>
        </w:rPr>
      </w:pPr>
      <w:r>
        <w:rPr>
          <w:rFonts w:hint="eastAsia" w:ascii="宋体" w:hAnsi="宋体"/>
          <w:szCs w:val="21"/>
        </w:rPr>
        <w:t>本项目的投标报价应以人民币计。</w:t>
      </w:r>
    </w:p>
    <w:bookmarkEnd w:id="58"/>
    <w:p w14:paraId="5EFB8845">
      <w:pPr>
        <w:ind w:firstLine="420" w:firstLineChars="200"/>
        <w:rPr>
          <w:rFonts w:ascii="黑体" w:hAnsi="宋体" w:eastAsia="黑体"/>
          <w:szCs w:val="21"/>
        </w:rPr>
      </w:pPr>
      <w:r>
        <w:rPr>
          <w:rFonts w:hint="eastAsia" w:ascii="黑体" w:hAnsi="宋体" w:eastAsia="黑体"/>
          <w:szCs w:val="21"/>
        </w:rPr>
        <w:t>18．</w:t>
      </w:r>
      <w:bookmarkStart w:id="59" w:name="_Hlk72401735"/>
      <w:r>
        <w:rPr>
          <w:rFonts w:hint="eastAsia" w:ascii="黑体" w:hAnsi="宋体" w:eastAsia="黑体"/>
          <w:szCs w:val="21"/>
        </w:rPr>
        <w:t>证明投标文件投标技术方案的合格性和符合招标文件规定的文件要求</w:t>
      </w:r>
    </w:p>
    <w:p w14:paraId="4184802B">
      <w:pPr>
        <w:ind w:firstLine="420" w:firstLineChars="200"/>
        <w:rPr>
          <w:rFonts w:ascii="宋体" w:hAnsi="宋体"/>
          <w:szCs w:val="21"/>
        </w:rPr>
      </w:pPr>
      <w:r>
        <w:rPr>
          <w:rFonts w:hint="eastAsia" w:ascii="宋体" w:hAnsi="宋体"/>
          <w:szCs w:val="21"/>
        </w:rPr>
        <w:t>18.1 投标人应提交证明文件，证明其投标技术方案项下的货物和服务的合格性符合招标文件规定。该投标技术方案及其证明文件均作为投标文件组成部分。</w:t>
      </w:r>
    </w:p>
    <w:p w14:paraId="2DF4A2B2">
      <w:pPr>
        <w:ind w:firstLine="420" w:firstLineChars="200"/>
        <w:rPr>
          <w:rFonts w:ascii="宋体" w:hAnsi="宋体"/>
          <w:szCs w:val="21"/>
        </w:rPr>
      </w:pPr>
      <w:r>
        <w:rPr>
          <w:rFonts w:hint="eastAsia" w:ascii="宋体" w:hAnsi="宋体"/>
          <w:szCs w:val="21"/>
        </w:rPr>
        <w:t>18.2 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14:paraId="5BCB917A">
      <w:pPr>
        <w:ind w:firstLine="420" w:firstLineChars="200"/>
        <w:rPr>
          <w:rFonts w:ascii="宋体" w:hAnsi="宋体"/>
          <w:szCs w:val="21"/>
        </w:rPr>
      </w:pPr>
      <w:r>
        <w:rPr>
          <w:rFonts w:hint="eastAsia" w:ascii="宋体" w:hAnsi="宋体"/>
          <w:szCs w:val="21"/>
        </w:rPr>
        <w:t>18.2.1主要技术指标和性能的详细说明。</w:t>
      </w:r>
    </w:p>
    <w:p w14:paraId="3EB5B8F5">
      <w:pPr>
        <w:ind w:firstLine="420" w:firstLineChars="200"/>
        <w:rPr>
          <w:rFonts w:ascii="宋体" w:hAnsi="宋体"/>
          <w:szCs w:val="21"/>
        </w:rPr>
      </w:pPr>
      <w:r>
        <w:rPr>
          <w:rFonts w:hint="eastAsia" w:ascii="宋体" w:hAnsi="宋体"/>
          <w:szCs w:val="21"/>
        </w:rPr>
        <w:t>18.2.2投标产品从采购人开始使用至招标文件中规定的周期内正常、连续地使用所必须的备件和专用工具清单，包括备件和专用工具的货源及现行价格。</w:t>
      </w:r>
    </w:p>
    <w:p w14:paraId="493B90FA">
      <w:pPr>
        <w:ind w:firstLine="420" w:firstLineChars="200"/>
        <w:rPr>
          <w:rFonts w:ascii="宋体" w:hAnsi="宋体"/>
          <w:szCs w:val="21"/>
        </w:rPr>
      </w:pPr>
      <w:r>
        <w:rPr>
          <w:rFonts w:hint="eastAsia" w:ascii="宋体" w:hAnsi="宋体"/>
          <w:szCs w:val="21"/>
        </w:rPr>
        <w:t>18.2.3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14:paraId="7FCFAB1D">
      <w:pPr>
        <w:ind w:firstLine="420" w:firstLineChars="200"/>
        <w:rPr>
          <w:rFonts w:ascii="宋体" w:hAnsi="宋体"/>
          <w:szCs w:val="21"/>
        </w:rPr>
      </w:pPr>
      <w:r>
        <w:rPr>
          <w:rFonts w:hint="eastAsia" w:ascii="宋体" w:hAnsi="宋体"/>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szCs w:val="21"/>
        </w:rPr>
        <w:t>清晰度要求能够使用电脑阅读、识别和判断</w:t>
      </w:r>
      <w:r>
        <w:rPr>
          <w:rFonts w:hint="eastAsia" w:ascii="宋体" w:hAnsi="宋体"/>
          <w:szCs w:val="21"/>
        </w:rPr>
        <w:t>；</w:t>
      </w:r>
    </w:p>
    <w:p w14:paraId="795068BE">
      <w:pPr>
        <w:ind w:firstLine="420" w:firstLineChars="200"/>
        <w:rPr>
          <w:rFonts w:ascii="宋体" w:hAnsi="宋体"/>
          <w:szCs w:val="21"/>
        </w:rPr>
      </w:pPr>
      <w:r>
        <w:rPr>
          <w:rFonts w:hint="eastAsia" w:ascii="宋体" w:hAnsi="宋体"/>
          <w:szCs w:val="21"/>
        </w:rPr>
        <w:t>18.2.5我国政府机构出具的产品检验和核准证件应为证件正面、背面和附件标注的全部具体内容；产品检验和核准证件的尺寸和清晰度应该能够在电脑上被阅读、识别和判断，提供原件扫描件。</w:t>
      </w:r>
    </w:p>
    <w:p w14:paraId="1CD447FD">
      <w:pPr>
        <w:ind w:firstLine="420" w:firstLineChars="200"/>
        <w:rPr>
          <w:rFonts w:ascii="宋体" w:hAnsi="宋体"/>
          <w:szCs w:val="21"/>
        </w:rPr>
      </w:pPr>
      <w:r>
        <w:rPr>
          <w:rFonts w:hint="eastAsia" w:ascii="宋体" w:hAnsi="宋体"/>
          <w:szCs w:val="21"/>
        </w:rPr>
        <w:t>18.3相关资料不符合18.2款要求的，评审委员会有权认定为投标技术方案不合格响应，其相关分数予以扣减或作投标无效处理。</w:t>
      </w:r>
    </w:p>
    <w:p w14:paraId="50FEB08D">
      <w:pPr>
        <w:ind w:firstLine="420" w:firstLineChars="200"/>
        <w:rPr>
          <w:rFonts w:ascii="宋体" w:hAnsi="宋体"/>
          <w:szCs w:val="21"/>
        </w:rPr>
      </w:pPr>
      <w:r>
        <w:rPr>
          <w:rFonts w:hint="eastAsia" w:ascii="宋体" w:hAnsi="宋体"/>
          <w:szCs w:val="21"/>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szCs w:val="21"/>
        </w:rPr>
        <w:t>满足要求</w:t>
      </w:r>
      <w:r>
        <w:rPr>
          <w:rFonts w:hint="eastAsia" w:ascii="宋体" w:hAnsi="宋体"/>
          <w:szCs w:val="21"/>
        </w:rPr>
        <w:t>，由评审委员会来评判。</w:t>
      </w:r>
    </w:p>
    <w:p w14:paraId="2E542E49">
      <w:pPr>
        <w:ind w:firstLine="420" w:firstLineChars="200"/>
        <w:rPr>
          <w:rFonts w:ascii="宋体" w:hAnsi="宋体"/>
          <w:szCs w:val="21"/>
        </w:rPr>
      </w:pPr>
      <w:r>
        <w:rPr>
          <w:rFonts w:hint="eastAsia" w:ascii="宋体" w:hAnsi="宋体"/>
          <w:szCs w:val="21"/>
        </w:rPr>
        <w:t>18.5除非另有规定或说明，投标人对同一项目投标时，不得同时提供两套或两套以上的投标方案。</w:t>
      </w:r>
    </w:p>
    <w:bookmarkEnd w:id="59"/>
    <w:p w14:paraId="18C40958">
      <w:pPr>
        <w:ind w:firstLine="420" w:firstLineChars="200"/>
        <w:rPr>
          <w:rFonts w:ascii="黑体" w:hAnsi="宋体" w:eastAsia="黑体"/>
          <w:szCs w:val="21"/>
        </w:rPr>
      </w:pPr>
      <w:r>
        <w:rPr>
          <w:rFonts w:hint="eastAsia" w:ascii="黑体" w:hAnsi="宋体" w:eastAsia="黑体"/>
          <w:szCs w:val="21"/>
        </w:rPr>
        <w:t>19．</w:t>
      </w:r>
      <w:bookmarkStart w:id="60" w:name="_Hlk72402034"/>
      <w:r>
        <w:rPr>
          <w:rFonts w:hint="eastAsia" w:ascii="黑体" w:hAnsi="宋体" w:eastAsia="黑体"/>
          <w:szCs w:val="21"/>
        </w:rPr>
        <w:t>投标文件其他证明文件的要求</w:t>
      </w:r>
    </w:p>
    <w:p w14:paraId="7401DC05">
      <w:pPr>
        <w:ind w:firstLine="420" w:firstLineChars="200"/>
        <w:rPr>
          <w:rFonts w:ascii="宋体" w:hAnsi="宋体"/>
          <w:color w:val="FF0000"/>
          <w:szCs w:val="21"/>
        </w:rPr>
      </w:pPr>
      <w:r>
        <w:rPr>
          <w:rFonts w:hint="eastAsia" w:ascii="宋体" w:hAnsi="宋体"/>
          <w:szCs w:val="21"/>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61" w:name="_Hlk71407299"/>
    </w:p>
    <w:bookmarkEnd w:id="61"/>
    <w:p w14:paraId="295CD32C">
      <w:pPr>
        <w:ind w:firstLine="420" w:firstLineChars="200"/>
        <w:rPr>
          <w:rFonts w:ascii="宋体" w:hAnsi="宋体"/>
          <w:szCs w:val="21"/>
        </w:rPr>
      </w:pPr>
      <w:r>
        <w:rPr>
          <w:rFonts w:hint="eastAsia" w:ascii="宋体" w:hAnsi="宋体"/>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14:paraId="0F5AEFDC">
      <w:pPr>
        <w:ind w:firstLine="420" w:firstLineChars="200"/>
        <w:rPr>
          <w:rFonts w:ascii="黑体" w:hAnsi="宋体" w:eastAsia="黑体"/>
          <w:szCs w:val="21"/>
        </w:rPr>
      </w:pPr>
      <w:r>
        <w:rPr>
          <w:rFonts w:hint="eastAsia" w:ascii="黑体" w:hAnsi="宋体" w:eastAsia="黑体"/>
          <w:szCs w:val="21"/>
        </w:rPr>
        <w:t>20．投标有效期</w:t>
      </w:r>
    </w:p>
    <w:bookmarkEnd w:id="60"/>
    <w:p w14:paraId="553CDC2D">
      <w:pPr>
        <w:ind w:firstLine="420" w:firstLineChars="200"/>
        <w:rPr>
          <w:rFonts w:ascii="宋体" w:hAnsi="宋体"/>
          <w:szCs w:val="21"/>
        </w:rPr>
      </w:pPr>
      <w:bookmarkStart w:id="62" w:name="_Hlk72402214"/>
      <w:r>
        <w:rPr>
          <w:rFonts w:hint="eastAsia" w:ascii="宋体" w:hAnsi="宋体"/>
          <w:szCs w:val="21"/>
        </w:rPr>
        <w:t>20.1 投标有效期为</w:t>
      </w:r>
      <w:r>
        <w:rPr>
          <w:rFonts w:hint="eastAsia" w:ascii="Arial" w:hAnsi="Arial" w:cs="Arial"/>
          <w:szCs w:val="21"/>
        </w:rPr>
        <w:t>从投标截止之日算起的日历天数。</w:t>
      </w:r>
      <w:r>
        <w:rPr>
          <w:rFonts w:hint="eastAsia" w:ascii="宋体" w:hAnsi="宋体"/>
          <w:szCs w:val="21"/>
        </w:rPr>
        <w:t>在此期限内，所有投标文件均保持有效。</w:t>
      </w:r>
    </w:p>
    <w:p w14:paraId="5B89D15A">
      <w:pPr>
        <w:ind w:firstLine="420" w:firstLineChars="200"/>
        <w:rPr>
          <w:rFonts w:ascii="宋体" w:hAnsi="宋体"/>
          <w:szCs w:val="21"/>
        </w:rPr>
      </w:pPr>
      <w:r>
        <w:rPr>
          <w:rFonts w:hint="eastAsia" w:ascii="宋体" w:hAnsi="宋体"/>
          <w:szCs w:val="21"/>
        </w:rPr>
        <w:t>20.2 在特殊情况下，</w:t>
      </w:r>
      <w:r>
        <w:rPr>
          <w:rFonts w:hint="eastAsia" w:ascii="宋体" w:hAnsi="宋体"/>
          <w:szCs w:val="21"/>
          <w:highlight w:val="yellow"/>
          <w:lang w:val="en-US" w:eastAsia="zh-CN"/>
        </w:rPr>
        <w:t>采购代理机构</w:t>
      </w:r>
      <w:r>
        <w:rPr>
          <w:rFonts w:hint="eastAsia" w:ascii="宋体" w:hAnsi="宋体"/>
          <w:szCs w:val="21"/>
        </w:rPr>
        <w:t>在原定的投标有效期满之前，</w:t>
      </w:r>
      <w:r>
        <w:rPr>
          <w:rFonts w:hint="eastAsia" w:ascii="宋体" w:hAnsi="宋体"/>
          <w:szCs w:val="21"/>
          <w:highlight w:val="yellow"/>
          <w:lang w:val="en-US" w:eastAsia="zh-CN"/>
        </w:rPr>
        <w:t>采购代理机构</w:t>
      </w:r>
      <w:r>
        <w:rPr>
          <w:rFonts w:hint="eastAsia" w:ascii="宋体" w:hAnsi="宋体"/>
          <w:szCs w:val="21"/>
        </w:rPr>
        <w:t>可以根据需要以书面形式（包括</w:t>
      </w:r>
      <w:r>
        <w:rPr>
          <w:rFonts w:hint="eastAsia" w:ascii="宋体" w:hAnsi="宋体"/>
          <w:szCs w:val="21"/>
          <w:highlight w:val="yellow"/>
          <w:lang w:val="en-US" w:eastAsia="zh-CN"/>
        </w:rPr>
        <w:t>采购代理机构</w:t>
      </w:r>
      <w:r>
        <w:rPr>
          <w:rFonts w:hint="eastAsia" w:ascii="宋体" w:hAnsi="宋体"/>
          <w:szCs w:val="21"/>
        </w:rPr>
        <w:t>网站公开发布方式）向投标人提出延长投标有效期的要求，对此要求投标人须以书面形式予以答复，投标人可以拒绝</w:t>
      </w:r>
      <w:r>
        <w:rPr>
          <w:rFonts w:hint="eastAsia" w:ascii="宋体" w:hAnsi="宋体"/>
          <w:szCs w:val="21"/>
          <w:highlight w:val="yellow"/>
          <w:lang w:val="en-US" w:eastAsia="zh-CN"/>
        </w:rPr>
        <w:t>采购代理机构</w:t>
      </w:r>
      <w:r>
        <w:rPr>
          <w:rFonts w:hint="eastAsia" w:ascii="宋体" w:hAnsi="宋体"/>
          <w:szCs w:val="21"/>
        </w:rPr>
        <w:t>此项要求，其投标在原投标有效期满后不再有效。同意延长投标有效期的投标人不能要求也不允许修改其投标文件。</w:t>
      </w:r>
    </w:p>
    <w:p w14:paraId="6FDBC08E">
      <w:pPr>
        <w:ind w:firstLine="420" w:firstLineChars="200"/>
        <w:rPr>
          <w:rFonts w:ascii="宋体" w:hAnsi="宋体"/>
          <w:szCs w:val="21"/>
        </w:rPr>
      </w:pPr>
      <w:r>
        <w:rPr>
          <w:rFonts w:hint="eastAsia" w:ascii="宋体" w:hAnsi="宋体"/>
          <w:szCs w:val="21"/>
        </w:rPr>
        <w:t>20.3 中标供应商的投标文件有效期，截止于完成本招标文件规定的全部项目内容，并通过竣工验收及保修期结束。</w:t>
      </w:r>
    </w:p>
    <w:bookmarkEnd w:id="62"/>
    <w:p w14:paraId="03B32764">
      <w:pPr>
        <w:ind w:firstLine="420" w:firstLineChars="200"/>
        <w:rPr>
          <w:rFonts w:ascii="黑体" w:hAnsi="宋体" w:eastAsia="黑体"/>
          <w:szCs w:val="21"/>
        </w:rPr>
      </w:pPr>
      <w:r>
        <w:rPr>
          <w:rFonts w:hint="eastAsia" w:ascii="黑体" w:hAnsi="宋体" w:eastAsia="黑体"/>
          <w:szCs w:val="21"/>
        </w:rPr>
        <w:t>21．</w:t>
      </w:r>
      <w:bookmarkStart w:id="63" w:name="_Hlk72402325"/>
      <w:r>
        <w:rPr>
          <w:rFonts w:hint="eastAsia" w:ascii="黑体" w:hAnsi="宋体" w:eastAsia="黑体"/>
          <w:szCs w:val="21"/>
        </w:rPr>
        <w:t xml:space="preserve">关于投标保证金 </w:t>
      </w:r>
    </w:p>
    <w:p w14:paraId="75F2DDBA">
      <w:pPr>
        <w:ind w:firstLine="420" w:firstLineChars="200"/>
        <w:rPr>
          <w:rFonts w:ascii="宋体" w:hAnsi="宋体"/>
          <w:szCs w:val="21"/>
        </w:rPr>
      </w:pPr>
      <w:r>
        <w:rPr>
          <w:rFonts w:hint="eastAsia" w:ascii="宋体" w:hAnsi="宋体"/>
          <w:szCs w:val="21"/>
        </w:rPr>
        <w:t>21.1</w:t>
      </w:r>
      <w:r>
        <w:rPr>
          <w:rFonts w:hint="eastAsia"/>
          <w:szCs w:val="21"/>
        </w:rPr>
        <w:t>根据《深圳市财政局关于调整政府采购投标（响应）保证金管理政策的通知》（深财购〔</w:t>
      </w:r>
      <w:r>
        <w:rPr>
          <w:szCs w:val="21"/>
        </w:rPr>
        <w:t>2021</w:t>
      </w:r>
      <w:r>
        <w:rPr>
          <w:rFonts w:hint="eastAsia"/>
          <w:szCs w:val="21"/>
        </w:rPr>
        <w:t>〕</w:t>
      </w:r>
      <w:r>
        <w:rPr>
          <w:szCs w:val="21"/>
        </w:rPr>
        <w:t>51</w:t>
      </w:r>
      <w:r>
        <w:rPr>
          <w:rFonts w:hint="eastAsia"/>
          <w:szCs w:val="21"/>
        </w:rPr>
        <w:t>号）文的规定，本项目不收取投标保证金。</w:t>
      </w:r>
    </w:p>
    <w:p w14:paraId="6055B33D">
      <w:pPr>
        <w:ind w:firstLine="420" w:firstLineChars="200"/>
        <w:rPr>
          <w:rFonts w:ascii="黑体" w:hAnsi="宋体" w:eastAsia="黑体"/>
          <w:szCs w:val="21"/>
        </w:rPr>
      </w:pPr>
      <w:r>
        <w:rPr>
          <w:rFonts w:hint="eastAsia" w:ascii="黑体" w:hAnsi="宋体" w:eastAsia="黑体"/>
          <w:szCs w:val="21"/>
        </w:rPr>
        <w:t>22．投标人的替代方案</w:t>
      </w:r>
    </w:p>
    <w:p w14:paraId="0CEEA3D7">
      <w:pPr>
        <w:ind w:firstLine="420" w:firstLineChars="200"/>
        <w:rPr>
          <w:rFonts w:ascii="宋体" w:hAnsi="宋体"/>
          <w:szCs w:val="21"/>
        </w:rPr>
      </w:pPr>
      <w:r>
        <w:rPr>
          <w:rFonts w:hint="eastAsia" w:ascii="宋体" w:hAnsi="宋体"/>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14:paraId="58D03900">
      <w:pPr>
        <w:ind w:firstLine="420" w:firstLineChars="200"/>
        <w:rPr>
          <w:rFonts w:ascii="宋体" w:hAnsi="宋体"/>
          <w:szCs w:val="21"/>
        </w:rPr>
      </w:pPr>
      <w:r>
        <w:rPr>
          <w:rFonts w:hint="eastAsia" w:ascii="宋体" w:hAnsi="宋体"/>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bookmarkEnd w:id="63"/>
    <w:p w14:paraId="08288C67">
      <w:pPr>
        <w:ind w:firstLine="420" w:firstLineChars="200"/>
        <w:rPr>
          <w:rFonts w:ascii="黑体" w:hAnsi="宋体" w:eastAsia="黑体"/>
          <w:szCs w:val="21"/>
        </w:rPr>
      </w:pPr>
      <w:r>
        <w:rPr>
          <w:rFonts w:hint="eastAsia" w:ascii="黑体" w:hAnsi="宋体" w:eastAsia="黑体"/>
          <w:szCs w:val="21"/>
        </w:rPr>
        <w:t>23．</w:t>
      </w:r>
      <w:bookmarkStart w:id="64" w:name="_Hlk72402860"/>
      <w:r>
        <w:rPr>
          <w:rFonts w:hint="eastAsia" w:ascii="黑体" w:hAnsi="宋体" w:eastAsia="黑体"/>
          <w:szCs w:val="21"/>
        </w:rPr>
        <w:t>投标文件的制作要求</w:t>
      </w:r>
    </w:p>
    <w:p w14:paraId="2A9E29B6">
      <w:pPr>
        <w:ind w:firstLine="420" w:firstLineChars="200"/>
        <w:rPr>
          <w:rFonts w:ascii="宋体" w:hAnsi="宋体"/>
          <w:szCs w:val="21"/>
        </w:rPr>
      </w:pPr>
      <w:r>
        <w:rPr>
          <w:rFonts w:hint="eastAsia" w:ascii="宋体" w:hAnsi="宋体"/>
          <w:szCs w:val="21"/>
        </w:rPr>
        <w:t>23.1投标人应准备所投项目的电子投标文件一份。</w:t>
      </w:r>
    </w:p>
    <w:p w14:paraId="1695151A">
      <w:pPr>
        <w:ind w:firstLine="420" w:firstLineChars="200"/>
        <w:rPr>
          <w:rFonts w:ascii="宋体" w:hAnsi="宋体"/>
          <w:szCs w:val="21"/>
        </w:rPr>
      </w:pPr>
      <w:r>
        <w:rPr>
          <w:rFonts w:hint="eastAsia" w:ascii="宋体" w:hAnsi="宋体"/>
          <w:szCs w:val="21"/>
        </w:rPr>
        <w:t>23.2投标人在使用《投标书编制软件》编制投标书时须注意：</w:t>
      </w:r>
    </w:p>
    <w:p w14:paraId="5813A162">
      <w:pPr>
        <w:ind w:firstLine="420" w:firstLineChars="200"/>
        <w:rPr>
          <w:rFonts w:ascii="宋体" w:hAnsi="宋体"/>
          <w:szCs w:val="21"/>
        </w:rPr>
      </w:pPr>
      <w:r>
        <w:rPr>
          <w:rFonts w:hint="eastAsia" w:ascii="宋体" w:hAnsi="宋体"/>
          <w:szCs w:val="21"/>
        </w:rPr>
        <w:t>23.2.1导入《投标书编制软件》的招标文件项目编号、包号应与以此制作的投标文件项目编号、包号一致。例如，不能将甲项目A包的招标书导入《投标书编制软件》，制作乙项目B包的投标书。</w:t>
      </w:r>
    </w:p>
    <w:p w14:paraId="2E0437EF">
      <w:pPr>
        <w:ind w:firstLine="420" w:firstLineChars="200"/>
        <w:rPr>
          <w:rFonts w:ascii="宋体" w:hAnsi="宋体"/>
          <w:szCs w:val="21"/>
        </w:rPr>
      </w:pPr>
      <w:r>
        <w:rPr>
          <w:rFonts w:hint="eastAsia" w:ascii="宋体" w:hAnsi="宋体"/>
          <w:szCs w:val="21"/>
        </w:rPr>
        <w:t>23.2.2不能用非本公司的电子密钥加密本公司的投标文件，或者用其它公司的登录用户上传本公司的投标文件。</w:t>
      </w:r>
    </w:p>
    <w:p w14:paraId="062726FD">
      <w:pPr>
        <w:ind w:firstLine="420" w:firstLineChars="200"/>
        <w:rPr>
          <w:rFonts w:ascii="宋体" w:hAnsi="宋体"/>
          <w:szCs w:val="21"/>
        </w:rPr>
      </w:pPr>
      <w:r>
        <w:rPr>
          <w:rFonts w:hint="eastAsia" w:ascii="宋体" w:hAnsi="宋体"/>
          <w:szCs w:val="21"/>
        </w:rPr>
        <w:t>23.2.3要求用《投标书编制软件》编制投标书的包，不能用其它方式编制投标书。编制投标文件时，电脑须连通互联网。</w:t>
      </w:r>
    </w:p>
    <w:p w14:paraId="320080B5">
      <w:pPr>
        <w:ind w:firstLine="420" w:firstLineChars="200"/>
        <w:rPr>
          <w:rFonts w:ascii="宋体" w:hAnsi="宋体"/>
          <w:szCs w:val="21"/>
        </w:rPr>
      </w:pPr>
      <w:r>
        <w:rPr>
          <w:rFonts w:hint="eastAsia" w:ascii="宋体" w:hAnsi="宋体"/>
          <w:szCs w:val="21"/>
        </w:rPr>
        <w:t>23.2.4投标文件不能带病毒。</w:t>
      </w:r>
      <w:r>
        <w:rPr>
          <w:rFonts w:hint="eastAsia" w:ascii="宋体" w:hAnsi="宋体"/>
          <w:szCs w:val="21"/>
          <w:highlight w:val="yellow"/>
          <w:lang w:val="en-US" w:eastAsia="zh-CN"/>
        </w:rPr>
        <w:t>采购代理机构</w:t>
      </w:r>
      <w:r>
        <w:rPr>
          <w:rFonts w:hint="eastAsia" w:ascii="宋体" w:hAnsi="宋体"/>
          <w:szCs w:val="21"/>
        </w:rPr>
        <w:t>将用专业杀毒软件对投标文件进行病毒检测，如果这两种软件均报告发现病毒，则</w:t>
      </w:r>
      <w:r>
        <w:rPr>
          <w:rFonts w:hint="eastAsia" w:ascii="宋体" w:hAnsi="宋体"/>
          <w:szCs w:val="21"/>
          <w:highlight w:val="yellow"/>
          <w:lang w:val="en-US" w:eastAsia="zh-CN"/>
        </w:rPr>
        <w:t>采购代理机构</w:t>
      </w:r>
      <w:r>
        <w:rPr>
          <w:rFonts w:hint="eastAsia" w:ascii="宋体" w:hAnsi="宋体"/>
          <w:szCs w:val="21"/>
        </w:rPr>
        <w:t>认为该投标文件带病毒。</w:t>
      </w:r>
    </w:p>
    <w:p w14:paraId="4BF6FA2F">
      <w:pPr>
        <w:ind w:firstLine="420" w:firstLineChars="200"/>
        <w:rPr>
          <w:rFonts w:ascii="宋体" w:hAnsi="宋体"/>
          <w:szCs w:val="21"/>
        </w:rPr>
      </w:pPr>
      <w:r>
        <w:rPr>
          <w:rFonts w:hint="eastAsia" w:ascii="宋体" w:hAnsi="宋体"/>
          <w:szCs w:val="21"/>
        </w:rPr>
        <w:t>23.2.6投标人在编辑投标文件时，</w:t>
      </w:r>
      <w:r>
        <w:rPr>
          <w:rFonts w:hint="eastAsia" w:ascii="宋体" w:hAnsi="宋体"/>
          <w:b/>
          <w:szCs w:val="21"/>
        </w:rPr>
        <w:t>在投标文件目录中属于本节点内容的必须在本节点中填写，填写到其他节点或附件，</w:t>
      </w:r>
      <w:r>
        <w:rPr>
          <w:rFonts w:hint="eastAsia" w:ascii="宋体" w:hAnsi="宋体"/>
          <w:szCs w:val="21"/>
        </w:rPr>
        <w:t>一切后果由供应商自行承担。</w:t>
      </w:r>
    </w:p>
    <w:p w14:paraId="3B4C0421">
      <w:pPr>
        <w:ind w:firstLine="420" w:firstLineChars="200"/>
        <w:rPr>
          <w:rFonts w:ascii="宋体" w:hAnsi="宋体"/>
          <w:szCs w:val="21"/>
        </w:rPr>
      </w:pPr>
      <w:r>
        <w:rPr>
          <w:rFonts w:hint="eastAsia" w:ascii="宋体" w:hAnsi="宋体"/>
          <w:szCs w:val="21"/>
        </w:rPr>
        <w:t>23.2.</w:t>
      </w:r>
      <w:r>
        <w:rPr>
          <w:rFonts w:hint="eastAsia" w:ascii="宋体" w:hAnsi="宋体"/>
          <w:szCs w:val="21"/>
          <w:lang w:val="en-US" w:eastAsia="zh-CN"/>
        </w:rPr>
        <w:t>7</w:t>
      </w:r>
      <w:r>
        <w:rPr>
          <w:rFonts w:hint="eastAsia" w:ascii="宋体" w:hAnsi="宋体"/>
          <w:szCs w:val="21"/>
          <w:highlight w:val="yellow"/>
          <w:lang w:val="en-US" w:eastAsia="zh-CN"/>
        </w:rPr>
        <w:t>采购代理机构</w:t>
      </w:r>
      <w:r>
        <w:rPr>
          <w:rFonts w:hint="eastAsia" w:ascii="宋体" w:hAnsi="宋体"/>
          <w:szCs w:val="21"/>
        </w:rPr>
        <w:t>不接受投标截止时间后递交的纸质、电子、传真等所有形式的投标文件。由于对网上自行采购系统操作不熟悉或自身电脑、网络等原因导致不能在投标截止时间之前上传投标文件，</w:t>
      </w:r>
      <w:r>
        <w:rPr>
          <w:rFonts w:hint="eastAsia" w:ascii="宋体" w:hAnsi="宋体"/>
          <w:szCs w:val="21"/>
          <w:highlight w:val="yellow"/>
          <w:lang w:val="en-US" w:eastAsia="zh-CN"/>
        </w:rPr>
        <w:t>采购代理机构</w:t>
      </w:r>
      <w:r>
        <w:rPr>
          <w:rFonts w:hint="eastAsia" w:ascii="宋体" w:hAnsi="宋体"/>
          <w:szCs w:val="21"/>
        </w:rPr>
        <w:t>概不负责。建议于开标前一个工作日完成投标文件的制作与上传，如上传确有困难，请及时咨询。</w:t>
      </w:r>
    </w:p>
    <w:p w14:paraId="4CA1F89E">
      <w:pPr>
        <w:ind w:firstLine="420" w:firstLineChars="200"/>
        <w:rPr>
          <w:rFonts w:ascii="宋体" w:hAnsi="宋体"/>
          <w:szCs w:val="21"/>
        </w:rPr>
      </w:pPr>
      <w:r>
        <w:rPr>
          <w:rFonts w:hint="eastAsia" w:ascii="宋体" w:hAnsi="宋体"/>
          <w:szCs w:val="21"/>
        </w:rPr>
        <w:t>23.2.</w:t>
      </w:r>
      <w:r>
        <w:rPr>
          <w:rFonts w:hint="eastAsia" w:ascii="宋体" w:hAnsi="宋体"/>
          <w:szCs w:val="21"/>
          <w:lang w:val="en-US" w:eastAsia="zh-CN"/>
        </w:rPr>
        <w:t>8</w:t>
      </w:r>
      <w:r>
        <w:rPr>
          <w:rFonts w:hint="eastAsia" w:ascii="宋体" w:hAnsi="宋体"/>
          <w:szCs w:val="21"/>
        </w:rPr>
        <w:t>如果开标时出现网络故障、技术故障，影响了采购活动，</w:t>
      </w:r>
      <w:r>
        <w:rPr>
          <w:rFonts w:hint="eastAsia" w:ascii="宋体" w:hAnsi="宋体"/>
          <w:szCs w:val="21"/>
          <w:highlight w:val="yellow"/>
          <w:lang w:val="en-US" w:eastAsia="zh-CN"/>
        </w:rPr>
        <w:t>采购代理机构</w:t>
      </w:r>
      <w:r>
        <w:rPr>
          <w:rFonts w:hint="eastAsia" w:ascii="宋体" w:hAnsi="宋体"/>
          <w:szCs w:val="21"/>
        </w:rPr>
        <w:t>有权采取措施如延期、接受无法从网上上传的投标书等，以保障采购活动的公开、公平和公正。</w:t>
      </w:r>
    </w:p>
    <w:p w14:paraId="4483CDFD">
      <w:pPr>
        <w:ind w:firstLine="420" w:firstLineChars="200"/>
        <w:rPr>
          <w:rFonts w:ascii="宋体" w:hAnsi="宋体"/>
          <w:szCs w:val="21"/>
        </w:rPr>
      </w:pPr>
      <w:r>
        <w:rPr>
          <w:rFonts w:hint="eastAsia" w:ascii="宋体" w:hAnsi="宋体"/>
          <w:szCs w:val="21"/>
        </w:rPr>
        <w:t>23.3电报、电话、传真形式的投标概不接受。</w:t>
      </w:r>
    </w:p>
    <w:p w14:paraId="0ADB243A">
      <w:pPr>
        <w:ind w:firstLine="422" w:firstLineChars="200"/>
        <w:rPr>
          <w:rFonts w:ascii="宋体" w:hAnsi="宋体"/>
          <w:b/>
          <w:szCs w:val="21"/>
        </w:rPr>
      </w:pPr>
      <w:r>
        <w:rPr>
          <w:rFonts w:hint="eastAsia" w:ascii="宋体" w:hAnsi="宋体"/>
          <w:b/>
          <w:szCs w:val="21"/>
        </w:rPr>
        <w:t>23.4经投标人电子密钥加密的投标文件无须盖章或签字，</w:t>
      </w:r>
      <w:r>
        <w:rPr>
          <w:rFonts w:hint="eastAsia" w:ascii="宋体" w:hAnsi="宋体"/>
          <w:szCs w:val="21"/>
        </w:rPr>
        <w:t>专用条款另有要求的除外。</w:t>
      </w:r>
    </w:p>
    <w:p w14:paraId="3690E6B2">
      <w:pPr>
        <w:ind w:firstLine="422" w:firstLineChars="200"/>
        <w:rPr>
          <w:rFonts w:ascii="宋体" w:hAnsi="宋体"/>
        </w:rPr>
      </w:pPr>
      <w:r>
        <w:rPr>
          <w:rFonts w:hint="eastAsia" w:ascii="宋体" w:hAnsi="宋体"/>
          <w:b/>
          <w:szCs w:val="21"/>
        </w:rPr>
        <w:t>23.5</w:t>
      </w:r>
      <w:r>
        <w:rPr>
          <w:rFonts w:hint="eastAsia" w:ascii="宋体" w:hAnsi="宋体"/>
          <w:szCs w:val="21"/>
        </w:rPr>
        <w:t xml:space="preserve"> 各类资格（资质）文件提供扫描件，专用条款另有要求的除外。</w:t>
      </w:r>
      <w:bookmarkEnd w:id="64"/>
    </w:p>
    <w:p w14:paraId="4C21F6A0">
      <w:pPr>
        <w:ind w:firstLine="411" w:firstLineChars="196"/>
        <w:rPr>
          <w:rFonts w:ascii="宋体" w:hAnsi="宋体"/>
          <w:szCs w:val="21"/>
        </w:rPr>
      </w:pPr>
    </w:p>
    <w:p w14:paraId="186EC79E">
      <w:pPr>
        <w:pStyle w:val="18"/>
        <w:keepNext/>
        <w:keepLines/>
        <w:numPr>
          <w:ilvl w:val="0"/>
          <w:numId w:val="6"/>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投标文件的递交</w:t>
      </w:r>
    </w:p>
    <w:p w14:paraId="7482C027">
      <w:pPr>
        <w:ind w:firstLine="420" w:firstLineChars="200"/>
        <w:rPr>
          <w:rFonts w:ascii="黑体" w:hAnsi="宋体" w:eastAsia="黑体"/>
          <w:szCs w:val="21"/>
        </w:rPr>
      </w:pPr>
      <w:bookmarkStart w:id="65" w:name="_Hlk72405459"/>
      <w:r>
        <w:rPr>
          <w:rFonts w:hint="eastAsia" w:ascii="黑体" w:hAnsi="宋体" w:eastAsia="黑体"/>
          <w:szCs w:val="21"/>
        </w:rPr>
        <w:t>24．投标文件的保密</w:t>
      </w:r>
    </w:p>
    <w:p w14:paraId="7A44C10D">
      <w:pPr>
        <w:ind w:firstLine="420" w:firstLineChars="200"/>
        <w:rPr>
          <w:rFonts w:ascii="宋体" w:hAnsi="宋体"/>
          <w:szCs w:val="21"/>
        </w:rPr>
      </w:pPr>
      <w:r>
        <w:rPr>
          <w:rFonts w:hint="eastAsia" w:ascii="宋体" w:hAnsi="宋体"/>
          <w:szCs w:val="21"/>
        </w:rPr>
        <w:t>24.1在投标文件制作完成后，生成后会选择是否加密投标文件，如不加密则直接点击生成文件即可，如需加密请插入CA锁，点击加密后生成文件，需输入CA锁密码即可加密成功。加密后会提示文件生成成功！(注意：加密的投标文件开标时须使用加密文件时使用的锁在项目规定时间内解密！)</w:t>
      </w:r>
    </w:p>
    <w:p w14:paraId="21E01E23">
      <w:pPr>
        <w:ind w:firstLine="422" w:firstLineChars="200"/>
        <w:rPr>
          <w:rFonts w:ascii="宋体" w:hAnsi="宋体"/>
          <w:b/>
          <w:szCs w:val="21"/>
        </w:rPr>
      </w:pPr>
      <w:r>
        <w:rPr>
          <w:rFonts w:hint="eastAsia" w:ascii="宋体" w:hAnsi="宋体"/>
          <w:b/>
          <w:szCs w:val="21"/>
        </w:rPr>
        <w:t>24.2若采购项目出现延期情况：</w:t>
      </w:r>
    </w:p>
    <w:p w14:paraId="6B6F9A7F">
      <w:pPr>
        <w:ind w:firstLine="422" w:firstLineChars="200"/>
        <w:rPr>
          <w:rFonts w:ascii="黑体" w:hAnsi="宋体" w:eastAsia="黑体"/>
          <w:b/>
          <w:szCs w:val="21"/>
        </w:rPr>
      </w:pPr>
      <w:r>
        <w:rPr>
          <w:rFonts w:hint="eastAsia" w:ascii="宋体" w:hAnsi="宋体"/>
          <w:b/>
          <w:szCs w:val="21"/>
        </w:rPr>
        <w:t>如果供下载的招标文件有更新，投标人必须重新下载招标文件、重新制作投标文件、重新加密投标文件、重新上传投标文件。</w:t>
      </w:r>
    </w:p>
    <w:p w14:paraId="4B7C7831">
      <w:pPr>
        <w:ind w:firstLine="420" w:firstLineChars="200"/>
        <w:rPr>
          <w:rFonts w:ascii="黑体" w:hAnsi="宋体" w:eastAsia="黑体"/>
          <w:szCs w:val="21"/>
        </w:rPr>
      </w:pPr>
      <w:r>
        <w:rPr>
          <w:rFonts w:hint="eastAsia" w:ascii="黑体" w:hAnsi="宋体" w:eastAsia="黑体"/>
          <w:szCs w:val="21"/>
        </w:rPr>
        <w:t>25．上传投标文件及投标截止日期</w:t>
      </w:r>
    </w:p>
    <w:p w14:paraId="4292D011">
      <w:pPr>
        <w:ind w:firstLine="420" w:firstLineChars="200"/>
        <w:rPr>
          <w:rFonts w:ascii="宋体" w:hAnsi="宋体"/>
          <w:szCs w:val="21"/>
        </w:rPr>
      </w:pPr>
      <w:r>
        <w:rPr>
          <w:rFonts w:hint="eastAsia" w:ascii="宋体" w:hAnsi="宋体"/>
          <w:szCs w:val="21"/>
        </w:rPr>
        <w:t>25.1实行网上投标，投标人必须在招标文件规定的投标截止时间前用电子密钥登录“深圳市自行采购系统（https://trade.szggzy.com/ggzy/center/#/login）”上传投标文件。如上传过程中遇到问题，可拨打采购公告中的技术支持电话。如多次上传均告失败，请在投标截止时间之前携带电子投标文件送达至</w:t>
      </w:r>
      <w:r>
        <w:rPr>
          <w:rFonts w:hint="eastAsia" w:ascii="宋体" w:hAnsi="宋体"/>
          <w:b/>
          <w:bCs/>
          <w:szCs w:val="21"/>
        </w:rPr>
        <w:t>深圳公共资源交易中心（深圳交易集团有限公司政府采购业务分公司）3楼服务大厅（地址：深圳市南山区沙河西路3185号南山智谷A座深圳交易集团总部大楼）协助上传，但上传过程中投标截止时间到达仍无法上传成功的，由投标人自行负责</w:t>
      </w:r>
      <w:r>
        <w:rPr>
          <w:rFonts w:hint="eastAsia" w:ascii="宋体" w:hAnsi="宋体"/>
          <w:szCs w:val="21"/>
        </w:rPr>
        <w:t>。</w:t>
      </w:r>
    </w:p>
    <w:p w14:paraId="25B88E1A">
      <w:pPr>
        <w:ind w:firstLine="420" w:firstLineChars="200"/>
        <w:rPr>
          <w:rFonts w:ascii="宋体" w:hAnsi="宋体"/>
          <w:szCs w:val="21"/>
        </w:rPr>
      </w:pPr>
      <w:r>
        <w:rPr>
          <w:rFonts w:hint="eastAsia" w:ascii="宋体" w:hAnsi="宋体"/>
          <w:szCs w:val="21"/>
        </w:rPr>
        <w:t>25.2</w:t>
      </w:r>
      <w:r>
        <w:rPr>
          <w:rFonts w:hint="eastAsia" w:ascii="宋体" w:hAnsi="宋体"/>
          <w:szCs w:val="21"/>
          <w:highlight w:val="yellow"/>
          <w:lang w:val="en-US" w:eastAsia="zh-CN"/>
        </w:rPr>
        <w:t>采购代理机构</w:t>
      </w:r>
      <w:r>
        <w:rPr>
          <w:rFonts w:hint="eastAsia" w:ascii="宋体" w:hAnsi="宋体"/>
          <w:szCs w:val="21"/>
        </w:rPr>
        <w:t>可以按本通用条款第13条规定，通过修改招标文件自行决定酌情延长投标截止期。在此情况下，</w:t>
      </w:r>
      <w:r>
        <w:rPr>
          <w:rFonts w:hint="eastAsia" w:ascii="宋体" w:hAnsi="宋体"/>
          <w:szCs w:val="21"/>
          <w:highlight w:val="yellow"/>
          <w:lang w:val="en-US" w:eastAsia="zh-CN"/>
        </w:rPr>
        <w:t>采购代理机构</w:t>
      </w:r>
      <w:r>
        <w:rPr>
          <w:rFonts w:hint="eastAsia" w:ascii="宋体" w:hAnsi="宋体"/>
          <w:szCs w:val="21"/>
        </w:rPr>
        <w:t>、采购人和投标人受投标截止期制约的所有权利和义务均应延长至新的截止期。</w:t>
      </w:r>
    </w:p>
    <w:p w14:paraId="2A5FBFF9">
      <w:pPr>
        <w:ind w:firstLine="420" w:firstLineChars="200"/>
        <w:rPr>
          <w:rFonts w:ascii="宋体" w:hAnsi="宋体"/>
          <w:szCs w:val="21"/>
        </w:rPr>
      </w:pPr>
      <w:r>
        <w:rPr>
          <w:rFonts w:hint="eastAsia" w:ascii="宋体" w:hAnsi="宋体"/>
          <w:szCs w:val="21"/>
        </w:rPr>
        <w:t>25.3投标截止时间以后不得上传投标文件。</w:t>
      </w:r>
    </w:p>
    <w:bookmarkEnd w:id="65"/>
    <w:p w14:paraId="18EAAD16">
      <w:pPr>
        <w:ind w:firstLine="420" w:firstLineChars="200"/>
        <w:rPr>
          <w:rFonts w:ascii="黑体" w:hAnsi="宋体" w:eastAsia="黑体"/>
          <w:szCs w:val="21"/>
        </w:rPr>
      </w:pPr>
      <w:r>
        <w:rPr>
          <w:rFonts w:hint="eastAsia" w:ascii="黑体" w:hAnsi="宋体" w:eastAsia="黑体"/>
          <w:szCs w:val="21"/>
        </w:rPr>
        <w:t>26. 样品、现场演示、方案讲解</w:t>
      </w:r>
    </w:p>
    <w:p w14:paraId="2F8C5C44">
      <w:pPr>
        <w:ind w:firstLine="420" w:firstLineChars="200"/>
        <w:rPr>
          <w:rFonts w:ascii="宋体" w:hAnsi="宋体"/>
          <w:szCs w:val="21"/>
        </w:rPr>
      </w:pPr>
      <w:r>
        <w:rPr>
          <w:rFonts w:hint="eastAsia" w:ascii="宋体" w:hAnsi="宋体"/>
          <w:szCs w:val="21"/>
        </w:rPr>
        <w:t>26.1 样品、现场演示、方案讲解等事项在招标文件专用条款中进行规定。</w:t>
      </w:r>
    </w:p>
    <w:p w14:paraId="1F5F0A44">
      <w:pPr>
        <w:ind w:firstLine="420" w:firstLineChars="200"/>
        <w:rPr>
          <w:rFonts w:ascii="黑体" w:hAnsi="宋体" w:eastAsia="黑体"/>
          <w:szCs w:val="21"/>
        </w:rPr>
      </w:pPr>
      <w:bookmarkStart w:id="66" w:name="_Hlk72428346"/>
      <w:r>
        <w:rPr>
          <w:rFonts w:hint="eastAsia" w:ascii="黑体" w:hAnsi="宋体" w:eastAsia="黑体"/>
          <w:szCs w:val="21"/>
        </w:rPr>
        <w:t>27．投标文件的修改和撤销</w:t>
      </w:r>
    </w:p>
    <w:p w14:paraId="2F8B1346">
      <w:pPr>
        <w:ind w:firstLine="420" w:firstLineChars="200"/>
        <w:rPr>
          <w:rFonts w:ascii="宋体" w:hAnsi="宋体"/>
          <w:szCs w:val="21"/>
        </w:rPr>
      </w:pPr>
      <w:r>
        <w:rPr>
          <w:rFonts w:hint="eastAsia" w:ascii="宋体" w:hAnsi="宋体"/>
          <w:szCs w:val="21"/>
        </w:rPr>
        <w:t>27.1投标方在提交投标文件后可对其投标文件进行修改并重新上传投标文件或在网上进行撤销投标的操作。</w:t>
      </w:r>
    </w:p>
    <w:p w14:paraId="1379C464">
      <w:pPr>
        <w:ind w:firstLine="420" w:firstLineChars="200"/>
        <w:rPr>
          <w:rFonts w:ascii="宋体" w:hAnsi="宋体"/>
          <w:szCs w:val="21"/>
        </w:rPr>
      </w:pPr>
      <w:r>
        <w:rPr>
          <w:rFonts w:hint="eastAsia" w:ascii="宋体" w:hAnsi="宋体"/>
          <w:szCs w:val="21"/>
        </w:rPr>
        <w:t>27.2投标截止时间以后不得修改投标文件。</w:t>
      </w:r>
    </w:p>
    <w:p w14:paraId="79DB3C4A">
      <w:pPr>
        <w:ind w:firstLine="420" w:firstLineChars="200"/>
        <w:rPr>
          <w:rFonts w:ascii="宋体" w:hAnsi="宋体"/>
          <w:szCs w:val="21"/>
        </w:rPr>
      </w:pPr>
      <w:r>
        <w:rPr>
          <w:rFonts w:hint="eastAsia" w:ascii="宋体" w:hAnsi="宋体"/>
          <w:szCs w:val="21"/>
        </w:rPr>
        <w:t>27.3从投标截止期至投标人在投标文件中确定的投标有效期之间的这段时间内，投标人不得撤回其投标。</w:t>
      </w:r>
    </w:p>
    <w:p w14:paraId="4D7B4F4A">
      <w:pPr>
        <w:ind w:firstLine="420" w:firstLineChars="200"/>
        <w:rPr>
          <w:rFonts w:ascii="宋体" w:hAnsi="宋体"/>
          <w:szCs w:val="21"/>
        </w:rPr>
      </w:pPr>
      <w:r>
        <w:rPr>
          <w:rFonts w:hint="eastAsia" w:ascii="宋体" w:hAnsi="宋体"/>
          <w:szCs w:val="21"/>
        </w:rPr>
        <w:t>27.4</w:t>
      </w:r>
      <w:r>
        <w:rPr>
          <w:rFonts w:hint="eastAsia" w:ascii="宋体" w:hAnsi="宋体"/>
          <w:szCs w:val="21"/>
          <w:highlight w:val="yellow"/>
          <w:lang w:val="en-US" w:eastAsia="zh-CN"/>
        </w:rPr>
        <w:t>采购代理机构</w:t>
      </w:r>
      <w:r>
        <w:rPr>
          <w:rFonts w:hint="eastAsia" w:ascii="宋体" w:hAnsi="宋体"/>
          <w:szCs w:val="21"/>
        </w:rPr>
        <w:t>不退还投标文件，专用条款另有规定的除外。</w:t>
      </w:r>
    </w:p>
    <w:bookmarkEnd w:id="66"/>
    <w:p w14:paraId="323E12BE">
      <w:pPr>
        <w:pStyle w:val="18"/>
        <w:keepNext/>
        <w:keepLines/>
        <w:numPr>
          <w:ilvl w:val="0"/>
          <w:numId w:val="6"/>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开标</w:t>
      </w:r>
    </w:p>
    <w:p w14:paraId="1E8FDA99">
      <w:pPr>
        <w:ind w:firstLine="420" w:firstLineChars="200"/>
        <w:rPr>
          <w:rFonts w:ascii="黑体" w:hAnsi="宋体" w:eastAsia="黑体"/>
          <w:szCs w:val="21"/>
        </w:rPr>
      </w:pPr>
      <w:r>
        <w:rPr>
          <w:rFonts w:hint="eastAsia" w:ascii="黑体" w:hAnsi="宋体" w:eastAsia="黑体"/>
          <w:szCs w:val="21"/>
        </w:rPr>
        <w:t>28．开标</w:t>
      </w:r>
    </w:p>
    <w:p w14:paraId="076B95AE">
      <w:pPr>
        <w:ind w:firstLine="420" w:firstLineChars="200"/>
        <w:rPr>
          <w:rFonts w:ascii="宋体" w:hAnsi="宋体"/>
          <w:szCs w:val="21"/>
        </w:rPr>
      </w:pPr>
      <w:r>
        <w:rPr>
          <w:rFonts w:hint="eastAsia" w:ascii="宋体" w:hAnsi="宋体"/>
          <w:szCs w:val="21"/>
        </w:rPr>
        <w:t>28.1如</w:t>
      </w:r>
      <w:r>
        <w:rPr>
          <w:rFonts w:hint="eastAsia" w:ascii="宋体" w:hAnsi="宋体"/>
          <w:szCs w:val="21"/>
          <w:lang w:val="en-US" w:eastAsia="zh-CN"/>
        </w:rPr>
        <w:t>对</w:t>
      </w:r>
      <w:r>
        <w:rPr>
          <w:rFonts w:hint="eastAsia" w:ascii="宋体" w:hAnsi="宋体"/>
          <w:szCs w:val="21"/>
        </w:rPr>
        <w:t>投标文件加密的，则投标人须在开标当日的开标时间至解密截止时间内进行解密，逾期未解密的作</w:t>
      </w:r>
      <w:r>
        <w:rPr>
          <w:rFonts w:hint="eastAsia" w:ascii="宋体" w:hAnsi="宋体"/>
          <w:szCs w:val="21"/>
          <w:lang w:val="en-US" w:eastAsia="zh-CN"/>
        </w:rPr>
        <w:t>投标</w:t>
      </w:r>
      <w:r>
        <w:rPr>
          <w:rFonts w:hint="eastAsia" w:ascii="宋体" w:hAnsi="宋体"/>
          <w:szCs w:val="21"/>
        </w:rPr>
        <w:t>无效处理。解密方法：登录“深圳市自行采购系统（https://trade.szggzy.com/ggzy/center/#/login）”，使用本单位制作电子投标文件同一个电子密钥进行在线解密、查询开标情况。</w:t>
      </w:r>
    </w:p>
    <w:p w14:paraId="7F373699">
      <w:pPr>
        <w:ind w:firstLine="420" w:firstLineChars="200"/>
        <w:rPr>
          <w:rFonts w:ascii="宋体" w:hAnsi="宋体"/>
          <w:szCs w:val="21"/>
        </w:rPr>
      </w:pPr>
      <w:r>
        <w:rPr>
          <w:rFonts w:hint="eastAsia" w:ascii="宋体" w:hAnsi="宋体"/>
          <w:szCs w:val="21"/>
        </w:rPr>
        <w:t>28.2</w:t>
      </w:r>
      <w:r>
        <w:rPr>
          <w:rFonts w:hint="eastAsia" w:ascii="宋体" w:hAnsi="宋体"/>
          <w:szCs w:val="21"/>
          <w:highlight w:val="yellow"/>
          <w:lang w:val="en-US" w:eastAsia="zh-CN"/>
        </w:rPr>
        <w:t>采购代理机构</w:t>
      </w:r>
      <w:r>
        <w:rPr>
          <w:rFonts w:hint="eastAsia" w:ascii="宋体" w:hAnsi="宋体"/>
          <w:szCs w:val="21"/>
        </w:rPr>
        <w:t>将在满足开标条件（解密时间结束，</w:t>
      </w:r>
      <w:r>
        <w:rPr>
          <w:rFonts w:hint="eastAsia" w:ascii="宋体" w:hAnsi="宋体"/>
          <w:szCs w:val="21"/>
          <w:lang w:val="en-US" w:eastAsia="zh-CN"/>
        </w:rPr>
        <w:t>未对投标文件加密的供应商及对投标文件加密并成功解密的</w:t>
      </w:r>
      <w:r>
        <w:rPr>
          <w:rFonts w:hint="eastAsia" w:ascii="宋体" w:hAnsi="宋体"/>
          <w:szCs w:val="21"/>
        </w:rPr>
        <w:t>投标供应商数量</w:t>
      </w:r>
      <w:r>
        <w:rPr>
          <w:rFonts w:hint="eastAsia" w:ascii="宋体" w:hAnsi="宋体"/>
          <w:szCs w:val="21"/>
          <w:lang w:val="en-US" w:eastAsia="zh-CN"/>
        </w:rPr>
        <w:t>满足开标条件</w:t>
      </w:r>
      <w:r>
        <w:rPr>
          <w:rFonts w:hint="eastAsia" w:ascii="宋体" w:hAnsi="宋体"/>
          <w:szCs w:val="21"/>
        </w:rPr>
        <w:t>后</w:t>
      </w:r>
      <w:r>
        <w:rPr>
          <w:rFonts w:hint="eastAsia" w:ascii="宋体" w:hAnsi="宋体"/>
          <w:szCs w:val="21"/>
          <w:lang w:eastAsia="zh-CN"/>
        </w:rPr>
        <w:t>）</w:t>
      </w:r>
      <w:r>
        <w:rPr>
          <w:rFonts w:hint="eastAsia" w:ascii="宋体" w:hAnsi="宋体"/>
          <w:szCs w:val="21"/>
        </w:rPr>
        <w:t>对投标文件进行开标，并在网上公布开标结果。</w:t>
      </w:r>
    </w:p>
    <w:p w14:paraId="5E93792D">
      <w:pPr>
        <w:pStyle w:val="18"/>
        <w:keepNext/>
        <w:keepLines/>
        <w:numPr>
          <w:ilvl w:val="0"/>
          <w:numId w:val="6"/>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评审要求</w:t>
      </w:r>
    </w:p>
    <w:p w14:paraId="016F7971">
      <w:pPr>
        <w:ind w:firstLine="420" w:firstLineChars="200"/>
        <w:rPr>
          <w:rFonts w:ascii="黑体" w:hAnsi="宋体" w:eastAsia="黑体"/>
          <w:szCs w:val="21"/>
        </w:rPr>
      </w:pPr>
      <w:r>
        <w:rPr>
          <w:rFonts w:hint="eastAsia" w:ascii="黑体" w:hAnsi="宋体" w:eastAsia="黑体"/>
          <w:szCs w:val="21"/>
        </w:rPr>
        <w:t>29．评审委员会组成</w:t>
      </w:r>
    </w:p>
    <w:p w14:paraId="6588C44E">
      <w:pPr>
        <w:ind w:firstLine="420" w:firstLineChars="200"/>
        <w:rPr>
          <w:rFonts w:ascii="宋体" w:hAnsi="宋体"/>
          <w:szCs w:val="21"/>
        </w:rPr>
      </w:pPr>
      <w:r>
        <w:rPr>
          <w:rFonts w:hint="eastAsia" w:ascii="宋体" w:hAnsi="宋体"/>
          <w:szCs w:val="21"/>
        </w:rPr>
        <w:t>29.1网上开标结束后召开评审会议，评审委员会由</w:t>
      </w:r>
      <w:r>
        <w:rPr>
          <w:rFonts w:hint="eastAsia" w:ascii="宋体" w:hAnsi="宋体"/>
          <w:szCs w:val="21"/>
          <w:highlight w:val="yellow"/>
        </w:rPr>
        <w:t>采购代理机构</w:t>
      </w:r>
      <w:r>
        <w:rPr>
          <w:rFonts w:hint="eastAsia" w:ascii="宋体" w:hAnsi="宋体"/>
          <w:szCs w:val="21"/>
        </w:rPr>
        <w:t>依法组建，负责评审活动。</w:t>
      </w:r>
    </w:p>
    <w:p w14:paraId="6A01CD6F">
      <w:pPr>
        <w:ind w:firstLine="420" w:firstLineChars="200"/>
        <w:rPr>
          <w:rFonts w:ascii="宋体" w:hAnsi="宋体"/>
          <w:color w:val="FF0000"/>
          <w:szCs w:val="21"/>
          <w:highlight w:val="yellow"/>
        </w:rPr>
      </w:pPr>
      <w:bookmarkStart w:id="67" w:name="_Hlk72436580"/>
      <w:r>
        <w:rPr>
          <w:rFonts w:hint="eastAsia" w:ascii="宋体" w:hAnsi="宋体"/>
          <w:szCs w:val="21"/>
        </w:rPr>
        <w:t>评审委员会由采购人代表和评审专家组成，成员人数应当为5人以上单数（部分条件下为7人以上单数），其中评审专家不得少于成员总数的三分之二。</w:t>
      </w:r>
      <w:bookmarkEnd w:id="67"/>
      <w:r>
        <w:rPr>
          <w:rFonts w:hint="eastAsia" w:ascii="宋体" w:hAnsi="宋体"/>
          <w:szCs w:val="21"/>
        </w:rPr>
        <w:t>评定</w:t>
      </w:r>
      <w:r>
        <w:rPr>
          <w:rFonts w:hint="eastAsia"/>
          <w:szCs w:val="21"/>
        </w:rPr>
        <w:t>分离项目评审专家均由评审专家组成。</w:t>
      </w:r>
      <w:r>
        <w:rPr>
          <w:rFonts w:hint="eastAsia" w:ascii="宋体" w:hAnsi="宋体"/>
          <w:szCs w:val="21"/>
        </w:rPr>
        <w:t>评审专家一般是从深圳市政府采购评审专家库中随机抽取。采购人代表须持本单位签发的《评审授权书》参加评审。</w:t>
      </w:r>
      <w:r>
        <w:rPr>
          <w:rFonts w:hint="eastAsia" w:ascii="宋体" w:hAnsi="宋体"/>
          <w:color w:val="FF0000"/>
          <w:szCs w:val="21"/>
          <w:highlight w:val="yellow"/>
        </w:rPr>
        <w:t>根据财政部门要求，将食材、物业管理、清扫保洁、保安服务、家具、窗帘、园林绿化、社工服务、“城市管家”九类采购项目作为严管项目，实行“通用品目+专业品目”组合抽取制。严管项目的范围由市财政部门根据监管需要适时调整。上述所称专业品目是指，与项目采购标的相对应的品目，具体由采购人商采购代理机构根据项目需求自主确定。通用品目具体由会计、审计、法律、人力资源管理、资产评估、金融服务品目下的所有专家合并组成。专业品目下产生的专家人数占抽取总人数的比例不得超过50%（含本数），除此之外的专家均从通用品目库中随机抽取。注：论证专家抽取规则无需按此要求执行，具体严管项目的范围由市财政部门根据监管需要适时调整。</w:t>
      </w:r>
    </w:p>
    <w:p w14:paraId="65EC98E3">
      <w:pPr>
        <w:ind w:firstLine="420" w:firstLineChars="200"/>
        <w:rPr>
          <w:rFonts w:ascii="宋体" w:hAnsi="宋体"/>
          <w:szCs w:val="21"/>
        </w:rPr>
      </w:pPr>
      <w:r>
        <w:rPr>
          <w:rFonts w:hint="eastAsia" w:ascii="宋体" w:hAnsi="宋体"/>
          <w:szCs w:val="21"/>
        </w:rPr>
        <w:t>29.2评审定标应当遵循公平、公正、科学、择优的原则。</w:t>
      </w:r>
    </w:p>
    <w:p w14:paraId="5E6F20F9">
      <w:pPr>
        <w:ind w:firstLine="420" w:firstLineChars="200"/>
        <w:rPr>
          <w:rFonts w:ascii="宋体" w:hAnsi="宋体"/>
          <w:szCs w:val="21"/>
        </w:rPr>
      </w:pPr>
      <w:r>
        <w:rPr>
          <w:rFonts w:hint="eastAsia" w:ascii="宋体" w:hAnsi="宋体"/>
          <w:szCs w:val="21"/>
        </w:rPr>
        <w:t>29.3评审活动依法进行，任何单位和个人不得非法干预评标过程和结果。</w:t>
      </w:r>
    </w:p>
    <w:p w14:paraId="11DBC128">
      <w:pPr>
        <w:ind w:firstLine="420" w:firstLineChars="200"/>
        <w:rPr>
          <w:rFonts w:ascii="宋体" w:hAnsi="宋体"/>
          <w:szCs w:val="21"/>
        </w:rPr>
      </w:pPr>
      <w:r>
        <w:rPr>
          <w:rFonts w:hint="eastAsia" w:ascii="宋体" w:hAnsi="宋体"/>
          <w:szCs w:val="21"/>
        </w:rPr>
        <w:t>29.4评审过程中不允许违背评标程序或采用招标文件未载明的评标方法或评标因素进行评标。</w:t>
      </w:r>
    </w:p>
    <w:p w14:paraId="70FE8AE3">
      <w:pPr>
        <w:ind w:firstLine="420" w:firstLineChars="200"/>
        <w:rPr>
          <w:rFonts w:ascii="宋体" w:hAnsi="宋体"/>
          <w:bCs/>
          <w:szCs w:val="21"/>
        </w:rPr>
      </w:pPr>
      <w:r>
        <w:rPr>
          <w:rFonts w:hint="eastAsia" w:ascii="宋体" w:hAnsi="宋体"/>
          <w:bCs/>
          <w:szCs w:val="21"/>
        </w:rPr>
        <w:t>29.5 开标后，直到签订合同为止，凡属于对投标文件的审查、澄清、评价和比较的有关资料以及中标候选人的推荐情况、与评审有关的其他任何情况均严格保密（</w:t>
      </w:r>
      <w:r>
        <w:rPr>
          <w:rFonts w:hint="eastAsia"/>
          <w:szCs w:val="21"/>
        </w:rPr>
        <w:t>信息公开的内容除外</w:t>
      </w:r>
      <w:r>
        <w:rPr>
          <w:rFonts w:hint="eastAsia" w:ascii="宋体" w:hAnsi="宋体"/>
          <w:bCs/>
          <w:szCs w:val="21"/>
        </w:rPr>
        <w:t>）。</w:t>
      </w:r>
    </w:p>
    <w:p w14:paraId="37C24EE6">
      <w:pPr>
        <w:ind w:firstLine="420" w:firstLineChars="200"/>
        <w:rPr>
          <w:rFonts w:ascii="黑体" w:hAnsi="宋体" w:eastAsia="黑体"/>
          <w:szCs w:val="21"/>
        </w:rPr>
      </w:pPr>
      <w:r>
        <w:rPr>
          <w:rFonts w:hint="eastAsia" w:ascii="黑体" w:hAnsi="宋体" w:eastAsia="黑体"/>
          <w:szCs w:val="21"/>
        </w:rPr>
        <w:t>30．向评审委员会提供的资料</w:t>
      </w:r>
    </w:p>
    <w:p w14:paraId="41221F05">
      <w:pPr>
        <w:ind w:firstLine="420" w:firstLineChars="200"/>
        <w:rPr>
          <w:rFonts w:ascii="宋体" w:hAnsi="宋体"/>
          <w:szCs w:val="21"/>
        </w:rPr>
      </w:pPr>
      <w:r>
        <w:rPr>
          <w:rFonts w:hint="eastAsia" w:ascii="宋体" w:hAnsi="宋体"/>
          <w:szCs w:val="21"/>
        </w:rPr>
        <w:t>30.1公开发布的招标文件，包括图纸、服务清单、答疑文件等；</w:t>
      </w:r>
    </w:p>
    <w:p w14:paraId="4492200C">
      <w:pPr>
        <w:ind w:firstLine="420" w:firstLineChars="200"/>
        <w:rPr>
          <w:rFonts w:ascii="宋体" w:hAnsi="宋体"/>
          <w:szCs w:val="21"/>
        </w:rPr>
      </w:pPr>
      <w:r>
        <w:rPr>
          <w:rFonts w:hint="eastAsia" w:ascii="宋体" w:hAnsi="宋体"/>
          <w:szCs w:val="21"/>
        </w:rPr>
        <w:t>30.2其他评标必须的资料。</w:t>
      </w:r>
    </w:p>
    <w:p w14:paraId="140C2F71">
      <w:pPr>
        <w:ind w:firstLine="420" w:firstLineChars="200"/>
        <w:rPr>
          <w:rFonts w:ascii="宋体" w:hAnsi="宋体"/>
          <w:szCs w:val="21"/>
        </w:rPr>
      </w:pPr>
      <w:r>
        <w:rPr>
          <w:rFonts w:hint="eastAsia" w:ascii="宋体" w:hAnsi="宋体"/>
          <w:szCs w:val="21"/>
        </w:rPr>
        <w:t>30.3评审委员会应当认真研究招标文件，至少应了解熟悉以下内容：</w:t>
      </w:r>
    </w:p>
    <w:p w14:paraId="3193335B">
      <w:pPr>
        <w:ind w:firstLine="420" w:firstLineChars="200"/>
        <w:rPr>
          <w:rFonts w:ascii="宋体" w:hAnsi="宋体"/>
          <w:szCs w:val="21"/>
        </w:rPr>
      </w:pPr>
      <w:r>
        <w:rPr>
          <w:rFonts w:hint="eastAsia" w:ascii="宋体" w:hAnsi="宋体"/>
          <w:szCs w:val="21"/>
        </w:rPr>
        <w:t>（1）招标的目的；</w:t>
      </w:r>
    </w:p>
    <w:p w14:paraId="06AE4CD2">
      <w:pPr>
        <w:ind w:firstLine="420" w:firstLineChars="200"/>
        <w:rPr>
          <w:rFonts w:ascii="宋体" w:hAnsi="宋体"/>
          <w:szCs w:val="21"/>
        </w:rPr>
      </w:pPr>
      <w:r>
        <w:rPr>
          <w:rFonts w:hint="eastAsia" w:ascii="宋体" w:hAnsi="宋体"/>
          <w:szCs w:val="21"/>
        </w:rPr>
        <w:t>（2）招标项目需求的范围和性质；</w:t>
      </w:r>
    </w:p>
    <w:p w14:paraId="1B7E8F4B">
      <w:pPr>
        <w:ind w:firstLine="420" w:firstLineChars="200"/>
        <w:rPr>
          <w:rFonts w:ascii="宋体" w:hAnsi="宋体"/>
          <w:szCs w:val="21"/>
        </w:rPr>
      </w:pPr>
      <w:r>
        <w:rPr>
          <w:rFonts w:hint="eastAsia" w:ascii="宋体" w:hAnsi="宋体"/>
          <w:szCs w:val="21"/>
        </w:rPr>
        <w:t>（3）招标文件规定的投标人的资格、财政预算限额、商务条款；</w:t>
      </w:r>
    </w:p>
    <w:p w14:paraId="462865F3">
      <w:pPr>
        <w:ind w:firstLine="420" w:firstLineChars="200"/>
        <w:rPr>
          <w:rFonts w:ascii="宋体" w:hAnsi="宋体"/>
          <w:szCs w:val="21"/>
        </w:rPr>
      </w:pPr>
      <w:r>
        <w:rPr>
          <w:rFonts w:hint="eastAsia" w:ascii="宋体" w:hAnsi="宋体"/>
          <w:szCs w:val="21"/>
        </w:rPr>
        <w:t>（4）招标文件规定的评标程序、评标方法和评标因素；</w:t>
      </w:r>
    </w:p>
    <w:p w14:paraId="3D5A51F8">
      <w:pPr>
        <w:ind w:firstLine="420" w:firstLineChars="200"/>
        <w:rPr>
          <w:rFonts w:ascii="宋体" w:hAnsi="宋体"/>
          <w:szCs w:val="21"/>
        </w:rPr>
      </w:pPr>
      <w:r>
        <w:rPr>
          <w:rFonts w:hint="eastAsia" w:ascii="宋体" w:hAnsi="宋体"/>
          <w:szCs w:val="21"/>
        </w:rPr>
        <w:t>（5）招标文件所列示的资格性审查表及符合性审查表。</w:t>
      </w:r>
    </w:p>
    <w:p w14:paraId="0D6A7F85">
      <w:pPr>
        <w:ind w:firstLine="420" w:firstLineChars="200"/>
        <w:rPr>
          <w:rFonts w:ascii="黑体" w:hAnsi="宋体" w:eastAsia="黑体"/>
          <w:szCs w:val="21"/>
        </w:rPr>
      </w:pPr>
      <w:r>
        <w:rPr>
          <w:rFonts w:hint="eastAsia" w:ascii="黑体" w:hAnsi="宋体" w:eastAsia="黑体"/>
          <w:szCs w:val="21"/>
        </w:rPr>
        <w:t>31．独立评审</w:t>
      </w:r>
    </w:p>
    <w:p w14:paraId="31C78210">
      <w:pPr>
        <w:ind w:firstLine="420" w:firstLineChars="200"/>
        <w:rPr>
          <w:rFonts w:ascii="宋体" w:hAnsi="宋体"/>
          <w:bCs/>
          <w:szCs w:val="21"/>
        </w:rPr>
      </w:pPr>
      <w:r>
        <w:rPr>
          <w:rFonts w:hint="eastAsia" w:ascii="宋体" w:hAnsi="宋体"/>
          <w:bCs/>
          <w:szCs w:val="21"/>
        </w:rPr>
        <w:t>31.1</w:t>
      </w:r>
      <w:r>
        <w:rPr>
          <w:rFonts w:hint="eastAsia" w:ascii="宋体" w:hAnsi="宋体"/>
          <w:szCs w:val="21"/>
        </w:rPr>
        <w:t>评审委员会</w:t>
      </w:r>
      <w:r>
        <w:rPr>
          <w:rFonts w:hint="eastAsia" w:ascii="宋体" w:hAnsi="宋体"/>
          <w:bCs/>
          <w:szCs w:val="21"/>
        </w:rPr>
        <w:t>成员的评标活动应当独立进行，并应遵循投标文件初审、澄清有关问题、比较与评价、确定中标供应商、编写评审报告的工作程序。</w:t>
      </w:r>
    </w:p>
    <w:p w14:paraId="7B871AE8">
      <w:pPr>
        <w:ind w:firstLine="411" w:firstLineChars="196"/>
        <w:rPr>
          <w:rFonts w:ascii="宋体" w:hAnsi="宋体"/>
          <w:bCs/>
          <w:szCs w:val="21"/>
        </w:rPr>
      </w:pPr>
    </w:p>
    <w:p w14:paraId="174B2552">
      <w:pPr>
        <w:pStyle w:val="18"/>
        <w:keepNext/>
        <w:keepLines/>
        <w:numPr>
          <w:ilvl w:val="0"/>
          <w:numId w:val="6"/>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评审程序及评审方法</w:t>
      </w:r>
    </w:p>
    <w:p w14:paraId="3B943B4F">
      <w:pPr>
        <w:ind w:firstLine="420" w:firstLineChars="200"/>
        <w:rPr>
          <w:rFonts w:ascii="黑体" w:hAnsi="宋体" w:eastAsia="黑体"/>
          <w:szCs w:val="21"/>
        </w:rPr>
      </w:pPr>
      <w:r>
        <w:rPr>
          <w:rFonts w:hint="eastAsia" w:ascii="黑体" w:hAnsi="宋体" w:eastAsia="黑体"/>
          <w:szCs w:val="21"/>
        </w:rPr>
        <w:t>32．投标文件初审</w:t>
      </w:r>
    </w:p>
    <w:p w14:paraId="0302F87D">
      <w:pPr>
        <w:ind w:firstLine="420" w:firstLineChars="200"/>
        <w:rPr>
          <w:rFonts w:ascii="宋体" w:hAnsi="宋体"/>
          <w:szCs w:val="21"/>
        </w:rPr>
      </w:pPr>
      <w:r>
        <w:rPr>
          <w:rFonts w:hint="eastAsia" w:ascii="宋体" w:hAnsi="宋体"/>
          <w:szCs w:val="21"/>
        </w:rPr>
        <w:t>32.1投标文件初审包括资格性审查和符合性审查。</w:t>
      </w:r>
    </w:p>
    <w:p w14:paraId="3B4D409B">
      <w:pPr>
        <w:ind w:firstLine="420" w:firstLineChars="200"/>
        <w:rPr>
          <w:rFonts w:ascii="宋体" w:hAnsi="宋体"/>
          <w:szCs w:val="21"/>
        </w:rPr>
      </w:pPr>
      <w:r>
        <w:rPr>
          <w:rFonts w:hint="eastAsia" w:ascii="宋体" w:hAnsi="宋体"/>
          <w:szCs w:val="21"/>
        </w:rPr>
        <w:t>资格性审查：依据法律法规和招标文件的规定，对投标文件中的资格证明等进行审查，以确定投标供应商是否具备投标资格。</w:t>
      </w:r>
    </w:p>
    <w:p w14:paraId="675DC18B">
      <w:pPr>
        <w:ind w:firstLine="420" w:firstLineChars="200"/>
        <w:rPr>
          <w:rFonts w:ascii="宋体" w:hAnsi="宋体"/>
          <w:szCs w:val="21"/>
        </w:rPr>
      </w:pPr>
      <w:r>
        <w:rPr>
          <w:rFonts w:hint="eastAsia" w:ascii="宋体" w:hAnsi="宋体"/>
          <w:szCs w:val="21"/>
        </w:rPr>
        <w:t>符合性审查：依据招标文件的规定，对投标文件的有效性、完整性和对招标文件的响应程度进行审查，以确定是否满足符合性审查的要求。</w:t>
      </w:r>
    </w:p>
    <w:p w14:paraId="48464D5A">
      <w:pPr>
        <w:ind w:firstLine="420" w:firstLineChars="200"/>
        <w:rPr>
          <w:rFonts w:ascii="宋体" w:hAnsi="宋体"/>
          <w:szCs w:val="21"/>
        </w:rPr>
      </w:pPr>
      <w:r>
        <w:rPr>
          <w:rFonts w:hint="eastAsia" w:ascii="宋体" w:hAnsi="宋体"/>
          <w:szCs w:val="21"/>
        </w:rPr>
        <w:t>32.2 投标文件初审内容请详见《资格性审查表》和《符合性审查表》部分。投标人若有一条审查不通过则按投标无效处理。</w:t>
      </w:r>
    </w:p>
    <w:p w14:paraId="71FA5E68">
      <w:pPr>
        <w:ind w:firstLine="420" w:firstLineChars="200"/>
        <w:rPr>
          <w:rFonts w:ascii="宋体" w:hAnsi="宋体"/>
          <w:bCs/>
          <w:szCs w:val="21"/>
        </w:rPr>
      </w:pPr>
      <w:r>
        <w:rPr>
          <w:rFonts w:hint="eastAsia" w:ascii="宋体" w:hAnsi="宋体"/>
          <w:bCs/>
          <w:szCs w:val="21"/>
        </w:rPr>
        <w:t>32.3 投标文件初审中关于供应商家数的计算:</w:t>
      </w:r>
    </w:p>
    <w:p w14:paraId="059C394D">
      <w:pPr>
        <w:ind w:firstLine="420" w:firstLineChars="200"/>
        <w:rPr>
          <w:rFonts w:ascii="宋体" w:hAnsi="宋体"/>
          <w:bCs/>
          <w:szCs w:val="21"/>
        </w:rPr>
      </w:pPr>
      <w:r>
        <w:rPr>
          <w:rFonts w:hint="eastAsia" w:ascii="宋体" w:hAnsi="宋体"/>
          <w:bCs/>
          <w:szCs w:val="21"/>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14:paraId="68FA5264">
      <w:pPr>
        <w:ind w:firstLine="420" w:firstLineChars="200"/>
        <w:rPr>
          <w:rFonts w:ascii="宋体" w:hAnsi="宋体"/>
          <w:bCs/>
          <w:szCs w:val="21"/>
        </w:rPr>
      </w:pPr>
      <w:r>
        <w:rPr>
          <w:rFonts w:hint="eastAsia" w:ascii="宋体" w:hAnsi="宋体"/>
          <w:bCs/>
          <w:szCs w:val="21"/>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14:paraId="1F92FCBF">
      <w:pPr>
        <w:ind w:firstLine="420" w:firstLineChars="200"/>
        <w:rPr>
          <w:rFonts w:ascii="宋体" w:hAnsi="宋体"/>
          <w:bCs/>
          <w:szCs w:val="21"/>
        </w:rPr>
      </w:pPr>
      <w:r>
        <w:rPr>
          <w:rFonts w:hint="eastAsia" w:ascii="宋体" w:hAnsi="宋体"/>
          <w:bCs/>
          <w:szCs w:val="21"/>
        </w:rPr>
        <w:t>32.3.3非单一产品采购项目，采购人应当根据采购项目技术构成、产品价格比重等合理确定核心产品，并在招标文件中载明。多家投标人提供的核心产品品牌相同的，按前两款规定处理。</w:t>
      </w:r>
    </w:p>
    <w:p w14:paraId="58A3F10F">
      <w:pPr>
        <w:ind w:firstLine="420" w:firstLineChars="200"/>
        <w:rPr>
          <w:rFonts w:ascii="宋体" w:hAnsi="宋体"/>
          <w:szCs w:val="21"/>
        </w:rPr>
      </w:pPr>
      <w:r>
        <w:rPr>
          <w:rFonts w:hint="eastAsia" w:ascii="宋体" w:hAnsi="宋体"/>
          <w:szCs w:val="21"/>
        </w:rPr>
        <w:t>32.4投标人投标文件作无效处理的情形，具体包括但不限于以下：</w:t>
      </w:r>
    </w:p>
    <w:p w14:paraId="1C6A9BBB">
      <w:pPr>
        <w:ind w:firstLine="420" w:firstLineChars="200"/>
        <w:rPr>
          <w:szCs w:val="21"/>
        </w:rPr>
      </w:pPr>
      <w:r>
        <w:rPr>
          <w:rFonts w:hint="eastAsia" w:ascii="宋体" w:hAnsi="宋体"/>
          <w:szCs w:val="21"/>
        </w:rPr>
        <w:t>32.4.1</w:t>
      </w:r>
      <w:r>
        <w:rPr>
          <w:rFonts w:hint="eastAsia"/>
          <w:szCs w:val="21"/>
        </w:rPr>
        <w:t>不同投标人的投标文件由同一单位或者同一个人编制，或者由同一个人分阶段参与编制；</w:t>
      </w:r>
    </w:p>
    <w:p w14:paraId="003C30C7">
      <w:pPr>
        <w:ind w:firstLine="420" w:firstLineChars="200"/>
        <w:rPr>
          <w:szCs w:val="21"/>
        </w:rPr>
      </w:pPr>
      <w:r>
        <w:rPr>
          <w:rFonts w:hint="eastAsia" w:ascii="宋体" w:hAnsi="宋体"/>
          <w:szCs w:val="21"/>
        </w:rPr>
        <w:t>32.4.2</w:t>
      </w:r>
      <w:r>
        <w:rPr>
          <w:rFonts w:hint="eastAsia"/>
          <w:szCs w:val="21"/>
        </w:rPr>
        <w:t>不同投标人委托同一单位或者个人办理投标事宜；</w:t>
      </w:r>
    </w:p>
    <w:p w14:paraId="2BA5EA08">
      <w:pPr>
        <w:ind w:firstLine="420" w:firstLineChars="200"/>
        <w:rPr>
          <w:rFonts w:ascii="宋体" w:hAnsi="宋体"/>
          <w:szCs w:val="21"/>
        </w:rPr>
      </w:pPr>
      <w:r>
        <w:rPr>
          <w:rFonts w:hint="eastAsia" w:ascii="宋体" w:hAnsi="宋体"/>
          <w:szCs w:val="21"/>
        </w:rPr>
        <w:t>32.4.3不同投标人的投标文件载明的项目管理成员或者联系人员为同一人；</w:t>
      </w:r>
    </w:p>
    <w:p w14:paraId="63686DE7">
      <w:pPr>
        <w:ind w:firstLine="420" w:firstLineChars="200"/>
        <w:rPr>
          <w:rFonts w:ascii="宋体" w:hAnsi="宋体"/>
          <w:szCs w:val="21"/>
        </w:rPr>
      </w:pPr>
      <w:r>
        <w:rPr>
          <w:rFonts w:hint="eastAsia" w:ascii="宋体" w:hAnsi="宋体"/>
          <w:szCs w:val="21"/>
        </w:rPr>
        <w:t>32.4.4不同投标人的投标文件异常一致或者投标报价呈规律性差异；</w:t>
      </w:r>
    </w:p>
    <w:p w14:paraId="5770AFB6">
      <w:pPr>
        <w:ind w:firstLine="420" w:firstLineChars="200"/>
        <w:rPr>
          <w:rFonts w:ascii="宋体" w:hAnsi="宋体"/>
          <w:szCs w:val="21"/>
        </w:rPr>
      </w:pPr>
      <w:r>
        <w:rPr>
          <w:rFonts w:hint="eastAsia" w:ascii="宋体" w:hAnsi="宋体"/>
          <w:szCs w:val="21"/>
        </w:rPr>
        <w:t>32.4.5不同投标供应商的投标文件或部分投标文件相互混装；</w:t>
      </w:r>
    </w:p>
    <w:p w14:paraId="57A018BE">
      <w:pPr>
        <w:ind w:firstLine="420" w:firstLineChars="200"/>
        <w:rPr>
          <w:rFonts w:ascii="宋体" w:hAnsi="宋体"/>
          <w:szCs w:val="21"/>
        </w:rPr>
      </w:pPr>
      <w:r>
        <w:rPr>
          <w:rFonts w:hint="eastAsia" w:ascii="宋体" w:hAnsi="宋体"/>
          <w:szCs w:val="21"/>
        </w:rPr>
        <w:t>32.4.6投标供应商之间相互约定给予未中标的供应商利益补偿；</w:t>
      </w:r>
    </w:p>
    <w:p w14:paraId="3E1FEB84">
      <w:pPr>
        <w:ind w:firstLine="420" w:firstLineChars="200"/>
        <w:rPr>
          <w:rFonts w:ascii="宋体" w:hAnsi="宋体"/>
          <w:szCs w:val="21"/>
        </w:rPr>
      </w:pPr>
      <w:r>
        <w:rPr>
          <w:rFonts w:hint="eastAsia" w:ascii="宋体" w:hAnsi="宋体"/>
          <w:szCs w:val="21"/>
        </w:rPr>
        <w:t>32.4.7不同投标供应商的法定代表人、主要经营负责人、项目投标授权代表人、项目负责人、主要技术人员为同一人、属同一单位或者同一单位缴纳社会保险；</w:t>
      </w:r>
    </w:p>
    <w:p w14:paraId="01F2D4D5">
      <w:pPr>
        <w:ind w:firstLine="420" w:firstLineChars="200"/>
        <w:rPr>
          <w:rFonts w:ascii="宋体" w:hAnsi="宋体"/>
          <w:szCs w:val="21"/>
        </w:rPr>
      </w:pPr>
      <w:r>
        <w:rPr>
          <w:rFonts w:hint="eastAsia" w:ascii="宋体" w:hAnsi="宋体"/>
          <w:szCs w:val="21"/>
        </w:rPr>
        <w:t>32.4.8不同投标供应商的投标文件内容存在非正常一致；</w:t>
      </w:r>
    </w:p>
    <w:p w14:paraId="037B2E2F">
      <w:pPr>
        <w:ind w:firstLine="420" w:firstLineChars="200"/>
        <w:rPr>
          <w:rFonts w:ascii="宋体" w:hAnsi="宋体"/>
          <w:szCs w:val="21"/>
        </w:rPr>
      </w:pPr>
      <w:r>
        <w:rPr>
          <w:rFonts w:hint="eastAsia" w:ascii="宋体" w:hAnsi="宋体"/>
          <w:szCs w:val="21"/>
        </w:rPr>
        <w:t>32.4.9在同一单位工作人员为两家以上（含两家）供应商进行同一项投标活动；</w:t>
      </w:r>
    </w:p>
    <w:p w14:paraId="696C2906">
      <w:pPr>
        <w:ind w:firstLine="420" w:firstLineChars="200"/>
        <w:rPr>
          <w:rFonts w:ascii="宋体" w:hAnsi="宋体"/>
          <w:szCs w:val="21"/>
        </w:rPr>
      </w:pPr>
      <w:r>
        <w:rPr>
          <w:rFonts w:hint="eastAsia" w:ascii="宋体" w:hAnsi="宋体"/>
          <w:szCs w:val="21"/>
        </w:rPr>
        <w:t>32.4.10主管部门依照法律、法规认定的其他情形。</w:t>
      </w:r>
    </w:p>
    <w:p w14:paraId="2D3CA203">
      <w:pPr>
        <w:ind w:firstLine="420" w:firstLineChars="200"/>
        <w:rPr>
          <w:rFonts w:ascii="宋体" w:hAnsi="宋体"/>
          <w:szCs w:val="21"/>
        </w:rPr>
      </w:pPr>
      <w:r>
        <w:rPr>
          <w:rFonts w:hint="eastAsia" w:ascii="宋体" w:hAnsi="宋体"/>
          <w:szCs w:val="21"/>
        </w:rPr>
        <w:t>32.5对不属于《资格性审查表》和《符合性审查表》所列的其他情形，除专用条款另有规定和32.4条款所列情形外，不得作为投标无效的理由。</w:t>
      </w:r>
    </w:p>
    <w:p w14:paraId="4D047598">
      <w:pPr>
        <w:ind w:firstLine="420" w:firstLineChars="200"/>
        <w:rPr>
          <w:rFonts w:ascii="黑体" w:hAnsi="宋体" w:eastAsia="黑体"/>
          <w:szCs w:val="21"/>
        </w:rPr>
      </w:pPr>
      <w:r>
        <w:rPr>
          <w:rFonts w:hint="eastAsia" w:ascii="黑体" w:hAnsi="宋体" w:eastAsia="黑体"/>
          <w:szCs w:val="21"/>
        </w:rPr>
        <w:t>33．澄清有关问题</w:t>
      </w:r>
    </w:p>
    <w:p w14:paraId="43E3CDF2">
      <w:pPr>
        <w:ind w:firstLine="420" w:firstLineChars="200"/>
        <w:rPr>
          <w:rFonts w:ascii="宋体" w:hAnsi="宋体"/>
          <w:szCs w:val="21"/>
        </w:rPr>
      </w:pPr>
      <w:bookmarkStart w:id="68" w:name="_Hlk71407321"/>
      <w:r>
        <w:rPr>
          <w:rFonts w:hint="eastAsia" w:ascii="宋体" w:hAnsi="宋体"/>
          <w:szCs w:val="21"/>
        </w:rPr>
        <w:t>33.1对招标文件中描述有歧义或前后不一致的地方（不含</w:t>
      </w:r>
      <w:r>
        <w:rPr>
          <w:rFonts w:hint="eastAsia"/>
          <w:szCs w:val="21"/>
        </w:rPr>
        <w:t>招标文件存在歧义、重大缺陷导致评审工作无法进行的情况）</w:t>
      </w:r>
      <w:r>
        <w:rPr>
          <w:rFonts w:hint="eastAsia" w:ascii="宋体" w:hAnsi="宋体"/>
          <w:szCs w:val="21"/>
        </w:rPr>
        <w:t>，评审委员会有权进行评判，但对同一条款的评判应适用于每个投标人。</w:t>
      </w:r>
      <w:bookmarkEnd w:id="68"/>
    </w:p>
    <w:p w14:paraId="51A3CFCC">
      <w:pPr>
        <w:ind w:firstLine="420" w:firstLineChars="200"/>
        <w:rPr>
          <w:rFonts w:ascii="宋体" w:hAnsi="宋体"/>
          <w:szCs w:val="21"/>
        </w:rPr>
      </w:pPr>
      <w:r>
        <w:rPr>
          <w:rFonts w:hint="eastAsia" w:ascii="宋体" w:hAnsi="宋体"/>
          <w:szCs w:val="21"/>
        </w:rPr>
        <w:t>33.2</w:t>
      </w:r>
      <w:r>
        <w:rPr>
          <w:rFonts w:hint="eastAsia"/>
          <w:szCs w:val="21"/>
        </w:rPr>
        <w:t>评审委员会发现招标文件存在歧义、重大缺陷导致评审工作无法进行，或者招标文件内容违反国家有关强制性规定的，应当停止评审工作，与</w:t>
      </w:r>
      <w:r>
        <w:rPr>
          <w:rFonts w:hint="eastAsia" w:ascii="宋体" w:hAnsi="宋体"/>
          <w:szCs w:val="21"/>
          <w:highlight w:val="yellow"/>
        </w:rPr>
        <w:t>采购代理机构</w:t>
      </w:r>
      <w:r>
        <w:rPr>
          <w:rFonts w:hint="eastAsia"/>
          <w:szCs w:val="21"/>
        </w:rPr>
        <w:t>沟通并作书面记录。经确认后，项目应当修改招标文件，重新组织采购活动。</w:t>
      </w:r>
    </w:p>
    <w:p w14:paraId="32D3D2A4">
      <w:pPr>
        <w:ind w:firstLine="420" w:firstLineChars="200"/>
        <w:rPr>
          <w:rFonts w:ascii="宋体" w:hAnsi="宋体"/>
          <w:szCs w:val="21"/>
        </w:rPr>
      </w:pPr>
      <w:r>
        <w:rPr>
          <w:rFonts w:hint="eastAsia" w:ascii="宋体" w:hAnsi="宋体"/>
          <w:szCs w:val="21"/>
        </w:rPr>
        <w:t>33.3对于投标文件中含义不明确、同类问题表述不一致或者有明显文字和计算错误的内容，评审委员会应当以书面形式要求投标人作出必要的澄清、说明或者补正。</w:t>
      </w:r>
    </w:p>
    <w:p w14:paraId="243F922C">
      <w:pPr>
        <w:ind w:firstLine="420" w:firstLineChars="200"/>
        <w:rPr>
          <w:rFonts w:ascii="宋体" w:hAnsi="宋体"/>
          <w:szCs w:val="21"/>
        </w:rPr>
      </w:pPr>
      <w:r>
        <w:rPr>
          <w:rFonts w:hint="eastAsia" w:ascii="宋体" w:hAnsi="宋体"/>
          <w:szCs w:val="21"/>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14:paraId="0633E900">
      <w:pPr>
        <w:ind w:firstLine="420" w:firstLineChars="200"/>
        <w:rPr>
          <w:rFonts w:ascii="宋体" w:hAnsi="宋体"/>
          <w:szCs w:val="21"/>
        </w:rPr>
      </w:pPr>
      <w:r>
        <w:rPr>
          <w:rFonts w:hint="eastAsia" w:ascii="宋体" w:hAnsi="宋体"/>
          <w:szCs w:val="21"/>
        </w:rPr>
        <w:t>根据本通用条款第34条，凡属于评审委员会在评审中发现的算术错误进行核实的修改不在此列。</w:t>
      </w:r>
    </w:p>
    <w:p w14:paraId="03A74FB5">
      <w:pPr>
        <w:ind w:firstLine="420" w:firstLineChars="200"/>
        <w:rPr>
          <w:rFonts w:ascii="黑体" w:hAnsi="宋体" w:eastAsia="黑体"/>
          <w:szCs w:val="21"/>
        </w:rPr>
      </w:pPr>
      <w:bookmarkStart w:id="69" w:name="_Toc73517673"/>
      <w:bookmarkStart w:id="70" w:name="_Toc100052400"/>
      <w:bookmarkStart w:id="71" w:name="_Toc73521581"/>
      <w:bookmarkStart w:id="72" w:name="_Toc73521669"/>
      <w:bookmarkStart w:id="73" w:name="_Toc73518151"/>
      <w:r>
        <w:rPr>
          <w:rFonts w:hint="eastAsia" w:ascii="黑体" w:hAnsi="宋体" w:eastAsia="黑体"/>
          <w:szCs w:val="21"/>
        </w:rPr>
        <w:t>34．错误的修正</w:t>
      </w:r>
      <w:bookmarkEnd w:id="69"/>
      <w:bookmarkEnd w:id="70"/>
      <w:bookmarkEnd w:id="71"/>
      <w:bookmarkEnd w:id="72"/>
      <w:bookmarkEnd w:id="73"/>
    </w:p>
    <w:p w14:paraId="16215F8A">
      <w:pPr>
        <w:ind w:firstLine="420" w:firstLineChars="200"/>
        <w:rPr>
          <w:rFonts w:ascii="宋体" w:hAnsi="宋体"/>
          <w:szCs w:val="21"/>
        </w:rPr>
      </w:pPr>
      <w:r>
        <w:rPr>
          <w:rFonts w:hint="eastAsia" w:ascii="宋体" w:hAnsi="宋体"/>
          <w:szCs w:val="21"/>
        </w:rPr>
        <w:t>投标文件报价出现前后不一致的，除专用条款另有规定外，按照下列规定修正：</w:t>
      </w:r>
    </w:p>
    <w:p w14:paraId="630FC3B0">
      <w:pPr>
        <w:ind w:firstLine="420" w:firstLineChars="200"/>
        <w:rPr>
          <w:rFonts w:ascii="宋体" w:hAnsi="宋体"/>
          <w:szCs w:val="21"/>
        </w:rPr>
      </w:pPr>
      <w:r>
        <w:rPr>
          <w:rFonts w:hint="eastAsia" w:ascii="宋体" w:hAnsi="宋体"/>
          <w:szCs w:val="21"/>
        </w:rPr>
        <w:t>34.1投标文件中开标一览表投标报价内容与投标文件中投标报价相应内容不一致的，以开标一览表为准；</w:t>
      </w:r>
    </w:p>
    <w:p w14:paraId="719DBCF5">
      <w:pPr>
        <w:ind w:firstLine="420" w:firstLineChars="200"/>
        <w:rPr>
          <w:rFonts w:ascii="宋体" w:hAnsi="宋体"/>
          <w:szCs w:val="21"/>
        </w:rPr>
      </w:pPr>
      <w:r>
        <w:rPr>
          <w:rFonts w:hint="eastAsia" w:ascii="宋体" w:hAnsi="宋体"/>
          <w:szCs w:val="21"/>
        </w:rPr>
        <w:t>34.2大写金额和小写金额不一致的，以大写金额为准；</w:t>
      </w:r>
    </w:p>
    <w:p w14:paraId="3A89160E">
      <w:pPr>
        <w:ind w:firstLine="420" w:firstLineChars="200"/>
        <w:rPr>
          <w:rFonts w:ascii="宋体" w:hAnsi="宋体"/>
          <w:szCs w:val="21"/>
        </w:rPr>
      </w:pPr>
      <w:r>
        <w:rPr>
          <w:rFonts w:hint="eastAsia" w:ascii="宋体" w:hAnsi="宋体"/>
          <w:szCs w:val="21"/>
        </w:rPr>
        <w:t>34.3单价金额小数点或者百分比有明显错位，以开标一览表的总价为准，并修改单价；</w:t>
      </w:r>
    </w:p>
    <w:p w14:paraId="704807DB">
      <w:pPr>
        <w:ind w:firstLine="420" w:firstLineChars="200"/>
        <w:rPr>
          <w:rFonts w:ascii="宋体" w:hAnsi="宋体"/>
          <w:szCs w:val="21"/>
        </w:rPr>
      </w:pPr>
      <w:r>
        <w:rPr>
          <w:rFonts w:hint="eastAsia" w:ascii="宋体" w:hAnsi="宋体"/>
          <w:szCs w:val="21"/>
        </w:rPr>
        <w:t>34.4总价金额与按单价汇总金额不一致的，以单价金额计算结果为准。</w:t>
      </w:r>
    </w:p>
    <w:p w14:paraId="2A0E837C">
      <w:pPr>
        <w:ind w:firstLine="420" w:firstLineChars="200"/>
        <w:rPr>
          <w:rFonts w:ascii="宋体" w:hAnsi="宋体"/>
          <w:szCs w:val="21"/>
        </w:rPr>
      </w:pPr>
      <w:r>
        <w:rPr>
          <w:rFonts w:hint="eastAsia" w:ascii="宋体" w:hAnsi="宋体"/>
          <w:szCs w:val="21"/>
        </w:rPr>
        <w:t>34.5同时出现两种以上不一致的，按照前款规定的顺序修正。修正后的报价按照本通用条款33条的规定，经投标人确认后产生约束力，投标人不确认的，其投标无效。</w:t>
      </w:r>
    </w:p>
    <w:p w14:paraId="5B2030C2">
      <w:pPr>
        <w:ind w:firstLine="420" w:firstLineChars="200"/>
        <w:rPr>
          <w:rFonts w:ascii="黑体" w:hAnsi="宋体" w:eastAsia="黑体"/>
          <w:szCs w:val="21"/>
        </w:rPr>
      </w:pPr>
      <w:r>
        <w:rPr>
          <w:rFonts w:hint="eastAsia" w:ascii="黑体" w:hAnsi="宋体" w:eastAsia="黑体"/>
          <w:szCs w:val="21"/>
        </w:rPr>
        <w:t>35．投标文件的比较与评价</w:t>
      </w:r>
    </w:p>
    <w:p w14:paraId="1CD46951">
      <w:pPr>
        <w:ind w:firstLine="420" w:firstLineChars="200"/>
        <w:rPr>
          <w:rFonts w:ascii="宋体" w:hAnsi="宋体"/>
          <w:szCs w:val="21"/>
        </w:rPr>
      </w:pPr>
      <w:r>
        <w:rPr>
          <w:rFonts w:hint="eastAsia" w:ascii="宋体" w:hAnsi="宋体"/>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14:paraId="6A748D9A">
      <w:pPr>
        <w:ind w:firstLine="420" w:firstLineChars="200"/>
        <w:rPr>
          <w:rFonts w:ascii="宋体" w:hAnsi="宋体"/>
          <w:szCs w:val="21"/>
        </w:rPr>
      </w:pPr>
      <w:r>
        <w:rPr>
          <w:rFonts w:hint="eastAsia" w:ascii="宋体" w:hAnsi="宋体"/>
          <w:szCs w:val="21"/>
        </w:rPr>
        <w:t>评审委员会成员对需要共同认定的事项存在争议的，应当按照少数服从多数的原则作出结论。持不同意见的评审委员会成员应当书面作出说明，否则视为无异议。</w:t>
      </w:r>
    </w:p>
    <w:p w14:paraId="0C79EC68">
      <w:pPr>
        <w:ind w:firstLine="420" w:firstLineChars="200"/>
        <w:rPr>
          <w:rFonts w:ascii="黑体" w:hAnsi="宋体" w:eastAsia="黑体"/>
          <w:szCs w:val="21"/>
        </w:rPr>
      </w:pPr>
      <w:r>
        <w:rPr>
          <w:rFonts w:hint="eastAsia" w:ascii="黑体" w:hAnsi="宋体" w:eastAsia="黑体"/>
          <w:szCs w:val="21"/>
        </w:rPr>
        <w:t>36. 实地考察或资料查验</w:t>
      </w:r>
    </w:p>
    <w:p w14:paraId="537513C2">
      <w:pPr>
        <w:ind w:firstLine="420" w:firstLineChars="200"/>
        <w:rPr>
          <w:rFonts w:ascii="宋体" w:hAnsi="宋体"/>
          <w:szCs w:val="21"/>
        </w:rPr>
      </w:pPr>
      <w:r>
        <w:rPr>
          <w:rFonts w:hint="eastAsia" w:ascii="宋体" w:hAnsi="宋体"/>
          <w:szCs w:val="21"/>
        </w:rPr>
        <w:t>36.1在评审过程中，评审委员会有权决定是否对本项目投标人进行实地考察或资料查验（原件）。投标人应随时做好接受实地考察或资料查验的准备。</w:t>
      </w:r>
    </w:p>
    <w:p w14:paraId="031E1064">
      <w:pPr>
        <w:ind w:firstLine="420" w:firstLineChars="200"/>
        <w:rPr>
          <w:rFonts w:ascii="黑体" w:hAnsi="宋体" w:eastAsia="黑体"/>
          <w:szCs w:val="21"/>
        </w:rPr>
      </w:pPr>
      <w:r>
        <w:rPr>
          <w:rFonts w:hint="eastAsia" w:ascii="黑体" w:hAnsi="宋体" w:eastAsia="黑体"/>
          <w:szCs w:val="21"/>
        </w:rPr>
        <w:t>37．评审方法</w:t>
      </w:r>
    </w:p>
    <w:p w14:paraId="756ED377">
      <w:pPr>
        <w:ind w:firstLine="422" w:firstLineChars="200"/>
        <w:rPr>
          <w:rFonts w:ascii="宋体" w:hAnsi="宋体"/>
          <w:b/>
          <w:bCs/>
          <w:szCs w:val="21"/>
        </w:rPr>
      </w:pPr>
      <w:r>
        <w:rPr>
          <w:rFonts w:hint="eastAsia" w:ascii="宋体" w:hAnsi="宋体"/>
          <w:b/>
          <w:bCs/>
          <w:szCs w:val="21"/>
        </w:rPr>
        <w:t>37.1.1最低价法</w:t>
      </w:r>
    </w:p>
    <w:p w14:paraId="1B6F9AE2">
      <w:pPr>
        <w:ind w:firstLine="420" w:firstLineChars="200"/>
        <w:rPr>
          <w:rFonts w:ascii="ˎ̥" w:hAnsi="ˎ̥"/>
          <w:szCs w:val="21"/>
        </w:rPr>
      </w:pPr>
      <w:bookmarkStart w:id="74" w:name="_Hlk72438142"/>
      <w:r>
        <w:rPr>
          <w:rFonts w:hint="eastAsia" w:ascii="ˎ̥" w:hAnsi="ˎ̥"/>
          <w:szCs w:val="21"/>
        </w:rPr>
        <w:t>最低价法，是指完全满足招标文件实质性要求，按照报价由低到高的顺序，依据招标文件中规定的数量或者比例推荐候选中标供应商。</w:t>
      </w:r>
    </w:p>
    <w:p w14:paraId="45A277CF">
      <w:pPr>
        <w:ind w:firstLine="422" w:firstLineChars="200"/>
        <w:rPr>
          <w:rFonts w:ascii="宋体" w:hAnsi="宋体"/>
          <w:b/>
          <w:bCs/>
          <w:szCs w:val="21"/>
        </w:rPr>
      </w:pPr>
      <w:r>
        <w:rPr>
          <w:rFonts w:hint="eastAsia" w:ascii="宋体" w:hAnsi="宋体"/>
          <w:b/>
          <w:bCs/>
          <w:szCs w:val="21"/>
        </w:rPr>
        <w:t>37.1.2综合评分法</w:t>
      </w:r>
    </w:p>
    <w:p w14:paraId="36B482A1">
      <w:pPr>
        <w:ind w:firstLine="420" w:firstLineChars="200"/>
        <w:rPr>
          <w:rFonts w:ascii="ˎ̥" w:hAnsi="ˎ̥"/>
          <w:szCs w:val="21"/>
        </w:rPr>
      </w:pPr>
      <w:r>
        <w:rPr>
          <w:rFonts w:hint="eastAsia" w:ascii="ˎ̥" w:hAnsi="ˎ̥"/>
          <w:szCs w:val="21"/>
        </w:rPr>
        <w:t>综合评分法，是指在满足招标文件全部实质性要求的前提下，按照招标文件中规定的各项因素进行综合评审，评审总得分排名前列的投标人，作为推荐的候选中标供应商。</w:t>
      </w:r>
      <w:bookmarkEnd w:id="74"/>
      <w:r>
        <w:rPr>
          <w:rFonts w:hint="eastAsia" w:ascii="宋体" w:hAnsi="宋体"/>
          <w:bCs/>
          <w:color w:val="FF0000"/>
          <w:szCs w:val="21"/>
        </w:rPr>
        <w:t xml:space="preserve">  </w:t>
      </w:r>
      <w:r>
        <w:rPr>
          <w:rFonts w:hint="eastAsia" w:ascii="宋体" w:hAnsi="宋体"/>
          <w:bCs/>
          <w:szCs w:val="21"/>
        </w:rPr>
        <w:t xml:space="preserve">                                                                                                                                                                                                                                                                                                                                                                                                                                                                                                                                                                                                                                                                                                                                                                                                                                                                                                                                                                                                                                                                                                                                                                                                                                                                                                                                                                                                                                                                                                                                                                                                                                                                                                                                                                                                                                                                                                                                                                                                                                                                                                                                                                                                                                                                                                                                                                                                                                                                                                                                                                                                                                                                                                                                                                                                                                                                                                                                                                                                                           </w:t>
      </w:r>
    </w:p>
    <w:p w14:paraId="7063610F">
      <w:pPr>
        <w:ind w:firstLine="422" w:firstLineChars="200"/>
        <w:rPr>
          <w:rFonts w:ascii="宋体" w:hAnsi="宋体"/>
          <w:b/>
          <w:bCs/>
          <w:szCs w:val="21"/>
        </w:rPr>
      </w:pPr>
      <w:r>
        <w:rPr>
          <w:rFonts w:hint="eastAsia" w:ascii="宋体" w:hAnsi="宋体"/>
          <w:b/>
          <w:bCs/>
          <w:szCs w:val="21"/>
        </w:rPr>
        <w:t>37.2 本项目采用的评审方法见本项目招标文件第一册“专用条款”的相关内容。</w:t>
      </w:r>
    </w:p>
    <w:p w14:paraId="09D6564C">
      <w:pPr>
        <w:ind w:firstLine="422" w:firstLineChars="200"/>
        <w:rPr>
          <w:rFonts w:ascii="宋体" w:hAnsi="宋体"/>
          <w:b/>
          <w:bCs/>
          <w:szCs w:val="21"/>
        </w:rPr>
      </w:pPr>
      <w:r>
        <w:rPr>
          <w:rFonts w:hint="eastAsia" w:ascii="宋体" w:hAnsi="宋体"/>
          <w:b/>
          <w:bCs/>
          <w:szCs w:val="21"/>
        </w:rPr>
        <w:t>37.3重新评审的情形</w:t>
      </w:r>
    </w:p>
    <w:p w14:paraId="1C4D6442">
      <w:pPr>
        <w:ind w:firstLine="420" w:firstLineChars="200"/>
        <w:rPr>
          <w:rFonts w:ascii="宋体" w:hAnsi="宋体"/>
          <w:b/>
          <w:bCs/>
          <w:szCs w:val="21"/>
        </w:rPr>
      </w:pPr>
      <w:r>
        <w:rPr>
          <w:rFonts w:hint="eastAsia" w:ascii="宋体" w:hAnsi="宋体" w:cs="宋体"/>
          <w:kern w:val="0"/>
          <w:szCs w:val="21"/>
        </w:rPr>
        <w:t>评审结果汇总完成后，除下列情形外，任何人不得修改评审结果：</w:t>
      </w:r>
    </w:p>
    <w:p w14:paraId="643BE07A">
      <w:pPr>
        <w:ind w:firstLine="420" w:firstLineChars="200"/>
        <w:rPr>
          <w:rFonts w:ascii="宋体" w:hAnsi="宋体" w:cs="宋体"/>
          <w:kern w:val="0"/>
          <w:szCs w:val="21"/>
        </w:rPr>
      </w:pPr>
      <w:r>
        <w:rPr>
          <w:rFonts w:hint="eastAsia" w:ascii="宋体" w:hAnsi="宋体" w:cs="宋体"/>
          <w:kern w:val="0"/>
          <w:szCs w:val="21"/>
        </w:rPr>
        <w:t>37.3.1分值汇总计算错误的；</w:t>
      </w:r>
    </w:p>
    <w:p w14:paraId="34B15E0B">
      <w:pPr>
        <w:ind w:firstLine="420" w:firstLineChars="200"/>
        <w:rPr>
          <w:rFonts w:ascii="宋体" w:hAnsi="宋体" w:cs="宋体"/>
          <w:kern w:val="0"/>
          <w:szCs w:val="21"/>
        </w:rPr>
      </w:pPr>
      <w:r>
        <w:rPr>
          <w:rFonts w:hint="eastAsia" w:ascii="宋体" w:hAnsi="宋体" w:cs="宋体"/>
          <w:kern w:val="0"/>
          <w:szCs w:val="21"/>
        </w:rPr>
        <w:t>37.3.2分项评分超出评分标准范围的；</w:t>
      </w:r>
    </w:p>
    <w:p w14:paraId="4E065395">
      <w:pPr>
        <w:ind w:firstLine="420" w:firstLineChars="200"/>
        <w:rPr>
          <w:rFonts w:ascii="宋体" w:hAnsi="宋体" w:cs="宋体"/>
          <w:kern w:val="0"/>
          <w:szCs w:val="21"/>
        </w:rPr>
      </w:pPr>
      <w:r>
        <w:rPr>
          <w:rFonts w:hint="eastAsia" w:ascii="宋体" w:hAnsi="宋体" w:cs="宋体"/>
          <w:kern w:val="0"/>
          <w:szCs w:val="21"/>
        </w:rPr>
        <w:t>37.3.3评审委员会成员对客观评审因素评分不一致的；</w:t>
      </w:r>
    </w:p>
    <w:p w14:paraId="7DC94E2F">
      <w:pPr>
        <w:ind w:firstLine="420" w:firstLineChars="200"/>
        <w:rPr>
          <w:rFonts w:ascii="宋体" w:hAnsi="宋体" w:cs="宋体"/>
          <w:kern w:val="0"/>
          <w:szCs w:val="21"/>
        </w:rPr>
      </w:pPr>
      <w:r>
        <w:rPr>
          <w:rFonts w:hint="eastAsia" w:ascii="宋体" w:hAnsi="宋体" w:cs="宋体"/>
          <w:kern w:val="0"/>
          <w:szCs w:val="21"/>
        </w:rPr>
        <w:t>37.3.4经评审委员会认定评分畸高、畸低的。</w:t>
      </w:r>
    </w:p>
    <w:p w14:paraId="47C5EDD2">
      <w:pPr>
        <w:ind w:firstLine="420" w:firstLineChars="200"/>
        <w:rPr>
          <w:rFonts w:ascii="宋体" w:hAnsi="宋体" w:cs="宋体"/>
          <w:kern w:val="0"/>
          <w:szCs w:val="21"/>
        </w:rPr>
      </w:pPr>
      <w:r>
        <w:rPr>
          <w:rFonts w:hint="eastAsia" w:ascii="宋体" w:hAnsi="宋体" w:cs="宋体"/>
          <w:kern w:val="0"/>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14:paraId="2C8E902B">
      <w:pPr>
        <w:ind w:firstLine="420" w:firstLineChars="200"/>
        <w:rPr>
          <w:rFonts w:ascii="宋体" w:hAnsi="宋体" w:cs="宋体"/>
          <w:kern w:val="0"/>
          <w:szCs w:val="21"/>
        </w:rPr>
      </w:pPr>
      <w:r>
        <w:rPr>
          <w:rFonts w:hint="eastAsia" w:ascii="宋体" w:hAnsi="宋体" w:cs="宋体"/>
          <w:kern w:val="0"/>
          <w:szCs w:val="21"/>
        </w:rPr>
        <w:t>投标人对本条第一款情形提出质疑的，采购人或者采购代理机构可以组织原评审委员会进行重新评审，重新评审改变评审结果的，应当书面报告本级财政部门。</w:t>
      </w:r>
    </w:p>
    <w:p w14:paraId="7E33E6EA">
      <w:pPr>
        <w:ind w:firstLine="422" w:firstLineChars="200"/>
        <w:rPr>
          <w:rFonts w:ascii="宋体" w:hAnsi="宋体"/>
          <w:b/>
          <w:bCs/>
          <w:szCs w:val="21"/>
        </w:rPr>
      </w:pPr>
      <w:r>
        <w:rPr>
          <w:rFonts w:hint="eastAsia" w:ascii="宋体" w:hAnsi="宋体"/>
          <w:b/>
          <w:bCs/>
          <w:szCs w:val="21"/>
        </w:rPr>
        <w:t xml:space="preserve"> 37.4重新组建评审委员会的情形</w:t>
      </w:r>
    </w:p>
    <w:p w14:paraId="5430BB13">
      <w:pPr>
        <w:ind w:firstLine="420" w:firstLineChars="200"/>
        <w:rPr>
          <w:rFonts w:ascii="宋体" w:hAnsi="宋体" w:cs="宋体"/>
          <w:kern w:val="0"/>
          <w:szCs w:val="21"/>
        </w:rPr>
      </w:pPr>
      <w:r>
        <w:rPr>
          <w:rFonts w:hint="eastAsia" w:ascii="宋体" w:hAnsi="宋体" w:cs="宋体"/>
          <w:kern w:val="0"/>
          <w:szCs w:val="21"/>
        </w:rPr>
        <w:t>评审委员会或者其成员存在下列情形导致评审结果无效的，重新组建评审委员会进行评标，并书面报告本级财政部门：</w:t>
      </w:r>
    </w:p>
    <w:p w14:paraId="15849A09">
      <w:pPr>
        <w:ind w:firstLine="420" w:firstLineChars="200"/>
        <w:rPr>
          <w:rFonts w:ascii="宋体" w:hAnsi="宋体" w:cs="宋体"/>
          <w:kern w:val="0"/>
          <w:szCs w:val="21"/>
        </w:rPr>
      </w:pPr>
      <w:r>
        <w:rPr>
          <w:rFonts w:hint="eastAsia" w:ascii="宋体" w:hAnsi="宋体" w:cs="宋体"/>
          <w:kern w:val="0"/>
          <w:szCs w:val="21"/>
        </w:rPr>
        <w:t>37.4.1评审委员会组成不符合《政府采购货物和服务招标投标管理办法》规定的；</w:t>
      </w:r>
    </w:p>
    <w:p w14:paraId="694E28D7">
      <w:pPr>
        <w:ind w:firstLine="420" w:firstLineChars="200"/>
        <w:rPr>
          <w:rFonts w:ascii="宋体" w:hAnsi="宋体" w:cs="宋体"/>
          <w:kern w:val="0"/>
          <w:szCs w:val="21"/>
        </w:rPr>
      </w:pPr>
      <w:r>
        <w:rPr>
          <w:rFonts w:hint="eastAsia" w:ascii="宋体" w:hAnsi="宋体" w:cs="宋体"/>
          <w:kern w:val="0"/>
          <w:szCs w:val="21"/>
        </w:rPr>
        <w:t>37.4.2有《政府采购货物和服务招标投标管理办法》第六十二条第一至五项情形的；</w:t>
      </w:r>
    </w:p>
    <w:p w14:paraId="08D1F6C7">
      <w:pPr>
        <w:ind w:firstLine="420" w:firstLineChars="200"/>
        <w:rPr>
          <w:rFonts w:ascii="宋体" w:hAnsi="宋体" w:cs="宋体"/>
          <w:kern w:val="0"/>
          <w:szCs w:val="21"/>
        </w:rPr>
      </w:pPr>
      <w:r>
        <w:rPr>
          <w:rFonts w:hint="eastAsia" w:ascii="宋体" w:hAnsi="宋体" w:cs="宋体"/>
          <w:kern w:val="0"/>
          <w:szCs w:val="21"/>
        </w:rPr>
        <w:t>37.4.3评审委员会及其成员独立评标受到非法干预的；</w:t>
      </w:r>
    </w:p>
    <w:p w14:paraId="1E60BC54">
      <w:pPr>
        <w:ind w:firstLine="420" w:firstLineChars="200"/>
        <w:rPr>
          <w:rFonts w:ascii="宋体" w:hAnsi="宋体" w:cs="宋体"/>
          <w:kern w:val="0"/>
          <w:szCs w:val="21"/>
        </w:rPr>
      </w:pPr>
      <w:r>
        <w:rPr>
          <w:rFonts w:hint="eastAsia" w:ascii="宋体" w:hAnsi="宋体" w:cs="宋体"/>
          <w:kern w:val="0"/>
          <w:szCs w:val="21"/>
        </w:rPr>
        <w:t>37.4.4有政府采购法实施条例第七十五条规定的违法行为的。</w:t>
      </w:r>
    </w:p>
    <w:p w14:paraId="1DFC7D28">
      <w:pPr>
        <w:ind w:firstLine="420" w:firstLineChars="200"/>
        <w:rPr>
          <w:rFonts w:ascii="宋体" w:hAnsi="宋体" w:cs="宋体"/>
          <w:kern w:val="0"/>
          <w:szCs w:val="21"/>
        </w:rPr>
      </w:pPr>
      <w:r>
        <w:rPr>
          <w:rFonts w:hint="eastAsia" w:ascii="宋体" w:hAnsi="宋体" w:cs="宋体"/>
          <w:kern w:val="0"/>
          <w:szCs w:val="21"/>
        </w:rPr>
        <w:t>有违法违规行为的原评审委员会成员不得参加重新组建的评审委员会。</w:t>
      </w:r>
    </w:p>
    <w:p w14:paraId="61D91A05">
      <w:pPr>
        <w:ind w:firstLine="411" w:firstLineChars="196"/>
        <w:rPr>
          <w:rFonts w:ascii="宋体" w:hAnsi="宋体"/>
          <w:szCs w:val="21"/>
        </w:rPr>
      </w:pPr>
    </w:p>
    <w:p w14:paraId="23502C64">
      <w:pPr>
        <w:pStyle w:val="18"/>
        <w:keepNext/>
        <w:keepLines/>
        <w:numPr>
          <w:ilvl w:val="0"/>
          <w:numId w:val="6"/>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定标及公示</w:t>
      </w:r>
    </w:p>
    <w:p w14:paraId="1DBD4F04">
      <w:pPr>
        <w:ind w:firstLine="420" w:firstLineChars="200"/>
        <w:rPr>
          <w:rFonts w:ascii="黑体" w:hAnsi="宋体" w:eastAsia="黑体"/>
          <w:szCs w:val="21"/>
        </w:rPr>
      </w:pPr>
      <w:r>
        <w:rPr>
          <w:rFonts w:hint="eastAsia" w:ascii="黑体" w:hAnsi="宋体" w:eastAsia="黑体"/>
          <w:szCs w:val="21"/>
        </w:rPr>
        <w:t>38．定标方法</w:t>
      </w:r>
    </w:p>
    <w:p w14:paraId="6E73F596">
      <w:pPr>
        <w:ind w:firstLine="420" w:firstLineChars="200"/>
        <w:rPr>
          <w:rFonts w:ascii="宋体" w:hAnsi="宋体"/>
          <w:szCs w:val="21"/>
        </w:rPr>
      </w:pPr>
      <w:bookmarkStart w:id="75" w:name="_Hlk73782795"/>
      <w:r>
        <w:rPr>
          <w:rFonts w:hint="eastAsia" w:ascii="宋体" w:hAnsi="宋体"/>
          <w:szCs w:val="21"/>
        </w:rPr>
        <w:t>38.1非评定分离项目定标方法</w:t>
      </w:r>
    </w:p>
    <w:p w14:paraId="5C27C2C8">
      <w:pPr>
        <w:ind w:firstLine="420" w:firstLineChars="200"/>
        <w:rPr>
          <w:rFonts w:ascii="宋体" w:hAnsi="宋体"/>
          <w:szCs w:val="21"/>
        </w:rPr>
      </w:pPr>
      <w:r>
        <w:rPr>
          <w:rFonts w:hint="eastAsia" w:ascii="宋体" w:hAnsi="宋体"/>
          <w:szCs w:val="21"/>
        </w:rPr>
        <w:t>38.1.1评审委员会依据本项目招标文件所约定的评审方法进行评审和比较，向</w:t>
      </w:r>
      <w:r>
        <w:rPr>
          <w:rFonts w:hint="eastAsia" w:ascii="宋体" w:hAnsi="宋体"/>
          <w:szCs w:val="21"/>
          <w:highlight w:val="yellow"/>
          <w:lang w:val="en-US" w:eastAsia="zh-CN"/>
        </w:rPr>
        <w:t>采购代理机构</w:t>
      </w:r>
      <w:r>
        <w:rPr>
          <w:rFonts w:hint="eastAsia" w:ascii="宋体" w:hAnsi="宋体"/>
          <w:szCs w:val="21"/>
        </w:rPr>
        <w:t>提交书面评审报告，并根据评审方法比较评价结果从优到劣进行排序，确定候选中标供应商。</w:t>
      </w:r>
    </w:p>
    <w:p w14:paraId="53BC1612">
      <w:pPr>
        <w:ind w:firstLine="420" w:firstLineChars="200"/>
        <w:rPr>
          <w:rFonts w:ascii="ˎ̥" w:hAnsi="ˎ̥"/>
          <w:szCs w:val="21"/>
        </w:rPr>
      </w:pPr>
      <w:r>
        <w:rPr>
          <w:rFonts w:hint="eastAsia" w:ascii="宋体" w:hAnsi="宋体"/>
          <w:szCs w:val="21"/>
        </w:rPr>
        <w:t>38.1.2</w:t>
      </w:r>
      <w:r>
        <w:rPr>
          <w:rFonts w:hint="eastAsia" w:ascii="ˎ̥" w:hAnsi="ˎ̥"/>
          <w:szCs w:val="21"/>
        </w:rPr>
        <w:t>采用最低价法的，评审结果按投标报价由低到高顺序排列。投标报价相同的并列。投标文件满足招标文件全部实质性要求且投标报价最低的投标人为</w:t>
      </w:r>
      <w:bookmarkStart w:id="76" w:name="_Hlk73821177"/>
      <w:r>
        <w:rPr>
          <w:rFonts w:hint="eastAsia" w:ascii="ˎ̥" w:hAnsi="ˎ̥"/>
          <w:szCs w:val="21"/>
        </w:rPr>
        <w:t>唯一候选中标供应商</w:t>
      </w:r>
      <w:bookmarkEnd w:id="76"/>
      <w:r>
        <w:rPr>
          <w:rFonts w:hint="eastAsia" w:ascii="ˎ̥" w:hAnsi="ˎ̥"/>
          <w:szCs w:val="21"/>
        </w:rPr>
        <w:t>。</w:t>
      </w:r>
    </w:p>
    <w:p w14:paraId="79CF2991">
      <w:pPr>
        <w:ind w:firstLine="420" w:firstLineChars="200"/>
        <w:rPr>
          <w:rFonts w:ascii="ˎ̥" w:hAnsi="ˎ̥"/>
          <w:szCs w:val="21"/>
        </w:rPr>
      </w:pPr>
      <w:r>
        <w:rPr>
          <w:rFonts w:hint="eastAsia" w:ascii="宋体" w:hAnsi="宋体"/>
          <w:szCs w:val="21"/>
        </w:rPr>
        <w:t>38.1.3采</w:t>
      </w:r>
      <w:r>
        <w:rPr>
          <w:rFonts w:hint="eastAsia" w:ascii="ˎ̥" w:hAnsi="ˎ̥"/>
          <w:szCs w:val="21"/>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唯一候选中标供应商。出现得分且投标报价相同的并列情况时，采取随机抽取的方式确定，具体操作办法及流程由评审委员会确定（如“专用条款”中另有规定的以“专用条款”相关规定内容为准）。如唯一候选中标供应商被认定投标或中标无效，采购人应当重新开展采购活动。</w:t>
      </w:r>
    </w:p>
    <w:p w14:paraId="3FD73FC1">
      <w:pPr>
        <w:ind w:firstLine="420" w:firstLineChars="200"/>
        <w:rPr>
          <w:rFonts w:ascii="宋体" w:hAnsi="宋体"/>
          <w:szCs w:val="21"/>
        </w:rPr>
      </w:pPr>
      <w:r>
        <w:rPr>
          <w:rFonts w:hint="eastAsia" w:ascii="宋体" w:hAnsi="宋体"/>
          <w:szCs w:val="21"/>
        </w:rPr>
        <w:t>38.2评定分离项目定标方法</w:t>
      </w:r>
    </w:p>
    <w:p w14:paraId="12D99C4A">
      <w:pPr>
        <w:ind w:firstLine="420" w:firstLineChars="200"/>
        <w:rPr>
          <w:rFonts w:ascii="宋体" w:hAnsi="宋体"/>
          <w:szCs w:val="21"/>
        </w:rPr>
      </w:pPr>
      <w:r>
        <w:rPr>
          <w:rFonts w:hint="eastAsia" w:ascii="宋体" w:hAnsi="宋体"/>
          <w:szCs w:val="21"/>
        </w:rPr>
        <w:t>38.2.1评定分离是指在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14:paraId="791D137F">
      <w:pPr>
        <w:ind w:firstLine="420" w:firstLineChars="200"/>
        <w:rPr>
          <w:szCs w:val="21"/>
        </w:rPr>
      </w:pPr>
      <w:r>
        <w:rPr>
          <w:rFonts w:hint="eastAsia" w:ascii="宋体" w:hAnsi="宋体"/>
          <w:szCs w:val="21"/>
        </w:rPr>
        <w:t xml:space="preserve">38.2.2 </w:t>
      </w:r>
      <w:bookmarkStart w:id="77" w:name="_Hlk71469733"/>
      <w:r>
        <w:rPr>
          <w:rFonts w:hint="eastAsia"/>
          <w:szCs w:val="21"/>
        </w:rPr>
        <w:t>适用评定分离的采购项目，采用综合评分法评审。</w:t>
      </w:r>
      <w:r>
        <w:rPr>
          <w:rFonts w:hint="eastAsia" w:ascii="宋体" w:hAnsi="宋体"/>
          <w:szCs w:val="21"/>
        </w:rPr>
        <w:t>评审委员会按照评审结果，推荐</w:t>
      </w:r>
      <w:r>
        <w:rPr>
          <w:rFonts w:hint="eastAsia"/>
          <w:szCs w:val="21"/>
        </w:rPr>
        <w:t>三个合格的候选中标供应商。</w:t>
      </w:r>
    </w:p>
    <w:p w14:paraId="69BB3668">
      <w:pPr>
        <w:ind w:firstLine="420" w:firstLineChars="200"/>
        <w:rPr>
          <w:rFonts w:ascii="宋体" w:hAnsi="宋体"/>
          <w:szCs w:val="21"/>
        </w:rPr>
      </w:pPr>
      <w:r>
        <w:rPr>
          <w:rFonts w:hint="eastAsia" w:ascii="宋体" w:hAnsi="宋体"/>
          <w:szCs w:val="21"/>
        </w:rPr>
        <w:t>38.2.3</w:t>
      </w:r>
      <w:bookmarkStart w:id="78" w:name="_Hlk71469688"/>
      <w:r>
        <w:rPr>
          <w:rFonts w:hint="eastAsia"/>
          <w:szCs w:val="21"/>
        </w:rPr>
        <w:t>适用评定分离的采购项目，</w:t>
      </w:r>
      <w:r>
        <w:rPr>
          <w:rFonts w:hint="eastAsia" w:ascii="宋体" w:hAnsi="宋体"/>
          <w:szCs w:val="21"/>
        </w:rPr>
        <w:t>按照自定法确定中标供应商：自定法是指采购人组织定标委员会，由定标委员会在三家候选中标供应商中确定中标供应商。</w:t>
      </w:r>
      <w:bookmarkEnd w:id="77"/>
      <w:bookmarkEnd w:id="78"/>
    </w:p>
    <w:p w14:paraId="2D515FEC">
      <w:pPr>
        <w:ind w:firstLine="420" w:firstLineChars="200"/>
        <w:rPr>
          <w:rFonts w:ascii="宋体" w:hAnsi="宋体"/>
          <w:szCs w:val="21"/>
        </w:rPr>
      </w:pPr>
      <w:r>
        <w:rPr>
          <w:rFonts w:hint="eastAsia" w:ascii="宋体" w:hAnsi="宋体"/>
          <w:szCs w:val="21"/>
        </w:rPr>
        <w:t>38.2.4</w:t>
      </w:r>
      <w:r>
        <w:rPr>
          <w:rFonts w:hint="eastAsia" w:ascii="宋体" w:hAnsi="宋体"/>
          <w:szCs w:val="21"/>
          <w:highlight w:val="yellow"/>
          <w:lang w:val="en-US" w:eastAsia="zh-CN"/>
        </w:rPr>
        <w:t>采购代理机构</w:t>
      </w:r>
      <w:r>
        <w:rPr>
          <w:rFonts w:hint="eastAsia"/>
          <w:szCs w:val="21"/>
        </w:rPr>
        <w:t>应当自评审结束之日起两个工作日内将候选中标供应商名单及其投标文件、评审报告送交采购人</w:t>
      </w:r>
      <w:r>
        <w:rPr>
          <w:rFonts w:hint="eastAsia" w:ascii="宋体" w:hAnsi="宋体"/>
          <w:szCs w:val="21"/>
        </w:rPr>
        <w:t>。</w:t>
      </w:r>
      <w:r>
        <w:rPr>
          <w:rFonts w:hint="eastAsia"/>
          <w:szCs w:val="21"/>
        </w:rPr>
        <w:t>采购人应当安排专人对定标过程进行书面记录，形成定标报告，作为采购文件的组成部分存档，并及时将定标结果反馈</w:t>
      </w:r>
      <w:r>
        <w:rPr>
          <w:rFonts w:hint="eastAsia" w:ascii="宋体" w:hAnsi="宋体"/>
          <w:szCs w:val="21"/>
          <w:highlight w:val="yellow"/>
          <w:lang w:val="en-US" w:eastAsia="zh-CN"/>
        </w:rPr>
        <w:t>采购代理机构</w:t>
      </w:r>
      <w:r>
        <w:rPr>
          <w:rFonts w:hint="eastAsia"/>
          <w:szCs w:val="21"/>
        </w:rPr>
        <w:t>。具体定标程序及相关要求以参照《深圳市财政局关于印发</w:t>
      </w:r>
      <w:r>
        <w:rPr>
          <w:rFonts w:hint="eastAsia" w:ascii="宋体" w:hAnsi="宋体"/>
          <w:szCs w:val="21"/>
        </w:rPr>
        <w:t>〈</w:t>
      </w:r>
      <w:r>
        <w:rPr>
          <w:rFonts w:hint="eastAsia"/>
          <w:szCs w:val="21"/>
        </w:rPr>
        <w:t>深圳市政府采购评标定标分离管理办法</w:t>
      </w:r>
      <w:r>
        <w:rPr>
          <w:rFonts w:hint="eastAsia" w:ascii="宋体" w:hAnsi="宋体"/>
          <w:szCs w:val="21"/>
        </w:rPr>
        <w:t>〉</w:t>
      </w:r>
      <w:r>
        <w:rPr>
          <w:rFonts w:hint="eastAsia"/>
          <w:szCs w:val="21"/>
        </w:rPr>
        <w:t>的通知》（深财规【</w:t>
      </w:r>
      <w:r>
        <w:rPr>
          <w:szCs w:val="21"/>
        </w:rPr>
        <w:t>2020</w:t>
      </w:r>
      <w:r>
        <w:rPr>
          <w:rFonts w:hint="eastAsia"/>
          <w:szCs w:val="21"/>
        </w:rPr>
        <w:t>】</w:t>
      </w:r>
      <w:r>
        <w:rPr>
          <w:szCs w:val="21"/>
        </w:rPr>
        <w:t>1</w:t>
      </w:r>
      <w:r>
        <w:rPr>
          <w:rFonts w:hint="eastAsia"/>
          <w:szCs w:val="21"/>
        </w:rPr>
        <w:t>号）执行。</w:t>
      </w:r>
    </w:p>
    <w:p w14:paraId="1DFD6CDD">
      <w:pPr>
        <w:ind w:firstLine="420" w:firstLineChars="200"/>
        <w:rPr>
          <w:rFonts w:ascii="宋体" w:hAnsi="宋体"/>
          <w:szCs w:val="21"/>
        </w:rPr>
      </w:pPr>
      <w:r>
        <w:rPr>
          <w:rFonts w:hint="eastAsia" w:ascii="宋体" w:hAnsi="宋体"/>
          <w:szCs w:val="21"/>
        </w:rPr>
        <w:t>说明：采购人及投标供应商应按照上述方法提前做好相关准备。</w:t>
      </w:r>
    </w:p>
    <w:p w14:paraId="4234C679">
      <w:pPr>
        <w:ind w:firstLine="420" w:firstLineChars="200"/>
        <w:rPr>
          <w:rFonts w:ascii="宋体" w:hAnsi="宋体"/>
          <w:szCs w:val="21"/>
        </w:rPr>
      </w:pPr>
      <w:r>
        <w:rPr>
          <w:rFonts w:hint="eastAsia" w:ascii="宋体" w:hAnsi="宋体"/>
          <w:szCs w:val="21"/>
        </w:rPr>
        <w:t>38.3专用条款另有规定的，按专用条款相关要求定标。</w:t>
      </w:r>
      <w:bookmarkEnd w:id="75"/>
    </w:p>
    <w:p w14:paraId="3B1BE708">
      <w:pPr>
        <w:ind w:firstLine="420" w:firstLineChars="200"/>
        <w:rPr>
          <w:rFonts w:ascii="黑体" w:hAnsi="宋体" w:eastAsia="黑体"/>
          <w:szCs w:val="21"/>
        </w:rPr>
      </w:pPr>
      <w:r>
        <w:rPr>
          <w:rFonts w:hint="eastAsia" w:ascii="黑体" w:hAnsi="宋体" w:eastAsia="黑体"/>
          <w:szCs w:val="21"/>
        </w:rPr>
        <w:t>39．编写评审报告</w:t>
      </w:r>
    </w:p>
    <w:p w14:paraId="3344CE05">
      <w:pPr>
        <w:ind w:firstLine="420" w:firstLineChars="200"/>
        <w:rPr>
          <w:rFonts w:ascii="宋体" w:hAnsi="宋体"/>
          <w:szCs w:val="21"/>
        </w:rPr>
      </w:pPr>
      <w:r>
        <w:rPr>
          <w:rFonts w:hint="eastAsia" w:ascii="宋体" w:hAnsi="宋体"/>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14:paraId="43FE1547">
      <w:pPr>
        <w:ind w:firstLine="420" w:firstLineChars="200"/>
        <w:rPr>
          <w:rFonts w:ascii="黑体" w:hAnsi="宋体" w:eastAsia="黑体"/>
          <w:szCs w:val="21"/>
        </w:rPr>
      </w:pPr>
      <w:r>
        <w:rPr>
          <w:rFonts w:hint="eastAsia" w:ascii="黑体" w:hAnsi="宋体" w:eastAsia="黑体"/>
          <w:szCs w:val="21"/>
        </w:rPr>
        <w:t>40．中标公告</w:t>
      </w:r>
    </w:p>
    <w:p w14:paraId="293A50A9">
      <w:pPr>
        <w:ind w:firstLine="420" w:firstLineChars="200"/>
        <w:rPr>
          <w:rFonts w:ascii="宋体" w:hAnsi="宋体"/>
          <w:szCs w:val="21"/>
        </w:rPr>
      </w:pPr>
      <w:r>
        <w:rPr>
          <w:rFonts w:hint="eastAsia" w:ascii="宋体" w:hAnsi="宋体"/>
          <w:szCs w:val="21"/>
        </w:rPr>
        <w:t>40.1</w:t>
      </w:r>
      <w:bookmarkStart w:id="79" w:name="_Hlk72438709"/>
      <w:r>
        <w:rPr>
          <w:rFonts w:hint="eastAsia" w:ascii="宋体" w:hAnsi="宋体"/>
          <w:szCs w:val="21"/>
        </w:rPr>
        <w:t>为体现“公开、公平、公正”的原则，评审结束后经采购人确认（确定）评审结果，</w:t>
      </w:r>
      <w:r>
        <w:rPr>
          <w:rFonts w:hint="eastAsia" w:ascii="宋体" w:hAnsi="宋体"/>
          <w:szCs w:val="21"/>
          <w:highlight w:val="yellow"/>
          <w:lang w:val="en-US" w:eastAsia="zh-CN"/>
        </w:rPr>
        <w:t>采购代理机构</w:t>
      </w:r>
      <w:r>
        <w:rPr>
          <w:rFonts w:hint="eastAsia" w:ascii="宋体" w:hAnsi="宋体"/>
          <w:szCs w:val="21"/>
        </w:rPr>
        <w:t>将在深圳交易集团（深圳公共资源交易中心）官网</w:t>
      </w:r>
      <w:r>
        <w:rPr>
          <w:rFonts w:hint="eastAsia" w:ascii="宋体" w:hAnsi="宋体"/>
          <w:b/>
          <w:bCs/>
          <w:szCs w:val="21"/>
        </w:rPr>
        <w:t>https://www.szexgrp.com/jyfw/zfcg-view.html?id=zfcg</w:t>
      </w:r>
      <w:r>
        <w:rPr>
          <w:rFonts w:hint="eastAsia" w:ascii="宋体" w:hAnsi="宋体"/>
          <w:szCs w:val="21"/>
        </w:rPr>
        <w:t>上发布中标结果公告。</w:t>
      </w:r>
      <w:bookmarkEnd w:id="79"/>
      <w:bookmarkStart w:id="80" w:name="_Hlk72438751"/>
      <w:r>
        <w:rPr>
          <w:rFonts w:hint="eastAsia" w:ascii="宋体" w:hAnsi="宋体"/>
          <w:szCs w:val="21"/>
        </w:rPr>
        <w:t>供应商如对评审结果有异议，可在发布公示日期起七个工作日内向</w:t>
      </w:r>
      <w:r>
        <w:rPr>
          <w:rFonts w:hint="eastAsia" w:ascii="宋体" w:hAnsi="宋体"/>
          <w:szCs w:val="21"/>
          <w:highlight w:val="yellow"/>
        </w:rPr>
        <w:t>采购代理机构</w:t>
      </w:r>
      <w:r>
        <w:rPr>
          <w:rFonts w:hint="eastAsia" w:ascii="宋体" w:hAnsi="宋体"/>
          <w:szCs w:val="21"/>
        </w:rPr>
        <w:t>提出。监督电话：0755-86500050。若在公示期内未提出质疑，则视为认同该评审结果。</w:t>
      </w:r>
    </w:p>
    <w:bookmarkEnd w:id="80"/>
    <w:p w14:paraId="0C733900">
      <w:pPr>
        <w:ind w:firstLine="420" w:firstLineChars="200"/>
        <w:rPr>
          <w:rFonts w:ascii="宋体" w:hAnsi="宋体"/>
          <w:szCs w:val="21"/>
        </w:rPr>
      </w:pPr>
      <w:r>
        <w:rPr>
          <w:rFonts w:hint="eastAsia" w:ascii="宋体" w:hAnsi="宋体"/>
          <w:szCs w:val="21"/>
        </w:rPr>
        <w:t>40.2质疑、投诉供应商应保证质疑、投诉内容的真实性和可靠性，并承担相应的法律责任。</w:t>
      </w:r>
    </w:p>
    <w:p w14:paraId="6303339F">
      <w:pPr>
        <w:ind w:firstLine="420" w:firstLineChars="200"/>
        <w:rPr>
          <w:rFonts w:ascii="黑体" w:hAnsi="宋体" w:eastAsia="黑体"/>
          <w:szCs w:val="21"/>
        </w:rPr>
      </w:pPr>
      <w:r>
        <w:rPr>
          <w:rFonts w:hint="eastAsia" w:ascii="黑体" w:hAnsi="宋体" w:eastAsia="黑体"/>
          <w:szCs w:val="21"/>
        </w:rPr>
        <w:t>41．中标通知书</w:t>
      </w:r>
    </w:p>
    <w:p w14:paraId="4C8F9F9A">
      <w:pPr>
        <w:ind w:firstLine="420" w:firstLineChars="200"/>
        <w:rPr>
          <w:rFonts w:ascii="宋体" w:hAnsi="宋体"/>
          <w:szCs w:val="21"/>
        </w:rPr>
      </w:pPr>
      <w:r>
        <w:rPr>
          <w:rFonts w:hint="eastAsia" w:ascii="宋体" w:hAnsi="宋体"/>
          <w:szCs w:val="21"/>
        </w:rPr>
        <w:t>41.1</w:t>
      </w:r>
      <w:bookmarkStart w:id="81" w:name="_Hlk72438863"/>
      <w:r>
        <w:rPr>
          <w:rFonts w:hint="eastAsia" w:ascii="宋体" w:hAnsi="宋体"/>
          <w:szCs w:val="21"/>
        </w:rPr>
        <w:t>中标公告公布以后无异常的情况下,中标供应商和采购人可自行在</w:t>
      </w:r>
      <w:r>
        <w:rPr>
          <w:rFonts w:hint="eastAsia" w:ascii="宋体" w:hAnsi="宋体"/>
          <w:b/>
          <w:bCs/>
          <w:szCs w:val="21"/>
        </w:rPr>
        <w:t>“</w:t>
      </w:r>
      <w:r>
        <w:rPr>
          <w:rFonts w:hint="eastAsia" w:ascii="宋体" w:hAnsi="宋体"/>
          <w:szCs w:val="21"/>
        </w:rPr>
        <w:t>深圳市自行采购系统（https://trade.szggzy.com/ggzy/center/#/login）</w:t>
      </w:r>
      <w:r>
        <w:rPr>
          <w:rFonts w:hint="eastAsia" w:ascii="宋体" w:hAnsi="宋体"/>
          <w:b/>
          <w:bCs/>
          <w:szCs w:val="21"/>
        </w:rPr>
        <w:t>”</w:t>
      </w:r>
      <w:r>
        <w:rPr>
          <w:rFonts w:hint="eastAsia" w:ascii="宋体" w:hAnsi="宋体"/>
          <w:szCs w:val="21"/>
        </w:rPr>
        <w:t>上打印</w:t>
      </w:r>
      <w:r>
        <w:rPr>
          <w:rFonts w:hint="eastAsia" w:ascii="宋体" w:hAnsi="宋体"/>
          <w:b/>
          <w:szCs w:val="21"/>
        </w:rPr>
        <w:t>《数字中标通知书》</w:t>
      </w:r>
      <w:r>
        <w:rPr>
          <w:rFonts w:hint="eastAsia" w:ascii="宋体" w:hAnsi="宋体"/>
          <w:szCs w:val="21"/>
        </w:rPr>
        <w:t>。</w:t>
      </w:r>
      <w:bookmarkEnd w:id="81"/>
    </w:p>
    <w:p w14:paraId="54B8A14D">
      <w:pPr>
        <w:ind w:firstLine="420" w:firstLineChars="200"/>
        <w:rPr>
          <w:rFonts w:ascii="宋体" w:hAnsi="宋体"/>
          <w:szCs w:val="21"/>
        </w:rPr>
      </w:pPr>
      <w:r>
        <w:rPr>
          <w:rFonts w:hint="eastAsia" w:ascii="宋体" w:hAnsi="宋体"/>
          <w:szCs w:val="21"/>
        </w:rPr>
        <w:t>41.2中标通知书是合同的重要组成部分。</w:t>
      </w:r>
    </w:p>
    <w:p w14:paraId="7BAABCF6">
      <w:pPr>
        <w:ind w:firstLine="420" w:firstLineChars="200"/>
        <w:rPr>
          <w:rFonts w:ascii="宋体" w:hAnsi="宋体"/>
          <w:szCs w:val="21"/>
        </w:rPr>
      </w:pPr>
      <w:bookmarkStart w:id="82" w:name="_Hlk71407340"/>
      <w:r>
        <w:rPr>
          <w:rFonts w:hint="eastAsia" w:ascii="宋体" w:hAnsi="宋体"/>
          <w:szCs w:val="21"/>
        </w:rPr>
        <w:t>41.3因质疑投诉或其它原因导致项目结果变更或采购终止的，</w:t>
      </w:r>
      <w:r>
        <w:rPr>
          <w:rFonts w:hint="eastAsia" w:ascii="宋体" w:hAnsi="宋体"/>
          <w:szCs w:val="21"/>
          <w:highlight w:val="yellow"/>
          <w:lang w:val="en-US" w:eastAsia="zh-CN"/>
        </w:rPr>
        <w:t>采购代理机构</w:t>
      </w:r>
      <w:r>
        <w:rPr>
          <w:rFonts w:hint="eastAsia" w:ascii="宋体" w:hAnsi="宋体"/>
          <w:szCs w:val="21"/>
        </w:rPr>
        <w:t>有权吊销中标通知书。</w:t>
      </w:r>
      <w:bookmarkEnd w:id="82"/>
    </w:p>
    <w:p w14:paraId="069978AC">
      <w:pPr>
        <w:pStyle w:val="18"/>
        <w:keepNext/>
        <w:keepLines/>
        <w:numPr>
          <w:ilvl w:val="0"/>
          <w:numId w:val="6"/>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公开招标失败的后续处理</w:t>
      </w:r>
    </w:p>
    <w:p w14:paraId="0986F72A">
      <w:pPr>
        <w:ind w:firstLine="420" w:firstLineChars="200"/>
        <w:rPr>
          <w:rFonts w:ascii="黑体" w:hAnsi="宋体" w:eastAsia="黑体"/>
          <w:szCs w:val="21"/>
        </w:rPr>
      </w:pPr>
      <w:r>
        <w:rPr>
          <w:rFonts w:hint="eastAsia" w:ascii="黑体" w:hAnsi="宋体" w:eastAsia="黑体"/>
          <w:szCs w:val="21"/>
        </w:rPr>
        <w:t>42．公开招标失败的处理</w:t>
      </w:r>
    </w:p>
    <w:p w14:paraId="4B643519">
      <w:pPr>
        <w:ind w:firstLine="411" w:firstLineChars="196"/>
        <w:rPr>
          <w:rFonts w:ascii="宋体" w:hAnsi="宋体"/>
        </w:rPr>
      </w:pPr>
      <w:r>
        <w:rPr>
          <w:rFonts w:hint="eastAsia" w:ascii="宋体" w:hAnsi="宋体"/>
          <w:szCs w:val="21"/>
        </w:rPr>
        <w:t>42.1本项目公开招标过程中若由于投标截止后</w:t>
      </w:r>
      <w:r>
        <w:rPr>
          <w:rFonts w:hint="eastAsia" w:ascii="宋体" w:hAnsi="宋体"/>
        </w:rPr>
        <w:t>实际递交投标文件的供应商数量不足、经</w:t>
      </w:r>
      <w:r>
        <w:rPr>
          <w:rFonts w:hint="eastAsia" w:ascii="宋体" w:hAnsi="宋体"/>
          <w:szCs w:val="21"/>
        </w:rPr>
        <w:t>评审委员会</w:t>
      </w:r>
      <w:r>
        <w:rPr>
          <w:rFonts w:hint="eastAsia" w:ascii="宋体" w:hAnsi="宋体"/>
        </w:rPr>
        <w:t>评审对招标文件作实质响应的供应商不足等原因造成公开招标失败，可由</w:t>
      </w:r>
      <w:r>
        <w:rPr>
          <w:rFonts w:hint="eastAsia" w:ascii="宋体" w:hAnsi="宋体"/>
          <w:szCs w:val="21"/>
          <w:highlight w:val="yellow"/>
          <w:lang w:val="en-US" w:eastAsia="zh-CN"/>
        </w:rPr>
        <w:t>采购代理机构</w:t>
      </w:r>
      <w:r>
        <w:rPr>
          <w:rFonts w:hint="eastAsia" w:ascii="宋体" w:hAnsi="宋体"/>
        </w:rPr>
        <w:t>重新组织采购。</w:t>
      </w:r>
    </w:p>
    <w:p w14:paraId="4F160354">
      <w:pPr>
        <w:ind w:firstLine="411" w:firstLineChars="196"/>
        <w:rPr>
          <w:rFonts w:ascii="宋体" w:hAnsi="宋体"/>
          <w:szCs w:val="21"/>
        </w:rPr>
      </w:pPr>
      <w:r>
        <w:rPr>
          <w:rFonts w:hint="eastAsia" w:ascii="宋体" w:hAnsi="宋体"/>
          <w:szCs w:val="21"/>
        </w:rPr>
        <w:t>42.2对公开招标失败的项目，评审委员会在出具该项目招标失败结论的同时，可以提出重新采购组织形式的建议，以及进一步完善招标文件的资格、技术、商务要求的修改建议。</w:t>
      </w:r>
    </w:p>
    <w:p w14:paraId="74C09E17">
      <w:pPr>
        <w:ind w:firstLine="411" w:firstLineChars="196"/>
        <w:rPr>
          <w:rFonts w:ascii="宋体" w:hAnsi="宋体"/>
          <w:szCs w:val="21"/>
        </w:rPr>
      </w:pPr>
      <w:r>
        <w:rPr>
          <w:rFonts w:hint="eastAsia" w:ascii="宋体" w:hAnsi="宋体"/>
          <w:szCs w:val="21"/>
        </w:rPr>
        <w:t>42.3重新组织采购有以下两种组织形式：</w:t>
      </w:r>
    </w:p>
    <w:p w14:paraId="7A4D378F">
      <w:pPr>
        <w:ind w:firstLine="411" w:firstLineChars="196"/>
        <w:rPr>
          <w:rFonts w:ascii="宋体" w:hAnsi="宋体"/>
        </w:rPr>
      </w:pPr>
      <w:r>
        <w:rPr>
          <w:rFonts w:hint="eastAsia" w:ascii="宋体" w:hAnsi="宋体"/>
        </w:rPr>
        <w:t>（1）由</w:t>
      </w:r>
      <w:r>
        <w:rPr>
          <w:rFonts w:hint="eastAsia" w:ascii="宋体" w:hAnsi="宋体"/>
          <w:szCs w:val="21"/>
          <w:highlight w:val="yellow"/>
          <w:lang w:val="en-US" w:eastAsia="zh-CN"/>
        </w:rPr>
        <w:t>采购代理机构</w:t>
      </w:r>
      <w:r>
        <w:rPr>
          <w:rFonts w:hint="eastAsia" w:ascii="宋体" w:hAnsi="宋体"/>
        </w:rPr>
        <w:t>重新组织公开招标；</w:t>
      </w:r>
    </w:p>
    <w:p w14:paraId="21125A42">
      <w:pPr>
        <w:ind w:firstLine="411" w:firstLineChars="196"/>
        <w:rPr>
          <w:rFonts w:ascii="宋体" w:hAnsi="宋体"/>
        </w:rPr>
      </w:pPr>
      <w:r>
        <w:rPr>
          <w:rFonts w:hint="eastAsia" w:ascii="宋体" w:hAnsi="宋体"/>
        </w:rPr>
        <w:t>（2）根据实际情况需要向采购人主管部门提出非公开招标方式申请，经采购人主管部门批准，公开招标失败采购项目可转为竞争性谈判或单一来源谈判方式采购。</w:t>
      </w:r>
    </w:p>
    <w:p w14:paraId="1A221407">
      <w:pPr>
        <w:ind w:firstLine="411" w:firstLineChars="196"/>
        <w:rPr>
          <w:rFonts w:ascii="宋体" w:hAnsi="宋体"/>
        </w:rPr>
      </w:pPr>
      <w:r>
        <w:rPr>
          <w:rFonts w:hint="eastAsia" w:ascii="宋体" w:hAnsi="宋体"/>
        </w:rPr>
        <w:t>42.4公开招标失败的采购项目重新组织公开招标，由</w:t>
      </w:r>
      <w:r>
        <w:rPr>
          <w:rFonts w:hint="eastAsia" w:ascii="宋体" w:hAnsi="宋体"/>
          <w:szCs w:val="21"/>
          <w:highlight w:val="yellow"/>
          <w:lang w:val="en-US" w:eastAsia="zh-CN"/>
        </w:rPr>
        <w:t>采购代理机构</w:t>
      </w:r>
      <w:r>
        <w:rPr>
          <w:rFonts w:hint="eastAsia" w:ascii="宋体" w:hAnsi="宋体"/>
        </w:rPr>
        <w:t>重新按公开招标流程组织采购活动。</w:t>
      </w:r>
    </w:p>
    <w:p w14:paraId="34847636">
      <w:pPr>
        <w:ind w:firstLine="420" w:firstLineChars="200"/>
        <w:rPr>
          <w:rFonts w:ascii="黑体" w:hAnsi="宋体" w:eastAsia="黑体"/>
          <w:sz w:val="24"/>
        </w:rPr>
      </w:pPr>
      <w:r>
        <w:rPr>
          <w:rFonts w:hint="eastAsia" w:ascii="宋体" w:hAnsi="宋体"/>
        </w:rPr>
        <w:t>42.5公开招标失败的采购项目经采购人主管部门批准转为竞争性谈判或单一来源谈判方式采购的，按规定要求组织自行采购工作。</w:t>
      </w:r>
    </w:p>
    <w:p w14:paraId="265B3D8E">
      <w:pPr>
        <w:pStyle w:val="18"/>
        <w:keepNext/>
        <w:keepLines/>
        <w:numPr>
          <w:ilvl w:val="0"/>
          <w:numId w:val="6"/>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bookmarkStart w:id="83" w:name="_Hlk72439043"/>
      <w:r>
        <w:rPr>
          <w:rFonts w:hint="eastAsia" w:ascii="Cambria" w:hAnsi="Cambria" w:cs="宋体"/>
          <w:b/>
          <w:bCs/>
          <w:sz w:val="28"/>
          <w:szCs w:val="28"/>
        </w:rPr>
        <w:t>合同的授予与备案</w:t>
      </w:r>
      <w:bookmarkEnd w:id="83"/>
    </w:p>
    <w:p w14:paraId="47CB345A">
      <w:pPr>
        <w:ind w:firstLine="420" w:firstLineChars="200"/>
        <w:rPr>
          <w:rFonts w:ascii="黑体" w:hAnsi="宋体" w:eastAsia="黑体"/>
          <w:szCs w:val="21"/>
        </w:rPr>
      </w:pPr>
      <w:bookmarkStart w:id="84" w:name="_Toc73518157"/>
      <w:bookmarkStart w:id="85" w:name="_Toc100052408"/>
      <w:bookmarkStart w:id="86" w:name="_Toc73521586"/>
      <w:bookmarkStart w:id="87" w:name="_Toc73517679"/>
      <w:bookmarkStart w:id="88" w:name="_Toc73521674"/>
      <w:bookmarkStart w:id="89" w:name="_Hlk72439088"/>
      <w:r>
        <w:rPr>
          <w:rFonts w:hint="eastAsia" w:ascii="黑体" w:hAnsi="宋体" w:eastAsia="黑体"/>
          <w:szCs w:val="21"/>
        </w:rPr>
        <w:t>43．合同授予标准</w:t>
      </w:r>
      <w:bookmarkEnd w:id="84"/>
      <w:bookmarkEnd w:id="85"/>
      <w:bookmarkEnd w:id="86"/>
      <w:bookmarkEnd w:id="87"/>
      <w:bookmarkEnd w:id="88"/>
    </w:p>
    <w:p w14:paraId="6168B975">
      <w:pPr>
        <w:ind w:firstLine="420" w:firstLineChars="200"/>
        <w:rPr>
          <w:rFonts w:ascii="宋体" w:hAnsi="宋体"/>
          <w:szCs w:val="21"/>
        </w:rPr>
      </w:pPr>
      <w:r>
        <w:rPr>
          <w:rFonts w:hint="eastAsia" w:ascii="宋体" w:hAnsi="宋体"/>
          <w:szCs w:val="21"/>
        </w:rPr>
        <w:t>本项目的合同将授予经本招标文件规定评审确定的中标供应商。</w:t>
      </w:r>
    </w:p>
    <w:p w14:paraId="3A7DDC80">
      <w:pPr>
        <w:ind w:firstLine="420" w:firstLineChars="200"/>
        <w:rPr>
          <w:rFonts w:ascii="黑体" w:hAnsi="宋体" w:eastAsia="黑体"/>
          <w:szCs w:val="21"/>
        </w:rPr>
      </w:pPr>
      <w:bookmarkStart w:id="90" w:name="_Toc73517680"/>
      <w:bookmarkStart w:id="91" w:name="_Toc73518158"/>
      <w:bookmarkStart w:id="92" w:name="_Toc100052409"/>
      <w:bookmarkStart w:id="93" w:name="_Toc73521675"/>
      <w:bookmarkStart w:id="94" w:name="_Toc73521587"/>
      <w:r>
        <w:rPr>
          <w:rFonts w:hint="eastAsia" w:ascii="黑体" w:hAnsi="宋体" w:eastAsia="黑体"/>
          <w:szCs w:val="21"/>
        </w:rPr>
        <w:t>44．</w:t>
      </w:r>
      <w:bookmarkEnd w:id="90"/>
      <w:bookmarkEnd w:id="91"/>
      <w:bookmarkEnd w:id="92"/>
      <w:bookmarkEnd w:id="93"/>
      <w:bookmarkEnd w:id="94"/>
      <w:r>
        <w:rPr>
          <w:rFonts w:hint="eastAsia" w:ascii="黑体" w:hAnsi="宋体" w:eastAsia="黑体"/>
          <w:szCs w:val="21"/>
        </w:rPr>
        <w:t>接受和拒绝任何或所有投标的权力</w:t>
      </w:r>
    </w:p>
    <w:p w14:paraId="550A08EA">
      <w:pPr>
        <w:ind w:firstLine="420" w:firstLineChars="200"/>
        <w:rPr>
          <w:rFonts w:ascii="宋体" w:hAnsi="宋体"/>
          <w:szCs w:val="21"/>
        </w:rPr>
      </w:pPr>
      <w:r>
        <w:rPr>
          <w:rFonts w:hint="eastAsia" w:ascii="宋体" w:hAnsi="宋体"/>
          <w:szCs w:val="21"/>
          <w:highlight w:val="yellow"/>
          <w:lang w:val="en-US" w:eastAsia="zh-CN"/>
        </w:rPr>
        <w:t>采购代理机构</w:t>
      </w:r>
      <w:r>
        <w:rPr>
          <w:rFonts w:hint="eastAsia" w:ascii="宋体" w:hAnsi="宋体"/>
          <w:szCs w:val="21"/>
        </w:rPr>
        <w:t>和采购人保留在投标之前任何时候接受或拒绝任何投标或所有投标，以及宣布招标无效的权力，对受影响的投标人不承担任何责任，也无义务向受影响的投标人解释采取这一行动的理由。</w:t>
      </w:r>
    </w:p>
    <w:p w14:paraId="42C485BB">
      <w:pPr>
        <w:ind w:firstLine="420" w:firstLineChars="200"/>
        <w:rPr>
          <w:rFonts w:ascii="黑体" w:hAnsi="宋体" w:eastAsia="黑体"/>
          <w:szCs w:val="21"/>
        </w:rPr>
      </w:pPr>
      <w:bookmarkStart w:id="95" w:name="_Toc73518160"/>
      <w:bookmarkStart w:id="96" w:name="_Toc100052410"/>
      <w:bookmarkStart w:id="97" w:name="_Toc73521677"/>
      <w:bookmarkStart w:id="98" w:name="_Toc73517682"/>
      <w:bookmarkStart w:id="99" w:name="_Toc73521589"/>
      <w:r>
        <w:rPr>
          <w:rFonts w:hint="eastAsia" w:ascii="黑体" w:hAnsi="宋体" w:eastAsia="黑体"/>
          <w:szCs w:val="21"/>
        </w:rPr>
        <w:t>45．合同的签订</w:t>
      </w:r>
      <w:bookmarkEnd w:id="95"/>
      <w:bookmarkEnd w:id="96"/>
      <w:bookmarkEnd w:id="97"/>
      <w:bookmarkEnd w:id="98"/>
      <w:bookmarkEnd w:id="99"/>
    </w:p>
    <w:p w14:paraId="60C8530F">
      <w:pPr>
        <w:ind w:firstLine="420" w:firstLineChars="200"/>
        <w:rPr>
          <w:rFonts w:ascii="宋体" w:hAnsi="宋体"/>
          <w:szCs w:val="21"/>
        </w:rPr>
      </w:pPr>
      <w:r>
        <w:rPr>
          <w:rFonts w:hint="eastAsia" w:ascii="宋体" w:hAnsi="宋体"/>
          <w:szCs w:val="21"/>
        </w:rPr>
        <w:t>45.1中标人将于中标通知书发出之日起十个工作日内，按照采购文件（招标文件和投标文件等）内容与采购人签订采购合同；合同的实质性内容应当符合招标文件的规定；</w:t>
      </w:r>
    </w:p>
    <w:p w14:paraId="6CBC370B">
      <w:pPr>
        <w:ind w:firstLine="420" w:firstLineChars="200"/>
        <w:rPr>
          <w:rFonts w:ascii="宋体" w:hAnsi="宋体"/>
          <w:szCs w:val="21"/>
        </w:rPr>
      </w:pPr>
      <w:r>
        <w:rPr>
          <w:rFonts w:hint="eastAsia" w:ascii="宋体" w:hAnsi="宋体"/>
          <w:szCs w:val="21"/>
        </w:rPr>
        <w:t>45.2中标人如不按本通用条款第45.1款的规定与采购人签订合同，</w:t>
      </w:r>
      <w:r>
        <w:rPr>
          <w:rFonts w:hint="eastAsia" w:ascii="宋体" w:hAnsi="宋体" w:cs="宋体"/>
          <w:kern w:val="0"/>
          <w:szCs w:val="21"/>
        </w:rPr>
        <w:t>情节严重的，由同级财政部门记入供应商诚信档案，予以通报</w:t>
      </w:r>
      <w:r>
        <w:rPr>
          <w:rFonts w:hint="eastAsia" w:ascii="宋体" w:hAnsi="宋体"/>
          <w:szCs w:val="21"/>
        </w:rPr>
        <w:t>；</w:t>
      </w:r>
    </w:p>
    <w:p w14:paraId="3F7C6E96">
      <w:pPr>
        <w:ind w:firstLine="420" w:firstLineChars="200"/>
        <w:rPr>
          <w:rFonts w:ascii="宋体" w:hAnsi="宋体"/>
          <w:szCs w:val="21"/>
        </w:rPr>
      </w:pPr>
      <w:r>
        <w:rPr>
          <w:rFonts w:hint="eastAsia" w:ascii="宋体" w:hAnsi="宋体"/>
          <w:szCs w:val="21"/>
        </w:rPr>
        <w:t>45.3中标人应当按照合同约定履行义务，完成中标项目，不得将中标项目转让（转包）给他人。</w:t>
      </w:r>
    </w:p>
    <w:p w14:paraId="3A69ACD6">
      <w:pPr>
        <w:ind w:firstLine="420" w:firstLineChars="200"/>
        <w:rPr>
          <w:rFonts w:ascii="黑体" w:hAnsi="宋体" w:eastAsia="黑体"/>
          <w:szCs w:val="21"/>
        </w:rPr>
      </w:pPr>
      <w:bookmarkStart w:id="100" w:name="_Toc100052411"/>
      <w:bookmarkStart w:id="101" w:name="_Toc73518161"/>
      <w:bookmarkStart w:id="102" w:name="_Toc73521678"/>
      <w:bookmarkStart w:id="103" w:name="_Toc73517683"/>
      <w:bookmarkStart w:id="104" w:name="_Toc73521590"/>
      <w:r>
        <w:rPr>
          <w:rFonts w:hint="eastAsia" w:ascii="黑体" w:hAnsi="宋体" w:eastAsia="黑体"/>
          <w:szCs w:val="21"/>
        </w:rPr>
        <w:t>46．履约担保</w:t>
      </w:r>
      <w:bookmarkEnd w:id="100"/>
      <w:bookmarkEnd w:id="101"/>
      <w:bookmarkEnd w:id="102"/>
      <w:bookmarkEnd w:id="103"/>
      <w:bookmarkEnd w:id="104"/>
    </w:p>
    <w:p w14:paraId="42E38437">
      <w:pPr>
        <w:ind w:firstLine="420" w:firstLineChars="200"/>
        <w:rPr>
          <w:rFonts w:ascii="宋体" w:hAnsi="宋体"/>
          <w:szCs w:val="21"/>
        </w:rPr>
      </w:pPr>
      <w:r>
        <w:rPr>
          <w:rFonts w:hint="eastAsia" w:ascii="宋体" w:hAnsi="宋体"/>
          <w:szCs w:val="21"/>
        </w:rPr>
        <w:t>46.1在签订项目合同的同时，中标人应按“对通用条款的补充内容”中规定的金额向采购人提交履约担保；</w:t>
      </w:r>
    </w:p>
    <w:p w14:paraId="14E51189">
      <w:pPr>
        <w:ind w:firstLine="420" w:firstLineChars="200"/>
        <w:rPr>
          <w:rFonts w:ascii="宋体" w:hAnsi="宋体"/>
          <w:szCs w:val="21"/>
        </w:rPr>
      </w:pPr>
      <w:r>
        <w:rPr>
          <w:rFonts w:hint="eastAsia" w:ascii="宋体" w:hAnsi="宋体"/>
          <w:szCs w:val="21"/>
        </w:rPr>
        <w:t>46.2，允许供应商自主选择以支票、汇票、本票、保函等非现金方式提交履约担保；</w:t>
      </w:r>
      <w:r>
        <w:rPr>
          <w:rFonts w:hint="eastAsia"/>
          <w:szCs w:val="21"/>
        </w:rPr>
        <w:t>中标人提交履约担保不是合同签订的前提条件，不要求中标人提供除法律、法规明确规定外的其他担保。</w:t>
      </w:r>
    </w:p>
    <w:p w14:paraId="2E379778">
      <w:pPr>
        <w:ind w:firstLine="420" w:firstLineChars="200"/>
        <w:rPr>
          <w:rFonts w:ascii="黑体" w:hAnsi="宋体" w:eastAsia="黑体"/>
          <w:szCs w:val="21"/>
        </w:rPr>
      </w:pPr>
      <w:r>
        <w:rPr>
          <w:rFonts w:hint="eastAsia" w:ascii="黑体" w:hAnsi="宋体" w:eastAsia="黑体"/>
          <w:szCs w:val="21"/>
        </w:rPr>
        <w:t>47. 合同备案</w:t>
      </w:r>
    </w:p>
    <w:p w14:paraId="30264CDD">
      <w:pPr>
        <w:ind w:firstLine="420" w:firstLineChars="200"/>
        <w:rPr>
          <w:rFonts w:ascii="宋体" w:hAnsi="宋体"/>
          <w:szCs w:val="21"/>
        </w:rPr>
      </w:pPr>
      <w:r>
        <w:rPr>
          <w:rFonts w:hint="eastAsia" w:ascii="宋体" w:hAnsi="宋体"/>
          <w:szCs w:val="21"/>
        </w:rPr>
        <w:t>采购人与中标供应商自中标通知书发出之日起10个工作日内签订采购合同，并按采购人内控制度规定提交备案。</w:t>
      </w:r>
    </w:p>
    <w:p w14:paraId="479C4B87">
      <w:pPr>
        <w:ind w:firstLine="420" w:firstLineChars="200"/>
        <w:rPr>
          <w:rFonts w:ascii="黑体" w:hAnsi="宋体" w:eastAsia="黑体"/>
          <w:szCs w:val="21"/>
        </w:rPr>
      </w:pPr>
      <w:r>
        <w:rPr>
          <w:rFonts w:hint="eastAsia" w:ascii="黑体" w:hAnsi="宋体" w:eastAsia="黑体"/>
          <w:szCs w:val="21"/>
        </w:rPr>
        <w:t>48. 合同变更</w:t>
      </w:r>
    </w:p>
    <w:p w14:paraId="09BA948E">
      <w:pPr>
        <w:ind w:firstLine="420" w:firstLineChars="200"/>
        <w:rPr>
          <w:rFonts w:ascii="宋体" w:hAnsi="宋体"/>
          <w:szCs w:val="21"/>
        </w:rPr>
      </w:pPr>
      <w:r>
        <w:rPr>
          <w:rFonts w:hint="eastAsia" w:ascii="宋体" w:hAnsi="宋体"/>
          <w:szCs w:val="21"/>
        </w:rPr>
        <w:t>合同变更事宜参照《深圳市财政局关于优化政府采购合同备案的通知》（深财发保〔2022〕2号）相关规定，按采购人内控制度执行。</w:t>
      </w:r>
    </w:p>
    <w:p w14:paraId="43BBCD72">
      <w:pPr>
        <w:ind w:firstLine="420" w:firstLineChars="200"/>
        <w:rPr>
          <w:rFonts w:ascii="黑体" w:hAnsi="宋体" w:eastAsia="黑体"/>
          <w:szCs w:val="21"/>
        </w:rPr>
      </w:pPr>
      <w:r>
        <w:rPr>
          <w:rFonts w:hint="eastAsia" w:ascii="黑体" w:hAnsi="宋体" w:eastAsia="黑体"/>
          <w:szCs w:val="21"/>
        </w:rPr>
        <w:t>49. 项目验收</w:t>
      </w:r>
    </w:p>
    <w:p w14:paraId="6B9B95C7">
      <w:pPr>
        <w:widowControl/>
        <w:ind w:firstLine="420" w:firstLineChars="200"/>
        <w:jc w:val="left"/>
        <w:rPr>
          <w:rFonts w:ascii="宋体" w:hAnsi="宋体"/>
          <w:szCs w:val="21"/>
        </w:rPr>
      </w:pPr>
      <w:r>
        <w:rPr>
          <w:rFonts w:hint="eastAsia" w:ascii="宋体" w:hAnsi="宋体"/>
          <w:szCs w:val="21"/>
        </w:rPr>
        <w:t xml:space="preserve">49.1采购人应当按照招标文件和合同规定的标准和方法，及时组织验收。 </w:t>
      </w:r>
    </w:p>
    <w:p w14:paraId="5A7D399D">
      <w:pPr>
        <w:ind w:firstLine="420" w:firstLineChars="200"/>
        <w:rPr>
          <w:rFonts w:ascii="黑体" w:hAnsi="宋体" w:eastAsia="黑体"/>
          <w:szCs w:val="21"/>
        </w:rPr>
      </w:pPr>
      <w:r>
        <w:rPr>
          <w:rFonts w:hint="eastAsia" w:ascii="黑体" w:hAnsi="宋体" w:eastAsia="黑体"/>
          <w:szCs w:val="21"/>
        </w:rPr>
        <w:t>50. 宣传</w:t>
      </w:r>
    </w:p>
    <w:p w14:paraId="62E01942">
      <w:pPr>
        <w:ind w:firstLine="420" w:firstLineChars="200"/>
        <w:rPr>
          <w:rFonts w:ascii="宋体" w:hAnsi="宋体"/>
          <w:szCs w:val="21"/>
        </w:rPr>
      </w:pPr>
      <w:r>
        <w:rPr>
          <w:rFonts w:hint="eastAsia" w:ascii="宋体" w:hAnsi="宋体"/>
          <w:szCs w:val="21"/>
        </w:rPr>
        <w:t>凡与采购活动有关的宣传或广告，若当中提及本项目采购，必须事先将具体对外宣传方案报采购人预算主管部门，并征得其同意。对外市场宣传包括但不限于以下形式：</w:t>
      </w:r>
    </w:p>
    <w:p w14:paraId="03A0F8D6">
      <w:pPr>
        <w:ind w:firstLine="420" w:firstLineChars="200"/>
        <w:rPr>
          <w:rFonts w:ascii="宋体" w:hAnsi="宋体"/>
          <w:szCs w:val="21"/>
        </w:rPr>
      </w:pPr>
      <w:r>
        <w:rPr>
          <w:rFonts w:hint="eastAsia" w:ascii="宋体" w:hAnsi="宋体"/>
          <w:szCs w:val="21"/>
        </w:rPr>
        <w:t>a.名片、宣传册、广告标语等；</w:t>
      </w:r>
    </w:p>
    <w:p w14:paraId="7B26DF7E">
      <w:pPr>
        <w:ind w:firstLine="420" w:firstLineChars="200"/>
        <w:rPr>
          <w:rFonts w:ascii="宋体" w:hAnsi="宋体"/>
          <w:szCs w:val="21"/>
        </w:rPr>
      </w:pPr>
      <w:r>
        <w:rPr>
          <w:rFonts w:hint="eastAsia" w:ascii="宋体" w:hAnsi="宋体"/>
          <w:szCs w:val="21"/>
        </w:rPr>
        <w:t>b.案例介绍、推广等；</w:t>
      </w:r>
    </w:p>
    <w:p w14:paraId="7BF8FEF3">
      <w:pPr>
        <w:ind w:firstLine="420" w:firstLineChars="200"/>
        <w:rPr>
          <w:rFonts w:ascii="宋体" w:hAnsi="宋体"/>
          <w:szCs w:val="21"/>
        </w:rPr>
      </w:pPr>
      <w:r>
        <w:rPr>
          <w:rFonts w:hint="eastAsia" w:ascii="宋体" w:hAnsi="宋体"/>
          <w:szCs w:val="21"/>
        </w:rPr>
        <w:t>c.工作人员向其他消费群体宣传。</w:t>
      </w:r>
    </w:p>
    <w:p w14:paraId="66442125">
      <w:pPr>
        <w:ind w:firstLine="420" w:firstLineChars="200"/>
        <w:rPr>
          <w:rFonts w:ascii="黑体" w:hAnsi="宋体" w:eastAsia="黑体"/>
          <w:szCs w:val="21"/>
        </w:rPr>
      </w:pPr>
      <w:r>
        <w:rPr>
          <w:rFonts w:hint="eastAsia" w:ascii="黑体" w:hAnsi="宋体" w:eastAsia="黑体"/>
          <w:szCs w:val="21"/>
        </w:rPr>
        <w:t>51. 供应商违法责任</w:t>
      </w:r>
    </w:p>
    <w:p w14:paraId="69D226F0">
      <w:pPr>
        <w:ind w:firstLine="420" w:firstLineChars="200"/>
        <w:rPr>
          <w:rFonts w:ascii="宋体" w:hAnsi="宋体"/>
          <w:szCs w:val="21"/>
        </w:rPr>
      </w:pPr>
      <w:r>
        <w:rPr>
          <w:rFonts w:hint="eastAsia" w:ascii="宋体" w:hAnsi="宋体"/>
          <w:szCs w:val="21"/>
        </w:rPr>
        <w:t>51.1《深圳经济特区政府采购条例》第五十七条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14:paraId="48B21AC5">
      <w:pPr>
        <w:ind w:firstLine="420" w:firstLineChars="200"/>
        <w:rPr>
          <w:rFonts w:ascii="宋体" w:hAnsi="宋体"/>
          <w:szCs w:val="21"/>
        </w:rPr>
      </w:pPr>
      <w:r>
        <w:rPr>
          <w:rFonts w:hint="eastAsia" w:ascii="宋体" w:hAnsi="宋体"/>
          <w:szCs w:val="21"/>
        </w:rPr>
        <w:t>（1）在采购活动中应当回避而未回避的；</w:t>
      </w:r>
    </w:p>
    <w:p w14:paraId="6959FE2F">
      <w:pPr>
        <w:ind w:firstLine="420" w:firstLineChars="200"/>
        <w:rPr>
          <w:rFonts w:ascii="宋体" w:hAnsi="宋体"/>
          <w:szCs w:val="21"/>
        </w:rPr>
      </w:pPr>
      <w:r>
        <w:rPr>
          <w:rFonts w:hint="eastAsia" w:ascii="宋体" w:hAnsi="宋体"/>
          <w:szCs w:val="21"/>
        </w:rPr>
        <w:t>（2）未按本条例规定签订、履行采购合同，造成严重后果的；</w:t>
      </w:r>
    </w:p>
    <w:p w14:paraId="7D219EFB">
      <w:pPr>
        <w:ind w:firstLine="420" w:firstLineChars="200"/>
        <w:rPr>
          <w:rFonts w:ascii="宋体" w:hAnsi="宋体"/>
          <w:szCs w:val="21"/>
        </w:rPr>
      </w:pPr>
      <w:r>
        <w:rPr>
          <w:rFonts w:hint="eastAsia" w:ascii="宋体" w:hAnsi="宋体"/>
          <w:szCs w:val="21"/>
        </w:rPr>
        <w:t>（3）隐瞒真实情况，提供虚假资料的；</w:t>
      </w:r>
    </w:p>
    <w:p w14:paraId="0E5B4375">
      <w:pPr>
        <w:ind w:firstLine="420" w:firstLineChars="200"/>
        <w:rPr>
          <w:rFonts w:ascii="宋体" w:hAnsi="宋体"/>
          <w:szCs w:val="21"/>
        </w:rPr>
      </w:pPr>
      <w:r>
        <w:rPr>
          <w:rFonts w:hint="eastAsia" w:ascii="宋体" w:hAnsi="宋体"/>
          <w:szCs w:val="21"/>
        </w:rPr>
        <w:t>（4）以非法手段排斥其他供应商参与竞争的；</w:t>
      </w:r>
    </w:p>
    <w:p w14:paraId="4DEC5E39">
      <w:pPr>
        <w:ind w:firstLine="420" w:firstLineChars="200"/>
        <w:rPr>
          <w:rFonts w:ascii="宋体" w:hAnsi="宋体"/>
          <w:szCs w:val="21"/>
        </w:rPr>
      </w:pPr>
      <w:r>
        <w:rPr>
          <w:rFonts w:hint="eastAsia" w:ascii="宋体" w:hAnsi="宋体"/>
          <w:szCs w:val="21"/>
        </w:rPr>
        <w:t>（5）与其他采购参加人串通投标的；</w:t>
      </w:r>
    </w:p>
    <w:p w14:paraId="64679CCF">
      <w:pPr>
        <w:ind w:firstLine="420" w:firstLineChars="200"/>
        <w:rPr>
          <w:rFonts w:ascii="宋体" w:hAnsi="宋体"/>
          <w:szCs w:val="21"/>
        </w:rPr>
      </w:pPr>
      <w:r>
        <w:rPr>
          <w:rFonts w:hint="eastAsia" w:ascii="宋体" w:hAnsi="宋体"/>
          <w:szCs w:val="21"/>
        </w:rPr>
        <w:t>（6）恶意投诉的；</w:t>
      </w:r>
    </w:p>
    <w:p w14:paraId="3371EC50">
      <w:pPr>
        <w:ind w:firstLine="420" w:firstLineChars="200"/>
        <w:rPr>
          <w:rFonts w:ascii="宋体" w:hAnsi="宋体"/>
          <w:szCs w:val="21"/>
        </w:rPr>
      </w:pPr>
      <w:r>
        <w:rPr>
          <w:rFonts w:hint="eastAsia" w:ascii="宋体" w:hAnsi="宋体"/>
          <w:szCs w:val="21"/>
        </w:rPr>
        <w:t>（7）向采购项目相关人行贿或者提供其他不当利益的；</w:t>
      </w:r>
    </w:p>
    <w:p w14:paraId="62AC6822">
      <w:pPr>
        <w:ind w:firstLine="420" w:firstLineChars="200"/>
        <w:rPr>
          <w:rFonts w:ascii="宋体" w:hAnsi="宋体"/>
          <w:szCs w:val="21"/>
        </w:rPr>
      </w:pPr>
      <w:r>
        <w:rPr>
          <w:rFonts w:hint="eastAsia" w:ascii="宋体" w:hAnsi="宋体"/>
          <w:szCs w:val="21"/>
        </w:rPr>
        <w:t>（8）阻碍、抗拒主管部门监督检查的；</w:t>
      </w:r>
    </w:p>
    <w:p w14:paraId="6FF87C79">
      <w:pPr>
        <w:ind w:firstLine="420" w:firstLineChars="200"/>
        <w:rPr>
          <w:rFonts w:ascii="宋体" w:hAnsi="宋体"/>
          <w:szCs w:val="21"/>
        </w:rPr>
      </w:pPr>
      <w:r>
        <w:rPr>
          <w:rFonts w:hint="eastAsia" w:ascii="宋体" w:hAnsi="宋体"/>
          <w:szCs w:val="21"/>
        </w:rPr>
        <w:t>（9）其他违反本条例规定的行为。</w:t>
      </w:r>
    </w:p>
    <w:p w14:paraId="572715BF">
      <w:pPr>
        <w:ind w:firstLine="420" w:firstLineChars="200"/>
        <w:rPr>
          <w:rFonts w:ascii="宋体" w:hAnsi="宋体"/>
          <w:szCs w:val="21"/>
        </w:rPr>
      </w:pPr>
      <w:r>
        <w:rPr>
          <w:rFonts w:hint="eastAsia" w:ascii="宋体" w:hAnsi="宋体"/>
          <w:szCs w:val="21"/>
        </w:rPr>
        <w:t>51.2 根据《深圳市财政局关于调整政府采购投标（响应）保证金管理政策的通知 》（深财购〔2021〕51 号）的要求，供应商在采购活动中出现《深圳经济特区政府采购条例实施细则》第八十条所列情形的，</w:t>
      </w:r>
      <w:bookmarkStart w:id="105" w:name="_Hlk72440769"/>
      <w:r>
        <w:rPr>
          <w:rFonts w:hint="eastAsia" w:ascii="宋体" w:hAnsi="宋体"/>
          <w:szCs w:val="21"/>
          <w:highlight w:val="yellow"/>
          <w:lang w:val="en-US" w:eastAsia="zh-CN"/>
        </w:rPr>
        <w:t>采购代理机构</w:t>
      </w:r>
      <w:r>
        <w:rPr>
          <w:rFonts w:hint="eastAsia" w:ascii="宋体" w:hAnsi="宋体"/>
          <w:szCs w:val="21"/>
        </w:rPr>
        <w:t>或采购人不予退还其交纳的谈判保证金，情节严重的，并由主管部门</w:t>
      </w:r>
      <w:bookmarkEnd w:id="105"/>
      <w:r>
        <w:rPr>
          <w:rFonts w:hint="eastAsia" w:ascii="宋体" w:hAnsi="宋体"/>
          <w:szCs w:val="21"/>
        </w:rPr>
        <w:t>记入供应商诚信档案，予以通报：</w:t>
      </w:r>
    </w:p>
    <w:p w14:paraId="64ACF5A1">
      <w:pPr>
        <w:ind w:firstLine="420" w:firstLineChars="200"/>
        <w:rPr>
          <w:rFonts w:ascii="宋体" w:hAnsi="宋体"/>
          <w:szCs w:val="21"/>
        </w:rPr>
      </w:pPr>
      <w:r>
        <w:rPr>
          <w:rFonts w:hint="eastAsia" w:ascii="宋体" w:hAnsi="宋体"/>
          <w:szCs w:val="21"/>
        </w:rPr>
        <w:t>（1）投标截止后，撤销投标的；</w:t>
      </w:r>
    </w:p>
    <w:p w14:paraId="7E3DC841">
      <w:pPr>
        <w:ind w:firstLine="420" w:firstLineChars="200"/>
        <w:rPr>
          <w:rFonts w:ascii="宋体" w:hAnsi="宋体"/>
          <w:szCs w:val="21"/>
        </w:rPr>
      </w:pPr>
      <w:r>
        <w:rPr>
          <w:rFonts w:hint="eastAsia" w:ascii="宋体" w:hAnsi="宋体"/>
          <w:szCs w:val="21"/>
        </w:rPr>
        <w:t>（2）中标后无正当理由未在规定期限内签订合同的；</w:t>
      </w:r>
    </w:p>
    <w:p w14:paraId="0FA6B644">
      <w:pPr>
        <w:ind w:firstLine="420" w:firstLineChars="200"/>
        <w:rPr>
          <w:rFonts w:ascii="宋体" w:hAnsi="宋体"/>
          <w:szCs w:val="21"/>
        </w:rPr>
      </w:pPr>
      <w:r>
        <w:rPr>
          <w:rFonts w:hint="eastAsia" w:ascii="宋体" w:hAnsi="宋体"/>
          <w:szCs w:val="21"/>
        </w:rPr>
        <w:t>（3）将中标项目转让给他人、或者在投标文件中未说明且未经采购人、采购招标机构同意，将中标项目分包给他人的；</w:t>
      </w:r>
    </w:p>
    <w:p w14:paraId="0697CEEB">
      <w:pPr>
        <w:ind w:firstLine="420" w:firstLineChars="200"/>
      </w:pPr>
      <w:r>
        <w:rPr>
          <w:rFonts w:hint="eastAsia" w:ascii="宋体" w:hAnsi="宋体"/>
          <w:szCs w:val="21"/>
        </w:rPr>
        <w:t>（4）拒绝履行合同义务的。</w:t>
      </w:r>
    </w:p>
    <w:bookmarkEnd w:id="89"/>
    <w:p w14:paraId="1DAC1262">
      <w:pPr>
        <w:pStyle w:val="18"/>
        <w:keepNext/>
        <w:keepLines/>
        <w:numPr>
          <w:ilvl w:val="0"/>
          <w:numId w:val="6"/>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质疑处理</w:t>
      </w:r>
    </w:p>
    <w:p w14:paraId="601F90F2">
      <w:pPr>
        <w:ind w:firstLine="420" w:firstLineChars="200"/>
        <w:rPr>
          <w:rFonts w:ascii="黑体" w:hAnsi="宋体" w:eastAsia="黑体"/>
          <w:szCs w:val="21"/>
        </w:rPr>
      </w:pPr>
      <w:r>
        <w:rPr>
          <w:rFonts w:hint="eastAsia" w:ascii="黑体" w:hAnsi="宋体" w:eastAsia="黑体"/>
          <w:szCs w:val="21"/>
        </w:rPr>
        <w:t>52.质疑提出与答复</w:t>
      </w:r>
    </w:p>
    <w:p w14:paraId="2B2A9199">
      <w:pPr>
        <w:ind w:firstLine="420" w:firstLineChars="200"/>
        <w:rPr>
          <w:rFonts w:ascii="宋体" w:hAnsi="宋体"/>
          <w:szCs w:val="21"/>
        </w:rPr>
      </w:pPr>
      <w:r>
        <w:rPr>
          <w:rFonts w:hint="eastAsia" w:ascii="宋体" w:hAnsi="宋体"/>
          <w:szCs w:val="21"/>
        </w:rPr>
        <w:t>52.1提出质疑</w:t>
      </w:r>
    </w:p>
    <w:p w14:paraId="1B560200">
      <w:pPr>
        <w:ind w:firstLine="420" w:firstLineChars="200"/>
        <w:rPr>
          <w:rFonts w:ascii="宋体" w:hAnsi="宋体"/>
          <w:szCs w:val="21"/>
        </w:rPr>
      </w:pPr>
      <w:r>
        <w:rPr>
          <w:rFonts w:hint="eastAsia" w:ascii="宋体" w:hAnsi="宋体"/>
          <w:szCs w:val="21"/>
        </w:rPr>
        <w:t>参与采购活动的供应商认为自己的权益在采购活动中受到损害的，应当自知道或者应当知道其权益受到损害之日起七个工作日内向采购人、</w:t>
      </w:r>
      <w:r>
        <w:rPr>
          <w:rFonts w:hint="eastAsia" w:ascii="宋体" w:hAnsi="宋体"/>
          <w:szCs w:val="21"/>
          <w:highlight w:val="yellow"/>
          <w:lang w:val="en-US" w:eastAsia="zh-CN"/>
        </w:rPr>
        <w:t>采购代理机构</w:t>
      </w:r>
      <w:r>
        <w:rPr>
          <w:rFonts w:hint="eastAsia" w:ascii="宋体" w:hAnsi="宋体"/>
          <w:szCs w:val="21"/>
        </w:rPr>
        <w:t>以书面形式提出质疑。</w:t>
      </w:r>
    </w:p>
    <w:p w14:paraId="4FA7F60C">
      <w:pPr>
        <w:ind w:firstLine="420" w:firstLineChars="200"/>
        <w:rPr>
          <w:rFonts w:ascii="宋体" w:hAnsi="宋体"/>
          <w:szCs w:val="21"/>
        </w:rPr>
      </w:pPr>
      <w:r>
        <w:rPr>
          <w:rFonts w:hint="eastAsia" w:ascii="宋体" w:hAnsi="宋体"/>
          <w:szCs w:val="21"/>
        </w:rPr>
        <w:t>52.2法律依据</w:t>
      </w:r>
    </w:p>
    <w:p w14:paraId="24C1F491">
      <w:pPr>
        <w:ind w:firstLine="420" w:firstLineChars="200"/>
        <w:rPr>
          <w:rFonts w:ascii="宋体" w:hAnsi="宋体"/>
          <w:szCs w:val="21"/>
        </w:rPr>
      </w:pPr>
      <w:r>
        <w:rPr>
          <w:rFonts w:hint="eastAsia" w:ascii="宋体" w:hAnsi="宋体"/>
          <w:szCs w:val="21"/>
        </w:rPr>
        <w:t>《中华人民共和国政府采购法》、《中华人民共和国政府采购法实施条例》、《深圳经济特区政府采购条例》、《深圳经济特区政府采购条例实施细则》、《政府采购质疑和投诉办法》（财政部令第94号）和其他有关法律法规规定。</w:t>
      </w:r>
    </w:p>
    <w:p w14:paraId="1ACDF898">
      <w:pPr>
        <w:ind w:firstLine="420" w:firstLineChars="200"/>
        <w:rPr>
          <w:rFonts w:ascii="宋体" w:hAnsi="宋体"/>
          <w:szCs w:val="21"/>
        </w:rPr>
      </w:pPr>
      <w:r>
        <w:rPr>
          <w:rFonts w:hint="eastAsia" w:ascii="宋体" w:hAnsi="宋体"/>
          <w:szCs w:val="21"/>
        </w:rPr>
        <w:t>52.3质疑条件</w:t>
      </w:r>
    </w:p>
    <w:p w14:paraId="518978F4">
      <w:pPr>
        <w:ind w:firstLine="420" w:firstLineChars="200"/>
        <w:rPr>
          <w:rFonts w:ascii="宋体" w:hAnsi="宋体"/>
          <w:szCs w:val="21"/>
        </w:rPr>
      </w:pPr>
      <w:r>
        <w:rPr>
          <w:rFonts w:hint="eastAsia" w:ascii="宋体" w:hAnsi="宋体"/>
          <w:szCs w:val="21"/>
        </w:rPr>
        <w:t>52.3.1提出质疑的供应商应当是参与所质疑项目采购活动的供应商；</w:t>
      </w:r>
      <w:bookmarkStart w:id="106" w:name="_Hlk75374941"/>
      <w:r>
        <w:rPr>
          <w:rFonts w:hint="eastAsia" w:ascii="宋体" w:hAnsi="宋体"/>
          <w:szCs w:val="21"/>
        </w:rPr>
        <w:t>以联合体形式参与的，质疑应当由组成联合体的所有成员共同提出</w:t>
      </w:r>
      <w:bookmarkEnd w:id="106"/>
      <w:r>
        <w:rPr>
          <w:rFonts w:hint="eastAsia" w:ascii="宋体" w:hAnsi="宋体"/>
          <w:szCs w:val="21"/>
        </w:rPr>
        <w:t>；</w:t>
      </w:r>
    </w:p>
    <w:p w14:paraId="6A229918">
      <w:pPr>
        <w:ind w:firstLine="420" w:firstLineChars="200"/>
        <w:rPr>
          <w:rFonts w:ascii="宋体" w:hAnsi="宋体"/>
          <w:szCs w:val="21"/>
        </w:rPr>
      </w:pPr>
      <w:r>
        <w:rPr>
          <w:rFonts w:hint="eastAsia" w:ascii="宋体" w:hAnsi="宋体"/>
          <w:szCs w:val="21"/>
        </w:rPr>
        <w:t>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14:paraId="3A15517A">
      <w:pPr>
        <w:ind w:firstLine="420" w:firstLineChars="200"/>
        <w:rPr>
          <w:rFonts w:ascii="宋体" w:hAnsi="宋体"/>
          <w:szCs w:val="21"/>
        </w:rPr>
      </w:pPr>
      <w:r>
        <w:rPr>
          <w:rFonts w:hint="eastAsia" w:ascii="宋体" w:hAnsi="宋体"/>
          <w:szCs w:val="21"/>
        </w:rPr>
        <w:t xml:space="preserve">52.3.3应提交书面质疑函，质疑函应当包括以下内容： </w:t>
      </w:r>
    </w:p>
    <w:p w14:paraId="4D5ABB40">
      <w:pPr>
        <w:ind w:firstLine="420" w:firstLineChars="200"/>
        <w:rPr>
          <w:rFonts w:ascii="宋体" w:hAnsi="宋体"/>
          <w:szCs w:val="21"/>
        </w:rPr>
      </w:pPr>
      <w:r>
        <w:rPr>
          <w:rFonts w:hint="eastAsia" w:ascii="宋体" w:hAnsi="宋体"/>
          <w:szCs w:val="21"/>
        </w:rPr>
        <w:t>（1）供应商的名称（或者姓名）、地址、邮编、邮箱、联系人及联系电话；</w:t>
      </w:r>
    </w:p>
    <w:p w14:paraId="55224FA5">
      <w:pPr>
        <w:ind w:firstLine="420" w:firstLineChars="200"/>
        <w:rPr>
          <w:rFonts w:ascii="宋体" w:hAnsi="宋体"/>
          <w:szCs w:val="21"/>
        </w:rPr>
      </w:pPr>
      <w:r>
        <w:rPr>
          <w:rFonts w:hint="eastAsia" w:ascii="宋体" w:hAnsi="宋体"/>
          <w:szCs w:val="21"/>
        </w:rPr>
        <w:t>（2）质疑项目的名称、编号；</w:t>
      </w:r>
    </w:p>
    <w:p w14:paraId="7C82C35B">
      <w:pPr>
        <w:ind w:firstLine="420" w:firstLineChars="200"/>
        <w:rPr>
          <w:rFonts w:ascii="宋体" w:hAnsi="宋体"/>
          <w:szCs w:val="21"/>
        </w:rPr>
      </w:pPr>
      <w:r>
        <w:rPr>
          <w:rFonts w:hint="eastAsia" w:ascii="宋体" w:hAnsi="宋体"/>
          <w:szCs w:val="21"/>
        </w:rPr>
        <w:t>（3）具体、明确的质疑对象、质疑事项和质疑请求；</w:t>
      </w:r>
    </w:p>
    <w:p w14:paraId="3469BE6D">
      <w:pPr>
        <w:ind w:firstLine="420" w:firstLineChars="200"/>
        <w:rPr>
          <w:rFonts w:ascii="宋体" w:hAnsi="宋体"/>
          <w:szCs w:val="21"/>
        </w:rPr>
      </w:pPr>
      <w:r>
        <w:rPr>
          <w:rFonts w:hint="eastAsia" w:ascii="宋体" w:hAnsi="宋体"/>
          <w:szCs w:val="21"/>
        </w:rPr>
        <w:t>（4）因质疑事项而受损害的权益；</w:t>
      </w:r>
    </w:p>
    <w:p w14:paraId="755CABC6">
      <w:pPr>
        <w:ind w:firstLine="420" w:firstLineChars="200"/>
        <w:rPr>
          <w:rFonts w:ascii="宋体" w:hAnsi="宋体"/>
          <w:szCs w:val="21"/>
        </w:rPr>
      </w:pPr>
      <w:r>
        <w:rPr>
          <w:rFonts w:hint="eastAsia" w:ascii="宋体" w:hAnsi="宋体"/>
          <w:szCs w:val="21"/>
        </w:rPr>
        <w:t>（5）事实依据；</w:t>
      </w:r>
    </w:p>
    <w:p w14:paraId="17ADC154">
      <w:pPr>
        <w:ind w:firstLine="420" w:firstLineChars="200"/>
        <w:rPr>
          <w:rFonts w:ascii="宋体" w:hAnsi="宋体"/>
          <w:szCs w:val="21"/>
        </w:rPr>
      </w:pPr>
      <w:r>
        <w:rPr>
          <w:rFonts w:hint="eastAsia" w:ascii="宋体" w:hAnsi="宋体"/>
          <w:szCs w:val="21"/>
        </w:rPr>
        <w:t>（6）必要的法律依据；</w:t>
      </w:r>
    </w:p>
    <w:p w14:paraId="6603DBB4">
      <w:pPr>
        <w:ind w:firstLine="420" w:firstLineChars="200"/>
        <w:rPr>
          <w:rFonts w:ascii="宋体" w:hAnsi="宋体"/>
          <w:szCs w:val="21"/>
        </w:rPr>
      </w:pPr>
      <w:r>
        <w:rPr>
          <w:rFonts w:hint="eastAsia" w:ascii="宋体" w:hAnsi="宋体"/>
          <w:szCs w:val="21"/>
        </w:rPr>
        <w:t>（7）提出质疑的日期。</w:t>
      </w:r>
    </w:p>
    <w:p w14:paraId="2F48366A">
      <w:pPr>
        <w:ind w:firstLine="420" w:firstLineChars="200"/>
        <w:rPr>
          <w:rFonts w:ascii="宋体" w:hAnsi="宋体"/>
          <w:szCs w:val="21"/>
        </w:rPr>
      </w:pPr>
      <w:r>
        <w:rPr>
          <w:rFonts w:hint="eastAsia" w:ascii="宋体" w:hAnsi="宋体"/>
          <w:szCs w:val="21"/>
        </w:rPr>
        <w:t>供应商为自然人的，应当由本人签字；供应商为法人或者其他组织的，应当由法定代表人（负责人），或者其授权代理人签字或者盖章，并加盖公章。</w:t>
      </w:r>
    </w:p>
    <w:p w14:paraId="20EE46B9">
      <w:pPr>
        <w:ind w:firstLine="420" w:firstLineChars="200"/>
        <w:rPr>
          <w:rFonts w:ascii="宋体" w:hAnsi="宋体"/>
          <w:szCs w:val="21"/>
        </w:rPr>
      </w:pPr>
      <w:r>
        <w:rPr>
          <w:rFonts w:hint="eastAsia" w:ascii="宋体" w:hAnsi="宋体"/>
          <w:szCs w:val="21"/>
        </w:rPr>
        <w:t>52.4提交材料</w:t>
      </w:r>
    </w:p>
    <w:p w14:paraId="618EFD49">
      <w:pPr>
        <w:ind w:firstLine="420" w:firstLineChars="200"/>
        <w:rPr>
          <w:rFonts w:ascii="宋体" w:hAnsi="宋体"/>
          <w:szCs w:val="21"/>
        </w:rPr>
      </w:pPr>
      <w:r>
        <w:rPr>
          <w:rFonts w:hint="eastAsia" w:ascii="宋体" w:hAnsi="宋体"/>
          <w:szCs w:val="21"/>
        </w:rPr>
        <w:t>供应商质疑实行实名制。供应商为自然人的，应当提交本人身份证复印件；供应商为法人或者其他组织的，应当根据自身性质提交营业执照复印件或者其他证明文件（如事业单位法人证书等）复印件。</w:t>
      </w:r>
    </w:p>
    <w:p w14:paraId="614754F9">
      <w:pPr>
        <w:ind w:firstLine="420" w:firstLineChars="200"/>
        <w:rPr>
          <w:rFonts w:ascii="宋体" w:hAnsi="宋体"/>
          <w:szCs w:val="21"/>
        </w:rPr>
      </w:pPr>
      <w:r>
        <w:rPr>
          <w:rFonts w:hint="eastAsia" w:ascii="宋体" w:hAnsi="宋体"/>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4F215276">
      <w:pPr>
        <w:ind w:firstLine="420" w:firstLineChars="200"/>
        <w:rPr>
          <w:rFonts w:ascii="宋体" w:hAnsi="宋体"/>
          <w:szCs w:val="21"/>
        </w:rPr>
      </w:pPr>
      <w:r>
        <w:rPr>
          <w:rFonts w:hint="eastAsia" w:ascii="宋体" w:hAnsi="宋体"/>
          <w:szCs w:val="21"/>
        </w:rPr>
        <w:t>52.5收文地点</w:t>
      </w:r>
    </w:p>
    <w:p w14:paraId="72FFE863">
      <w:pPr>
        <w:ind w:firstLine="422" w:firstLineChars="200"/>
        <w:rPr>
          <w:rFonts w:ascii="宋体" w:hAnsi="宋体"/>
          <w:b/>
          <w:bCs/>
          <w:szCs w:val="21"/>
        </w:rPr>
      </w:pPr>
      <w:r>
        <w:rPr>
          <w:rFonts w:hint="eastAsia" w:ascii="宋体" w:hAnsi="宋体"/>
          <w:b/>
          <w:bCs/>
          <w:szCs w:val="21"/>
        </w:rPr>
        <w:t>地址：深圳公共资源交易中心（深圳交易集团有限公司政府采购业务分公司）27楼，质疑咨询电话：0755-</w:t>
      </w:r>
      <w:r>
        <w:rPr>
          <w:rFonts w:hint="eastAsia" w:ascii="宋体" w:hAnsi="宋体"/>
          <w:b/>
        </w:rPr>
        <w:t>86500050</w:t>
      </w:r>
      <w:r>
        <w:rPr>
          <w:rFonts w:hint="eastAsia" w:ascii="宋体" w:hAnsi="宋体"/>
          <w:b/>
          <w:bCs/>
          <w:szCs w:val="21"/>
        </w:rPr>
        <w:t>。</w:t>
      </w:r>
    </w:p>
    <w:p w14:paraId="540939DF">
      <w:pPr>
        <w:ind w:firstLine="420" w:firstLineChars="200"/>
        <w:rPr>
          <w:rFonts w:ascii="宋体" w:hAnsi="宋体"/>
          <w:szCs w:val="21"/>
        </w:rPr>
      </w:pPr>
      <w:r>
        <w:rPr>
          <w:rFonts w:hint="eastAsia" w:ascii="宋体" w:hAnsi="宋体"/>
          <w:szCs w:val="21"/>
        </w:rPr>
        <w:t>52.6收文办理程序</w:t>
      </w:r>
    </w:p>
    <w:p w14:paraId="5A1EC2FB">
      <w:pPr>
        <w:ind w:firstLine="420" w:firstLineChars="200"/>
        <w:rPr>
          <w:rFonts w:ascii="宋体" w:hAnsi="宋体"/>
          <w:szCs w:val="21"/>
        </w:rPr>
      </w:pPr>
      <w:r>
        <w:rPr>
          <w:rFonts w:hint="eastAsia" w:ascii="宋体" w:hAnsi="宋体"/>
          <w:szCs w:val="21"/>
        </w:rPr>
        <w:t>52.6.1供应商提交的质疑符合受理条件的，</w:t>
      </w:r>
      <w:r>
        <w:rPr>
          <w:rFonts w:hint="eastAsia" w:ascii="宋体" w:hAnsi="宋体"/>
          <w:szCs w:val="21"/>
          <w:highlight w:val="yellow"/>
          <w:lang w:val="en-US" w:eastAsia="zh-CN"/>
        </w:rPr>
        <w:t>采购代理机构</w:t>
      </w:r>
      <w:r>
        <w:rPr>
          <w:rFonts w:hint="eastAsia" w:ascii="宋体" w:hAnsi="宋体"/>
          <w:szCs w:val="21"/>
        </w:rPr>
        <w:t>自收到质疑材料之日起即为受理，应当向供应商出具质疑函收文回执并可以要求其递交质疑的法定代表人（负责人）或者授权代理人签署质疑文书送达地址确认书。</w:t>
      </w:r>
    </w:p>
    <w:p w14:paraId="361A782D">
      <w:pPr>
        <w:ind w:firstLine="420" w:firstLineChars="200"/>
        <w:rPr>
          <w:rFonts w:ascii="仿宋" w:hAnsi="仿宋" w:eastAsia="仿宋"/>
          <w:szCs w:val="21"/>
        </w:rPr>
      </w:pPr>
      <w:r>
        <w:rPr>
          <w:rFonts w:hint="eastAsia" w:ascii="宋体" w:hAnsi="宋体"/>
          <w:szCs w:val="21"/>
        </w:rPr>
        <w:t>52.6.2供应商提交的质疑材料不符合质疑条件的，视情况处理：</w:t>
      </w:r>
    </w:p>
    <w:p w14:paraId="58AFD594">
      <w:pPr>
        <w:ind w:firstLine="420" w:firstLineChars="200"/>
        <w:rPr>
          <w:rFonts w:ascii="宋体" w:hAnsi="宋体"/>
          <w:szCs w:val="21"/>
        </w:rPr>
      </w:pPr>
      <w:r>
        <w:rPr>
          <w:rFonts w:hint="eastAsia" w:ascii="宋体" w:hAnsi="宋体"/>
          <w:szCs w:val="21"/>
        </w:rPr>
        <w:t>供应商提交的质疑材料不全或者未按要求签字或者盖章的，</w:t>
      </w:r>
      <w:r>
        <w:rPr>
          <w:rFonts w:hint="eastAsia" w:ascii="宋体" w:hAnsi="宋体"/>
          <w:szCs w:val="21"/>
          <w:highlight w:val="yellow"/>
          <w:lang w:val="en-US" w:eastAsia="zh-CN"/>
        </w:rPr>
        <w:t>采购代理机构</w:t>
      </w:r>
      <w:r>
        <w:rPr>
          <w:rFonts w:hint="eastAsia" w:ascii="宋体" w:hAnsi="宋体"/>
          <w:szCs w:val="21"/>
        </w:rPr>
        <w:t>应当一次性告知供应商需补正的内容和补正期限。</w:t>
      </w:r>
    </w:p>
    <w:p w14:paraId="4CB5B20C">
      <w:pPr>
        <w:ind w:firstLine="420" w:firstLineChars="200"/>
        <w:rPr>
          <w:rFonts w:ascii="宋体" w:hAnsi="宋体"/>
          <w:szCs w:val="21"/>
        </w:rPr>
      </w:pPr>
      <w:r>
        <w:rPr>
          <w:rFonts w:hint="eastAsia" w:ascii="宋体" w:hAnsi="宋体"/>
          <w:szCs w:val="21"/>
        </w:rPr>
        <w:t>供应商提交的质疑存在下列情形之一的，不予受理：</w:t>
      </w:r>
    </w:p>
    <w:p w14:paraId="5091AC2C">
      <w:pPr>
        <w:ind w:firstLine="420" w:firstLineChars="200"/>
        <w:rPr>
          <w:rFonts w:ascii="宋体" w:hAnsi="宋体"/>
          <w:szCs w:val="21"/>
        </w:rPr>
      </w:pPr>
      <w:r>
        <w:rPr>
          <w:rFonts w:hint="eastAsia" w:ascii="宋体" w:hAnsi="宋体"/>
          <w:szCs w:val="21"/>
        </w:rPr>
        <w:t>（1）质疑主体不满足要求的；</w:t>
      </w:r>
    </w:p>
    <w:p w14:paraId="081253F1">
      <w:pPr>
        <w:ind w:firstLine="420" w:firstLineChars="200"/>
        <w:rPr>
          <w:rFonts w:ascii="宋体" w:hAnsi="宋体"/>
          <w:szCs w:val="21"/>
        </w:rPr>
      </w:pPr>
      <w:r>
        <w:rPr>
          <w:rFonts w:hint="eastAsia" w:ascii="宋体" w:hAnsi="宋体"/>
          <w:szCs w:val="21"/>
        </w:rPr>
        <w:t>（2）供应商自身权益未受到损害的；</w:t>
      </w:r>
    </w:p>
    <w:p w14:paraId="21C6AFE6">
      <w:pPr>
        <w:ind w:firstLine="420" w:firstLineChars="200"/>
        <w:rPr>
          <w:rFonts w:ascii="宋体" w:hAnsi="宋体"/>
          <w:szCs w:val="21"/>
        </w:rPr>
      </w:pPr>
      <w:r>
        <w:rPr>
          <w:rFonts w:hint="eastAsia" w:ascii="宋体" w:hAnsi="宋体"/>
          <w:szCs w:val="21"/>
        </w:rPr>
        <w:t>（3）供应商未在法定质疑期限内提出质疑的；</w:t>
      </w:r>
    </w:p>
    <w:p w14:paraId="07C5B0A4">
      <w:pPr>
        <w:ind w:firstLine="420" w:firstLineChars="200"/>
        <w:rPr>
          <w:rFonts w:ascii="宋体" w:hAnsi="宋体"/>
          <w:szCs w:val="21"/>
        </w:rPr>
      </w:pPr>
      <w:r>
        <w:rPr>
          <w:rFonts w:hint="eastAsia" w:ascii="宋体" w:hAnsi="宋体"/>
          <w:szCs w:val="21"/>
        </w:rPr>
        <w:t>（4）质疑材料不全或者未按要求签字或者盖章的情况下，要求补正后，逾期未补正或者补正后仍不符合规定的；</w:t>
      </w:r>
    </w:p>
    <w:p w14:paraId="2BDE227A">
      <w:pPr>
        <w:ind w:firstLine="420" w:firstLineChars="200"/>
        <w:rPr>
          <w:rFonts w:ascii="宋体" w:hAnsi="宋体"/>
          <w:szCs w:val="21"/>
        </w:rPr>
      </w:pPr>
      <w:r>
        <w:rPr>
          <w:rFonts w:hint="eastAsia" w:ascii="宋体" w:hAnsi="宋体"/>
          <w:szCs w:val="21"/>
        </w:rPr>
        <w:t>（5）其他不符合受理条件情形的。</w:t>
      </w:r>
    </w:p>
    <w:p w14:paraId="588611BD">
      <w:pPr>
        <w:ind w:firstLine="420" w:firstLineChars="200"/>
        <w:rPr>
          <w:rFonts w:ascii="宋体" w:hAnsi="宋体"/>
          <w:szCs w:val="21"/>
        </w:rPr>
      </w:pPr>
      <w:r>
        <w:rPr>
          <w:rFonts w:hint="eastAsia" w:ascii="宋体" w:hAnsi="宋体"/>
          <w:szCs w:val="21"/>
        </w:rPr>
        <w:t>质疑事项不予受理的，</w:t>
      </w:r>
      <w:r>
        <w:rPr>
          <w:rFonts w:hint="eastAsia" w:ascii="宋体" w:hAnsi="宋体"/>
          <w:szCs w:val="21"/>
          <w:highlight w:val="yellow"/>
          <w:lang w:val="en-US" w:eastAsia="zh-CN"/>
        </w:rPr>
        <w:t>采购代理机构</w:t>
      </w:r>
      <w:r>
        <w:rPr>
          <w:rFonts w:hint="eastAsia" w:ascii="宋体" w:hAnsi="宋体"/>
          <w:szCs w:val="21"/>
        </w:rPr>
        <w:t>应当向供应商出具不符合质疑条件告知书。</w:t>
      </w:r>
    </w:p>
    <w:p w14:paraId="69C74249">
      <w:pPr>
        <w:ind w:firstLine="420" w:firstLineChars="200"/>
        <w:rPr>
          <w:rFonts w:ascii="宋体" w:hAnsi="宋体"/>
          <w:szCs w:val="21"/>
        </w:rPr>
      </w:pPr>
      <w:r>
        <w:rPr>
          <w:rFonts w:hint="eastAsia" w:ascii="宋体" w:hAnsi="宋体"/>
          <w:szCs w:val="21"/>
        </w:rPr>
        <w:t>52.7质疑答复时限</w:t>
      </w:r>
    </w:p>
    <w:p w14:paraId="3473C09C">
      <w:pPr>
        <w:ind w:firstLine="420" w:firstLineChars="200"/>
        <w:rPr>
          <w:rFonts w:ascii="宋体" w:hAnsi="宋体"/>
          <w:szCs w:val="21"/>
        </w:rPr>
      </w:pPr>
      <w:r>
        <w:rPr>
          <w:rFonts w:hint="eastAsia" w:ascii="宋体" w:hAnsi="宋体"/>
          <w:szCs w:val="21"/>
        </w:rPr>
        <w:t>自收文之日起七个工作日内。</w:t>
      </w:r>
    </w:p>
    <w:p w14:paraId="16B2BE9B">
      <w:pPr>
        <w:ind w:firstLine="420" w:firstLineChars="200"/>
        <w:rPr>
          <w:rFonts w:ascii="宋体" w:hAnsi="宋体"/>
          <w:szCs w:val="21"/>
        </w:rPr>
      </w:pPr>
      <w:r>
        <w:rPr>
          <w:rFonts w:hint="eastAsia" w:ascii="宋体" w:hAnsi="宋体"/>
          <w:szCs w:val="21"/>
        </w:rPr>
        <w:t>52.8投诉</w:t>
      </w:r>
    </w:p>
    <w:p w14:paraId="5AA52A10">
      <w:pPr>
        <w:ind w:firstLine="420" w:firstLineChars="200"/>
        <w:rPr>
          <w:rFonts w:ascii="宋体" w:hAnsi="宋体"/>
          <w:szCs w:val="21"/>
        </w:rPr>
      </w:pPr>
      <w:r>
        <w:rPr>
          <w:rFonts w:hint="eastAsia" w:ascii="宋体" w:hAnsi="宋体"/>
          <w:szCs w:val="21"/>
        </w:rPr>
        <w:t>对质疑答复不满意或者未在规定时间内答复的，提出质疑的供应商可以在答复期满后15个工作日内向</w:t>
      </w:r>
      <w:r>
        <w:rPr>
          <w:rFonts w:hint="eastAsia" w:ascii="宋体" w:hAnsi="宋体"/>
          <w:szCs w:val="21"/>
          <w:lang w:eastAsia="zh-CN"/>
        </w:rPr>
        <w:t>“一、对通用条款的补充内容”</w:t>
      </w:r>
      <w:r>
        <w:rPr>
          <w:rFonts w:hint="eastAsia" w:ascii="宋体" w:hAnsi="宋体"/>
          <w:szCs w:val="21"/>
          <w:lang w:val="en-US" w:eastAsia="zh-CN"/>
        </w:rPr>
        <w:t>中确认的投诉主体</w:t>
      </w:r>
      <w:r>
        <w:rPr>
          <w:rFonts w:hint="eastAsia" w:ascii="宋体" w:hAnsi="宋体"/>
          <w:szCs w:val="21"/>
        </w:rPr>
        <w:t>投诉。</w:t>
      </w:r>
    </w:p>
    <w:p w14:paraId="0056AECC">
      <w:pPr>
        <w:ind w:firstLine="420" w:firstLineChars="200"/>
        <w:rPr>
          <w:rFonts w:ascii="黑体" w:hAnsi="宋体" w:eastAsia="黑体"/>
          <w:szCs w:val="21"/>
        </w:rPr>
      </w:pPr>
      <w:r>
        <w:rPr>
          <w:rFonts w:hint="eastAsia" w:ascii="黑体" w:hAnsi="宋体" w:eastAsia="黑体"/>
          <w:szCs w:val="21"/>
        </w:rPr>
        <w:t>53.质疑后续处理</w:t>
      </w:r>
    </w:p>
    <w:p w14:paraId="7DC0B9BD">
      <w:pPr>
        <w:ind w:firstLine="420" w:firstLineChars="200"/>
        <w:rPr>
          <w:rFonts w:ascii="宋体" w:hAnsi="宋体"/>
          <w:szCs w:val="21"/>
        </w:rPr>
      </w:pPr>
      <w:r>
        <w:rPr>
          <w:rFonts w:hint="eastAsia" w:ascii="宋体" w:hAnsi="宋体"/>
          <w:szCs w:val="21"/>
        </w:rPr>
        <w:t>53.1供应商质疑不成立，或者成立但未对中标、成交结果构成影响的，继续开展采购活动。</w:t>
      </w:r>
    </w:p>
    <w:p w14:paraId="5401F83E">
      <w:pPr>
        <w:ind w:firstLine="420" w:firstLineChars="200"/>
        <w:jc w:val="left"/>
        <w:rPr>
          <w:rFonts w:ascii="宋体" w:hAnsi="宋体"/>
          <w:szCs w:val="21"/>
        </w:rPr>
      </w:pPr>
      <w:r>
        <w:rPr>
          <w:rFonts w:hint="eastAsia" w:ascii="宋体" w:hAnsi="宋体"/>
          <w:szCs w:val="21"/>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合格供应商符合法定数量时，可以从合格的中标或者成交候选人中另行确定中标、成交供应商的，应当依法另行确定中标、成交供应商；否则应当重新开展采购活动。</w:t>
      </w:r>
    </w:p>
    <w:p w14:paraId="320B8E16">
      <w:pPr>
        <w:ind w:firstLine="420" w:firstLineChars="200"/>
        <w:jc w:val="left"/>
        <w:rPr>
          <w:szCs w:val="21"/>
        </w:rPr>
      </w:pPr>
      <w:r>
        <w:rPr>
          <w:rFonts w:hint="eastAsia" w:ascii="宋体" w:hAnsi="宋体"/>
          <w:szCs w:val="21"/>
        </w:rPr>
        <w:t>53.3被质疑供应商应配合提供质疑答辩意见,并提供相关证据材料,逾期不作书面答辩的,视同放弃答辩权利,依法承担由此可能产生的不利法律后果。</w:t>
      </w:r>
    </w:p>
    <w:p w14:paraId="6AE83088">
      <w:pPr>
        <w:jc w:val="center"/>
      </w:pPr>
      <w:r>
        <w:t>---- END ----</w:t>
      </w:r>
      <w:bookmarkEnd w:id="52"/>
    </w:p>
    <w:p w14:paraId="36623BA1">
      <w:pPr>
        <w:pStyle w:val="17"/>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ˎ̥">
    <w:altName w:val="华文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BBF41D"/>
    <w:multiLevelType w:val="multilevel"/>
    <w:tmpl w:val="A7BBF41D"/>
    <w:lvl w:ilvl="0" w:tentative="0">
      <w:start w:val="2"/>
      <w:numFmt w:val="decimal"/>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C91CCA98"/>
    <w:multiLevelType w:val="singleLevel"/>
    <w:tmpl w:val="C91CCA98"/>
    <w:lvl w:ilvl="0" w:tentative="0">
      <w:start w:val="2"/>
      <w:numFmt w:val="chineseCounting"/>
      <w:suff w:val="nothing"/>
      <w:lvlText w:val="%1、"/>
      <w:lvlJc w:val="left"/>
      <w:rPr>
        <w:rFonts w:hint="eastAsia"/>
      </w:rPr>
    </w:lvl>
  </w:abstractNum>
  <w:abstractNum w:abstractNumId="2">
    <w:nsid w:val="FAB7AF32"/>
    <w:multiLevelType w:val="singleLevel"/>
    <w:tmpl w:val="FAB7AF32"/>
    <w:lvl w:ilvl="0" w:tentative="0">
      <w:start w:val="1"/>
      <w:numFmt w:val="upperLetter"/>
      <w:suff w:val="nothing"/>
      <w:lvlText w:val="%1、"/>
      <w:lvlJc w:val="left"/>
    </w:lvl>
  </w:abstractNum>
  <w:abstractNum w:abstractNumId="3">
    <w:nsid w:val="0000000B"/>
    <w:multiLevelType w:val="multilevel"/>
    <w:tmpl w:val="0000000B"/>
    <w:lvl w:ilvl="0" w:tentative="0">
      <w:start w:val="1"/>
      <w:numFmt w:val="japaneseCounting"/>
      <w:lvlText w:val="第%1章"/>
      <w:lvlJc w:val="left"/>
      <w:pPr>
        <w:ind w:left="1080" w:hanging="108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74CC20D"/>
    <w:multiLevelType w:val="singleLevel"/>
    <w:tmpl w:val="674CC20D"/>
    <w:lvl w:ilvl="0" w:tentative="0">
      <w:start w:val="2"/>
      <w:numFmt w:val="decimal"/>
      <w:suff w:val="nothing"/>
      <w:lvlText w:val="（%1）"/>
      <w:lvlJc w:val="left"/>
    </w:lvl>
  </w:abstractNum>
  <w:abstractNum w:abstractNumId="5">
    <w:nsid w:val="7F540BA1"/>
    <w:multiLevelType w:val="multilevel"/>
    <w:tmpl w:val="7F540BA1"/>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2"/>
  </w:num>
  <w:num w:numId="2">
    <w:abstractNumId w:val="1"/>
  </w:num>
  <w:num w:numId="3">
    <w:abstractNumId w:val="4"/>
  </w:num>
  <w:num w:numId="4">
    <w:abstractNumId w:val="5"/>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5NzA3ZmU2NDYxYTI2MmEwMzA1OWVlY2NkNTY2N2YifQ=="/>
    <w:docVar w:name="KSO_WPS_MARK_KEY" w:val="5b238839-448d-43d6-b6fb-6af74ddf5167"/>
  </w:docVars>
  <w:rsids>
    <w:rsidRoot w:val="FAFF327C"/>
    <w:rsid w:val="0201320E"/>
    <w:rsid w:val="07950B26"/>
    <w:rsid w:val="07E5377E"/>
    <w:rsid w:val="08515333"/>
    <w:rsid w:val="08DA549C"/>
    <w:rsid w:val="11263133"/>
    <w:rsid w:val="19645380"/>
    <w:rsid w:val="19F01C0E"/>
    <w:rsid w:val="1CED1EBC"/>
    <w:rsid w:val="331A7FAD"/>
    <w:rsid w:val="34DA622C"/>
    <w:rsid w:val="3F532820"/>
    <w:rsid w:val="475A75D4"/>
    <w:rsid w:val="4F3E1F5E"/>
    <w:rsid w:val="523E65C9"/>
    <w:rsid w:val="5FFF8B3D"/>
    <w:rsid w:val="609432BF"/>
    <w:rsid w:val="6A231B06"/>
    <w:rsid w:val="6CD11771"/>
    <w:rsid w:val="6E96BE92"/>
    <w:rsid w:val="6EFE8EAC"/>
    <w:rsid w:val="796926C2"/>
    <w:rsid w:val="79AB70D8"/>
    <w:rsid w:val="7D8A7E7B"/>
    <w:rsid w:val="AFF35BD6"/>
    <w:rsid w:val="B0EF77BE"/>
    <w:rsid w:val="B77726D6"/>
    <w:rsid w:val="BCEFB312"/>
    <w:rsid w:val="DCFF554E"/>
    <w:rsid w:val="DFDF3BCA"/>
    <w:rsid w:val="DFE726A1"/>
    <w:rsid w:val="EFBE0C12"/>
    <w:rsid w:val="EFED0F25"/>
    <w:rsid w:val="F5DF6E90"/>
    <w:rsid w:val="F68F29A8"/>
    <w:rsid w:val="FAFF327C"/>
    <w:rsid w:val="FD6FE3EE"/>
    <w:rsid w:val="FF939D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5"/>
    <w:next w:val="1"/>
    <w:qFormat/>
    <w:uiPriority w:val="0"/>
    <w:pPr>
      <w:spacing w:before="340" w:after="330" w:line="360" w:lineRule="auto"/>
      <w:jc w:val="center"/>
      <w:outlineLvl w:val="0"/>
    </w:pPr>
    <w:rPr>
      <w:rFonts w:eastAsia="黑体"/>
      <w:kern w:val="44"/>
      <w:szCs w:val="44"/>
    </w:rPr>
  </w:style>
  <w:style w:type="paragraph" w:styleId="7">
    <w:name w:val="heading 2"/>
    <w:basedOn w:val="5"/>
    <w:next w:val="6"/>
    <w:qFormat/>
    <w:uiPriority w:val="0"/>
    <w:pPr>
      <w:adjustRightInd w:val="0"/>
      <w:jc w:val="center"/>
      <w:textAlignment w:val="baseline"/>
      <w:outlineLvl w:val="1"/>
    </w:pPr>
    <w:rPr>
      <w:kern w:val="0"/>
      <w:sz w:val="24"/>
      <w:szCs w:val="20"/>
    </w:rPr>
  </w:style>
  <w:style w:type="paragraph" w:styleId="5">
    <w:name w:val="heading 3"/>
    <w:basedOn w:val="6"/>
    <w:next w:val="1"/>
    <w:qFormat/>
    <w:uiPriority w:val="9"/>
    <w:pPr>
      <w:spacing w:before="260" w:after="260" w:line="240" w:lineRule="auto"/>
      <w:outlineLvl w:val="2"/>
    </w:pPr>
    <w:rPr>
      <w:rFonts w:ascii="宋体" w:hAnsi="宋体" w:eastAsia="宋体"/>
      <w:szCs w:val="32"/>
    </w:rPr>
  </w:style>
  <w:style w:type="paragraph" w:styleId="6">
    <w:name w:val="heading 4"/>
    <w:basedOn w:val="1"/>
    <w:next w:val="1"/>
    <w:qFormat/>
    <w:uiPriority w:val="9"/>
    <w:pPr>
      <w:keepNext/>
      <w:keepLines/>
      <w:spacing w:before="280" w:after="290" w:line="376" w:lineRule="auto"/>
      <w:outlineLvl w:val="3"/>
    </w:pPr>
    <w:rPr>
      <w:rFonts w:ascii="Arial" w:hAnsi="Arial" w:eastAsia="黑体"/>
      <w:b/>
      <w:bCs/>
      <w:sz w:val="28"/>
      <w:szCs w:val="28"/>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line="360" w:lineRule="auto"/>
    </w:pPr>
    <w:rPr>
      <w:b/>
      <w:bCs/>
      <w:sz w:val="24"/>
    </w:rPr>
  </w:style>
  <w:style w:type="paragraph" w:styleId="3">
    <w:name w:val="Body Text 2"/>
    <w:basedOn w:val="1"/>
    <w:qFormat/>
    <w:uiPriority w:val="0"/>
    <w:pPr>
      <w:spacing w:line="360" w:lineRule="auto"/>
    </w:pPr>
    <w:rPr>
      <w:sz w:val="24"/>
    </w:rPr>
  </w:style>
  <w:style w:type="paragraph" w:styleId="8">
    <w:name w:val="Normal Indent"/>
    <w:basedOn w:val="1"/>
    <w:qFormat/>
    <w:uiPriority w:val="0"/>
    <w:pPr>
      <w:ind w:firstLine="420"/>
    </w:pPr>
    <w:rPr>
      <w:szCs w:val="20"/>
    </w:rPr>
  </w:style>
  <w:style w:type="paragraph" w:styleId="9">
    <w:name w:val="annotation text"/>
    <w:basedOn w:val="1"/>
    <w:qFormat/>
    <w:uiPriority w:val="99"/>
    <w:pPr>
      <w:autoSpaceDE w:val="0"/>
      <w:autoSpaceDN w:val="0"/>
      <w:adjustRightInd w:val="0"/>
      <w:jc w:val="left"/>
      <w:textAlignment w:val="baseline"/>
    </w:pPr>
    <w:rPr>
      <w:rFonts w:ascii="宋体"/>
      <w:kern w:val="0"/>
      <w:sz w:val="34"/>
      <w:szCs w:val="20"/>
    </w:rPr>
  </w:style>
  <w:style w:type="paragraph" w:styleId="10">
    <w:name w:val="Body Text Indent"/>
    <w:basedOn w:val="1"/>
    <w:next w:val="11"/>
    <w:qFormat/>
    <w:uiPriority w:val="0"/>
    <w:pPr>
      <w:ind w:left="420"/>
    </w:pPr>
  </w:style>
  <w:style w:type="paragraph" w:styleId="11">
    <w:name w:val="Body Text First Indent 2"/>
    <w:basedOn w:val="10"/>
    <w:next w:val="1"/>
    <w:unhideWhenUsed/>
    <w:qFormat/>
    <w:uiPriority w:val="99"/>
    <w:pPr>
      <w:spacing w:after="120"/>
      <w:ind w:left="200" w:leftChars="200"/>
    </w:pPr>
  </w:style>
  <w:style w:type="paragraph" w:styleId="12">
    <w:name w:val="Normal (Web)"/>
    <w:basedOn w:val="1"/>
    <w:qFormat/>
    <w:uiPriority w:val="99"/>
    <w:rPr>
      <w:sz w:val="24"/>
    </w:rPr>
  </w:style>
  <w:style w:type="table" w:styleId="14">
    <w:name w:val="Table Grid"/>
    <w:basedOn w:val="13"/>
    <w:qFormat/>
    <w:uiPriority w:val="39"/>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6">
    <w:name w:val="annotation reference"/>
    <w:basedOn w:val="15"/>
    <w:qFormat/>
    <w:uiPriority w:val="99"/>
    <w:rPr>
      <w:sz w:val="21"/>
      <w:szCs w:val="21"/>
    </w:rPr>
  </w:style>
  <w:style w:type="paragraph" w:customStyle="1" w:styleId="17">
    <w:name w:val="引文目录标题1"/>
    <w:basedOn w:val="1"/>
    <w:next w:val="1"/>
    <w:qFormat/>
    <w:uiPriority w:val="99"/>
    <w:pPr>
      <w:spacing w:before="120"/>
    </w:pPr>
    <w:rPr>
      <w:rFonts w:ascii="Arial" w:hAnsi="Arial" w:eastAsia="仿宋_GB2312" w:cs="Arial"/>
      <w:sz w:val="24"/>
      <w:szCs w:val="22"/>
    </w:rPr>
  </w:style>
  <w:style w:type="paragraph" w:styleId="18">
    <w:name w:val="List Paragraph"/>
    <w:basedOn w:val="1"/>
    <w:qFormat/>
    <w:uiPriority w:val="34"/>
    <w:pPr>
      <w:ind w:firstLine="420" w:firstLineChars="200"/>
    </w:pPr>
    <w:rPr>
      <w:rFonts w:ascii="Calibri" w:hAnsi="Calibri"/>
      <w:szCs w:val="22"/>
    </w:rPr>
  </w:style>
  <w:style w:type="character" w:customStyle="1" w:styleId="19">
    <w:name w:val="标题 3 Char"/>
    <w:qFormat/>
    <w:uiPriority w:val="0"/>
    <w:rPr>
      <w:rFonts w:ascii="黑体" w:eastAsia="黑体"/>
      <w:bCs/>
      <w:sz w:val="30"/>
    </w:rPr>
  </w:style>
  <w:style w:type="paragraph" w:customStyle="1" w:styleId="20">
    <w:name w:val="msonospacing"/>
    <w:basedOn w:val="1"/>
    <w:qFormat/>
    <w:uiPriority w:val="0"/>
    <w:rPr>
      <w:rFonts w:ascii="Calibri" w:hAnsi="Calibri"/>
      <w:szCs w:val="22"/>
    </w:rPr>
  </w:style>
  <w:style w:type="table" w:customStyle="1" w:styleId="21">
    <w:name w:val="网格型1"/>
    <w:basedOn w:val="13"/>
    <w:qFormat/>
    <w:uiPriority w:val="0"/>
    <w:pPr>
      <w:widowControl w:val="0"/>
      <w:jc w:val="both"/>
    </w:pPr>
    <w:rPr>
      <w:rFonts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55</Pages>
  <Words>41581</Words>
  <Characters>43469</Characters>
  <Lines>0</Lines>
  <Paragraphs>0</Paragraphs>
  <TotalTime>26</TotalTime>
  <ScaleCrop>false</ScaleCrop>
  <LinksUpToDate>false</LinksUpToDate>
  <CharactersWithSpaces>47759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2025-05-03T15:34:00Z</dcterms:created>
  <dc:creator>kylin</dc:creator>
  <cp:lastModifiedBy>陈shunjie</cp:lastModifiedBy>
  <dcterms:modified xsi:type="dcterms:W3CDTF">2025-05-19T09:33:06Z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D69F737AB5584E59B00B2C4A5D00B549</vt:lpwstr>
  </property>
</Properties>
</file>