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39"/>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rPr>
          <w:rFonts w:hint="eastAsia" w:ascii="黑体" w:hAnsi="宋体" w:eastAsia="黑体" w:cs="黑体"/>
          <w:kern w:val="0"/>
          <w:sz w:val="40"/>
          <w:szCs w:val="40"/>
        </w:rPr>
      </w:pPr>
    </w:p>
    <w:p>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20"/>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widowControl/>
              <w:jc w:val="left"/>
              <w:rPr>
                <w:sz w:val="30"/>
                <w:szCs w:val="30"/>
              </w:rPr>
            </w:pPr>
            <w:r>
              <w:rPr>
                <w:sz w:val="30"/>
                <w:szCs w:val="30"/>
              </w:rPr>
              <w:t>BAZXCG-2025-00331</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widowControl/>
              <w:jc w:val="left"/>
              <w:rPr>
                <w:sz w:val="30"/>
                <w:szCs w:val="30"/>
              </w:rPr>
            </w:pPr>
            <w:bookmarkStart w:id="100" w:name="_GoBack"/>
            <w:bookmarkEnd w:id="100"/>
            <w:r>
              <w:rPr>
                <w:rFonts w:hint="eastAsia"/>
                <w:sz w:val="30"/>
                <w:szCs w:val="30"/>
                <w:lang w:val="en-US" w:eastAsia="zh-CN"/>
              </w:rPr>
              <w:t>宝安教育城域网2025年度信息系统安全等级保护测评服务</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tbl>
    <w:p>
      <w:pPr>
        <w:pStyle w:val="16"/>
        <w:jc w:val="center"/>
        <w:outlineLvl w:val="9"/>
        <w:rPr>
          <w:rFonts w:hint="eastAsia" w:ascii="黑体" w:hAnsi="黑体" w:eastAsia="黑体"/>
          <w:sz w:val="40"/>
          <w:szCs w:val="40"/>
        </w:rPr>
      </w:pPr>
    </w:p>
    <w:p>
      <w:pPr>
        <w:pStyle w:val="16"/>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pPr>
        <w:pStyle w:val="16"/>
        <w:jc w:val="center"/>
        <w:outlineLvl w:val="1"/>
        <w:rPr>
          <w:rFonts w:ascii="黑体" w:hAnsi="黑体" w:eastAsia="黑体"/>
          <w:sz w:val="40"/>
          <w:szCs w:val="40"/>
        </w:rPr>
      </w:pPr>
      <w:r>
        <w:rPr>
          <w:rFonts w:hint="eastAsia" w:ascii="黑体" w:hAnsi="黑体" w:eastAsia="黑体"/>
          <w:sz w:val="40"/>
          <w:szCs w:val="40"/>
        </w:rPr>
        <w:t>资格性审查表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法律、法规、规章、规范性文件规定的其他情形。</w:t>
            </w:r>
          </w:p>
        </w:tc>
      </w:tr>
    </w:tbl>
    <w:p>
      <w:pPr>
        <w:pStyle w:val="16"/>
        <w:jc w:val="center"/>
        <w:outlineLvl w:val="9"/>
        <w:rPr>
          <w:rFonts w:hint="eastAsia" w:ascii="黑体" w:hAnsi="黑体" w:eastAsia="黑体"/>
          <w:sz w:val="40"/>
          <w:szCs w:val="40"/>
        </w:rPr>
      </w:pPr>
    </w:p>
    <w:p>
      <w:pPr>
        <w:pStyle w:val="16"/>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pPr>
        <w:pStyle w:val="16"/>
        <w:jc w:val="center"/>
        <w:outlineLvl w:val="1"/>
        <w:rPr>
          <w:rFonts w:ascii="黑体" w:hAnsi="黑体" w:eastAsia="黑体"/>
          <w:sz w:val="40"/>
          <w:szCs w:val="40"/>
        </w:rPr>
      </w:pPr>
      <w:r>
        <w:rPr>
          <w:rFonts w:hint="eastAsia" w:ascii="黑体" w:hAnsi="黑体" w:eastAsia="黑体"/>
          <w:sz w:val="40"/>
          <w:szCs w:val="40"/>
        </w:rPr>
        <w:t>评标信息</w:t>
      </w:r>
    </w:p>
    <w:tbl>
      <w:tblPr>
        <w:tblStyle w:val="20"/>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pPr>
              <w:jc w:val="righ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pPr>
              <w:pStyle w:val="8"/>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pPr>
        <w:rPr>
          <w:vanish/>
        </w:rPr>
      </w:pPr>
    </w:p>
    <w:tbl>
      <w:tblPr>
        <w:tblStyle w:val="20"/>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2835"/>
        <w:gridCol w:w="681"/>
        <w:gridCol w:w="41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评分项</w:t>
            </w:r>
          </w:p>
        </w:tc>
        <w:tc>
          <w:tcPr>
            <w:tcW w:w="4196"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1</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价格</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rFonts w:hint="eastAsia"/>
                <w:b/>
                <w:bCs/>
                <w:color w:val="0000FF"/>
              </w:rPr>
              <w:t>1</w:t>
            </w:r>
            <w:r>
              <w:rPr>
                <w:b/>
                <w:bCs/>
                <w:color w:val="0000FF"/>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2</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技术</w:t>
            </w:r>
            <w:r>
              <w:rPr>
                <w:rFonts w:hint="eastAsia"/>
                <w:b/>
                <w:bCs/>
                <w:color w:val="0000FF"/>
              </w:rPr>
              <w:t>部分</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1"/>
                <w:szCs w:val="21"/>
                <w:lang w:val="en-US" w:eastAsia="zh-CN"/>
              </w:rPr>
            </w:pPr>
            <w:r>
              <w:rPr>
                <w:rFonts w:hint="eastAsia" w:ascii="宋体" w:hAnsi="宋体" w:cs="宋体"/>
                <w:b/>
                <w:bCs/>
                <w:color w:val="0000FF"/>
                <w:sz w:val="21"/>
                <w:szCs w:val="21"/>
                <w:lang w:val="en-US" w:eastAsia="zh-CN"/>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napToGrid w:val="0"/>
              <w:spacing w:line="320" w:lineRule="exact"/>
              <w:jc w:val="center"/>
              <w:rPr>
                <w:rFonts w:hint="eastAsia" w:ascii="宋体" w:hAnsi="宋体" w:eastAsia="宋体" w:cs="宋体"/>
                <w:szCs w:val="21"/>
                <w:lang w:val="en-US" w:eastAsia="zh-CN"/>
              </w:rPr>
            </w:pPr>
            <w:r>
              <w:rPr>
                <w:rFonts w:hint="eastAsia" w:ascii="宋体" w:hAnsi="宋体"/>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sz w:val="21"/>
                <w:szCs w:val="21"/>
                <w:highlight w:val="none"/>
                <w:lang w:val="en-US" w:eastAsia="zh-CN"/>
              </w:rPr>
              <w:t>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宋体" w:asciiTheme="minorEastAsia" w:hAnsiTheme="minorEastAsia"/>
                <w:kern w:val="2"/>
                <w:sz w:val="21"/>
                <w:szCs w:val="21"/>
                <w:lang w:val="en-US" w:eastAsia="zh-CN" w:bidi="ar-SA"/>
              </w:rPr>
            </w:pPr>
            <w:r>
              <w:rPr>
                <w:rFonts w:hint="eastAsia" w:ascii="宋体" w:hAnsi="宋体"/>
                <w:szCs w:val="21"/>
                <w:highlight w:val="none"/>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（一）评</w:t>
            </w:r>
            <w:r>
              <w:rPr>
                <w:rFonts w:hint="eastAsia" w:ascii="宋体" w:hAnsi="宋体" w:eastAsia="宋体" w:cs="宋体"/>
                <w:sz w:val="21"/>
                <w:szCs w:val="21"/>
                <w:highlight w:val="none"/>
                <w:lang w:val="en-US" w:eastAsia="zh-CN"/>
              </w:rPr>
              <w:t>审</w:t>
            </w:r>
            <w:r>
              <w:rPr>
                <w:rFonts w:hint="eastAsia" w:ascii="宋体" w:hAnsi="宋体" w:eastAsia="宋体" w:cs="宋体"/>
                <w:sz w:val="21"/>
                <w:szCs w:val="21"/>
                <w:highlight w:val="none"/>
              </w:rPr>
              <w:t>内容：</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投标人须针对本项目需求提供服务方案，包括下述内容：</w:t>
            </w:r>
          </w:p>
          <w:p>
            <w:pPr>
              <w:widowControl/>
              <w:numPr>
                <w:ilvl w:val="0"/>
                <w:numId w:val="1"/>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测评内容；</w:t>
            </w:r>
          </w:p>
          <w:p>
            <w:pPr>
              <w:widowControl/>
              <w:numPr>
                <w:ilvl w:val="0"/>
                <w:numId w:val="1"/>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测评流程；</w:t>
            </w:r>
          </w:p>
          <w:p>
            <w:pPr>
              <w:widowControl/>
              <w:numPr>
                <w:ilvl w:val="0"/>
                <w:numId w:val="1"/>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测评方法；</w:t>
            </w:r>
          </w:p>
          <w:p>
            <w:pPr>
              <w:widowControl/>
              <w:numPr>
                <w:ilvl w:val="0"/>
                <w:numId w:val="1"/>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测评工具；</w:t>
            </w:r>
          </w:p>
          <w:p>
            <w:pPr>
              <w:widowControl/>
              <w:numPr>
                <w:ilvl w:val="0"/>
                <w:numId w:val="1"/>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测评进度安排；</w:t>
            </w:r>
          </w:p>
          <w:p>
            <w:pPr>
              <w:widowControl/>
              <w:numPr>
                <w:ilvl w:val="0"/>
                <w:numId w:val="1"/>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项目成果交付物；</w:t>
            </w:r>
          </w:p>
          <w:p>
            <w:pPr>
              <w:widowControl/>
              <w:numPr>
                <w:ilvl w:val="0"/>
                <w:numId w:val="1"/>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保密措施；</w:t>
            </w:r>
          </w:p>
          <w:p>
            <w:pPr>
              <w:widowControl/>
              <w:numPr>
                <w:ilvl w:val="0"/>
                <w:numId w:val="0"/>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8.项目管理措施。</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（二）评分依据：</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1、方案内容每包含上述任意1项得5分，最高得40分。</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2、在此基础上，由评审委员会根据方案的具体响应内容进一步评审，满足以下三项要求的评价为优，得60分；满足以下任意二项要求的评价为良，得30分； 满足以下任意一项要求的评价为中，得10分；其他情况的评价为差，不得分：</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①实施方案覆盖本次服务内容，方案全面具体的；</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②保密措施提及人员保密、设备保密和文档保密，保密措施合理，可操作性强的；</w:t>
            </w:r>
          </w:p>
          <w:p>
            <w:pPr>
              <w:widowControl/>
              <w:rPr>
                <w:rFonts w:eastAsia="宋体" w:cs="宋体" w:asciiTheme="minorEastAsia" w:hAnsiTheme="minorEastAsia"/>
                <w:kern w:val="2"/>
                <w:sz w:val="21"/>
                <w:szCs w:val="21"/>
                <w:lang w:val="en-US" w:eastAsia="zh-CN" w:bidi="ar-SA"/>
              </w:rPr>
            </w:pPr>
            <w:r>
              <w:rPr>
                <w:rFonts w:hint="eastAsia" w:ascii="宋体" w:hAnsi="宋体" w:eastAsia="宋体" w:cs="宋体"/>
                <w:sz w:val="21"/>
                <w:szCs w:val="21"/>
                <w:highlight w:val="none"/>
                <w:lang w:val="en-US" w:eastAsia="zh-CN"/>
              </w:rPr>
              <w:t>③项目管理措施提及范围管理、进度管理、沟通管理、质量管理、文档管理和保密管理，管理措施针对性强的。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napToGrid w:val="0"/>
              <w:spacing w:line="320" w:lineRule="exact"/>
              <w:jc w:val="center"/>
              <w:rPr>
                <w:rFonts w:hint="eastAsia" w:ascii="宋体" w:hAnsi="宋体" w:eastAsia="宋体" w:cs="宋体"/>
                <w:szCs w:val="21"/>
                <w:lang w:val="en-US" w:eastAsia="zh-CN"/>
              </w:rPr>
            </w:pPr>
            <w:r>
              <w:rPr>
                <w:rFonts w:hint="eastAsia" w:ascii="宋体" w:hAnsi="宋体"/>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Times New Roman" w:asciiTheme="minorEastAsia" w:hAnsiTheme="minorEastAsia"/>
                <w:b/>
                <w:kern w:val="2"/>
                <w:sz w:val="21"/>
                <w:szCs w:val="21"/>
                <w:lang w:val="en-US" w:eastAsia="zh-CN" w:bidi="ar-SA"/>
              </w:rPr>
            </w:pPr>
            <w:r>
              <w:rPr>
                <w:rFonts w:hint="eastAsia" w:ascii="宋体" w:hAnsi="宋体" w:eastAsia="宋体" w:cs="宋体"/>
                <w:sz w:val="21"/>
                <w:szCs w:val="21"/>
                <w:highlight w:val="none"/>
              </w:rPr>
              <w:t>项目重点难点分析、应对措施及相关的合理化建议</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Times New Roman" w:asciiTheme="minorEastAsia" w:hAnsiTheme="minorEastAsia"/>
                <w:kern w:val="2"/>
                <w:sz w:val="21"/>
                <w:szCs w:val="21"/>
                <w:lang w:val="en-US" w:eastAsia="zh-CN" w:bidi="ar-SA"/>
              </w:rPr>
            </w:pPr>
            <w:r>
              <w:rPr>
                <w:rFonts w:hint="eastAsia" w:ascii="宋体" w:hAnsi="宋体"/>
                <w:szCs w:val="21"/>
                <w:highlight w:val="none"/>
                <w:lang w:val="en-US" w:eastAsia="zh-CN"/>
              </w:rPr>
              <w:t>5</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评审内容：</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针对本项目在推进过程中的重点难点进行总结分析，并提出有效的应对措施及相关合理化建议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包含以下内容：</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1.项目重点分析；</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2.项目难点分析；</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3.应对措施与解决方法；</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4.合理化建议。</w:t>
            </w:r>
          </w:p>
          <w:p>
            <w:pPr>
              <w:widowControl/>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（二）评分依据：</w:t>
            </w:r>
          </w:p>
          <w:p>
            <w:pPr>
              <w:spacing w:line="320" w:lineRule="exact"/>
              <w:rPr>
                <w:rFonts w:hint="eastAsia" w:ascii="宋体" w:hAnsi="宋体"/>
                <w:bCs/>
                <w:szCs w:val="21"/>
                <w:highlight w:val="none"/>
              </w:rPr>
            </w:pPr>
            <w:r>
              <w:rPr>
                <w:rFonts w:hint="eastAsia" w:ascii="宋体" w:hAnsi="宋体"/>
                <w:bCs/>
                <w:szCs w:val="21"/>
                <w:highlight w:val="none"/>
              </w:rPr>
              <w:t>投标人响应的内容包含上述内容每提供一项得</w:t>
            </w:r>
            <w:r>
              <w:rPr>
                <w:rFonts w:hint="eastAsia" w:ascii="宋体" w:hAnsi="宋体"/>
                <w:bCs/>
                <w:szCs w:val="21"/>
                <w:highlight w:val="none"/>
                <w:lang w:val="en-US" w:eastAsia="zh-CN"/>
              </w:rPr>
              <w:t>10</w:t>
            </w:r>
            <w:r>
              <w:rPr>
                <w:rFonts w:hint="eastAsia" w:ascii="宋体" w:hAnsi="宋体"/>
                <w:bCs/>
                <w:szCs w:val="21"/>
                <w:highlight w:val="none"/>
              </w:rPr>
              <w:t>分，最高得</w:t>
            </w:r>
            <w:r>
              <w:rPr>
                <w:rFonts w:hint="eastAsia" w:ascii="宋体" w:hAnsi="宋体"/>
                <w:bCs/>
                <w:szCs w:val="21"/>
                <w:highlight w:val="none"/>
                <w:lang w:val="en-US" w:eastAsia="zh-CN"/>
              </w:rPr>
              <w:t>40</w:t>
            </w:r>
            <w:r>
              <w:rPr>
                <w:rFonts w:hint="eastAsia" w:ascii="宋体" w:hAnsi="宋体"/>
                <w:bCs/>
                <w:szCs w:val="21"/>
                <w:highlight w:val="none"/>
              </w:rPr>
              <w:t>分。</w:t>
            </w:r>
          </w:p>
          <w:p>
            <w:pPr>
              <w:spacing w:line="320" w:lineRule="exact"/>
              <w:rPr>
                <w:rFonts w:hint="eastAsia" w:ascii="宋体" w:hAnsi="宋体"/>
                <w:bCs/>
                <w:szCs w:val="21"/>
                <w:highlight w:val="none"/>
              </w:rPr>
            </w:pPr>
            <w:r>
              <w:rPr>
                <w:rFonts w:hint="eastAsia" w:ascii="宋体" w:hAnsi="宋体"/>
                <w:bCs/>
                <w:szCs w:val="21"/>
                <w:highlight w:val="none"/>
              </w:rPr>
              <w:t>在此基础上评审委员会根据各投标人的具体响应内容进一步评审，满足以下三项要求的评价为优，得</w:t>
            </w:r>
            <w:r>
              <w:rPr>
                <w:rFonts w:hint="eastAsia" w:ascii="宋体" w:hAnsi="宋体"/>
                <w:bCs/>
                <w:szCs w:val="21"/>
                <w:highlight w:val="none"/>
                <w:lang w:val="en-US" w:eastAsia="zh-CN"/>
              </w:rPr>
              <w:t>60</w:t>
            </w:r>
            <w:r>
              <w:rPr>
                <w:rFonts w:hint="eastAsia" w:ascii="宋体" w:hAnsi="宋体"/>
                <w:bCs/>
                <w:szCs w:val="21"/>
                <w:highlight w:val="none"/>
              </w:rPr>
              <w:t>分；满足以下二项要求的评价为良，得</w:t>
            </w:r>
            <w:r>
              <w:rPr>
                <w:rFonts w:hint="eastAsia" w:ascii="宋体" w:hAnsi="宋体"/>
                <w:bCs/>
                <w:szCs w:val="21"/>
                <w:highlight w:val="none"/>
                <w:lang w:val="en-US" w:eastAsia="zh-CN"/>
              </w:rPr>
              <w:t>30</w:t>
            </w:r>
            <w:r>
              <w:rPr>
                <w:rFonts w:hint="eastAsia" w:ascii="宋体" w:hAnsi="宋体"/>
                <w:bCs/>
                <w:szCs w:val="21"/>
                <w:highlight w:val="none"/>
              </w:rPr>
              <w:t>分； 满足以下一项要求的评价为中，得1</w:t>
            </w:r>
            <w:r>
              <w:rPr>
                <w:rFonts w:hint="eastAsia" w:ascii="宋体" w:hAnsi="宋体"/>
                <w:bCs/>
                <w:szCs w:val="21"/>
                <w:highlight w:val="none"/>
                <w:lang w:val="en-US" w:eastAsia="zh-CN"/>
              </w:rPr>
              <w:t>0</w:t>
            </w:r>
            <w:r>
              <w:rPr>
                <w:rFonts w:hint="eastAsia" w:ascii="宋体" w:hAnsi="宋体"/>
                <w:bCs/>
                <w:szCs w:val="21"/>
                <w:highlight w:val="none"/>
              </w:rPr>
              <w:t>分；其他情况的评价为差，不得分：</w:t>
            </w:r>
          </w:p>
          <w:p>
            <w:pPr>
              <w:spacing w:line="320" w:lineRule="exact"/>
              <w:rPr>
                <w:rFonts w:hint="eastAsia" w:ascii="宋体" w:hAnsi="宋体"/>
                <w:bCs/>
                <w:szCs w:val="21"/>
                <w:highlight w:val="none"/>
              </w:rPr>
            </w:pPr>
            <w:r>
              <w:rPr>
                <w:rFonts w:hint="eastAsia" w:ascii="宋体" w:hAnsi="宋体"/>
                <w:bCs/>
                <w:szCs w:val="21"/>
                <w:highlight w:val="none"/>
                <w:lang w:val="en-US" w:eastAsia="zh-CN"/>
              </w:rPr>
              <w:t>①</w:t>
            </w:r>
            <w:r>
              <w:rPr>
                <w:rFonts w:hint="eastAsia" w:ascii="宋体" w:hAnsi="宋体"/>
                <w:bCs/>
                <w:szCs w:val="21"/>
                <w:highlight w:val="none"/>
              </w:rPr>
              <w:t>响应内容覆盖本次服务内容的；</w:t>
            </w:r>
          </w:p>
          <w:p>
            <w:pPr>
              <w:spacing w:line="320" w:lineRule="exact"/>
              <w:rPr>
                <w:rFonts w:hint="eastAsia" w:ascii="宋体" w:hAnsi="宋体"/>
                <w:bCs/>
                <w:szCs w:val="21"/>
                <w:highlight w:val="none"/>
              </w:rPr>
            </w:pPr>
            <w:r>
              <w:rPr>
                <w:rFonts w:hint="eastAsia" w:ascii="宋体" w:hAnsi="宋体"/>
                <w:bCs/>
                <w:szCs w:val="21"/>
                <w:highlight w:val="none"/>
                <w:lang w:val="en-US" w:eastAsia="zh-CN"/>
              </w:rPr>
              <w:t>②</w:t>
            </w:r>
            <w:r>
              <w:rPr>
                <w:rFonts w:hint="eastAsia" w:ascii="宋体" w:hAnsi="宋体"/>
                <w:bCs/>
                <w:szCs w:val="21"/>
                <w:highlight w:val="none"/>
              </w:rPr>
              <w:t>重点难点分析全面具体、针对性强；</w:t>
            </w:r>
          </w:p>
          <w:p>
            <w:pPr>
              <w:spacing w:line="320" w:lineRule="exact"/>
              <w:rPr>
                <w:rFonts w:eastAsia="宋体" w:cs="宋体" w:asciiTheme="minorEastAsia" w:hAnsiTheme="minorEastAsia"/>
                <w:kern w:val="2"/>
                <w:sz w:val="21"/>
                <w:szCs w:val="21"/>
                <w:lang w:val="en-US" w:eastAsia="zh-CN" w:bidi="ar-SA"/>
              </w:rPr>
            </w:pPr>
            <w:r>
              <w:rPr>
                <w:rFonts w:hint="eastAsia" w:ascii="宋体" w:hAnsi="宋体"/>
                <w:bCs/>
                <w:szCs w:val="21"/>
                <w:highlight w:val="none"/>
                <w:lang w:val="en-US" w:eastAsia="zh-CN"/>
              </w:rPr>
              <w:t>③</w:t>
            </w:r>
            <w:r>
              <w:rPr>
                <w:rFonts w:hint="eastAsia" w:ascii="宋体" w:hAnsi="宋体"/>
                <w:bCs/>
                <w:szCs w:val="21"/>
                <w:highlight w:val="none"/>
              </w:rPr>
              <w:t>应对措施及相关的合理化建议科学合理、可操作性强。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napToGrid w:val="0"/>
              <w:spacing w:line="320" w:lineRule="exact"/>
              <w:jc w:val="center"/>
              <w:rPr>
                <w:rFonts w:hint="eastAsia" w:ascii="宋体" w:hAnsi="宋体" w:eastAsia="宋体" w:cs="宋体"/>
                <w:szCs w:val="21"/>
                <w:lang w:val="en-US" w:eastAsia="zh-CN"/>
              </w:rPr>
            </w:pPr>
            <w:r>
              <w:rPr>
                <w:rFonts w:hint="eastAsia" w:ascii="宋体" w:hAnsi="宋体"/>
                <w:szCs w:val="21"/>
                <w:highlight w:val="none"/>
                <w:lang w:val="en-US" w:eastAsia="zh-CN"/>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sz w:val="21"/>
                <w:szCs w:val="21"/>
                <w:highlight w:val="none"/>
              </w:rPr>
              <w:t>质量保障措施及方案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宋体" w:asciiTheme="minorEastAsia" w:hAnsiTheme="minorEastAsia"/>
                <w:kern w:val="2"/>
                <w:sz w:val="21"/>
                <w:szCs w:val="21"/>
                <w:lang w:val="en-US" w:eastAsia="zh-CN" w:bidi="ar-SA"/>
              </w:rPr>
            </w:pPr>
            <w:r>
              <w:rPr>
                <w:rFonts w:hint="eastAsia" w:ascii="宋体" w:hAnsi="宋体"/>
                <w:szCs w:val="21"/>
                <w:highlight w:val="none"/>
                <w:lang w:val="en-US" w:eastAsia="zh-CN"/>
              </w:rPr>
              <w:t>5</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（一）评审内容：</w:t>
            </w:r>
          </w:p>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投标人为本项目制定的质量保障措施及方案，包括：</w:t>
            </w:r>
          </w:p>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1.项目质量保证方案，包括人员质量、进度质量、文档质量等内容；</w:t>
            </w:r>
          </w:p>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2.项目质量管理，包括质量控制标准、质量控制内容、审计、评估质量承诺、授权与监控等内容；</w:t>
            </w:r>
          </w:p>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3.质量管理体系，包括各部门职责、管理体系结构等。</w:t>
            </w:r>
          </w:p>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（二）评分依据</w:t>
            </w:r>
          </w:p>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投标人响应的质量保障措施及方案有包含上述内容每提供一项得20分，最高得60分。</w:t>
            </w:r>
          </w:p>
          <w:p>
            <w:pPr>
              <w:spacing w:line="320" w:lineRule="exact"/>
              <w:rPr>
                <w:rFonts w:hint="eastAsia" w:ascii="宋体" w:hAnsi="宋体"/>
                <w:bCs/>
                <w:szCs w:val="21"/>
                <w:highlight w:val="none"/>
                <w:lang w:val="en-US" w:eastAsia="zh-CN"/>
              </w:rPr>
            </w:pPr>
            <w:r>
              <w:rPr>
                <w:rFonts w:hint="eastAsia" w:ascii="宋体" w:hAnsi="宋体"/>
                <w:bCs/>
                <w:szCs w:val="21"/>
                <w:highlight w:val="none"/>
              </w:rPr>
              <w:t>在此基础上评审委员会根据各投标人的具体响应内容进一步评审，满足以下三项要求的评价为优，得</w:t>
            </w:r>
            <w:r>
              <w:rPr>
                <w:rFonts w:hint="eastAsia" w:ascii="宋体" w:hAnsi="宋体"/>
                <w:bCs/>
                <w:szCs w:val="21"/>
                <w:highlight w:val="none"/>
                <w:lang w:val="en-US" w:eastAsia="zh-CN"/>
              </w:rPr>
              <w:t>40</w:t>
            </w:r>
            <w:r>
              <w:rPr>
                <w:rFonts w:hint="eastAsia" w:ascii="宋体" w:hAnsi="宋体"/>
                <w:bCs/>
                <w:szCs w:val="21"/>
                <w:highlight w:val="none"/>
              </w:rPr>
              <w:t>分；满足以下二项要求的评价为良，得</w:t>
            </w:r>
            <w:r>
              <w:rPr>
                <w:rFonts w:hint="eastAsia" w:ascii="宋体" w:hAnsi="宋体"/>
                <w:bCs/>
                <w:szCs w:val="21"/>
                <w:highlight w:val="none"/>
                <w:lang w:val="en-US" w:eastAsia="zh-CN"/>
              </w:rPr>
              <w:t>20</w:t>
            </w:r>
            <w:r>
              <w:rPr>
                <w:rFonts w:hint="eastAsia" w:ascii="宋体" w:hAnsi="宋体"/>
                <w:bCs/>
                <w:szCs w:val="21"/>
                <w:highlight w:val="none"/>
              </w:rPr>
              <w:t>分； 满足以下一项要求的评价为中，得1</w:t>
            </w:r>
            <w:r>
              <w:rPr>
                <w:rFonts w:hint="eastAsia" w:ascii="宋体" w:hAnsi="宋体"/>
                <w:bCs/>
                <w:szCs w:val="21"/>
                <w:highlight w:val="none"/>
                <w:lang w:val="en-US" w:eastAsia="zh-CN"/>
              </w:rPr>
              <w:t>0</w:t>
            </w:r>
            <w:r>
              <w:rPr>
                <w:rFonts w:hint="eastAsia" w:ascii="宋体" w:hAnsi="宋体"/>
                <w:bCs/>
                <w:szCs w:val="21"/>
                <w:highlight w:val="none"/>
              </w:rPr>
              <w:t>分；其他情况的评价为差，不得分：</w:t>
            </w:r>
          </w:p>
          <w:p>
            <w:pPr>
              <w:spacing w:line="320" w:lineRule="exact"/>
              <w:rPr>
                <w:rFonts w:hint="eastAsia" w:eastAsia="宋体"/>
                <w:lang w:val="en-US" w:eastAsia="zh-CN"/>
              </w:rPr>
            </w:pPr>
            <w:r>
              <w:rPr>
                <w:rFonts w:hint="eastAsia" w:ascii="宋体" w:hAnsi="宋体"/>
                <w:bCs/>
                <w:szCs w:val="21"/>
                <w:highlight w:val="none"/>
                <w:lang w:val="en-US" w:eastAsia="zh-CN"/>
              </w:rPr>
              <w:t>①质量保障措施及方案</w:t>
            </w:r>
            <w:r>
              <w:rPr>
                <w:rFonts w:hint="eastAsia" w:ascii="宋体" w:hAnsi="宋体" w:eastAsia="宋体" w:cs="宋体"/>
                <w:sz w:val="21"/>
                <w:szCs w:val="21"/>
                <w:highlight w:val="none"/>
                <w:lang w:val="en-US" w:eastAsia="zh-CN"/>
              </w:rPr>
              <w:t>全面具体、</w:t>
            </w:r>
            <w:r>
              <w:rPr>
                <w:rFonts w:hint="eastAsia" w:ascii="宋体" w:hAnsi="宋体"/>
                <w:bCs/>
                <w:szCs w:val="21"/>
                <w:highlight w:val="none"/>
              </w:rPr>
              <w:t>针对性强</w:t>
            </w:r>
            <w:r>
              <w:rPr>
                <w:rFonts w:hint="eastAsia" w:ascii="宋体" w:hAnsi="宋体"/>
                <w:bCs/>
                <w:szCs w:val="21"/>
                <w:highlight w:val="none"/>
                <w:lang w:eastAsia="zh-CN"/>
              </w:rPr>
              <w:t>；</w:t>
            </w:r>
          </w:p>
          <w:p>
            <w:pPr>
              <w:spacing w:line="320" w:lineRule="exact"/>
              <w:rPr>
                <w:rFonts w:hint="eastAsia" w:ascii="宋体" w:hAnsi="宋体"/>
                <w:bCs/>
                <w:szCs w:val="21"/>
                <w:highlight w:val="none"/>
                <w:lang w:val="en-US" w:eastAsia="zh-CN"/>
              </w:rPr>
            </w:pPr>
            <w:r>
              <w:rPr>
                <w:rFonts w:hint="eastAsia" w:ascii="宋体" w:hAnsi="宋体"/>
                <w:bCs/>
                <w:szCs w:val="21"/>
                <w:highlight w:val="none"/>
                <w:lang w:val="en-US" w:eastAsia="zh-CN"/>
              </w:rPr>
              <w:t>②质量保障措施及方案提及投标人内部质量管理体系文件的（例如质量手册、程序文件）；</w:t>
            </w:r>
          </w:p>
          <w:p>
            <w:pPr>
              <w:spacing w:line="320" w:lineRule="exact"/>
              <w:rPr>
                <w:rFonts w:eastAsia="宋体" w:cs="宋体" w:asciiTheme="minorEastAsia" w:hAnsiTheme="minorEastAsia"/>
                <w:kern w:val="2"/>
                <w:sz w:val="21"/>
                <w:szCs w:val="21"/>
                <w:lang w:val="en-US" w:eastAsia="zh-CN" w:bidi="ar-SA"/>
              </w:rPr>
            </w:pPr>
            <w:r>
              <w:rPr>
                <w:rFonts w:hint="eastAsia" w:ascii="宋体" w:hAnsi="宋体"/>
                <w:bCs/>
                <w:szCs w:val="21"/>
                <w:highlight w:val="none"/>
                <w:lang w:val="en-US" w:eastAsia="zh-CN"/>
              </w:rPr>
              <w:t>③质量保障措施及方案提及投标人内部测评相关工作的管理程序的。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napToGrid w:val="0"/>
              <w:spacing w:line="320" w:lineRule="exact"/>
              <w:jc w:val="center"/>
              <w:rPr>
                <w:rFonts w:hint="eastAsia" w:ascii="宋体" w:hAnsi="宋体" w:cs="宋体" w:eastAsiaTheme="minorEastAsia"/>
                <w:szCs w:val="21"/>
                <w:lang w:val="en-US" w:eastAsia="zh-CN"/>
              </w:rPr>
            </w:pPr>
            <w:r>
              <w:rPr>
                <w:rFonts w:hint="eastAsia" w:ascii="宋体" w:hAnsi="宋体"/>
                <w:szCs w:val="21"/>
                <w:highlight w:val="none"/>
                <w:lang w:val="en-US" w:eastAsia="zh-CN"/>
              </w:rPr>
              <w:t>4</w:t>
            </w:r>
          </w:p>
        </w:tc>
        <w:tc>
          <w:tcPr>
            <w:tcW w:w="2835"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szCs w:val="21"/>
                <w:highlight w:val="none"/>
              </w:rPr>
              <w:t>项目负责人（仅限1人）情况</w:t>
            </w:r>
          </w:p>
        </w:tc>
        <w:tc>
          <w:tcPr>
            <w:tcW w:w="681"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szCs w:val="21"/>
                <w:highlight w:val="none"/>
                <w:lang w:val="en-US" w:eastAsia="zh-CN"/>
              </w:rPr>
              <w:t>20</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（一）评审内容：</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项目负责人具有：</w:t>
            </w:r>
          </w:p>
          <w:p>
            <w:pPr>
              <w:numPr>
                <w:ilvl w:val="0"/>
                <w:numId w:val="2"/>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具备计算机或网络安全相关专业本科（或以上）学历的，得10分；</w:t>
            </w:r>
          </w:p>
          <w:p>
            <w:pPr>
              <w:numPr>
                <w:ilvl w:val="0"/>
                <w:numId w:val="2"/>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具备人社部门颁发的副高级及以上质量相关专业技术职称证书，得20分：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3.具有高级测评师（信息安全等级测评）资格证书的，得20分；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4.具备人社部门颁发的网络工程师中级证书的，得10分；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5.具有中国信息安全测评中心颁发的注册信息安全专业管理人员（CISP-CISO）证书的，得20分； </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6.具有国家级检验检测机构资质认定评审员（软件与信息安全）的，得10分；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7.具有网络安全等级保护测评项目管理经验，每提供1个得5分，最高得10分；</w:t>
            </w:r>
          </w:p>
          <w:p>
            <w:pPr>
              <w:pStyle w:val="2"/>
              <w:rPr>
                <w:rFonts w:hint="default"/>
                <w:lang w:val="en-US" w:eastAsia="zh-CN"/>
              </w:rPr>
            </w:pPr>
            <w:r>
              <w:rPr>
                <w:rFonts w:hint="eastAsia" w:ascii="宋体" w:hAnsi="宋体" w:eastAsia="宋体" w:cs="宋体"/>
                <w:sz w:val="21"/>
                <w:szCs w:val="21"/>
                <w:highlight w:val="none"/>
                <w:lang w:val="en-US" w:eastAsia="zh-CN"/>
              </w:rPr>
              <w:t>以上合计最高得100分。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（二）评分依据：</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r>
              <w:rPr>
                <w:rFonts w:hint="eastAsia" w:ascii="宋体" w:hAnsi="宋体" w:eastAsia="宋体" w:cs="宋体"/>
                <w:bCs/>
                <w:color w:val="auto"/>
                <w:szCs w:val="21"/>
                <w:lang w:eastAsia="zh-CN"/>
              </w:rPr>
              <w:t>提供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bCs/>
                <w:color w:val="auto"/>
                <w:szCs w:val="21"/>
                <w:lang w:eastAsia="zh-CN"/>
              </w:rPr>
              <w:t>提供相关人员证书扫描件：</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1）涉及学历的，同时提供学信网信息查询截图（https://www.chsi.com.cn/）：①如较早颁发的学历证书，学信网无法查询的，可提供毕业院校或教育或人社部门等颁发机构或监管机构等出具的证明。②如海外留学（含港澳台）学历无法通过学信网站查询的，应当提供教育部留学服务中心出具的国外学历认证证书以及教育部留学服务中心官网（https://portal.cscse.edu.cn/）查询截图。若证明文件为其它语言，必须附中文译文，以中文译文为准。</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2）如证书颁发单位为相关行业协会（或学会）的，则需同时提供证书颁发单位在全国社会组织信用信息公示平台（https://xxgs.chinanpo.mca.gov.cn/gsxt/newList）的信息查询截图（截图需显示发证单位状态为“正常”）。</w:t>
            </w:r>
          </w:p>
          <w:p>
            <w:pPr>
              <w:pStyle w:val="40"/>
              <w:spacing w:line="360" w:lineRule="exact"/>
              <w:ind w:firstLine="0" w:firstLineChars="0"/>
              <w:rPr>
                <w:rFonts w:hint="eastAsia" w:ascii="宋体" w:hAnsi="宋体" w:eastAsia="宋体" w:cs="宋体"/>
                <w:bCs/>
                <w:color w:val="auto"/>
                <w:szCs w:val="21"/>
                <w:lang w:eastAsia="zh-CN"/>
              </w:rPr>
            </w:pP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3.第7项：提供合同关键页 （关键信息包括但不仅限于合同的项目名称、服务内容等，合同须体现该人员为上述项目的项目负责人或技术负责人），若合同关键页无法体现，同时提供合同甲方（或被服务单位）加盖公章（或业务章）的证明材料（证明材料须体现该人员为上述经验项目的项目负责人等评分内容）。</w:t>
            </w:r>
          </w:p>
          <w:p>
            <w:pPr>
              <w:rPr>
                <w:rFonts w:ascii="宋体" w:hAnsi="宋体" w:cs="宋体"/>
                <w:szCs w:val="21"/>
              </w:rPr>
            </w:pPr>
            <w:r>
              <w:rPr>
                <w:rFonts w:hint="eastAsia" w:ascii="宋体" w:hAnsi="宋体" w:eastAsia="宋体" w:cs="宋体"/>
                <w:sz w:val="21"/>
                <w:szCs w:val="21"/>
                <w:highlight w:val="none"/>
                <w:lang w:val="en-US" w:eastAsia="zh-CN"/>
              </w:rPr>
              <w:t>4.</w:t>
            </w:r>
            <w:r>
              <w:rPr>
                <w:rFonts w:hint="eastAsia" w:ascii="宋体" w:hAnsi="宋体" w:eastAsia="宋体" w:cs="宋体"/>
                <w:bCs/>
                <w:color w:val="auto"/>
                <w:szCs w:val="21"/>
                <w:lang w:eastAsia="zh-CN"/>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napToGrid w:val="0"/>
              <w:spacing w:line="320" w:lineRule="exact"/>
              <w:jc w:val="center"/>
              <w:rPr>
                <w:rFonts w:hint="eastAsia" w:ascii="宋体" w:hAnsi="宋体" w:cs="宋体" w:eastAsiaTheme="minorEastAsia"/>
                <w:szCs w:val="21"/>
                <w:lang w:val="en-US" w:eastAsia="zh-CN"/>
              </w:rPr>
            </w:pPr>
            <w:r>
              <w:rPr>
                <w:rFonts w:hint="eastAsia" w:ascii="宋体" w:hAnsi="宋体"/>
                <w:szCs w:val="21"/>
                <w:highlight w:val="none"/>
                <w:lang w:val="en-US" w:eastAsia="zh-CN"/>
              </w:rPr>
              <w:t>5</w:t>
            </w:r>
          </w:p>
        </w:tc>
        <w:tc>
          <w:tcPr>
            <w:tcW w:w="2835" w:type="dxa"/>
            <w:tcBorders>
              <w:top w:val="single" w:color="000000" w:sz="8" w:space="0"/>
              <w:left w:val="single" w:color="000000" w:sz="8" w:space="0"/>
              <w:bottom w:val="single" w:color="000000" w:sz="8" w:space="0"/>
              <w:right w:val="single" w:color="000000" w:sz="8" w:space="0"/>
            </w:tcBorders>
            <w:vAlign w:val="center"/>
          </w:tcPr>
          <w:p>
            <w:pPr>
              <w:pStyle w:val="11"/>
              <w:rPr>
                <w:rFonts w:ascii="宋体" w:hAnsi="宋体" w:cs="宋体"/>
                <w:szCs w:val="21"/>
              </w:rPr>
            </w:pPr>
            <w:r>
              <w:rPr>
                <w:rFonts w:hint="eastAsia" w:ascii="宋体" w:hAnsi="宋体"/>
                <w:szCs w:val="21"/>
                <w:highlight w:val="none"/>
              </w:rPr>
              <w:t>拟安排的项目</w:t>
            </w:r>
            <w:r>
              <w:rPr>
                <w:rFonts w:hint="eastAsia" w:ascii="宋体" w:hAnsi="宋体"/>
                <w:szCs w:val="21"/>
                <w:highlight w:val="none"/>
                <w:lang w:val="en-US" w:eastAsia="zh-CN"/>
              </w:rPr>
              <w:t>技术负责人</w:t>
            </w:r>
            <w:r>
              <w:rPr>
                <w:rFonts w:hint="eastAsia" w:ascii="宋体" w:hAnsi="宋体"/>
                <w:szCs w:val="21"/>
                <w:highlight w:val="none"/>
              </w:rPr>
              <w:t>情况（仅限一人</w:t>
            </w:r>
            <w:r>
              <w:rPr>
                <w:rFonts w:hint="eastAsia" w:ascii="宋体" w:hAnsi="宋体"/>
                <w:szCs w:val="21"/>
                <w:highlight w:val="none"/>
                <w:lang w:eastAsia="zh-CN"/>
              </w:rPr>
              <w:t>，</w:t>
            </w:r>
            <w:r>
              <w:rPr>
                <w:rFonts w:hint="eastAsia" w:ascii="宋体" w:hAnsi="宋体"/>
                <w:szCs w:val="21"/>
                <w:highlight w:val="none"/>
                <w:lang w:val="en-US" w:eastAsia="zh-CN"/>
              </w:rPr>
              <w:t>项目</w:t>
            </w:r>
            <w:r>
              <w:rPr>
                <w:rFonts w:hint="eastAsia"/>
                <w:lang w:val="en-US" w:eastAsia="zh-CN"/>
              </w:rPr>
              <w:t>负责人除外</w:t>
            </w:r>
            <w:r>
              <w:rPr>
                <w:rFonts w:hint="eastAsia" w:ascii="宋体" w:hAnsi="宋体"/>
                <w:szCs w:val="21"/>
                <w:highlight w:val="none"/>
              </w:rPr>
              <w:t>）</w:t>
            </w:r>
          </w:p>
        </w:tc>
        <w:tc>
          <w:tcPr>
            <w:tcW w:w="681"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szCs w:val="21"/>
                <w:highlight w:val="none"/>
                <w:lang w:val="en-US" w:eastAsia="zh-CN"/>
              </w:rPr>
              <w:t>15</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评审内容：</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项目负责人需为投标人自有员工：</w:t>
            </w:r>
          </w:p>
          <w:p>
            <w:pPr>
              <w:numPr>
                <w:ilvl w:val="0"/>
                <w:numId w:val="3"/>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具备检测相关专业硕士（或博士）</w:t>
            </w:r>
            <w:r>
              <w:rPr>
                <w:rFonts w:hint="eastAsia"/>
                <w:lang w:val="en-US" w:eastAsia="zh-CN"/>
              </w:rPr>
              <w:t>研究生</w:t>
            </w:r>
            <w:r>
              <w:rPr>
                <w:rFonts w:hint="eastAsia" w:ascii="宋体" w:hAnsi="宋体" w:eastAsia="宋体" w:cs="宋体"/>
                <w:sz w:val="21"/>
                <w:szCs w:val="21"/>
                <w:highlight w:val="none"/>
                <w:lang w:val="en-US" w:eastAsia="zh-CN"/>
              </w:rPr>
              <w:t>学历的，得10分；</w:t>
            </w:r>
          </w:p>
          <w:p>
            <w:pPr>
              <w:numPr>
                <w:ilvl w:val="0"/>
                <w:numId w:val="3"/>
              </w:num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具备人社部门颁发的副高级及以上质量相关专业技术职称证书，得20分；</w:t>
            </w:r>
          </w:p>
          <w:p>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具有高级测评师（信息安全等级测评）资格证</w:t>
            </w:r>
            <w:r>
              <w:rPr>
                <w:rFonts w:hint="eastAsia" w:ascii="宋体" w:hAnsi="宋体" w:eastAsia="宋体" w:cs="宋体"/>
                <w:sz w:val="21"/>
                <w:szCs w:val="21"/>
                <w:highlight w:val="none"/>
                <w:lang w:val="en-US" w:eastAsia="zh-CN"/>
              </w:rPr>
              <w:t>书的</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20分</w:t>
            </w:r>
            <w:r>
              <w:rPr>
                <w:rFonts w:hint="eastAsia" w:ascii="宋体" w:hAnsi="宋体" w:eastAsia="宋体" w:cs="宋体"/>
                <w:sz w:val="21"/>
                <w:szCs w:val="21"/>
                <w:highlight w:val="none"/>
              </w:rPr>
              <w:t>；</w:t>
            </w:r>
          </w:p>
          <w:p>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具备</w:t>
            </w:r>
            <w:r>
              <w:rPr>
                <w:rFonts w:hint="eastAsia" w:ascii="Times New Roman" w:hAnsi="Times New Roman" w:eastAsia="宋体" w:cs="Times New Roman"/>
                <w:color w:val="auto"/>
                <w:kern w:val="0"/>
                <w:szCs w:val="21"/>
                <w:highlight w:val="none"/>
                <w:lang w:val="en-US" w:eastAsia="zh-CN"/>
              </w:rPr>
              <w:t>国家认监委成立“认证市场准入及监管改革专项组”中的信息安全管理体系组成员资格的</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20分</w:t>
            </w:r>
            <w:r>
              <w:rPr>
                <w:rFonts w:hint="eastAsia" w:ascii="宋体" w:hAnsi="宋体" w:eastAsia="宋体" w:cs="宋体"/>
                <w:sz w:val="21"/>
                <w:szCs w:val="21"/>
                <w:highlight w:val="none"/>
              </w:rPr>
              <w:t xml:space="preserve">； </w:t>
            </w:r>
          </w:p>
          <w:p>
            <w:pP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5.具有中国合格评定国家认可委员会颁发的实验室/检验机构认可评审员证的</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20分</w:t>
            </w:r>
            <w:r>
              <w:rPr>
                <w:rFonts w:hint="eastAsia" w:ascii="宋体" w:hAnsi="宋体" w:eastAsia="宋体" w:cs="宋体"/>
                <w:sz w:val="21"/>
                <w:szCs w:val="21"/>
                <w:highlight w:val="none"/>
                <w:lang w:eastAsia="zh-CN"/>
              </w:rPr>
              <w:t>；</w:t>
            </w:r>
          </w:p>
          <w:p>
            <w:pP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6.具有网络安全等级保护测评项目管理经验，得10分；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（二）评分依据：</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r>
              <w:rPr>
                <w:rFonts w:hint="eastAsia" w:ascii="宋体" w:hAnsi="宋体" w:eastAsia="宋体" w:cs="宋体"/>
                <w:bCs/>
                <w:color w:val="auto"/>
                <w:szCs w:val="21"/>
                <w:lang w:eastAsia="zh-CN"/>
              </w:rPr>
              <w:t>提供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bCs/>
                <w:color w:val="auto"/>
                <w:szCs w:val="21"/>
                <w:lang w:eastAsia="zh-CN"/>
              </w:rPr>
              <w:t>提供相关人员证书扫描件：</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1）涉及学历的，同时提供学信网信息查询截图（https://www.chsi.com.cn/）：①如较早颁发的学历证书，学信网无法查询的，可提供毕业院校或教育或人社部门等颁发机构或监管机构等出具的证明。②如海外留学（含港澳台）学历无法通过学信网站查询的，应当提供教育部留学服务中心出具的国外学历认证证书以及教育部留学服务中心官网（https://portal.cscse.edu.cn/）查询截图。若证明文件为其它语言，必须附中文译文，以中文译文为准。</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2）如证书颁发单位为相关行业协会（或学会）的，则需同时提供证书颁发单位在全国社会组织信用信息公示平台（https://xxgs.chinanpo.mca.gov.cn/gsxt/newList）的信息查询截图（截图需显示发证单位状态为“正常”）。</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3.第6项：投标人提供合同关键页 （关键信息包括但不仅限于合同的项目名称、服务内容等，合同须体现该人员为上述项目的项目负责人或技术负责人），若合同关键页无法体现，同时提供合同甲方（或被服务单位）加盖公章（或业务章）的证明材料（证明材料须体现该人员为上述经验项目的项目负责人或技术负责人等评分内容）。</w:t>
            </w:r>
          </w:p>
          <w:p>
            <w:pPr>
              <w:rPr>
                <w:rFonts w:ascii="宋体" w:hAnsi="宋体" w:cs="宋体"/>
                <w:szCs w:val="21"/>
              </w:rPr>
            </w:pPr>
            <w:r>
              <w:rPr>
                <w:rFonts w:hint="eastAsia" w:ascii="宋体" w:hAnsi="宋体" w:eastAsia="宋体" w:cs="宋体"/>
                <w:sz w:val="21"/>
                <w:szCs w:val="21"/>
                <w:highlight w:val="none"/>
                <w:lang w:val="en-US" w:eastAsia="zh-CN"/>
              </w:rPr>
              <w:t>4</w:t>
            </w:r>
            <w:r>
              <w:rPr>
                <w:rFonts w:hint="eastAsia" w:ascii="宋体" w:hAnsi="宋体"/>
                <w:bCs/>
                <w:szCs w:val="21"/>
                <w:highlight w:val="none"/>
                <w:lang w:val="en-US" w:eastAsia="zh-CN"/>
              </w:rPr>
              <w:t>.</w:t>
            </w:r>
            <w:r>
              <w:rPr>
                <w:rFonts w:hint="eastAsia" w:ascii="宋体" w:hAnsi="宋体" w:eastAsia="宋体" w:cs="宋体"/>
                <w:bCs/>
                <w:color w:val="auto"/>
                <w:szCs w:val="21"/>
                <w:lang w:eastAsia="zh-CN"/>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napToGrid w:val="0"/>
              <w:spacing w:line="320" w:lineRule="exact"/>
              <w:jc w:val="center"/>
              <w:rPr>
                <w:rFonts w:hint="eastAsia" w:ascii="宋体" w:hAnsi="宋体" w:cs="宋体" w:eastAsiaTheme="minorEastAsia"/>
                <w:szCs w:val="21"/>
                <w:lang w:val="en-US" w:eastAsia="zh-CN"/>
              </w:rPr>
            </w:pPr>
            <w:r>
              <w:rPr>
                <w:rFonts w:hint="eastAsia" w:ascii="宋体" w:hAnsi="宋体"/>
                <w:szCs w:val="21"/>
                <w:highlight w:val="none"/>
                <w:lang w:val="en-US" w:eastAsia="zh-CN"/>
              </w:rPr>
              <w:t>6</w:t>
            </w:r>
          </w:p>
        </w:tc>
        <w:tc>
          <w:tcPr>
            <w:tcW w:w="2835"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eastAsia="宋体" w:cs="宋体"/>
                <w:sz w:val="21"/>
                <w:szCs w:val="21"/>
                <w:highlight w:val="none"/>
              </w:rPr>
              <w:t>投标人现有技术人员（项目负责人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技术负责人</w:t>
            </w:r>
            <w:r>
              <w:rPr>
                <w:rFonts w:hint="eastAsia" w:ascii="宋体" w:hAnsi="宋体" w:eastAsia="宋体" w:cs="宋体"/>
                <w:sz w:val="21"/>
                <w:szCs w:val="21"/>
                <w:highlight w:val="none"/>
              </w:rPr>
              <w:t>除外）情况</w:t>
            </w:r>
          </w:p>
        </w:tc>
        <w:tc>
          <w:tcPr>
            <w:tcW w:w="681"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default" w:ascii="宋体" w:hAnsi="宋体"/>
                <w:szCs w:val="21"/>
                <w:highlight w:val="none"/>
                <w:lang w:val="en-US" w:eastAsia="zh-CN"/>
              </w:rPr>
              <w:t>15</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（一）评审内容</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拟安排项目</w:t>
            </w:r>
            <w:r>
              <w:rPr>
                <w:rFonts w:hint="eastAsia" w:ascii="宋体" w:hAnsi="宋体" w:eastAsia="宋体" w:cs="宋体"/>
                <w:sz w:val="21"/>
                <w:szCs w:val="21"/>
                <w:highlight w:val="none"/>
                <w:lang w:val="en-US" w:eastAsia="zh-CN"/>
              </w:rPr>
              <w:t>团队：</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.每提供1名初级测评师得3分，1名中级或以上测评师得5分，本</w:t>
            </w:r>
            <w:r>
              <w:rPr>
                <w:rFonts w:hint="eastAsia" w:ascii="宋体" w:hAnsi="宋体" w:eastAsia="宋体" w:cs="宋体"/>
                <w:sz w:val="21"/>
                <w:szCs w:val="21"/>
                <w:highlight w:val="none"/>
              </w:rPr>
              <w:t>项</w:t>
            </w:r>
            <w:r>
              <w:rPr>
                <w:rFonts w:hint="eastAsia" w:ascii="宋体" w:hAnsi="宋体" w:eastAsia="宋体" w:cs="宋体"/>
                <w:sz w:val="21"/>
                <w:szCs w:val="21"/>
                <w:highlight w:val="none"/>
                <w:lang w:val="en-US" w:eastAsia="zh-CN"/>
              </w:rPr>
              <w:t>最高</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30分</w:t>
            </w:r>
            <w:r>
              <w:rPr>
                <w:rFonts w:hint="eastAsia" w:ascii="宋体" w:hAnsi="宋体" w:eastAsia="宋体" w:cs="宋体"/>
                <w:sz w:val="21"/>
                <w:szCs w:val="21"/>
                <w:highlight w:val="none"/>
              </w:rPr>
              <w:t>。</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.具有软件设计师（中级)的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每提供一名得</w:t>
            </w:r>
            <w:r>
              <w:rPr>
                <w:rFonts w:hint="eastAsia" w:ascii="宋体" w:hAnsi="宋体" w:eastAsia="宋体" w:cs="宋体"/>
                <w:sz w:val="21"/>
                <w:szCs w:val="21"/>
                <w:highlight w:val="none"/>
                <w:lang w:val="en-US" w:eastAsia="zh-CN"/>
              </w:rPr>
              <w:t>20分</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本项</w:t>
            </w:r>
            <w:r>
              <w:rPr>
                <w:rFonts w:hint="eastAsia" w:ascii="宋体" w:hAnsi="宋体" w:eastAsia="宋体" w:cs="宋体"/>
                <w:sz w:val="21"/>
                <w:szCs w:val="21"/>
                <w:highlight w:val="none"/>
              </w:rPr>
              <w:t>最高得</w:t>
            </w:r>
            <w:r>
              <w:rPr>
                <w:rFonts w:hint="eastAsia" w:ascii="宋体" w:hAnsi="宋体" w:eastAsia="宋体" w:cs="宋体"/>
                <w:sz w:val="21"/>
                <w:szCs w:val="21"/>
                <w:highlight w:val="none"/>
                <w:lang w:val="en-US" w:eastAsia="zh-CN"/>
              </w:rPr>
              <w:t>20分</w:t>
            </w:r>
            <w:r>
              <w:rPr>
                <w:rFonts w:hint="eastAsia" w:ascii="宋体" w:hAnsi="宋体" w:eastAsia="宋体" w:cs="宋体"/>
                <w:sz w:val="21"/>
                <w:szCs w:val="21"/>
                <w:highlight w:val="none"/>
              </w:rPr>
              <w:t>。</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具有中国信息安全测评中心颁发的注册信息安全</w:t>
            </w:r>
            <w:r>
              <w:rPr>
                <w:rFonts w:hint="eastAsia" w:ascii="宋体" w:hAnsi="宋体" w:eastAsia="宋体" w:cs="宋体"/>
                <w:sz w:val="21"/>
                <w:szCs w:val="21"/>
                <w:highlight w:val="none"/>
                <w:lang w:val="en-US" w:eastAsia="zh-CN"/>
              </w:rPr>
              <w:t>工程师</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CISP-CISE</w:t>
            </w:r>
            <w:r>
              <w:rPr>
                <w:rFonts w:hint="eastAsia" w:ascii="宋体" w:hAnsi="宋体" w:eastAsia="宋体" w:cs="宋体"/>
                <w:sz w:val="21"/>
                <w:szCs w:val="21"/>
                <w:highlight w:val="none"/>
              </w:rPr>
              <w:t>），每提供一名得</w:t>
            </w:r>
            <w:r>
              <w:rPr>
                <w:rFonts w:hint="eastAsia" w:ascii="宋体" w:hAnsi="宋体" w:eastAsia="宋体" w:cs="宋体"/>
                <w:sz w:val="21"/>
                <w:szCs w:val="21"/>
                <w:highlight w:val="none"/>
                <w:lang w:val="en-US" w:eastAsia="zh-CN"/>
              </w:rPr>
              <w:t>10分</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本项</w:t>
            </w:r>
            <w:r>
              <w:rPr>
                <w:rFonts w:hint="eastAsia" w:ascii="宋体" w:hAnsi="宋体" w:eastAsia="宋体" w:cs="宋体"/>
                <w:sz w:val="21"/>
                <w:szCs w:val="21"/>
                <w:highlight w:val="none"/>
              </w:rPr>
              <w:t>最高得</w:t>
            </w:r>
            <w:r>
              <w:rPr>
                <w:rFonts w:hint="eastAsia" w:ascii="宋体" w:hAnsi="宋体" w:eastAsia="宋体" w:cs="宋体"/>
                <w:sz w:val="21"/>
                <w:szCs w:val="21"/>
                <w:highlight w:val="none"/>
                <w:lang w:val="en-US" w:eastAsia="zh-CN"/>
              </w:rPr>
              <w:t>30分</w:t>
            </w:r>
            <w:r>
              <w:rPr>
                <w:rFonts w:hint="eastAsia" w:ascii="宋体" w:hAnsi="宋体" w:eastAsia="宋体" w:cs="宋体"/>
                <w:sz w:val="21"/>
                <w:szCs w:val="21"/>
                <w:highlight w:val="none"/>
              </w:rPr>
              <w:t>。</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具备</w:t>
            </w:r>
            <w:r>
              <w:rPr>
                <w:rFonts w:hint="eastAsia" w:ascii="宋体" w:hAnsi="宋体" w:eastAsia="宋体" w:cs="宋体"/>
                <w:sz w:val="21"/>
                <w:szCs w:val="21"/>
                <w:highlight w:val="none"/>
                <w:lang w:val="en-US" w:eastAsia="zh-CN"/>
              </w:rPr>
              <w:t>中国网络安全审查认证和市场监管大数据中心或</w:t>
            </w:r>
            <w:r>
              <w:rPr>
                <w:rFonts w:hint="eastAsia" w:ascii="宋体" w:hAnsi="宋体" w:eastAsia="宋体" w:cs="宋体"/>
                <w:sz w:val="21"/>
                <w:szCs w:val="21"/>
                <w:highlight w:val="none"/>
              </w:rPr>
              <w:t>中国网络安全审查技术与认证中心</w:t>
            </w:r>
            <w:r>
              <w:rPr>
                <w:rFonts w:hint="eastAsia" w:ascii="宋体" w:hAnsi="宋体" w:eastAsia="宋体" w:cs="宋体"/>
                <w:sz w:val="21"/>
                <w:szCs w:val="21"/>
                <w:highlight w:val="none"/>
                <w:lang w:val="en-US" w:eastAsia="zh-CN"/>
              </w:rPr>
              <w:t>颁发的信息安全保障人员认证证书（CISAW）（认证方向：风险管理类/安全运维类/应急服务类，级别：专业级）</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每提供一名得10分，本项最高得10分。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具备</w:t>
            </w:r>
            <w:r>
              <w:rPr>
                <w:rFonts w:hint="eastAsia" w:ascii="宋体" w:hAnsi="宋体" w:eastAsia="宋体" w:cs="Times New Roman"/>
                <w:bCs/>
                <w:szCs w:val="21"/>
                <w:highlight w:val="none"/>
              </w:rPr>
              <w:t>中国网络安全审查技术与认证中心</w:t>
            </w:r>
            <w:r>
              <w:rPr>
                <w:rFonts w:hint="eastAsia" w:ascii="宋体" w:hAnsi="宋体" w:eastAsia="宋体" w:cs="Times New Roman"/>
                <w:bCs/>
                <w:szCs w:val="21"/>
                <w:highlight w:val="none"/>
                <w:lang w:val="en-US" w:eastAsia="zh-CN"/>
              </w:rPr>
              <w:t>颁发的</w:t>
            </w:r>
            <w:r>
              <w:rPr>
                <w:rFonts w:hint="eastAsia" w:ascii="宋体" w:hAnsi="宋体" w:eastAsia="宋体" w:cs="Times New Roman"/>
                <w:bCs/>
                <w:szCs w:val="21"/>
                <w:highlight w:val="none"/>
              </w:rPr>
              <w:t>信息系统审计师证书（</w:t>
            </w:r>
            <w:r>
              <w:rPr>
                <w:rFonts w:hint="eastAsia" w:ascii="宋体" w:hAnsi="宋体" w:eastAsia="宋体" w:cs="Times New Roman"/>
                <w:bCs/>
                <w:szCs w:val="21"/>
                <w:highlight w:val="none"/>
                <w:lang w:val="en-US" w:eastAsia="zh-CN"/>
              </w:rPr>
              <w:t>级别</w:t>
            </w:r>
            <w:r>
              <w:rPr>
                <w:rFonts w:hint="eastAsia" w:ascii="宋体" w:hAnsi="宋体" w:eastAsia="宋体" w:cs="Times New Roman"/>
                <w:bCs/>
                <w:szCs w:val="21"/>
                <w:highlight w:val="none"/>
              </w:rPr>
              <w:t>：信息系统审计师</w:t>
            </w:r>
            <w:r>
              <w:rPr>
                <w:rFonts w:hint="eastAsia" w:ascii="宋体" w:hAnsi="宋体" w:eastAsia="宋体" w:cs="Times New Roman"/>
                <w:bCs/>
                <w:szCs w:val="21"/>
                <w:highlight w:val="none"/>
                <w:lang w:val="en-US" w:eastAsia="zh-CN"/>
              </w:rPr>
              <w:t>/</w:t>
            </w:r>
            <w:r>
              <w:rPr>
                <w:rFonts w:hint="eastAsia" w:ascii="宋体" w:hAnsi="宋体" w:cs="Times New Roman"/>
                <w:bCs/>
                <w:szCs w:val="21"/>
                <w:highlight w:val="none"/>
                <w:lang w:val="en-US" w:eastAsia="zh-CN"/>
              </w:rPr>
              <w:t>ISA</w:t>
            </w:r>
            <w:r>
              <w:rPr>
                <w:rFonts w:hint="eastAsia" w:ascii="宋体" w:hAnsi="宋体" w:eastAsia="宋体" w:cs="Times New Roman"/>
                <w:bCs/>
                <w:szCs w:val="21"/>
                <w:highlight w:val="none"/>
              </w:rPr>
              <w:t>）</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每提供一名得10分，本项最高得10分。</w:t>
            </w:r>
          </w:p>
          <w:p>
            <w:pPr>
              <w:pStyle w:val="8"/>
              <w:rPr>
                <w:rFonts w:hint="default"/>
                <w:lang w:val="en-US" w:eastAsia="zh-CN"/>
              </w:rPr>
            </w:pPr>
            <w:r>
              <w:rPr>
                <w:rFonts w:hint="eastAsia" w:ascii="宋体" w:hAnsi="宋体" w:eastAsia="宋体" w:cs="宋体"/>
                <w:sz w:val="21"/>
                <w:szCs w:val="21"/>
                <w:highlight w:val="none"/>
                <w:lang w:val="en-US" w:eastAsia="zh-CN"/>
              </w:rPr>
              <w:t>以上合计最高100分，同一人拥有多个证书的，不可重复得分。</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（二）评分依据：</w:t>
            </w:r>
          </w:p>
          <w:p>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bCs/>
                <w:color w:val="auto"/>
                <w:szCs w:val="21"/>
                <w:lang w:eastAsia="zh-CN"/>
              </w:rPr>
              <w:t>提供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bCs/>
                <w:color w:val="auto"/>
                <w:szCs w:val="21"/>
                <w:lang w:eastAsia="zh-CN"/>
              </w:rPr>
              <w:t>提供相关人员证书扫描件：</w:t>
            </w:r>
          </w:p>
          <w:p>
            <w:pPr>
              <w:pStyle w:val="40"/>
              <w:spacing w:line="360" w:lineRule="exact"/>
              <w:ind w:firstLine="0" w:firstLineChars="0"/>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t>（</w:t>
            </w:r>
            <w:r>
              <w:rPr>
                <w:rFonts w:hint="eastAsia" w:ascii="宋体" w:hAnsi="宋体" w:eastAsia="宋体" w:cs="宋体"/>
                <w:bCs/>
                <w:color w:val="auto"/>
                <w:szCs w:val="21"/>
                <w:lang w:val="en-US" w:eastAsia="zh-CN"/>
              </w:rPr>
              <w:t>1</w:t>
            </w:r>
            <w:r>
              <w:rPr>
                <w:rFonts w:hint="eastAsia" w:ascii="宋体" w:hAnsi="宋体" w:eastAsia="宋体" w:cs="宋体"/>
                <w:bCs/>
                <w:color w:val="auto"/>
                <w:szCs w:val="21"/>
                <w:lang w:eastAsia="zh-CN"/>
              </w:rPr>
              <w:t>）如证书颁发单位为相关行业协会（或学会）的，则需同时提供证书颁发单位在全国社会组织信用信息公示平台（https://xxgs.chinanpo.mca.gov.cn/gsxt/newList）的信息查询截图（截图需显示发证单位状态为“正常”）。</w:t>
            </w:r>
          </w:p>
          <w:p>
            <w:pPr>
              <w:rPr>
                <w:rFonts w:hint="eastAsia" w:ascii="宋体" w:hAnsi="宋体" w:eastAsia="宋体" w:cs="宋体"/>
                <w:sz w:val="21"/>
                <w:szCs w:val="21"/>
                <w:highlight w:val="none"/>
                <w:lang w:eastAsia="zh-CN"/>
              </w:rPr>
            </w:pPr>
          </w:p>
          <w:p>
            <w:pPr>
              <w:spacing w:line="320" w:lineRule="exact"/>
              <w:rPr>
                <w:rFonts w:ascii="宋体" w:hAnsi="宋体" w:cs="宋体"/>
                <w:szCs w:val="21"/>
              </w:rPr>
            </w:pPr>
            <w:r>
              <w:rPr>
                <w:rFonts w:hint="eastAsia" w:ascii="宋体" w:hAnsi="宋体" w:eastAsia="宋体" w:cs="宋体"/>
                <w:sz w:val="21"/>
                <w:szCs w:val="21"/>
                <w:highlight w:val="none"/>
                <w:lang w:val="en-US" w:eastAsia="zh-CN"/>
              </w:rPr>
              <w:t>3.</w:t>
            </w:r>
            <w:r>
              <w:rPr>
                <w:rFonts w:hint="eastAsia" w:ascii="宋体" w:hAnsi="宋体" w:eastAsia="宋体" w:cs="宋体"/>
                <w:bCs/>
                <w:color w:val="auto"/>
                <w:szCs w:val="21"/>
                <w:lang w:eastAsia="zh-CN"/>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tcPr>
          <w:p>
            <w:pPr>
              <w:wordWrap w:val="0"/>
              <w:jc w:val="center"/>
              <w:rPr>
                <w:rFonts w:ascii="宋体" w:hAnsi="宋体" w:cs="宋体"/>
                <w:b/>
                <w:bCs/>
                <w:color w:val="0000FF"/>
                <w:sz w:val="24"/>
              </w:rPr>
            </w:pPr>
            <w:r>
              <w:rPr>
                <w:b/>
                <w:bCs/>
                <w:color w:val="0000FF"/>
              </w:rPr>
              <w:t>3</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综合实力</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hint="eastAsia" w:ascii="宋体" w:hAnsi="宋体" w:cs="宋体" w:eastAsiaTheme="minorEastAsia"/>
                <w:szCs w:val="21"/>
                <w:lang w:val="en-US" w:eastAsia="zh-CN"/>
              </w:rPr>
            </w:pPr>
            <w:r>
              <w:rPr>
                <w:rFonts w:hint="eastAsia" w:ascii="宋体" w:hAnsi="宋体"/>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资质</w:t>
            </w:r>
            <w:r>
              <w:rPr>
                <w:rFonts w:hint="eastAsia" w:ascii="宋体" w:hAnsi="宋体" w:eastAsia="宋体" w:cs="宋体"/>
                <w:sz w:val="21"/>
                <w:szCs w:val="21"/>
                <w:highlight w:val="none"/>
                <w:lang w:val="en-US" w:eastAsia="zh-CN"/>
              </w:rPr>
              <w:t>证书</w:t>
            </w:r>
            <w:r>
              <w:rPr>
                <w:rFonts w:hint="eastAsia" w:ascii="宋体" w:hAnsi="宋体" w:eastAsia="宋体" w:cs="宋体"/>
                <w:sz w:val="21"/>
                <w:szCs w:val="21"/>
                <w:highlight w:val="none"/>
              </w:rPr>
              <w:t>情况</w:t>
            </w:r>
          </w:p>
        </w:tc>
        <w:tc>
          <w:tcPr>
            <w:tcW w:w="681"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eastAsia="宋体"/>
                <w:szCs w:val="21"/>
                <w:highlight w:val="none"/>
                <w:lang w:val="en-US" w:eastAsia="zh-CN"/>
              </w:rPr>
              <w:t>8</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（一）评审内容：</w:t>
            </w:r>
          </w:p>
          <w:p>
            <w:pPr>
              <w:wordWrap w:val="0"/>
              <w:spacing w:line="360" w:lineRule="auto"/>
              <w:jc w:val="left"/>
              <w:rPr>
                <w:rFonts w:hint="eastAsia" w:ascii="Times New Roman" w:hAnsi="Times New Roman" w:eastAsia="宋体" w:cs="Times New Roman"/>
                <w:b w:val="0"/>
                <w:i w:val="0"/>
                <w:caps w:val="0"/>
                <w:color w:val="000000"/>
                <w:spacing w:val="0"/>
                <w:kern w:val="2"/>
                <w:sz w:val="21"/>
                <w:szCs w:val="21"/>
                <w:shd w:val="clear" w:color="auto" w:fill="FFFFFF"/>
                <w:lang w:val="en-US" w:eastAsia="zh-CN" w:bidi="ar-SA"/>
              </w:rPr>
            </w:pPr>
            <w:r>
              <w:rPr>
                <w:rFonts w:hint="eastAsia" w:ascii="宋体" w:hAnsi="宋体" w:eastAsia="宋体" w:cs="宋体"/>
                <w:sz w:val="21"/>
                <w:szCs w:val="21"/>
                <w:highlight w:val="none"/>
                <w:lang w:val="en-US" w:eastAsia="zh-CN"/>
              </w:rPr>
              <w:t>1.投标人具备</w:t>
            </w:r>
            <w:r>
              <w:rPr>
                <w:rFonts w:hint="eastAsia" w:ascii="Times New Roman" w:hAnsi="Times New Roman" w:eastAsia="宋体" w:cs="Times New Roman"/>
                <w:b w:val="0"/>
                <w:i w:val="0"/>
                <w:caps w:val="0"/>
                <w:color w:val="000000"/>
                <w:spacing w:val="0"/>
                <w:kern w:val="2"/>
                <w:sz w:val="21"/>
                <w:szCs w:val="21"/>
                <w:shd w:val="clear" w:color="auto" w:fill="FFFFFF"/>
                <w:lang w:val="en-US" w:eastAsia="zh-CN" w:bidi="ar-SA"/>
              </w:rPr>
              <w:t>中国合格评定国家认可委员会实验室/检测机构认可证书（CNAS）检测能力范围包含：</w:t>
            </w:r>
          </w:p>
          <w:p>
            <w:pPr>
              <w:wordWrap w:val="0"/>
              <w:spacing w:line="360" w:lineRule="auto"/>
              <w:jc w:val="left"/>
              <w:rPr>
                <w:rFonts w:hint="eastAsia" w:ascii="Times New Roman" w:hAnsi="Times New Roman" w:eastAsia="宋体" w:cs="Times New Roman"/>
                <w:b w:val="0"/>
                <w:i w:val="0"/>
                <w:caps w:val="0"/>
                <w:color w:val="000000"/>
                <w:spacing w:val="0"/>
                <w:kern w:val="2"/>
                <w:sz w:val="21"/>
                <w:szCs w:val="21"/>
                <w:shd w:val="clear" w:color="auto" w:fill="FFFFFF"/>
                <w:lang w:val="en-US" w:eastAsia="zh-CN" w:bidi="ar-SA"/>
              </w:rPr>
            </w:pPr>
            <w:r>
              <w:rPr>
                <w:rFonts w:hint="eastAsia" w:ascii="宋体" w:hAnsi="宋体" w:eastAsia="宋体" w:cs="宋体"/>
                <w:sz w:val="21"/>
                <w:szCs w:val="21"/>
                <w:highlight w:val="none"/>
                <w:lang w:val="en-US" w:eastAsia="zh-CN"/>
              </w:rPr>
              <w:t>1）</w:t>
            </w:r>
            <w:r>
              <w:rPr>
                <w:rFonts w:hint="eastAsia" w:ascii="Times New Roman" w:hAnsi="Times New Roman" w:eastAsia="宋体" w:cs="Times New Roman"/>
                <w:b w:val="0"/>
                <w:i w:val="0"/>
                <w:caps w:val="0"/>
                <w:color w:val="000000"/>
                <w:spacing w:val="0"/>
                <w:kern w:val="2"/>
                <w:sz w:val="21"/>
                <w:szCs w:val="21"/>
                <w:shd w:val="clear" w:color="auto" w:fill="FFFFFF"/>
                <w:lang w:val="en-US" w:eastAsia="zh-CN" w:bidi="ar-SA"/>
              </w:rPr>
              <w:t>具有GB/T 35273-2020 《信息安全技术 个人信息安全规范》得25分；</w:t>
            </w:r>
          </w:p>
          <w:p>
            <w:pPr>
              <w:wordWrap w:val="0"/>
              <w:spacing w:line="360" w:lineRule="auto"/>
              <w:jc w:val="left"/>
              <w:rPr>
                <w:rFonts w:hint="eastAsia" w:ascii="宋体" w:hAnsi="宋体" w:eastAsia="宋体" w:cs="宋体"/>
                <w:sz w:val="21"/>
                <w:szCs w:val="21"/>
                <w:highlight w:val="none"/>
                <w:lang w:val="en-US" w:eastAsia="zh-CN"/>
              </w:rPr>
            </w:pPr>
            <w:r>
              <w:rPr>
                <w:rFonts w:hint="eastAsia" w:ascii="Times New Roman" w:hAnsi="Times New Roman" w:eastAsia="宋体" w:cs="Times New Roman"/>
                <w:b w:val="0"/>
                <w:i w:val="0"/>
                <w:caps w:val="0"/>
                <w:color w:val="000000"/>
                <w:spacing w:val="0"/>
                <w:kern w:val="2"/>
                <w:sz w:val="21"/>
                <w:szCs w:val="21"/>
                <w:shd w:val="clear" w:color="auto" w:fill="FFFFFF"/>
                <w:lang w:val="en-US" w:eastAsia="zh-CN" w:bidi="ar-SA"/>
              </w:rPr>
              <w:t>2）具有GB/T22239-2019《信息安全技术 网络安全等级保护基本要求》得25分；</w:t>
            </w:r>
          </w:p>
          <w:p>
            <w:pPr>
              <w:wordWrap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2.投标人具有质量管理体系认证证书得25分；</w:t>
            </w:r>
          </w:p>
          <w:p>
            <w:pPr>
              <w:pStyle w:val="2"/>
              <w:rPr>
                <w:rFonts w:hint="default"/>
                <w:lang w:val="en-US" w:eastAsia="zh-CN"/>
              </w:rPr>
            </w:pPr>
            <w:r>
              <w:rPr>
                <w:rFonts w:hint="eastAsia" w:ascii="宋体" w:hAnsi="宋体" w:eastAsia="宋体" w:cs="宋体"/>
                <w:sz w:val="21"/>
                <w:szCs w:val="21"/>
                <w:highlight w:val="none"/>
                <w:lang w:val="en-US" w:eastAsia="zh-CN"/>
              </w:rPr>
              <w:t>3.投标人具有知识产权管理体系认证证书得25分；</w:t>
            </w:r>
          </w:p>
          <w:p>
            <w:pPr>
              <w:wordWrap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（二）评分依据：</w:t>
            </w:r>
          </w:p>
          <w:p>
            <w:pPr>
              <w:adjustRightInd w:val="0"/>
              <w:snapToGrid w:val="0"/>
              <w:spacing w:line="360" w:lineRule="exact"/>
              <w:jc w:val="left"/>
              <w:rPr>
                <w:rFonts w:hint="eastAsia" w:ascii="宋体" w:hAnsi="宋体" w:eastAsia="宋体" w:cs="宋体"/>
                <w:b w:val="0"/>
                <w:bCs/>
                <w:color w:val="auto"/>
                <w:kern w:val="0"/>
                <w:szCs w:val="21"/>
              </w:rPr>
            </w:pPr>
            <w:r>
              <w:rPr>
                <w:rFonts w:hint="eastAsia" w:ascii="宋体" w:hAnsi="宋体" w:eastAsia="宋体" w:cs="宋体"/>
                <w:b w:val="0"/>
                <w:bCs/>
                <w:color w:val="auto"/>
                <w:kern w:val="0"/>
                <w:szCs w:val="21"/>
              </w:rPr>
              <w:t>1、提供相关认证机构颁发的有效期内的认证证书扫描件及认证信息查询截图（截图需显示证书状态为有效）。</w:t>
            </w:r>
          </w:p>
          <w:p>
            <w:pPr>
              <w:adjustRightInd w:val="0"/>
              <w:snapToGrid w:val="0"/>
              <w:spacing w:line="360" w:lineRule="exact"/>
              <w:jc w:val="left"/>
              <w:rPr>
                <w:rFonts w:hint="eastAsia" w:ascii="宋体" w:hAnsi="宋体" w:eastAsia="宋体" w:cs="宋体"/>
                <w:b w:val="0"/>
                <w:bCs/>
                <w:color w:val="auto"/>
                <w:kern w:val="0"/>
                <w:szCs w:val="21"/>
              </w:rPr>
            </w:pPr>
            <w:r>
              <w:rPr>
                <w:rFonts w:hint="eastAsia" w:ascii="宋体" w:hAnsi="宋体" w:eastAsia="宋体" w:cs="宋体"/>
                <w:b w:val="0"/>
                <w:bCs/>
                <w:color w:val="auto"/>
                <w:kern w:val="0"/>
                <w:szCs w:val="21"/>
              </w:rPr>
              <w:t>说明：①证书与查询信息截图必须同时提供，缺一不可。未同时提供的不得分，后果由供应商自行承担。②供应商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snapToGrid w:val="0"/>
              <w:spacing w:line="320" w:lineRule="exact"/>
              <w:rPr>
                <w:rFonts w:ascii="宋体" w:hAnsi="宋体" w:cs="宋体"/>
                <w:szCs w:val="21"/>
              </w:rPr>
            </w:pPr>
            <w:r>
              <w:rPr>
                <w:rFonts w:hint="eastAsia" w:ascii="宋体" w:hAnsi="宋体" w:eastAsia="宋体" w:cs="宋体"/>
                <w:b w:val="0"/>
                <w:bCs/>
                <w:color w:val="auto"/>
                <w:kern w:val="0"/>
                <w:szCs w:val="21"/>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hint="eastAsia" w:ascii="宋体" w:hAnsi="宋体" w:cs="宋体" w:eastAsiaTheme="minorEastAsia"/>
                <w:szCs w:val="21"/>
                <w:lang w:val="en-US" w:eastAsia="zh-CN"/>
              </w:rPr>
            </w:pPr>
            <w:r>
              <w:rPr>
                <w:rFonts w:hint="eastAsia" w:ascii="宋体" w:hAnsi="宋体"/>
                <w:szCs w:val="21"/>
                <w:highlight w:val="none"/>
                <w:lang w:val="en-US" w:eastAsia="zh-CN"/>
              </w:rPr>
              <w:t>2</w:t>
            </w:r>
          </w:p>
        </w:tc>
        <w:tc>
          <w:tcPr>
            <w:tcW w:w="2835"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eastAsia="宋体" w:cs="宋体"/>
                <w:sz w:val="21"/>
                <w:szCs w:val="21"/>
                <w:highlight w:val="none"/>
                <w:lang w:val="en-US" w:eastAsia="zh-CN"/>
              </w:rPr>
              <w:t>企业获奖情况</w:t>
            </w:r>
          </w:p>
        </w:tc>
        <w:tc>
          <w:tcPr>
            <w:tcW w:w="681"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ascii="宋体" w:hAnsi="宋体" w:cs="宋体"/>
                <w:szCs w:val="21"/>
              </w:rPr>
            </w:pPr>
            <w:r>
              <w:rPr>
                <w:rFonts w:hint="eastAsia" w:ascii="宋体" w:hAnsi="宋体" w:eastAsia="宋体"/>
                <w:szCs w:val="21"/>
                <w:highlight w:val="none"/>
                <w:lang w:val="en-US" w:eastAsia="zh-CN"/>
              </w:rPr>
              <w:t>2</w:t>
            </w:r>
          </w:p>
        </w:tc>
        <w:tc>
          <w:tcPr>
            <w:tcW w:w="4196"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lang w:val="en-US" w:eastAsia="zh-CN"/>
              </w:rPr>
            </w:pPr>
            <w:r>
              <w:rPr>
                <w:rFonts w:hint="eastAsia"/>
                <w:lang w:val="en-US" w:eastAsia="zh-CN"/>
              </w:rPr>
              <w:t>（一）</w:t>
            </w:r>
            <w:r>
              <w:rPr>
                <w:rFonts w:hint="eastAsia"/>
              </w:rPr>
              <w:t>评审内容</w:t>
            </w:r>
            <w:r>
              <w:rPr>
                <w:rFonts w:hint="eastAsia"/>
                <w:lang w:val="en-US" w:eastAsia="zh-CN"/>
              </w:rPr>
              <w:t>：</w:t>
            </w:r>
          </w:p>
          <w:p>
            <w:pPr>
              <w:widowControl/>
              <w:jc w:val="left"/>
              <w:rPr>
                <w:rFonts w:hint="eastAsia"/>
                <w:lang w:val="en-US" w:eastAsia="zh-CN"/>
              </w:rPr>
            </w:pPr>
            <w:r>
              <w:rPr>
                <w:rFonts w:hint="eastAsia"/>
                <w:lang w:val="en-US" w:eastAsia="zh-CN"/>
              </w:rPr>
              <w:t>投标人在承接的检测项目工作或行业标准制定（含应用）或相关技术平台中，获得过政府部门颁发的荣誉的：</w:t>
            </w:r>
          </w:p>
          <w:p>
            <w:pPr>
              <w:widowControl/>
              <w:jc w:val="left"/>
              <w:rPr>
                <w:rFonts w:hint="eastAsia"/>
                <w:lang w:val="en-US" w:eastAsia="zh-CN"/>
              </w:rPr>
            </w:pPr>
            <w:r>
              <w:rPr>
                <w:rFonts w:hint="eastAsia"/>
                <w:lang w:val="en-US" w:eastAsia="zh-CN"/>
              </w:rPr>
              <w:t>1.每提供一个国家级的，得50分；</w:t>
            </w:r>
          </w:p>
          <w:p>
            <w:pPr>
              <w:widowControl/>
              <w:jc w:val="left"/>
              <w:rPr>
                <w:rFonts w:hint="eastAsia"/>
                <w:lang w:val="en-US" w:eastAsia="zh-CN"/>
              </w:rPr>
            </w:pPr>
            <w:r>
              <w:rPr>
                <w:rFonts w:hint="eastAsia"/>
                <w:lang w:val="en-US" w:eastAsia="zh-CN"/>
              </w:rPr>
              <w:t>2.每提供一个省级（含副省级）的，得10分，此小项最高得50分；</w:t>
            </w:r>
          </w:p>
          <w:p>
            <w:pPr>
              <w:widowControl/>
              <w:jc w:val="left"/>
              <w:rPr>
                <w:rFonts w:hint="eastAsia"/>
                <w:lang w:val="en-US" w:eastAsia="zh-CN"/>
              </w:rPr>
            </w:pPr>
            <w:r>
              <w:rPr>
                <w:rFonts w:hint="eastAsia"/>
                <w:lang w:val="en-US" w:eastAsia="zh-CN"/>
              </w:rPr>
              <w:t>以上1-2项合计最高得100分，同一项目同时获得两次奖项的，以最高级别奖项计分。</w:t>
            </w:r>
          </w:p>
          <w:p>
            <w:pPr>
              <w:widowControl/>
              <w:jc w:val="left"/>
              <w:rPr>
                <w:rFonts w:hint="eastAsia"/>
                <w:lang w:val="en-US" w:eastAsia="zh-CN"/>
              </w:rPr>
            </w:pPr>
            <w:r>
              <w:rPr>
                <w:rFonts w:hint="eastAsia"/>
                <w:lang w:val="en-US" w:eastAsia="zh-CN"/>
              </w:rPr>
              <w:t>（二）评分依据:</w:t>
            </w:r>
          </w:p>
          <w:p>
            <w:pPr>
              <w:snapToGrid w:val="0"/>
              <w:spacing w:line="320" w:lineRule="exact"/>
              <w:rPr>
                <w:rFonts w:hint="eastAsia"/>
                <w:lang w:val="en-US" w:eastAsia="zh-CN"/>
              </w:rPr>
            </w:pPr>
            <w:r>
              <w:rPr>
                <w:rFonts w:hint="eastAsia"/>
                <w:lang w:val="en-US" w:eastAsia="zh-CN"/>
              </w:rPr>
              <w:t>1.要求提供奖项照片或获奖（荣誉）证书等证明材料作为得分依据。</w:t>
            </w:r>
          </w:p>
          <w:p>
            <w:pPr>
              <w:snapToGrid w:val="0"/>
              <w:spacing w:line="320" w:lineRule="exact"/>
              <w:rPr>
                <w:rFonts w:hint="eastAsia"/>
                <w:lang w:val="en-US" w:eastAsia="zh-CN"/>
              </w:rPr>
            </w:pPr>
            <w:r>
              <w:rPr>
                <w:rFonts w:hint="eastAsia"/>
                <w:lang w:val="en-US" w:eastAsia="zh-CN"/>
              </w:rPr>
              <w:t>2.未按要求提供相关证明材料（或相关证明材料无法判断是否符合评分要求）的不计得分，原件备查。</w:t>
            </w:r>
          </w:p>
          <w:p>
            <w:pPr>
              <w:pStyle w:val="2"/>
            </w:pPr>
            <w:r>
              <w:t>注：①国家级荣誉要求颁发单位为国务院及其直属的国家机关（或事业单位）；②省级（含副省级）荣誉要求颁发单位为省政府（含副省级政府）及其直属的国家机关（或事业单位）；市级荣誉要求颁发单位为市政府及其直属的国家机关（或事业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hint="eastAsia" w:ascii="宋体" w:hAnsi="宋体" w:cs="宋体"/>
                <w:szCs w:val="21"/>
                <w:lang w:val="en-US" w:eastAsia="zh-CN"/>
              </w:rPr>
            </w:pPr>
            <w:r>
              <w:rPr>
                <w:rFonts w:hint="eastAsia" w:ascii="宋体" w:hAnsi="宋体"/>
                <w:szCs w:val="21"/>
                <w:highlight w:val="none"/>
                <w:lang w:val="en-US" w:eastAsia="zh-CN"/>
              </w:rPr>
              <w:t>3</w:t>
            </w:r>
          </w:p>
        </w:tc>
        <w:tc>
          <w:tcPr>
            <w:tcW w:w="2835"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投标人经验情况</w:t>
            </w:r>
          </w:p>
        </w:tc>
        <w:tc>
          <w:tcPr>
            <w:tcW w:w="681" w:type="dxa"/>
            <w:tcBorders>
              <w:top w:val="single" w:color="000000" w:sz="8" w:space="0"/>
              <w:left w:val="single" w:color="000000" w:sz="8" w:space="0"/>
              <w:bottom w:val="single" w:color="000000" w:sz="8" w:space="0"/>
              <w:right w:val="single" w:color="000000" w:sz="8" w:space="0"/>
            </w:tcBorders>
            <w:vAlign w:val="center"/>
          </w:tcPr>
          <w:p>
            <w:pPr>
              <w:spacing w:line="320" w:lineRule="exact"/>
              <w:jc w:val="center"/>
              <w:rPr>
                <w:rFonts w:hint="eastAsia" w:ascii="宋体" w:hAnsi="宋体"/>
                <w:szCs w:val="21"/>
                <w:highlight w:val="none"/>
                <w:lang w:val="en-US" w:eastAsia="zh-CN"/>
              </w:rPr>
            </w:pPr>
            <w:r>
              <w:rPr>
                <w:rFonts w:hint="eastAsia" w:ascii="宋体" w:hAnsi="宋体"/>
                <w:szCs w:val="21"/>
                <w:highlight w:val="none"/>
                <w:lang w:val="en-US" w:eastAsia="zh-CN"/>
              </w:rPr>
              <w:t>5</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评审内容：</w:t>
            </w:r>
          </w:p>
          <w:p>
            <w:pP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02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年1月1日本项目投标截止时间，以合同签订日期为准</w:t>
            </w:r>
            <w:r>
              <w:rPr>
                <w:rFonts w:hint="eastAsia" w:ascii="宋体" w:hAnsi="宋体" w:eastAsia="宋体" w:cs="宋体"/>
                <w:sz w:val="21"/>
                <w:szCs w:val="21"/>
                <w:highlight w:val="none"/>
                <w:lang w:eastAsia="zh-CN"/>
              </w:rPr>
              <w:t>：</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投标人实施过</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rPr>
              <w:t>等保测评服务项目（合同内容</w:t>
            </w:r>
            <w:r>
              <w:rPr>
                <w:rFonts w:hint="eastAsia" w:ascii="宋体" w:hAnsi="宋体" w:eastAsia="宋体" w:cs="宋体"/>
                <w:sz w:val="21"/>
                <w:szCs w:val="21"/>
                <w:highlight w:val="none"/>
                <w:lang w:val="en-US" w:eastAsia="zh-CN"/>
              </w:rPr>
              <w:t>中包含等保测评服务的</w:t>
            </w:r>
            <w:r>
              <w:rPr>
                <w:rFonts w:hint="eastAsia" w:ascii="宋体" w:hAnsi="宋体" w:eastAsia="宋体" w:cs="宋体"/>
                <w:sz w:val="21"/>
                <w:szCs w:val="21"/>
                <w:highlight w:val="none"/>
              </w:rPr>
              <w:t>项目），</w:t>
            </w:r>
            <w:r>
              <w:rPr>
                <w:rFonts w:hint="eastAsia" w:ascii="宋体" w:hAnsi="宋体" w:eastAsia="宋体" w:cs="宋体"/>
                <w:sz w:val="21"/>
                <w:szCs w:val="21"/>
                <w:highlight w:val="none"/>
                <w:lang w:val="en-US" w:eastAsia="zh-CN"/>
              </w:rPr>
              <w:t>每</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一个</w:t>
            </w:r>
            <w:r>
              <w:rPr>
                <w:rFonts w:hint="eastAsia" w:ascii="宋体" w:hAnsi="宋体" w:eastAsia="宋体" w:cs="宋体"/>
                <w:sz w:val="21"/>
                <w:szCs w:val="21"/>
                <w:highlight w:val="none"/>
              </w:rPr>
              <w:t>等保测评服务合同得</w:t>
            </w:r>
            <w:r>
              <w:rPr>
                <w:rFonts w:hint="eastAsia" w:ascii="宋体" w:hAnsi="宋体" w:eastAsia="宋体" w:cs="宋体"/>
                <w:sz w:val="21"/>
                <w:szCs w:val="21"/>
                <w:highlight w:val="none"/>
                <w:lang w:val="en-US" w:eastAsia="zh-CN"/>
              </w:rPr>
              <w:t>分20分</w:t>
            </w:r>
            <w:r>
              <w:rPr>
                <w:rFonts w:hint="eastAsia" w:ascii="宋体" w:hAnsi="宋体" w:eastAsia="宋体" w:cs="宋体"/>
                <w:sz w:val="21"/>
                <w:szCs w:val="21"/>
                <w:highlight w:val="none"/>
              </w:rPr>
              <w:t>，最高得</w:t>
            </w:r>
            <w:r>
              <w:rPr>
                <w:rFonts w:hint="eastAsia" w:ascii="宋体" w:hAnsi="宋体" w:eastAsia="宋体" w:cs="宋体"/>
                <w:sz w:val="21"/>
                <w:szCs w:val="21"/>
                <w:highlight w:val="none"/>
                <w:lang w:val="en-US" w:eastAsia="zh-CN"/>
              </w:rPr>
              <w:t>100分</w:t>
            </w:r>
            <w:r>
              <w:rPr>
                <w:rFonts w:hint="eastAsia" w:ascii="宋体" w:hAnsi="宋体" w:eastAsia="宋体" w:cs="宋体"/>
                <w:sz w:val="21"/>
                <w:szCs w:val="21"/>
                <w:highlight w:val="none"/>
              </w:rPr>
              <w:t>。</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（二）评分依据：</w:t>
            </w:r>
          </w:p>
          <w:p>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投标人需要提供合同的关键页面（含签订合同双方的单位名称、合同项目名称、项目金额与含签订合同双方的落款盖章、签订日期的关键页）。</w:t>
            </w:r>
          </w:p>
          <w:p>
            <w:pPr>
              <w:snapToGrid w:val="0"/>
              <w:spacing w:line="32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eastAsia="宋体" w:cs="宋体"/>
                <w:b w:val="0"/>
                <w:bCs/>
                <w:color w:val="auto"/>
                <w:kern w:val="0"/>
                <w:szCs w:val="21"/>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4</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诚信情况</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1</w:t>
            </w:r>
          </w:p>
        </w:tc>
        <w:tc>
          <w:tcPr>
            <w:tcW w:w="2835"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诚信情况</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cs="宋体"/>
                <w:szCs w:val="21"/>
              </w:rPr>
            </w:pPr>
            <w:r>
              <w:rPr>
                <w:rFonts w:hint="eastAsia"/>
              </w:rPr>
              <w:t>5</w:t>
            </w:r>
          </w:p>
        </w:tc>
        <w:tc>
          <w:tcPr>
            <w:tcW w:w="4196" w:type="dxa"/>
            <w:tcBorders>
              <w:top w:val="single" w:color="000000" w:sz="8" w:space="0"/>
              <w:left w:val="single" w:color="000000" w:sz="8" w:space="0"/>
              <w:bottom w:val="single" w:color="000000" w:sz="8" w:space="0"/>
              <w:right w:val="single" w:color="000000" w:sz="8" w:space="0"/>
            </w:tcBorders>
            <w:vAlign w:val="top"/>
          </w:tcPr>
          <w:p>
            <w:pPr>
              <w:pStyle w:val="8"/>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8"/>
              <w:wordWrap w:val="0"/>
              <w:spacing w:line="240" w:lineRule="auto"/>
              <w:ind w:firstLine="420" w:firstLineChars="200"/>
              <w:rPr>
                <w:rFonts w:ascii="宋体" w:hAnsi="宋体" w:cs="宋体"/>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pPr>
        <w:rPr>
          <w:rFonts w:ascii="宋体" w:hAnsi="宋体"/>
          <w:sz w:val="24"/>
        </w:rPr>
      </w:pPr>
    </w:p>
    <w:p>
      <w:pPr>
        <w:jc w:val="center"/>
        <w:rPr>
          <w:rFonts w:hint="eastAsia"/>
          <w:b/>
          <w:sz w:val="120"/>
          <w:szCs w:val="120"/>
        </w:rPr>
      </w:pPr>
    </w:p>
    <w:p>
      <w:pPr>
        <w:jc w:val="center"/>
        <w:rPr>
          <w:rFonts w:hint="eastAsia"/>
          <w:b/>
          <w:sz w:val="120"/>
          <w:szCs w:val="120"/>
        </w:rPr>
      </w:pPr>
    </w:p>
    <w:p>
      <w:pPr>
        <w:jc w:val="center"/>
        <w:rPr>
          <w:rFonts w:hint="eastAsia"/>
          <w:b/>
          <w:sz w:val="120"/>
          <w:szCs w:val="120"/>
        </w:rPr>
      </w:pPr>
    </w:p>
    <w:p>
      <w:pPr>
        <w:jc w:val="center"/>
        <w:rPr>
          <w:b/>
          <w:sz w:val="120"/>
          <w:szCs w:val="120"/>
        </w:rPr>
      </w:pPr>
      <w:r>
        <w:rPr>
          <w:rFonts w:hint="eastAsia"/>
          <w:b/>
          <w:sz w:val="120"/>
          <w:szCs w:val="120"/>
          <w:lang w:val="en-US" w:eastAsia="zh-CN"/>
        </w:rPr>
        <w:t>自行</w:t>
      </w:r>
      <w:r>
        <w:rPr>
          <w:rFonts w:hint="eastAsia"/>
          <w:b/>
          <w:sz w:val="120"/>
          <w:szCs w:val="120"/>
        </w:rPr>
        <w:t>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（服务类）</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bookmarkStart w:id="0" w:name="_Hlk71465316"/>
      <w:r>
        <w:rPr>
          <w:rFonts w:hint="eastAsia"/>
          <w:b/>
          <w:sz w:val="44"/>
          <w:szCs w:val="44"/>
        </w:rPr>
        <w:t>深圳公共资源交易中心</w:t>
      </w:r>
    </w:p>
    <w:p>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pPr>
        <w:ind w:firstLine="420" w:firstLineChars="200"/>
        <w:rPr>
          <w:rFonts w:hint="eastAsia"/>
        </w:rPr>
      </w:pPr>
      <w:r>
        <w:rPr>
          <w:rFonts w:hint="eastAsia"/>
        </w:rPr>
        <w:br w:type="page"/>
      </w:r>
    </w:p>
    <w:p>
      <w:pPr>
        <w:pStyle w:val="3"/>
        <w:jc w:val="center"/>
      </w:pPr>
      <w:r>
        <w:rPr>
          <w:rFonts w:hint="eastAsia"/>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outlineLvl w:val="0"/>
        <w:rPr>
          <w:b/>
          <w:sz w:val="24"/>
        </w:rPr>
      </w:pPr>
      <w:r>
        <w:rPr>
          <w:rFonts w:hint="eastAsia" w:ascii="宋体" w:hAnsi="宋体"/>
          <w:szCs w:val="21"/>
        </w:rPr>
        <w:t>第十一章  质疑处理</w:t>
      </w:r>
    </w:p>
    <w:p>
      <w:pPr>
        <w:spacing w:line="360" w:lineRule="auto"/>
        <w:ind w:firstLine="420" w:firstLineChars="200"/>
        <w:jc w:val="left"/>
        <w:rPr>
          <w:rFonts w:ascii="宋体" w:hAnsi="宋体"/>
          <w:szCs w:val="21"/>
        </w:rPr>
      </w:pPr>
    </w:p>
    <w:p>
      <w:pPr>
        <w:pStyle w:val="3"/>
        <w:jc w:val="center"/>
        <w:rPr>
          <w:sz w:val="24"/>
        </w:rPr>
      </w:pPr>
      <w:r>
        <w:br w:type="page"/>
      </w:r>
      <w:bookmarkStart w:id="2" w:name="bt商务标投标文件格式"/>
      <w:bookmarkEnd w:id="2"/>
      <w:bookmarkStart w:id="3" w:name="bt技术标投标文件格式"/>
      <w:bookmarkEnd w:id="3"/>
      <w:bookmarkStart w:id="4" w:name="bt投标人情况介绍"/>
      <w:bookmarkEnd w:id="4"/>
      <w:bookmarkStart w:id="5" w:name="bt其他资料由投标人自定"/>
      <w:bookmarkEnd w:id="5"/>
      <w:bookmarkStart w:id="6" w:name="bt投标人须知"/>
      <w:bookmarkEnd w:id="6"/>
      <w:bookmarkStart w:id="7" w:name="bt合同格式"/>
      <w:bookmarkEnd w:id="7"/>
      <w:bookmarkStart w:id="8" w:name="bt其他资料2"/>
      <w:bookmarkEnd w:id="8"/>
      <w:bookmarkStart w:id="9" w:name="bt本工程承诺书"/>
      <w:bookmarkEnd w:id="9"/>
      <w:bookmarkStart w:id="10" w:name="bt说明"/>
      <w:bookmarkEnd w:id="10"/>
      <w:bookmarkStart w:id="11" w:name="bt项目管理班子配备情况"/>
      <w:bookmarkEnd w:id="11"/>
      <w:bookmarkStart w:id="12" w:name="bt投标文件签署授权委托书"/>
      <w:bookmarkEnd w:id="12"/>
      <w:bookmarkStart w:id="13" w:name="bt开标一览表"/>
      <w:bookmarkEnd w:id="13"/>
      <w:bookmarkStart w:id="14" w:name="合同格式"/>
      <w:bookmarkEnd w:id="14"/>
      <w:bookmarkStart w:id="15" w:name="bt合同条款"/>
      <w:bookmarkEnd w:id="15"/>
      <w:bookmarkStart w:id="16" w:name="bt投标函"/>
      <w:bookmarkEnd w:id="16"/>
      <w:bookmarkStart w:id="17" w:name="bt投标报价汇总表"/>
      <w:bookmarkEnd w:id="17"/>
      <w:bookmarkStart w:id="18" w:name="bt合同条款及格式"/>
      <w:bookmarkEnd w:id="18"/>
      <w:r>
        <w:rPr>
          <w:rFonts w:hint="eastAsia"/>
        </w:rPr>
        <w:t>第一册</w:t>
      </w:r>
      <w:r>
        <w:rPr>
          <w:rFonts w:hint="eastAsia"/>
          <w:lang w:val="en-US" w:eastAsia="zh-CN"/>
        </w:rPr>
        <w:t xml:space="preserve">  </w:t>
      </w:r>
      <w:r>
        <w:rPr>
          <w:rFonts w:hint="eastAsia"/>
        </w:rPr>
        <w:t>专用条款</w:t>
      </w:r>
    </w:p>
    <w:p>
      <w:pPr>
        <w:pStyle w:val="6"/>
        <w:jc w:val="center"/>
        <w:rPr>
          <w:rFonts w:hint="eastAsia"/>
          <w:sz w:val="28"/>
          <w:szCs w:val="28"/>
        </w:rPr>
      </w:pPr>
      <w:r>
        <w:rPr>
          <w:rFonts w:hint="eastAsia"/>
          <w:sz w:val="28"/>
          <w:szCs w:val="28"/>
        </w:rPr>
        <w:t>第一章  招标公告</w:t>
      </w:r>
    </w:p>
    <w:tbl>
      <w:tblPr>
        <w:tblStyle w:val="20"/>
        <w:tblW w:w="8147" w:type="dxa"/>
        <w:jc w:val="center"/>
        <w:tblCellSpacing w:w="0" w:type="dxa"/>
        <w:tblLayout w:type="fixed"/>
        <w:tblCellMar>
          <w:top w:w="0" w:type="dxa"/>
          <w:left w:w="0" w:type="dxa"/>
          <w:bottom w:w="0" w:type="dxa"/>
          <w:right w:w="0" w:type="dxa"/>
        </w:tblCellMar>
      </w:tblPr>
      <w:tblGrid>
        <w:gridCol w:w="8147"/>
      </w:tblGrid>
      <w:tr>
        <w:trPr>
          <w:tblCellSpacing w:w="0" w:type="dxa"/>
          <w:jc w:val="center"/>
        </w:trPr>
        <w:tc>
          <w:tcPr>
            <w:tcW w:w="8147" w:type="dxa"/>
            <w:vAlign w:val="center"/>
          </w:tcPr>
          <w:tbl>
            <w:tblPr>
              <w:tblStyle w:val="20"/>
              <w:tblW w:w="8147" w:type="dxa"/>
              <w:jc w:val="center"/>
              <w:tblCellSpacing w:w="0" w:type="dxa"/>
              <w:tblLayout w:type="fixed"/>
              <w:tblCellMar>
                <w:top w:w="30" w:type="dxa"/>
                <w:left w:w="30" w:type="dxa"/>
                <w:bottom w:w="30" w:type="dxa"/>
                <w:right w:w="30" w:type="dxa"/>
              </w:tblCellMar>
            </w:tblPr>
            <w:tblGrid>
              <w:gridCol w:w="8147"/>
            </w:tblGrid>
            <w:tr>
              <w:tblPrEx>
                <w:tblCellMar>
                  <w:top w:w="30" w:type="dxa"/>
                  <w:left w:w="30" w:type="dxa"/>
                  <w:bottom w:w="30" w:type="dxa"/>
                  <w:right w:w="30" w:type="dxa"/>
                </w:tblCellMar>
              </w:tblPrEx>
              <w:trPr>
                <w:tblCellSpacing w:w="0" w:type="dxa"/>
                <w:jc w:val="center"/>
              </w:trPr>
              <w:tc>
                <w:tcPr>
                  <w:tcW w:w="8147" w:type="dxa"/>
                </w:tcPr>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39"/>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ascii="宋体" w:hAnsi="宋体" w:cs="宋体"/>
                      <w:kern w:val="0"/>
                      <w:szCs w:val="21"/>
                      <w:highlight w:val="yellow"/>
                      <w:lang w:val="en-US" w:eastAsia="zh-CN"/>
                    </w:rPr>
                  </w:pPr>
                  <w:r>
                    <w:rPr>
                      <w:rFonts w:hint="eastAsia" w:ascii="宋体" w:hAnsi="宋体" w:cs="宋体"/>
                      <w:kern w:val="0"/>
                      <w:szCs w:val="21"/>
                      <w:highlight w:val="yellow"/>
                      <w:lang w:val="en-US" w:eastAsia="zh-CN"/>
                    </w:rPr>
                    <w:t>10.</w:t>
                  </w:r>
                  <w:r>
                    <w:rPr>
                      <w:rFonts w:hint="eastAsia" w:ascii="宋体" w:hAnsi="宋体" w:cs="宋体"/>
                      <w:kern w:val="0"/>
                      <w:szCs w:val="21"/>
                      <w:highlight w:val="yellow"/>
                    </w:rPr>
                    <w:t>投标人必须具备有效期内的公安部第三研究所颁发的《网络安全等级保护测评与检测评估机构服务认证证书》。</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pPr>
              <w:rPr>
                <w:rFonts w:ascii="宋体" w:hAnsi="宋体" w:cs="宋体"/>
                <w:sz w:val="24"/>
              </w:rPr>
            </w:pPr>
          </w:p>
        </w:tc>
      </w:tr>
    </w:tbl>
    <w:p>
      <w:r>
        <w:rPr>
          <w:rFonts w:hint="eastAsia"/>
        </w:rPr>
        <w:br w:type="page"/>
      </w:r>
    </w:p>
    <w:p>
      <w:pPr>
        <w:pStyle w:val="6"/>
        <w:jc w:val="center"/>
        <w:rPr>
          <w:sz w:val="28"/>
          <w:szCs w:val="28"/>
        </w:rPr>
      </w:pPr>
      <w:r>
        <w:rPr>
          <w:rFonts w:hint="eastAsia"/>
          <w:sz w:val="28"/>
          <w:szCs w:val="28"/>
        </w:rPr>
        <w:t>第二章 对通用条款的补充内容及其他关键信息</w:t>
      </w:r>
    </w:p>
    <w:p>
      <w:pPr>
        <w:pStyle w:val="6"/>
        <w:spacing w:before="120" w:beforeLines="50" w:after="120" w:afterLines="50"/>
        <w:jc w:val="center"/>
        <w:rPr>
          <w:sz w:val="28"/>
          <w:szCs w:val="28"/>
        </w:rPr>
      </w:pPr>
      <w:bookmarkStart w:id="19" w:name="_Toc73521547"/>
      <w:bookmarkStart w:id="20" w:name="_Toc101074876"/>
      <w:bookmarkStart w:id="21" w:name="_Toc73518117"/>
      <w:bookmarkStart w:id="22" w:name="_Toc60560625"/>
      <w:bookmarkStart w:id="23" w:name="_Toc100052364"/>
      <w:bookmarkStart w:id="24" w:name="_Toc73517639"/>
      <w:bookmarkStart w:id="25" w:name="_Toc60631620"/>
      <w:bookmarkStart w:id="26" w:name="_Toc73521635"/>
      <w:r>
        <w:rPr>
          <w:rFonts w:hint="eastAsia"/>
          <w:szCs w:val="24"/>
        </w:rPr>
        <w:t>一、对通用条款的补充内容</w:t>
      </w:r>
    </w:p>
    <w:bookmarkEnd w:id="19"/>
    <w:bookmarkEnd w:id="20"/>
    <w:bookmarkEnd w:id="21"/>
    <w:bookmarkEnd w:id="22"/>
    <w:bookmarkEnd w:id="23"/>
    <w:bookmarkEnd w:id="24"/>
    <w:bookmarkEnd w:id="25"/>
    <w:bookmarkEnd w:id="26"/>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cs="宋体"/>
                <w:b/>
                <w:bCs/>
                <w:color w:val="000000"/>
                <w:kern w:val="0"/>
                <w:sz w:val="24"/>
                <w:highlight w:val="none"/>
                <w:lang w:val="en-US" w:eastAsia="zh-CN"/>
              </w:rPr>
              <w:t>深圳市宝安区教育事业发展中心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p>
      <w:pPr>
        <w:rPr>
          <w:b/>
        </w:rPr>
      </w:pPr>
    </w:p>
    <w:p>
      <w:pPr>
        <w:pStyle w:val="6"/>
        <w:spacing w:before="120" w:beforeLines="50" w:after="120" w:afterLines="50"/>
        <w:jc w:val="center"/>
        <w:rPr>
          <w:szCs w:val="24"/>
        </w:rPr>
      </w:pPr>
      <w:r>
        <w:rPr>
          <w:rFonts w:hint="eastAsia"/>
          <w:szCs w:val="24"/>
        </w:rPr>
        <w:t>二、其他关键信息</w:t>
      </w:r>
    </w:p>
    <w:p>
      <w:pPr>
        <w:ind w:firstLine="422" w:firstLineChars="200"/>
        <w:rPr>
          <w:b/>
          <w:bCs/>
        </w:rPr>
      </w:pPr>
      <w:r>
        <w:rPr>
          <w:rFonts w:hint="eastAsia"/>
          <w:b/>
          <w:bCs/>
        </w:rPr>
        <w:t>（一）与“对通用条款的补充内容”章节相关的事项</w:t>
      </w:r>
    </w:p>
    <w:p>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pPr>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hint="default" w:eastAsia="宋体"/>
                <w:lang w:val="en-US" w:eastAsia="zh-CN"/>
              </w:rPr>
            </w:pPr>
            <w:r>
              <w:rPr>
                <w:rFonts w:hint="eastAsia"/>
              </w:rPr>
              <w:sym w:font="Wingdings" w:char="00FE"/>
            </w:r>
            <w:r>
              <w:rPr>
                <w:rFonts w:hint="eastAsia"/>
              </w:rPr>
              <w:t>综合评分法</w:t>
            </w:r>
          </w:p>
        </w:tc>
        <w:tc>
          <w:tcPr>
            <w:tcW w:w="2450" w:type="dxa"/>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hint="default" w:eastAsia="宋体"/>
                <w:lang w:val="en-US" w:eastAsia="zh-CN"/>
              </w:rPr>
            </w:pPr>
            <w:r>
              <w:rPr>
                <w:rFonts w:hint="eastAsia"/>
              </w:rPr>
              <w:t>1</w:t>
            </w:r>
          </w:p>
        </w:tc>
        <w:tc>
          <w:tcPr>
            <w:tcW w:w="2450" w:type="dxa"/>
          </w:tcPr>
          <w:p>
            <w:pPr>
              <w:jc w:val="center"/>
              <w:rPr>
                <w:rFonts w:hint="eastAsia" w:eastAsia="宋体"/>
                <w:lang w:eastAsia="zh-CN"/>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rPr>
                <w:rFonts w:hint="eastAsia"/>
              </w:rPr>
            </w:pPr>
            <w:r>
              <w:rPr>
                <w:rFonts w:hint="eastAsia"/>
              </w:rPr>
              <w:t>1</w:t>
            </w:r>
          </w:p>
        </w:tc>
      </w:tr>
    </w:tbl>
    <w:p>
      <w:pPr>
        <w:pStyle w:val="9"/>
      </w:pPr>
    </w:p>
    <w:bookmarkEnd w:id="28"/>
    <w:p>
      <w:pPr>
        <w:ind w:firstLine="422" w:firstLineChars="200"/>
      </w:pPr>
      <w:r>
        <w:rPr>
          <w:b/>
          <w:bCs/>
        </w:rPr>
        <w:t>1</w:t>
      </w:r>
      <w:r>
        <w:rPr>
          <w:rFonts w:hint="eastAsia"/>
          <w:b/>
          <w:bCs/>
        </w:rPr>
        <w:t>、关于享受优惠政策的主体及价格扣除比例</w:t>
      </w:r>
    </w:p>
    <w:p>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eastAsia="宋体"/>
          <w:color w:val="000000" w:themeColor="text1"/>
          <w:u w:val="none"/>
          <w:lang w:eastAsia="zh-CN"/>
        </w:rPr>
        <w:t>（</w:t>
      </w:r>
      <w:r>
        <w:rPr>
          <w:rFonts w:hint="eastAsia" w:ascii="Times New Roman" w:eastAsia="宋体"/>
          <w:color w:val="000000" w:themeColor="text1"/>
          <w:u w:val="none"/>
          <w:lang w:val="en-US" w:eastAsia="zh-CN"/>
        </w:rPr>
        <w:t>10%~20%</w:t>
      </w:r>
      <w:r>
        <w:rPr>
          <w:rFonts w:hint="eastAsia" w:eastAsia="宋体"/>
          <w:color w:val="000000" w:themeColor="text1"/>
          <w:u w:val="none"/>
          <w:lang w:eastAsia="zh-CN"/>
        </w:rPr>
        <w:t>）</w:t>
      </w:r>
      <w:r>
        <w:rPr>
          <w:rFonts w:hint="eastAsia"/>
        </w:rPr>
        <w:t>的扣除，用扣除后的价格参与评审。满足多项优惠政策的企业，不重复享受多项价格扣除政策。</w:t>
      </w:r>
    </w:p>
    <w:p>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pPr>
        <w:numPr>
          <w:ilvl w:val="0"/>
          <w:numId w:val="4"/>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pPr>
        <w:numPr>
          <w:ilvl w:val="0"/>
          <w:numId w:val="4"/>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pPr>
        <w:numPr>
          <w:ilvl w:val="0"/>
          <w:numId w:val="4"/>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rPr>
          <w:b/>
        </w:rPr>
        <w:sectPr>
          <w:pgSz w:w="11907" w:h="16840"/>
          <w:pgMar w:top="1440" w:right="1797" w:bottom="1440" w:left="1797" w:header="851" w:footer="992" w:gutter="0"/>
          <w:cols w:space="425" w:num="1"/>
          <w:titlePg/>
          <w:docGrid w:linePitch="462" w:charSpace="0"/>
        </w:sectPr>
      </w:pPr>
    </w:p>
    <w:p>
      <w:pPr>
        <w:pStyle w:val="6"/>
        <w:jc w:val="center"/>
        <w:rPr>
          <w:sz w:val="28"/>
          <w:szCs w:val="28"/>
        </w:rPr>
      </w:pPr>
      <w:bookmarkStart w:id="29" w:name="_Toc128884461"/>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20"/>
        <w:tblpPr w:leftFromText="180" w:rightFromText="180" w:vertAnchor="text" w:horzAnchor="margin" w:tblpY="173"/>
        <w:tblW w:w="7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478"/>
        <w:gridCol w:w="2764"/>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pPr>
              <w:jc w:val="center"/>
              <w:rPr>
                <w:bCs/>
                <w:szCs w:val="21"/>
              </w:rPr>
            </w:pPr>
            <w:r>
              <w:rPr>
                <w:rFonts w:hint="eastAsia"/>
                <w:bCs/>
                <w:szCs w:val="21"/>
              </w:rPr>
              <w:t>序号</w:t>
            </w:r>
          </w:p>
        </w:tc>
        <w:tc>
          <w:tcPr>
            <w:tcW w:w="2478" w:type="dxa"/>
            <w:vAlign w:val="center"/>
          </w:tcPr>
          <w:p>
            <w:pPr>
              <w:jc w:val="center"/>
              <w:rPr>
                <w:bCs/>
                <w:szCs w:val="21"/>
              </w:rPr>
            </w:pPr>
            <w:r>
              <w:rPr>
                <w:rFonts w:hint="eastAsia"/>
                <w:szCs w:val="21"/>
              </w:rPr>
              <w:t>采购计划编号</w:t>
            </w:r>
          </w:p>
        </w:tc>
        <w:tc>
          <w:tcPr>
            <w:tcW w:w="2764" w:type="dxa"/>
            <w:vAlign w:val="center"/>
          </w:tcPr>
          <w:p>
            <w:pPr>
              <w:jc w:val="center"/>
              <w:rPr>
                <w:bCs/>
                <w:szCs w:val="21"/>
              </w:rPr>
            </w:pPr>
            <w:r>
              <w:rPr>
                <w:rFonts w:hint="eastAsia"/>
                <w:bCs/>
                <w:szCs w:val="21"/>
              </w:rPr>
              <w:t>采购项目名称</w:t>
            </w:r>
          </w:p>
        </w:tc>
        <w:tc>
          <w:tcPr>
            <w:tcW w:w="2090" w:type="dxa"/>
            <w:vAlign w:val="center"/>
          </w:tcPr>
          <w:p>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pPr>
              <w:jc w:val="center"/>
              <w:rPr>
                <w:b/>
                <w:bCs/>
                <w:color w:val="FF0000"/>
                <w:szCs w:val="21"/>
              </w:rPr>
            </w:pPr>
            <w:r>
              <w:rPr>
                <w:rFonts w:hint="eastAsia"/>
                <w:b/>
                <w:bCs/>
                <w:color w:val="FF000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13" w:type="dxa"/>
            <w:vAlign w:val="center"/>
          </w:tcPr>
          <w:p>
            <w:pPr>
              <w:jc w:val="center"/>
              <w:rPr>
                <w:bCs/>
                <w:color w:val="FF0000"/>
                <w:szCs w:val="21"/>
              </w:rPr>
            </w:pPr>
            <w:r>
              <w:rPr>
                <w:rFonts w:hint="eastAsia"/>
                <w:bCs/>
                <w:color w:val="FF0000"/>
                <w:szCs w:val="21"/>
              </w:rPr>
              <w:t>1</w:t>
            </w:r>
          </w:p>
        </w:tc>
        <w:tc>
          <w:tcPr>
            <w:tcW w:w="2478" w:type="dxa"/>
            <w:vAlign w:val="center"/>
          </w:tcPr>
          <w:p>
            <w:pPr>
              <w:jc w:val="center"/>
              <w:rPr>
                <w:rFonts w:hint="eastAsia" w:eastAsiaTheme="minorEastAsia"/>
                <w:bCs/>
                <w:color w:val="FF0000"/>
                <w:szCs w:val="21"/>
                <w:lang w:eastAsia="zh-CN"/>
              </w:rPr>
            </w:pPr>
            <w:r>
              <w:rPr>
                <w:rFonts w:hint="eastAsia" w:eastAsiaTheme="minorEastAsia"/>
                <w:bCs/>
                <w:color w:val="FF0000"/>
                <w:szCs w:val="21"/>
                <w:lang w:eastAsia="zh-CN"/>
              </w:rPr>
              <w:t>BAJYJ2025062001599C</w:t>
            </w:r>
          </w:p>
        </w:tc>
        <w:tc>
          <w:tcPr>
            <w:tcW w:w="2764" w:type="dxa"/>
            <w:vAlign w:val="center"/>
          </w:tcPr>
          <w:p>
            <w:pPr>
              <w:jc w:val="center"/>
              <w:rPr>
                <w:b/>
                <w:bCs/>
                <w:color w:val="FF0000"/>
                <w:szCs w:val="21"/>
              </w:rPr>
            </w:pPr>
            <w:r>
              <w:rPr>
                <w:rFonts w:hint="eastAsia"/>
                <w:b/>
                <w:bCs/>
                <w:color w:val="FF0000"/>
                <w:szCs w:val="21"/>
                <w:lang w:val="en-US" w:eastAsia="zh-CN"/>
              </w:rPr>
              <w:t>宝安教育城域网2025年度信息系统安全等级保护测评服务</w:t>
            </w:r>
          </w:p>
        </w:tc>
        <w:tc>
          <w:tcPr>
            <w:tcW w:w="2090" w:type="dxa"/>
            <w:vAlign w:val="center"/>
          </w:tcPr>
          <w:p>
            <w:pPr>
              <w:jc w:val="center"/>
              <w:rPr>
                <w:rFonts w:hint="default" w:eastAsiaTheme="minorEastAsia"/>
                <w:bCs/>
                <w:color w:val="FF0000"/>
                <w:szCs w:val="21"/>
                <w:lang w:val="en-US" w:eastAsia="zh-CN"/>
              </w:rPr>
            </w:pPr>
            <w:r>
              <w:rPr>
                <w:rFonts w:hint="eastAsia"/>
                <w:bCs/>
                <w:color w:val="FF0000"/>
                <w:szCs w:val="21"/>
                <w:lang w:val="en-US" w:eastAsia="zh-CN"/>
              </w:rPr>
              <w:t>300000.00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655" w:type="dxa"/>
            <w:gridSpan w:val="3"/>
            <w:shd w:val="clear" w:color="auto" w:fill="auto"/>
            <w:vAlign w:val="center"/>
          </w:tcPr>
          <w:p>
            <w:pPr>
              <w:jc w:val="center"/>
              <w:rPr>
                <w:rFonts w:ascii="Times New Roman" w:hAnsi="Times New Roman" w:eastAsia="宋体" w:cs="Times New Roman"/>
                <w:b/>
                <w:bCs/>
                <w:color w:val="FF0000"/>
                <w:kern w:val="2"/>
                <w:sz w:val="21"/>
                <w:szCs w:val="21"/>
                <w:lang w:val="en-US" w:eastAsia="zh-CN" w:bidi="ar-SA"/>
              </w:rPr>
            </w:pPr>
            <w:r>
              <w:rPr>
                <w:b/>
                <w:bCs/>
                <w:color w:val="FF0000"/>
                <w:szCs w:val="21"/>
              </w:rPr>
              <w:t>合计</w:t>
            </w:r>
          </w:p>
        </w:tc>
        <w:tc>
          <w:tcPr>
            <w:tcW w:w="2090" w:type="dxa"/>
            <w:shd w:val="clear" w:color="auto" w:fill="auto"/>
            <w:vAlign w:val="center"/>
          </w:tcPr>
          <w:p>
            <w:pPr>
              <w:jc w:val="center"/>
              <w:rPr>
                <w:rFonts w:ascii="Times New Roman" w:hAnsi="Times New Roman" w:eastAsia="宋体" w:cs="Times New Roman"/>
                <w:bCs/>
                <w:color w:val="FF0000"/>
                <w:kern w:val="2"/>
                <w:sz w:val="21"/>
                <w:szCs w:val="21"/>
                <w:lang w:val="en-US" w:eastAsia="zh-CN" w:bidi="ar-SA"/>
              </w:rPr>
            </w:pPr>
            <w:r>
              <w:rPr>
                <w:rFonts w:hint="eastAsia"/>
                <w:bCs/>
                <w:color w:val="FF0000"/>
                <w:szCs w:val="21"/>
                <w:lang w:val="en-US" w:eastAsia="zh-CN"/>
              </w:rPr>
              <w:t>300000.00</w:t>
            </w:r>
          </w:p>
        </w:tc>
      </w:tr>
    </w:tbl>
    <w:p>
      <w:pPr>
        <w:pStyle w:val="6"/>
        <w:spacing w:before="120" w:beforeLines="50" w:after="120" w:afterLines="50"/>
        <w:jc w:val="center"/>
        <w:rPr>
          <w:szCs w:val="24"/>
        </w:rPr>
      </w:pPr>
      <w:r>
        <w:rPr>
          <w:rFonts w:hint="eastAsia"/>
          <w:szCs w:val="24"/>
        </w:rPr>
        <w:t>二、项目概况</w:t>
      </w:r>
    </w:p>
    <w:p>
      <w:pPr>
        <w:numPr>
          <w:ilvl w:val="0"/>
          <w:numId w:val="0"/>
        </w:numPr>
        <w:adjustRightInd w:val="0"/>
        <w:snapToGrid w:val="0"/>
        <w:spacing w:line="360" w:lineRule="auto"/>
        <w:ind w:leftChars="200" w:firstLine="560" w:firstLineChars="200"/>
        <w:rPr>
          <w:rFonts w:hint="eastAsia" w:ascii="仿宋_GB2312" w:eastAsia="仿宋_GB2312"/>
          <w:sz w:val="28"/>
          <w:szCs w:val="28"/>
          <w:highlight w:val="none"/>
        </w:rPr>
      </w:pPr>
      <w:r>
        <w:rPr>
          <w:rFonts w:hint="eastAsia" w:ascii="仿宋_GB2312" w:eastAsia="仿宋_GB2312"/>
          <w:sz w:val="28"/>
          <w:szCs w:val="28"/>
          <w:highlight w:val="none"/>
        </w:rPr>
        <w:t>根据深圳市教育局 深圳市公安局关于印发《深圳市基础教育信息系统安全等级保护工作规范》的通知要求，为了全面加强宝安教育信息安全保障，全面提高整体信息安全水平，严格遵照上级主管部门制定的网络安全等级保护工作流程及步骤，针对单位内已定级备案的和新增新建的信息系统开展网络安全等级保护测评服务工作（</w:t>
      </w:r>
      <w:r>
        <w:rPr>
          <w:rFonts w:hint="eastAsia" w:ascii="仿宋_GB2312" w:eastAsia="仿宋_GB2312"/>
          <w:sz w:val="28"/>
          <w:szCs w:val="28"/>
          <w:highlight w:val="none"/>
          <w:lang w:eastAsia="zh-CN"/>
        </w:rPr>
        <w:t>暂定</w:t>
      </w:r>
      <w:r>
        <w:rPr>
          <w:rFonts w:hint="eastAsia" w:ascii="仿宋_GB2312" w:eastAsia="仿宋_GB2312"/>
          <w:sz w:val="28"/>
          <w:szCs w:val="28"/>
          <w:highlight w:val="none"/>
        </w:rPr>
        <w:t>信息系统名单如下表所示</w:t>
      </w:r>
      <w:r>
        <w:rPr>
          <w:rFonts w:hint="eastAsia" w:ascii="仿宋_GB2312" w:eastAsia="仿宋_GB2312"/>
          <w:sz w:val="28"/>
          <w:szCs w:val="28"/>
          <w:highlight w:val="none"/>
          <w:lang w:eastAsia="zh-CN"/>
        </w:rPr>
        <w:t>，具体测评的系统，以实际确定为准</w:t>
      </w:r>
      <w:r>
        <w:rPr>
          <w:rFonts w:hint="eastAsia" w:ascii="仿宋_GB2312" w:eastAsia="仿宋_GB2312"/>
          <w:sz w:val="28"/>
          <w:szCs w:val="28"/>
          <w:highlight w:val="none"/>
        </w:rPr>
        <w:t>）。</w:t>
      </w:r>
    </w:p>
    <w:tbl>
      <w:tblPr>
        <w:tblStyle w:val="20"/>
        <w:tblW w:w="7382" w:type="dxa"/>
        <w:tblInd w:w="5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939"/>
        <w:gridCol w:w="2064"/>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b/>
                <w:bCs/>
                <w:sz w:val="24"/>
                <w:highlight w:val="none"/>
              </w:rPr>
            </w:pPr>
            <w:r>
              <w:rPr>
                <w:rFonts w:hint="eastAsia" w:ascii="仿宋_GB2312" w:eastAsia="仿宋_GB2312"/>
                <w:b/>
                <w:bCs/>
                <w:sz w:val="24"/>
                <w:szCs w:val="24"/>
                <w:highlight w:val="none"/>
              </w:rPr>
              <w:t>序号</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b/>
                <w:bCs/>
                <w:sz w:val="24"/>
                <w:highlight w:val="none"/>
              </w:rPr>
            </w:pPr>
            <w:r>
              <w:rPr>
                <w:rFonts w:hint="eastAsia" w:ascii="仿宋_GB2312" w:eastAsia="仿宋_GB2312"/>
                <w:b/>
                <w:bCs/>
                <w:sz w:val="24"/>
                <w:szCs w:val="24"/>
                <w:highlight w:val="none"/>
              </w:rPr>
              <w:t>信息系统名称</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b/>
                <w:bCs/>
                <w:sz w:val="24"/>
                <w:highlight w:val="none"/>
              </w:rPr>
            </w:pPr>
            <w:r>
              <w:rPr>
                <w:rFonts w:hint="eastAsia" w:ascii="仿宋_GB2312" w:eastAsia="仿宋_GB2312"/>
                <w:b/>
                <w:bCs/>
                <w:sz w:val="24"/>
                <w:szCs w:val="24"/>
                <w:highlight w:val="none"/>
              </w:rPr>
              <w:t>系统安全等级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b/>
                <w:bCs/>
                <w:sz w:val="24"/>
                <w:highlight w:val="none"/>
              </w:rPr>
            </w:pPr>
            <w:r>
              <w:rPr>
                <w:rFonts w:hint="eastAsia" w:ascii="仿宋_GB2312" w:eastAsia="仿宋_GB2312"/>
                <w:b/>
                <w:bCs/>
                <w:sz w:val="24"/>
                <w:szCs w:val="24"/>
                <w:highlight w:val="none"/>
              </w:rPr>
              <w:t>定级情况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sz w:val="24"/>
                <w:highlight w:val="none"/>
              </w:rPr>
            </w:pPr>
            <w:r>
              <w:rPr>
                <w:rFonts w:hint="eastAsia" w:ascii="仿宋_GB2312" w:eastAsia="仿宋_GB2312"/>
                <w:sz w:val="24"/>
                <w:szCs w:val="24"/>
                <w:highlight w:val="none"/>
              </w:rPr>
              <w:t>1</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sz w:val="24"/>
                <w:szCs w:val="24"/>
                <w:highlight w:val="none"/>
                <w:lang w:val="en" w:eastAsia="zh-CN"/>
              </w:rPr>
            </w:pPr>
            <w:r>
              <w:rPr>
                <w:rFonts w:hint="eastAsia" w:ascii="仿宋_GB2312" w:hAnsi="Times New Roman" w:eastAsia="仿宋_GB2312" w:cs="Times New Roman"/>
                <w:b w:val="0"/>
                <w:bCs w:val="0"/>
                <w:sz w:val="24"/>
                <w:szCs w:val="24"/>
                <w:highlight w:val="none"/>
                <w:lang w:val="en" w:eastAsia="zh-CN"/>
              </w:rPr>
              <w:t>教师招聘系统</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eastAsia="zh-CN"/>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eastAsia="zh-CN"/>
              </w:rPr>
            </w:pPr>
            <w:r>
              <w:rPr>
                <w:rFonts w:hint="eastAsia" w:ascii="仿宋_GB2312" w:hAnsi="Times New Roman" w:eastAsia="仿宋_GB2312" w:cs="Times New Roman"/>
                <w:b w:val="0"/>
                <w:bCs w:val="0"/>
                <w:sz w:val="24"/>
                <w:szCs w:val="24"/>
                <w:highlight w:val="none"/>
                <w:lang w:eastAsia="zh-CN"/>
              </w:rPr>
              <w:t>已定级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sz w:val="24"/>
                <w:highlight w:val="none"/>
              </w:rPr>
            </w:pPr>
            <w:r>
              <w:rPr>
                <w:rFonts w:hint="eastAsia" w:ascii="仿宋_GB2312" w:eastAsia="仿宋_GB2312"/>
                <w:sz w:val="24"/>
                <w:szCs w:val="24"/>
                <w:highlight w:val="none"/>
              </w:rPr>
              <w:t>2</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val="en-US" w:eastAsia="zh-CN"/>
              </w:rPr>
            </w:pPr>
            <w:r>
              <w:rPr>
                <w:rFonts w:hint="eastAsia" w:ascii="仿宋_GB2312" w:hAnsi="Times New Roman" w:eastAsia="仿宋_GB2312" w:cs="Times New Roman"/>
                <w:b w:val="0"/>
                <w:bCs w:val="0"/>
                <w:sz w:val="24"/>
                <w:szCs w:val="24"/>
                <w:highlight w:val="none"/>
                <w:lang w:val="en-US" w:eastAsia="zh-CN"/>
              </w:rPr>
              <w:t>电影教育服务平台系统</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已定级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sz w:val="24"/>
                <w:highlight w:val="none"/>
              </w:rPr>
            </w:pPr>
            <w:r>
              <w:rPr>
                <w:rFonts w:hint="eastAsia" w:ascii="仿宋_GB2312" w:eastAsia="仿宋_GB2312"/>
                <w:sz w:val="24"/>
                <w:szCs w:val="24"/>
                <w:highlight w:val="none"/>
              </w:rPr>
              <w:t>3</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val="en-US" w:eastAsia="zh-CN"/>
              </w:rPr>
            </w:pPr>
            <w:r>
              <w:rPr>
                <w:rFonts w:hint="eastAsia" w:ascii="仿宋_GB2312" w:hAnsi="Times New Roman" w:eastAsia="仿宋_GB2312" w:cs="Times New Roman"/>
                <w:b w:val="0"/>
                <w:bCs w:val="0"/>
                <w:sz w:val="24"/>
                <w:szCs w:val="24"/>
                <w:highlight w:val="none"/>
                <w:lang w:val="en-US" w:eastAsia="zh-CN"/>
              </w:rPr>
              <w:t>宝安区学前信息综合管理平台系统</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已定级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eastAsia="仿宋_GB2312"/>
                <w:sz w:val="24"/>
                <w:highlight w:val="none"/>
              </w:rPr>
            </w:pPr>
            <w:r>
              <w:rPr>
                <w:rFonts w:hint="eastAsia" w:ascii="仿宋_GB2312" w:eastAsia="仿宋_GB2312"/>
                <w:sz w:val="24"/>
                <w:szCs w:val="24"/>
                <w:highlight w:val="none"/>
              </w:rPr>
              <w:t>4</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val="en-US" w:eastAsia="zh-CN"/>
              </w:rPr>
            </w:pPr>
            <w:r>
              <w:rPr>
                <w:rFonts w:hint="eastAsia" w:ascii="仿宋_GB2312" w:hAnsi="Times New Roman" w:eastAsia="仿宋_GB2312" w:cs="Times New Roman"/>
                <w:b w:val="0"/>
                <w:bCs w:val="0"/>
                <w:sz w:val="24"/>
                <w:szCs w:val="24"/>
                <w:highlight w:val="none"/>
                <w:lang w:val="en-US" w:eastAsia="zh-CN"/>
              </w:rPr>
              <w:t>宝安区中小学教学质量自评数据库管理平台</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已定级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_GB2312" w:eastAsia="仿宋_GB2312"/>
                <w:sz w:val="24"/>
                <w:szCs w:val="24"/>
                <w:highlight w:val="none"/>
                <w:lang w:val="en"/>
              </w:rPr>
            </w:pPr>
            <w:r>
              <w:rPr>
                <w:rFonts w:hint="default" w:ascii="仿宋_GB2312" w:eastAsia="仿宋_GB2312"/>
                <w:sz w:val="24"/>
                <w:szCs w:val="24"/>
                <w:highlight w:val="none"/>
                <w:lang w:val="en"/>
              </w:rPr>
              <w:t>5</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val="en-US" w:eastAsia="zh-CN"/>
              </w:rPr>
            </w:pPr>
            <w:r>
              <w:rPr>
                <w:rFonts w:hint="eastAsia" w:ascii="仿宋_GB2312" w:hAnsi="Times New Roman" w:eastAsia="仿宋_GB2312" w:cs="Times New Roman"/>
                <w:b w:val="0"/>
                <w:bCs w:val="0"/>
                <w:sz w:val="24"/>
                <w:szCs w:val="24"/>
                <w:highlight w:val="none"/>
                <w:lang w:val="en-US" w:eastAsia="zh-CN"/>
              </w:rPr>
              <w:t>宝安区无线教育城域网系统</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已定级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_GB2312" w:eastAsia="仿宋_GB2312"/>
                <w:sz w:val="24"/>
                <w:szCs w:val="24"/>
                <w:highlight w:val="none"/>
                <w:lang w:val="en"/>
              </w:rPr>
            </w:pPr>
            <w:r>
              <w:rPr>
                <w:rFonts w:hint="default" w:ascii="仿宋_GB2312" w:eastAsia="仿宋_GB2312"/>
                <w:sz w:val="24"/>
                <w:szCs w:val="24"/>
                <w:highlight w:val="none"/>
                <w:lang w:val="en"/>
              </w:rPr>
              <w:t>6</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val="en-US" w:eastAsia="zh-CN"/>
              </w:rPr>
            </w:pPr>
            <w:r>
              <w:rPr>
                <w:rFonts w:hint="eastAsia" w:ascii="仿宋_GB2312" w:hAnsi="Times New Roman" w:eastAsia="仿宋_GB2312" w:cs="Times New Roman"/>
                <w:b w:val="0"/>
                <w:bCs w:val="0"/>
                <w:sz w:val="24"/>
                <w:szCs w:val="24"/>
                <w:highlight w:val="none"/>
                <w:lang w:val="en-US" w:eastAsia="zh-CN"/>
              </w:rPr>
              <w:t>宝安区义务教育招生系统</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已定级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_GB2312" w:eastAsia="仿宋_GB2312"/>
                <w:sz w:val="24"/>
                <w:szCs w:val="24"/>
                <w:highlight w:val="none"/>
                <w:lang w:val="en"/>
              </w:rPr>
            </w:pPr>
            <w:r>
              <w:rPr>
                <w:rFonts w:hint="default" w:ascii="仿宋_GB2312" w:eastAsia="仿宋_GB2312"/>
                <w:sz w:val="24"/>
                <w:szCs w:val="24"/>
                <w:highlight w:val="none"/>
                <w:lang w:val="en"/>
              </w:rPr>
              <w:t>7</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val="en-US" w:eastAsia="zh-CN"/>
              </w:rPr>
            </w:pPr>
            <w:r>
              <w:rPr>
                <w:rFonts w:hint="eastAsia" w:ascii="仿宋_GB2312" w:hAnsi="Times New Roman" w:eastAsia="仿宋_GB2312" w:cs="Times New Roman"/>
                <w:b w:val="0"/>
                <w:bCs w:val="0"/>
                <w:sz w:val="24"/>
                <w:szCs w:val="24"/>
                <w:highlight w:val="none"/>
                <w:lang w:val="en-US" w:eastAsia="zh-CN"/>
              </w:rPr>
              <w:t>宝安区教师继续教育培训平台</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已定级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65"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仿宋_GB2312" w:eastAsia="仿宋_GB2312"/>
                <w:sz w:val="24"/>
                <w:szCs w:val="24"/>
                <w:highlight w:val="none"/>
                <w:lang w:val="en"/>
              </w:rPr>
            </w:pPr>
            <w:r>
              <w:rPr>
                <w:rFonts w:hint="default" w:ascii="仿宋_GB2312" w:eastAsia="仿宋_GB2312"/>
                <w:sz w:val="24"/>
                <w:szCs w:val="24"/>
                <w:highlight w:val="none"/>
                <w:lang w:val="en"/>
              </w:rPr>
              <w:t>8</w:t>
            </w:r>
          </w:p>
        </w:tc>
        <w:tc>
          <w:tcPr>
            <w:tcW w:w="2939"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sz w:val="24"/>
                <w:szCs w:val="24"/>
                <w:highlight w:val="none"/>
                <w:lang w:val="en-US" w:eastAsia="zh-CN"/>
              </w:rPr>
            </w:pPr>
            <w:r>
              <w:rPr>
                <w:rFonts w:hint="eastAsia" w:ascii="仿宋_GB2312" w:hAnsi="Times New Roman" w:eastAsia="仿宋_GB2312" w:cs="Times New Roman"/>
                <w:b w:val="0"/>
                <w:bCs w:val="0"/>
                <w:sz w:val="24"/>
                <w:szCs w:val="24"/>
                <w:highlight w:val="none"/>
                <w:lang w:val="en-US" w:eastAsia="zh-CN"/>
              </w:rPr>
              <w:t>宝安区中小学教学质量自评数据库管理平台系统</w:t>
            </w:r>
          </w:p>
        </w:tc>
        <w:tc>
          <w:tcPr>
            <w:tcW w:w="206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二级</w:t>
            </w:r>
          </w:p>
        </w:tc>
        <w:tc>
          <w:tcPr>
            <w:tcW w:w="1514" w:type="dxa"/>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highlight w:val="none"/>
                <w:lang w:val="en-US" w:eastAsia="zh-CN" w:bidi="ar-SA"/>
              </w:rPr>
            </w:pPr>
            <w:r>
              <w:rPr>
                <w:rFonts w:hint="eastAsia" w:ascii="仿宋_GB2312" w:hAnsi="Times New Roman" w:eastAsia="仿宋_GB2312" w:cs="Times New Roman"/>
                <w:b w:val="0"/>
                <w:bCs w:val="0"/>
                <w:sz w:val="24"/>
                <w:szCs w:val="24"/>
                <w:highlight w:val="none"/>
                <w:lang w:eastAsia="zh-CN"/>
              </w:rPr>
              <w:t>已定级</w:t>
            </w:r>
          </w:p>
        </w:tc>
      </w:tr>
    </w:tbl>
    <w:p>
      <w:pPr>
        <w:numPr>
          <w:ilvl w:val="0"/>
          <w:numId w:val="0"/>
        </w:numPr>
        <w:adjustRightInd w:val="0"/>
        <w:snapToGrid w:val="0"/>
        <w:spacing w:line="360" w:lineRule="auto"/>
        <w:ind w:leftChars="200" w:firstLine="562" w:firstLineChars="200"/>
        <w:rPr>
          <w:rFonts w:hint="eastAsia" w:ascii="仿宋_GB2312" w:eastAsia="仿宋_GB2312"/>
          <w:sz w:val="28"/>
          <w:szCs w:val="28"/>
          <w:highlight w:val="none"/>
          <w:lang w:eastAsia="zh-CN"/>
        </w:rPr>
      </w:pPr>
      <w:r>
        <w:rPr>
          <w:rFonts w:hint="eastAsia" w:ascii="仿宋_GB2312" w:eastAsia="仿宋_GB2312"/>
          <w:b/>
          <w:bCs/>
          <w:color w:val="FF0000"/>
          <w:sz w:val="28"/>
          <w:szCs w:val="28"/>
          <w:highlight w:val="none"/>
          <w:lang w:eastAsia="zh-CN"/>
        </w:rPr>
        <w:t>本次具体测评的系统，以实际确定为准。</w:t>
      </w:r>
    </w:p>
    <w:p>
      <w:pPr>
        <w:ind w:firstLine="480" w:firstLineChars="200"/>
        <w:rPr>
          <w:sz w:val="24"/>
        </w:rPr>
      </w:pPr>
    </w:p>
    <w:p>
      <w:pPr>
        <w:ind w:firstLine="480" w:firstLineChars="200"/>
        <w:rPr>
          <w:sz w:val="24"/>
        </w:rPr>
      </w:pPr>
    </w:p>
    <w:p>
      <w:pPr>
        <w:rPr>
          <w:rFonts w:ascii="宋体" w:hAnsi="宋体"/>
          <w:b/>
          <w:color w:val="FF0000"/>
          <w:szCs w:val="21"/>
        </w:rPr>
      </w:pPr>
    </w:p>
    <w:p>
      <w:pPr>
        <w:pStyle w:val="6"/>
        <w:spacing w:before="120" w:beforeLines="50" w:after="120" w:afterLines="50"/>
        <w:jc w:val="center"/>
        <w:rPr>
          <w:szCs w:val="24"/>
        </w:rPr>
      </w:pPr>
      <w:r>
        <w:rPr>
          <w:rFonts w:hint="eastAsia"/>
          <w:szCs w:val="24"/>
        </w:rPr>
        <w:t>三、</w:t>
      </w:r>
      <w:bookmarkStart w:id="30" w:name="_Hlk72073432"/>
      <w:r>
        <w:rPr>
          <w:rFonts w:hint="eastAsia"/>
          <w:szCs w:val="24"/>
        </w:rPr>
        <w:t>服务需求明细</w:t>
      </w:r>
      <w:bookmarkEnd w:id="30"/>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822"/>
        <w:gridCol w:w="2593"/>
        <w:gridCol w:w="729"/>
        <w:gridCol w:w="650"/>
        <w:gridCol w:w="1232"/>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pPr>
              <w:jc w:val="center"/>
              <w:rPr>
                <w:bCs/>
                <w:szCs w:val="21"/>
              </w:rPr>
            </w:pPr>
            <w:r>
              <w:rPr>
                <w:rFonts w:hint="eastAsia"/>
                <w:bCs/>
                <w:szCs w:val="21"/>
              </w:rPr>
              <w:t>序号</w:t>
            </w:r>
          </w:p>
        </w:tc>
        <w:tc>
          <w:tcPr>
            <w:tcW w:w="1068" w:type="pct"/>
            <w:vAlign w:val="center"/>
          </w:tcPr>
          <w:p>
            <w:pPr>
              <w:jc w:val="center"/>
              <w:rPr>
                <w:bCs/>
                <w:szCs w:val="21"/>
              </w:rPr>
            </w:pPr>
            <w:r>
              <w:rPr>
                <w:rFonts w:hint="eastAsia"/>
                <w:szCs w:val="21"/>
              </w:rPr>
              <w:t>采购计划编号</w:t>
            </w:r>
          </w:p>
        </w:tc>
        <w:tc>
          <w:tcPr>
            <w:tcW w:w="1520" w:type="pct"/>
            <w:vAlign w:val="center"/>
          </w:tcPr>
          <w:p>
            <w:pPr>
              <w:jc w:val="center"/>
              <w:rPr>
                <w:bCs/>
                <w:szCs w:val="21"/>
              </w:rPr>
            </w:pPr>
            <w:r>
              <w:rPr>
                <w:rFonts w:hint="eastAsia"/>
                <w:bCs/>
                <w:szCs w:val="21"/>
              </w:rPr>
              <w:t>服务需求名称（标的名称）</w:t>
            </w:r>
          </w:p>
        </w:tc>
        <w:tc>
          <w:tcPr>
            <w:tcW w:w="427" w:type="pct"/>
            <w:vAlign w:val="center"/>
          </w:tcPr>
          <w:p>
            <w:pPr>
              <w:jc w:val="center"/>
              <w:rPr>
                <w:bCs/>
                <w:szCs w:val="21"/>
              </w:rPr>
            </w:pPr>
            <w:r>
              <w:rPr>
                <w:rFonts w:hint="eastAsia"/>
                <w:bCs/>
                <w:szCs w:val="21"/>
              </w:rPr>
              <w:t>数量</w:t>
            </w:r>
          </w:p>
        </w:tc>
        <w:tc>
          <w:tcPr>
            <w:tcW w:w="381" w:type="pct"/>
            <w:vAlign w:val="center"/>
          </w:tcPr>
          <w:p>
            <w:pPr>
              <w:jc w:val="center"/>
              <w:rPr>
                <w:bCs/>
                <w:szCs w:val="21"/>
              </w:rPr>
            </w:pPr>
            <w:r>
              <w:rPr>
                <w:rFonts w:hint="eastAsia"/>
                <w:bCs/>
                <w:szCs w:val="21"/>
              </w:rPr>
              <w:t>单位</w:t>
            </w:r>
          </w:p>
        </w:tc>
        <w:tc>
          <w:tcPr>
            <w:tcW w:w="722" w:type="pct"/>
            <w:vAlign w:val="center"/>
          </w:tcPr>
          <w:p>
            <w:pPr>
              <w:jc w:val="center"/>
              <w:rPr>
                <w:rFonts w:hint="eastAsia"/>
                <w:bCs/>
                <w:szCs w:val="21"/>
              </w:rPr>
            </w:pPr>
            <w:r>
              <w:rPr>
                <w:rFonts w:hint="eastAsia" w:ascii="Times New Roman" w:eastAsia="宋体"/>
                <w:b/>
                <w:bCs/>
                <w:color w:val="FF0000"/>
                <w:szCs w:val="21"/>
                <w:lang w:val="en-US" w:eastAsia="zh-CN"/>
              </w:rPr>
              <w:t>是否专门面向中小企业</w:t>
            </w:r>
          </w:p>
        </w:tc>
        <w:tc>
          <w:tcPr>
            <w:tcW w:w="629" w:type="pct"/>
            <w:vAlign w:val="center"/>
          </w:tcPr>
          <w:p>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9" w:type="pct"/>
            <w:vAlign w:val="center"/>
          </w:tcPr>
          <w:p>
            <w:pPr>
              <w:jc w:val="center"/>
              <w:rPr>
                <w:bCs/>
                <w:szCs w:val="21"/>
              </w:rPr>
            </w:pPr>
            <w:r>
              <w:rPr>
                <w:rFonts w:hint="eastAsia"/>
                <w:bCs/>
                <w:szCs w:val="21"/>
              </w:rPr>
              <w:t>1</w:t>
            </w:r>
          </w:p>
        </w:tc>
        <w:tc>
          <w:tcPr>
            <w:tcW w:w="1068" w:type="pct"/>
            <w:vAlign w:val="center"/>
          </w:tcPr>
          <w:p>
            <w:pPr>
              <w:jc w:val="center"/>
              <w:rPr>
                <w:rFonts w:hint="eastAsia" w:eastAsiaTheme="minorEastAsia"/>
                <w:bCs/>
                <w:szCs w:val="21"/>
                <w:lang w:eastAsia="zh-CN"/>
              </w:rPr>
            </w:pPr>
            <w:r>
              <w:rPr>
                <w:rFonts w:hint="eastAsia" w:eastAsiaTheme="minorEastAsia"/>
                <w:bCs/>
                <w:color w:val="FF0000"/>
                <w:szCs w:val="21"/>
                <w:lang w:eastAsia="zh-CN"/>
              </w:rPr>
              <w:t>BAJYJ2025062001599C</w:t>
            </w:r>
          </w:p>
        </w:tc>
        <w:tc>
          <w:tcPr>
            <w:tcW w:w="1520" w:type="pct"/>
            <w:vAlign w:val="center"/>
          </w:tcPr>
          <w:p>
            <w:pPr>
              <w:jc w:val="center"/>
              <w:rPr>
                <w:bCs/>
                <w:szCs w:val="21"/>
              </w:rPr>
            </w:pPr>
            <w:r>
              <w:rPr>
                <w:rFonts w:hint="eastAsia"/>
                <w:b/>
                <w:bCs/>
                <w:color w:val="FF0000"/>
                <w:szCs w:val="21"/>
                <w:lang w:val="en-US" w:eastAsia="zh-CN"/>
              </w:rPr>
              <w:t>宝安教育城域网2025年度信息系统安全等级保护测评服务</w:t>
            </w:r>
          </w:p>
        </w:tc>
        <w:tc>
          <w:tcPr>
            <w:tcW w:w="427" w:type="pct"/>
            <w:vAlign w:val="center"/>
          </w:tcPr>
          <w:p>
            <w:pPr>
              <w:jc w:val="center"/>
              <w:rPr>
                <w:rFonts w:hint="eastAsia" w:eastAsiaTheme="minorEastAsia"/>
                <w:bCs/>
                <w:szCs w:val="21"/>
                <w:lang w:eastAsia="zh-CN"/>
              </w:rPr>
            </w:pPr>
            <w:r>
              <w:rPr>
                <w:rFonts w:hint="eastAsia"/>
                <w:lang w:val="en-US" w:eastAsia="zh-CN"/>
              </w:rPr>
              <w:t>1</w:t>
            </w:r>
          </w:p>
        </w:tc>
        <w:tc>
          <w:tcPr>
            <w:tcW w:w="381" w:type="pct"/>
            <w:vAlign w:val="center"/>
          </w:tcPr>
          <w:p>
            <w:pPr>
              <w:jc w:val="center"/>
              <w:rPr>
                <w:rFonts w:hint="eastAsia" w:eastAsiaTheme="minorEastAsia"/>
                <w:bCs/>
                <w:szCs w:val="21"/>
                <w:lang w:val="en-US" w:eastAsia="zh-CN"/>
              </w:rPr>
            </w:pPr>
            <w:r>
              <w:rPr>
                <w:rFonts w:hint="eastAsia"/>
                <w:bCs/>
                <w:szCs w:val="21"/>
                <w:lang w:val="en-US" w:eastAsia="zh-CN"/>
              </w:rPr>
              <w:t>项</w:t>
            </w:r>
          </w:p>
        </w:tc>
        <w:tc>
          <w:tcPr>
            <w:tcW w:w="722" w:type="pct"/>
            <w:vAlign w:val="center"/>
          </w:tcPr>
          <w:p>
            <w:pPr>
              <w:jc w:val="center"/>
              <w:rPr>
                <w:rFonts w:hint="eastAsia" w:eastAsiaTheme="minorEastAsia"/>
                <w:bCs/>
                <w:szCs w:val="21"/>
                <w:lang w:val="en-US" w:eastAsia="zh-CN"/>
              </w:rPr>
            </w:pPr>
            <w:r>
              <w:rPr>
                <w:rFonts w:hint="eastAsia"/>
                <w:bCs/>
                <w:szCs w:val="21"/>
                <w:lang w:val="en-US" w:eastAsia="zh-CN"/>
              </w:rPr>
              <w:t>否</w:t>
            </w:r>
          </w:p>
        </w:tc>
        <w:tc>
          <w:tcPr>
            <w:tcW w:w="629" w:type="pct"/>
            <w:vAlign w:val="center"/>
          </w:tcPr>
          <w:p>
            <w:pPr>
              <w:jc w:val="center"/>
              <w:rPr>
                <w:bCs/>
                <w:szCs w:val="21"/>
              </w:rPr>
            </w:pPr>
            <w:r>
              <w:rPr>
                <w:rFonts w:hint="eastAsia"/>
                <w:bCs/>
                <w:szCs w:val="21"/>
              </w:rPr>
              <w:t>软件和信息技术服务业</w:t>
            </w:r>
          </w:p>
        </w:tc>
      </w:tr>
    </w:tbl>
    <w:p>
      <w:pPr>
        <w:rPr>
          <w:rFonts w:ascii="宋体" w:hAnsi="宋体"/>
          <w:b/>
          <w:color w:val="FF0000"/>
          <w:szCs w:val="21"/>
        </w:rPr>
      </w:pPr>
    </w:p>
    <w:p>
      <w:pPr>
        <w:pStyle w:val="6"/>
        <w:spacing w:before="120" w:beforeLines="50" w:after="120" w:afterLines="50"/>
        <w:jc w:val="center"/>
        <w:rPr>
          <w:szCs w:val="24"/>
        </w:rPr>
      </w:pPr>
      <w:r>
        <w:rPr>
          <w:rFonts w:hint="eastAsia"/>
          <w:szCs w:val="24"/>
        </w:rPr>
        <w:t>四、实质性条款</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pPr>
        <w:jc w:val="center"/>
        <w:rPr>
          <w:b/>
          <w:bCs/>
          <w:sz w:val="24"/>
        </w:rPr>
      </w:pPr>
    </w:p>
    <w:p>
      <w:pPr>
        <w:pStyle w:val="6"/>
        <w:spacing w:before="120" w:beforeLines="50" w:after="120" w:afterLines="50"/>
        <w:jc w:val="center"/>
        <w:rPr>
          <w:szCs w:val="24"/>
        </w:rPr>
      </w:pPr>
      <w:r>
        <w:rPr>
          <w:rFonts w:hint="eastAsia"/>
          <w:b/>
          <w:color w:val="FF0000"/>
          <w:szCs w:val="21"/>
        </w:rPr>
        <w:t>★</w:t>
      </w:r>
      <w:r>
        <w:rPr>
          <w:rFonts w:hint="eastAsia"/>
          <w:szCs w:val="24"/>
          <w:lang w:val="en-US" w:eastAsia="zh-CN"/>
        </w:rPr>
        <w:t>五</w:t>
      </w:r>
      <w:r>
        <w:rPr>
          <w:rFonts w:hint="eastAsia"/>
          <w:szCs w:val="24"/>
        </w:rPr>
        <w:t>、商务要求</w:t>
      </w:r>
    </w:p>
    <w:p>
      <w:pPr>
        <w:ind w:firstLine="422" w:firstLineChars="200"/>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numPr>
          <w:ilvl w:val="0"/>
          <w:numId w:val="5"/>
        </w:numPr>
        <w:spacing w:line="520" w:lineRule="exact"/>
        <w:ind w:firstLine="560" w:firstLineChars="200"/>
        <w:jc w:val="left"/>
        <w:rPr>
          <w:rFonts w:hint="eastAsia" w:ascii="仿宋_GB2312" w:hAnsi="华文仿宋" w:eastAsia="仿宋_GB2312"/>
          <w:sz w:val="28"/>
          <w:szCs w:val="28"/>
          <w:highlight w:val="none"/>
        </w:rPr>
      </w:pPr>
      <w:r>
        <w:rPr>
          <w:rFonts w:hint="eastAsia" w:ascii="仿宋_GB2312" w:hAnsi="华文仿宋" w:eastAsia="仿宋_GB2312"/>
          <w:sz w:val="28"/>
          <w:szCs w:val="28"/>
          <w:highlight w:val="none"/>
        </w:rPr>
        <w:t>服务期限</w:t>
      </w:r>
      <w:r>
        <w:rPr>
          <w:rFonts w:hint="eastAsia" w:ascii="仿宋_GB2312" w:hAnsi="华文仿宋" w:eastAsia="仿宋_GB2312"/>
          <w:sz w:val="28"/>
          <w:szCs w:val="28"/>
          <w:highlight w:val="none"/>
          <w:lang w:eastAsia="zh-CN"/>
        </w:rPr>
        <w:t>：</w:t>
      </w:r>
    </w:p>
    <w:p>
      <w:pPr>
        <w:numPr>
          <w:ilvl w:val="0"/>
          <w:numId w:val="0"/>
        </w:numPr>
        <w:spacing w:line="520" w:lineRule="exact"/>
        <w:ind w:firstLine="560" w:firstLineChars="200"/>
        <w:jc w:val="left"/>
        <w:rPr>
          <w:rFonts w:hint="default" w:ascii="仿宋_GB2312" w:hAnsi="华文仿宋" w:eastAsia="仿宋_GB2312"/>
          <w:sz w:val="28"/>
          <w:szCs w:val="28"/>
          <w:highlight w:val="none"/>
          <w:lang w:val="en-US"/>
        </w:rPr>
      </w:pPr>
      <w:r>
        <w:rPr>
          <w:rFonts w:hint="eastAsia" w:ascii="仿宋_GB2312" w:hAnsi="华文仿宋" w:eastAsia="仿宋_GB2312"/>
          <w:sz w:val="28"/>
          <w:szCs w:val="28"/>
          <w:highlight w:val="none"/>
          <w:lang w:eastAsia="zh-CN"/>
        </w:rPr>
        <w:t>本项目长期服务项目。合同履行期限为一年。合同履行期限满后，采购单位可根据中标供应商履约情况确定合同是否续签，但总合同履行期限最长不超过3年，合同一年一签。</w:t>
      </w:r>
    </w:p>
    <w:p>
      <w:pPr>
        <w:numPr>
          <w:ilvl w:val="0"/>
          <w:numId w:val="5"/>
        </w:numPr>
        <w:spacing w:line="520" w:lineRule="exact"/>
        <w:ind w:firstLine="560" w:firstLineChars="200"/>
        <w:jc w:val="left"/>
        <w:rPr>
          <w:rFonts w:hint="eastAsia" w:ascii="仿宋_GB2312" w:hAnsi="华文仿宋" w:eastAsia="仿宋_GB2312"/>
          <w:sz w:val="28"/>
          <w:szCs w:val="28"/>
          <w:highlight w:val="none"/>
        </w:rPr>
      </w:pPr>
      <w:r>
        <w:rPr>
          <w:rFonts w:hint="eastAsia" w:ascii="仿宋_GB2312" w:hAnsi="华文仿宋" w:eastAsia="仿宋_GB2312"/>
          <w:sz w:val="28"/>
          <w:szCs w:val="28"/>
          <w:highlight w:val="none"/>
        </w:rPr>
        <w:t>服务内容、技术标准、工作质量要求</w:t>
      </w:r>
      <w:r>
        <w:rPr>
          <w:rFonts w:hint="eastAsia" w:ascii="仿宋_GB2312" w:hAnsi="华文仿宋" w:eastAsia="仿宋_GB2312"/>
          <w:sz w:val="28"/>
          <w:szCs w:val="28"/>
          <w:highlight w:val="none"/>
          <w:lang w:eastAsia="zh-CN"/>
        </w:rPr>
        <w:t>：</w:t>
      </w:r>
    </w:p>
    <w:p>
      <w:pPr>
        <w:pStyle w:val="13"/>
        <w:numPr>
          <w:ilvl w:val="0"/>
          <w:numId w:val="6"/>
        </w:numPr>
        <w:spacing w:line="360" w:lineRule="auto"/>
        <w:ind w:left="425" w:leftChars="0" w:hanging="425"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依据《信息安全等级保护管理办法》（公通字〔2007〕43号）、《信息系统安全等级保护测评要求》、《信息系统安全等级保护测评过程指南》和《信息系统安全等级保护基本要求》（GB/T22239-2019）标准，对单位所有已定级备案的信息系统，根据安全保护现状开展信息系统等级保护测评，并编写等保测评报告。</w:t>
      </w:r>
    </w:p>
    <w:p>
      <w:pPr>
        <w:pStyle w:val="13"/>
        <w:numPr>
          <w:ilvl w:val="0"/>
          <w:numId w:val="6"/>
        </w:numPr>
        <w:spacing w:line="360" w:lineRule="auto"/>
        <w:ind w:left="425" w:leftChars="0" w:hanging="425"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等级测评内容包括安全技术和安全管理两大类，其中技术层面应包括安全物理环境、安全通信网络、安全区域边界、安全计算环境、安全管理中心等方面的测评，技术手段至少包括渗透测试、漏洞扫描、安全评估、配置核查，管理层面应包括安全管理制度、安全管理机构、安全管理人员、安全建设管理、安全运维管理等方面的测评。</w:t>
      </w:r>
    </w:p>
    <w:p>
      <w:pPr>
        <w:pStyle w:val="13"/>
        <w:numPr>
          <w:ilvl w:val="0"/>
          <w:numId w:val="6"/>
        </w:numPr>
        <w:spacing w:line="360" w:lineRule="auto"/>
        <w:ind w:left="425" w:leftChars="0" w:hanging="425"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测评工作内容包括：</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安全物理环境测评分析；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安全通信网络测评分析；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安全区域边界测评分析；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安全计算环境测评分析；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安全管理中心测评分析；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安全管理制度测评分析；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安全管理机构测评分析；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安全管理人员测评分析；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安全建设管理测评分析；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安全运维管理测评分析；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信息系统等级保护要求差距分析；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信息系统整改建议评估分析；</w:t>
      </w:r>
    </w:p>
    <w:p>
      <w:pPr>
        <w:pStyle w:val="13"/>
        <w:numPr>
          <w:ilvl w:val="0"/>
          <w:numId w:val="7"/>
        </w:numPr>
        <w:spacing w:line="360" w:lineRule="auto"/>
        <w:ind w:left="0" w:leftChars="0" w:firstLine="400" w:firstLineChars="0"/>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网络安全等级保护测评报告编制。</w:t>
      </w:r>
    </w:p>
    <w:p>
      <w:pPr>
        <w:pStyle w:val="13"/>
        <w:numPr>
          <w:ilvl w:val="0"/>
          <w:numId w:val="0"/>
        </w:numPr>
        <w:spacing w:line="360" w:lineRule="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（4）服务交付物：由具有公安部第三研究所颁发《网络安全等级测评与检测评估机构服务认证证书》的第三方测评机构出具的《网络安全等级保护测评报告》。</w:t>
      </w:r>
    </w:p>
    <w:p>
      <w:pPr>
        <w:pStyle w:val="13"/>
        <w:numPr>
          <w:ilvl w:val="0"/>
          <w:numId w:val="0"/>
        </w:numPr>
        <w:spacing w:line="360" w:lineRule="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（5）保密的承诺</w:t>
      </w:r>
    </w:p>
    <w:p>
      <w:pPr>
        <w:pStyle w:val="19"/>
        <w:ind w:left="0" w:leftChars="0" w:firstLine="0" w:firstLineChars="0"/>
        <w:rPr>
          <w:rFonts w:hint="default"/>
          <w:highlight w:val="none"/>
          <w:lang w:val="en-US"/>
        </w:rPr>
      </w:pPr>
      <w:r>
        <w:rPr>
          <w:rFonts w:hint="eastAsia" w:ascii="仿宋" w:hAnsi="仿宋" w:eastAsia="仿宋" w:cs="仿宋"/>
          <w:kern w:val="2"/>
          <w:sz w:val="28"/>
          <w:szCs w:val="28"/>
          <w:highlight w:val="none"/>
          <w:lang w:val="en-US" w:eastAsia="zh-CN" w:bidi="ar-SA"/>
        </w:rPr>
        <w:t>因本项目如涉及招标人认为应该保密的内容，投标人必需承诺在未得到委托方同意的情况下不得将本项目涉及的任何情况泄露给第三方。如有发生，须承担由此而引起的一切法律责任和费用。招标人有权要求中标人签订一份保密协议。具体协议内容由用户方拟定并经双方协商后签订。</w:t>
      </w:r>
    </w:p>
    <w:p>
      <w:pPr>
        <w:numPr>
          <w:ilvl w:val="0"/>
          <w:numId w:val="5"/>
        </w:numPr>
        <w:spacing w:line="520" w:lineRule="exact"/>
        <w:ind w:firstLine="560" w:firstLineChars="200"/>
        <w:jc w:val="left"/>
        <w:rPr>
          <w:rFonts w:hint="eastAsia" w:ascii="仿宋_GB2312" w:hAnsi="华文仿宋" w:eastAsia="仿宋_GB2312"/>
          <w:sz w:val="28"/>
          <w:szCs w:val="28"/>
          <w:highlight w:val="none"/>
        </w:rPr>
      </w:pPr>
      <w:r>
        <w:rPr>
          <w:rFonts w:hint="eastAsia" w:ascii="仿宋_GB2312" w:hAnsi="华文仿宋" w:eastAsia="仿宋_GB2312"/>
          <w:sz w:val="28"/>
          <w:szCs w:val="28"/>
          <w:highlight w:val="none"/>
        </w:rPr>
        <w:t>人员要求（岗位要求、数量）</w:t>
      </w:r>
      <w:r>
        <w:rPr>
          <w:rFonts w:hint="eastAsia" w:ascii="仿宋_GB2312" w:hAnsi="华文仿宋" w:eastAsia="仿宋_GB2312"/>
          <w:sz w:val="28"/>
          <w:szCs w:val="28"/>
          <w:highlight w:val="none"/>
          <w:lang w:eastAsia="zh-CN"/>
        </w:rPr>
        <w:t>：</w:t>
      </w:r>
    </w:p>
    <w:p>
      <w:pPr>
        <w:snapToGrid w:val="0"/>
        <w:spacing w:line="440" w:lineRule="exact"/>
        <w:jc w:val="left"/>
        <w:outlineLvl w:val="2"/>
        <w:rPr>
          <w:rFonts w:hint="eastAsia" w:ascii="仿宋" w:hAnsi="仿宋" w:eastAsia="仿宋" w:cs="仿宋"/>
          <w:b/>
          <w:bCs/>
          <w:sz w:val="24"/>
          <w:szCs w:val="24"/>
          <w:highlight w:val="none"/>
        </w:rPr>
      </w:pPr>
    </w:p>
    <w:p>
      <w:pPr>
        <w:pStyle w:val="19"/>
        <w:ind w:left="0" w:leftChars="0" w:firstLine="0" w:firstLineChars="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中标方必须根据本项目的特点和服务内容，组建一支技术经验丰富、人员相对稳定的项目团队为项目服务，检测团队相关人员必须具备与评测相关的资质证书，同时必须安排一名项目经理作为团队负责人，负责本项目检测的全过程指导和管理工作，在项目服务过程中项目团队成员（含项目负责人、技术负责人）不少于8人。</w:t>
      </w:r>
    </w:p>
    <w:p>
      <w:pPr>
        <w:numPr>
          <w:ilvl w:val="0"/>
          <w:numId w:val="5"/>
        </w:numPr>
        <w:spacing w:line="520" w:lineRule="exact"/>
        <w:ind w:firstLine="560" w:firstLineChars="200"/>
        <w:jc w:val="left"/>
        <w:rPr>
          <w:rFonts w:hint="eastAsia" w:ascii="仿宋" w:hAnsi="仿宋" w:eastAsia="仿宋" w:cs="仿宋"/>
          <w:sz w:val="28"/>
          <w:szCs w:val="28"/>
          <w:highlight w:val="none"/>
        </w:rPr>
      </w:pPr>
      <w:r>
        <w:rPr>
          <w:rFonts w:hint="eastAsia" w:ascii="仿宋_GB2312" w:hAnsi="华文仿宋" w:eastAsia="仿宋_GB2312"/>
          <w:sz w:val="28"/>
          <w:szCs w:val="28"/>
          <w:highlight w:val="none"/>
        </w:rPr>
        <w:t>设</w:t>
      </w:r>
      <w:r>
        <w:rPr>
          <w:rFonts w:hint="eastAsia" w:ascii="仿宋" w:hAnsi="仿宋" w:eastAsia="仿宋" w:cs="仿宋"/>
          <w:sz w:val="28"/>
          <w:szCs w:val="28"/>
          <w:highlight w:val="none"/>
        </w:rPr>
        <w:t>备要求（设备名称、数量）</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无</w:t>
      </w:r>
    </w:p>
    <w:p>
      <w:pPr>
        <w:numPr>
          <w:ilvl w:val="0"/>
          <w:numId w:val="5"/>
        </w:numPr>
        <w:spacing w:line="520" w:lineRule="exact"/>
        <w:ind w:firstLine="560" w:firstLineChars="2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后续服务要求</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按合同约定条款提供服务。</w:t>
      </w:r>
    </w:p>
    <w:p>
      <w:pPr>
        <w:numPr>
          <w:ilvl w:val="0"/>
          <w:numId w:val="5"/>
        </w:numPr>
        <w:spacing w:line="520" w:lineRule="exact"/>
        <w:ind w:firstLine="560" w:firstLineChars="200"/>
        <w:jc w:val="left"/>
        <w:rPr>
          <w:rFonts w:hint="eastAsia" w:ascii="仿宋_GB2312" w:hAnsi="华文仿宋" w:eastAsia="仿宋_GB2312"/>
          <w:sz w:val="28"/>
          <w:szCs w:val="28"/>
          <w:highlight w:val="none"/>
        </w:rPr>
      </w:pPr>
      <w:r>
        <w:rPr>
          <w:rFonts w:hint="eastAsia" w:ascii="仿宋_GB2312" w:hAnsi="华文仿宋" w:eastAsia="仿宋_GB2312"/>
          <w:sz w:val="28"/>
          <w:szCs w:val="28"/>
          <w:highlight w:val="none"/>
        </w:rPr>
        <w:t>考核办法/验收方式</w:t>
      </w:r>
      <w:r>
        <w:rPr>
          <w:rFonts w:hint="eastAsia" w:ascii="仿宋_GB2312" w:hAnsi="华文仿宋" w:eastAsia="仿宋_GB2312"/>
          <w:sz w:val="28"/>
          <w:szCs w:val="28"/>
          <w:highlight w:val="none"/>
          <w:lang w:eastAsia="zh-CN"/>
        </w:rPr>
        <w:t>：</w:t>
      </w:r>
    </w:p>
    <w:p>
      <w:pPr>
        <w:pStyle w:val="19"/>
        <w:ind w:left="0" w:leftChars="0" w:firstLine="0" w:firstLineChars="0"/>
        <w:rPr>
          <w:rFonts w:hint="default" w:ascii="仿宋_GB2312" w:eastAsia="仿宋_GB2312"/>
          <w:sz w:val="28"/>
          <w:szCs w:val="28"/>
          <w:highlight w:val="none"/>
          <w:lang w:val="en-US"/>
        </w:rPr>
      </w:pPr>
      <w:r>
        <w:rPr>
          <w:rFonts w:hint="eastAsia" w:ascii="仿宋_GB2312" w:hAnsi="华文仿宋" w:eastAsia="仿宋_GB2312"/>
          <w:sz w:val="28"/>
          <w:szCs w:val="28"/>
          <w:highlight w:val="none"/>
          <w:lang w:eastAsia="zh-CN"/>
        </w:rPr>
        <w:t>本项目完工（被测评系统在12个月内完成二级等保测评工作并出具测评结果通知书）并按要求提交测评报告等相关文档资料，用户单位根据招、投标文件等内容组织中标单位完成最终验收工作，并签署最终验收报告。</w:t>
      </w:r>
    </w:p>
    <w:p>
      <w:pPr>
        <w:numPr>
          <w:ilvl w:val="0"/>
          <w:numId w:val="5"/>
        </w:numPr>
        <w:spacing w:line="520" w:lineRule="exact"/>
        <w:ind w:firstLine="560" w:firstLineChars="200"/>
        <w:jc w:val="left"/>
        <w:rPr>
          <w:rFonts w:hint="eastAsia" w:ascii="仿宋_GB2312" w:hAnsi="华文仿宋" w:eastAsia="仿宋_GB2312"/>
          <w:sz w:val="28"/>
          <w:szCs w:val="28"/>
          <w:highlight w:val="none"/>
        </w:rPr>
      </w:pPr>
      <w:r>
        <w:rPr>
          <w:rFonts w:hint="eastAsia" w:ascii="仿宋_GB2312" w:hAnsi="华文仿宋" w:eastAsia="仿宋_GB2312"/>
          <w:sz w:val="28"/>
          <w:szCs w:val="28"/>
          <w:highlight w:val="none"/>
        </w:rPr>
        <w:t>报价要求</w:t>
      </w:r>
      <w:r>
        <w:rPr>
          <w:rFonts w:hint="eastAsia" w:ascii="仿宋_GB2312" w:hAnsi="华文仿宋" w:eastAsia="仿宋_GB2312"/>
          <w:sz w:val="28"/>
          <w:szCs w:val="28"/>
          <w:highlight w:val="none"/>
          <w:lang w:eastAsia="zh-CN"/>
        </w:rPr>
        <w:t>：</w:t>
      </w:r>
    </w:p>
    <w:p>
      <w:pPr>
        <w:pStyle w:val="19"/>
        <w:ind w:left="0" w:leftChars="0" w:firstLine="0" w:firstLineChars="0"/>
        <w:rPr>
          <w:rFonts w:hint="eastAsia" w:ascii="仿宋" w:hAnsi="仿宋" w:eastAsia="仿宋" w:cs="宋体"/>
          <w:b w:val="0"/>
          <w:bCs/>
          <w:kern w:val="0"/>
          <w:sz w:val="28"/>
          <w:szCs w:val="28"/>
          <w:highlight w:val="none"/>
        </w:rPr>
      </w:pPr>
      <w:r>
        <w:rPr>
          <w:rFonts w:hint="eastAsia" w:ascii="仿宋" w:hAnsi="仿宋" w:eastAsia="仿宋" w:cs="宋体"/>
          <w:b w:val="0"/>
          <w:bCs/>
          <w:kern w:val="0"/>
          <w:sz w:val="28"/>
          <w:szCs w:val="28"/>
          <w:highlight w:val="none"/>
        </w:rPr>
        <w:t>本项目服务费为项目测评的服务费，本项目最高限价：人民币 30万元，供应商超过此报价将导致投标无效。</w:t>
      </w:r>
    </w:p>
    <w:p>
      <w:pPr>
        <w:numPr>
          <w:ilvl w:val="0"/>
          <w:numId w:val="5"/>
        </w:numPr>
        <w:spacing w:line="520" w:lineRule="exact"/>
        <w:ind w:firstLine="560" w:firstLineChars="200"/>
        <w:jc w:val="left"/>
        <w:rPr>
          <w:rFonts w:hint="eastAsia" w:ascii="仿宋_GB2312" w:hAnsi="华文仿宋" w:eastAsia="仿宋_GB2312"/>
          <w:sz w:val="28"/>
          <w:szCs w:val="28"/>
          <w:highlight w:val="none"/>
        </w:rPr>
      </w:pPr>
      <w:r>
        <w:rPr>
          <w:rFonts w:hint="eastAsia" w:ascii="仿宋_GB2312" w:hAnsi="华文仿宋" w:eastAsia="仿宋_GB2312"/>
          <w:sz w:val="28"/>
          <w:szCs w:val="28"/>
          <w:highlight w:val="none"/>
        </w:rPr>
        <w:t>付款方式</w:t>
      </w:r>
      <w:r>
        <w:rPr>
          <w:rFonts w:hint="eastAsia" w:ascii="仿宋_GB2312" w:hAnsi="华文仿宋" w:eastAsia="仿宋_GB2312"/>
          <w:sz w:val="28"/>
          <w:szCs w:val="28"/>
          <w:highlight w:val="none"/>
          <w:lang w:eastAsia="zh-CN"/>
        </w:rPr>
        <w:t>：</w:t>
      </w:r>
    </w:p>
    <w:p>
      <w:pPr>
        <w:widowControl w:val="0"/>
        <w:numPr>
          <w:ilvl w:val="0"/>
          <w:numId w:val="0"/>
        </w:numPr>
        <w:tabs>
          <w:tab w:val="left" w:pos="312"/>
        </w:tabs>
        <w:spacing w:line="520" w:lineRule="exact"/>
        <w:ind w:left="0" w:firstLine="560" w:firstLineChars="200"/>
        <w:jc w:val="left"/>
        <w:rPr>
          <w:rFonts w:hint="eastAsia" w:ascii="仿宋" w:hAnsi="仿宋" w:eastAsia="仿宋"/>
          <w:bCs/>
          <w:kern w:val="2"/>
          <w:sz w:val="28"/>
          <w:szCs w:val="28"/>
          <w:highlight w:val="none"/>
          <w:lang w:eastAsia="zh-CN"/>
        </w:rPr>
      </w:pPr>
      <w:r>
        <w:rPr>
          <w:rFonts w:hint="eastAsia" w:ascii="仿宋" w:hAnsi="仿宋" w:eastAsia="仿宋" w:cs="Times New Roman"/>
          <w:bCs/>
          <w:kern w:val="2"/>
          <w:sz w:val="28"/>
          <w:szCs w:val="28"/>
          <w:highlight w:val="none"/>
          <w:lang w:eastAsia="zh-CN"/>
        </w:rPr>
        <w:t>项目按照合同相关规定付款，相关要求、时限以合同文本的约定和财政部门的规定为准。</w:t>
      </w:r>
    </w:p>
    <w:p>
      <w:pPr>
        <w:numPr>
          <w:ilvl w:val="0"/>
          <w:numId w:val="5"/>
        </w:numPr>
        <w:spacing w:line="520" w:lineRule="exact"/>
        <w:ind w:firstLine="560" w:firstLineChars="200"/>
        <w:jc w:val="left"/>
        <w:rPr>
          <w:rFonts w:hint="eastAsia" w:ascii="仿宋_GB2312" w:hAnsi="华文仿宋" w:eastAsia="仿宋_GB2312"/>
          <w:sz w:val="28"/>
          <w:szCs w:val="28"/>
          <w:highlight w:val="none"/>
        </w:rPr>
      </w:pPr>
      <w:r>
        <w:rPr>
          <w:rFonts w:hint="eastAsia" w:ascii="仿宋_GB2312" w:hAnsi="华文仿宋" w:eastAsia="仿宋_GB2312"/>
          <w:sz w:val="28"/>
          <w:szCs w:val="28"/>
          <w:highlight w:val="none"/>
        </w:rPr>
        <w:t>其他需说明的事项</w:t>
      </w:r>
      <w:r>
        <w:rPr>
          <w:rFonts w:hint="eastAsia" w:ascii="仿宋_GB2312" w:hAnsi="华文仿宋" w:eastAsia="仿宋_GB2312"/>
          <w:sz w:val="28"/>
          <w:szCs w:val="28"/>
          <w:highlight w:val="none"/>
          <w:lang w:eastAsia="zh-CN"/>
        </w:rPr>
        <w:t>：</w:t>
      </w:r>
    </w:p>
    <w:p>
      <w:pPr>
        <w:pStyle w:val="19"/>
        <w:ind w:left="0" w:leftChars="0" w:firstLine="0" w:firstLineChars="0"/>
        <w:rPr>
          <w:rFonts w:hint="eastAsia"/>
          <w:highlight w:val="none"/>
        </w:rPr>
      </w:pPr>
      <w:r>
        <w:rPr>
          <w:rFonts w:hint="eastAsia" w:ascii="仿宋" w:hAnsi="仿宋" w:eastAsia="仿宋" w:cs="仿宋"/>
          <w:sz w:val="28"/>
          <w:szCs w:val="28"/>
          <w:highlight w:val="none"/>
        </w:rPr>
        <w:t>中标人在合同执行期间，中标方须接受市、区行业主管部门、市政府采购监督管理部门、采购单位及相关主管部门的监管。</w:t>
      </w:r>
    </w:p>
    <w:p>
      <w:pPr>
        <w:pStyle w:val="8"/>
      </w:pPr>
    </w:p>
    <w:p>
      <w:pPr>
        <w:pStyle w:val="6"/>
        <w:spacing w:before="120" w:beforeLines="50" w:after="120" w:afterLines="50"/>
        <w:jc w:val="center"/>
        <w:rPr>
          <w:szCs w:val="24"/>
        </w:rPr>
      </w:pPr>
      <w:r>
        <w:rPr>
          <w:rFonts w:hint="eastAsia"/>
          <w:szCs w:val="24"/>
          <w:lang w:val="en-US" w:eastAsia="zh-CN"/>
        </w:rPr>
        <w:t>六</w:t>
      </w:r>
      <w:r>
        <w:rPr>
          <w:rFonts w:hint="eastAsia"/>
          <w:szCs w:val="24"/>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pPr>
        <w:pStyle w:val="7"/>
        <w:spacing w:before="60" w:beforeLines="25" w:after="60" w:afterLines="25"/>
        <w:ind w:firstLine="392" w:firstLineChars="187"/>
        <w:rPr>
          <w:rFonts w:ascii="宋体" w:hAnsi="宋体"/>
          <w:szCs w:val="21"/>
        </w:rPr>
      </w:pPr>
    </w:p>
    <w:p>
      <w:pPr>
        <w:pStyle w:val="7"/>
        <w:spacing w:before="60" w:beforeLines="25" w:after="60" w:afterLines="25"/>
        <w:ind w:firstLine="392" w:firstLineChars="187"/>
        <w:rPr>
          <w:rFonts w:ascii="宋体" w:hAnsi="宋体"/>
          <w:szCs w:val="21"/>
        </w:rPr>
      </w:pPr>
    </w:p>
    <w:p>
      <w:pPr>
        <w:pStyle w:val="7"/>
        <w:spacing w:before="60" w:beforeLines="25" w:after="60" w:afterLines="25"/>
        <w:ind w:firstLine="392" w:firstLineChars="187"/>
        <w:rPr>
          <w:rFonts w:ascii="宋体" w:hAnsi="宋体"/>
          <w:szCs w:val="21"/>
        </w:rPr>
      </w:pPr>
    </w:p>
    <w:p>
      <w:r>
        <w:rPr>
          <w:rFonts w:hint="eastAsia"/>
        </w:rPr>
        <w:br w:type="page"/>
      </w:r>
    </w:p>
    <w:p>
      <w:pPr>
        <w:pStyle w:val="6"/>
        <w:jc w:val="center"/>
        <w:rPr>
          <w:kern w:val="2"/>
        </w:rPr>
      </w:pPr>
      <w:r>
        <w:rPr>
          <w:rFonts w:hint="eastAsia"/>
          <w:kern w:val="2"/>
        </w:rPr>
        <w:t>第四章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pPr>
        <w:ind w:firstLine="480" w:firstLineChars="200"/>
        <w:rPr>
          <w:rFonts w:ascii="仿宋_GB2312" w:eastAsia="仿宋_GB2312"/>
          <w:sz w:val="24"/>
        </w:rPr>
      </w:pPr>
    </w:p>
    <w:p>
      <w:pPr>
        <w:ind w:firstLine="482" w:firstLineChars="200"/>
        <w:rPr>
          <w:rFonts w:ascii="宋体" w:hAnsi="宋体"/>
          <w:b/>
          <w:sz w:val="24"/>
        </w:rPr>
      </w:pPr>
    </w:p>
    <w:p>
      <w:pPr>
        <w:rPr>
          <w:rFonts w:ascii="宋体" w:hAnsi="宋体"/>
          <w:sz w:val="24"/>
        </w:rPr>
      </w:pPr>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31" w:name="_Hlk72070784"/>
      <w:r>
        <w:rPr>
          <w:rFonts w:hint="eastAsia"/>
          <w:szCs w:val="21"/>
        </w:rPr>
        <w:t>投标函</w:t>
      </w:r>
      <w:bookmarkEnd w:id="31"/>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417" w:firstLineChars="675"/>
        <w:rPr>
          <w:rFonts w:hint="eastAsia"/>
          <w:szCs w:val="21"/>
        </w:rPr>
      </w:pPr>
      <w:r>
        <w:rPr>
          <w:rFonts w:hint="eastAsia"/>
          <w:szCs w:val="21"/>
        </w:rPr>
        <w:t>（</w:t>
      </w:r>
      <w:r>
        <w:rPr>
          <w:rFonts w:hint="eastAsia"/>
          <w:szCs w:val="21"/>
          <w:lang w:val="en-US" w:eastAsia="zh-CN"/>
        </w:rPr>
        <w:t>5</w:t>
      </w:r>
      <w:r>
        <w:rPr>
          <w:rFonts w:hint="eastAsia"/>
          <w:szCs w:val="21"/>
        </w:rPr>
        <w:t>）投标人资质证书情况</w:t>
      </w:r>
    </w:p>
    <w:p>
      <w:pPr>
        <w:ind w:left="718" w:leftChars="342" w:firstLine="1417" w:firstLineChars="675"/>
        <w:rPr>
          <w:rFonts w:hint="eastAsia"/>
          <w:szCs w:val="21"/>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szCs w:val="21"/>
        </w:rPr>
        <w:t>企业获奖情况</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投标人经验情况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）服务方案</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）项目重点难点分析、应对措施及相关的合理化建议</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）质量保障措施及方案</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）项目负责人（仅限1人）情况</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）拟安排的项目技术负责人情况（仅限一人，项目负责人除外）</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）投标人现有技术人员（项目负责人、技术负责人除外）情况</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8"/>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pPr>
        <w:rPr>
          <w:rFonts w:ascii="仿宋_GB2312" w:eastAsia="仿宋_GB2312"/>
          <w:sz w:val="24"/>
        </w:rPr>
      </w:pPr>
    </w:p>
    <w:p>
      <w:pPr>
        <w:rPr>
          <w:rFonts w:ascii="宋体" w:hAnsi="宋体"/>
          <w:b/>
          <w:szCs w:val="21"/>
        </w:rPr>
      </w:pPr>
    </w:p>
    <w:p>
      <w:pPr>
        <w:rPr>
          <w:rFonts w:ascii="宋体" w:hAnsi="宋体"/>
          <w:b/>
          <w:szCs w:val="21"/>
        </w:rPr>
      </w:pPr>
    </w:p>
    <w:p>
      <w:pPr>
        <w:jc w:val="left"/>
        <w:rPr>
          <w:rFonts w:ascii="宋体" w:hAnsi="宋体"/>
          <w:b/>
          <w:color w:val="FF0000"/>
          <w:sz w:val="36"/>
          <w:szCs w:val="36"/>
        </w:rPr>
      </w:pPr>
      <w:r>
        <w:rPr>
          <w:rFonts w:hint="eastAsia" w:ascii="宋体" w:hAnsi="宋体"/>
          <w:b/>
          <w:color w:val="FF0000"/>
          <w:sz w:val="36"/>
          <w:szCs w:val="36"/>
        </w:rPr>
        <w:br w:type="page"/>
      </w: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kern w:val="0"/>
          <w:sz w:val="24"/>
        </w:rPr>
      </w:pPr>
      <w:r>
        <w:rPr>
          <w:rFonts w:hint="eastAsia" w:ascii="黑体" w:eastAsia="黑体"/>
          <w:b w:val="0"/>
          <w:kern w:val="0"/>
          <w:sz w:val="24"/>
        </w:rPr>
        <w:t>一、投标函</w:t>
      </w:r>
    </w:p>
    <w:p>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32"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3" w:name="_Hlk72263588"/>
      <w:r>
        <w:rPr>
          <w:rFonts w:hint="eastAsia"/>
          <w:szCs w:val="21"/>
        </w:rPr>
        <w:t>愿意按照招标文件要求承包上述项目并修补其任何缺陷。</w:t>
      </w:r>
      <w:bookmarkEnd w:id="33"/>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34" w:name="_Hlk73819847"/>
      <w:r>
        <w:rPr>
          <w:rFonts w:hint="eastAsia" w:ascii="宋体" w:hAnsi="宋体"/>
          <w:szCs w:val="21"/>
        </w:rPr>
        <w:t>投标价格见</w:t>
      </w:r>
      <w:r>
        <w:rPr>
          <w:rFonts w:hint="eastAsia"/>
          <w:szCs w:val="21"/>
        </w:rPr>
        <w:t>投标书编制软件中《开标一览表》中填写的投标总价。</w:t>
      </w:r>
      <w:bookmarkEnd w:id="34"/>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2"/>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rPr>
          <w:rFonts w:ascii="宋体" w:hAnsi="宋体"/>
          <w:b/>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宋体" w:hAnsi="宋体"/>
          <w:szCs w:val="21"/>
        </w:rPr>
      </w:pPr>
    </w:p>
    <w:p>
      <w:pPr>
        <w:pStyle w:val="4"/>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pPr>
        <w:rPr>
          <w:rFonts w:ascii="宋体" w:hAnsi="宋体"/>
          <w:sz w:val="24"/>
        </w:rPr>
      </w:pPr>
    </w:p>
    <w:p>
      <w:pPr>
        <w:rPr>
          <w:rFonts w:ascii="宋体" w:hAnsi="宋体"/>
          <w:color w:val="FF0000"/>
          <w:szCs w:val="21"/>
        </w:rPr>
      </w:pPr>
      <w:bookmarkStart w:id="35"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6" w:name="_Hlk72587269"/>
      <w:bookmarkStart w:id="37"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6"/>
      <w:r>
        <w:rPr>
          <w:rFonts w:hint="eastAsia" w:ascii="宋体" w:hAnsi="宋体"/>
          <w:szCs w:val="21"/>
        </w:rPr>
        <w:t>。</w:t>
      </w:r>
    </w:p>
    <w:bookmarkEnd w:id="37"/>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5"/>
    <w:p>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pPr>
        <w:rPr>
          <w:rFonts w:ascii="宋体" w:hAnsi="宋体"/>
          <w:szCs w:val="21"/>
        </w:rPr>
      </w:pPr>
    </w:p>
    <w:p>
      <w:pPr>
        <w:rPr>
          <w:rFonts w:ascii="宋体" w:hAnsi="宋体"/>
          <w:szCs w:val="21"/>
        </w:rPr>
      </w:pPr>
    </w:p>
    <w:p/>
    <w:p/>
    <w:p>
      <w:pPr>
        <w:pStyle w:val="4"/>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ind w:firstLine="482" w:firstLineChars="200"/>
        <w:rPr>
          <w:b/>
          <w:sz w:val="24"/>
        </w:rPr>
      </w:pPr>
    </w:p>
    <w:p>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38"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38"/>
      <w:r>
        <w:rPr>
          <w:rFonts w:hint="eastAsia" w:ascii="黑体" w:hAnsi="黑体" w:eastAsia="黑体"/>
          <w:color w:val="FF0000"/>
          <w:szCs w:val="21"/>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5、本项目属于服务类项目，如包含硬件设备、产品等货物采购的，不再对其中涉及的货物制造商作出要求。</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8"/>
        </w:numPr>
        <w:jc w:val="center"/>
        <w:outlineLvl w:val="9"/>
        <w:rPr>
          <w:b/>
          <w:sz w:val="24"/>
        </w:rPr>
      </w:pPr>
      <w:r>
        <w:rPr>
          <w:b/>
          <w:sz w:val="24"/>
        </w:rPr>
        <w:t>中小企业声明函（</w:t>
      </w:r>
      <w:r>
        <w:rPr>
          <w:rFonts w:hint="eastAsia"/>
          <w:b/>
          <w:sz w:val="24"/>
        </w:rPr>
        <w:t>服务</w:t>
      </w:r>
      <w:r>
        <w:rPr>
          <w:b/>
          <w:sz w:val="24"/>
        </w:rPr>
        <w:t>）</w:t>
      </w:r>
    </w:p>
    <w:p>
      <w:pPr>
        <w:pStyle w:val="8"/>
        <w:numPr>
          <w:ilvl w:val="0"/>
          <w:numId w:val="0"/>
        </w:num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39"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39"/>
    </w:p>
    <w:p>
      <w:pPr>
        <w:ind w:firstLine="420" w:firstLineChars="200"/>
      </w:pPr>
    </w:p>
    <w:p>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pPr>
        <w:ind w:firstLine="420" w:firstLineChars="200"/>
        <w:outlineLvl w:val="9"/>
        <w:rPr>
          <w:rFonts w:ascii="宋体" w:hAnsi="宋体"/>
          <w:szCs w:val="21"/>
        </w:rPr>
      </w:pPr>
      <w:r>
        <w:rPr>
          <w:rFonts w:ascii="宋体" w:hAnsi="宋体"/>
          <w:szCs w:val="21"/>
        </w:rPr>
        <w:t xml:space="preserve">…… </w:t>
      </w:r>
    </w:p>
    <w:p>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pPr>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p>
    <w:p>
      <w:pPr>
        <w:ind w:left="723" w:hanging="723" w:hangingChars="300"/>
        <w:rPr>
          <w:b/>
          <w:sz w:val="24"/>
        </w:rPr>
      </w:pPr>
    </w:p>
    <w:p>
      <w:pPr>
        <w:ind w:left="723" w:hanging="723" w:hangingChars="300"/>
        <w:rPr>
          <w:b/>
          <w:sz w:val="24"/>
        </w:rPr>
      </w:pPr>
    </w:p>
    <w:p>
      <w:pPr>
        <w:pStyle w:val="4"/>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20"/>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合计(元)</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以上各项之和</w:t>
            </w:r>
          </w:p>
        </w:tc>
      </w:tr>
    </w:tbl>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1、此表可延长，各投标人根据本项目实际涉及的所有支出项情况修改后填写。本表如有缺漏项，由投标人自行承担。</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2、中标人签订合同前将详细的《分项报价表》递交采购单位，经采购单位审核同意后方可实施。</w:t>
      </w:r>
    </w:p>
    <w:p>
      <w:pPr>
        <w:pStyle w:val="8"/>
        <w:rPr>
          <w:rFonts w:hint="default" w:asciiTheme="minorEastAsia" w:hAnsiTheme="minorEastAsia" w:eastAsiaTheme="minorEastAsia" w:cstheme="minorEastAsia"/>
          <w:b w:val="0"/>
          <w:bCs w:val="0"/>
          <w:color w:val="auto"/>
          <w:kern w:val="2"/>
          <w:sz w:val="20"/>
          <w:szCs w:val="20"/>
          <w:lang w:val="en-US" w:eastAsia="zh-CN" w:bidi="ar-SA"/>
        </w:rPr>
      </w:pPr>
      <w:r>
        <w:rPr>
          <w:rFonts w:hint="eastAsia" w:asciiTheme="minorEastAsia" w:hAnsiTheme="minorEastAsia" w:eastAsiaTheme="minorEastAsia" w:cstheme="minorEastAsia"/>
          <w:b w:val="0"/>
          <w:bCs w:val="0"/>
          <w:color w:val="auto"/>
          <w:kern w:val="2"/>
          <w:sz w:val="20"/>
          <w:szCs w:val="20"/>
          <w:lang w:val="en-US" w:eastAsia="zh-CN" w:bidi="ar-SA"/>
        </w:rPr>
        <w:t>3、投标人的投标报价不得超过预算金额，否则将导致投标无效。</w:t>
      </w:r>
    </w:p>
    <w:p>
      <w:pPr>
        <w:tabs>
          <w:tab w:val="left" w:pos="720"/>
        </w:tabs>
        <w:jc w:val="center"/>
        <w:rPr>
          <w:b/>
          <w:sz w:val="24"/>
        </w:rPr>
      </w:pPr>
      <w:r>
        <w:rPr>
          <w:rFonts w:hint="eastAsia"/>
          <w:b/>
          <w:sz w:val="24"/>
        </w:rPr>
        <w:t>（二）</w:t>
      </w:r>
      <w:bookmarkStart w:id="40" w:name="_Hlk72073235"/>
      <w:r>
        <w:rPr>
          <w:rFonts w:hint="eastAsia"/>
          <w:b/>
          <w:sz w:val="24"/>
        </w:rPr>
        <w:t>投标人认为需要涉及的其他内容报价清单</w:t>
      </w:r>
      <w:bookmarkEnd w:id="40"/>
    </w:p>
    <w:p>
      <w:pPr>
        <w:rPr>
          <w:b/>
          <w:bCs/>
        </w:rPr>
      </w:pPr>
    </w:p>
    <w:p/>
    <w:p>
      <w:pPr>
        <w:pStyle w:val="8"/>
        <w:ind w:firstLine="0" w:firstLineChars="0"/>
      </w:pPr>
    </w:p>
    <w:p>
      <w:pPr>
        <w:pStyle w:val="9"/>
      </w:pPr>
    </w:p>
    <w:p>
      <w:pPr>
        <w:pStyle w:val="9"/>
      </w:pPr>
    </w:p>
    <w:p/>
    <w:p/>
    <w:p>
      <w:pPr>
        <w:ind w:firstLine="1446" w:firstLineChars="600"/>
        <w:rPr>
          <w:b/>
          <w:color w:val="FF0000"/>
          <w:sz w:val="24"/>
        </w:rPr>
      </w:pPr>
      <w:r>
        <w:rPr>
          <w:rFonts w:hint="eastAsia"/>
          <w:b/>
          <w:color w:val="FF0000"/>
          <w:sz w:val="24"/>
        </w:rPr>
        <w:t>（信息公开部分的内容到此为止！以下为信息不公开部分。）</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rPr>
          <w:rFonts w:ascii="仿宋_GB2312" w:eastAsia="仿宋_GB2312"/>
          <w:b/>
          <w:sz w:val="30"/>
          <w:szCs w:val="30"/>
        </w:rPr>
      </w:pPr>
      <w:r>
        <w:rPr>
          <w:rFonts w:hint="eastAsia" w:ascii="仿宋_GB2312" w:eastAsia="仿宋_GB2312"/>
          <w:b/>
          <w:sz w:val="30"/>
          <w:szCs w:val="30"/>
        </w:rPr>
        <w:br w:type="page"/>
      </w:r>
    </w:p>
    <w:p>
      <w:pPr>
        <w:outlineLvl w:val="1"/>
        <w:rPr>
          <w:rFonts w:ascii="宋体" w:hAnsi="宋体"/>
          <w:b/>
          <w:color w:val="FF0000"/>
          <w:sz w:val="28"/>
          <w:szCs w:val="28"/>
        </w:rPr>
      </w:pPr>
      <w:r>
        <w:rPr>
          <w:rFonts w:hint="eastAsia" w:ascii="宋体" w:hAnsi="宋体"/>
          <w:b/>
          <w:color w:val="FF0000"/>
          <w:sz w:val="28"/>
          <w:szCs w:val="28"/>
        </w:rPr>
        <w:t>投标文件附件（信息不公开部分）</w:t>
      </w:r>
    </w:p>
    <w:p>
      <w:pPr>
        <w:pStyle w:val="4"/>
        <w:jc w:val="center"/>
        <w:rPr>
          <w:sz w:val="24"/>
        </w:rPr>
      </w:pPr>
      <w:r>
        <w:rPr>
          <w:rFonts w:hint="eastAsia" w:ascii="黑体" w:eastAsia="黑体"/>
          <w:b w:val="0"/>
          <w:sz w:val="24"/>
        </w:rPr>
        <w:t>一、</w:t>
      </w:r>
      <w:bookmarkStart w:id="41" w:name="_Hlk72092499"/>
      <w:r>
        <w:rPr>
          <w:rFonts w:hint="eastAsia" w:ascii="黑体" w:eastAsia="黑体"/>
          <w:b w:val="0"/>
          <w:sz w:val="24"/>
        </w:rPr>
        <w:t>供应商基本情况表</w:t>
      </w:r>
      <w:bookmarkEnd w:id="41"/>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pStyle w:val="4"/>
        <w:spacing w:before="120" w:after="120"/>
        <w:jc w:val="center"/>
        <w:rPr>
          <w:rFonts w:ascii="黑体" w:eastAsia="黑体"/>
          <w:b w:val="0"/>
          <w:sz w:val="24"/>
        </w:rPr>
      </w:pPr>
      <w:r>
        <w:rPr>
          <w:rFonts w:hint="eastAsia" w:ascii="黑体" w:eastAsia="黑体"/>
          <w:b w:val="0"/>
          <w:sz w:val="24"/>
        </w:rPr>
        <w:t>二、法定代表人（负责人）证明书</w:t>
      </w:r>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9"/>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9"/>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pPr>
        <w:numPr>
          <w:ilvl w:val="0"/>
          <w:numId w:val="9"/>
        </w:numPr>
        <w:spacing w:line="360" w:lineRule="auto"/>
        <w:ind w:firstLine="420" w:firstLineChars="200"/>
        <w:rPr>
          <w:szCs w:val="21"/>
        </w:rPr>
      </w:pPr>
      <w:r>
        <w:rPr>
          <w:rFonts w:hint="eastAsia"/>
          <w:szCs w:val="21"/>
        </w:rPr>
        <w:t>内容必须填写真实、清楚，涂改无效，不得转让、买卖。</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8"/>
              <w:jc w:val="both"/>
              <w:rPr>
                <w:rFonts w:hint="eastAsia"/>
                <w:lang w:val="en-US" w:eastAsia="zh-CN"/>
              </w:rPr>
            </w:pPr>
          </w:p>
          <w:p>
            <w:pPr>
              <w:pStyle w:val="9"/>
              <w:rPr>
                <w:rFonts w:hint="eastAsia"/>
                <w:lang w:val="en-US" w:eastAsia="zh-CN"/>
              </w:rPr>
            </w:pPr>
          </w:p>
          <w:p>
            <w:pPr>
              <w:pStyle w:val="9"/>
              <w:rPr>
                <w:rFonts w:hint="default"/>
                <w:lang w:val="en-US" w:eastAsia="zh-CN"/>
              </w:rPr>
            </w:pPr>
          </w:p>
          <w:p>
            <w:pPr>
              <w:pStyle w:val="9"/>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8"/>
              <w:jc w:val="center"/>
              <w:rPr>
                <w:rFonts w:hint="eastAsia"/>
                <w:lang w:val="en-US" w:eastAsia="zh-CN"/>
              </w:rPr>
            </w:pPr>
          </w:p>
          <w:p>
            <w:pPr>
              <w:pStyle w:val="9"/>
              <w:jc w:val="center"/>
              <w:rPr>
                <w:rFonts w:hint="eastAsia"/>
                <w:sz w:val="24"/>
                <w:vertAlign w:val="baseline"/>
                <w:lang w:val="en-US" w:eastAsia="zh-CN"/>
              </w:rPr>
            </w:pPr>
          </w:p>
        </w:tc>
      </w:tr>
    </w:tbl>
    <w:p>
      <w:pPr>
        <w:pStyle w:val="39"/>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8"/>
              <w:jc w:val="both"/>
              <w:rPr>
                <w:rFonts w:hint="eastAsia"/>
                <w:lang w:val="en-US" w:eastAsia="zh-CN"/>
              </w:rPr>
            </w:pPr>
          </w:p>
          <w:p>
            <w:pPr>
              <w:pStyle w:val="9"/>
              <w:rPr>
                <w:rFonts w:hint="eastAsia"/>
                <w:lang w:val="en-US" w:eastAsia="zh-CN"/>
              </w:rPr>
            </w:pPr>
          </w:p>
          <w:p>
            <w:pPr>
              <w:pStyle w:val="9"/>
              <w:rPr>
                <w:rFonts w:hint="default"/>
                <w:lang w:val="en-US" w:eastAsia="zh-CN"/>
              </w:rPr>
            </w:pPr>
          </w:p>
          <w:p>
            <w:pPr>
              <w:pStyle w:val="9"/>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8"/>
              <w:jc w:val="center"/>
              <w:rPr>
                <w:rFonts w:hint="eastAsia"/>
                <w:lang w:val="en-US" w:eastAsia="zh-CN"/>
              </w:rPr>
            </w:pPr>
          </w:p>
          <w:p>
            <w:pPr>
              <w:pStyle w:val="9"/>
              <w:jc w:val="center"/>
              <w:rPr>
                <w:rFonts w:hint="eastAsia"/>
                <w:sz w:val="24"/>
                <w:vertAlign w:val="baseline"/>
                <w:lang w:val="en-US" w:eastAsia="zh-CN"/>
              </w:rPr>
            </w:pPr>
          </w:p>
        </w:tc>
      </w:tr>
    </w:tbl>
    <w:p>
      <w:pPr>
        <w:pStyle w:val="39"/>
        <w:rPr>
          <w:rFonts w:hint="eastAsia" w:ascii="黑体" w:hAnsi="黑体" w:eastAsia="黑体" w:cs="黑体"/>
          <w:b/>
          <w:bCs/>
          <w:color w:val="auto"/>
          <w:sz w:val="24"/>
          <w:szCs w:val="24"/>
          <w:u w:val="none"/>
          <w:lang w:val="en-US" w:eastAsia="zh-CN"/>
        </w:rPr>
      </w:pPr>
    </w:p>
    <w:p>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17"/>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pPr>
        <w:pStyle w:val="17"/>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2" w:name="_Hlk72092634"/>
      <w:r>
        <w:rPr>
          <w:rFonts w:hint="eastAsia" w:ascii="黑体" w:eastAsia="黑体"/>
          <w:b w:val="0"/>
          <w:kern w:val="0"/>
          <w:sz w:val="24"/>
          <w:szCs w:val="24"/>
        </w:rPr>
        <w:t>实质性条款响应情况表</w:t>
      </w:r>
      <w:bookmarkEnd w:id="42"/>
    </w:p>
    <w:p>
      <w:pPr>
        <w:pStyle w:val="39"/>
      </w:pPr>
    </w:p>
    <w:tbl>
      <w:tblPr>
        <w:tblStyle w:val="2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43" w:name="_Hlk72092651"/>
            <w:r>
              <w:rPr>
                <w:rFonts w:hint="eastAsia" w:ascii="宋体" w:hAnsi="宋体"/>
                <w:kern w:val="0"/>
                <w:szCs w:val="21"/>
              </w:rPr>
              <w:t>序号</w:t>
            </w:r>
          </w:p>
        </w:tc>
        <w:tc>
          <w:tcPr>
            <w:tcW w:w="2788"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pPr>
        <w:pStyle w:val="39"/>
        <w:sectPr>
          <w:pgSz w:w="11907" w:h="16840"/>
          <w:pgMar w:top="1440" w:right="1797" w:bottom="1440" w:left="1797" w:header="851" w:footer="992" w:gutter="0"/>
          <w:cols w:space="425" w:num="1"/>
          <w:titlePg/>
          <w:docGrid w:linePitch="462" w:charSpace="0"/>
        </w:sectPr>
      </w:pPr>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pPr>
        <w:widowControl/>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autoSpaceDE w:val="0"/>
        <w:autoSpaceDN w:val="0"/>
        <w:spacing w:line="400" w:lineRule="exact"/>
        <w:ind w:right="1414" w:firstLine="480" w:firstLineChars="200"/>
        <w:jc w:val="right"/>
        <w:rPr>
          <w:rFonts w:eastAsiaTheme="minorEastAsia"/>
          <w:kern w:val="0"/>
          <w:sz w:val="24"/>
        </w:rPr>
      </w:pPr>
    </w:p>
    <w:p>
      <w:pPr>
        <w:widowControl/>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
      <w:pPr>
        <w:pStyle w:val="8"/>
        <w:sectPr>
          <w:pgSz w:w="11907" w:h="16840"/>
          <w:pgMar w:top="1440" w:right="1797" w:bottom="1440" w:left="1797" w:header="851" w:footer="992" w:gutter="0"/>
          <w:cols w:space="425" w:num="1"/>
          <w:titlePg/>
          <w:docGrid w:linePitch="462" w:charSpace="0"/>
        </w:sectPr>
      </w:pPr>
    </w:p>
    <w:p>
      <w:pPr>
        <w:pStyle w:val="8"/>
      </w:pPr>
    </w:p>
    <w:p>
      <w:pPr>
        <w:pStyle w:val="6"/>
        <w:jc w:val="center"/>
        <w:outlineLvl w:val="2"/>
      </w:pPr>
      <w:r>
        <w:rPr>
          <w:rFonts w:hint="eastAsia"/>
        </w:rPr>
        <w:t>第五章  合同条款及格式</w:t>
      </w:r>
    </w:p>
    <w:p>
      <w:pPr>
        <w:ind w:firstLine="411" w:firstLineChars="196"/>
      </w:pPr>
    </w:p>
    <w:p>
      <w:pPr>
        <w:jc w:val="center"/>
        <w:outlineLvl w:val="9"/>
      </w:pPr>
      <w:r>
        <w:rPr>
          <w:rFonts w:hint="eastAsia"/>
          <w:b/>
          <w:sz w:val="24"/>
        </w:rPr>
        <w:t>（仅供参考，具体以项目需求及采购结果为准）</w:t>
      </w:r>
    </w:p>
    <w:p>
      <w:pPr>
        <w:rPr>
          <w:rFonts w:ascii="宋体" w:hAnsi="宋体"/>
          <w:b/>
          <w:bCs/>
          <w:szCs w:val="21"/>
        </w:rPr>
      </w:pPr>
      <w:r>
        <w:rPr>
          <w:rFonts w:hint="eastAsia" w:ascii="宋体" w:hAnsi="宋体"/>
          <w:b/>
          <w:bCs/>
          <w:szCs w:val="21"/>
        </w:rPr>
        <w:t>甲方：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pPr>
        <w:rPr>
          <w:rFonts w:ascii="宋体" w:hAnsi="宋体"/>
          <w:b/>
          <w:bCs/>
          <w:szCs w:val="21"/>
        </w:rPr>
      </w:pPr>
      <w:r>
        <w:rPr>
          <w:rFonts w:hint="eastAsia" w:ascii="宋体" w:hAnsi="宋体"/>
          <w:b/>
          <w:bCs/>
          <w:szCs w:val="21"/>
        </w:rPr>
        <w:t>乙方：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szCs w:val="21"/>
        </w:rPr>
      </w:pPr>
      <w:r>
        <w:rPr>
          <w:rFonts w:ascii="宋体" w:hAnsi="宋体"/>
          <w:b/>
          <w:bCs/>
          <w:szCs w:val="21"/>
        </w:rPr>
        <w:t xml:space="preserve">            </w:t>
      </w:r>
      <w:r>
        <w:rPr>
          <w:rFonts w:hint="eastAsia" w:ascii="宋体" w:hAnsi="宋体"/>
          <w:b/>
          <w:bCs/>
          <w:szCs w:val="21"/>
        </w:rPr>
        <w:t xml:space="preserve">          </w:t>
      </w:r>
    </w:p>
    <w:p>
      <w:pPr>
        <w:rPr>
          <w:rFonts w:ascii="宋体" w:hAnsi="宋体"/>
          <w:szCs w:val="21"/>
        </w:rPr>
      </w:pPr>
    </w:p>
    <w:p>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pPr>
        <w:ind w:firstLine="422" w:firstLineChars="200"/>
        <w:rPr>
          <w:rFonts w:ascii="宋体" w:hAnsi="宋体"/>
          <w:b/>
          <w:bCs/>
          <w:szCs w:val="21"/>
        </w:rPr>
      </w:pPr>
      <w:r>
        <w:rPr>
          <w:rFonts w:hint="eastAsia" w:ascii="宋体" w:hAnsi="宋体"/>
          <w:b/>
          <w:bCs/>
          <w:szCs w:val="21"/>
        </w:rPr>
        <w:t>第一条　项目概况</w:t>
      </w:r>
    </w:p>
    <w:p>
      <w:pPr>
        <w:ind w:firstLine="420" w:firstLineChars="200"/>
        <w:rPr>
          <w:rFonts w:ascii="宋体" w:hAnsi="宋体"/>
          <w:szCs w:val="21"/>
        </w:rPr>
      </w:pPr>
      <w:r>
        <w:rPr>
          <w:rFonts w:hint="eastAsia" w:ascii="宋体" w:hAnsi="宋体"/>
          <w:szCs w:val="21"/>
        </w:rPr>
        <w:t xml:space="preserve">项目名称： </w:t>
      </w:r>
    </w:p>
    <w:p>
      <w:pPr>
        <w:ind w:firstLine="420" w:firstLineChars="200"/>
        <w:rPr>
          <w:rFonts w:ascii="宋体" w:hAnsi="宋体"/>
          <w:szCs w:val="21"/>
        </w:rPr>
      </w:pPr>
      <w:r>
        <w:rPr>
          <w:rFonts w:hint="eastAsia" w:ascii="宋体" w:hAnsi="宋体"/>
          <w:szCs w:val="21"/>
        </w:rPr>
        <w:t xml:space="preserve">项目内容： </w:t>
      </w:r>
    </w:p>
    <w:p>
      <w:pPr>
        <w:ind w:firstLine="420" w:firstLineChars="200"/>
        <w:rPr>
          <w:rFonts w:ascii="宋体" w:hAnsi="宋体"/>
          <w:szCs w:val="21"/>
        </w:rPr>
      </w:pPr>
      <w:r>
        <w:rPr>
          <w:rFonts w:hint="eastAsia" w:ascii="宋体" w:hAnsi="宋体"/>
          <w:szCs w:val="21"/>
        </w:rPr>
        <w:t xml:space="preserve">服务时间： </w:t>
      </w:r>
    </w:p>
    <w:p>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pPr>
        <w:pStyle w:val="7"/>
        <w:rPr>
          <w:rFonts w:ascii="宋体" w:hAnsi="宋体"/>
          <w:szCs w:val="21"/>
        </w:rPr>
      </w:pPr>
      <w:r>
        <w:rPr>
          <w:rFonts w:hint="eastAsia" w:ascii="宋体" w:hAnsi="宋体"/>
          <w:szCs w:val="21"/>
        </w:rPr>
        <w:t>支付方式：分期支付。</w:t>
      </w:r>
    </w:p>
    <w:p>
      <w:pPr>
        <w:ind w:firstLine="422" w:firstLineChars="200"/>
        <w:rPr>
          <w:rFonts w:ascii="宋体" w:hAnsi="宋体"/>
          <w:b/>
          <w:bCs/>
          <w:szCs w:val="21"/>
        </w:rPr>
      </w:pPr>
      <w:r>
        <w:rPr>
          <w:rFonts w:hint="eastAsia" w:ascii="宋体" w:hAnsi="宋体"/>
          <w:b/>
          <w:bCs/>
          <w:szCs w:val="21"/>
        </w:rPr>
        <w:t>第二条  服务范围</w:t>
      </w:r>
    </w:p>
    <w:p>
      <w:pPr>
        <w:ind w:firstLine="420" w:firstLineChars="200"/>
        <w:rPr>
          <w:rFonts w:ascii="宋体" w:hAnsi="宋体"/>
          <w:szCs w:val="21"/>
        </w:rPr>
      </w:pPr>
      <w:r>
        <w:rPr>
          <w:rFonts w:hint="eastAsia" w:ascii="宋体" w:hAnsi="宋体"/>
          <w:szCs w:val="21"/>
        </w:rPr>
        <w:t xml:space="preserve">1、  </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 xml:space="preserve">3、  </w:t>
      </w:r>
    </w:p>
    <w:p>
      <w:pPr>
        <w:ind w:firstLine="420" w:firstLineChars="200"/>
        <w:rPr>
          <w:rFonts w:ascii="宋体" w:hAnsi="宋体"/>
          <w:szCs w:val="21"/>
        </w:rPr>
      </w:pPr>
      <w:r>
        <w:rPr>
          <w:rFonts w:hint="eastAsia" w:ascii="宋体" w:hAnsi="宋体"/>
          <w:szCs w:val="21"/>
        </w:rPr>
        <w:t>4、 其他合同未明示的相关工作。</w:t>
      </w:r>
    </w:p>
    <w:p>
      <w:pPr>
        <w:ind w:firstLine="422" w:firstLineChars="200"/>
        <w:rPr>
          <w:rFonts w:ascii="宋体" w:hAnsi="宋体"/>
          <w:b/>
          <w:bCs/>
          <w:szCs w:val="21"/>
        </w:rPr>
      </w:pPr>
      <w:r>
        <w:rPr>
          <w:rFonts w:hint="eastAsia" w:ascii="宋体" w:hAnsi="宋体"/>
          <w:b/>
          <w:bCs/>
          <w:szCs w:val="21"/>
        </w:rPr>
        <w:t>第三条  时间要求及阶段成果</w:t>
      </w:r>
    </w:p>
    <w:p>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3、</w:t>
      </w:r>
    </w:p>
    <w:p>
      <w:pPr>
        <w:ind w:firstLine="420" w:firstLineChars="200"/>
        <w:rPr>
          <w:rFonts w:ascii="宋体" w:hAnsi="宋体"/>
          <w:szCs w:val="21"/>
        </w:rPr>
      </w:pPr>
      <w:r>
        <w:rPr>
          <w:rFonts w:hint="eastAsia" w:ascii="宋体" w:hAnsi="宋体"/>
          <w:szCs w:val="21"/>
        </w:rPr>
        <w:t>4、</w:t>
      </w:r>
    </w:p>
    <w:p>
      <w:pPr>
        <w:ind w:firstLine="422" w:firstLineChars="200"/>
        <w:rPr>
          <w:rFonts w:ascii="宋体" w:hAnsi="宋体"/>
          <w:b/>
          <w:bCs/>
          <w:szCs w:val="21"/>
        </w:rPr>
      </w:pPr>
      <w:r>
        <w:rPr>
          <w:rFonts w:hint="eastAsia" w:ascii="宋体" w:hAnsi="宋体"/>
          <w:b/>
          <w:bCs/>
          <w:szCs w:val="21"/>
        </w:rPr>
        <w:t>第四条  服务资料归属</w:t>
      </w:r>
    </w:p>
    <w:p>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pPr>
        <w:ind w:firstLine="422" w:firstLineChars="200"/>
        <w:rPr>
          <w:rFonts w:ascii="宋体" w:hAnsi="宋体"/>
          <w:b/>
          <w:bCs/>
          <w:szCs w:val="21"/>
        </w:rPr>
      </w:pPr>
      <w:r>
        <w:rPr>
          <w:rFonts w:hint="eastAsia" w:ascii="宋体" w:hAnsi="宋体"/>
          <w:b/>
          <w:bCs/>
          <w:szCs w:val="21"/>
        </w:rPr>
        <w:t>第五条  甲方的义务</w:t>
      </w:r>
    </w:p>
    <w:p>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pPr>
        <w:ind w:firstLine="420" w:firstLineChars="200"/>
        <w:rPr>
          <w:rFonts w:ascii="宋体" w:hAnsi="宋体"/>
          <w:szCs w:val="21"/>
        </w:rPr>
      </w:pPr>
      <w:r>
        <w:rPr>
          <w:rFonts w:hint="eastAsia" w:ascii="宋体" w:hAnsi="宋体"/>
          <w:szCs w:val="21"/>
        </w:rPr>
        <w:t>2、向乙方提供与本项目服务工作有关的资料。</w:t>
      </w:r>
    </w:p>
    <w:p>
      <w:pPr>
        <w:ind w:firstLine="420" w:firstLineChars="200"/>
        <w:rPr>
          <w:rFonts w:ascii="宋体" w:hAnsi="宋体"/>
          <w:szCs w:val="21"/>
        </w:rPr>
      </w:pPr>
      <w:r>
        <w:rPr>
          <w:rFonts w:hint="eastAsia" w:ascii="宋体" w:hAnsi="宋体"/>
          <w:szCs w:val="21"/>
        </w:rPr>
        <w:t>3、负责组织有关专家对项目试验成果评估报告的评审。</w:t>
      </w:r>
    </w:p>
    <w:p>
      <w:pPr>
        <w:ind w:firstLine="422" w:firstLineChars="200"/>
        <w:rPr>
          <w:rFonts w:ascii="宋体" w:hAnsi="宋体"/>
          <w:b/>
          <w:bCs/>
          <w:szCs w:val="21"/>
        </w:rPr>
      </w:pPr>
      <w:r>
        <w:rPr>
          <w:rFonts w:hint="eastAsia" w:ascii="宋体" w:hAnsi="宋体"/>
          <w:b/>
          <w:bCs/>
          <w:szCs w:val="21"/>
        </w:rPr>
        <w:t>第六条　乙方的义务</w:t>
      </w:r>
    </w:p>
    <w:p>
      <w:pPr>
        <w:ind w:firstLine="420" w:firstLineChars="200"/>
        <w:rPr>
          <w:rFonts w:ascii="宋体" w:hAnsi="宋体"/>
          <w:szCs w:val="21"/>
        </w:rPr>
      </w:pPr>
      <w:r>
        <w:rPr>
          <w:rFonts w:hint="eastAsia" w:ascii="宋体" w:hAnsi="宋体"/>
          <w:szCs w:val="21"/>
        </w:rPr>
        <w:t>１、应按照招标文件、投标文件要求按期完成本项目服务工作。</w:t>
      </w:r>
    </w:p>
    <w:p>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pPr>
        <w:ind w:firstLine="422" w:firstLineChars="200"/>
        <w:rPr>
          <w:rFonts w:ascii="宋体" w:hAnsi="宋体"/>
          <w:b/>
          <w:bCs/>
          <w:szCs w:val="21"/>
        </w:rPr>
      </w:pPr>
      <w:r>
        <w:rPr>
          <w:rFonts w:hint="eastAsia" w:ascii="宋体" w:hAnsi="宋体"/>
          <w:b/>
          <w:bCs/>
          <w:szCs w:val="21"/>
        </w:rPr>
        <w:t>第七条  甲方的权利</w:t>
      </w:r>
    </w:p>
    <w:p>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pPr>
        <w:ind w:firstLine="422" w:firstLineChars="200"/>
        <w:rPr>
          <w:rFonts w:ascii="宋体" w:hAnsi="宋体"/>
          <w:b/>
          <w:bCs/>
          <w:szCs w:val="21"/>
        </w:rPr>
      </w:pPr>
      <w:r>
        <w:rPr>
          <w:rFonts w:hint="eastAsia" w:ascii="宋体" w:hAnsi="宋体"/>
          <w:b/>
          <w:bCs/>
          <w:szCs w:val="21"/>
        </w:rPr>
        <w:t>第八条  乙方的权利</w:t>
      </w:r>
    </w:p>
    <w:p>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pPr>
        <w:ind w:firstLine="422" w:firstLineChars="200"/>
        <w:rPr>
          <w:rFonts w:ascii="宋体" w:hAnsi="宋体"/>
          <w:b/>
          <w:bCs/>
          <w:szCs w:val="21"/>
        </w:rPr>
      </w:pPr>
      <w:r>
        <w:rPr>
          <w:rFonts w:hint="eastAsia" w:ascii="宋体" w:hAnsi="宋体"/>
          <w:b/>
          <w:bCs/>
          <w:szCs w:val="21"/>
        </w:rPr>
        <w:t>第九条  甲方的责任</w:t>
      </w:r>
    </w:p>
    <w:p>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pPr>
        <w:ind w:firstLine="422" w:firstLineChars="200"/>
        <w:rPr>
          <w:rFonts w:ascii="宋体" w:hAnsi="宋体"/>
          <w:b/>
          <w:bCs/>
          <w:szCs w:val="21"/>
        </w:rPr>
      </w:pPr>
      <w:r>
        <w:rPr>
          <w:rFonts w:hint="eastAsia" w:ascii="宋体" w:hAnsi="宋体"/>
          <w:b/>
          <w:bCs/>
          <w:szCs w:val="21"/>
        </w:rPr>
        <w:t>第十条  乙方的责任</w:t>
      </w:r>
    </w:p>
    <w:p>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pPr>
        <w:ind w:firstLine="422" w:firstLineChars="200"/>
        <w:rPr>
          <w:rFonts w:ascii="宋体" w:hAnsi="宋体"/>
          <w:b/>
          <w:bCs/>
          <w:szCs w:val="21"/>
        </w:rPr>
      </w:pPr>
      <w:r>
        <w:rPr>
          <w:rFonts w:hint="eastAsia" w:ascii="宋体" w:hAnsi="宋体"/>
          <w:b/>
          <w:bCs/>
          <w:szCs w:val="21"/>
        </w:rPr>
        <w:t>第十一条  人员要求</w:t>
      </w:r>
    </w:p>
    <w:p>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pPr>
        <w:ind w:firstLine="420" w:firstLineChars="200"/>
        <w:rPr>
          <w:rFonts w:ascii="宋体" w:hAnsi="宋体"/>
          <w:szCs w:val="21"/>
        </w:rPr>
      </w:pPr>
      <w:r>
        <w:rPr>
          <w:rFonts w:hint="eastAsia" w:ascii="宋体" w:hAnsi="宋体"/>
          <w:szCs w:val="21"/>
        </w:rPr>
        <w:t>3、必须以直属试验人员参与本项目服务，不得使用挂靠队伍。</w:t>
      </w:r>
    </w:p>
    <w:p>
      <w:pPr>
        <w:ind w:firstLine="422" w:firstLineChars="200"/>
        <w:rPr>
          <w:rFonts w:ascii="宋体" w:hAnsi="宋体"/>
          <w:b/>
          <w:bCs/>
          <w:szCs w:val="21"/>
        </w:rPr>
      </w:pPr>
      <w:r>
        <w:rPr>
          <w:rFonts w:hint="eastAsia" w:ascii="宋体" w:hAnsi="宋体"/>
          <w:b/>
          <w:bCs/>
          <w:szCs w:val="21"/>
        </w:rPr>
        <w:t>第十二条  乙方服务工具要求</w:t>
      </w:r>
    </w:p>
    <w:p>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pPr>
        <w:ind w:firstLine="420" w:firstLineChars="200"/>
        <w:rPr>
          <w:rFonts w:ascii="宋体" w:hAnsi="宋体"/>
          <w:szCs w:val="21"/>
        </w:rPr>
      </w:pPr>
      <w:r>
        <w:rPr>
          <w:rFonts w:hint="eastAsia" w:ascii="宋体" w:hAnsi="宋体"/>
          <w:szCs w:val="21"/>
        </w:rPr>
        <w:t>2、乙方在提供服务过程中应自备车辆。</w:t>
      </w:r>
    </w:p>
    <w:p>
      <w:pPr>
        <w:ind w:firstLine="422" w:firstLineChars="200"/>
        <w:rPr>
          <w:rFonts w:ascii="宋体" w:hAnsi="宋体"/>
          <w:b/>
          <w:bCs/>
          <w:szCs w:val="21"/>
        </w:rPr>
      </w:pPr>
      <w:r>
        <w:rPr>
          <w:rFonts w:hint="eastAsia" w:ascii="宋体" w:hAnsi="宋体"/>
          <w:b/>
          <w:bCs/>
          <w:szCs w:val="21"/>
        </w:rPr>
        <w:t>第十三条  保密要求</w:t>
      </w:r>
    </w:p>
    <w:p>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pPr>
        <w:ind w:firstLine="422" w:firstLineChars="200"/>
        <w:rPr>
          <w:rFonts w:ascii="宋体" w:hAnsi="宋体"/>
          <w:b/>
          <w:bCs/>
          <w:szCs w:val="21"/>
        </w:rPr>
      </w:pPr>
      <w:r>
        <w:rPr>
          <w:rFonts w:hint="eastAsia" w:ascii="宋体" w:hAnsi="宋体"/>
          <w:b/>
          <w:bCs/>
          <w:szCs w:val="21"/>
        </w:rPr>
        <w:t xml:space="preserve">第十四条  验收     </w:t>
      </w:r>
    </w:p>
    <w:p>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ind w:firstLine="420" w:firstLineChars="200"/>
        <w:rPr>
          <w:rFonts w:ascii="宋体" w:hAnsi="宋体"/>
          <w:szCs w:val="21"/>
        </w:rPr>
      </w:pPr>
      <w:r>
        <w:rPr>
          <w:rFonts w:hint="eastAsia" w:ascii="宋体" w:hAnsi="宋体"/>
          <w:szCs w:val="21"/>
        </w:rPr>
        <w:t>3、验收依据为招标文件、投标文件，国家和行业有关规范、规程和标准。</w:t>
      </w:r>
    </w:p>
    <w:p>
      <w:pPr>
        <w:ind w:firstLine="422" w:firstLineChars="200"/>
        <w:rPr>
          <w:rFonts w:ascii="宋体" w:hAnsi="宋体"/>
          <w:b/>
          <w:bCs/>
          <w:szCs w:val="21"/>
        </w:rPr>
      </w:pPr>
      <w:r>
        <w:rPr>
          <w:rFonts w:hint="eastAsia" w:ascii="宋体" w:hAnsi="宋体"/>
          <w:b/>
          <w:bCs/>
          <w:szCs w:val="21"/>
        </w:rPr>
        <w:t>第十五条  付款方式</w:t>
      </w:r>
    </w:p>
    <w:p>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pPr>
        <w:ind w:firstLine="420" w:firstLineChars="200"/>
        <w:rPr>
          <w:rFonts w:ascii="宋体" w:hAnsi="宋体"/>
          <w:szCs w:val="21"/>
        </w:rPr>
      </w:pPr>
      <w:r>
        <w:rPr>
          <w:rFonts w:hint="eastAsia" w:ascii="宋体" w:hAnsi="宋体"/>
          <w:szCs w:val="21"/>
        </w:rPr>
        <w:t>3、报告通过专家评审后，甲方向乙方支付合同总价%的款项。</w:t>
      </w:r>
    </w:p>
    <w:p>
      <w:pPr>
        <w:ind w:firstLine="422" w:firstLineChars="200"/>
        <w:rPr>
          <w:rFonts w:ascii="宋体" w:hAnsi="宋体"/>
          <w:b/>
          <w:bCs/>
          <w:szCs w:val="21"/>
        </w:rPr>
      </w:pPr>
      <w:r>
        <w:rPr>
          <w:rFonts w:hint="eastAsia" w:ascii="宋体" w:hAnsi="宋体"/>
          <w:b/>
          <w:bCs/>
          <w:szCs w:val="21"/>
        </w:rPr>
        <w:t>第十六条  争议解决办法</w:t>
      </w:r>
    </w:p>
    <w:p>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pPr>
        <w:ind w:firstLine="422" w:firstLineChars="200"/>
        <w:rPr>
          <w:rFonts w:ascii="宋体" w:hAnsi="宋体"/>
          <w:b/>
          <w:bCs/>
          <w:szCs w:val="21"/>
        </w:rPr>
      </w:pPr>
      <w:r>
        <w:rPr>
          <w:rFonts w:hint="eastAsia" w:ascii="宋体" w:hAnsi="宋体"/>
          <w:b/>
          <w:bCs/>
          <w:szCs w:val="21"/>
        </w:rPr>
        <w:t>第十七条  风险责任</w:t>
      </w:r>
    </w:p>
    <w:p>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pPr>
        <w:ind w:firstLine="422" w:firstLineChars="200"/>
        <w:rPr>
          <w:rFonts w:ascii="宋体" w:hAnsi="宋体"/>
          <w:b/>
          <w:bCs/>
          <w:szCs w:val="21"/>
        </w:rPr>
      </w:pPr>
      <w:r>
        <w:rPr>
          <w:rFonts w:hint="eastAsia" w:ascii="宋体" w:hAnsi="宋体"/>
          <w:b/>
          <w:bCs/>
          <w:szCs w:val="21"/>
        </w:rPr>
        <w:t>第十八条  违约责任</w:t>
      </w:r>
    </w:p>
    <w:p>
      <w:pPr>
        <w:pStyle w:val="12"/>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pPr>
        <w:ind w:firstLine="422" w:firstLineChars="200"/>
        <w:rPr>
          <w:rFonts w:ascii="宋体" w:hAnsi="宋体"/>
          <w:b/>
          <w:bCs/>
          <w:szCs w:val="21"/>
        </w:rPr>
      </w:pPr>
      <w:r>
        <w:rPr>
          <w:rFonts w:hint="eastAsia" w:ascii="宋体" w:hAnsi="宋体"/>
          <w:b/>
          <w:bCs/>
          <w:szCs w:val="21"/>
        </w:rPr>
        <w:t>第十九条  其他</w:t>
      </w:r>
    </w:p>
    <w:p>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pPr>
        <w:ind w:firstLine="420" w:firstLineChars="200"/>
        <w:rPr>
          <w:rFonts w:hint="eastAsia" w:ascii="宋体" w:hAnsi="宋体"/>
          <w:szCs w:val="21"/>
        </w:rPr>
      </w:pPr>
      <w:r>
        <w:rPr>
          <w:rFonts w:hint="eastAsia" w:ascii="宋体" w:hAnsi="宋体"/>
          <w:szCs w:val="21"/>
        </w:rPr>
        <w:t>（1）政府采购合同协议书及其变更、补充协议</w:t>
      </w:r>
    </w:p>
    <w:p>
      <w:pPr>
        <w:ind w:firstLine="420" w:firstLineChars="200"/>
        <w:rPr>
          <w:rFonts w:hint="eastAsia" w:ascii="宋体" w:hAnsi="宋体"/>
          <w:szCs w:val="21"/>
        </w:rPr>
      </w:pPr>
      <w:r>
        <w:rPr>
          <w:rFonts w:hint="eastAsia" w:ascii="宋体" w:hAnsi="宋体"/>
          <w:szCs w:val="21"/>
        </w:rPr>
        <w:t>（2）政府采购合同专用条款</w:t>
      </w:r>
    </w:p>
    <w:p>
      <w:pPr>
        <w:ind w:firstLine="420" w:firstLineChars="200"/>
        <w:rPr>
          <w:rFonts w:hint="eastAsia" w:ascii="宋体" w:hAnsi="宋体"/>
          <w:szCs w:val="21"/>
        </w:rPr>
      </w:pPr>
      <w:r>
        <w:rPr>
          <w:rFonts w:hint="eastAsia" w:ascii="宋体" w:hAnsi="宋体"/>
          <w:szCs w:val="21"/>
        </w:rPr>
        <w:t>（3）政府采购合同通用条款</w:t>
      </w:r>
    </w:p>
    <w:p>
      <w:pPr>
        <w:ind w:firstLine="420" w:firstLineChars="200"/>
        <w:rPr>
          <w:rFonts w:hint="eastAsia" w:ascii="宋体" w:hAnsi="宋体"/>
          <w:szCs w:val="21"/>
        </w:rPr>
      </w:pPr>
      <w:r>
        <w:rPr>
          <w:rFonts w:hint="eastAsia" w:ascii="宋体" w:hAnsi="宋体"/>
          <w:szCs w:val="21"/>
        </w:rPr>
        <w:t>（4）中标（成交）通知书</w:t>
      </w:r>
    </w:p>
    <w:p>
      <w:pPr>
        <w:ind w:firstLine="420" w:firstLineChars="200"/>
        <w:rPr>
          <w:rFonts w:hint="eastAsia" w:ascii="宋体" w:hAnsi="宋体"/>
          <w:szCs w:val="21"/>
        </w:rPr>
      </w:pPr>
      <w:r>
        <w:rPr>
          <w:rFonts w:hint="eastAsia" w:ascii="宋体" w:hAnsi="宋体"/>
          <w:szCs w:val="21"/>
        </w:rPr>
        <w:t>（5）投标（响应）文件</w:t>
      </w:r>
    </w:p>
    <w:p>
      <w:pPr>
        <w:ind w:firstLine="420" w:firstLineChars="200"/>
        <w:rPr>
          <w:rFonts w:hint="eastAsia" w:ascii="宋体" w:hAnsi="宋体"/>
          <w:szCs w:val="21"/>
        </w:rPr>
      </w:pPr>
      <w:r>
        <w:rPr>
          <w:rFonts w:hint="eastAsia" w:ascii="宋体" w:hAnsi="宋体"/>
          <w:szCs w:val="21"/>
        </w:rPr>
        <w:t>（6）采购文件</w:t>
      </w:r>
    </w:p>
    <w:p>
      <w:pPr>
        <w:ind w:firstLine="420" w:firstLineChars="200"/>
        <w:rPr>
          <w:rFonts w:hint="eastAsia" w:ascii="宋体" w:hAnsi="宋体"/>
          <w:szCs w:val="21"/>
        </w:rPr>
      </w:pPr>
      <w:r>
        <w:rPr>
          <w:rFonts w:hint="eastAsia" w:ascii="宋体" w:hAnsi="宋体"/>
          <w:szCs w:val="21"/>
        </w:rPr>
        <w:t>（7）有关技术文件，图纸</w:t>
      </w:r>
    </w:p>
    <w:p>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pPr>
        <w:ind w:firstLine="420" w:firstLineChars="200"/>
        <w:rPr>
          <w:rFonts w:ascii="宋体" w:hAnsi="宋体"/>
          <w:szCs w:val="21"/>
        </w:rPr>
      </w:pPr>
      <w:r>
        <w:rPr>
          <w:rFonts w:hint="eastAsia" w:ascii="宋体" w:hAnsi="宋体"/>
          <w:szCs w:val="21"/>
        </w:rPr>
        <w:t>2、下列文件均为本合同的组成部分：</w:t>
      </w:r>
    </w:p>
    <w:p>
      <w:pPr>
        <w:ind w:firstLine="420" w:firstLineChars="200"/>
        <w:rPr>
          <w:rFonts w:ascii="宋体" w:hAnsi="宋体"/>
          <w:szCs w:val="21"/>
        </w:rPr>
      </w:pPr>
      <w:r>
        <w:rPr>
          <w:rFonts w:hint="eastAsia" w:ascii="宋体" w:hAnsi="宋体"/>
          <w:szCs w:val="21"/>
        </w:rPr>
        <w:t>（1）号招标文件、答疑及补充通知；</w:t>
      </w:r>
    </w:p>
    <w:p>
      <w:pPr>
        <w:ind w:firstLine="420" w:firstLineChars="200"/>
        <w:rPr>
          <w:rFonts w:ascii="宋体" w:hAnsi="宋体"/>
          <w:szCs w:val="21"/>
        </w:rPr>
      </w:pPr>
      <w:r>
        <w:rPr>
          <w:rFonts w:hint="eastAsia" w:ascii="宋体" w:hAnsi="宋体"/>
          <w:szCs w:val="21"/>
        </w:rPr>
        <w:t>（2）投标文件；</w:t>
      </w:r>
    </w:p>
    <w:p>
      <w:pPr>
        <w:ind w:firstLine="420" w:firstLineChars="200"/>
        <w:rPr>
          <w:rFonts w:ascii="宋体" w:hAnsi="宋体"/>
          <w:szCs w:val="21"/>
        </w:rPr>
      </w:pPr>
      <w:r>
        <w:rPr>
          <w:rFonts w:hint="eastAsia" w:ascii="宋体" w:hAnsi="宋体"/>
          <w:szCs w:val="21"/>
        </w:rPr>
        <w:t>（3）本合同执行中共同签署的补充与修正文件。</w:t>
      </w:r>
    </w:p>
    <w:p>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pPr>
        <w:ind w:firstLine="420" w:firstLineChars="200"/>
        <w:rPr>
          <w:rFonts w:ascii="宋体" w:hAnsi="宋体"/>
          <w:szCs w:val="21"/>
        </w:rPr>
      </w:pPr>
    </w:p>
    <w:p>
      <w:pPr>
        <w:ind w:firstLine="420" w:firstLineChars="200"/>
        <w:rPr>
          <w:rFonts w:ascii="宋体" w:hAnsi="宋体"/>
          <w:szCs w:val="21"/>
        </w:rPr>
      </w:pPr>
    </w:p>
    <w:p>
      <w:pPr>
        <w:spacing w:line="360" w:lineRule="auto"/>
        <w:ind w:firstLine="560"/>
        <w:jc w:val="left"/>
        <w:rPr>
          <w:rFonts w:ascii="宋体" w:hAnsi="宋体"/>
          <w:szCs w:val="21"/>
        </w:rPr>
      </w:pPr>
      <w:r>
        <w:rPr>
          <w:rFonts w:hint="eastAsia" w:ascii="宋体" w:hAnsi="宋体"/>
          <w:szCs w:val="21"/>
        </w:rPr>
        <w:t>甲方（采购人）：   （盖章）       乙方（供应商）：    （盖章）</w:t>
      </w:r>
    </w:p>
    <w:p>
      <w:pPr>
        <w:spacing w:line="360" w:lineRule="auto"/>
        <w:ind w:firstLine="560"/>
        <w:jc w:val="left"/>
        <w:rPr>
          <w:rFonts w:ascii="宋体" w:hAnsi="宋体"/>
          <w:szCs w:val="21"/>
        </w:rPr>
      </w:pPr>
      <w:r>
        <w:rPr>
          <w:rFonts w:hint="eastAsia" w:ascii="宋体" w:hAnsi="宋体"/>
          <w:szCs w:val="21"/>
        </w:rPr>
        <w:t xml:space="preserve">法定代表人：                     法定代表人： </w:t>
      </w:r>
    </w:p>
    <w:p>
      <w:pPr>
        <w:spacing w:line="360" w:lineRule="auto"/>
        <w:ind w:firstLine="560"/>
        <w:jc w:val="left"/>
        <w:rPr>
          <w:rFonts w:ascii="宋体" w:hAnsi="宋体"/>
          <w:szCs w:val="21"/>
        </w:rPr>
      </w:pPr>
      <w:r>
        <w:rPr>
          <w:rFonts w:hint="eastAsia" w:ascii="宋体" w:hAnsi="宋体"/>
          <w:szCs w:val="21"/>
        </w:rPr>
        <w:t>委托代理人：                     委托代理人：</w:t>
      </w:r>
    </w:p>
    <w:p>
      <w:pPr>
        <w:ind w:firstLine="420" w:firstLineChars="200"/>
        <w:rPr>
          <w:rFonts w:ascii="宋体" w:hAnsi="宋体"/>
          <w:szCs w:val="21"/>
        </w:rPr>
      </w:pPr>
      <w:r>
        <w:rPr>
          <w:rFonts w:hint="eastAsia" w:ascii="宋体" w:hAnsi="宋体"/>
          <w:szCs w:val="21"/>
        </w:rPr>
        <w:t>日期：   年     月    日         日期：   年     月    日</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widowControl/>
        <w:jc w:val="left"/>
        <w:rPr>
          <w:rFonts w:ascii="宋体" w:hAnsi="宋体"/>
          <w:szCs w:val="21"/>
        </w:rPr>
      </w:pPr>
      <w:r>
        <w:rPr>
          <w:rFonts w:ascii="宋体" w:hAnsi="宋体"/>
          <w:szCs w:val="21"/>
        </w:rPr>
        <w:br w:type="page"/>
      </w:r>
    </w:p>
    <w:p>
      <w:pPr>
        <w:pStyle w:val="6"/>
        <w:spacing w:before="120" w:beforeLines="50" w:after="120" w:afterLines="50"/>
        <w:ind w:left="562"/>
        <w:jc w:val="center"/>
        <w:rPr>
          <w:sz w:val="28"/>
          <w:szCs w:val="28"/>
        </w:rPr>
      </w:pPr>
      <w:r>
        <w:rPr>
          <w:rFonts w:hint="eastAsia"/>
          <w:sz w:val="28"/>
          <w:szCs w:val="28"/>
        </w:rPr>
        <w:t>第二册  通用条款（公开招标）</w:t>
      </w: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4" w:name="_Hlk72399513"/>
      <w:bookmarkStart w:id="45" w:name="_Hlk72439706"/>
      <w:r>
        <w:rPr>
          <w:rFonts w:hint="eastAsia" w:asciiTheme="majorHAnsi" w:hAnsiTheme="majorHAnsi" w:eastAsiaTheme="majorEastAsia" w:cstheme="majorBidi"/>
          <w:b/>
          <w:bCs/>
          <w:sz w:val="28"/>
          <w:szCs w:val="28"/>
        </w:rPr>
        <w:t>总则</w:t>
      </w:r>
    </w:p>
    <w:bookmarkEnd w:id="44"/>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6" w:name="_Hlk72399729"/>
      <w:r>
        <w:rPr>
          <w:rFonts w:hint="eastAsia" w:ascii="宋体" w:hAnsi="宋体"/>
          <w:szCs w:val="21"/>
        </w:rPr>
        <w:t>如有需要，政府集中采购机构可以对通用条款的内容进行补充。</w:t>
      </w:r>
      <w:bookmarkEnd w:id="46"/>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47"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48"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48"/>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47"/>
    <w:p>
      <w:pPr>
        <w:ind w:firstLine="411" w:firstLineChars="196"/>
        <w:rPr>
          <w:rFonts w:ascii="宋体" w:hAnsi="宋体"/>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49"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49"/>
    </w:p>
    <w:p>
      <w:pPr>
        <w:rPr>
          <w:rFonts w:ascii="宋体" w:hAnsi="宋体"/>
          <w:szCs w:val="21"/>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50"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0"/>
    <w:p>
      <w:pPr>
        <w:ind w:firstLine="420" w:firstLineChars="200"/>
        <w:rPr>
          <w:rFonts w:ascii="黑体" w:hAnsi="宋体" w:eastAsia="黑体"/>
          <w:szCs w:val="21"/>
        </w:rPr>
      </w:pPr>
      <w:r>
        <w:rPr>
          <w:rFonts w:hint="eastAsia" w:ascii="黑体" w:hAnsi="宋体" w:eastAsia="黑体"/>
          <w:szCs w:val="21"/>
        </w:rPr>
        <w:t>15．</w:t>
      </w:r>
      <w:bookmarkStart w:id="51"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51"/>
    <w:p>
      <w:pPr>
        <w:ind w:firstLine="420" w:firstLineChars="200"/>
        <w:rPr>
          <w:rFonts w:ascii="黑体" w:hAnsi="宋体" w:eastAsia="黑体"/>
          <w:szCs w:val="21"/>
        </w:rPr>
      </w:pPr>
      <w:r>
        <w:rPr>
          <w:rFonts w:hint="eastAsia" w:ascii="黑体" w:hAnsi="宋体" w:eastAsia="黑体"/>
          <w:szCs w:val="21"/>
        </w:rPr>
        <w:t>18．</w:t>
      </w:r>
      <w:bookmarkStart w:id="52"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2"/>
    <w:p>
      <w:pPr>
        <w:ind w:firstLine="420" w:firstLineChars="200"/>
        <w:rPr>
          <w:rFonts w:ascii="黑体" w:hAnsi="宋体" w:eastAsia="黑体"/>
          <w:szCs w:val="21"/>
        </w:rPr>
      </w:pPr>
      <w:r>
        <w:rPr>
          <w:rFonts w:hint="eastAsia" w:ascii="黑体" w:hAnsi="宋体" w:eastAsia="黑体"/>
          <w:szCs w:val="21"/>
        </w:rPr>
        <w:t>19．</w:t>
      </w:r>
      <w:bookmarkStart w:id="53"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4" w:name="_Hlk71407299"/>
    </w:p>
    <w:bookmarkEnd w:id="54"/>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53"/>
    <w:p>
      <w:pPr>
        <w:ind w:firstLine="420" w:firstLineChars="200"/>
        <w:rPr>
          <w:rFonts w:ascii="宋体" w:hAnsi="宋体"/>
          <w:szCs w:val="21"/>
        </w:rPr>
      </w:pPr>
      <w:bookmarkStart w:id="5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5"/>
    <w:p>
      <w:pPr>
        <w:ind w:firstLine="420" w:firstLineChars="200"/>
        <w:rPr>
          <w:rFonts w:ascii="黑体" w:hAnsi="宋体" w:eastAsia="黑体"/>
          <w:szCs w:val="21"/>
        </w:rPr>
      </w:pPr>
      <w:r>
        <w:rPr>
          <w:rFonts w:hint="eastAsia" w:ascii="黑体" w:hAnsi="宋体" w:eastAsia="黑体"/>
          <w:szCs w:val="21"/>
        </w:rPr>
        <w:t>21．</w:t>
      </w:r>
      <w:bookmarkStart w:id="56"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6"/>
    <w:p>
      <w:pPr>
        <w:ind w:firstLine="420" w:firstLineChars="200"/>
        <w:rPr>
          <w:rFonts w:ascii="黑体" w:hAnsi="宋体" w:eastAsia="黑体"/>
          <w:szCs w:val="21"/>
        </w:rPr>
      </w:pPr>
      <w:r>
        <w:rPr>
          <w:rFonts w:hint="eastAsia" w:ascii="黑体" w:hAnsi="宋体" w:eastAsia="黑体"/>
          <w:szCs w:val="21"/>
        </w:rPr>
        <w:t>23．</w:t>
      </w:r>
      <w:bookmarkStart w:id="57"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57"/>
    </w:p>
    <w:p>
      <w:pPr>
        <w:ind w:firstLine="411" w:firstLineChars="196"/>
        <w:rPr>
          <w:rFonts w:ascii="宋体" w:hAnsi="宋体"/>
          <w:szCs w:val="21"/>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58"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58"/>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59"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59"/>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60"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0"/>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61"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1"/>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62" w:name="_Toc73521669"/>
      <w:bookmarkStart w:id="63" w:name="_Toc73518151"/>
      <w:bookmarkStart w:id="64" w:name="_Toc100052400"/>
      <w:bookmarkStart w:id="65" w:name="_Toc73517673"/>
      <w:bookmarkStart w:id="66" w:name="_Toc73521581"/>
      <w:r>
        <w:rPr>
          <w:rFonts w:hint="eastAsia" w:ascii="黑体" w:hAnsi="宋体" w:eastAsia="黑体"/>
          <w:szCs w:val="21"/>
        </w:rPr>
        <w:t>34．错误的修正</w:t>
      </w:r>
      <w:bookmarkEnd w:id="62"/>
      <w:bookmarkEnd w:id="63"/>
      <w:bookmarkEnd w:id="64"/>
      <w:bookmarkEnd w:id="65"/>
      <w:bookmarkEnd w:id="66"/>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67"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67"/>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68"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69" w:name="_Hlk73821177"/>
      <w:r>
        <w:rPr>
          <w:rFonts w:hint="eastAsia" w:ascii="ˎ̥" w:hAnsi="ˎ̥"/>
          <w:szCs w:val="21"/>
        </w:rPr>
        <w:t>唯一候选中标供应商</w:t>
      </w:r>
      <w:bookmarkEnd w:id="69"/>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70"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71"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0"/>
      <w:bookmarkEnd w:id="71"/>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68"/>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72"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2"/>
      <w:bookmarkStart w:id="73"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3"/>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4"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4"/>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75" w:name="_Hlk71407340"/>
      <w:r>
        <w:rPr>
          <w:rFonts w:hint="eastAsia" w:ascii="宋体" w:hAnsi="宋体"/>
          <w:szCs w:val="21"/>
        </w:rPr>
        <w:t>41.3因质疑投诉或其他原因导致项目结果变更或采购终止的，政府集中采购机构有权吊销中标通知书。</w:t>
      </w:r>
    </w:p>
    <w:bookmarkEnd w:id="75"/>
    <w:p>
      <w:pPr>
        <w:ind w:firstLine="411" w:firstLineChars="196"/>
        <w:rPr>
          <w:rFonts w:ascii="宋体" w:hAnsi="宋体"/>
          <w:szCs w:val="21"/>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6" w:name="_Hlk72439043"/>
      <w:r>
        <w:rPr>
          <w:rFonts w:hint="eastAsia" w:asciiTheme="majorHAnsi" w:hAnsiTheme="majorHAnsi" w:eastAsiaTheme="majorEastAsia" w:cstheme="majorBidi"/>
          <w:b/>
          <w:bCs/>
          <w:sz w:val="28"/>
          <w:szCs w:val="28"/>
        </w:rPr>
        <w:t>合同的授予与备案</w:t>
      </w:r>
      <w:bookmarkEnd w:id="76"/>
    </w:p>
    <w:p>
      <w:pPr>
        <w:ind w:firstLine="420" w:firstLineChars="200"/>
        <w:rPr>
          <w:rFonts w:ascii="黑体" w:hAnsi="宋体" w:eastAsia="黑体"/>
          <w:szCs w:val="21"/>
        </w:rPr>
      </w:pPr>
      <w:bookmarkStart w:id="77" w:name="_Toc73521586"/>
      <w:bookmarkStart w:id="78" w:name="_Toc73518157"/>
      <w:bookmarkStart w:id="79" w:name="_Toc73517679"/>
      <w:bookmarkStart w:id="80" w:name="_Toc100052408"/>
      <w:bookmarkStart w:id="81" w:name="_Toc73521674"/>
      <w:bookmarkStart w:id="82" w:name="_Hlk72439088"/>
      <w:r>
        <w:rPr>
          <w:rFonts w:hint="eastAsia" w:ascii="黑体" w:hAnsi="宋体" w:eastAsia="黑体"/>
          <w:szCs w:val="21"/>
        </w:rPr>
        <w:t>43．合同授予标准</w:t>
      </w:r>
      <w:bookmarkEnd w:id="77"/>
      <w:bookmarkEnd w:id="78"/>
      <w:bookmarkEnd w:id="79"/>
      <w:bookmarkEnd w:id="80"/>
      <w:bookmarkEnd w:id="81"/>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83" w:name="_Toc73517680"/>
      <w:bookmarkStart w:id="84" w:name="_Toc100052409"/>
      <w:bookmarkStart w:id="85" w:name="_Toc73521675"/>
      <w:bookmarkStart w:id="86" w:name="_Toc73518158"/>
      <w:bookmarkStart w:id="87" w:name="_Toc73521587"/>
      <w:r>
        <w:rPr>
          <w:rFonts w:hint="eastAsia" w:ascii="黑体" w:hAnsi="宋体" w:eastAsia="黑体"/>
          <w:szCs w:val="21"/>
        </w:rPr>
        <w:t>44．</w:t>
      </w:r>
      <w:bookmarkEnd w:id="83"/>
      <w:bookmarkEnd w:id="84"/>
      <w:bookmarkEnd w:id="85"/>
      <w:bookmarkEnd w:id="86"/>
      <w:bookmarkEnd w:id="87"/>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88" w:name="_Toc73521589"/>
      <w:bookmarkStart w:id="89" w:name="_Toc73521677"/>
      <w:bookmarkStart w:id="90" w:name="_Toc73517682"/>
      <w:bookmarkStart w:id="91" w:name="_Toc100052410"/>
      <w:bookmarkStart w:id="92" w:name="_Toc73518160"/>
      <w:r>
        <w:rPr>
          <w:rFonts w:hint="eastAsia" w:ascii="黑体" w:hAnsi="宋体" w:eastAsia="黑体"/>
          <w:szCs w:val="21"/>
        </w:rPr>
        <w:t>45．合同的签订</w:t>
      </w:r>
      <w:bookmarkEnd w:id="88"/>
      <w:bookmarkEnd w:id="89"/>
      <w:bookmarkEnd w:id="90"/>
      <w:bookmarkEnd w:id="91"/>
      <w:bookmarkEnd w:id="92"/>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93" w:name="_Toc73518161"/>
      <w:bookmarkStart w:id="94" w:name="_Toc73521678"/>
      <w:bookmarkStart w:id="95" w:name="_Toc100052411"/>
      <w:bookmarkStart w:id="96" w:name="_Toc73521590"/>
      <w:bookmarkStart w:id="97" w:name="_Toc73517683"/>
      <w:r>
        <w:rPr>
          <w:rFonts w:hint="eastAsia" w:ascii="黑体" w:hAnsi="宋体" w:eastAsia="黑体"/>
          <w:szCs w:val="21"/>
        </w:rPr>
        <w:t>46．履约担保</w:t>
      </w:r>
      <w:bookmarkEnd w:id="93"/>
      <w:bookmarkEnd w:id="94"/>
      <w:bookmarkEnd w:id="95"/>
      <w:bookmarkEnd w:id="96"/>
      <w:bookmarkEnd w:id="97"/>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98" w:name="_Hlk72440769"/>
      <w:r>
        <w:rPr>
          <w:rFonts w:hint="eastAsia" w:ascii="宋体" w:hAnsi="宋体"/>
          <w:szCs w:val="21"/>
        </w:rPr>
        <w:t>政府集中采购机构或采购人不予退还其交纳的谈判保证金，情节严重的，并由主管部门</w:t>
      </w:r>
      <w:bookmarkEnd w:id="98"/>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82"/>
    <w:p>
      <w:pPr>
        <w:pStyle w:val="32"/>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99" w:name="_Hlk75374941"/>
      <w:r>
        <w:rPr>
          <w:rFonts w:hint="eastAsia" w:ascii="宋体" w:hAnsi="宋体"/>
          <w:szCs w:val="21"/>
        </w:rPr>
        <w:t>以联合体形式参与的，质疑应当由组成联合体的所有成员共同提出</w:t>
      </w:r>
      <w:bookmarkEnd w:id="99"/>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45"/>
    </w:p>
    <w:p>
      <w:pPr>
        <w:ind w:firstLine="420" w:firstLineChars="200"/>
        <w:rPr>
          <w:rFonts w:ascii="宋体" w:hAnsi="宋体"/>
          <w:szCs w:val="21"/>
        </w:rPr>
      </w:pPr>
    </w:p>
    <w:p/>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65F584E-F242-4BDE-8C96-B987767B369E}"/>
  </w:font>
  <w:font w:name="Arial">
    <w:panose1 w:val="020B0604020202020204"/>
    <w:charset w:val="01"/>
    <w:family w:val="swiss"/>
    <w:pitch w:val="default"/>
    <w:sig w:usb0="E0002EFF" w:usb1="C000785B" w:usb2="00000009" w:usb3="00000000" w:csb0="400001FF" w:csb1="FFFF0000"/>
    <w:embedRegular r:id="rId2" w:fontKey="{15601661-E8AE-455E-BF4B-6CC88CA7B9AE}"/>
  </w:font>
  <w:font w:name="黑体">
    <w:panose1 w:val="02010609060101010101"/>
    <w:charset w:val="86"/>
    <w:family w:val="auto"/>
    <w:pitch w:val="default"/>
    <w:sig w:usb0="800002BF" w:usb1="38CF7CFA" w:usb2="00000016" w:usb3="00000000" w:csb0="00040001" w:csb1="00000000"/>
    <w:embedRegular r:id="rId3" w:fontKey="{69DC70A2-AA6A-481F-A223-87945A73F1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11C756D-DFA2-42C4-A383-4909C1BAACCE}"/>
  </w:font>
  <w:font w:name="Cambria">
    <w:panose1 w:val="02040503050406030204"/>
    <w:charset w:val="00"/>
    <w:family w:val="roman"/>
    <w:pitch w:val="default"/>
    <w:sig w:usb0="E00006FF" w:usb1="420024FF" w:usb2="02000000" w:usb3="00000000" w:csb0="2000019F" w:csb1="00000000"/>
    <w:embedRegular r:id="rId5" w:fontKey="{0C857CB0-E3B2-448A-8F73-1522C367E71D}"/>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6" w:fontKey="{D7743B30-6C99-46D1-8656-E06B48C6AAD0}"/>
  </w:font>
  <w:font w:name="华文仿宋">
    <w:panose1 w:val="02010600040101010101"/>
    <w:charset w:val="86"/>
    <w:family w:val="auto"/>
    <w:pitch w:val="default"/>
    <w:sig w:usb0="00000287" w:usb1="080F0000" w:usb2="00000000" w:usb3="00000000" w:csb0="0004009F" w:csb1="DFD70000"/>
    <w:embedRegular r:id="rId7" w:fontKey="{05DEDFC1-1F3D-4816-AD1C-DDCFCA4227A6}"/>
  </w:font>
  <w:font w:name="仿宋">
    <w:panose1 w:val="02010609060101010101"/>
    <w:charset w:val="86"/>
    <w:family w:val="modern"/>
    <w:pitch w:val="default"/>
    <w:sig w:usb0="800002BF" w:usb1="38CF7CFA" w:usb2="00000016" w:usb3="00000000" w:csb0="00040001" w:csb1="00000000"/>
    <w:embedRegular r:id="rId8" w:fontKey="{0B6113EA-301C-46FA-A609-140BAE4CF2A2}"/>
  </w:font>
  <w:font w:name="方正仿宋_GBK">
    <w:panose1 w:val="02000000000000000000"/>
    <w:charset w:val="86"/>
    <w:family w:val="auto"/>
    <w:pitch w:val="default"/>
    <w:sig w:usb0="00000000" w:usb1="00000000" w:usb2="00000000" w:usb3="00000000" w:csb0="00000000" w:csb1="00000000"/>
    <w:embedRegular r:id="rId9" w:fontKey="{49900B3F-6BF5-4489-A1C5-6ED7129E2900}"/>
  </w:font>
  <w:font w:name="方正小标宋简体">
    <w:panose1 w:val="02000000000000000000"/>
    <w:charset w:val="86"/>
    <w:family w:val="script"/>
    <w:pitch w:val="default"/>
    <w:sig w:usb0="A00002BF" w:usb1="184F6CFA" w:usb2="00000012" w:usb3="00000000" w:csb0="00040001" w:csb1="00000000"/>
    <w:embedRegular r:id="rId10" w:fontKey="{F3E52FED-B9AD-4B03-8D96-5D456435CE1C}"/>
  </w:font>
  <w:font w:name="ˎ̥">
    <w:altName w:val="Times New Roman"/>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t xml:space="preserve">- </w:t>
    </w:r>
    <w:r>
      <w:fldChar w:fldCharType="begin"/>
    </w:r>
    <w:r>
      <w:instrText xml:space="preserve"> PAGE </w:instrText>
    </w:r>
    <w:r>
      <w:fldChar w:fldCharType="separate"/>
    </w:r>
    <w:r>
      <w:t>29</w:t>
    </w:r>
    <w:r>
      <w:fldChar w:fldCharType="end"/>
    </w:r>
    <w:r>
      <w:t xml:space="preserve"> -</w: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pPr>
          <w:pStyle w:val="14"/>
          <w:jc w:val="center"/>
        </w:pPr>
        <w:r>
          <w:fldChar w:fldCharType="begin"/>
        </w:r>
        <w:r>
          <w:instrText xml:space="preserve"> PAGE   \* MERGEFORMAT </w:instrText>
        </w:r>
        <w:r>
          <w:fldChar w:fldCharType="separate"/>
        </w:r>
        <w:r>
          <w:rPr>
            <w:lang w:val="zh-CN"/>
          </w:rPr>
          <w:t>40</w:t>
        </w:r>
        <w:r>
          <w:rPr>
            <w:lang w:val="zh-CN"/>
          </w:rPr>
          <w:fldChar w:fldCharType="end"/>
        </w:r>
      </w:p>
    </w:sdtContent>
  </w:sdt>
  <w:p>
    <w:pPr>
      <w:pStyle w:val="14"/>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C77B5079"/>
    <w:multiLevelType w:val="singleLevel"/>
    <w:tmpl w:val="C77B5079"/>
    <w:lvl w:ilvl="0" w:tentative="0">
      <w:start w:val="1"/>
      <w:numFmt w:val="decimalEnclosedCircleChinese"/>
      <w:suff w:val="nothing"/>
      <w:lvlText w:val="%1　"/>
      <w:lvlJc w:val="left"/>
      <w:pPr>
        <w:ind w:left="0" w:firstLine="400"/>
      </w:pPr>
      <w:rPr>
        <w:rFonts w:hint="eastAsia"/>
      </w:rPr>
    </w:lvl>
  </w:abstractNum>
  <w:abstractNum w:abstractNumId="4">
    <w:nsid w:val="EB50AA69"/>
    <w:multiLevelType w:val="singleLevel"/>
    <w:tmpl w:val="EB50AA69"/>
    <w:lvl w:ilvl="0" w:tentative="0">
      <w:start w:val="1"/>
      <w:numFmt w:val="decimal"/>
      <w:lvlText w:val="(%1)"/>
      <w:lvlJc w:val="left"/>
      <w:pPr>
        <w:ind w:left="425" w:hanging="425"/>
      </w:pPr>
      <w:rPr>
        <w:rFonts w:hint="default"/>
      </w:rPr>
    </w:lvl>
  </w:abstractNum>
  <w:abstractNum w:abstractNumId="5">
    <w:nsid w:val="151EF385"/>
    <w:multiLevelType w:val="singleLevel"/>
    <w:tmpl w:val="151EF385"/>
    <w:lvl w:ilvl="0" w:tentative="0">
      <w:start w:val="1"/>
      <w:numFmt w:val="decimal"/>
      <w:lvlText w:val="%1."/>
      <w:lvlJc w:val="left"/>
      <w:pPr>
        <w:tabs>
          <w:tab w:val="left" w:pos="312"/>
        </w:tabs>
      </w:pPr>
    </w:lvl>
  </w:abstractNum>
  <w:abstractNum w:abstractNumId="6">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84A3243"/>
    <w:multiLevelType w:val="singleLevel"/>
    <w:tmpl w:val="384A3243"/>
    <w:lvl w:ilvl="0" w:tentative="0">
      <w:start w:val="1"/>
      <w:numFmt w:val="decimal"/>
      <w:lvlText w:val="%1."/>
      <w:lvlJc w:val="left"/>
      <w:pPr>
        <w:tabs>
          <w:tab w:val="left" w:pos="312"/>
        </w:tabs>
      </w:pPr>
    </w:lvl>
  </w:abstractNum>
  <w:abstractNum w:abstractNumId="8">
    <w:nsid w:val="44B65775"/>
    <w:multiLevelType w:val="singleLevel"/>
    <w:tmpl w:val="44B65775"/>
    <w:lvl w:ilvl="0" w:tentative="0">
      <w:start w:val="1"/>
      <w:numFmt w:val="decimal"/>
      <w:lvlText w:val="%1."/>
      <w:lvlJc w:val="left"/>
      <w:pPr>
        <w:tabs>
          <w:tab w:val="left" w:pos="312"/>
        </w:tabs>
      </w:pPr>
    </w:lvl>
  </w:abstractNum>
  <w:abstractNum w:abstractNumId="9">
    <w:nsid w:val="541285ED"/>
    <w:multiLevelType w:val="singleLevel"/>
    <w:tmpl w:val="541285ED"/>
    <w:lvl w:ilvl="0" w:tentative="0">
      <w:start w:val="1"/>
      <w:numFmt w:val="decimal"/>
      <w:lvlText w:val="%1."/>
      <w:lvlJc w:val="left"/>
      <w:pPr>
        <w:tabs>
          <w:tab w:val="left" w:pos="312"/>
        </w:tabs>
      </w:pPr>
    </w:lvl>
  </w:abstractNum>
  <w:num w:numId="1">
    <w:abstractNumId w:val="7"/>
  </w:num>
  <w:num w:numId="2">
    <w:abstractNumId w:val="8"/>
  </w:num>
  <w:num w:numId="3">
    <w:abstractNumId w:val="5"/>
  </w:num>
  <w:num w:numId="4">
    <w:abstractNumId w:val="1"/>
  </w:num>
  <w:num w:numId="5">
    <w:abstractNumId w:val="9"/>
  </w:num>
  <w:num w:numId="6">
    <w:abstractNumId w:val="4"/>
  </w:num>
  <w:num w:numId="7">
    <w:abstractNumId w:val="3"/>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E3ZjU2M2NjZmFlYmQwYTc0ZDZkMjFmM2ExNmI5ZTQ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C936690"/>
    <w:rsid w:val="0D0F2768"/>
    <w:rsid w:val="0D8458C4"/>
    <w:rsid w:val="0E1704E7"/>
    <w:rsid w:val="0FDD1D3C"/>
    <w:rsid w:val="102B5847"/>
    <w:rsid w:val="10B169D0"/>
    <w:rsid w:val="10B72ECD"/>
    <w:rsid w:val="10F90F82"/>
    <w:rsid w:val="111019FE"/>
    <w:rsid w:val="11627CCB"/>
    <w:rsid w:val="11685431"/>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8FA6381"/>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60628"/>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335A7"/>
    <w:rsid w:val="32160E27"/>
    <w:rsid w:val="32236BAB"/>
    <w:rsid w:val="3244289A"/>
    <w:rsid w:val="32B97377"/>
    <w:rsid w:val="33941B0E"/>
    <w:rsid w:val="33C91D38"/>
    <w:rsid w:val="34291934"/>
    <w:rsid w:val="348D06FD"/>
    <w:rsid w:val="34CC177B"/>
    <w:rsid w:val="34DF325D"/>
    <w:rsid w:val="362E697F"/>
    <w:rsid w:val="362F1FC2"/>
    <w:rsid w:val="36E020CC"/>
    <w:rsid w:val="37144761"/>
    <w:rsid w:val="375A6BCB"/>
    <w:rsid w:val="37AB5678"/>
    <w:rsid w:val="37C24F6B"/>
    <w:rsid w:val="37D7173E"/>
    <w:rsid w:val="37F17D73"/>
    <w:rsid w:val="382F48C6"/>
    <w:rsid w:val="38312021"/>
    <w:rsid w:val="38B817B4"/>
    <w:rsid w:val="38C05153"/>
    <w:rsid w:val="393B4A71"/>
    <w:rsid w:val="398E34A3"/>
    <w:rsid w:val="3A147AD6"/>
    <w:rsid w:val="3A7E52C6"/>
    <w:rsid w:val="3A8F1281"/>
    <w:rsid w:val="3A9B5E78"/>
    <w:rsid w:val="3AAC1E33"/>
    <w:rsid w:val="3AB17F7A"/>
    <w:rsid w:val="3ACA22B9"/>
    <w:rsid w:val="3B0E58C7"/>
    <w:rsid w:val="3B304812"/>
    <w:rsid w:val="3BCE7B87"/>
    <w:rsid w:val="3C033730"/>
    <w:rsid w:val="3C746980"/>
    <w:rsid w:val="3D406863"/>
    <w:rsid w:val="3DDF607B"/>
    <w:rsid w:val="3E260CC7"/>
    <w:rsid w:val="3EB92A82"/>
    <w:rsid w:val="3EB968CD"/>
    <w:rsid w:val="3EF8229A"/>
    <w:rsid w:val="3F446ADE"/>
    <w:rsid w:val="3F4563B2"/>
    <w:rsid w:val="40356427"/>
    <w:rsid w:val="40A35A86"/>
    <w:rsid w:val="40D93256"/>
    <w:rsid w:val="413452DF"/>
    <w:rsid w:val="41540906"/>
    <w:rsid w:val="418961FE"/>
    <w:rsid w:val="41C2018E"/>
    <w:rsid w:val="42103A4A"/>
    <w:rsid w:val="42764E69"/>
    <w:rsid w:val="427D5E63"/>
    <w:rsid w:val="42D55C9F"/>
    <w:rsid w:val="434370AD"/>
    <w:rsid w:val="434E7F08"/>
    <w:rsid w:val="4416031D"/>
    <w:rsid w:val="44315157"/>
    <w:rsid w:val="44B10046"/>
    <w:rsid w:val="44EB0E77"/>
    <w:rsid w:val="450811BF"/>
    <w:rsid w:val="452614AD"/>
    <w:rsid w:val="45823E47"/>
    <w:rsid w:val="46B17C96"/>
    <w:rsid w:val="46B300A5"/>
    <w:rsid w:val="46B8390E"/>
    <w:rsid w:val="471E5E67"/>
    <w:rsid w:val="47721D0E"/>
    <w:rsid w:val="47C754C6"/>
    <w:rsid w:val="47D71C0C"/>
    <w:rsid w:val="486E0FF2"/>
    <w:rsid w:val="486F44A0"/>
    <w:rsid w:val="49680B13"/>
    <w:rsid w:val="49C86849"/>
    <w:rsid w:val="49D7054F"/>
    <w:rsid w:val="4B7B3A94"/>
    <w:rsid w:val="4BA12BC2"/>
    <w:rsid w:val="4BCC5404"/>
    <w:rsid w:val="4C15710C"/>
    <w:rsid w:val="4C6C1422"/>
    <w:rsid w:val="4C7812B7"/>
    <w:rsid w:val="4CE2651F"/>
    <w:rsid w:val="4D0553D3"/>
    <w:rsid w:val="4D346757"/>
    <w:rsid w:val="4D3B1D7F"/>
    <w:rsid w:val="4E7000CD"/>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D81E27"/>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B8C5118"/>
    <w:rsid w:val="5CAF7D44"/>
    <w:rsid w:val="5D0631CD"/>
    <w:rsid w:val="5D3445F3"/>
    <w:rsid w:val="5E1A49DB"/>
    <w:rsid w:val="5E4717A2"/>
    <w:rsid w:val="5E487850"/>
    <w:rsid w:val="5E4A70E9"/>
    <w:rsid w:val="5E6A778C"/>
    <w:rsid w:val="5EDB41E5"/>
    <w:rsid w:val="5F2B2A77"/>
    <w:rsid w:val="5FC13480"/>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81130A"/>
    <w:rsid w:val="68C06BF6"/>
    <w:rsid w:val="696B1E57"/>
    <w:rsid w:val="696E2310"/>
    <w:rsid w:val="69E0280F"/>
    <w:rsid w:val="6A99742E"/>
    <w:rsid w:val="6AF405C0"/>
    <w:rsid w:val="6B555802"/>
    <w:rsid w:val="6CE013DA"/>
    <w:rsid w:val="6CF5724A"/>
    <w:rsid w:val="6E14501E"/>
    <w:rsid w:val="6E971ED7"/>
    <w:rsid w:val="6EB15DD3"/>
    <w:rsid w:val="6EC91D52"/>
    <w:rsid w:val="6ED07E1A"/>
    <w:rsid w:val="6EE85353"/>
    <w:rsid w:val="6EF32E85"/>
    <w:rsid w:val="6F7A7850"/>
    <w:rsid w:val="703D7D6C"/>
    <w:rsid w:val="70CE05A3"/>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C9503E5"/>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9"/>
    <w:semiHidden/>
    <w:unhideWhenUsed/>
    <w:qFormat/>
    <w:uiPriority w:val="99"/>
    <w:rPr>
      <w:sz w:val="18"/>
      <w:szCs w:val="18"/>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Body Text 2"/>
    <w:basedOn w:val="1"/>
    <w:qFormat/>
    <w:uiPriority w:val="0"/>
    <w:pPr>
      <w:spacing w:line="360" w:lineRule="auto"/>
    </w:pPr>
    <w:rPr>
      <w:sz w:val="24"/>
    </w:rPr>
  </w:style>
  <w:style w:type="paragraph" w:styleId="10">
    <w:name w:val="Document Map"/>
    <w:basedOn w:val="1"/>
    <w:link w:val="33"/>
    <w:semiHidden/>
    <w:unhideWhenUsed/>
    <w:qFormat/>
    <w:uiPriority w:val="99"/>
    <w:rPr>
      <w:rFonts w:ascii="宋体" w:eastAsia="宋体"/>
      <w:sz w:val="18"/>
      <w:szCs w:val="18"/>
    </w:rPr>
  </w:style>
  <w:style w:type="paragraph" w:styleId="11">
    <w:name w:val="annotation text"/>
    <w:basedOn w:val="1"/>
    <w:link w:val="35"/>
    <w:semiHidden/>
    <w:unhideWhenUsed/>
    <w:qFormat/>
    <w:uiPriority w:val="99"/>
    <w:pPr>
      <w:jc w:val="left"/>
    </w:pPr>
  </w:style>
  <w:style w:type="paragraph" w:styleId="12">
    <w:name w:val="Body Text Indent"/>
    <w:basedOn w:val="1"/>
    <w:qFormat/>
    <w:uiPriority w:val="0"/>
    <w:pPr>
      <w:spacing w:line="360" w:lineRule="auto"/>
      <w:ind w:firstLine="420" w:firstLineChars="200"/>
    </w:pPr>
  </w:style>
  <w:style w:type="paragraph" w:styleId="13">
    <w:name w:val="Plain Text"/>
    <w:basedOn w:val="1"/>
    <w:qFormat/>
    <w:uiPriority w:val="0"/>
    <w:rPr>
      <w:rFonts w:ascii="宋体" w:hAnsi="Courier New"/>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8">
    <w:name w:val="annotation subject"/>
    <w:basedOn w:val="11"/>
    <w:next w:val="11"/>
    <w:link w:val="37"/>
    <w:semiHidden/>
    <w:unhideWhenUsed/>
    <w:qFormat/>
    <w:uiPriority w:val="99"/>
    <w:rPr>
      <w:b/>
      <w:bCs/>
    </w:rPr>
  </w:style>
  <w:style w:type="paragraph" w:styleId="19">
    <w:name w:val="Body Text First Indent 2"/>
    <w:basedOn w:val="12"/>
    <w:qFormat/>
    <w:uiPriority w:val="99"/>
    <w:pPr>
      <w:spacing w:after="120" w:line="240" w:lineRule="auto"/>
      <w:ind w:left="420" w:left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FollowedHyperlink"/>
    <w:basedOn w:val="22"/>
    <w:semiHidden/>
    <w:unhideWhenUsed/>
    <w:qFormat/>
    <w:uiPriority w:val="99"/>
    <w:rPr>
      <w:color w:val="800080" w:themeColor="followedHyperlink"/>
      <w:u w:val="single"/>
    </w:rPr>
  </w:style>
  <w:style w:type="character" w:styleId="25">
    <w:name w:val="Hyperlink"/>
    <w:basedOn w:val="22"/>
    <w:unhideWhenUsed/>
    <w:qFormat/>
    <w:uiPriority w:val="99"/>
    <w:rPr>
      <w:color w:val="0000FF" w:themeColor="hyperlink"/>
      <w:u w:val="single"/>
    </w:rPr>
  </w:style>
  <w:style w:type="character" w:styleId="26">
    <w:name w:val="annotation reference"/>
    <w:basedOn w:val="22"/>
    <w:semiHidden/>
    <w:unhideWhenUsed/>
    <w:qFormat/>
    <w:uiPriority w:val="99"/>
    <w:rPr>
      <w:sz w:val="21"/>
      <w:szCs w:val="21"/>
    </w:rPr>
  </w:style>
  <w:style w:type="character" w:customStyle="1" w:styleId="27">
    <w:name w:val="页眉 Char"/>
    <w:basedOn w:val="22"/>
    <w:link w:val="15"/>
    <w:semiHidden/>
    <w:qFormat/>
    <w:uiPriority w:val="99"/>
    <w:rPr>
      <w:sz w:val="18"/>
      <w:szCs w:val="18"/>
    </w:rPr>
  </w:style>
  <w:style w:type="character" w:customStyle="1" w:styleId="28">
    <w:name w:val="页脚 Char"/>
    <w:basedOn w:val="22"/>
    <w:link w:val="14"/>
    <w:qFormat/>
    <w:uiPriority w:val="99"/>
    <w:rPr>
      <w:sz w:val="18"/>
      <w:szCs w:val="18"/>
    </w:rPr>
  </w:style>
  <w:style w:type="character" w:customStyle="1" w:styleId="29">
    <w:name w:val="批注框文本 Char"/>
    <w:basedOn w:val="22"/>
    <w:link w:val="2"/>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2"/>
    <w:link w:val="3"/>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2"/>
    <w:link w:val="10"/>
    <w:semiHidden/>
    <w:qFormat/>
    <w:uiPriority w:val="99"/>
    <w:rPr>
      <w:rFonts w:ascii="宋体" w:eastAsia="宋体"/>
      <w:sz w:val="18"/>
      <w:szCs w:val="18"/>
    </w:rPr>
  </w:style>
  <w:style w:type="character" w:customStyle="1" w:styleId="34">
    <w:name w:val="标题 2 Char"/>
    <w:basedOn w:val="22"/>
    <w:link w:val="6"/>
    <w:semiHidden/>
    <w:qFormat/>
    <w:uiPriority w:val="9"/>
    <w:rPr>
      <w:rFonts w:asciiTheme="majorHAnsi" w:hAnsiTheme="majorHAnsi" w:eastAsiaTheme="majorEastAsia" w:cstheme="majorBidi"/>
      <w:b/>
      <w:bCs/>
      <w:sz w:val="32"/>
      <w:szCs w:val="32"/>
    </w:rPr>
  </w:style>
  <w:style w:type="character" w:customStyle="1" w:styleId="35">
    <w:name w:val="批注文字 Char"/>
    <w:basedOn w:val="22"/>
    <w:link w:val="11"/>
    <w:semiHidden/>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8"/>
    <w:semiHidden/>
    <w:qFormat/>
    <w:uiPriority w:val="99"/>
    <w:rPr>
      <w:b/>
      <w:bCs/>
      <w:kern w:val="2"/>
      <w:sz w:val="21"/>
      <w:szCs w:val="22"/>
    </w:rPr>
  </w:style>
  <w:style w:type="table" w:customStyle="1" w:styleId="38">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9">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40">
    <w:name w:val="列出段落1"/>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15110</Words>
  <Characters>15867</Characters>
  <Lines>316</Lines>
  <Paragraphs>89</Paragraphs>
  <TotalTime>0</TotalTime>
  <ScaleCrop>false</ScaleCrop>
  <LinksUpToDate>false</LinksUpToDate>
  <CharactersWithSpaces>16249</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覃普</cp:lastModifiedBy>
  <cp:lastPrinted>2021-01-15T01:17:00Z</cp:lastPrinted>
  <dcterms:modified xsi:type="dcterms:W3CDTF">2025-07-28T07:06:34Z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CFE91CA4ECE649769A50C56CCE24D2C7</vt:lpwstr>
  </property>
  <property fmtid="{D5CDD505-2E9C-101B-9397-08002B2CF9AE}" pid="4" name="KSOTemplateDocerSaveRecord">
    <vt:lpwstr>eyJoZGlkIjoiNGE3ZjU2M2NjZmFlYmQwYTc0ZDZkMjFmM2ExNmI5ZTQiLCJ1c2VySWQiOiIyMjQxNTg5MDcifQ==</vt:lpwstr>
  </property>
</Properties>
</file>