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344F">
      <w:pPr>
        <w:pStyle w:val="2"/>
        <w:spacing w:line="400" w:lineRule="exact"/>
        <w:rPr>
          <w:rFonts w:asciiTheme="minorEastAsia" w:hAnsiTheme="minorEastAsia"/>
          <w:b/>
          <w:sz w:val="44"/>
          <w:szCs w:val="44"/>
        </w:rPr>
      </w:pPr>
    </w:p>
    <w:p w14:paraId="10935410">
      <w:pPr>
        <w:pStyle w:val="2"/>
        <w:spacing w:line="560" w:lineRule="exact"/>
        <w:rPr>
          <w:rFonts w:asciiTheme="minorEastAsia" w:hAnsiTheme="minorEastAsia"/>
          <w:b/>
          <w:sz w:val="44"/>
          <w:szCs w:val="44"/>
        </w:rPr>
      </w:pPr>
      <w:r>
        <w:rPr>
          <w:rFonts w:hint="eastAsia" w:asciiTheme="minorEastAsia" w:hAnsiTheme="minorEastAsia"/>
          <w:b/>
          <w:sz w:val="44"/>
          <w:szCs w:val="44"/>
        </w:rPr>
        <w:t>布吉街道辖区重点区域周边</w:t>
      </w:r>
    </w:p>
    <w:p w14:paraId="197C384F">
      <w:pPr>
        <w:pStyle w:val="2"/>
        <w:spacing w:line="560" w:lineRule="exact"/>
        <w:rPr>
          <w:sz w:val="44"/>
          <w:szCs w:val="44"/>
        </w:rPr>
      </w:pPr>
      <w:r>
        <w:rPr>
          <w:rFonts w:hint="eastAsia" w:asciiTheme="minorEastAsia" w:hAnsiTheme="minorEastAsia"/>
          <w:b/>
          <w:sz w:val="44"/>
          <w:szCs w:val="44"/>
        </w:rPr>
        <w:t>交通秩序整治项目</w:t>
      </w:r>
    </w:p>
    <w:p w14:paraId="188B64D9">
      <w:pPr>
        <w:spacing w:line="40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一、项目基本信息</w:t>
      </w:r>
    </w:p>
    <w:p w14:paraId="75CB3451">
      <w:pPr>
        <w:spacing w:line="430" w:lineRule="exact"/>
        <w:ind w:firstLine="422" w:firstLineChars="200"/>
        <w:rPr>
          <w:rFonts w:ascii="CESI仿宋-GB2312" w:hAnsi="CESI仿宋-GB2312" w:eastAsia="CESI仿宋-GB2312" w:cs="CESI仿宋-GB2312"/>
          <w:szCs w:val="21"/>
        </w:rPr>
      </w:pPr>
      <w:r>
        <w:rPr>
          <w:rFonts w:hint="eastAsia" w:ascii="CESI仿宋-GB2312" w:hAnsi="CESI仿宋-GB2312" w:eastAsia="CESI仿宋-GB2312" w:cs="CESI仿宋-GB2312"/>
          <w:b/>
          <w:bCs/>
          <w:szCs w:val="21"/>
        </w:rPr>
        <w:t>（一）项目概况：</w:t>
      </w:r>
      <w:r>
        <w:rPr>
          <w:rFonts w:hint="eastAsia" w:ascii="CESI仿宋-GB2312" w:hAnsi="CESI仿宋-GB2312" w:eastAsia="CESI仿宋-GB2312" w:cs="CESI仿宋-GB2312"/>
          <w:szCs w:val="21"/>
        </w:rPr>
        <w:t>根据深圳市龙岗区人民政府办公室关于印发《龙岗区强化交通秩序治理工作方案》深龙府办函〔2025〕3号文件要求，全面开展辖区重点区域周边交通秩序整治工作，目前，重点针对辖区隐患突出的周边区域，加大对电动自行车不按划定区域停放违法违规行为的整治力度，引导市民养成规范停放习惯，切实保障通行安全与秩序。</w:t>
      </w:r>
    </w:p>
    <w:p w14:paraId="4B35652E">
      <w:pPr>
        <w:spacing w:line="430" w:lineRule="exact"/>
        <w:ind w:firstLine="420" w:firstLineChars="200"/>
        <w:rPr>
          <w:rFonts w:ascii="CESI仿宋-GB2312" w:hAnsi="CESI仿宋-GB2312" w:eastAsia="CESI仿宋-GB2312" w:cs="CESI仿宋-GB2312"/>
          <w:b/>
          <w:bCs/>
          <w:szCs w:val="21"/>
        </w:rPr>
      </w:pPr>
      <w:r>
        <w:rPr>
          <w:rFonts w:hint="eastAsia" w:ascii="CESI仿宋-GB2312" w:hAnsi="CESI仿宋-GB2312" w:eastAsia="CESI仿宋-GB2312" w:cs="CESI仿宋-GB2312"/>
          <w:szCs w:val="21"/>
        </w:rPr>
        <w:t>为确保整治工作落地见效，进一步优化辖区交通及环境秩序，结合现场排查情况，我街道计划针对重点区域及问题点位强化基础设施配套：</w:t>
      </w:r>
      <w:r>
        <w:rPr>
          <w:rFonts w:hint="eastAsia" w:ascii="CESI仿宋-GB2312" w:hAnsi="CESI仿宋-GB2312" w:eastAsia="CESI仿宋-GB2312" w:cs="CESI仿宋-GB2312"/>
          <w:b/>
          <w:bCs/>
          <w:szCs w:val="21"/>
        </w:rPr>
        <w:t>一是</w:t>
      </w:r>
      <w:r>
        <w:rPr>
          <w:rFonts w:hint="eastAsia" w:ascii="CESI仿宋-GB2312" w:hAnsi="CESI仿宋-GB2312" w:eastAsia="CESI仿宋-GB2312" w:cs="CESI仿宋-GB2312"/>
          <w:szCs w:val="21"/>
        </w:rPr>
        <w:t>增设非机动车停放及通行标线，明确停放区域与通行路径，缓解停车供需矛盾；</w:t>
      </w:r>
      <w:r>
        <w:rPr>
          <w:rFonts w:hint="eastAsia" w:ascii="CESI仿宋-GB2312" w:hAnsi="CESI仿宋-GB2312" w:eastAsia="CESI仿宋-GB2312" w:cs="CESI仿宋-GB2312"/>
          <w:b/>
          <w:bCs/>
          <w:szCs w:val="21"/>
        </w:rPr>
        <w:t>二是</w:t>
      </w:r>
      <w:r>
        <w:rPr>
          <w:rFonts w:hint="eastAsia" w:ascii="CESI仿宋-GB2312" w:hAnsi="CESI仿宋-GB2312" w:eastAsia="CESI仿宋-GB2312" w:cs="CESI仿宋-GB2312"/>
          <w:szCs w:val="21"/>
        </w:rPr>
        <w:t>加装硬隔离设施，规范车辆通行与停放边界，减少乱停乱放现象。</w:t>
      </w:r>
    </w:p>
    <w:p w14:paraId="2B76CECB">
      <w:pPr>
        <w:spacing w:line="400" w:lineRule="exact"/>
        <w:ind w:firstLine="422" w:firstLineChars="200"/>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（二）项目清单</w:t>
      </w:r>
    </w:p>
    <w:tbl>
      <w:tblPr>
        <w:tblStyle w:val="1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498"/>
        <w:gridCol w:w="2040"/>
        <w:gridCol w:w="2940"/>
        <w:gridCol w:w="1948"/>
      </w:tblGrid>
      <w:tr w14:paraId="7201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FA1D44F">
            <w:pPr>
              <w:widowControl/>
              <w:spacing w:line="430" w:lineRule="exact"/>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序号</w:t>
            </w:r>
          </w:p>
        </w:tc>
        <w:tc>
          <w:tcPr>
            <w:tcW w:w="1498" w:type="dxa"/>
            <w:vAlign w:val="center"/>
          </w:tcPr>
          <w:p w14:paraId="65A11E89">
            <w:pPr>
              <w:widowControl/>
              <w:spacing w:line="430" w:lineRule="exact"/>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采购计划编号</w:t>
            </w:r>
          </w:p>
        </w:tc>
        <w:tc>
          <w:tcPr>
            <w:tcW w:w="2040" w:type="dxa"/>
            <w:vAlign w:val="center"/>
          </w:tcPr>
          <w:p w14:paraId="21E0E28A">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采购单位</w:t>
            </w:r>
          </w:p>
        </w:tc>
        <w:tc>
          <w:tcPr>
            <w:tcW w:w="2940" w:type="dxa"/>
            <w:vAlign w:val="center"/>
          </w:tcPr>
          <w:p w14:paraId="22871E12">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采购项目名称</w:t>
            </w:r>
          </w:p>
        </w:tc>
        <w:tc>
          <w:tcPr>
            <w:tcW w:w="1948" w:type="dxa"/>
            <w:vAlign w:val="center"/>
          </w:tcPr>
          <w:p w14:paraId="4F661DD8">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预算限额（元）</w:t>
            </w:r>
          </w:p>
        </w:tc>
      </w:tr>
      <w:tr w14:paraId="6846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D37FC7C">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1</w:t>
            </w:r>
          </w:p>
        </w:tc>
        <w:tc>
          <w:tcPr>
            <w:tcW w:w="1498" w:type="dxa"/>
            <w:vAlign w:val="center"/>
          </w:tcPr>
          <w:p w14:paraId="6F0167D4">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w:t>
            </w:r>
          </w:p>
        </w:tc>
        <w:tc>
          <w:tcPr>
            <w:tcW w:w="2040" w:type="dxa"/>
            <w:vAlign w:val="center"/>
          </w:tcPr>
          <w:p w14:paraId="6656F5CA">
            <w:pPr>
              <w:widowControl/>
              <w:spacing w:line="430" w:lineRule="exact"/>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深圳市龙岗区布吉街道办事处</w:t>
            </w:r>
          </w:p>
        </w:tc>
        <w:tc>
          <w:tcPr>
            <w:tcW w:w="2940" w:type="dxa"/>
            <w:vAlign w:val="center"/>
          </w:tcPr>
          <w:p w14:paraId="3909BD9B">
            <w:pPr>
              <w:widowControl/>
              <w:spacing w:line="430" w:lineRule="exact"/>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布吉街道辖区重点区域周边交通秩序整治项目</w:t>
            </w:r>
          </w:p>
        </w:tc>
        <w:tc>
          <w:tcPr>
            <w:tcW w:w="1948" w:type="dxa"/>
            <w:vAlign w:val="center"/>
          </w:tcPr>
          <w:p w14:paraId="74CDD312">
            <w:pPr>
              <w:widowControl/>
              <w:spacing w:line="430" w:lineRule="exact"/>
              <w:ind w:firstLine="422" w:firstLineChars="200"/>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664795元</w:t>
            </w:r>
          </w:p>
        </w:tc>
      </w:tr>
    </w:tbl>
    <w:p w14:paraId="7F43A72C">
      <w:pPr>
        <w:spacing w:line="400" w:lineRule="exact"/>
        <w:ind w:firstLine="422" w:firstLineChars="200"/>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货物清单：</w:t>
      </w:r>
    </w:p>
    <w:tbl>
      <w:tblPr>
        <w:tblStyle w:val="1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189"/>
        <w:gridCol w:w="1140"/>
        <w:gridCol w:w="846"/>
        <w:gridCol w:w="2105"/>
        <w:gridCol w:w="1061"/>
      </w:tblGrid>
      <w:tr w14:paraId="1CD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68" w:type="dxa"/>
            <w:noWrap/>
            <w:vAlign w:val="center"/>
          </w:tcPr>
          <w:p w14:paraId="443BAD25">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序号</w:t>
            </w:r>
          </w:p>
        </w:tc>
        <w:tc>
          <w:tcPr>
            <w:tcW w:w="3189" w:type="dxa"/>
            <w:noWrap/>
            <w:vAlign w:val="center"/>
          </w:tcPr>
          <w:p w14:paraId="78D26A26">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货物名称</w:t>
            </w:r>
          </w:p>
        </w:tc>
        <w:tc>
          <w:tcPr>
            <w:tcW w:w="1140" w:type="dxa"/>
            <w:noWrap/>
            <w:vAlign w:val="center"/>
          </w:tcPr>
          <w:p w14:paraId="234C8A89">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数量</w:t>
            </w:r>
          </w:p>
        </w:tc>
        <w:tc>
          <w:tcPr>
            <w:tcW w:w="846" w:type="dxa"/>
            <w:noWrap/>
            <w:vAlign w:val="center"/>
          </w:tcPr>
          <w:p w14:paraId="2A72C2E6">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单位</w:t>
            </w:r>
          </w:p>
        </w:tc>
        <w:tc>
          <w:tcPr>
            <w:tcW w:w="2105" w:type="dxa"/>
            <w:noWrap/>
            <w:vAlign w:val="center"/>
          </w:tcPr>
          <w:p w14:paraId="70182B04">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财政预算限额（元）</w:t>
            </w:r>
          </w:p>
        </w:tc>
        <w:tc>
          <w:tcPr>
            <w:tcW w:w="1061" w:type="dxa"/>
            <w:noWrap/>
            <w:vAlign w:val="center"/>
          </w:tcPr>
          <w:p w14:paraId="07B11CA9">
            <w:pPr>
              <w:spacing w:before="156" w:beforeLines="50" w:after="156" w:afterLines="50" w:line="4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备注</w:t>
            </w:r>
          </w:p>
        </w:tc>
      </w:tr>
      <w:tr w14:paraId="61FD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8" w:type="dxa"/>
            <w:noWrap/>
            <w:vAlign w:val="center"/>
          </w:tcPr>
          <w:p w14:paraId="46B604CF">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3189" w:type="dxa"/>
            <w:noWrap/>
            <w:vAlign w:val="center"/>
          </w:tcPr>
          <w:p w14:paraId="54D5EE25">
            <w:pPr>
              <w:pStyle w:val="5"/>
              <w:spacing w:line="400" w:lineRule="exact"/>
              <w:ind w:firstLine="0" w:firstLineChars="0"/>
              <w:jc w:val="center"/>
              <w:rPr>
                <w:rFonts w:ascii="CESI仿宋-GB2312" w:hAnsi="CESI仿宋-GB2312" w:eastAsia="CESI仿宋-GB2312" w:cs="CESI仿宋-GB2312"/>
              </w:rPr>
            </w:pPr>
            <w:r>
              <w:rPr>
                <w:rFonts w:hint="eastAsia" w:ascii="CESI仿宋-GB2312" w:hAnsi="CESI仿宋-GB2312" w:eastAsia="CESI仿宋-GB2312" w:cs="CESI仿宋-GB2312"/>
                <w:bCs/>
              </w:rPr>
              <w:t>热熔胶标线</w:t>
            </w:r>
          </w:p>
        </w:tc>
        <w:tc>
          <w:tcPr>
            <w:tcW w:w="1140" w:type="dxa"/>
            <w:noWrap/>
            <w:vAlign w:val="center"/>
          </w:tcPr>
          <w:p w14:paraId="11B87DAE">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bCs/>
                <w:szCs w:val="21"/>
              </w:rPr>
              <w:t>5000</w:t>
            </w:r>
          </w:p>
        </w:tc>
        <w:tc>
          <w:tcPr>
            <w:tcW w:w="846" w:type="dxa"/>
            <w:noWrap/>
            <w:vAlign w:val="center"/>
          </w:tcPr>
          <w:p w14:paraId="7FE070DF">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米</w:t>
            </w:r>
          </w:p>
        </w:tc>
        <w:tc>
          <w:tcPr>
            <w:tcW w:w="2105" w:type="dxa"/>
            <w:noWrap/>
            <w:vAlign w:val="center"/>
          </w:tcPr>
          <w:p w14:paraId="33C0D92A">
            <w:pPr>
              <w:spacing w:before="156" w:beforeLines="50" w:after="156" w:afterLines="50" w:line="400" w:lineRule="exact"/>
              <w:jc w:val="center"/>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75850</w:t>
            </w:r>
          </w:p>
        </w:tc>
        <w:tc>
          <w:tcPr>
            <w:tcW w:w="1061" w:type="dxa"/>
            <w:vMerge w:val="restart"/>
            <w:noWrap/>
            <w:vAlign w:val="center"/>
          </w:tcPr>
          <w:p w14:paraId="71B173F2">
            <w:pPr>
              <w:spacing w:before="156" w:beforeLines="50" w:after="156" w:afterLines="50" w:line="400" w:lineRule="exact"/>
              <w:jc w:val="center"/>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拒绝进口</w:t>
            </w:r>
          </w:p>
        </w:tc>
      </w:tr>
      <w:tr w14:paraId="3331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68" w:type="dxa"/>
            <w:noWrap/>
            <w:vAlign w:val="center"/>
          </w:tcPr>
          <w:p w14:paraId="6D1C4167">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3189" w:type="dxa"/>
            <w:noWrap/>
            <w:vAlign w:val="center"/>
          </w:tcPr>
          <w:p w14:paraId="00C28D1A">
            <w:pPr>
              <w:pStyle w:val="5"/>
              <w:spacing w:line="400" w:lineRule="exact"/>
              <w:ind w:firstLine="0" w:firstLineChars="0"/>
              <w:jc w:val="center"/>
              <w:rPr>
                <w:rFonts w:ascii="CESI仿宋-GB2312" w:hAnsi="CESI仿宋-GB2312" w:eastAsia="CESI仿宋-GB2312" w:cs="CESI仿宋-GB2312"/>
                <w:bCs/>
              </w:rPr>
            </w:pPr>
            <w:r>
              <w:rPr>
                <w:rFonts w:hint="eastAsia" w:ascii="CESI仿宋-GB2312" w:hAnsi="CESI仿宋-GB2312" w:eastAsia="CESI仿宋-GB2312" w:cs="CESI仿宋-GB2312"/>
                <w:bCs/>
              </w:rPr>
              <w:t>机非硬隔离护栏（H=0.7m)</w:t>
            </w:r>
          </w:p>
          <w:p w14:paraId="76A6971D">
            <w:pPr>
              <w:pStyle w:val="5"/>
              <w:spacing w:line="400" w:lineRule="exact"/>
              <w:ind w:firstLine="0" w:firstLineChars="0"/>
              <w:jc w:val="center"/>
              <w:rPr>
                <w:rFonts w:ascii="CESI仿宋-GB2312" w:hAnsi="CESI仿宋-GB2312" w:eastAsia="CESI仿宋-GB2312" w:cs="CESI仿宋-GB2312"/>
                <w:color w:val="000000"/>
              </w:rPr>
            </w:pPr>
            <w:r>
              <w:rPr>
                <w:rFonts w:hint="eastAsia" w:ascii="CESI仿宋-GB2312" w:hAnsi="CESI仿宋-GB2312" w:eastAsia="CESI仿宋-GB2312" w:cs="CESI仿宋-GB2312"/>
                <w:bCs/>
              </w:rPr>
              <w:t>（核心产品）</w:t>
            </w:r>
          </w:p>
        </w:tc>
        <w:tc>
          <w:tcPr>
            <w:tcW w:w="1140" w:type="dxa"/>
            <w:noWrap/>
            <w:vAlign w:val="center"/>
          </w:tcPr>
          <w:p w14:paraId="2A33842A">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bCs/>
                <w:szCs w:val="21"/>
              </w:rPr>
              <w:t>1500</w:t>
            </w:r>
          </w:p>
        </w:tc>
        <w:tc>
          <w:tcPr>
            <w:tcW w:w="846" w:type="dxa"/>
            <w:noWrap/>
            <w:vAlign w:val="center"/>
          </w:tcPr>
          <w:p w14:paraId="630E4BA3">
            <w:pPr>
              <w:spacing w:before="156" w:beforeLines="50" w:after="156" w:afterLines="50" w:line="4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米</w:t>
            </w:r>
          </w:p>
        </w:tc>
        <w:tc>
          <w:tcPr>
            <w:tcW w:w="2105" w:type="dxa"/>
            <w:noWrap/>
            <w:vAlign w:val="center"/>
          </w:tcPr>
          <w:p w14:paraId="5ADA83F9">
            <w:pPr>
              <w:spacing w:before="156" w:beforeLines="50" w:after="156" w:afterLines="50" w:line="400" w:lineRule="exact"/>
              <w:jc w:val="center"/>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588945</w:t>
            </w:r>
          </w:p>
        </w:tc>
        <w:tc>
          <w:tcPr>
            <w:tcW w:w="1061" w:type="dxa"/>
            <w:vMerge w:val="continue"/>
            <w:noWrap/>
            <w:vAlign w:val="center"/>
          </w:tcPr>
          <w:p w14:paraId="4564B2B4">
            <w:pPr>
              <w:spacing w:before="156" w:beforeLines="50" w:after="156" w:afterLines="50" w:line="400" w:lineRule="exact"/>
              <w:jc w:val="center"/>
              <w:rPr>
                <w:rFonts w:ascii="CESI仿宋-GB2312" w:hAnsi="CESI仿宋-GB2312" w:eastAsia="CESI仿宋-GB2312" w:cs="CESI仿宋-GB2312"/>
                <w:bCs/>
                <w:szCs w:val="21"/>
              </w:rPr>
            </w:pPr>
          </w:p>
        </w:tc>
      </w:tr>
    </w:tbl>
    <w:p w14:paraId="2CA40D5D">
      <w:pPr>
        <w:spacing w:line="400" w:lineRule="exact"/>
        <w:ind w:firstLine="422" w:firstLineChars="200"/>
        <w:rPr>
          <w:rFonts w:ascii="CESI仿宋-GB2312" w:hAnsi="CESI仿宋-GB2312" w:eastAsia="CESI仿宋-GB2312" w:cs="CESI仿宋-GB2312"/>
          <w:bCs/>
          <w:szCs w:val="21"/>
        </w:rPr>
      </w:pPr>
      <w:r>
        <w:rPr>
          <w:rFonts w:hint="eastAsia" w:ascii="CESI仿宋-GB2312" w:hAnsi="CESI仿宋-GB2312" w:eastAsia="CESI仿宋-GB2312" w:cs="CESI仿宋-GB2312"/>
          <w:b/>
          <w:szCs w:val="21"/>
        </w:rPr>
        <w:t>备注：</w:t>
      </w:r>
      <w:r>
        <w:rPr>
          <w:rFonts w:hint="eastAsia" w:ascii="CESI仿宋-GB2312" w:hAnsi="CESI仿宋-GB2312" w:eastAsia="CESI仿宋-GB2312" w:cs="CESI仿宋-GB2312"/>
          <w:bCs/>
          <w:szCs w:val="21"/>
        </w:rPr>
        <w:t xml:space="preserve">1.备注栏注明“拒绝进口”的产品不接受投标人选用进口产品参与投标；注明“接受进口”的产品允许投标人选用进口产品参与投标，但不排斥国内产品。 </w:t>
      </w:r>
      <w:r>
        <w:rPr>
          <w:rFonts w:hint="eastAsia" w:ascii="CESI仿宋-GB2312" w:hAnsi="CESI仿宋-GB2312" w:eastAsia="CESI仿宋-GB2312" w:cs="CESI仿宋-GB2312"/>
          <w:bCs/>
          <w:color w:val="FF0000"/>
          <w:szCs w:val="21"/>
        </w:rPr>
        <w:t>本项目均拒绝进口产品。</w:t>
      </w:r>
    </w:p>
    <w:p w14:paraId="21E14B41">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3346A964">
      <w:pPr>
        <w:pStyle w:val="5"/>
        <w:rPr>
          <w:rFonts w:ascii="CESI仿宋-GB2312" w:hAnsi="CESI仿宋-GB2312" w:eastAsia="CESI仿宋-GB2312" w:cs="CESI仿宋-GB2312"/>
          <w:bCs/>
        </w:rPr>
      </w:pPr>
      <w:r>
        <w:rPr>
          <w:rFonts w:hint="eastAsia" w:ascii="CESI仿宋-GB2312" w:hAnsi="CESI仿宋-GB2312" w:eastAsia="CESI仿宋-GB2312" w:cs="CESI仿宋-GB2312"/>
          <w:bCs/>
        </w:rPr>
        <w:t>3.本项目核心产品为：机非硬隔离护栏（H=0.7m)。如同时有两家或两家以上（均为制造商的合法代理商）通过资格审查及符合性审查的合格投标人所投核心产品为相同品牌的，按一家投标人计算。在此种情况下，评审后得分最高的同品牌投标人获得中标人推荐资格；评审得分相同的由报价相对最低的获得中标人推荐资格；评审得分及报价均相同的由技术部分评分相对最高的获得中标人推荐资格；以上均相同的由评标委员会采取随机抽取方式确定，其他同品牌投标人不作为中标候选人。</w:t>
      </w:r>
    </w:p>
    <w:p w14:paraId="148BC9DC">
      <w:pPr>
        <w:spacing w:line="400" w:lineRule="exact"/>
        <w:ind w:firstLine="422" w:firstLineChars="200"/>
        <w:rPr>
          <w:rFonts w:ascii="CESI仿宋-GB2312" w:hAnsi="CESI仿宋-GB2312" w:eastAsia="CESI仿宋-GB2312" w:cs="CESI仿宋-GB2312"/>
          <w:b/>
          <w:bCs/>
          <w:szCs w:val="21"/>
        </w:rPr>
      </w:pPr>
      <w:bookmarkStart w:id="0" w:name="_Toc128884461"/>
      <w:r>
        <w:rPr>
          <w:rFonts w:hint="eastAsia" w:ascii="CESI仿宋-GB2312" w:hAnsi="CESI仿宋-GB2312" w:eastAsia="CESI仿宋-GB2312" w:cs="CESI仿宋-GB2312"/>
          <w:b/>
          <w:bCs/>
          <w:szCs w:val="21"/>
        </w:rPr>
        <w:t>（三）、实质性条款</w:t>
      </w:r>
    </w:p>
    <w:p w14:paraId="1CD56623">
      <w:pPr>
        <w:spacing w:line="400" w:lineRule="exact"/>
        <w:ind w:firstLine="420" w:firstLineChars="200"/>
        <w:rPr>
          <w:rFonts w:ascii="CESI仿宋-GB2312" w:hAnsi="CESI仿宋-GB2312" w:eastAsia="CESI仿宋-GB2312" w:cs="CESI仿宋-GB2312"/>
          <w:szCs w:val="21"/>
        </w:rPr>
      </w:pPr>
      <w:r>
        <w:rPr>
          <w:rFonts w:hint="eastAsia" w:ascii="CESI仿宋-GB2312" w:hAnsi="CESI仿宋-GB2312" w:eastAsia="CESI仿宋-GB2312" w:cs="CESI仿宋-GB2312"/>
          <w:bCs/>
          <w:szCs w:val="21"/>
        </w:rPr>
        <w:t>具体技术要求、商务需求中带“★”要求</w:t>
      </w:r>
    </w:p>
    <w:p w14:paraId="37A742B7">
      <w:pPr>
        <w:spacing w:line="4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注：上述所列内容为不可负偏离条款，负偏离将视为未实质性满足招标文件要求作投标无效处理。</w:t>
      </w:r>
      <w:bookmarkEnd w:id="0"/>
    </w:p>
    <w:p w14:paraId="3F8271F3">
      <w:pPr>
        <w:numPr>
          <w:ilvl w:val="0"/>
          <w:numId w:val="1"/>
        </w:numPr>
        <w:spacing w:line="400" w:lineRule="exact"/>
        <w:rPr>
          <w:rFonts w:ascii="CESI仿宋-GB2312" w:hAnsi="CESI仿宋-GB2312" w:eastAsia="CESI仿宋-GB2312" w:cs="CESI仿宋-GB2312"/>
          <w:szCs w:val="21"/>
        </w:rPr>
      </w:pPr>
      <w:r>
        <w:rPr>
          <w:rFonts w:hint="eastAsia" w:ascii="CESI仿宋-GB2312" w:hAnsi="CESI仿宋-GB2312" w:eastAsia="CESI仿宋-GB2312" w:cs="CESI仿宋-GB2312"/>
          <w:b/>
          <w:bCs/>
          <w:szCs w:val="21"/>
        </w:rPr>
        <w:t>申请人（投标人）资格要求</w:t>
      </w:r>
    </w:p>
    <w:p w14:paraId="04EE80C9">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1.满足《中华人民共和国政府采购法》第二十二条规定。</w:t>
      </w:r>
    </w:p>
    <w:p w14:paraId="51C9975C">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落实政府采购政策需满足的资格要求：本项目属于专门面向中小微企业采购项目，非中小微企业不得投标。（需提供符合要求的《中小微企业声明函》格式详见招标文件（按本项目规定的所属行业填写），其中企业类型为中型、小型或微型；残疾人福利单位、监狱企业视同小型、微型企业，提供残疾人福利性单位声明函或监狱企业声明函及监狱企业证明文件）。</w:t>
      </w:r>
    </w:p>
    <w:p w14:paraId="6267ED20">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 本项目的特定资格要求：</w:t>
      </w:r>
    </w:p>
    <w:p w14:paraId="3494F0E3">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具有独立法人资格或是具有独立承担民事责任能力的其它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088745E9">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并在《政府采购投标及履约承诺函》中作出声明）。</w:t>
      </w:r>
    </w:p>
    <w:p w14:paraId="5BDADF2E">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参与本项目政府采购活动时不存在被有关部门禁止参与政府采购活动且在有效期内的情况。参与本项目投标前三年内，在经营活动中没有重大违法记录。（由供应商在《政府采购投标及履约承诺函》中作出声明）。</w:t>
      </w:r>
    </w:p>
    <w:p w14:paraId="01B6DC93">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（4）具备《中华人民共和国政府采购法》第二十二条第一款的条件（由供应商在《政府采购投标及履约承诺函》中作出声明）。</w:t>
      </w:r>
    </w:p>
    <w:p w14:paraId="5773DEFE">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（5）未被列入失信被执行人、重大税收违法案件当事人名单（重大税收违法失信主体）、政府采购严重违法失信行为记录名单，不存在《深圳市财政局政府采购供应商信用信息管理办法》（深财规〔2023〕3 号）列明的严重违法失信行为（由供应商在《政府采购投标及履约承诺函》中作出声明）。</w:t>
      </w:r>
    </w:p>
    <w:p w14:paraId="7C377FE2">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注：“信用中国”、“中国政府采购网”、“深圳信用网”以及“深圳市政府采购监管网”为供应商信用信息的查询渠道，相关信息以开标当日的查询结果为准。</w:t>
      </w:r>
    </w:p>
    <w:p w14:paraId="1450617C">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（6）为采购项目提供整体设计、规范编制或者项目管理、监理、检测等服务的供应商，不得再参加该采购项目的其他采购活动（由供应商在《政府采购投标及履约承诺函》中作出声明）。</w:t>
      </w:r>
    </w:p>
    <w:p w14:paraId="3E35FF54">
      <w:pPr>
        <w:spacing w:line="400" w:lineRule="exact"/>
        <w:rPr>
          <w:rFonts w:ascii="CESI仿宋-GB2312" w:hAnsi="CESI仿宋-GB2312" w:eastAsia="CESI仿宋-GB2312" w:cs="CESI仿宋-GB2312"/>
          <w:b/>
          <w:bCs/>
          <w:szCs w:val="21"/>
        </w:rPr>
      </w:pPr>
      <w:r>
        <w:rPr>
          <w:rFonts w:hint="eastAsia" w:ascii="CESI仿宋-GB2312" w:hAnsi="CESI仿宋-GB2312" w:eastAsia="CESI仿宋-GB2312" w:cs="CESI仿宋-GB2312"/>
          <w:bCs/>
          <w:szCs w:val="21"/>
        </w:rPr>
        <w:t>（7）本项目不接受联合体投标，不允许分包、转包，不接受投标人选用进口产品参与投标（由供应商在《政府采购投标及履约承诺函》中作出声明）。</w:t>
      </w:r>
    </w:p>
    <w:p w14:paraId="56B43594">
      <w:pPr>
        <w:spacing w:line="40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三、技术要求</w:t>
      </w:r>
    </w:p>
    <w:p w14:paraId="454CBEF8">
      <w:pPr>
        <w:spacing w:line="40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（一）报价要求：</w:t>
      </w:r>
    </w:p>
    <w:p w14:paraId="371268A1">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本项目投标报价采用包干制，应包括成本、设备费、运输费、装卸费、保险费、技术培训费、设备安装费、调试费、售后服务费、法定税费和相应的利润，应涵盖本项目招标范围和招标文件所列的各项内容中所述的全部。由投标人根据招标需求自行测算投标报价；一经中标，投标报价即作为中标单位与采购人签订的合同金额。</w:t>
      </w:r>
    </w:p>
    <w:p w14:paraId="7B21362A">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2、投标币种：人民币；</w:t>
      </w:r>
    </w:p>
    <w:p w14:paraId="07F5B068">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D69188">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37C1E5A5">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若评标委员会成员对是否须由投标人作出报价合理性说明，以及书面说明是否采纳等判断不一致的，按照“少数服从多数”的原则确定评标委员会的意见。</w:t>
      </w:r>
    </w:p>
    <w:p w14:paraId="4A47A653">
      <w:pPr>
        <w:spacing w:line="4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4、投标人的投标报价，应是本项目招标范围和招标文件及合同条款上所列的各项内容中所述的全部，不得以任何理由予以重复，并以投标人在投标文件中提出的单价或总价为依据。</w:t>
      </w:r>
    </w:p>
    <w:p w14:paraId="71005CE3">
      <w:pPr>
        <w:spacing w:line="42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3288766F">
      <w:pPr>
        <w:spacing w:line="42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6、投标人应充分了解项目的位置、情况、道路及任何其它足以影响投标报价的情况，任何因忽视或误解项目情况而导致的索赔或服务期限延长申请将不获批准。</w:t>
      </w:r>
    </w:p>
    <w:p w14:paraId="2DB6164B">
      <w:pPr>
        <w:spacing w:line="42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7、投标人不得期望通过索赔等方式获取补偿，否则，除可能遭到拒绝外，还可能将被作为不良行为记录在案，并可能影响其以后参加政府采购的项目投标。各投标人在投标报价时，应充分考虑投标报价的风险。</w:t>
      </w:r>
    </w:p>
    <w:p w14:paraId="5B0EA71A">
      <w:pPr>
        <w:spacing w:line="30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（二）技术</w:t>
      </w:r>
      <w:r>
        <w:rPr>
          <w:rFonts w:hint="eastAsia" w:ascii="CESI仿宋-GB2312" w:hAnsi="CESI仿宋-GB2312" w:eastAsia="CESI仿宋-GB2312" w:cs="CESI仿宋-GB2312"/>
          <w:b/>
          <w:bCs/>
          <w:szCs w:val="21"/>
          <w:lang w:val="en-US" w:eastAsia="zh-CN"/>
        </w:rPr>
        <w:t>参数</w:t>
      </w:r>
      <w:r>
        <w:rPr>
          <w:rFonts w:hint="eastAsia" w:ascii="CESI仿宋-GB2312" w:hAnsi="CESI仿宋-GB2312" w:eastAsia="CESI仿宋-GB2312" w:cs="CESI仿宋-GB2312"/>
          <w:b/>
          <w:bCs/>
          <w:szCs w:val="21"/>
        </w:rPr>
        <w:t>要求：</w:t>
      </w:r>
    </w:p>
    <w:tbl>
      <w:tblPr>
        <w:tblStyle w:val="15"/>
        <w:tblW w:w="9631" w:type="dxa"/>
        <w:tblInd w:w="-411" w:type="dxa"/>
        <w:tblLayout w:type="fixed"/>
        <w:tblCellMar>
          <w:top w:w="0" w:type="dxa"/>
          <w:left w:w="108" w:type="dxa"/>
          <w:bottom w:w="0" w:type="dxa"/>
          <w:right w:w="108" w:type="dxa"/>
        </w:tblCellMar>
      </w:tblPr>
      <w:tblGrid>
        <w:gridCol w:w="655"/>
        <w:gridCol w:w="1580"/>
        <w:gridCol w:w="7396"/>
      </w:tblGrid>
      <w:tr w14:paraId="500F6149">
        <w:tblPrEx>
          <w:tblCellMar>
            <w:top w:w="0" w:type="dxa"/>
            <w:left w:w="108" w:type="dxa"/>
            <w:bottom w:w="0" w:type="dxa"/>
            <w:right w:w="108" w:type="dxa"/>
          </w:tblCellMar>
        </w:tblPrEx>
        <w:trPr>
          <w:trHeight w:val="20" w:hRule="atLeast"/>
        </w:trPr>
        <w:tc>
          <w:tcPr>
            <w:tcW w:w="655" w:type="dxa"/>
            <w:tcBorders>
              <w:top w:val="single" w:color="000000" w:sz="8" w:space="0"/>
              <w:left w:val="single" w:color="000000" w:sz="8" w:space="0"/>
              <w:bottom w:val="single" w:color="auto" w:sz="4" w:space="0"/>
              <w:right w:val="single" w:color="000000" w:sz="8" w:space="0"/>
            </w:tcBorders>
            <w:shd w:val="clear" w:color="auto" w:fill="auto"/>
            <w:vAlign w:val="center"/>
          </w:tcPr>
          <w:p w14:paraId="12FF55B5">
            <w:pPr>
              <w:spacing w:line="300" w:lineRule="exact"/>
              <w:jc w:val="center"/>
              <w:rPr>
                <w:rFonts w:ascii="CESI仿宋-GB2312" w:hAnsi="CESI仿宋-GB2312" w:eastAsia="CESI仿宋-GB2312" w:cs="CESI仿宋-GB2312"/>
                <w:b/>
                <w:bCs/>
                <w:color w:val="000000"/>
                <w:szCs w:val="21"/>
              </w:rPr>
            </w:pPr>
            <w:r>
              <w:rPr>
                <w:rFonts w:hint="eastAsia" w:ascii="CESI仿宋-GB2312" w:hAnsi="CESI仿宋-GB2312" w:eastAsia="CESI仿宋-GB2312" w:cs="CESI仿宋-GB2312"/>
                <w:b/>
                <w:bCs/>
                <w:color w:val="000000"/>
                <w:szCs w:val="21"/>
              </w:rPr>
              <w:t>序号</w:t>
            </w:r>
          </w:p>
        </w:tc>
        <w:tc>
          <w:tcPr>
            <w:tcW w:w="1580" w:type="dxa"/>
            <w:tcBorders>
              <w:top w:val="single" w:color="000000" w:sz="8" w:space="0"/>
              <w:left w:val="nil"/>
              <w:bottom w:val="single" w:color="auto" w:sz="4" w:space="0"/>
              <w:right w:val="single" w:color="000000" w:sz="8" w:space="0"/>
            </w:tcBorders>
            <w:shd w:val="clear" w:color="auto" w:fill="auto"/>
            <w:vAlign w:val="center"/>
          </w:tcPr>
          <w:p w14:paraId="6E2F5D9F">
            <w:pPr>
              <w:spacing w:line="300" w:lineRule="exact"/>
              <w:jc w:val="center"/>
              <w:rPr>
                <w:rFonts w:ascii="CESI仿宋-GB2312" w:hAnsi="CESI仿宋-GB2312" w:eastAsia="CESI仿宋-GB2312" w:cs="CESI仿宋-GB2312"/>
                <w:b/>
                <w:bCs/>
                <w:color w:val="000000"/>
                <w:szCs w:val="21"/>
              </w:rPr>
            </w:pPr>
            <w:r>
              <w:rPr>
                <w:rFonts w:hint="eastAsia" w:ascii="CESI仿宋-GB2312" w:hAnsi="CESI仿宋-GB2312" w:eastAsia="CESI仿宋-GB2312" w:cs="CESI仿宋-GB2312"/>
                <w:b/>
                <w:bCs/>
                <w:color w:val="000000"/>
                <w:szCs w:val="21"/>
              </w:rPr>
              <w:t>货物名称</w:t>
            </w:r>
          </w:p>
        </w:tc>
        <w:tc>
          <w:tcPr>
            <w:tcW w:w="7396" w:type="dxa"/>
            <w:tcBorders>
              <w:top w:val="single" w:color="000000" w:sz="8" w:space="0"/>
              <w:left w:val="nil"/>
              <w:bottom w:val="single" w:color="000000" w:sz="8" w:space="0"/>
              <w:right w:val="single" w:color="000000" w:sz="8" w:space="0"/>
            </w:tcBorders>
            <w:shd w:val="clear" w:color="auto" w:fill="auto"/>
            <w:vAlign w:val="center"/>
          </w:tcPr>
          <w:p w14:paraId="34CDDE43">
            <w:pPr>
              <w:spacing w:line="300" w:lineRule="exact"/>
              <w:jc w:val="center"/>
              <w:rPr>
                <w:rFonts w:ascii="CESI仿宋-GB2312" w:hAnsi="CESI仿宋-GB2312" w:eastAsia="CESI仿宋-GB2312" w:cs="CESI仿宋-GB2312"/>
                <w:b/>
                <w:bCs/>
                <w:color w:val="000000"/>
                <w:szCs w:val="21"/>
              </w:rPr>
            </w:pPr>
            <w:r>
              <w:rPr>
                <w:rFonts w:hint="eastAsia" w:ascii="CESI仿宋-GB2312" w:hAnsi="CESI仿宋-GB2312" w:eastAsia="CESI仿宋-GB2312" w:cs="CESI仿宋-GB2312"/>
                <w:b/>
                <w:bCs/>
                <w:color w:val="000000"/>
                <w:szCs w:val="21"/>
              </w:rPr>
              <w:t>招标技术要求</w:t>
            </w:r>
          </w:p>
        </w:tc>
      </w:tr>
      <w:tr w14:paraId="26FCCD06">
        <w:tblPrEx>
          <w:tblCellMar>
            <w:top w:w="0" w:type="dxa"/>
            <w:left w:w="108" w:type="dxa"/>
            <w:bottom w:w="0" w:type="dxa"/>
            <w:right w:w="108" w:type="dxa"/>
          </w:tblCellMar>
        </w:tblPrEx>
        <w:trPr>
          <w:trHeight w:val="20" w:hRule="atLeast"/>
        </w:trPr>
        <w:tc>
          <w:tcPr>
            <w:tcW w:w="6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B8AF25">
            <w:pPr>
              <w:spacing w:line="300" w:lineRule="exact"/>
              <w:jc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1</w:t>
            </w:r>
          </w:p>
        </w:tc>
        <w:tc>
          <w:tcPr>
            <w:tcW w:w="15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35C1A">
            <w:pPr>
              <w:spacing w:line="300" w:lineRule="exact"/>
              <w:jc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热熔胶标线</w:t>
            </w:r>
          </w:p>
        </w:tc>
        <w:tc>
          <w:tcPr>
            <w:tcW w:w="7396" w:type="dxa"/>
            <w:tcBorders>
              <w:top w:val="nil"/>
              <w:left w:val="single" w:color="auto" w:sz="4" w:space="0"/>
              <w:bottom w:val="single" w:color="000000" w:sz="8" w:space="0"/>
              <w:right w:val="single" w:color="000000" w:sz="8" w:space="0"/>
            </w:tcBorders>
            <w:shd w:val="clear" w:color="auto" w:fill="auto"/>
            <w:vAlign w:val="center"/>
          </w:tcPr>
          <w:p w14:paraId="0D75F94E">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bCs/>
                <w:szCs w:val="21"/>
              </w:rPr>
              <w:t>▲1.尺寸15cm*2.0mm（±1mm），路面标线可采用热熔型涂料，</w:t>
            </w:r>
          </w:p>
        </w:tc>
      </w:tr>
      <w:tr w14:paraId="3E147065">
        <w:tblPrEx>
          <w:tblCellMar>
            <w:top w:w="0" w:type="dxa"/>
            <w:left w:w="108" w:type="dxa"/>
            <w:bottom w:w="0" w:type="dxa"/>
            <w:right w:w="108" w:type="dxa"/>
          </w:tblCellMar>
        </w:tblPrEx>
        <w:trPr>
          <w:trHeight w:val="20" w:hRule="atLeast"/>
        </w:trPr>
        <w:tc>
          <w:tcPr>
            <w:tcW w:w="655"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59516802">
            <w:pPr>
              <w:spacing w:line="300" w:lineRule="exact"/>
              <w:jc w:val="center"/>
              <w:rPr>
                <w:rFonts w:ascii="CESI仿宋-GB2312" w:hAnsi="CESI仿宋-GB2312" w:eastAsia="CESI仿宋-GB2312" w:cs="CESI仿宋-GB2312"/>
                <w:color w:val="000000"/>
                <w:szCs w:val="21"/>
              </w:rPr>
            </w:pPr>
          </w:p>
        </w:tc>
        <w:tc>
          <w:tcPr>
            <w:tcW w:w="1580"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312B2423">
            <w:pPr>
              <w:spacing w:line="300" w:lineRule="exact"/>
              <w:jc w:val="center"/>
              <w:rPr>
                <w:rFonts w:ascii="CESI仿宋-GB2312" w:hAnsi="CESI仿宋-GB2312" w:eastAsia="CESI仿宋-GB2312" w:cs="CESI仿宋-GB2312"/>
                <w:color w:val="000000"/>
                <w:szCs w:val="21"/>
              </w:rPr>
            </w:pPr>
          </w:p>
        </w:tc>
        <w:tc>
          <w:tcPr>
            <w:tcW w:w="7396" w:type="dxa"/>
            <w:tcBorders>
              <w:top w:val="nil"/>
              <w:left w:val="single" w:color="auto" w:sz="4" w:space="0"/>
              <w:bottom w:val="single" w:color="000000" w:sz="8" w:space="0"/>
              <w:right w:val="single" w:color="000000" w:sz="8" w:space="0"/>
            </w:tcBorders>
            <w:shd w:val="clear" w:color="auto" w:fill="auto"/>
            <w:vAlign w:val="center"/>
          </w:tcPr>
          <w:p w14:paraId="4ED53EDC">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bCs/>
                <w:szCs w:val="21"/>
              </w:rPr>
              <w:t>▲2.厚度不小于2mm（±1mm）</w:t>
            </w:r>
          </w:p>
        </w:tc>
      </w:tr>
      <w:tr w14:paraId="1AA319AC">
        <w:tblPrEx>
          <w:tblCellMar>
            <w:top w:w="0" w:type="dxa"/>
            <w:left w:w="108" w:type="dxa"/>
            <w:bottom w:w="0" w:type="dxa"/>
            <w:right w:w="108" w:type="dxa"/>
          </w:tblCellMar>
        </w:tblPrEx>
        <w:trPr>
          <w:trHeight w:val="20" w:hRule="atLeast"/>
        </w:trPr>
        <w:tc>
          <w:tcPr>
            <w:tcW w:w="655" w:type="dxa"/>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FA9DB73">
            <w:pPr>
              <w:spacing w:line="300" w:lineRule="exact"/>
              <w:jc w:val="center"/>
              <w:rPr>
                <w:rFonts w:ascii="CESI仿宋-GB2312" w:hAnsi="CESI仿宋-GB2312" w:eastAsia="CESI仿宋-GB2312" w:cs="CESI仿宋-GB2312"/>
                <w:color w:val="000000"/>
                <w:szCs w:val="21"/>
              </w:rPr>
            </w:pPr>
          </w:p>
        </w:tc>
        <w:tc>
          <w:tcPr>
            <w:tcW w:w="1580" w:type="dxa"/>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10561F94">
            <w:pPr>
              <w:spacing w:line="300" w:lineRule="exact"/>
              <w:jc w:val="center"/>
              <w:rPr>
                <w:rFonts w:ascii="CESI仿宋-GB2312" w:hAnsi="CESI仿宋-GB2312" w:eastAsia="CESI仿宋-GB2312" w:cs="CESI仿宋-GB2312"/>
                <w:color w:val="000000"/>
                <w:szCs w:val="21"/>
              </w:rPr>
            </w:pPr>
          </w:p>
        </w:tc>
        <w:tc>
          <w:tcPr>
            <w:tcW w:w="7396" w:type="dxa"/>
            <w:tcBorders>
              <w:top w:val="nil"/>
              <w:left w:val="single" w:color="auto" w:sz="4" w:space="0"/>
              <w:bottom w:val="single" w:color="000000" w:sz="8" w:space="0"/>
              <w:right w:val="single" w:color="000000" w:sz="8" w:space="0"/>
            </w:tcBorders>
            <w:shd w:val="clear" w:color="auto" w:fill="auto"/>
            <w:vAlign w:val="center"/>
          </w:tcPr>
          <w:p w14:paraId="6AA2FDE3">
            <w:pPr>
              <w:spacing w:line="430" w:lineRule="exact"/>
              <w:rPr>
                <w:rFonts w:ascii="CESI仿宋-GB2312" w:hAnsi="CESI仿宋-GB2312" w:eastAsia="CESI仿宋-GB2312" w:cs="CESI仿宋-GB2312"/>
                <w:szCs w:val="21"/>
              </w:rPr>
            </w:pPr>
            <w:r>
              <w:rPr>
                <w:rFonts w:hint="eastAsia" w:ascii="CESI仿宋-GB2312" w:hAnsi="CESI仿宋-GB2312" w:eastAsia="CESI仿宋-GB2312" w:cs="CESI仿宋-GB2312"/>
                <w:bCs/>
                <w:szCs w:val="21"/>
              </w:rPr>
              <w:t>▲3.涂料的技术要求应符合JT/T280、GN47、GN48的规定。</w:t>
            </w:r>
          </w:p>
        </w:tc>
      </w:tr>
      <w:tr w14:paraId="0EE39572">
        <w:tblPrEx>
          <w:tblCellMar>
            <w:top w:w="0" w:type="dxa"/>
            <w:left w:w="108" w:type="dxa"/>
            <w:bottom w:w="0" w:type="dxa"/>
            <w:right w:w="108" w:type="dxa"/>
          </w:tblCellMar>
        </w:tblPrEx>
        <w:trPr>
          <w:trHeight w:val="20" w:hRule="atLeast"/>
        </w:trPr>
        <w:tc>
          <w:tcPr>
            <w:tcW w:w="655" w:type="dxa"/>
            <w:vMerge w:val="restart"/>
            <w:tcBorders>
              <w:top w:val="single" w:color="auto" w:sz="4" w:space="0"/>
              <w:left w:val="single" w:color="auto" w:sz="4" w:space="0"/>
              <w:bottom w:val="single" w:color="auto" w:sz="4" w:space="0"/>
              <w:right w:val="single" w:color="000000" w:sz="8" w:space="0"/>
            </w:tcBorders>
            <w:shd w:val="clear" w:color="auto" w:fill="auto"/>
            <w:vAlign w:val="center"/>
          </w:tcPr>
          <w:p w14:paraId="75D8C50D">
            <w:pPr>
              <w:spacing w:line="300" w:lineRule="exact"/>
              <w:jc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2</w:t>
            </w:r>
          </w:p>
        </w:tc>
        <w:tc>
          <w:tcPr>
            <w:tcW w:w="1580" w:type="dxa"/>
            <w:vMerge w:val="restart"/>
            <w:tcBorders>
              <w:top w:val="single" w:color="auto" w:sz="4" w:space="0"/>
              <w:left w:val="single" w:color="000000" w:sz="8" w:space="0"/>
              <w:bottom w:val="single" w:color="auto" w:sz="4" w:space="0"/>
              <w:right w:val="single" w:color="000000" w:sz="8" w:space="0"/>
            </w:tcBorders>
            <w:shd w:val="clear" w:color="auto" w:fill="auto"/>
            <w:vAlign w:val="center"/>
          </w:tcPr>
          <w:p w14:paraId="4F5E9DD7">
            <w:pPr>
              <w:spacing w:line="300" w:lineRule="exact"/>
              <w:jc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机非硬护栏</w:t>
            </w:r>
            <w:r>
              <w:rPr>
                <w:rFonts w:hint="eastAsia" w:ascii="CESI仿宋-GB2312" w:hAnsi="CESI仿宋-GB2312" w:eastAsia="CESI仿宋-GB2312" w:cs="CESI仿宋-GB2312"/>
                <w:color w:val="000000"/>
                <w:szCs w:val="21"/>
              </w:rPr>
              <w:br w:type="textWrapping"/>
            </w:r>
            <w:r>
              <w:rPr>
                <w:rFonts w:hint="eastAsia" w:ascii="CESI仿宋-GB2312" w:hAnsi="CESI仿宋-GB2312" w:eastAsia="CESI仿宋-GB2312" w:cs="CESI仿宋-GB2312"/>
                <w:color w:val="000000"/>
                <w:szCs w:val="21"/>
              </w:rPr>
              <w:t>（H=0.7m）</w:t>
            </w:r>
          </w:p>
        </w:tc>
        <w:tc>
          <w:tcPr>
            <w:tcW w:w="7396" w:type="dxa"/>
            <w:tcBorders>
              <w:top w:val="nil"/>
              <w:left w:val="nil"/>
              <w:bottom w:val="single" w:color="000000" w:sz="8" w:space="0"/>
              <w:right w:val="single" w:color="000000" w:sz="8" w:space="0"/>
            </w:tcBorders>
            <w:shd w:val="clear" w:color="auto" w:fill="auto"/>
            <w:vAlign w:val="center"/>
          </w:tcPr>
          <w:p w14:paraId="410E6286">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w:t>
            </w:r>
            <w:r>
              <w:rPr>
                <w:rFonts w:hint="eastAsia" w:ascii="CESI仿宋-GB2312" w:hAnsi="CESI仿宋-GB2312" w:eastAsia="CESI仿宋-GB2312" w:cs="CESI仿宋-GB2312"/>
                <w:bCs/>
                <w:szCs w:val="21"/>
              </w:rPr>
              <w:t>尺寸</w:t>
            </w:r>
            <w:r>
              <w:rPr>
                <w:rFonts w:hint="eastAsia" w:ascii="CESI仿宋-GB2312" w:hAnsi="CESI仿宋-GB2312" w:eastAsia="CESI仿宋-GB2312" w:cs="CESI仿宋-GB2312"/>
                <w:bCs/>
                <w:color w:val="FF0000"/>
                <w:szCs w:val="21"/>
              </w:rPr>
              <w:t>2.04m*1.8m*0.7m；</w:t>
            </w:r>
          </w:p>
        </w:tc>
      </w:tr>
      <w:tr w14:paraId="7D0E5D50">
        <w:tblPrEx>
          <w:tblCellMar>
            <w:top w:w="0" w:type="dxa"/>
            <w:left w:w="108" w:type="dxa"/>
            <w:bottom w:w="0" w:type="dxa"/>
            <w:right w:w="108" w:type="dxa"/>
          </w:tblCellMar>
        </w:tblPrEx>
        <w:trPr>
          <w:trHeight w:val="20" w:hRule="atLeast"/>
        </w:trPr>
        <w:tc>
          <w:tcPr>
            <w:tcW w:w="655" w:type="dxa"/>
            <w:vMerge w:val="continue"/>
            <w:tcBorders>
              <w:top w:val="single" w:color="auto" w:sz="4" w:space="0"/>
              <w:left w:val="single" w:color="auto" w:sz="4" w:space="0"/>
              <w:bottom w:val="single" w:color="auto" w:sz="4" w:space="0"/>
              <w:right w:val="single" w:color="000000" w:sz="8" w:space="0"/>
            </w:tcBorders>
            <w:vAlign w:val="center"/>
          </w:tcPr>
          <w:p w14:paraId="34A03C97">
            <w:pPr>
              <w:spacing w:line="300" w:lineRule="exact"/>
              <w:rPr>
                <w:rFonts w:ascii="CESI仿宋-GB2312" w:hAnsi="CESI仿宋-GB2312" w:eastAsia="CESI仿宋-GB2312" w:cs="CESI仿宋-GB2312"/>
                <w:color w:val="000000"/>
                <w:szCs w:val="21"/>
              </w:rPr>
            </w:pPr>
          </w:p>
        </w:tc>
        <w:tc>
          <w:tcPr>
            <w:tcW w:w="1580" w:type="dxa"/>
            <w:vMerge w:val="continue"/>
            <w:tcBorders>
              <w:top w:val="single" w:color="auto" w:sz="4" w:space="0"/>
              <w:left w:val="single" w:color="000000" w:sz="8" w:space="0"/>
              <w:bottom w:val="single" w:color="auto" w:sz="4" w:space="0"/>
              <w:right w:val="single" w:color="000000" w:sz="8" w:space="0"/>
            </w:tcBorders>
            <w:vAlign w:val="center"/>
          </w:tcPr>
          <w:p w14:paraId="21C84BB6">
            <w:pPr>
              <w:spacing w:line="300" w:lineRule="exact"/>
              <w:rPr>
                <w:rFonts w:ascii="CESI仿宋-GB2312" w:hAnsi="CESI仿宋-GB2312" w:eastAsia="CESI仿宋-GB2312" w:cs="CESI仿宋-GB2312"/>
                <w:color w:val="000000"/>
                <w:szCs w:val="21"/>
              </w:rPr>
            </w:pPr>
          </w:p>
        </w:tc>
        <w:tc>
          <w:tcPr>
            <w:tcW w:w="7396" w:type="dxa"/>
            <w:tcBorders>
              <w:top w:val="nil"/>
              <w:left w:val="nil"/>
              <w:bottom w:val="single" w:color="000000" w:sz="8" w:space="0"/>
              <w:right w:val="single" w:color="000000" w:sz="8" w:space="0"/>
            </w:tcBorders>
            <w:shd w:val="clear" w:color="auto" w:fill="auto"/>
            <w:vAlign w:val="center"/>
          </w:tcPr>
          <w:p w14:paraId="72731A0E">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bCs/>
                <w:szCs w:val="21"/>
              </w:rPr>
              <w:t>▲2.材料：本结构钢材均采用Q235B钢，符合GB/T700的要求。钢构件表面平齐、光滑、无欠缺、缺陷，满足YB/T 4427-2014等相关行业标准；</w:t>
            </w:r>
          </w:p>
        </w:tc>
      </w:tr>
      <w:tr w14:paraId="47C68EB5">
        <w:tblPrEx>
          <w:tblCellMar>
            <w:top w:w="0" w:type="dxa"/>
            <w:left w:w="108" w:type="dxa"/>
            <w:bottom w:w="0" w:type="dxa"/>
            <w:right w:w="108" w:type="dxa"/>
          </w:tblCellMar>
        </w:tblPrEx>
        <w:trPr>
          <w:trHeight w:val="380" w:hRule="atLeast"/>
        </w:trPr>
        <w:tc>
          <w:tcPr>
            <w:tcW w:w="655" w:type="dxa"/>
            <w:vMerge w:val="continue"/>
            <w:tcBorders>
              <w:top w:val="single" w:color="auto" w:sz="4" w:space="0"/>
              <w:left w:val="single" w:color="auto" w:sz="4" w:space="0"/>
              <w:bottom w:val="single" w:color="auto" w:sz="4" w:space="0"/>
              <w:right w:val="single" w:color="000000" w:sz="8" w:space="0"/>
            </w:tcBorders>
            <w:vAlign w:val="center"/>
          </w:tcPr>
          <w:p w14:paraId="1A14FD87">
            <w:pPr>
              <w:spacing w:line="300" w:lineRule="exact"/>
              <w:rPr>
                <w:rFonts w:ascii="CESI仿宋-GB2312" w:hAnsi="CESI仿宋-GB2312" w:eastAsia="CESI仿宋-GB2312" w:cs="CESI仿宋-GB2312"/>
                <w:color w:val="000000"/>
                <w:szCs w:val="21"/>
              </w:rPr>
            </w:pPr>
          </w:p>
        </w:tc>
        <w:tc>
          <w:tcPr>
            <w:tcW w:w="1580" w:type="dxa"/>
            <w:vMerge w:val="continue"/>
            <w:tcBorders>
              <w:top w:val="single" w:color="auto" w:sz="4" w:space="0"/>
              <w:left w:val="single" w:color="000000" w:sz="8" w:space="0"/>
              <w:bottom w:val="single" w:color="auto" w:sz="4" w:space="0"/>
              <w:right w:val="single" w:color="000000" w:sz="8" w:space="0"/>
            </w:tcBorders>
            <w:vAlign w:val="center"/>
          </w:tcPr>
          <w:p w14:paraId="4CB02D51">
            <w:pPr>
              <w:spacing w:line="300" w:lineRule="exact"/>
              <w:rPr>
                <w:rFonts w:ascii="CESI仿宋-GB2312" w:hAnsi="CESI仿宋-GB2312" w:eastAsia="CESI仿宋-GB2312" w:cs="CESI仿宋-GB2312"/>
                <w:color w:val="000000"/>
                <w:szCs w:val="21"/>
              </w:rPr>
            </w:pPr>
          </w:p>
        </w:tc>
        <w:tc>
          <w:tcPr>
            <w:tcW w:w="7396" w:type="dxa"/>
            <w:tcBorders>
              <w:top w:val="nil"/>
              <w:left w:val="nil"/>
              <w:bottom w:val="single" w:color="000000" w:sz="8" w:space="0"/>
              <w:right w:val="single" w:color="000000" w:sz="8" w:space="0"/>
            </w:tcBorders>
            <w:shd w:val="clear" w:color="auto" w:fill="auto"/>
            <w:vAlign w:val="center"/>
          </w:tcPr>
          <w:p w14:paraId="21D7A74D">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bCs/>
                <w:szCs w:val="21"/>
              </w:rPr>
              <w:t>▲3锌铁底座250*250*130mm。</w:t>
            </w:r>
          </w:p>
        </w:tc>
      </w:tr>
      <w:tr w14:paraId="0C81AB25">
        <w:tblPrEx>
          <w:tblCellMar>
            <w:top w:w="0" w:type="dxa"/>
            <w:left w:w="108" w:type="dxa"/>
            <w:bottom w:w="0" w:type="dxa"/>
            <w:right w:w="108" w:type="dxa"/>
          </w:tblCellMar>
        </w:tblPrEx>
        <w:trPr>
          <w:trHeight w:val="20" w:hRule="atLeast"/>
        </w:trPr>
        <w:tc>
          <w:tcPr>
            <w:tcW w:w="6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5278C">
            <w:pPr>
              <w:spacing w:line="300" w:lineRule="exact"/>
              <w:jc w:val="cente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3</w:t>
            </w:r>
          </w:p>
        </w:tc>
        <w:tc>
          <w:tcPr>
            <w:tcW w:w="15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7FB7C">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安装及其他</w:t>
            </w:r>
          </w:p>
        </w:tc>
        <w:tc>
          <w:tcPr>
            <w:tcW w:w="73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19FB5">
            <w:pPr>
              <w:spacing w:line="300" w:lineRule="exact"/>
              <w:rPr>
                <w:rFonts w:ascii="CESI仿宋-GB2312" w:hAnsi="CESI仿宋-GB2312" w:eastAsia="CESI仿宋-GB2312" w:cs="CESI仿宋-GB2312"/>
                <w:bCs/>
                <w:szCs w:val="21"/>
                <w:highlight w:val="yellow"/>
              </w:rPr>
            </w:pPr>
            <w:r>
              <w:rPr>
                <w:rFonts w:hint="eastAsia" w:ascii="CESI仿宋-GB2312" w:hAnsi="CESI仿宋-GB2312" w:eastAsia="CESI仿宋-GB2312" w:cs="CESI仿宋-GB2312"/>
                <w:szCs w:val="21"/>
                <w:highlight w:val="yellow"/>
              </w:rPr>
              <w:t>★</w:t>
            </w:r>
            <w:r>
              <w:rPr>
                <w:rFonts w:hint="eastAsia" w:ascii="CESI仿宋-GB2312" w:hAnsi="CESI仿宋-GB2312" w:eastAsia="CESI仿宋-GB2312" w:cs="CESI仿宋-GB2312"/>
                <w:bCs/>
                <w:szCs w:val="21"/>
                <w:highlight w:val="yellow"/>
              </w:rPr>
              <w:t>1.中标人需额外提供≥50米或以上符合标准的新护栏，做为应急损坏维护替换品；中标人除了提供护栏，还需要提供包括非机动车道的标志、标线、标牌以及端头的防撞柱之类的设施配套，所有的护栏及设施都需要进行安装、焊接，并通过打螺丝加以固定。</w:t>
            </w:r>
          </w:p>
          <w:p w14:paraId="71B815B5">
            <w:pPr>
              <w:spacing w:line="300" w:lineRule="exact"/>
              <w:rPr>
                <w:rFonts w:ascii="CESI仿宋-GB2312" w:hAnsi="CESI仿宋-GB2312" w:eastAsia="CESI仿宋-GB2312" w:cs="CESI仿宋-GB2312"/>
                <w:bCs/>
                <w:szCs w:val="21"/>
                <w:highlight w:val="yellow"/>
              </w:rPr>
            </w:pPr>
            <w:r>
              <w:rPr>
                <w:rFonts w:hint="eastAsia" w:ascii="CESI仿宋-GB2312" w:hAnsi="CESI仿宋-GB2312" w:eastAsia="CESI仿宋-GB2312" w:cs="CESI仿宋-GB2312"/>
                <w:bCs/>
                <w:szCs w:val="21"/>
                <w:highlight w:val="yellow"/>
              </w:rPr>
              <w:t>★2.对于风速较大路段，根据实际需要，护栏每隔4跨或以上采用膨胀螺栓固定于地面；保修期内，中标人需要根据采购方的需求，无条件的将护栏调整到采购方指定地方。</w:t>
            </w:r>
          </w:p>
          <w:p w14:paraId="5B29CFF2">
            <w:pPr>
              <w:pStyle w:val="2"/>
            </w:pPr>
            <w:r>
              <w:rPr>
                <w:rFonts w:hint="eastAsia"/>
              </w:rPr>
              <w:t>对于以上实质性条款，中标人投标时须提供承诺函（格式自拟）</w:t>
            </w:r>
          </w:p>
        </w:tc>
      </w:tr>
    </w:tbl>
    <w:p w14:paraId="0C3DEADF">
      <w:pPr>
        <w:spacing w:line="30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说明：</w:t>
      </w:r>
    </w:p>
    <w:p w14:paraId="10A60BDE">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1.评分时，如对一项招标技术要求（以划分框为准）中的内容存在两处（或以上）负偏离的，在评分时只作一项负偏离扣分。</w:t>
      </w:r>
    </w:p>
    <w:p w14:paraId="536074CE">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2.带“★”指标项为实质性条款，如出现负偏离，将被视为未实质性满足招标文件要求作投标无效处理；带“▲”指标项为重要参数条款，负偏离时依相关评分准则内容作重点扣分处理。</w:t>
      </w:r>
    </w:p>
    <w:p w14:paraId="50BE6AB7">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3.涉及区间的参数，除特别注明以外，产品参数区间与招标要求不一致的均视为负偏离。例：区间要求为0-20ML,只要响应的不是“0-20ML”，如投标文件响应为 0-15ML 、0-21ML 、1-12ML 、 9-20ML 、6-21ML 、9ML等情形均视为负偏离。</w:t>
      </w:r>
    </w:p>
    <w:p w14:paraId="70AE2092">
      <w:pPr>
        <w:pStyle w:val="2"/>
        <w:jc w:val="both"/>
        <w:rPr>
          <w:rFonts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rPr>
        <w:t>（三）人员配置需求：</w:t>
      </w:r>
    </w:p>
    <w:p w14:paraId="1EFB78D3">
      <w:pPr>
        <w:pStyle w:val="2"/>
        <w:jc w:val="both"/>
        <w:rPr>
          <w:rFonts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rPr>
        <w:t>本项目成员要求为中标人自有员工，至少</w:t>
      </w:r>
      <w:r>
        <w:rPr>
          <w:rFonts w:ascii="CESI仿宋-GB2312" w:hAnsi="CESI仿宋-GB2312" w:eastAsia="CESI仿宋-GB2312" w:cs="CESI仿宋-GB2312"/>
          <w:bCs/>
          <w:sz w:val="21"/>
          <w:szCs w:val="21"/>
        </w:rPr>
        <w:t>4</w:t>
      </w:r>
      <w:r>
        <w:rPr>
          <w:rFonts w:hint="eastAsia" w:ascii="CESI仿宋-GB2312" w:hAnsi="CESI仿宋-GB2312" w:eastAsia="CESI仿宋-GB2312" w:cs="CESI仿宋-GB2312"/>
          <w:bCs/>
          <w:sz w:val="21"/>
          <w:szCs w:val="21"/>
        </w:rPr>
        <w:t>人。其中项目总负责人1人，须具有一定的专业能力。其他成员至少</w:t>
      </w:r>
      <w:r>
        <w:rPr>
          <w:rFonts w:ascii="CESI仿宋-GB2312" w:hAnsi="CESI仿宋-GB2312" w:eastAsia="CESI仿宋-GB2312" w:cs="CESI仿宋-GB2312"/>
          <w:bCs/>
          <w:sz w:val="21"/>
          <w:szCs w:val="21"/>
        </w:rPr>
        <w:t>3</w:t>
      </w:r>
      <w:r>
        <w:rPr>
          <w:rFonts w:hint="eastAsia" w:ascii="CESI仿宋-GB2312" w:hAnsi="CESI仿宋-GB2312" w:eastAsia="CESI仿宋-GB2312" w:cs="CESI仿宋-GB2312"/>
          <w:bCs/>
          <w:sz w:val="21"/>
          <w:szCs w:val="21"/>
        </w:rPr>
        <w:t>人。</w:t>
      </w:r>
    </w:p>
    <w:p w14:paraId="2755C09C">
      <w:pPr>
        <w:spacing w:line="30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三、商务要求</w:t>
      </w:r>
    </w:p>
    <w:p w14:paraId="0161513A">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（一）商务需求：</w:t>
      </w:r>
    </w:p>
    <w:p w14:paraId="4192B761">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说明：</w:t>
      </w:r>
    </w:p>
    <w:p w14:paraId="4A114F3A">
      <w:pPr>
        <w:spacing w:line="30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1.评分时，如对一项招标商务要求（以划分框为准）中的内容存在两处（或以上）负偏离的，在评分时只作一项负偏离扣分。</w:t>
      </w:r>
    </w:p>
    <w:p w14:paraId="6B52BB91">
      <w:pPr>
        <w:spacing w:line="300" w:lineRule="exact"/>
        <w:ind w:firstLine="420" w:firstLineChars="200"/>
        <w:rPr>
          <w:rFonts w:ascii="CESI仿宋-GB2312" w:hAnsi="CESI仿宋-GB2312" w:eastAsia="CESI仿宋-GB2312" w:cs="CESI仿宋-GB2312"/>
          <w:szCs w:val="21"/>
        </w:rPr>
      </w:pPr>
      <w:r>
        <w:rPr>
          <w:rFonts w:hint="eastAsia" w:ascii="CESI仿宋-GB2312" w:hAnsi="CESI仿宋-GB2312" w:eastAsia="CESI仿宋-GB2312" w:cs="CESI仿宋-GB2312"/>
          <w:bCs/>
          <w:szCs w:val="21"/>
        </w:rPr>
        <w:t>2.带“★”指标项为实质性条款，如出现负偏离，将被视为未实质性满足招标文件要求作投标无效处理；带“▲”指标项为重要参数条款，负偏离时依相关评分准则内容作重点扣分处理。</w:t>
      </w:r>
    </w:p>
    <w:tbl>
      <w:tblPr>
        <w:tblStyle w:val="15"/>
        <w:tblW w:w="913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380"/>
        <w:gridCol w:w="6985"/>
      </w:tblGrid>
      <w:tr w14:paraId="1CEF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50556913">
            <w:pPr>
              <w:spacing w:line="300" w:lineRule="exact"/>
              <w:jc w:val="center"/>
              <w:rPr>
                <w:rFonts w:ascii="CESI仿宋-GB2312" w:hAnsi="CESI仿宋-GB2312" w:eastAsia="CESI仿宋-GB2312" w:cs="CESI仿宋-GB2312"/>
                <w:b/>
                <w:bCs/>
                <w:szCs w:val="21"/>
              </w:rPr>
            </w:pPr>
            <w:bookmarkStart w:id="1" w:name="_Hlk134656169"/>
            <w:r>
              <w:rPr>
                <w:rFonts w:hint="eastAsia" w:ascii="CESI仿宋-GB2312" w:hAnsi="CESI仿宋-GB2312" w:eastAsia="CESI仿宋-GB2312" w:cs="CESI仿宋-GB2312"/>
                <w:b/>
                <w:bCs/>
                <w:szCs w:val="21"/>
              </w:rPr>
              <w:t>序号</w:t>
            </w:r>
          </w:p>
        </w:tc>
        <w:tc>
          <w:tcPr>
            <w:tcW w:w="1380" w:type="dxa"/>
            <w:vAlign w:val="center"/>
          </w:tcPr>
          <w:p w14:paraId="44262D33">
            <w:pPr>
              <w:spacing w:line="3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目录</w:t>
            </w:r>
          </w:p>
        </w:tc>
        <w:tc>
          <w:tcPr>
            <w:tcW w:w="6985" w:type="dxa"/>
            <w:vAlign w:val="center"/>
          </w:tcPr>
          <w:p w14:paraId="53B1A28D">
            <w:pPr>
              <w:spacing w:line="300" w:lineRule="exact"/>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招标文件商务需求</w:t>
            </w:r>
          </w:p>
        </w:tc>
      </w:tr>
      <w:tr w14:paraId="562A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30" w:type="dxa"/>
            <w:gridSpan w:val="3"/>
            <w:vAlign w:val="center"/>
          </w:tcPr>
          <w:p w14:paraId="7B9551D4">
            <w:pPr>
              <w:spacing w:line="300" w:lineRule="exact"/>
              <w:ind w:firstLine="422" w:firstLineChars="200"/>
              <w:rPr>
                <w:rFonts w:ascii="CESI仿宋-GB2312" w:hAnsi="CESI仿宋-GB2312" w:eastAsia="CESI仿宋-GB2312" w:cs="CESI仿宋-GB2312"/>
                <w:szCs w:val="21"/>
              </w:rPr>
            </w:pPr>
            <w:r>
              <w:rPr>
                <w:rFonts w:hint="eastAsia" w:ascii="CESI仿宋-GB2312" w:hAnsi="CESI仿宋-GB2312" w:eastAsia="CESI仿宋-GB2312" w:cs="CESI仿宋-GB2312"/>
                <w:b/>
                <w:bCs/>
                <w:szCs w:val="21"/>
              </w:rPr>
              <w:t>（一）交货期限及地点</w:t>
            </w:r>
          </w:p>
        </w:tc>
      </w:tr>
      <w:tr w14:paraId="255A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108416EC">
            <w:pPr>
              <w:spacing w:line="300" w:lineRule="exact"/>
              <w:ind w:firstLine="210" w:firstLineChars="100"/>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1380" w:type="dxa"/>
            <w:vAlign w:val="center"/>
          </w:tcPr>
          <w:p w14:paraId="3336BBF6">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★履约时间及地点</w:t>
            </w:r>
          </w:p>
        </w:tc>
        <w:tc>
          <w:tcPr>
            <w:tcW w:w="6985" w:type="dxa"/>
            <w:vAlign w:val="center"/>
          </w:tcPr>
          <w:p w14:paraId="3535AF0A">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在</w:t>
            </w:r>
            <w:r>
              <w:rPr>
                <w:rFonts w:hint="eastAsia" w:ascii="CESI仿宋-GB2312" w:hAnsi="CESI仿宋-GB2312" w:eastAsia="CESI仿宋-GB2312" w:cs="CESI仿宋-GB2312"/>
                <w:bCs/>
                <w:szCs w:val="21"/>
              </w:rPr>
              <w:t>签订合同之日起30天内交货并完成安装，交货和安装地点为布吉街道辖区内。</w:t>
            </w:r>
            <w:r>
              <w:rPr>
                <w:rFonts w:hint="eastAsia"/>
              </w:rPr>
              <w:t>中标人投标时须提供承诺函（格式自拟）</w:t>
            </w:r>
          </w:p>
        </w:tc>
      </w:tr>
      <w:tr w14:paraId="6FAB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4497DE91">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1380" w:type="dxa"/>
            <w:vAlign w:val="center"/>
          </w:tcPr>
          <w:p w14:paraId="03F62C60">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交货地点</w:t>
            </w:r>
          </w:p>
        </w:tc>
        <w:tc>
          <w:tcPr>
            <w:tcW w:w="6985" w:type="dxa"/>
            <w:vAlign w:val="center"/>
          </w:tcPr>
          <w:p w14:paraId="4B727324">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采购人指定地点</w:t>
            </w:r>
          </w:p>
        </w:tc>
      </w:tr>
      <w:tr w14:paraId="7A24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12871AEF">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1380" w:type="dxa"/>
            <w:vAlign w:val="center"/>
          </w:tcPr>
          <w:p w14:paraId="6A9738C7">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其他交货要求</w:t>
            </w:r>
          </w:p>
        </w:tc>
        <w:tc>
          <w:tcPr>
            <w:tcW w:w="6985" w:type="dxa"/>
            <w:vAlign w:val="center"/>
          </w:tcPr>
          <w:p w14:paraId="2F76DD5B">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▲中标人必须承担设备运输、安装调试、验收检测等其他类似的义务，所提供的物品须符合相关产品国家标准，特殊物品应符合行业内通用标准，</w:t>
            </w:r>
            <w:r>
              <w:rPr>
                <w:rFonts w:hint="eastAsia" w:ascii="CESI仿宋-GB2312" w:hAnsi="CESI仿宋-GB2312" w:eastAsia="CESI仿宋-GB2312" w:cs="CESI仿宋-GB2312"/>
                <w:b/>
                <w:szCs w:val="21"/>
              </w:rPr>
              <w:t>并提供厂家出厂产品质量证明书</w:t>
            </w:r>
            <w:r>
              <w:rPr>
                <w:rFonts w:hint="eastAsia" w:ascii="CESI仿宋-GB2312" w:hAnsi="CESI仿宋-GB2312" w:eastAsia="CESI仿宋-GB2312" w:cs="CESI仿宋-GB2312"/>
                <w:szCs w:val="21"/>
              </w:rPr>
              <w:t>。</w:t>
            </w:r>
          </w:p>
          <w:p w14:paraId="2B676A08">
            <w:pPr>
              <w:spacing w:line="300" w:lineRule="exact"/>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中标人除了提供护栏，还需要提供包括非机动车道的标志、标线、标牌以及端头的防撞柱之类的设施。</w:t>
            </w:r>
          </w:p>
        </w:tc>
      </w:tr>
      <w:tr w14:paraId="7C04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30" w:type="dxa"/>
            <w:gridSpan w:val="3"/>
            <w:vAlign w:val="center"/>
          </w:tcPr>
          <w:p w14:paraId="2CF693FA">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b/>
                <w:bCs/>
                <w:szCs w:val="21"/>
              </w:rPr>
              <w:t>（二）售后服务要求</w:t>
            </w:r>
          </w:p>
        </w:tc>
      </w:tr>
      <w:tr w14:paraId="62AD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4EE66435">
            <w:pPr>
              <w:spacing w:line="300" w:lineRule="exact"/>
              <w:jc w:val="center"/>
              <w:rPr>
                <w:rFonts w:ascii="CESI仿宋-GB2312" w:hAnsi="CESI仿宋-GB2312" w:eastAsia="CESI仿宋-GB2312" w:cs="CESI仿宋-GB2312"/>
                <w:color w:val="FF0000"/>
                <w:szCs w:val="21"/>
              </w:rPr>
            </w:pPr>
            <w:r>
              <w:rPr>
                <w:rFonts w:hint="eastAsia" w:ascii="CESI仿宋-GB2312" w:hAnsi="CESI仿宋-GB2312" w:eastAsia="CESI仿宋-GB2312" w:cs="CESI仿宋-GB2312"/>
                <w:szCs w:val="21"/>
              </w:rPr>
              <w:t>1</w:t>
            </w:r>
          </w:p>
        </w:tc>
        <w:tc>
          <w:tcPr>
            <w:tcW w:w="1380" w:type="dxa"/>
            <w:vAlign w:val="center"/>
          </w:tcPr>
          <w:p w14:paraId="2DB9D8B0">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免费质保期</w:t>
            </w:r>
          </w:p>
        </w:tc>
        <w:tc>
          <w:tcPr>
            <w:tcW w:w="6985" w:type="dxa"/>
            <w:vAlign w:val="center"/>
          </w:tcPr>
          <w:p w14:paraId="67923B56">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★货物免费原厂保修期 1 年，时间自最终验收合格之日起计算。</w:t>
            </w:r>
            <w:r>
              <w:rPr>
                <w:rFonts w:hint="eastAsia"/>
              </w:rPr>
              <w:t>中标人投标时须提供承诺函（格式自拟）</w:t>
            </w:r>
          </w:p>
        </w:tc>
      </w:tr>
      <w:tr w14:paraId="0ABC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Align w:val="center"/>
          </w:tcPr>
          <w:p w14:paraId="0055AAEF">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1380" w:type="dxa"/>
            <w:vAlign w:val="center"/>
          </w:tcPr>
          <w:p w14:paraId="11167792">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维修响应及故障解决时间</w:t>
            </w:r>
          </w:p>
        </w:tc>
        <w:tc>
          <w:tcPr>
            <w:tcW w:w="6985" w:type="dxa"/>
            <w:vAlign w:val="center"/>
          </w:tcPr>
          <w:p w14:paraId="4AAB747E">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▲保修期内，设备如发生移位、破损等，中标供应商维修人员应在接到故障通知后 6 小时内赴故障现场对设备进行抢修；如需更换小部件，应在接到故障通知 12小时内更换修理完毕；如要更换大部件，应在接到故障通知10天内更换修理完毕。其他服务：在 24 小时内或紧急情况下，未能修复，提供具有同样功能的设备供使用单位使用。</w:t>
            </w:r>
          </w:p>
        </w:tc>
      </w:tr>
      <w:tr w14:paraId="3D6F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Merge w:val="restart"/>
            <w:vAlign w:val="center"/>
          </w:tcPr>
          <w:p w14:paraId="543A3219">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1380" w:type="dxa"/>
            <w:vMerge w:val="restart"/>
            <w:vAlign w:val="center"/>
          </w:tcPr>
          <w:p w14:paraId="02AED778">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其他售后服务要求</w:t>
            </w:r>
          </w:p>
        </w:tc>
        <w:tc>
          <w:tcPr>
            <w:tcW w:w="6985" w:type="dxa"/>
            <w:vAlign w:val="center"/>
          </w:tcPr>
          <w:p w14:paraId="0D06579C">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3.1投标人应按其投标文件中的承诺，进行其他售后服务工作。</w:t>
            </w:r>
          </w:p>
        </w:tc>
      </w:tr>
      <w:tr w14:paraId="22F2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5" w:type="dxa"/>
            <w:vMerge w:val="continue"/>
            <w:vAlign w:val="center"/>
          </w:tcPr>
          <w:p w14:paraId="4FE2483B">
            <w:pPr>
              <w:spacing w:line="300" w:lineRule="exact"/>
              <w:jc w:val="center"/>
              <w:rPr>
                <w:rFonts w:ascii="CESI仿宋-GB2312" w:hAnsi="CESI仿宋-GB2312" w:eastAsia="CESI仿宋-GB2312" w:cs="CESI仿宋-GB2312"/>
                <w:szCs w:val="21"/>
              </w:rPr>
            </w:pPr>
          </w:p>
        </w:tc>
        <w:tc>
          <w:tcPr>
            <w:tcW w:w="1380" w:type="dxa"/>
            <w:vMerge w:val="continue"/>
            <w:vAlign w:val="center"/>
          </w:tcPr>
          <w:p w14:paraId="6F2622AD">
            <w:pPr>
              <w:spacing w:line="300" w:lineRule="exact"/>
              <w:jc w:val="center"/>
              <w:rPr>
                <w:rFonts w:ascii="CESI仿宋-GB2312" w:hAnsi="CESI仿宋-GB2312" w:eastAsia="CESI仿宋-GB2312" w:cs="CESI仿宋-GB2312"/>
                <w:szCs w:val="21"/>
              </w:rPr>
            </w:pPr>
          </w:p>
        </w:tc>
        <w:tc>
          <w:tcPr>
            <w:tcW w:w="6985" w:type="dxa"/>
            <w:vAlign w:val="center"/>
          </w:tcPr>
          <w:p w14:paraId="5147BF74">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▲3.</w:t>
            </w:r>
            <w:r>
              <w:rPr>
                <w:rFonts w:ascii="CESI仿宋-GB2312" w:hAnsi="CESI仿宋-GB2312" w:eastAsia="CESI仿宋-GB2312" w:cs="CESI仿宋-GB2312"/>
                <w:szCs w:val="21"/>
              </w:rPr>
              <w:t>2</w:t>
            </w:r>
            <w:r>
              <w:rPr>
                <w:rFonts w:hint="eastAsia" w:ascii="CESI仿宋-GB2312" w:hAnsi="CESI仿宋-GB2312" w:eastAsia="CESI仿宋-GB2312" w:cs="CESI仿宋-GB2312"/>
                <w:szCs w:val="21"/>
              </w:rPr>
              <w:t>保修与服务：按原品牌保换保修标准执行，质保期内，中标人所提供的系统设备各部件发生质量造成故障的，中标人应免费上门维修。</w:t>
            </w:r>
          </w:p>
        </w:tc>
      </w:tr>
      <w:tr w14:paraId="73D8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130" w:type="dxa"/>
            <w:gridSpan w:val="3"/>
            <w:vAlign w:val="center"/>
          </w:tcPr>
          <w:p w14:paraId="41916A7E">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b/>
                <w:bCs/>
                <w:szCs w:val="21"/>
              </w:rPr>
              <w:t>（三）其他商务要求</w:t>
            </w:r>
          </w:p>
        </w:tc>
      </w:tr>
      <w:tr w14:paraId="3E64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65" w:type="dxa"/>
            <w:vMerge w:val="restart"/>
            <w:vAlign w:val="center"/>
          </w:tcPr>
          <w:p w14:paraId="239075B4">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1380" w:type="dxa"/>
            <w:vMerge w:val="restart"/>
            <w:vAlign w:val="center"/>
          </w:tcPr>
          <w:p w14:paraId="7D4F35C9">
            <w:pPr>
              <w:spacing w:line="30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关于验收</w:t>
            </w:r>
          </w:p>
        </w:tc>
        <w:tc>
          <w:tcPr>
            <w:tcW w:w="6985" w:type="dxa"/>
            <w:vAlign w:val="center"/>
          </w:tcPr>
          <w:p w14:paraId="4792280C">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1.1中标人货物经过双方检验认可后，签署验收报告，产品保修期自验收合格之日起算。</w:t>
            </w:r>
          </w:p>
        </w:tc>
      </w:tr>
      <w:tr w14:paraId="5600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65" w:type="dxa"/>
            <w:vMerge w:val="continue"/>
            <w:vAlign w:val="center"/>
          </w:tcPr>
          <w:p w14:paraId="0BB79B81">
            <w:pPr>
              <w:spacing w:line="300" w:lineRule="exact"/>
              <w:jc w:val="center"/>
              <w:rPr>
                <w:rFonts w:ascii="CESI仿宋-GB2312" w:hAnsi="CESI仿宋-GB2312" w:eastAsia="CESI仿宋-GB2312" w:cs="CESI仿宋-GB2312"/>
                <w:szCs w:val="21"/>
              </w:rPr>
            </w:pPr>
          </w:p>
        </w:tc>
        <w:tc>
          <w:tcPr>
            <w:tcW w:w="1380" w:type="dxa"/>
            <w:vMerge w:val="continue"/>
            <w:vAlign w:val="center"/>
          </w:tcPr>
          <w:p w14:paraId="290EC12F">
            <w:pPr>
              <w:spacing w:line="300" w:lineRule="exact"/>
              <w:jc w:val="center"/>
              <w:rPr>
                <w:rFonts w:ascii="CESI仿宋-GB2312" w:hAnsi="CESI仿宋-GB2312" w:eastAsia="CESI仿宋-GB2312" w:cs="CESI仿宋-GB2312"/>
                <w:szCs w:val="21"/>
              </w:rPr>
            </w:pPr>
          </w:p>
        </w:tc>
        <w:tc>
          <w:tcPr>
            <w:tcW w:w="6985" w:type="dxa"/>
            <w:vAlign w:val="center"/>
          </w:tcPr>
          <w:p w14:paraId="6833DFA6">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▲1.2本项目会严格按照招标文件条目进行逐项验收，如有不满足或虚假应标情况，本单位有权拒收货物。</w:t>
            </w:r>
          </w:p>
        </w:tc>
      </w:tr>
      <w:tr w14:paraId="719D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5A313ECB">
            <w:pPr>
              <w:spacing w:line="300" w:lineRule="exact"/>
              <w:jc w:val="center"/>
              <w:rPr>
                <w:rFonts w:ascii="CESI仿宋-GB2312" w:hAnsi="CESI仿宋-GB2312" w:eastAsia="CESI仿宋-GB2312" w:cs="CESI仿宋-GB2312"/>
                <w:szCs w:val="21"/>
              </w:rPr>
            </w:pPr>
          </w:p>
        </w:tc>
        <w:tc>
          <w:tcPr>
            <w:tcW w:w="1380" w:type="dxa"/>
            <w:vMerge w:val="continue"/>
            <w:vAlign w:val="center"/>
          </w:tcPr>
          <w:p w14:paraId="6B22267E">
            <w:pPr>
              <w:spacing w:line="300" w:lineRule="exact"/>
              <w:jc w:val="center"/>
              <w:rPr>
                <w:rFonts w:ascii="CESI仿宋-GB2312" w:hAnsi="CESI仿宋-GB2312" w:eastAsia="CESI仿宋-GB2312" w:cs="CESI仿宋-GB2312"/>
                <w:szCs w:val="21"/>
              </w:rPr>
            </w:pPr>
          </w:p>
        </w:tc>
        <w:tc>
          <w:tcPr>
            <w:tcW w:w="6985" w:type="dxa"/>
            <w:vAlign w:val="center"/>
          </w:tcPr>
          <w:p w14:paraId="11891555">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1.3当满足以下所有条件时，采购人才向中标人签发货物验收报告：</w:t>
            </w:r>
          </w:p>
          <w:p w14:paraId="632777A4">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a.中标人已按照合同规定提供了全部产品及完整的技术资料。</w:t>
            </w:r>
          </w:p>
          <w:p w14:paraId="6A57CB81">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b.货物符合招标文件技术规格书的要求，性能满足要求。</w:t>
            </w:r>
          </w:p>
          <w:p w14:paraId="0B3C4663">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c.货物安装调试成功能正常使用。</w:t>
            </w:r>
          </w:p>
        </w:tc>
      </w:tr>
      <w:tr w14:paraId="6801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3C5EFE25">
            <w:pPr>
              <w:spacing w:line="300" w:lineRule="exact"/>
              <w:jc w:val="center"/>
              <w:rPr>
                <w:rFonts w:ascii="CESI仿宋-GB2312" w:hAnsi="CESI仿宋-GB2312" w:eastAsia="CESI仿宋-GB2312" w:cs="CESI仿宋-GB2312"/>
                <w:szCs w:val="21"/>
              </w:rPr>
            </w:pPr>
          </w:p>
        </w:tc>
        <w:tc>
          <w:tcPr>
            <w:tcW w:w="1380" w:type="dxa"/>
            <w:vMerge w:val="continue"/>
            <w:vAlign w:val="center"/>
          </w:tcPr>
          <w:p w14:paraId="54E3D5DA">
            <w:pPr>
              <w:spacing w:line="300" w:lineRule="exact"/>
              <w:jc w:val="center"/>
              <w:rPr>
                <w:rFonts w:ascii="CESI仿宋-GB2312" w:hAnsi="CESI仿宋-GB2312" w:eastAsia="CESI仿宋-GB2312" w:cs="CESI仿宋-GB2312"/>
                <w:szCs w:val="21"/>
              </w:rPr>
            </w:pPr>
          </w:p>
        </w:tc>
        <w:tc>
          <w:tcPr>
            <w:tcW w:w="6985" w:type="dxa"/>
          </w:tcPr>
          <w:p w14:paraId="437D0F7E">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1.4货物若有国家标准按照国家标准验收，若无国家标准按行业标准验收，为原制造商制造的全新产品，整机无污染，无侵权行为、表面无划损、无任何缺陷隐患，在中国境内可依常规安全合法使用。</w:t>
            </w:r>
          </w:p>
        </w:tc>
      </w:tr>
      <w:tr w14:paraId="0F82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6890D651">
            <w:pPr>
              <w:spacing w:line="300" w:lineRule="exact"/>
              <w:jc w:val="center"/>
              <w:rPr>
                <w:rFonts w:ascii="CESI仿宋-GB2312" w:hAnsi="CESI仿宋-GB2312" w:eastAsia="CESI仿宋-GB2312" w:cs="CESI仿宋-GB2312"/>
                <w:szCs w:val="21"/>
              </w:rPr>
            </w:pPr>
          </w:p>
        </w:tc>
        <w:tc>
          <w:tcPr>
            <w:tcW w:w="1380" w:type="dxa"/>
            <w:vMerge w:val="continue"/>
            <w:vAlign w:val="center"/>
          </w:tcPr>
          <w:p w14:paraId="1AEC5022">
            <w:pPr>
              <w:spacing w:line="300" w:lineRule="exact"/>
              <w:jc w:val="center"/>
              <w:rPr>
                <w:rFonts w:ascii="CESI仿宋-GB2312" w:hAnsi="CESI仿宋-GB2312" w:eastAsia="CESI仿宋-GB2312" w:cs="CESI仿宋-GB2312"/>
                <w:szCs w:val="21"/>
              </w:rPr>
            </w:pPr>
          </w:p>
        </w:tc>
        <w:tc>
          <w:tcPr>
            <w:tcW w:w="6985" w:type="dxa"/>
          </w:tcPr>
          <w:p w14:paraId="6CFA3C3D">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1.5中标人应将关键主机设备的用户手册、保修手册、有关单证资料及配备件、随机工具等交付给甲方，使用操作及安全须知等重要资料应附有中文说明。</w:t>
            </w:r>
          </w:p>
        </w:tc>
      </w:tr>
      <w:tr w14:paraId="19F4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70813A62">
            <w:pPr>
              <w:spacing w:line="300" w:lineRule="exact"/>
              <w:jc w:val="center"/>
              <w:rPr>
                <w:rFonts w:ascii="CESI仿宋-GB2312" w:hAnsi="CESI仿宋-GB2312" w:eastAsia="CESI仿宋-GB2312" w:cs="CESI仿宋-GB2312"/>
                <w:szCs w:val="21"/>
              </w:rPr>
            </w:pPr>
          </w:p>
        </w:tc>
        <w:tc>
          <w:tcPr>
            <w:tcW w:w="1380" w:type="dxa"/>
            <w:vMerge w:val="continue"/>
            <w:vAlign w:val="center"/>
          </w:tcPr>
          <w:p w14:paraId="03A37D39">
            <w:pPr>
              <w:spacing w:line="300" w:lineRule="exact"/>
              <w:jc w:val="center"/>
              <w:rPr>
                <w:rFonts w:ascii="CESI仿宋-GB2312" w:hAnsi="CESI仿宋-GB2312" w:eastAsia="CESI仿宋-GB2312" w:cs="CESI仿宋-GB2312"/>
                <w:szCs w:val="21"/>
              </w:rPr>
            </w:pPr>
          </w:p>
        </w:tc>
        <w:tc>
          <w:tcPr>
            <w:tcW w:w="6985" w:type="dxa"/>
          </w:tcPr>
          <w:p w14:paraId="5BB1630E">
            <w:pPr>
              <w:spacing w:line="30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1.6采购人按国家有关规定、规范进行验收，必要时邀请相关的专业人员或机构参与验收。因货物质量问题发生争议时，由本地质量技术监督部门鉴定。货物符合质量技术标准的，鉴定费由采购人承担；否则鉴定费由中标供应商承担。</w:t>
            </w:r>
          </w:p>
        </w:tc>
      </w:tr>
      <w:tr w14:paraId="60DC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restart"/>
            <w:vAlign w:val="center"/>
          </w:tcPr>
          <w:p w14:paraId="243FA0E7">
            <w:pPr>
              <w:spacing w:line="300" w:lineRule="exact"/>
              <w:jc w:val="center"/>
              <w:rPr>
                <w:rFonts w:ascii="CESI仿宋-GB2312" w:hAnsi="CESI仿宋-GB2312" w:eastAsia="CESI仿宋-GB2312" w:cs="CESI仿宋-GB2312"/>
                <w:szCs w:val="21"/>
                <w:highlight w:val="yellow"/>
              </w:rPr>
            </w:pPr>
            <w:r>
              <w:rPr>
                <w:rFonts w:hint="eastAsia" w:ascii="CESI仿宋-GB2312" w:hAnsi="CESI仿宋-GB2312" w:eastAsia="CESI仿宋-GB2312" w:cs="CESI仿宋-GB2312"/>
                <w:szCs w:val="21"/>
              </w:rPr>
              <w:t>2</w:t>
            </w:r>
          </w:p>
        </w:tc>
        <w:tc>
          <w:tcPr>
            <w:tcW w:w="1380" w:type="dxa"/>
            <w:vMerge w:val="restart"/>
            <w:vAlign w:val="center"/>
          </w:tcPr>
          <w:p w14:paraId="32D172E9">
            <w:pPr>
              <w:pStyle w:val="2"/>
              <w:spacing w:line="300" w:lineRule="exact"/>
              <w:rPr>
                <w:rFonts w:ascii="CESI仿宋-GB2312" w:hAnsi="CESI仿宋-GB2312" w:eastAsia="CESI仿宋-GB2312" w:cs="CESI仿宋-GB2312"/>
                <w:sz w:val="21"/>
                <w:szCs w:val="21"/>
              </w:rPr>
            </w:pPr>
            <w:r>
              <w:rPr>
                <w:rFonts w:hint="eastAsia" w:ascii="CESI仿宋-GB2312" w:hAnsi="CESI仿宋-GB2312" w:eastAsia="CESI仿宋-GB2312" w:cs="CESI仿宋-GB2312"/>
                <w:sz w:val="21"/>
                <w:szCs w:val="21"/>
              </w:rPr>
              <w:t>违约责任</w:t>
            </w:r>
          </w:p>
        </w:tc>
        <w:tc>
          <w:tcPr>
            <w:tcW w:w="6985" w:type="dxa"/>
            <w:vAlign w:val="center"/>
          </w:tcPr>
          <w:p w14:paraId="5A872142">
            <w:pPr>
              <w:pStyle w:val="6"/>
              <w:spacing w:line="320" w:lineRule="exact"/>
              <w:ind w:right="-92" w:rightChars="-44"/>
              <w:rPr>
                <w:rFonts w:ascii="CESI仿宋-GB2312" w:hAnsi="CESI仿宋-GB2312" w:eastAsia="CESI仿宋-GB2312" w:cs="CESI仿宋-GB2312"/>
                <w:szCs w:val="21"/>
              </w:rPr>
            </w:pPr>
            <w:r>
              <w:rPr>
                <w:rFonts w:hint="eastAsia" w:ascii="CESI仿宋-GB2312" w:hAnsi="CESI仿宋-GB2312" w:eastAsia="CESI仿宋-GB2312" w:cs="CESI仿宋-GB2312"/>
                <w:szCs w:val="21"/>
              </w:rPr>
              <w:t>▲2.1中标人每延迟一日交货的，采购人有权扣除合同总价的 1 %作为违约金;逾期达二十日的，采购人有权单方解除合同，同时中标人还应按照合同总价的20%向采购人支付违约金，并赔偿对采购人因此所造成的损失。</w:t>
            </w:r>
          </w:p>
        </w:tc>
      </w:tr>
      <w:tr w14:paraId="04A0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59DB7B15">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09621306">
            <w:pPr>
              <w:pStyle w:val="2"/>
              <w:spacing w:line="300" w:lineRule="exact"/>
              <w:rPr>
                <w:rFonts w:ascii="CESI仿宋-GB2312" w:hAnsi="CESI仿宋-GB2312" w:eastAsia="CESI仿宋-GB2312" w:cs="CESI仿宋-GB2312"/>
                <w:sz w:val="21"/>
                <w:szCs w:val="21"/>
              </w:rPr>
            </w:pPr>
          </w:p>
        </w:tc>
        <w:tc>
          <w:tcPr>
            <w:tcW w:w="6985" w:type="dxa"/>
            <w:vAlign w:val="center"/>
          </w:tcPr>
          <w:p w14:paraId="1131C5F2">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2.2中标人提供的标的物不合格或者品种、型号、规格等与合同约定不符的，或不能完整交付合同标的物及相关单证的，视为未按合同约定交货，采购人有权要求中标人承担无偿更换或者补齐的责任，因此导致延期交付的，中标人应按照上述第1项的约定承担延期交付的违约责任。</w:t>
            </w:r>
          </w:p>
        </w:tc>
      </w:tr>
      <w:tr w14:paraId="6E80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2971BBC0">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0334FA14">
            <w:pPr>
              <w:spacing w:line="300" w:lineRule="exact"/>
              <w:jc w:val="center"/>
              <w:rPr>
                <w:rFonts w:ascii="CESI仿宋-GB2312" w:hAnsi="CESI仿宋-GB2312" w:eastAsia="CESI仿宋-GB2312" w:cs="CESI仿宋-GB2312"/>
                <w:szCs w:val="21"/>
              </w:rPr>
            </w:pPr>
          </w:p>
        </w:tc>
        <w:tc>
          <w:tcPr>
            <w:tcW w:w="6985" w:type="dxa"/>
            <w:vAlign w:val="center"/>
          </w:tcPr>
          <w:p w14:paraId="2E3B7F35">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▲2.3在免费保修期内，中标人未按合同约定提供售后服务的，每次中标人应按照合同总价的10%向采购人支付违约金，并赔偿对采购人因此所造成的损失。</w:t>
            </w:r>
          </w:p>
        </w:tc>
      </w:tr>
      <w:tr w14:paraId="30B61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64F72CE4">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553A3725">
            <w:pPr>
              <w:spacing w:line="300" w:lineRule="exact"/>
              <w:jc w:val="center"/>
              <w:rPr>
                <w:rFonts w:ascii="CESI仿宋-GB2312" w:hAnsi="CESI仿宋-GB2312" w:eastAsia="CESI仿宋-GB2312" w:cs="CESI仿宋-GB2312"/>
                <w:szCs w:val="21"/>
              </w:rPr>
            </w:pPr>
          </w:p>
        </w:tc>
        <w:tc>
          <w:tcPr>
            <w:tcW w:w="6985" w:type="dxa"/>
            <w:vAlign w:val="center"/>
          </w:tcPr>
          <w:p w14:paraId="3A6CD740">
            <w:pPr>
              <w:pStyle w:val="8"/>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▲2.4中标人未经采购人同意将本合同义务部分或全部转让给第三方，采购人有权单方解除合同，同时中标人还应按照合同总价的30%向采购人支付违约金，并赔偿对采购人因此所造成的损失。</w:t>
            </w:r>
          </w:p>
        </w:tc>
      </w:tr>
      <w:tr w14:paraId="326B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719954B9">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529365CF">
            <w:pPr>
              <w:spacing w:line="300" w:lineRule="exact"/>
              <w:jc w:val="center"/>
              <w:rPr>
                <w:rFonts w:ascii="CESI仿宋-GB2312" w:hAnsi="CESI仿宋-GB2312" w:eastAsia="CESI仿宋-GB2312" w:cs="CESI仿宋-GB2312"/>
                <w:szCs w:val="21"/>
              </w:rPr>
            </w:pPr>
          </w:p>
        </w:tc>
        <w:tc>
          <w:tcPr>
            <w:tcW w:w="6985" w:type="dxa"/>
            <w:vAlign w:val="center"/>
          </w:tcPr>
          <w:p w14:paraId="798F460A">
            <w:pPr>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2.5中标人擅自更换项目服务人员或不按采购人要求更换项目服务人员的，采购人有权要求中标人承担10000元/人次的违约金。发生3次以上时（含本数），中标人应向采购人支付相当于合同总价款20%的违约金，且采购人有权解除本合同。</w:t>
            </w:r>
          </w:p>
        </w:tc>
      </w:tr>
      <w:tr w14:paraId="65B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33021882">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1A2E9B04">
            <w:pPr>
              <w:spacing w:line="300" w:lineRule="exact"/>
              <w:jc w:val="center"/>
              <w:rPr>
                <w:rFonts w:ascii="CESI仿宋-GB2312" w:hAnsi="CESI仿宋-GB2312" w:eastAsia="CESI仿宋-GB2312" w:cs="CESI仿宋-GB2312"/>
                <w:szCs w:val="21"/>
              </w:rPr>
            </w:pPr>
          </w:p>
        </w:tc>
        <w:tc>
          <w:tcPr>
            <w:tcW w:w="6985" w:type="dxa"/>
            <w:vAlign w:val="center"/>
          </w:tcPr>
          <w:p w14:paraId="7B2F999D">
            <w:pPr>
              <w:pStyle w:val="8"/>
              <w:spacing w:line="32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2.6因中标人自身原因单方终止合同履行的，采购人有权不予支付尚未支付的合同款项，同时采购人已支付的款项应无条件退回，中标人还应按照合同总价的30%向采购人支付违约金，并赔偿对采购人因此所造成的损失。</w:t>
            </w:r>
          </w:p>
        </w:tc>
      </w:tr>
      <w:tr w14:paraId="61A3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23EF5A27">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38553773">
            <w:pPr>
              <w:spacing w:line="300" w:lineRule="exact"/>
              <w:jc w:val="center"/>
              <w:rPr>
                <w:rFonts w:ascii="CESI仿宋-GB2312" w:hAnsi="CESI仿宋-GB2312" w:eastAsia="CESI仿宋-GB2312" w:cs="CESI仿宋-GB2312"/>
                <w:szCs w:val="21"/>
              </w:rPr>
            </w:pPr>
          </w:p>
        </w:tc>
        <w:tc>
          <w:tcPr>
            <w:tcW w:w="6985" w:type="dxa"/>
            <w:vAlign w:val="center"/>
          </w:tcPr>
          <w:p w14:paraId="6608D664">
            <w:pPr>
              <w:spacing w:line="3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2.7如因中标人提供的产品侵犯第三方知识产权或任何第三方向采购人提出的侵权诉讼或索赔，概由中标人承担一切处理、应诉和赔偿等法律责任，采购人有权单方解除合同，同时中标人还应按照合同总价的30%向采购人支付违约金，并赔偿对采购人因此所造成的损失。</w:t>
            </w:r>
          </w:p>
        </w:tc>
      </w:tr>
      <w:tr w14:paraId="6E0C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2ED25829">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5A85FDC1">
            <w:pPr>
              <w:spacing w:line="300" w:lineRule="exact"/>
              <w:jc w:val="center"/>
              <w:rPr>
                <w:rFonts w:ascii="CESI仿宋-GB2312" w:hAnsi="CESI仿宋-GB2312" w:eastAsia="CESI仿宋-GB2312" w:cs="CESI仿宋-GB2312"/>
                <w:szCs w:val="21"/>
              </w:rPr>
            </w:pPr>
          </w:p>
        </w:tc>
        <w:tc>
          <w:tcPr>
            <w:tcW w:w="6985" w:type="dxa"/>
            <w:vAlign w:val="center"/>
          </w:tcPr>
          <w:p w14:paraId="49E76F2D">
            <w:pPr>
              <w:pStyle w:val="8"/>
              <w:spacing w:line="35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2.8中标人违反劳动合同法或其他相关法律法规，未足额或未按时支付中标人服务人员的薪资等费用，或是中标人相关人员向采购人主张支付薪资等费用，以上情形引发中标人相关人员群体到政府部门维权或上访的，中标人应向采购人支付本合同总价款30%的违约金，同时采购人有权单方解除本合同，并赔偿对采购人因此所造成的损失。</w:t>
            </w:r>
          </w:p>
        </w:tc>
      </w:tr>
      <w:tr w14:paraId="08D6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64C92BD8">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7514EAB6">
            <w:pPr>
              <w:spacing w:line="300" w:lineRule="exact"/>
              <w:jc w:val="center"/>
              <w:rPr>
                <w:rFonts w:ascii="CESI仿宋-GB2312" w:hAnsi="CESI仿宋-GB2312" w:eastAsia="CESI仿宋-GB2312" w:cs="CESI仿宋-GB2312"/>
                <w:szCs w:val="21"/>
              </w:rPr>
            </w:pPr>
          </w:p>
        </w:tc>
        <w:tc>
          <w:tcPr>
            <w:tcW w:w="6985" w:type="dxa"/>
            <w:vAlign w:val="center"/>
          </w:tcPr>
          <w:p w14:paraId="66C6BA03">
            <w:pPr>
              <w:spacing w:line="35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2.9中标人如有任何违反本合同所约定的保密条款的行为，采购人有权单方解除合同，同时中标人还应按照合同总价的30%向采购人支付违约金，并赔偿对采购人因此所造成的损失。</w:t>
            </w:r>
          </w:p>
        </w:tc>
      </w:tr>
      <w:tr w14:paraId="3EA1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4BBB66AE">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1B6D4191">
            <w:pPr>
              <w:spacing w:line="300" w:lineRule="exact"/>
              <w:jc w:val="center"/>
              <w:rPr>
                <w:rFonts w:ascii="CESI仿宋-GB2312" w:hAnsi="CESI仿宋-GB2312" w:eastAsia="CESI仿宋-GB2312" w:cs="CESI仿宋-GB2312"/>
                <w:szCs w:val="21"/>
              </w:rPr>
            </w:pPr>
          </w:p>
        </w:tc>
        <w:tc>
          <w:tcPr>
            <w:tcW w:w="6985" w:type="dxa"/>
            <w:vAlign w:val="center"/>
          </w:tcPr>
          <w:p w14:paraId="0CDF403B">
            <w:pPr>
              <w:spacing w:line="35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2.10中标人提供货物损害采购方原有的设备、系统或平台的，采购方有权解除本合同，中标方应退回采购方已支付的全部款项，并向采购方支付合同总价款20%的违约金，赔偿给采购方造成损失，同时采购方应及时修理、恢复有关设备、系统或平台至正常使用状态。</w:t>
            </w:r>
          </w:p>
        </w:tc>
      </w:tr>
      <w:tr w14:paraId="1A01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7EAB764E">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37DC5F1E">
            <w:pPr>
              <w:spacing w:line="300" w:lineRule="exact"/>
              <w:jc w:val="center"/>
              <w:rPr>
                <w:rFonts w:ascii="CESI仿宋-GB2312" w:hAnsi="CESI仿宋-GB2312" w:eastAsia="CESI仿宋-GB2312" w:cs="CESI仿宋-GB2312"/>
                <w:szCs w:val="21"/>
              </w:rPr>
            </w:pPr>
          </w:p>
        </w:tc>
        <w:tc>
          <w:tcPr>
            <w:tcW w:w="6985" w:type="dxa"/>
            <w:vAlign w:val="center"/>
          </w:tcPr>
          <w:p w14:paraId="341B82A8">
            <w:pPr>
              <w:spacing w:line="35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2.11因中标人原因导致发生重大安全事故的，采购人有权单方解除合同，同时中标人应赔偿对采购人因此所造成的损失。</w:t>
            </w:r>
          </w:p>
        </w:tc>
      </w:tr>
      <w:tr w14:paraId="2150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65" w:type="dxa"/>
            <w:vMerge w:val="continue"/>
            <w:vAlign w:val="center"/>
          </w:tcPr>
          <w:p w14:paraId="7BB184F4">
            <w:pPr>
              <w:spacing w:line="300" w:lineRule="exact"/>
              <w:jc w:val="center"/>
              <w:rPr>
                <w:rFonts w:ascii="CESI仿宋-GB2312" w:hAnsi="CESI仿宋-GB2312" w:eastAsia="CESI仿宋-GB2312" w:cs="CESI仿宋-GB2312"/>
                <w:szCs w:val="21"/>
                <w:highlight w:val="yellow"/>
              </w:rPr>
            </w:pPr>
          </w:p>
        </w:tc>
        <w:tc>
          <w:tcPr>
            <w:tcW w:w="1380" w:type="dxa"/>
            <w:vMerge w:val="continue"/>
            <w:vAlign w:val="center"/>
          </w:tcPr>
          <w:p w14:paraId="759F3BD2">
            <w:pPr>
              <w:spacing w:line="300" w:lineRule="exact"/>
              <w:jc w:val="center"/>
              <w:rPr>
                <w:rFonts w:ascii="CESI仿宋-GB2312" w:hAnsi="CESI仿宋-GB2312" w:eastAsia="CESI仿宋-GB2312" w:cs="CESI仿宋-GB2312"/>
                <w:szCs w:val="21"/>
              </w:rPr>
            </w:pPr>
          </w:p>
        </w:tc>
        <w:tc>
          <w:tcPr>
            <w:tcW w:w="6985" w:type="dxa"/>
            <w:vAlign w:val="center"/>
          </w:tcPr>
          <w:p w14:paraId="031D551D">
            <w:pPr>
              <w:spacing w:line="35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2.12因中标人违约导致采购人支出的律师费、诉讼费、保全费、担保费、公证费、鉴定费、差旅费等费用，由中标人承担。</w:t>
            </w:r>
          </w:p>
        </w:tc>
      </w:tr>
      <w:bookmarkEnd w:id="1"/>
    </w:tbl>
    <w:p w14:paraId="071CF313">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、质量保障要求</w:t>
      </w:r>
    </w:p>
    <w:p w14:paraId="4CE1BB68">
      <w:pPr>
        <w:pStyle w:val="13"/>
        <w:ind w:firstLine="420" w:firstLineChars="200"/>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为保证项目能够保质保量、按时完工，投标人应根据本项目的实际情况提供完整、详细、切实可行的项目供货方案，明确项目供货计划和保障措施、项目组织机构及管理体系和项目货物质量控制措施。</w:t>
      </w:r>
    </w:p>
    <w:p w14:paraId="0352352F">
      <w:pPr>
        <w:pStyle w:val="13"/>
        <w:ind w:firstLine="420" w:firstLineChars="200"/>
        <w:outlineLvl w:val="1"/>
        <w:rPr>
          <w:rFonts w:ascii="CESI仿宋-GB2312" w:hAnsi="CESI仿宋-GB2312" w:eastAsia="CESI仿宋-GB2312" w:cs="CESI仿宋-GB2312"/>
          <w:szCs w:val="21"/>
        </w:rPr>
      </w:pPr>
      <w:r>
        <w:rPr>
          <w:rFonts w:ascii="CESI仿宋-GB2312" w:hAnsi="CESI仿宋-GB2312" w:eastAsia="CESI仿宋-GB2312" w:cs="CESI仿宋-GB2312"/>
          <w:szCs w:val="21"/>
        </w:rPr>
        <w:t>投标人在项目实施过程中应有</w:t>
      </w:r>
      <w:r>
        <w:rPr>
          <w:rFonts w:hint="eastAsia" w:ascii="CESI仿宋-GB2312" w:hAnsi="CESI仿宋-GB2312" w:eastAsia="CESI仿宋-GB2312" w:cs="CESI仿宋-GB2312"/>
          <w:szCs w:val="21"/>
        </w:rPr>
        <w:t>技术保障措施，明确安装实施组织计划，对施工车辆合理化安排，并提供不少于2辆工程车相关证明文件，明确安装实施技术工艺，并提出安装实施合理化建议。</w:t>
      </w:r>
    </w:p>
    <w:p w14:paraId="38CDE4FB">
      <w:pPr>
        <w:pStyle w:val="13"/>
        <w:ind w:firstLine="420" w:firstLineChars="200"/>
        <w:outlineLvl w:val="1"/>
        <w:rPr>
          <w:rFonts w:ascii="CESI仿宋-GB2312" w:hAnsi="CESI仿宋-GB2312" w:eastAsia="CESI仿宋-GB2312" w:cs="CESI仿宋-GB2312"/>
          <w:szCs w:val="21"/>
        </w:rPr>
      </w:pPr>
      <w:r>
        <w:rPr>
          <w:rFonts w:ascii="CESI仿宋-GB2312" w:hAnsi="CESI仿宋-GB2312" w:eastAsia="CESI仿宋-GB2312" w:cs="CESI仿宋-GB2312"/>
          <w:szCs w:val="21"/>
        </w:rPr>
        <w:t>投标人应提供</w:t>
      </w:r>
      <w:r>
        <w:rPr>
          <w:rFonts w:hint="eastAsia" w:ascii="CESI仿宋-GB2312" w:hAnsi="CESI仿宋-GB2312" w:eastAsia="CESI仿宋-GB2312" w:cs="CESI仿宋-GB2312"/>
          <w:szCs w:val="21"/>
        </w:rPr>
        <w:t>施工安全保障措施，确保安装人员安全，</w:t>
      </w:r>
      <w:r>
        <w:rPr>
          <w:rFonts w:ascii="CESI仿宋-GB2312" w:hAnsi="CESI仿宋-GB2312" w:eastAsia="CESI仿宋-GB2312" w:cs="CESI仿宋-GB2312"/>
          <w:szCs w:val="21"/>
        </w:rPr>
        <w:t>应有</w:t>
      </w:r>
      <w:r>
        <w:rPr>
          <w:rFonts w:hint="eastAsia" w:ascii="CESI仿宋-GB2312" w:hAnsi="CESI仿宋-GB2312" w:eastAsia="CESI仿宋-GB2312" w:cs="CESI仿宋-GB2312"/>
          <w:szCs w:val="21"/>
        </w:rPr>
        <w:t>安全紧急预案和现场安全管理制度，保障项目能安全完成。</w:t>
      </w:r>
    </w:p>
    <w:p w14:paraId="37328AC9">
      <w:pPr>
        <w:pStyle w:val="13"/>
        <w:ind w:firstLine="420" w:firstLineChars="200"/>
        <w:outlineLvl w:val="1"/>
        <w:rPr>
          <w:rFonts w:ascii="CESI仿宋-GB2312" w:hAnsi="CESI仿宋-GB2312" w:eastAsia="CESI仿宋-GB2312" w:cs="CESI仿宋-GB2312"/>
          <w:szCs w:val="21"/>
        </w:rPr>
      </w:pPr>
      <w:r>
        <w:rPr>
          <w:rFonts w:ascii="CESI仿宋-GB2312" w:hAnsi="CESI仿宋-GB2312" w:eastAsia="CESI仿宋-GB2312" w:cs="CESI仿宋-GB2312"/>
          <w:szCs w:val="21"/>
        </w:rPr>
        <w:t>投标人应提供</w:t>
      </w:r>
      <w:r>
        <w:rPr>
          <w:rFonts w:hint="eastAsia" w:ascii="CESI仿宋-GB2312" w:hAnsi="CESI仿宋-GB2312" w:eastAsia="CESI仿宋-GB2312" w:cs="CESI仿宋-GB2312"/>
          <w:szCs w:val="21"/>
        </w:rPr>
        <w:t>售后服务方案，确保能快速响应售后服务要求，并有应急维修预案，对质量问题制定改进措施并有效执行</w:t>
      </w:r>
    </w:p>
    <w:p w14:paraId="002BE521">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中标人的权利义务</w:t>
      </w:r>
    </w:p>
    <w:p w14:paraId="69A5C6F1">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1中标人应按采购人要求，运送符合合同约定的合同标的物到指定地点，在采购人对标的物确认无误后将标的物交付采购人。</w:t>
      </w:r>
    </w:p>
    <w:p w14:paraId="1F268DD2">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2中标人不得未经采购人同意，将本合同义务部分或全部转让给第三方。</w:t>
      </w:r>
    </w:p>
    <w:p w14:paraId="20516CF9">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3中标人应保证提供的标的物无隐藏的质量瑕疵，无任何安全隐患且保证安全包装和运输，如因质量问题导致他人人身、财产受损的，中标人应承担全部赔偿责任，采购人不承担任何责任。</w:t>
      </w:r>
    </w:p>
    <w:p w14:paraId="464447B4">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4中标人应按相关法律法规与中标人在履行本合同过程中所涉及的中标人相关人员签订劳动或劳务合同，支付中标人相关人员的薪资、五险一金、福利、补贴等全部费用，采购人无需向中标人相关人员支付任何费用，中标人若与中标人相关人员发生任何纠纷与采购人无关，采购人不承担任何责任。</w:t>
      </w:r>
    </w:p>
    <w:p w14:paraId="71D2BFB3">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5中标人相关人员在采购人工作范围内进行标的物的相关作业时须遵守采购人的规章制度，不得影响采购人的工作，如因中标人原因造成他人的人身和财产损失的，中标人应承担全部赔偿责任，采购人不承担任何责任。</w:t>
      </w:r>
    </w:p>
    <w:p w14:paraId="693D18C8">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6中标人相关人员在作业期间非因采购人原因遭受人身、财产损害的，或是因个人身体原因突发疾病的，由中标人负责处理和承担相应的赔偿责任，采购人不承担任何责任。</w:t>
      </w:r>
    </w:p>
    <w:p w14:paraId="761CEDF1">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、知识产权</w:t>
      </w:r>
    </w:p>
    <w:p w14:paraId="0C856149">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1中标人提供的合同标的物需要使用第三方知识产权的，应取得权利人许可或者授权并由中标人承担费用。</w:t>
      </w:r>
    </w:p>
    <w:p w14:paraId="1A335D1A">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2中标人保证所提供的合同标的物不存在侵犯第三方合法权益 (包括但不限于著作权、商标权、专利权等知识产权和物权等)的情形。如果任何第三方提出侵权指控，中标人须与该第三方交涉并承担由此发生的一切责任、费用和赔偿。</w:t>
      </w:r>
    </w:p>
    <w:p w14:paraId="3332E9A2">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、保密条款</w:t>
      </w:r>
    </w:p>
    <w:p w14:paraId="3962A42F">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1除本合同另有约定外，中标人对其因履行本合同所知悉的与本项目相关的信息以及甲方其他未公开的信息，应当采取适当有效的方式予以保密。中标人仅得在本合同规定的范围内使用上述资料及信息，未经采购人事先书面同意，不得复制或披露给任何第三方。中标人对保密信息发生的被盗、泄露、或其他有损信息保密性的事件承担全部责任，因此给采购人造成损失的，中标人应予赔偿。</w:t>
      </w:r>
    </w:p>
    <w:p w14:paraId="0F5B339A">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2中标人在提供服务过程中接触或产生涉密数据的，应严格按《中华人民共和国保守国家秘密法》以及其他相关法律法规和制度执行。如由于中标人的原因而导致泄密的，中标人应承担一切法律责任。</w:t>
      </w:r>
    </w:p>
    <w:p w14:paraId="4477FE98">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3未经采购人书面同意，中标人不得出于任何目的向第三方泄露本合同的任何内容及本合同的签订、履行情况，国家司法机关或监管机构要求提供的除外。</w:t>
      </w:r>
    </w:p>
    <w:p w14:paraId="3DE5431D">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4中标人承担的保密责任期限自本合同签署之日起至采购人公开有关的保密信息之日止。上述保密义务不因本合同的终止、全部或部分条款无效而终止或无效。</w:t>
      </w:r>
    </w:p>
    <w:p w14:paraId="319D20D5">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、不可抗力</w:t>
      </w:r>
    </w:p>
    <w:p w14:paraId="010A839B">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在本合同履行期间，如双方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4267DFC3">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、争议的解决</w:t>
      </w:r>
    </w:p>
    <w:p w14:paraId="28B9A8B6">
      <w:pPr>
        <w:pStyle w:val="13"/>
        <w:numPr>
          <w:ilvl w:val="255"/>
          <w:numId w:val="0"/>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双方因本合同而发生的争议，应首先由甲、乙双方协商解决。如协商不成的，任何一方可向深圳市龙岗区人民法院提起诉讼。</w:t>
      </w:r>
    </w:p>
    <w:p w14:paraId="3A8BBDE0">
      <w:pPr>
        <w:pStyle w:val="13"/>
        <w:numPr>
          <w:ilvl w:val="0"/>
          <w:numId w:val="2"/>
        </w:numPr>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、付款方式</w:t>
      </w:r>
    </w:p>
    <w:p w14:paraId="69821781">
      <w:pPr>
        <w:pStyle w:val="13"/>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本项目分二期付款：</w:t>
      </w:r>
    </w:p>
    <w:p w14:paraId="3B804D2B">
      <w:pPr>
        <w:pStyle w:val="13"/>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1.第一期款项为合同总额的 50%，在签订合同后15日内支付；</w:t>
      </w:r>
    </w:p>
    <w:p w14:paraId="5B1CB964">
      <w:pPr>
        <w:pStyle w:val="13"/>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2.第二期款项为合同总额的50%，在验收合格后进行支付。</w:t>
      </w:r>
    </w:p>
    <w:p w14:paraId="2E3B45E4">
      <w:pPr>
        <w:pStyle w:val="13"/>
        <w:outlineLvl w:val="1"/>
        <w:rPr>
          <w:rFonts w:ascii="CESI仿宋-GB2312" w:hAnsi="CESI仿宋-GB2312" w:eastAsia="CESI仿宋-GB2312" w:cs="CESI仿宋-GB2312"/>
          <w:szCs w:val="21"/>
        </w:rPr>
      </w:pPr>
      <w:r>
        <w:rPr>
          <w:rFonts w:hint="eastAsia" w:ascii="CESI仿宋-GB2312" w:hAnsi="CESI仿宋-GB2312" w:eastAsia="CESI仿宋-GB2312" w:cs="CESI仿宋-GB2312"/>
          <w:szCs w:val="21"/>
        </w:rPr>
        <w:t>注意：以上采购人支付时间是指采购人申请政府财政部门向中标人支付的时间，如因政府财政部门审批或政策变动等原因而导致价款不能及时到账的，采购人不承担违约责任，中标人不得以此拒绝或怠于履行合同义务。若因中标人提供的付款材料缺失、错误或者延误，后果皆由中标人自行承担，采购人不承担任何责任；由于中标人前述过错，给采购人造成损害或者给采购人增加额外成本的，中标方人应按约定承担违约责任。</w:t>
      </w:r>
    </w:p>
    <w:p w14:paraId="4FBFA649">
      <w:pPr>
        <w:pStyle w:val="13"/>
        <w:outlineLvl w:val="1"/>
        <w:rPr>
          <w:rFonts w:ascii="黑体" w:hAnsi="黑体" w:eastAsia="黑体"/>
          <w:sz w:val="40"/>
          <w:szCs w:val="40"/>
        </w:rPr>
      </w:pPr>
    </w:p>
    <w:p w14:paraId="5CCC883A">
      <w:pPr>
        <w:pStyle w:val="13"/>
        <w:spacing w:line="440" w:lineRule="exact"/>
        <w:outlineLvl w:val="1"/>
        <w:rPr>
          <w:rFonts w:ascii="黑体" w:hAnsi="黑体" w:eastAsia="黑体"/>
          <w:sz w:val="40"/>
          <w:szCs w:val="40"/>
        </w:rPr>
      </w:pPr>
      <w:r>
        <w:rPr>
          <w:rFonts w:hint="eastAsia" w:ascii="黑体" w:hAnsi="黑体" w:eastAsia="黑体"/>
          <w:sz w:val="40"/>
          <w:szCs w:val="40"/>
        </w:rPr>
        <w:t>评标信息</w:t>
      </w:r>
    </w:p>
    <w:tbl>
      <w:tblPr>
        <w:tblStyle w:val="15"/>
        <w:tblW w:w="9835"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93"/>
        <w:gridCol w:w="742"/>
      </w:tblGrid>
      <w:tr w14:paraId="19A4A3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93" w:type="dxa"/>
            <w:shd w:val="clear" w:color="auto" w:fill="auto"/>
            <w:vAlign w:val="center"/>
          </w:tcPr>
          <w:p w14:paraId="626E9CED">
            <w:pPr>
              <w:widowControl/>
              <w:spacing w:line="300" w:lineRule="exact"/>
              <w:jc w:val="left"/>
              <w:rPr>
                <w:b/>
                <w:bCs/>
                <w:sz w:val="24"/>
              </w:rPr>
            </w:pPr>
            <w:r>
              <w:rPr>
                <w:b/>
                <w:bCs/>
              </w:rPr>
              <w:t>评标方法：综合评分法</w:t>
            </w:r>
          </w:p>
        </w:tc>
        <w:tc>
          <w:tcPr>
            <w:tcW w:w="742" w:type="dxa"/>
            <w:shd w:val="clear" w:color="auto" w:fill="auto"/>
            <w:vAlign w:val="center"/>
          </w:tcPr>
          <w:p w14:paraId="0B721843">
            <w:pPr>
              <w:spacing w:line="300" w:lineRule="exact"/>
              <w:jc w:val="right"/>
              <w:rPr>
                <w:rFonts w:ascii="宋体"/>
                <w:b/>
                <w:bCs/>
                <w:sz w:val="24"/>
              </w:rPr>
            </w:pPr>
          </w:p>
        </w:tc>
      </w:tr>
      <w:tr w14:paraId="5DB98E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835" w:type="dxa"/>
            <w:gridSpan w:val="2"/>
            <w:shd w:val="clear" w:color="auto" w:fill="auto"/>
            <w:vAlign w:val="center"/>
          </w:tcPr>
          <w:p w14:paraId="5F212EF1">
            <w:pPr>
              <w:spacing w:line="300" w:lineRule="exact"/>
              <w:ind w:firstLine="420"/>
              <w:rPr>
                <w:rFonts w:ascii="CESI仿宋-GB2312" w:hAnsi="CESI仿宋-GB2312" w:eastAsia="CESI仿宋-GB2312" w:cs="CESI仿宋-GB2312"/>
                <w:szCs w:val="21"/>
              </w:rPr>
            </w:pPr>
            <w:r>
              <w:rPr>
                <w:rFonts w:hint="eastAsia" w:ascii="CESI仿宋-GB2312" w:hAnsi="CESI仿宋-GB2312" w:eastAsia="CESI仿宋-GB2312" w:cs="CESI仿宋-GB2312"/>
                <w:szCs w:val="21"/>
              </w:rPr>
              <w:t>综合评分法，是指</w:t>
            </w:r>
            <w:r>
              <w:rPr>
                <w:rFonts w:hint="eastAsia" w:ascii="CESI仿宋-GB2312" w:hAnsi="CESI仿宋-GB2312" w:eastAsia="CESI仿宋-GB2312" w:cs="CESI仿宋-GB2312"/>
                <w:kern w:val="0"/>
                <w:szCs w:val="21"/>
              </w:rPr>
              <w:t>投标文件满足招标文件全部实质性要求</w:t>
            </w:r>
            <w:r>
              <w:rPr>
                <w:rFonts w:hint="eastAsia" w:ascii="CESI仿宋-GB2312" w:hAnsi="CESI仿宋-GB2312" w:eastAsia="CESI仿宋-GB2312" w:cs="CESI仿宋-GB2312"/>
                <w:szCs w:val="21"/>
              </w:rPr>
              <w:t>，且按照招标文件规定的各项因素进行综合评审，评标总得分排名前列的投标人为中标候选人的评标方法。</w:t>
            </w:r>
          </w:p>
          <w:p w14:paraId="17864372">
            <w:pPr>
              <w:spacing w:line="300" w:lineRule="exact"/>
              <w:ind w:firstLine="420"/>
              <w:rPr>
                <w:rFonts w:ascii="CESI仿宋-GB2312" w:hAnsi="CESI仿宋-GB2312" w:eastAsia="CESI仿宋-GB2312" w:cs="CESI仿宋-GB2312"/>
                <w:szCs w:val="21"/>
              </w:rPr>
            </w:pPr>
            <w:r>
              <w:rPr>
                <w:rFonts w:hint="eastAsia" w:ascii="CESI仿宋-GB2312" w:hAnsi="CESI仿宋-GB2312" w:eastAsia="CESI仿宋-GB2312" w:cs="CESI仿宋-GB2312"/>
                <w:szCs w:val="21"/>
              </w:rPr>
              <w:t>价格分计算方法：</w:t>
            </w:r>
          </w:p>
          <w:p w14:paraId="62CD7D03">
            <w:pPr>
              <w:widowControl/>
              <w:spacing w:line="300" w:lineRule="exact"/>
              <w:ind w:left="420"/>
              <w:jc w:val="left"/>
              <w:rPr>
                <w:rFonts w:ascii="CESI仿宋-GB2312" w:hAnsi="CESI仿宋-GB2312" w:eastAsia="CESI仿宋-GB2312" w:cs="CESI仿宋-GB2312"/>
                <w:szCs w:val="21"/>
              </w:rPr>
            </w:pPr>
            <w:r>
              <w:rPr>
                <w:rFonts w:hint="eastAsia" w:ascii="CESI仿宋-GB2312" w:hAnsi="CESI仿宋-GB2312" w:eastAsia="CESI仿宋-GB2312" w:cs="CESI仿宋-GB2312"/>
                <w:szCs w:val="21"/>
              </w:rPr>
              <w:t xml:space="preserve">采用低价优先法计算，即满足招标文件要求且投标价格最低的投标报价为评标基准价，其价格分为满分。其他投标人的价格分统一按照下列公式计算： </w:t>
            </w:r>
            <w:r>
              <w:rPr>
                <w:rFonts w:hint="eastAsia" w:ascii="CESI仿宋-GB2312" w:hAnsi="CESI仿宋-GB2312" w:eastAsia="CESI仿宋-GB2312" w:cs="CESI仿宋-GB2312"/>
                <w:szCs w:val="21"/>
              </w:rPr>
              <w:br w:type="textWrapping"/>
            </w:r>
            <w:r>
              <w:rPr>
                <w:rFonts w:hint="eastAsia" w:ascii="CESI仿宋-GB2312" w:hAnsi="CESI仿宋-GB2312" w:eastAsia="CESI仿宋-GB2312" w:cs="CESI仿宋-GB2312"/>
                <w:szCs w:val="21"/>
              </w:rPr>
              <w:t xml:space="preserve">投标报价得分=(评标基准价／投标报价)×100 </w:t>
            </w:r>
            <w:r>
              <w:rPr>
                <w:rFonts w:hint="eastAsia" w:ascii="CESI仿宋-GB2312" w:hAnsi="CESI仿宋-GB2312" w:eastAsia="CESI仿宋-GB2312" w:cs="CESI仿宋-GB2312"/>
                <w:szCs w:val="21"/>
              </w:rPr>
              <w:br w:type="textWrapping"/>
            </w:r>
            <w:r>
              <w:rPr>
                <w:rFonts w:hint="eastAsia" w:ascii="CESI仿宋-GB2312" w:hAnsi="CESI仿宋-GB2312" w:eastAsia="CESI仿宋-GB2312" w:cs="CESI仿宋-GB2312"/>
                <w:szCs w:val="21"/>
              </w:rPr>
              <w:t xml:space="preserve">评标总得分＝F1×A1＋F2×A2＋……＋Fn×An </w:t>
            </w:r>
            <w:r>
              <w:rPr>
                <w:rFonts w:hint="eastAsia" w:ascii="CESI仿宋-GB2312" w:hAnsi="CESI仿宋-GB2312" w:eastAsia="CESI仿宋-GB2312" w:cs="CESI仿宋-GB2312"/>
                <w:szCs w:val="21"/>
              </w:rPr>
              <w:br w:type="textWrapping"/>
            </w:r>
            <w:r>
              <w:rPr>
                <w:rFonts w:hint="eastAsia" w:ascii="CESI仿宋-GB2312" w:hAnsi="CESI仿宋-GB2312" w:eastAsia="CESI仿宋-GB2312" w:cs="CESI仿宋-GB2312"/>
                <w:szCs w:val="21"/>
              </w:rPr>
              <w:t xml:space="preserve">F1、F2……Fn分别为各项评审因素的得分； </w:t>
            </w:r>
            <w:r>
              <w:rPr>
                <w:rFonts w:hint="eastAsia" w:ascii="CESI仿宋-GB2312" w:hAnsi="CESI仿宋-GB2312" w:eastAsia="CESI仿宋-GB2312" w:cs="CESI仿宋-GB2312"/>
                <w:szCs w:val="21"/>
              </w:rPr>
              <w:br w:type="textWrapping"/>
            </w:r>
            <w:r>
              <w:rPr>
                <w:rFonts w:hint="eastAsia" w:ascii="CESI仿宋-GB2312" w:hAnsi="CESI仿宋-GB2312" w:eastAsia="CESI仿宋-GB2312" w:cs="CESI仿宋-GB2312"/>
                <w:szCs w:val="21"/>
              </w:rPr>
              <w:t xml:space="preserve">A1、A2、……An 分别为各项评审因素所占的权重(A1＋A2＋……＋An＝1)。 </w:t>
            </w:r>
            <w:r>
              <w:rPr>
                <w:rFonts w:hint="eastAsia" w:ascii="CESI仿宋-GB2312" w:hAnsi="CESI仿宋-GB2312" w:eastAsia="CESI仿宋-GB2312" w:cs="CESI仿宋-GB2312"/>
                <w:szCs w:val="21"/>
              </w:rPr>
              <w:br w:type="textWrapping"/>
            </w:r>
            <w:r>
              <w:rPr>
                <w:rFonts w:hint="eastAsia" w:ascii="CESI仿宋-GB2312" w:hAnsi="CESI仿宋-GB2312" w:eastAsia="CESI仿宋-GB2312" w:cs="CESI仿宋-GB2312"/>
                <w:szCs w:val="21"/>
              </w:rPr>
              <w:t>评标过程中，不得去掉报价中的最高报价和最低报价。</w:t>
            </w:r>
          </w:p>
          <w:p w14:paraId="27C66458">
            <w:pPr>
              <w:widowControl/>
              <w:spacing w:line="300" w:lineRule="exact"/>
              <w:ind w:left="420"/>
              <w:jc w:val="left"/>
              <w:rPr>
                <w:rFonts w:ascii="CESI仿宋-GB2312" w:hAnsi="CESI仿宋-GB2312" w:eastAsia="CESI仿宋-GB2312" w:cs="CESI仿宋-GB2312"/>
                <w:kern w:val="0"/>
                <w:szCs w:val="21"/>
              </w:rPr>
            </w:pPr>
            <w:r>
              <w:rPr>
                <w:rFonts w:hint="eastAsia" w:ascii="CESI仿宋-GB2312" w:hAnsi="CESI仿宋-GB2312" w:eastAsia="CESI仿宋-GB2312" w:cs="CESI仿宋-GB2312"/>
                <w:szCs w:val="21"/>
              </w:rPr>
              <w:t>因落实政府采购政策进行价格调整的，以调整后的价格计算评标基准价和投标报价。</w:t>
            </w:r>
          </w:p>
        </w:tc>
      </w:tr>
      <w:tr w14:paraId="4FE803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835" w:type="dxa"/>
            <w:gridSpan w:val="2"/>
            <w:shd w:val="clear" w:color="auto" w:fill="auto"/>
            <w:vAlign w:val="center"/>
          </w:tcPr>
          <w:p w14:paraId="286DFF85">
            <w:pPr>
              <w:spacing w:line="520" w:lineRule="exact"/>
              <w:rPr>
                <w:b/>
                <w:bCs/>
                <w:sz w:val="24"/>
              </w:rPr>
            </w:pPr>
            <w:r>
              <w:rPr>
                <w:rFonts w:hint="eastAsia"/>
                <w:b/>
                <w:bCs/>
                <w:sz w:val="24"/>
              </w:rPr>
              <w:t>评标方法：综合评分法。</w:t>
            </w:r>
          </w:p>
          <w:tbl>
            <w:tblPr>
              <w:tblStyle w:val="15"/>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817"/>
              <w:gridCol w:w="1635"/>
              <w:gridCol w:w="687"/>
              <w:gridCol w:w="5513"/>
            </w:tblGrid>
            <w:tr w14:paraId="0613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tcBorders>
                    <w:top w:val="single" w:color="auto" w:sz="4" w:space="0"/>
                    <w:left w:val="single" w:color="auto" w:sz="4" w:space="0"/>
                    <w:bottom w:val="single" w:color="auto" w:sz="4" w:space="0"/>
                    <w:right w:val="single" w:color="auto" w:sz="4" w:space="0"/>
                  </w:tcBorders>
                  <w:vAlign w:val="center"/>
                </w:tcPr>
                <w:p w14:paraId="39925598">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序号</w:t>
                  </w:r>
                </w:p>
              </w:tc>
              <w:tc>
                <w:tcPr>
                  <w:tcW w:w="1655" w:type="pct"/>
                  <w:gridSpan w:val="3"/>
                  <w:tcBorders>
                    <w:top w:val="single" w:color="auto" w:sz="4" w:space="0"/>
                    <w:left w:val="single" w:color="auto" w:sz="4" w:space="0"/>
                    <w:bottom w:val="single" w:color="auto" w:sz="4" w:space="0"/>
                    <w:right w:val="single" w:color="auto" w:sz="4" w:space="0"/>
                  </w:tcBorders>
                  <w:vAlign w:val="center"/>
                </w:tcPr>
                <w:p w14:paraId="4F203CE7">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评分项</w:t>
                  </w:r>
                </w:p>
              </w:tc>
              <w:tc>
                <w:tcPr>
                  <w:tcW w:w="2906" w:type="pct"/>
                  <w:tcBorders>
                    <w:top w:val="single" w:color="auto" w:sz="4" w:space="0"/>
                    <w:left w:val="single" w:color="auto" w:sz="4" w:space="0"/>
                    <w:bottom w:val="single" w:color="auto" w:sz="4" w:space="0"/>
                    <w:right w:val="single" w:color="auto" w:sz="4" w:space="0"/>
                  </w:tcBorders>
                  <w:vAlign w:val="center"/>
                </w:tcPr>
                <w:p w14:paraId="0F6336F8">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权重</w:t>
                  </w:r>
                </w:p>
              </w:tc>
            </w:tr>
            <w:tr w14:paraId="5A65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restart"/>
                  <w:tcBorders>
                    <w:top w:val="single" w:color="auto" w:sz="4" w:space="0"/>
                    <w:left w:val="single" w:color="auto" w:sz="4" w:space="0"/>
                    <w:right w:val="single" w:color="auto" w:sz="4" w:space="0"/>
                  </w:tcBorders>
                  <w:vAlign w:val="center"/>
                </w:tcPr>
                <w:p w14:paraId="26AB60BE">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1655" w:type="pct"/>
                  <w:gridSpan w:val="3"/>
                  <w:vMerge w:val="restart"/>
                  <w:tcBorders>
                    <w:top w:val="single" w:color="auto" w:sz="4" w:space="0"/>
                    <w:left w:val="single" w:color="auto" w:sz="4" w:space="0"/>
                    <w:right w:val="single" w:color="auto" w:sz="4" w:space="0"/>
                  </w:tcBorders>
                  <w:vAlign w:val="center"/>
                </w:tcPr>
                <w:p w14:paraId="07957C3E">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价格</w:t>
                  </w:r>
                </w:p>
              </w:tc>
              <w:tc>
                <w:tcPr>
                  <w:tcW w:w="2906" w:type="pct"/>
                  <w:tcBorders>
                    <w:top w:val="single" w:color="auto" w:sz="4" w:space="0"/>
                    <w:left w:val="single" w:color="auto" w:sz="4" w:space="0"/>
                    <w:bottom w:val="single" w:color="auto" w:sz="4" w:space="0"/>
                    <w:right w:val="single" w:color="auto" w:sz="4" w:space="0"/>
                  </w:tcBorders>
                  <w:vAlign w:val="center"/>
                </w:tcPr>
                <w:p w14:paraId="42BD0223">
                  <w:pPr>
                    <w:jc w:val="center"/>
                    <w:rPr>
                      <w:rFonts w:ascii="CESI仿宋-GB2312" w:hAnsi="CESI仿宋-GB2312" w:eastAsia="CESI仿宋-GB2312" w:cs="CESI仿宋-GB2312"/>
                      <w:szCs w:val="21"/>
                    </w:rPr>
                  </w:pPr>
                  <w:r>
                    <w:rPr>
                      <w:rFonts w:hint="eastAsia" w:ascii="CESI仿宋-GB2312" w:hAnsi="CESI仿宋-GB2312" w:eastAsia="CESI仿宋-GB2312" w:cs="CESI仿宋-GB2312"/>
                      <w:b/>
                      <w:bCs/>
                      <w:szCs w:val="21"/>
                    </w:rPr>
                    <w:t>30</w:t>
                  </w:r>
                </w:p>
              </w:tc>
            </w:tr>
            <w:tr w14:paraId="4CB0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bottom w:val="single" w:color="auto" w:sz="4" w:space="0"/>
                    <w:right w:val="single" w:color="auto" w:sz="4" w:space="0"/>
                  </w:tcBorders>
                  <w:vAlign w:val="center"/>
                </w:tcPr>
                <w:p w14:paraId="5B0189C4">
                  <w:pPr>
                    <w:jc w:val="center"/>
                    <w:rPr>
                      <w:rFonts w:ascii="CESI仿宋-GB2312" w:hAnsi="CESI仿宋-GB2312" w:eastAsia="CESI仿宋-GB2312" w:cs="CESI仿宋-GB2312"/>
                      <w:szCs w:val="21"/>
                    </w:rPr>
                  </w:pPr>
                </w:p>
              </w:tc>
              <w:tc>
                <w:tcPr>
                  <w:tcW w:w="1655" w:type="pct"/>
                  <w:gridSpan w:val="3"/>
                  <w:vMerge w:val="continue"/>
                  <w:tcBorders>
                    <w:left w:val="single" w:color="auto" w:sz="4" w:space="0"/>
                    <w:bottom w:val="single" w:color="auto" w:sz="4" w:space="0"/>
                    <w:right w:val="single" w:color="auto" w:sz="4" w:space="0"/>
                  </w:tcBorders>
                  <w:vAlign w:val="center"/>
                </w:tcPr>
                <w:p w14:paraId="26BA92C7">
                  <w:pPr>
                    <w:jc w:val="center"/>
                    <w:rPr>
                      <w:rFonts w:ascii="CESI仿宋-GB2312" w:hAnsi="CESI仿宋-GB2312" w:eastAsia="CESI仿宋-GB2312" w:cs="CESI仿宋-GB2312"/>
                      <w:szCs w:val="21"/>
                    </w:rPr>
                  </w:pPr>
                </w:p>
              </w:tc>
              <w:tc>
                <w:tcPr>
                  <w:tcW w:w="2906" w:type="pct"/>
                  <w:tcBorders>
                    <w:top w:val="single" w:color="auto" w:sz="4" w:space="0"/>
                    <w:left w:val="single" w:color="auto" w:sz="4" w:space="0"/>
                    <w:bottom w:val="single" w:color="auto" w:sz="4" w:space="0"/>
                    <w:right w:val="single" w:color="auto" w:sz="4" w:space="0"/>
                  </w:tcBorders>
                  <w:vAlign w:val="center"/>
                </w:tcPr>
                <w:p w14:paraId="1484CAF4">
                  <w:pPr>
                    <w:jc w:val="left"/>
                    <w:rPr>
                      <w:rFonts w:ascii="CESI仿宋-GB2312" w:hAnsi="CESI仿宋-GB2312" w:eastAsia="CESI仿宋-GB2312" w:cs="CESI仿宋-GB2312"/>
                      <w:szCs w:val="21"/>
                    </w:rPr>
                  </w:pPr>
                  <w:r>
                    <w:rPr>
                      <w:rFonts w:hint="eastAsia" w:ascii="CESI仿宋-GB2312" w:hAnsi="CESI仿宋-GB2312" w:eastAsia="CESI仿宋-GB2312" w:cs="CESI仿宋-GB2312"/>
                      <w:szCs w:val="21"/>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c>
            </w:tr>
            <w:tr w14:paraId="760B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tcBorders>
                    <w:top w:val="single" w:color="auto" w:sz="4" w:space="0"/>
                    <w:left w:val="single" w:color="auto" w:sz="4" w:space="0"/>
                    <w:bottom w:val="single" w:color="auto" w:sz="4" w:space="0"/>
                    <w:right w:val="single" w:color="auto" w:sz="4" w:space="0"/>
                  </w:tcBorders>
                  <w:vAlign w:val="center"/>
                </w:tcPr>
                <w:p w14:paraId="352CCFCB">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1655" w:type="pct"/>
                  <w:gridSpan w:val="3"/>
                  <w:tcBorders>
                    <w:top w:val="single" w:color="auto" w:sz="4" w:space="0"/>
                    <w:left w:val="single" w:color="auto" w:sz="4" w:space="0"/>
                    <w:bottom w:val="single" w:color="auto" w:sz="4" w:space="0"/>
                    <w:right w:val="single" w:color="auto" w:sz="4" w:space="0"/>
                  </w:tcBorders>
                  <w:vAlign w:val="center"/>
                </w:tcPr>
                <w:p w14:paraId="558BDF5F">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技术</w:t>
                  </w:r>
                </w:p>
              </w:tc>
              <w:tc>
                <w:tcPr>
                  <w:tcW w:w="2906" w:type="pct"/>
                  <w:tcBorders>
                    <w:top w:val="single" w:color="auto" w:sz="4" w:space="0"/>
                    <w:left w:val="single" w:color="auto" w:sz="4" w:space="0"/>
                    <w:bottom w:val="single" w:color="auto" w:sz="4" w:space="0"/>
                    <w:right w:val="single" w:color="auto" w:sz="4" w:space="0"/>
                  </w:tcBorders>
                  <w:vAlign w:val="center"/>
                </w:tcPr>
                <w:p w14:paraId="4814AA8E">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47</w:t>
                  </w:r>
                </w:p>
              </w:tc>
            </w:tr>
            <w:tr w14:paraId="3BBA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restart"/>
                  <w:tcBorders>
                    <w:top w:val="single" w:color="auto" w:sz="4" w:space="0"/>
                    <w:left w:val="single" w:color="auto" w:sz="4" w:space="0"/>
                    <w:right w:val="single" w:color="auto" w:sz="4" w:space="0"/>
                  </w:tcBorders>
                  <w:vAlign w:val="center"/>
                </w:tcPr>
                <w:p w14:paraId="140BF894">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5E154BCF">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行号</w:t>
                  </w:r>
                </w:p>
              </w:tc>
              <w:tc>
                <w:tcPr>
                  <w:tcW w:w="862" w:type="pct"/>
                  <w:tcBorders>
                    <w:top w:val="single" w:color="auto" w:sz="4" w:space="0"/>
                    <w:left w:val="single" w:color="auto" w:sz="4" w:space="0"/>
                    <w:bottom w:val="single" w:color="auto" w:sz="4" w:space="0"/>
                    <w:right w:val="single" w:color="auto" w:sz="4" w:space="0"/>
                  </w:tcBorders>
                  <w:vAlign w:val="center"/>
                </w:tcPr>
                <w:p w14:paraId="115FA8D0">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内容</w:t>
                  </w:r>
                </w:p>
              </w:tc>
              <w:tc>
                <w:tcPr>
                  <w:tcW w:w="361" w:type="pct"/>
                  <w:tcBorders>
                    <w:top w:val="single" w:color="auto" w:sz="4" w:space="0"/>
                    <w:left w:val="single" w:color="auto" w:sz="4" w:space="0"/>
                    <w:bottom w:val="single" w:color="auto" w:sz="4" w:space="0"/>
                    <w:right w:val="single" w:color="auto" w:sz="4" w:space="0"/>
                  </w:tcBorders>
                  <w:vAlign w:val="center"/>
                </w:tcPr>
                <w:p w14:paraId="66FDF9B4">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权重</w:t>
                  </w:r>
                </w:p>
              </w:tc>
              <w:tc>
                <w:tcPr>
                  <w:tcW w:w="2906" w:type="pct"/>
                  <w:tcBorders>
                    <w:top w:val="single" w:color="auto" w:sz="4" w:space="0"/>
                    <w:left w:val="single" w:color="auto" w:sz="4" w:space="0"/>
                    <w:bottom w:val="single" w:color="auto" w:sz="4" w:space="0"/>
                    <w:right w:val="single" w:color="auto" w:sz="4" w:space="0"/>
                  </w:tcBorders>
                  <w:vAlign w:val="center"/>
                </w:tcPr>
                <w:p w14:paraId="514A24B4">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评分准则</w:t>
                  </w:r>
                </w:p>
              </w:tc>
            </w:tr>
            <w:tr w14:paraId="76C7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34DF7A25">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461699E9">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862" w:type="pct"/>
                  <w:tcBorders>
                    <w:top w:val="single" w:color="auto" w:sz="4" w:space="0"/>
                    <w:left w:val="single" w:color="auto" w:sz="4" w:space="0"/>
                    <w:bottom w:val="single" w:color="auto" w:sz="4" w:space="0"/>
                    <w:right w:val="single" w:color="auto" w:sz="4" w:space="0"/>
                  </w:tcBorders>
                  <w:vAlign w:val="center"/>
                </w:tcPr>
                <w:p w14:paraId="276FA03F">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技术参数响应情况</w:t>
                  </w:r>
                </w:p>
              </w:tc>
              <w:tc>
                <w:tcPr>
                  <w:tcW w:w="361" w:type="pct"/>
                  <w:tcBorders>
                    <w:top w:val="single" w:color="auto" w:sz="4" w:space="0"/>
                    <w:left w:val="single" w:color="auto" w:sz="4" w:space="0"/>
                    <w:bottom w:val="single" w:color="auto" w:sz="4" w:space="0"/>
                    <w:right w:val="single" w:color="auto" w:sz="4" w:space="0"/>
                  </w:tcBorders>
                  <w:vAlign w:val="center"/>
                </w:tcPr>
                <w:p w14:paraId="0AF408C1">
                  <w:pPr>
                    <w:jc w:val="center"/>
                    <w:rPr>
                      <w:rFonts w:ascii="CESI仿宋-GB2312" w:hAnsi="CESI仿宋-GB2312" w:eastAsia="CESI仿宋-GB2312" w:cs="CESI仿宋-GB2312"/>
                      <w:szCs w:val="21"/>
                    </w:rPr>
                  </w:pPr>
                  <w:r>
                    <w:rPr>
                      <w:rFonts w:hint="eastAsia" w:ascii="CESI仿宋-GB2312" w:hAnsi="CESI仿宋-GB2312" w:eastAsia="CESI仿宋-GB2312" w:cs="CESI仿宋-GB2312"/>
                      <w:color w:val="000000"/>
                      <w:szCs w:val="21"/>
                    </w:rPr>
                    <w:t>6</w:t>
                  </w:r>
                </w:p>
              </w:tc>
              <w:tc>
                <w:tcPr>
                  <w:tcW w:w="2906" w:type="pct"/>
                  <w:tcBorders>
                    <w:top w:val="single" w:color="auto" w:sz="4" w:space="0"/>
                    <w:left w:val="single" w:color="auto" w:sz="4" w:space="0"/>
                    <w:bottom w:val="single" w:color="auto" w:sz="4" w:space="0"/>
                    <w:right w:val="single" w:color="auto" w:sz="4" w:space="0"/>
                  </w:tcBorders>
                </w:tcPr>
                <w:p w14:paraId="50D8C5AB">
                  <w:pPr>
                    <w:pStyle w:val="5"/>
                    <w:spacing w:line="360" w:lineRule="exact"/>
                    <w:rPr>
                      <w:rFonts w:hint="eastAsia" w:ascii="CESI仿宋-GB2312" w:hAnsi="CESI仿宋-GB2312" w:eastAsia="CESI仿宋-GB2312" w:cs="CESI仿宋-GB2312"/>
                    </w:rPr>
                  </w:pPr>
                  <w:r>
                    <w:rPr>
                      <w:rFonts w:hint="eastAsia" w:ascii="CESI仿宋-GB2312" w:hAnsi="CESI仿宋-GB2312" w:eastAsia="CESI仿宋-GB2312" w:cs="CESI仿宋-GB2312"/>
                    </w:rPr>
                    <w:t>投标人应按照技术参数要求如实填写《技术规格偏离表》，评审委员会根据技术参数响应情况及证明材料进行打分，全部满足的得6分，“▲”重要技术参数每负偏离一项扣1分，扣完为止。</w:t>
                  </w:r>
                </w:p>
                <w:p w14:paraId="5848081A">
                  <w:pPr>
                    <w:pStyle w:val="5"/>
                    <w:spacing w:line="360" w:lineRule="exact"/>
                    <w:rPr>
                      <w:rFonts w:ascii="CESI仿宋-GB2312" w:hAnsi="CESI仿宋-GB2312" w:eastAsia="CESI仿宋-GB2312" w:cs="CESI仿宋-GB2312"/>
                    </w:rPr>
                  </w:pPr>
                  <w:r>
                    <w:rPr>
                      <w:rFonts w:hint="eastAsia" w:ascii="CESI仿宋-GB2312" w:hAnsi="CESI仿宋-GB2312" w:eastAsia="CESI仿宋-GB2312" w:cs="CESI仿宋-GB2312"/>
                    </w:rPr>
                    <w:t>注：投标人未按技术参数要求提供相关证明材料或者提供的证明材料不符合要求的或提供的证明材料不清晰评审专家无法辨认的，该项参数按照负偏离处理，扣除相应分值，原件备查。）</w:t>
                  </w:r>
                </w:p>
              </w:tc>
            </w:tr>
            <w:tr w14:paraId="73EB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31F0E7A7">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05341E69">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862" w:type="pct"/>
                  <w:tcBorders>
                    <w:top w:val="single" w:color="auto" w:sz="4" w:space="0"/>
                    <w:left w:val="single" w:color="auto" w:sz="4" w:space="0"/>
                    <w:bottom w:val="single" w:color="auto" w:sz="4" w:space="0"/>
                    <w:right w:val="single" w:color="auto" w:sz="4" w:space="0"/>
                  </w:tcBorders>
                  <w:vAlign w:val="center"/>
                </w:tcPr>
                <w:p w14:paraId="69B57C34">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项目供货方案</w:t>
                  </w:r>
                </w:p>
              </w:tc>
              <w:tc>
                <w:tcPr>
                  <w:tcW w:w="361" w:type="pct"/>
                  <w:tcBorders>
                    <w:top w:val="single" w:color="auto" w:sz="4" w:space="0"/>
                    <w:left w:val="single" w:color="auto" w:sz="4" w:space="0"/>
                    <w:bottom w:val="single" w:color="auto" w:sz="4" w:space="0"/>
                    <w:right w:val="single" w:color="auto" w:sz="4" w:space="0"/>
                  </w:tcBorders>
                  <w:vAlign w:val="center"/>
                </w:tcPr>
                <w:p w14:paraId="1D9A43F0">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8</w:t>
                  </w:r>
                </w:p>
              </w:tc>
              <w:tc>
                <w:tcPr>
                  <w:tcW w:w="2906" w:type="pct"/>
                  <w:tcBorders>
                    <w:top w:val="single" w:color="auto" w:sz="4" w:space="0"/>
                    <w:left w:val="single" w:color="auto" w:sz="4" w:space="0"/>
                    <w:bottom w:val="single" w:color="auto" w:sz="4" w:space="0"/>
                    <w:right w:val="single" w:color="auto" w:sz="4" w:space="0"/>
                  </w:tcBorders>
                  <w:vAlign w:val="center"/>
                </w:tcPr>
                <w:p w14:paraId="7DD4B675">
                  <w:pPr>
                    <w:snapToGrid w:val="0"/>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5E592B2C">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根据投标人的项目供货方案进行评审，包括但不限于以下内容：</w:t>
                  </w:r>
                </w:p>
                <w:p w14:paraId="5F8E527A">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1.项目供货计划和保障措施；</w:t>
                  </w:r>
                </w:p>
                <w:p w14:paraId="5CA95129">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2.项目组织机构及管理体系；</w:t>
                  </w:r>
                </w:p>
                <w:p w14:paraId="15FE1819">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3.项目货物质量控制措施。</w:t>
                  </w:r>
                </w:p>
                <w:p w14:paraId="2369EF73">
                  <w:pPr>
                    <w:snapToGrid w:val="0"/>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0FF246D1">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1.投标文件满足评审内容情况，本项最高得3分。</w:t>
                  </w:r>
                </w:p>
                <w:p w14:paraId="22B9CD7B">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（1）考察点全部满足的得3分；</w:t>
                  </w:r>
                </w:p>
                <w:p w14:paraId="250326B1">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（2）满足任意二项考察点的得2分;</w:t>
                  </w:r>
                </w:p>
                <w:p w14:paraId="6CC8A3BC">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（3）满足任意一项考察点的得1分;</w:t>
                  </w:r>
                </w:p>
                <w:p w14:paraId="2D6FAF4C">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（4）考察点全部不满足的不得分。</w:t>
                  </w:r>
                </w:p>
                <w:p w14:paraId="315E51A1">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2.在此基础上，专家根据措施方案整体全面性、具体性、针对性、合理性、可操作性进行评分，本项最高加5分：</w:t>
                  </w:r>
                </w:p>
                <w:p w14:paraId="2073E621">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（1）优评分标准：措施方案符合实际、完整、规范、思路清晰，内容合理性强，加5分；</w:t>
                  </w:r>
                </w:p>
                <w:p w14:paraId="695E82C7">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（2）良评分标准：措施方案较符合实际、较完整规范、思路较清晰，内容合理性较强，加2分；</w:t>
                  </w:r>
                </w:p>
                <w:p w14:paraId="084423E6">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（3）中评分标准：措施方案较普通、完整性、规范性一般，思路不够清晰，内容合理性一般，加1分；</w:t>
                  </w:r>
                </w:p>
                <w:p w14:paraId="18378049">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（4）差评分标准：措施方案不完整、不规范，思路不清晰，内容合理性较差或未提供，不得分。</w:t>
                  </w:r>
                </w:p>
              </w:tc>
            </w:tr>
            <w:tr w14:paraId="5EE9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3C7C09AB">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354B82FE">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862" w:type="pct"/>
                  <w:tcBorders>
                    <w:top w:val="single" w:color="auto" w:sz="4" w:space="0"/>
                    <w:left w:val="single" w:color="auto" w:sz="4" w:space="0"/>
                    <w:bottom w:val="single" w:color="auto" w:sz="4" w:space="0"/>
                    <w:right w:val="single" w:color="auto" w:sz="4" w:space="0"/>
                  </w:tcBorders>
                  <w:vAlign w:val="center"/>
                </w:tcPr>
                <w:p w14:paraId="224B0555">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技术保障措施</w:t>
                  </w:r>
                </w:p>
              </w:tc>
              <w:tc>
                <w:tcPr>
                  <w:tcW w:w="361" w:type="pct"/>
                  <w:tcBorders>
                    <w:top w:val="single" w:color="auto" w:sz="4" w:space="0"/>
                    <w:left w:val="single" w:color="auto" w:sz="4" w:space="0"/>
                    <w:bottom w:val="single" w:color="auto" w:sz="4" w:space="0"/>
                    <w:right w:val="single" w:color="auto" w:sz="4" w:space="0"/>
                  </w:tcBorders>
                  <w:vAlign w:val="center"/>
                </w:tcPr>
                <w:p w14:paraId="371F181C">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8</w:t>
                  </w:r>
                </w:p>
              </w:tc>
              <w:tc>
                <w:tcPr>
                  <w:tcW w:w="2906" w:type="pct"/>
                  <w:tcBorders>
                    <w:top w:val="single" w:color="auto" w:sz="4" w:space="0"/>
                    <w:left w:val="single" w:color="auto" w:sz="4" w:space="0"/>
                    <w:bottom w:val="single" w:color="auto" w:sz="4" w:space="0"/>
                    <w:right w:val="single" w:color="auto" w:sz="4" w:space="0"/>
                  </w:tcBorders>
                </w:tcPr>
                <w:p w14:paraId="3E07BC5C">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5AAC6B47">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根据投标人的项目供货方案进行评审，包括但不限于以下内容：</w:t>
                  </w:r>
                </w:p>
                <w:p w14:paraId="32CA244C">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1.安装实施组织计划：</w:t>
                  </w:r>
                </w:p>
                <w:p w14:paraId="026105E6">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2.施工车辆合理化安排，并提供不少于2辆工程车相关证明文件。</w:t>
                  </w:r>
                </w:p>
                <w:p w14:paraId="54FC58D7">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3.安装实施技术工艺；</w:t>
                  </w:r>
                </w:p>
                <w:p w14:paraId="155D231C">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4.安装实施合理化建议。</w:t>
                  </w:r>
                </w:p>
                <w:p w14:paraId="11563E50">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56F6F77B">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1.投标文件满足评审内容情况，本项最高得4分。</w:t>
                  </w:r>
                </w:p>
                <w:p w14:paraId="71353282">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（1）考察点全部满足的得4分；</w:t>
                  </w:r>
                </w:p>
                <w:p w14:paraId="3CC7F557">
                  <w:pPr>
                    <w:pStyle w:val="5"/>
                    <w:ind w:firstLine="0" w:firstLineChars="0"/>
                    <w:rPr>
                      <w:rFonts w:ascii="CESI仿宋-GB2312" w:hAnsi="CESI仿宋-GB2312" w:eastAsia="CESI仿宋-GB2312" w:cs="CESI仿宋-GB2312"/>
                    </w:rPr>
                  </w:pPr>
                  <w:r>
                    <w:rPr>
                      <w:rFonts w:hint="eastAsia" w:ascii="CESI仿宋-GB2312" w:hAnsi="CESI仿宋-GB2312" w:eastAsia="CESI仿宋-GB2312" w:cs="CESI仿宋-GB2312"/>
                    </w:rPr>
                    <w:t>（2）满足任意三项考察点的得3分;</w:t>
                  </w:r>
                </w:p>
                <w:p w14:paraId="5E96C1FE">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（3）满足任意二项考察点的得2分;</w:t>
                  </w:r>
                </w:p>
                <w:p w14:paraId="4785AD1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（4）满足任意一项考察点的得1分;</w:t>
                  </w:r>
                </w:p>
                <w:p w14:paraId="36802441">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（5）考察点全部不满足的不得分。</w:t>
                  </w:r>
                </w:p>
                <w:p w14:paraId="7F378A00">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2.在此基础上，专家根据措施方案整体全面性、具体性、针对性、合理性、可操作性进行评分，本项最高加4分：</w:t>
                  </w:r>
                </w:p>
                <w:p w14:paraId="7D57F6EE">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（1）优评分标准：措施方案符合实际、完整、规范、思路清晰，内容合理性强，加4分；</w:t>
                  </w:r>
                </w:p>
                <w:p w14:paraId="54F7DB89">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（2）良评分标准：措施方案较符合实际、较完整规范、思路较清晰，内容合理性较强，加2分；</w:t>
                  </w:r>
                </w:p>
                <w:p w14:paraId="26F54433">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（3）中评分标准：措施方案较普通、完整性、规范性-般，思路不够清晰，内容合理性般，加1分；</w:t>
                  </w:r>
                </w:p>
                <w:p w14:paraId="0C7CFCCA">
                  <w:pPr>
                    <w:snapToGrid w:val="0"/>
                    <w:rPr>
                      <w:rFonts w:ascii="CESI仿宋-GB2312" w:hAnsi="CESI仿宋-GB2312" w:eastAsia="CESI仿宋-GB2312" w:cs="CESI仿宋-GB2312"/>
                      <w:szCs w:val="21"/>
                    </w:rPr>
                  </w:pPr>
                  <w:r>
                    <w:rPr>
                      <w:rFonts w:hint="eastAsia" w:ascii="CESI仿宋-GB2312" w:hAnsi="CESI仿宋-GB2312" w:eastAsia="CESI仿宋-GB2312" w:cs="CESI仿宋-GB2312"/>
                      <w:szCs w:val="21"/>
                    </w:rPr>
                    <w:t>（4）差评分标准：措施方案不完整、不规范，思路不清晰，内容合理性较差或未提供，不得分。</w:t>
                  </w:r>
                </w:p>
              </w:tc>
            </w:tr>
            <w:tr w14:paraId="176B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760212A4">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21702817">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4</w:t>
                  </w:r>
                </w:p>
              </w:tc>
              <w:tc>
                <w:tcPr>
                  <w:tcW w:w="862" w:type="pct"/>
                  <w:tcBorders>
                    <w:top w:val="single" w:color="auto" w:sz="4" w:space="0"/>
                    <w:left w:val="single" w:color="auto" w:sz="4" w:space="0"/>
                    <w:bottom w:val="single" w:color="auto" w:sz="4" w:space="0"/>
                    <w:right w:val="single" w:color="auto" w:sz="4" w:space="0"/>
                  </w:tcBorders>
                  <w:vAlign w:val="center"/>
                </w:tcPr>
                <w:p w14:paraId="2B5CDFDE">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施工安全保障措施</w:t>
                  </w:r>
                </w:p>
              </w:tc>
              <w:tc>
                <w:tcPr>
                  <w:tcW w:w="361" w:type="pct"/>
                  <w:tcBorders>
                    <w:top w:val="single" w:color="auto" w:sz="4" w:space="0"/>
                    <w:left w:val="single" w:color="auto" w:sz="4" w:space="0"/>
                    <w:bottom w:val="single" w:color="auto" w:sz="4" w:space="0"/>
                    <w:right w:val="single" w:color="auto" w:sz="4" w:space="0"/>
                  </w:tcBorders>
                  <w:vAlign w:val="center"/>
                </w:tcPr>
                <w:p w14:paraId="06601583">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8</w:t>
                  </w:r>
                </w:p>
              </w:tc>
              <w:tc>
                <w:tcPr>
                  <w:tcW w:w="2906" w:type="pct"/>
                  <w:tcBorders>
                    <w:top w:val="single" w:color="auto" w:sz="4" w:space="0"/>
                    <w:left w:val="single" w:color="auto" w:sz="4" w:space="0"/>
                    <w:bottom w:val="single" w:color="auto" w:sz="4" w:space="0"/>
                    <w:right w:val="single" w:color="auto" w:sz="4" w:space="0"/>
                  </w:tcBorders>
                </w:tcPr>
                <w:p w14:paraId="4FE54ADD">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5AB1CD79">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根据投标人的施工安全保障措施进行评审，包括但不限于以下内容：</w:t>
                  </w:r>
                </w:p>
                <w:p w14:paraId="40D02310">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1.安装人员安全保障措施；</w:t>
                  </w:r>
                </w:p>
                <w:p w14:paraId="0AE7EDA3">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2.安全紧急预案；</w:t>
                  </w:r>
                </w:p>
                <w:p w14:paraId="01C5CCB9">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3.现场安全管理制度。</w:t>
                  </w:r>
                </w:p>
                <w:p w14:paraId="0D0D454D">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6E24093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1.投标文件满足评审内容情况，本项最高得3分。</w:t>
                  </w:r>
                </w:p>
                <w:p w14:paraId="0851D696">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（1）考察点全部满足的得3分；</w:t>
                  </w:r>
                </w:p>
                <w:p w14:paraId="2F41F111">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（2）满足任意二项考察点的得2分;</w:t>
                  </w:r>
                </w:p>
                <w:p w14:paraId="2E7DBECA">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（3）满足任意一项考察点的得1分;</w:t>
                  </w:r>
                </w:p>
                <w:p w14:paraId="6F3FB2CE">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（4）考察点全部不满足的不得分。</w:t>
                  </w:r>
                </w:p>
                <w:p w14:paraId="6849E928">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2.在此基础上，专家根据技术保障措施整体全面性、具体性、针对性、合理性、可操作性进行评分，本项最高加5分：</w:t>
                  </w:r>
                </w:p>
                <w:p w14:paraId="4C2E8580">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（1）优评分标准：安全措施符合实际、完整、规范、思路清晰，内容合理性强，加5分；</w:t>
                  </w:r>
                </w:p>
                <w:p w14:paraId="049F9167">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（2）良评分标准：安全措施较符合实际、较完整规范、思路较清晰，内容合理性较强，加2分；</w:t>
                  </w:r>
                </w:p>
                <w:p w14:paraId="75982EBA">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（3）中评分标准：安全措施较普通、完整性、规范性一般，思路不够清晰，内容合理性一般，加1分；</w:t>
                  </w:r>
                </w:p>
                <w:p w14:paraId="3B006B1D">
                  <w:pPr>
                    <w:rPr>
                      <w:rFonts w:ascii="CESI仿宋-GB2312" w:hAnsi="CESI仿宋-GB2312" w:eastAsia="CESI仿宋-GB2312" w:cs="CESI仿宋-GB2312"/>
                      <w:szCs w:val="21"/>
                      <w:highlight w:val="green"/>
                    </w:rPr>
                  </w:pPr>
                  <w:r>
                    <w:rPr>
                      <w:rFonts w:hint="eastAsia" w:ascii="CESI仿宋-GB2312" w:hAnsi="CESI仿宋-GB2312" w:eastAsia="CESI仿宋-GB2312" w:cs="CESI仿宋-GB2312"/>
                      <w:szCs w:val="21"/>
                    </w:rPr>
                    <w:t>（4）差评分标准：安全措施不完整、不规范，思路不清晰，内容合理性较差或未提供，不得分。</w:t>
                  </w:r>
                </w:p>
              </w:tc>
            </w:tr>
            <w:tr w14:paraId="02D15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332CFB2D">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16E6DF32">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5</w:t>
                  </w:r>
                </w:p>
              </w:tc>
              <w:tc>
                <w:tcPr>
                  <w:tcW w:w="862" w:type="pct"/>
                  <w:tcBorders>
                    <w:top w:val="single" w:color="auto" w:sz="4" w:space="0"/>
                    <w:left w:val="single" w:color="auto" w:sz="4" w:space="0"/>
                    <w:bottom w:val="single" w:color="auto" w:sz="4" w:space="0"/>
                    <w:right w:val="single" w:color="auto" w:sz="4" w:space="0"/>
                  </w:tcBorders>
                  <w:vAlign w:val="center"/>
                </w:tcPr>
                <w:p w14:paraId="007899D7">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售后服务方案</w:t>
                  </w:r>
                </w:p>
              </w:tc>
              <w:tc>
                <w:tcPr>
                  <w:tcW w:w="361" w:type="pct"/>
                  <w:tcBorders>
                    <w:top w:val="single" w:color="auto" w:sz="4" w:space="0"/>
                    <w:left w:val="single" w:color="auto" w:sz="4" w:space="0"/>
                    <w:bottom w:val="single" w:color="auto" w:sz="4" w:space="0"/>
                    <w:right w:val="single" w:color="auto" w:sz="4" w:space="0"/>
                  </w:tcBorders>
                  <w:vAlign w:val="center"/>
                </w:tcPr>
                <w:p w14:paraId="0BBE0BCB">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6</w:t>
                  </w:r>
                </w:p>
              </w:tc>
              <w:tc>
                <w:tcPr>
                  <w:tcW w:w="2906" w:type="pct"/>
                  <w:tcBorders>
                    <w:top w:val="single" w:color="auto" w:sz="4" w:space="0"/>
                    <w:left w:val="single" w:color="auto" w:sz="4" w:space="0"/>
                    <w:bottom w:val="single" w:color="auto" w:sz="4" w:space="0"/>
                    <w:right w:val="single" w:color="auto" w:sz="4" w:space="0"/>
                  </w:tcBorders>
                </w:tcPr>
                <w:p w14:paraId="04E7D80D">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5A1D8F4B">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根据投标人的售后服务方案进行评审，包括但不限于以下内容：</w:t>
                  </w:r>
                </w:p>
                <w:p w14:paraId="4D8B8FCA">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1.售后服务响应时间快慢；</w:t>
                  </w:r>
                </w:p>
                <w:p w14:paraId="7296866B">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2.应急维修预案；</w:t>
                  </w:r>
                </w:p>
                <w:p w14:paraId="42257AEF">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192F8F5D">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1.投标文件满足评审内容情况，本项最高得2分。</w:t>
                  </w:r>
                </w:p>
                <w:p w14:paraId="42D5B572">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（1）考察点全部满足的得2分；</w:t>
                  </w:r>
                </w:p>
                <w:p w14:paraId="03696601">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（2）满足任意一项考察点的得1分;</w:t>
                  </w:r>
                </w:p>
                <w:p w14:paraId="2821C7C3">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（3）考察点全部不满足的不得分。</w:t>
                  </w:r>
                </w:p>
                <w:p w14:paraId="2AEA2768">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2.在此基础上，专家根据技术保障措施整体全面性、具体性、针对性、合理性、可操作性进行评分，本项最高加4分：</w:t>
                  </w:r>
                </w:p>
                <w:p w14:paraId="54DAF43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（1）优评分标准：售后方案符合实际、完整、规范、思路清晰，内容合理性强，加4分；</w:t>
                  </w:r>
                </w:p>
                <w:p w14:paraId="62B316F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（2）良评分标准：售后方案较符合实际、较完整规范、思路较清晰，内容合理性较强，加2分；</w:t>
                  </w:r>
                </w:p>
                <w:p w14:paraId="5A3E1EC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（3）中评分标准：售后方案较普通、完整性、规范性一般，思路不够清晰，内容合理性一般，加1分；</w:t>
                  </w:r>
                </w:p>
                <w:p w14:paraId="25665065">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（4）差评分标准：售后方案不完整、不规范，思路不清晰，内容合理性较差或未提供，不得分。</w:t>
                  </w:r>
                </w:p>
              </w:tc>
            </w:tr>
            <w:tr w14:paraId="462E3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1281B923">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402A17DD">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6</w:t>
                  </w:r>
                </w:p>
              </w:tc>
              <w:tc>
                <w:tcPr>
                  <w:tcW w:w="862" w:type="pct"/>
                  <w:tcBorders>
                    <w:top w:val="single" w:color="auto" w:sz="4" w:space="0"/>
                    <w:left w:val="single" w:color="auto" w:sz="4" w:space="0"/>
                    <w:bottom w:val="single" w:color="auto" w:sz="4" w:space="0"/>
                    <w:right w:val="single" w:color="auto" w:sz="4" w:space="0"/>
                  </w:tcBorders>
                  <w:vAlign w:val="center"/>
                </w:tcPr>
                <w:p w14:paraId="1A629D9F">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拟安排的项目负责人（仅限1人）情况</w:t>
                  </w:r>
                </w:p>
              </w:tc>
              <w:tc>
                <w:tcPr>
                  <w:tcW w:w="361" w:type="pct"/>
                  <w:tcBorders>
                    <w:top w:val="single" w:color="auto" w:sz="4" w:space="0"/>
                    <w:left w:val="single" w:color="auto" w:sz="4" w:space="0"/>
                    <w:bottom w:val="single" w:color="auto" w:sz="4" w:space="0"/>
                    <w:right w:val="single" w:color="auto" w:sz="4" w:space="0"/>
                  </w:tcBorders>
                  <w:vAlign w:val="center"/>
                </w:tcPr>
                <w:p w14:paraId="4022F2AB">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7</w:t>
                  </w:r>
                </w:p>
              </w:tc>
              <w:tc>
                <w:tcPr>
                  <w:tcW w:w="2906" w:type="pct"/>
                  <w:tcBorders>
                    <w:top w:val="single" w:color="auto" w:sz="4" w:space="0"/>
                    <w:left w:val="single" w:color="auto" w:sz="4" w:space="0"/>
                    <w:bottom w:val="single" w:color="auto" w:sz="4" w:space="0"/>
                    <w:right w:val="single" w:color="auto" w:sz="4" w:space="0"/>
                  </w:tcBorders>
                </w:tcPr>
                <w:p w14:paraId="7814EEF5">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6C750064">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拟安排本项目的项目负责人（仅限1人）须为投标人自有员工（以社保为准）：</w:t>
                  </w:r>
                </w:p>
                <w:p w14:paraId="352D8C96">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1.具有本科或以上学历的，得3分；</w:t>
                  </w:r>
                </w:p>
                <w:p w14:paraId="1E0D1D88">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2.具有交通运输专业能力评价合格证书【专业为公路施工现场管理人员(施工员)】的，得4分。</w:t>
                  </w:r>
                </w:p>
                <w:p w14:paraId="2DAF622F">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430F2BA4">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1.提供近一个月投标人为其购买的社保证明材料扫描件，如开标日上一个月的社保材料因社保部门原因暂时无法取得，则可以往前顺延一个月，如投标人注册成立时间不足一个月的，可提供承诺函（格式自拟）；</w:t>
                  </w:r>
                </w:p>
                <w:p w14:paraId="40C8199C">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涉及学历的，提供学历证书扫描件和学信网查询记录（如学信网无法查询的，还需提供毕业院校、人社部门等颁发机构或监管机构等单位出具的证明）。留学归国人员如无法提供学信网查询记录截图，提供国（境）外学历证书扫描件（以及中文翻译件）和教育部留学服务中心出具的国外学历学位认证书扫描件【或教育部留学服务中心网站（http://zwfw.cscse.edu.cn/）在线查询截图】也予以认可；</w:t>
                  </w:r>
                </w:p>
                <w:p w14:paraId="507CA8C6">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3.涉及证书的，提供相关证书扫描件；</w:t>
                  </w:r>
                </w:p>
                <w:p w14:paraId="0316474B">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4.未提供证明材料或者提供的证明材料不符合要求或提供的证明材料不清晰导致评审专家无法辨认的，不得分。</w:t>
                  </w:r>
                </w:p>
              </w:tc>
            </w:tr>
            <w:tr w14:paraId="54E4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00DEEFBC">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公路施工现场管理人员(施工员)】的，得4分。</w:t>
                  </w:r>
                </w:p>
                <w:p w14:paraId="363E0B7E">
                  <w:pPr>
                    <w:widowControl/>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172B6EC4">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7</w:t>
                  </w:r>
                </w:p>
              </w:tc>
              <w:tc>
                <w:tcPr>
                  <w:tcW w:w="862" w:type="pct"/>
                  <w:tcBorders>
                    <w:top w:val="single" w:color="auto" w:sz="4" w:space="0"/>
                    <w:left w:val="single" w:color="auto" w:sz="4" w:space="0"/>
                    <w:bottom w:val="single" w:color="auto" w:sz="4" w:space="0"/>
                    <w:right w:val="single" w:color="auto" w:sz="4" w:space="0"/>
                  </w:tcBorders>
                  <w:vAlign w:val="center"/>
                </w:tcPr>
                <w:p w14:paraId="46330A9F">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拟安排的项目团队成员（项目负责人除外）情况</w:t>
                  </w:r>
                </w:p>
              </w:tc>
              <w:tc>
                <w:tcPr>
                  <w:tcW w:w="361" w:type="pct"/>
                  <w:tcBorders>
                    <w:top w:val="single" w:color="auto" w:sz="4" w:space="0"/>
                    <w:left w:val="single" w:color="auto" w:sz="4" w:space="0"/>
                    <w:bottom w:val="single" w:color="auto" w:sz="4" w:space="0"/>
                    <w:right w:val="single" w:color="auto" w:sz="4" w:space="0"/>
                  </w:tcBorders>
                  <w:vAlign w:val="center"/>
                </w:tcPr>
                <w:p w14:paraId="7C95848E">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4</w:t>
                  </w:r>
                </w:p>
              </w:tc>
              <w:tc>
                <w:tcPr>
                  <w:tcW w:w="2906" w:type="pct"/>
                  <w:tcBorders>
                    <w:top w:val="single" w:color="auto" w:sz="4" w:space="0"/>
                    <w:left w:val="single" w:color="auto" w:sz="4" w:space="0"/>
                    <w:bottom w:val="single" w:color="auto" w:sz="4" w:space="0"/>
                    <w:right w:val="single" w:color="auto" w:sz="4" w:space="0"/>
                  </w:tcBorders>
                </w:tcPr>
                <w:p w14:paraId="59F51377">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70DD2FCD">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拟安排本项目的团队成员须为投标人自有员工（以社保为准）：</w:t>
                  </w:r>
                </w:p>
                <w:p w14:paraId="731DEAA4">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项目团队人员在</w:t>
                  </w:r>
                  <w:r>
                    <w:rPr>
                      <w:rFonts w:ascii="CESI仿宋-GB2312" w:hAnsi="CESI仿宋-GB2312" w:eastAsia="CESI仿宋-GB2312" w:cs="CESI仿宋-GB2312"/>
                      <w:szCs w:val="21"/>
                    </w:rPr>
                    <w:t>3</w:t>
                  </w:r>
                  <w:r>
                    <w:rPr>
                      <w:rFonts w:hint="eastAsia" w:ascii="CESI仿宋-GB2312" w:hAnsi="CESI仿宋-GB2312" w:eastAsia="CESI仿宋-GB2312" w:cs="CESI仿宋-GB2312"/>
                      <w:szCs w:val="21"/>
                    </w:rPr>
                    <w:t>人或以上的，得4分，其他情况不得分。</w:t>
                  </w:r>
                </w:p>
                <w:p w14:paraId="5F2AB0A3">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24D7C1FA">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1.提供近一个月投标人为其购买的社保证明材料扫描件，如开标日上一个月的社保材料因社保部门原因暂时无法取得，则可以往前顺延一个月，如投标人注册成立时间不足一个月的，可提供承诺函（格式自拟）；</w:t>
                  </w:r>
                </w:p>
                <w:p w14:paraId="0248137C">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2.未提供证明材料或者提供的证明材料不符合要求或提供的证明材料不清晰导致评审专家无法辨认的，不得分。</w:t>
                  </w:r>
                </w:p>
              </w:tc>
            </w:tr>
            <w:tr w14:paraId="5505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tcBorders>
                    <w:top w:val="single" w:color="auto" w:sz="4" w:space="0"/>
                    <w:left w:val="single" w:color="auto" w:sz="4" w:space="0"/>
                    <w:bottom w:val="single" w:color="auto" w:sz="4" w:space="0"/>
                    <w:right w:val="single" w:color="auto" w:sz="4" w:space="0"/>
                  </w:tcBorders>
                  <w:vAlign w:val="center"/>
                </w:tcPr>
                <w:p w14:paraId="5C1F14D8">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1655" w:type="pct"/>
                  <w:gridSpan w:val="3"/>
                  <w:tcBorders>
                    <w:top w:val="single" w:color="auto" w:sz="4" w:space="0"/>
                    <w:left w:val="single" w:color="auto" w:sz="4" w:space="0"/>
                    <w:bottom w:val="single" w:color="auto" w:sz="4" w:space="0"/>
                    <w:right w:val="single" w:color="auto" w:sz="4" w:space="0"/>
                  </w:tcBorders>
                  <w:vAlign w:val="center"/>
                </w:tcPr>
                <w:p w14:paraId="02B7FC38">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商务</w:t>
                  </w:r>
                </w:p>
              </w:tc>
              <w:tc>
                <w:tcPr>
                  <w:tcW w:w="2906" w:type="pct"/>
                  <w:tcBorders>
                    <w:top w:val="single" w:color="auto" w:sz="4" w:space="0"/>
                    <w:left w:val="single" w:color="auto" w:sz="4" w:space="0"/>
                    <w:bottom w:val="single" w:color="auto" w:sz="4" w:space="0"/>
                    <w:right w:val="single" w:color="auto" w:sz="4" w:space="0"/>
                  </w:tcBorders>
                  <w:vAlign w:val="center"/>
                </w:tcPr>
                <w:p w14:paraId="11F01A36">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18</w:t>
                  </w:r>
                </w:p>
              </w:tc>
            </w:tr>
            <w:tr w14:paraId="477B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restart"/>
                  <w:tcBorders>
                    <w:top w:val="single" w:color="auto" w:sz="4" w:space="0"/>
                    <w:left w:val="single" w:color="auto" w:sz="4" w:space="0"/>
                    <w:right w:val="single" w:color="auto" w:sz="4" w:space="0"/>
                  </w:tcBorders>
                  <w:vAlign w:val="center"/>
                </w:tcPr>
                <w:p w14:paraId="74F0DA42">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658DE717">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行号</w:t>
                  </w:r>
                </w:p>
              </w:tc>
              <w:tc>
                <w:tcPr>
                  <w:tcW w:w="862" w:type="pct"/>
                  <w:tcBorders>
                    <w:top w:val="single" w:color="auto" w:sz="4" w:space="0"/>
                    <w:left w:val="single" w:color="auto" w:sz="4" w:space="0"/>
                    <w:bottom w:val="single" w:color="auto" w:sz="4" w:space="0"/>
                    <w:right w:val="single" w:color="auto" w:sz="4" w:space="0"/>
                  </w:tcBorders>
                  <w:vAlign w:val="center"/>
                </w:tcPr>
                <w:p w14:paraId="6129C1B6">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内容</w:t>
                  </w:r>
                </w:p>
              </w:tc>
              <w:tc>
                <w:tcPr>
                  <w:tcW w:w="361" w:type="pct"/>
                  <w:tcBorders>
                    <w:top w:val="single" w:color="auto" w:sz="4" w:space="0"/>
                    <w:left w:val="single" w:color="auto" w:sz="4" w:space="0"/>
                    <w:bottom w:val="single" w:color="auto" w:sz="4" w:space="0"/>
                    <w:right w:val="single" w:color="auto" w:sz="4" w:space="0"/>
                  </w:tcBorders>
                  <w:vAlign w:val="center"/>
                </w:tcPr>
                <w:p w14:paraId="3B3C5C44">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权重</w:t>
                  </w:r>
                </w:p>
              </w:tc>
              <w:tc>
                <w:tcPr>
                  <w:tcW w:w="2906" w:type="pct"/>
                  <w:tcBorders>
                    <w:top w:val="single" w:color="auto" w:sz="4" w:space="0"/>
                    <w:left w:val="single" w:color="auto" w:sz="4" w:space="0"/>
                    <w:bottom w:val="single" w:color="auto" w:sz="4" w:space="0"/>
                    <w:right w:val="single" w:color="auto" w:sz="4" w:space="0"/>
                  </w:tcBorders>
                  <w:vAlign w:val="center"/>
                </w:tcPr>
                <w:p w14:paraId="1CE86776">
                  <w:pPr>
                    <w:jc w:val="center"/>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评分准则</w:t>
                  </w:r>
                </w:p>
              </w:tc>
            </w:tr>
            <w:tr w14:paraId="7038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top w:val="single" w:color="auto" w:sz="4" w:space="0"/>
                    <w:left w:val="single" w:color="auto" w:sz="4" w:space="0"/>
                    <w:right w:val="single" w:color="auto" w:sz="4" w:space="0"/>
                  </w:tcBorders>
                  <w:vAlign w:val="center"/>
                </w:tcPr>
                <w:p w14:paraId="429C7F19">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2922B0E5">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862" w:type="pct"/>
                  <w:tcBorders>
                    <w:top w:val="single" w:color="auto" w:sz="4" w:space="0"/>
                    <w:left w:val="single" w:color="auto" w:sz="4" w:space="0"/>
                    <w:bottom w:val="single" w:color="auto" w:sz="4" w:space="0"/>
                    <w:right w:val="single" w:color="auto" w:sz="4" w:space="0"/>
                  </w:tcBorders>
                  <w:vAlign w:val="center"/>
                </w:tcPr>
                <w:p w14:paraId="24DA7D45">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同类项目业绩情况</w:t>
                  </w:r>
                </w:p>
              </w:tc>
              <w:tc>
                <w:tcPr>
                  <w:tcW w:w="361" w:type="pct"/>
                  <w:tcBorders>
                    <w:top w:val="single" w:color="auto" w:sz="4" w:space="0"/>
                    <w:left w:val="single" w:color="auto" w:sz="4" w:space="0"/>
                    <w:bottom w:val="single" w:color="auto" w:sz="4" w:space="0"/>
                    <w:right w:val="single" w:color="auto" w:sz="4" w:space="0"/>
                  </w:tcBorders>
                  <w:vAlign w:val="center"/>
                </w:tcPr>
                <w:p w14:paraId="746FF0E7">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9</w:t>
                  </w:r>
                </w:p>
              </w:tc>
              <w:tc>
                <w:tcPr>
                  <w:tcW w:w="2906" w:type="pct"/>
                  <w:tcBorders>
                    <w:top w:val="single" w:color="auto" w:sz="4" w:space="0"/>
                    <w:left w:val="single" w:color="auto" w:sz="4" w:space="0"/>
                    <w:bottom w:val="single" w:color="auto" w:sz="4" w:space="0"/>
                    <w:right w:val="single" w:color="auto" w:sz="4" w:space="0"/>
                  </w:tcBorders>
                </w:tcPr>
                <w:p w14:paraId="01406044">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（一）评分内容：</w:t>
                  </w:r>
                </w:p>
                <w:p w14:paraId="1274D5BA">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投标人自 2023年1月1日至本项目截标之日（以合同签订日期为准）承接同类隔离护栏或U型隔离栏或其他交通类设备（交通车辆除外）同类项目业绩，且经采购单位或被服务单位总体履约评价结果为“优”或“满意”或履约评价中最高等级的,每提供一项得 1分，最高得9分。</w:t>
                  </w:r>
                </w:p>
                <w:p w14:paraId="426F33C9">
                  <w:pPr>
                    <w:widowControl/>
                    <w:jc w:val="left"/>
                    <w:textAlignment w:val="top"/>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5C667B0E">
                  <w:pPr>
                    <w:widowControl/>
                    <w:jc w:val="left"/>
                    <w:textAlignment w:val="top"/>
                    <w:rPr>
                      <w:rFonts w:ascii="CESI仿宋-GB2312" w:hAnsi="CESI仿宋-GB2312" w:eastAsia="CESI仿宋-GB2312" w:cs="CESI仿宋-GB2312"/>
                      <w:szCs w:val="21"/>
                    </w:rPr>
                  </w:pPr>
                  <w:r>
                    <w:rPr>
                      <w:rFonts w:hint="eastAsia" w:ascii="CESI仿宋-GB2312" w:hAnsi="CESI仿宋-GB2312" w:eastAsia="CESI仿宋-GB2312" w:cs="CESI仿宋-GB2312"/>
                      <w:szCs w:val="21"/>
                    </w:rPr>
                    <w:t>1.每项业绩须按以下要求提供完整准确的证明文件扫描件，一年一签的长期服务续签合同只计算一个业绩：合同关键页（关键信息包括但不仅限于合同的项目名称、采购内容、签订日期等），如合同关键页不体现采购关键信息的，则另须提供由采购单位盖章的证明文件；</w:t>
                  </w:r>
                </w:p>
                <w:p w14:paraId="42C5C28D">
                  <w:pPr>
                    <w:rPr>
                      <w:rFonts w:ascii="CESI仿宋-GB2312" w:hAnsi="CESI仿宋-GB2312" w:eastAsia="CESI仿宋-GB2312" w:cs="CESI仿宋-GB2312"/>
                      <w:szCs w:val="21"/>
                    </w:rPr>
                  </w:pPr>
                  <w:r>
                    <w:rPr>
                      <w:rFonts w:hint="eastAsia" w:ascii="CESI仿宋-GB2312" w:hAnsi="CESI仿宋-GB2312" w:eastAsia="CESI仿宋-GB2312" w:cs="CESI仿宋-GB2312"/>
                      <w:szCs w:val="21"/>
                    </w:rPr>
                    <w:t>2.采购单位或被服务单位出具的总体履约评价中最高等级的相关证明文件加盖合同采购人公章（采购人业务章）。证明文件的内容包括但不仅限于合同的项目名称、总体履约评价结果、出具证明的签署日期等相关内容,如提交的证明文件其评价结果没有结论而仅是打分的（比如打100分、98分、95分、85分等的）不计分。</w:t>
                  </w:r>
                </w:p>
                <w:p w14:paraId="0874AA50">
                  <w:pPr>
                    <w:rPr>
                      <w:rFonts w:ascii="CESI仿宋-GB2312" w:hAnsi="CESI仿宋-GB2312" w:eastAsia="CESI仿宋-GB2312" w:cs="CESI仿宋-GB2312"/>
                      <w:szCs w:val="21"/>
                    </w:rPr>
                  </w:pPr>
                  <w:r>
                    <w:rPr>
                      <w:rFonts w:hint="eastAsia" w:ascii="CESI仿宋-GB2312" w:hAnsi="CESI仿宋-GB2312" w:eastAsia="CESI仿宋-GB2312" w:cs="CESI仿宋-GB2312"/>
                      <w:szCs w:val="21"/>
                    </w:rPr>
                    <w:t>3.未提供证明材料或者提供的证明材料不符合要求或提供的证明材料不清晰导致评审专家无法辨认的，不得分。</w:t>
                  </w:r>
                </w:p>
              </w:tc>
            </w:tr>
            <w:tr w14:paraId="0051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top w:val="single" w:color="auto" w:sz="4" w:space="0"/>
                    <w:left w:val="single" w:color="auto" w:sz="4" w:space="0"/>
                    <w:right w:val="single" w:color="auto" w:sz="4" w:space="0"/>
                  </w:tcBorders>
                  <w:vAlign w:val="center"/>
                </w:tcPr>
                <w:p w14:paraId="2BB0199D">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20FD4042">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2</w:t>
                  </w:r>
                </w:p>
              </w:tc>
              <w:tc>
                <w:tcPr>
                  <w:tcW w:w="862" w:type="pct"/>
                  <w:tcBorders>
                    <w:top w:val="single" w:color="auto" w:sz="4" w:space="0"/>
                    <w:left w:val="single" w:color="auto" w:sz="4" w:space="0"/>
                    <w:bottom w:val="single" w:color="auto" w:sz="4" w:space="0"/>
                    <w:right w:val="single" w:color="auto" w:sz="4" w:space="0"/>
                  </w:tcBorders>
                  <w:vAlign w:val="center"/>
                </w:tcPr>
                <w:p w14:paraId="609A8E78">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体系认证情况</w:t>
                  </w:r>
                </w:p>
              </w:tc>
              <w:tc>
                <w:tcPr>
                  <w:tcW w:w="361" w:type="pct"/>
                  <w:tcBorders>
                    <w:top w:val="single" w:color="auto" w:sz="4" w:space="0"/>
                    <w:left w:val="single" w:color="auto" w:sz="4" w:space="0"/>
                    <w:bottom w:val="single" w:color="auto" w:sz="4" w:space="0"/>
                    <w:right w:val="single" w:color="auto" w:sz="4" w:space="0"/>
                  </w:tcBorders>
                  <w:vAlign w:val="center"/>
                </w:tcPr>
                <w:p w14:paraId="3C7D1962">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2906" w:type="pct"/>
                  <w:tcBorders>
                    <w:top w:val="single" w:color="auto" w:sz="4" w:space="0"/>
                    <w:left w:val="single" w:color="auto" w:sz="4" w:space="0"/>
                    <w:bottom w:val="single" w:color="auto" w:sz="4" w:space="0"/>
                    <w:right w:val="single" w:color="auto" w:sz="4" w:space="0"/>
                  </w:tcBorders>
                </w:tcPr>
                <w:p w14:paraId="244C173E">
                  <w:pPr>
                    <w:widowControl/>
                    <w:jc w:val="lef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（一）评审内容：</w:t>
                  </w:r>
                </w:p>
                <w:p w14:paraId="1D0188CF">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1.质量管理体系认证证书，1分；</w:t>
                  </w:r>
                </w:p>
                <w:p w14:paraId="3D38E97E">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2.环境管理体系认证证书，得1分；</w:t>
                  </w:r>
                </w:p>
                <w:p w14:paraId="215C3347">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3.职业健康安全管理体系认证证书，得1分。</w:t>
                  </w:r>
                </w:p>
                <w:p w14:paraId="5464F4F6">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以上三项认证证书认证范围应明确包括安防器材交通设备设施销售的相关内容，未满足不得分，以上最高得3分。</w:t>
                  </w:r>
                </w:p>
                <w:p w14:paraId="63BC8282">
                  <w:pPr>
                    <w:widowControl/>
                    <w:spacing w:line="240" w:lineRule="exact"/>
                    <w:rPr>
                      <w:rFonts w:ascii="CESI仿宋-GB2312" w:hAnsi="CESI仿宋-GB2312" w:eastAsia="CESI仿宋-GB2312" w:cs="CESI仿宋-GB2312"/>
                      <w:b/>
                      <w:bCs/>
                      <w:szCs w:val="21"/>
                    </w:rPr>
                  </w:pPr>
                  <w:r>
                    <w:rPr>
                      <w:rFonts w:hint="eastAsia" w:ascii="CESI仿宋-GB2312" w:hAnsi="CESI仿宋-GB2312" w:eastAsia="CESI仿宋-GB2312" w:cs="CESI仿宋-GB2312"/>
                      <w:b/>
                      <w:bCs/>
                      <w:szCs w:val="21"/>
                    </w:rPr>
                    <w:t>（二）评分依据：</w:t>
                  </w:r>
                </w:p>
                <w:p w14:paraId="0CF69A6B">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1.投标人需提供有效的认证证书，要求提供有效的认证证书扫描件，及出具全国认证认可信息公共服务平台（http://cx.cnca.cn/）的证书查询“有效”记录（提供的扫描件证书编号需与查询记录一致）。认证证书在公开渠道无法查询的，需提供颁发机构的证明材料，证明证书真实有效。投标人如为新成立的单位且成立时间不足三个月的（以营业执照上的成立日期为准），无需提供体系认证证书扫描件，需提供情况说明（格式自拟）亦可得分。</w:t>
                  </w:r>
                </w:p>
                <w:p w14:paraId="69EC29F0">
                  <w:pPr>
                    <w:widowControl/>
                    <w:spacing w:line="2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2.如证书为外语版本，需同时提供中文翻译版本，否则不得分；</w:t>
                  </w:r>
                </w:p>
                <w:p w14:paraId="752872FF">
                  <w:pPr>
                    <w:spacing w:line="240" w:lineRule="exact"/>
                    <w:jc w:val="left"/>
                    <w:rPr>
                      <w:rFonts w:ascii="CESI仿宋-GB2312" w:hAnsi="CESI仿宋-GB2312" w:eastAsia="CESI仿宋-GB2312" w:cs="CESI仿宋-GB2312"/>
                      <w:szCs w:val="21"/>
                    </w:rPr>
                  </w:pPr>
                  <w:r>
                    <w:rPr>
                      <w:rFonts w:hint="eastAsia" w:ascii="CESI仿宋-GB2312" w:hAnsi="CESI仿宋-GB2312" w:eastAsia="CESI仿宋-GB2312" w:cs="CESI仿宋-GB2312"/>
                      <w:szCs w:val="21"/>
                    </w:rPr>
                    <w:t>3.以上资料均要求提供复印件或扫描件，原件备查。未提供有效证明材料的或者提供的证明材料不符合要求的或者提供的证明材料不清晰导致评审专家无法辨认的，一律作不得分处理。</w:t>
                  </w:r>
                </w:p>
              </w:tc>
            </w:tr>
            <w:tr w14:paraId="1CEA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top w:val="single" w:color="auto" w:sz="4" w:space="0"/>
                    <w:left w:val="single" w:color="auto" w:sz="4" w:space="0"/>
                    <w:right w:val="single" w:color="auto" w:sz="4" w:space="0"/>
                  </w:tcBorders>
                  <w:vAlign w:val="center"/>
                </w:tcPr>
                <w:p w14:paraId="70B7A356">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1279C1C8">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3</w:t>
                  </w:r>
                </w:p>
              </w:tc>
              <w:tc>
                <w:tcPr>
                  <w:tcW w:w="862" w:type="pct"/>
                  <w:tcBorders>
                    <w:top w:val="single" w:color="auto" w:sz="4" w:space="0"/>
                    <w:left w:val="single" w:color="auto" w:sz="4" w:space="0"/>
                    <w:bottom w:val="single" w:color="auto" w:sz="4" w:space="0"/>
                    <w:right w:val="single" w:color="auto" w:sz="4" w:space="0"/>
                  </w:tcBorders>
                  <w:vAlign w:val="center"/>
                </w:tcPr>
                <w:p w14:paraId="16A25A2A">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商务需求响应情况</w:t>
                  </w:r>
                </w:p>
              </w:tc>
              <w:tc>
                <w:tcPr>
                  <w:tcW w:w="361" w:type="pct"/>
                  <w:tcBorders>
                    <w:top w:val="single" w:color="auto" w:sz="4" w:space="0"/>
                    <w:left w:val="single" w:color="auto" w:sz="4" w:space="0"/>
                    <w:bottom w:val="single" w:color="auto" w:sz="4" w:space="0"/>
                    <w:right w:val="single" w:color="auto" w:sz="4" w:space="0"/>
                  </w:tcBorders>
                  <w:vAlign w:val="center"/>
                </w:tcPr>
                <w:p w14:paraId="7184EC00">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6</w:t>
                  </w:r>
                </w:p>
              </w:tc>
              <w:tc>
                <w:tcPr>
                  <w:tcW w:w="2906" w:type="pct"/>
                  <w:tcBorders>
                    <w:top w:val="single" w:color="auto" w:sz="4" w:space="0"/>
                    <w:left w:val="single" w:color="auto" w:sz="4" w:space="0"/>
                    <w:bottom w:val="single" w:color="auto" w:sz="4" w:space="0"/>
                    <w:right w:val="single" w:color="auto" w:sz="4" w:space="0"/>
                  </w:tcBorders>
                </w:tcPr>
                <w:p w14:paraId="542B9171">
                  <w:pPr>
                    <w:jc w:val="left"/>
                    <w:rPr>
                      <w:rFonts w:ascii="CESI仿宋-GB2312" w:hAnsi="CESI仿宋-GB2312" w:eastAsia="CESI仿宋-GB2312" w:cs="CESI仿宋-GB2312"/>
                      <w:szCs w:val="21"/>
                    </w:rPr>
                  </w:pPr>
                  <w:r>
                    <w:rPr>
                      <w:rFonts w:hint="eastAsia" w:ascii="CESI仿宋-GB2312" w:hAnsi="CESI仿宋-GB2312" w:eastAsia="CESI仿宋-GB2312" w:cs="CESI仿宋-GB2312"/>
                      <w:szCs w:val="21"/>
                    </w:rPr>
                    <w:t>投标人根据招标文件项目需求书中“商务需求”如实填写《</w:t>
                  </w:r>
                  <w:bookmarkStart w:id="3" w:name="_GoBack"/>
                  <w:r>
                    <w:rPr>
                      <w:rFonts w:hint="eastAsia" w:ascii="CESI仿宋-GB2312" w:hAnsi="CESI仿宋-GB2312" w:eastAsia="CESI仿宋-GB2312" w:cs="CESI仿宋-GB2312"/>
                      <w:szCs w:val="21"/>
                    </w:rPr>
                    <w:t>招标文件商务需求偏离表</w:t>
                  </w:r>
                  <w:bookmarkEnd w:id="3"/>
                  <w:r>
                    <w:rPr>
                      <w:rFonts w:hint="eastAsia" w:ascii="CESI仿宋-GB2312" w:hAnsi="CESI仿宋-GB2312" w:eastAsia="CESI仿宋-GB2312" w:cs="CESI仿宋-GB2312"/>
                      <w:szCs w:val="21"/>
                    </w:rPr>
                    <w:t>》，评审委员会根据商务需求响应情况进行打分，各项需求全部满足的得6分，标注▲重要参数每负偏离一项扣0.4分，未带标记的一般参数，每负偏离一项扣0.2分，扣完为止。</w:t>
                  </w:r>
                </w:p>
              </w:tc>
            </w:tr>
            <w:tr w14:paraId="696A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top w:val="single" w:color="auto" w:sz="4" w:space="0"/>
                    <w:left w:val="single" w:color="auto" w:sz="4" w:space="0"/>
                    <w:right w:val="single" w:color="auto" w:sz="4" w:space="0"/>
                  </w:tcBorders>
                  <w:vAlign w:val="center"/>
                </w:tcPr>
                <w:p w14:paraId="554A378C">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5FB5302B">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四</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E3FC473">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诚信情况</w:t>
                  </w:r>
                </w:p>
              </w:tc>
              <w:tc>
                <w:tcPr>
                  <w:tcW w:w="2906" w:type="pct"/>
                  <w:tcBorders>
                    <w:top w:val="single" w:color="auto" w:sz="4" w:space="0"/>
                    <w:left w:val="single" w:color="auto" w:sz="4" w:space="0"/>
                    <w:bottom w:val="single" w:color="auto" w:sz="4" w:space="0"/>
                    <w:right w:val="single" w:color="auto" w:sz="4" w:space="0"/>
                  </w:tcBorders>
                </w:tcPr>
                <w:p w14:paraId="10ED2DBA">
                  <w:pPr>
                    <w:jc w:val="left"/>
                    <w:rPr>
                      <w:rFonts w:ascii="CESI仿宋-GB2312" w:hAnsi="CESI仿宋-GB2312" w:eastAsia="CESI仿宋-GB2312" w:cs="CESI仿宋-GB2312"/>
                      <w:szCs w:val="21"/>
                    </w:rPr>
                  </w:pPr>
                  <w:r>
                    <w:rPr>
                      <w:rFonts w:hint="eastAsia" w:ascii="CESI仿宋-GB2312" w:hAnsi="CESI仿宋-GB2312" w:eastAsia="CESI仿宋-GB2312" w:cs="CESI仿宋-GB2312"/>
                      <w:szCs w:val="21"/>
                    </w:rPr>
                    <w:t>5</w:t>
                  </w:r>
                </w:p>
              </w:tc>
            </w:tr>
            <w:tr w14:paraId="4624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vMerge w:val="continue"/>
                  <w:tcBorders>
                    <w:left w:val="single" w:color="auto" w:sz="4" w:space="0"/>
                    <w:right w:val="single" w:color="auto" w:sz="4" w:space="0"/>
                  </w:tcBorders>
                  <w:vAlign w:val="center"/>
                </w:tcPr>
                <w:p w14:paraId="15259175">
                  <w:pPr>
                    <w:jc w:val="center"/>
                    <w:rPr>
                      <w:rFonts w:ascii="CESI仿宋-GB2312" w:hAnsi="CESI仿宋-GB2312" w:eastAsia="CESI仿宋-GB2312" w:cs="CESI仿宋-GB2312"/>
                      <w:szCs w:val="21"/>
                    </w:rPr>
                  </w:pPr>
                </w:p>
              </w:tc>
              <w:tc>
                <w:tcPr>
                  <w:tcW w:w="431" w:type="pct"/>
                  <w:tcBorders>
                    <w:top w:val="single" w:color="auto" w:sz="4" w:space="0"/>
                    <w:left w:val="single" w:color="auto" w:sz="4" w:space="0"/>
                    <w:bottom w:val="single" w:color="auto" w:sz="4" w:space="0"/>
                    <w:right w:val="single" w:color="auto" w:sz="4" w:space="0"/>
                  </w:tcBorders>
                  <w:vAlign w:val="center"/>
                </w:tcPr>
                <w:p w14:paraId="4A41FE04">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1</w:t>
                  </w:r>
                </w:p>
              </w:tc>
              <w:tc>
                <w:tcPr>
                  <w:tcW w:w="862" w:type="pct"/>
                  <w:tcBorders>
                    <w:top w:val="single" w:color="auto" w:sz="4" w:space="0"/>
                    <w:left w:val="single" w:color="auto" w:sz="4" w:space="0"/>
                    <w:bottom w:val="single" w:color="auto" w:sz="4" w:space="0"/>
                    <w:right w:val="single" w:color="auto" w:sz="4" w:space="0"/>
                  </w:tcBorders>
                  <w:vAlign w:val="center"/>
                </w:tcPr>
                <w:p w14:paraId="03301566">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诚信情况</w:t>
                  </w:r>
                </w:p>
              </w:tc>
              <w:tc>
                <w:tcPr>
                  <w:tcW w:w="361" w:type="pct"/>
                  <w:tcBorders>
                    <w:top w:val="single" w:color="auto" w:sz="4" w:space="0"/>
                    <w:left w:val="single" w:color="auto" w:sz="4" w:space="0"/>
                    <w:bottom w:val="single" w:color="auto" w:sz="4" w:space="0"/>
                    <w:right w:val="single" w:color="auto" w:sz="4" w:space="0"/>
                  </w:tcBorders>
                  <w:vAlign w:val="center"/>
                </w:tcPr>
                <w:p w14:paraId="0F1FEEFD">
                  <w:pPr>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5</w:t>
                  </w:r>
                </w:p>
              </w:tc>
              <w:tc>
                <w:tcPr>
                  <w:tcW w:w="2906" w:type="pct"/>
                  <w:tcBorders>
                    <w:top w:val="single" w:color="auto" w:sz="4" w:space="0"/>
                    <w:left w:val="single" w:color="auto" w:sz="4" w:space="0"/>
                    <w:bottom w:val="single" w:color="auto" w:sz="4" w:space="0"/>
                    <w:right w:val="single" w:color="auto" w:sz="4" w:space="0"/>
                  </w:tcBorders>
                </w:tcPr>
                <w:p w14:paraId="1289F061">
                  <w:pP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投标人存在《深圳市财政局政府采购供应商信用信息管理办法》（深财规〔2023〕3号）列明的一般行政处罚信息、一般违法失信记录信息的，本项不得分，不存在上述情形的本项得满分。投标人无需提供任何证明材料，评标过程中由工作人员向评审委员会提供有关供应商诚信查询结果。</w:t>
                  </w:r>
                </w:p>
                <w:p w14:paraId="4EF0473F">
                  <w:pPr>
                    <w:rPr>
                      <w:rFonts w:ascii="CESI仿宋-GB2312" w:hAnsi="CESI仿宋-GB2312" w:eastAsia="CESI仿宋-GB2312" w:cs="CESI仿宋-GB2312"/>
                      <w:color w:val="000000"/>
                      <w:szCs w:val="21"/>
                    </w:rPr>
                  </w:pPr>
                  <w:r>
                    <w:rPr>
                      <w:rFonts w:hint="eastAsia" w:ascii="CESI仿宋-GB2312" w:hAnsi="CESI仿宋-GB2312" w:eastAsia="CESI仿宋-GB2312" w:cs="CESI仿宋-GB2312"/>
                      <w:color w:val="000000"/>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3E27C021">
            <w:pPr>
              <w:pStyle w:val="5"/>
              <w:ind w:firstLine="0" w:firstLineChars="0"/>
              <w:rPr>
                <w:rFonts w:ascii="CESI仿宋-GB2312" w:hAnsi="CESI仿宋-GB2312" w:eastAsia="CESI仿宋-GB2312" w:cs="CESI仿宋-GB2312"/>
              </w:rPr>
            </w:pPr>
          </w:p>
          <w:p w14:paraId="0EAC76C3">
            <w:pPr>
              <w:pStyle w:val="6"/>
              <w:rPr>
                <w:rFonts w:ascii="CESI仿宋-GB2312" w:hAnsi="CESI仿宋-GB2312" w:eastAsia="CESI仿宋-GB2312" w:cs="CESI仿宋-GB2312"/>
                <w:szCs w:val="21"/>
              </w:rPr>
            </w:pPr>
            <w:bookmarkStart w:id="2" w:name="InsertEnd"/>
            <w:bookmarkEnd w:id="2"/>
          </w:p>
          <w:p w14:paraId="624CC781">
            <w:pPr>
              <w:pStyle w:val="20"/>
              <w:rPr>
                <w:rFonts w:ascii="CESI仿宋-GB2312" w:hAnsi="CESI仿宋-GB2312" w:eastAsia="CESI仿宋-GB2312" w:cs="CESI仿宋-GB2312"/>
                <w:sz w:val="21"/>
                <w:szCs w:val="21"/>
              </w:rPr>
            </w:pPr>
          </w:p>
        </w:tc>
      </w:tr>
    </w:tbl>
    <w:p w14:paraId="5853A4F9">
      <w:pPr>
        <w:spacing w:line="260" w:lineRule="exact"/>
        <w:rPr>
          <w:vanish/>
        </w:rPr>
      </w:pPr>
    </w:p>
    <w:p w14:paraId="26E381D4"/>
    <w:p w14:paraId="66E04811">
      <w:pPr>
        <w:spacing w:line="4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六、采购合同（模板）</w:t>
      </w:r>
    </w:p>
    <w:p w14:paraId="72BDE854">
      <w:pPr>
        <w:spacing w:before="156" w:beforeLines="50" w:line="44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b/>
          <w:szCs w:val="21"/>
        </w:rPr>
        <w:t xml:space="preserve"> </w:t>
      </w:r>
      <w:r>
        <w:rPr>
          <w:rFonts w:hint="eastAsia" w:ascii="CESI仿宋-GB2312" w:hAnsi="CESI仿宋-GB2312" w:eastAsia="CESI仿宋-GB2312" w:cs="CESI仿宋-GB2312"/>
          <w:b/>
          <w:szCs w:val="21"/>
          <w:u w:val="single"/>
        </w:rPr>
        <w:t xml:space="preserve">               </w:t>
      </w:r>
      <w:r>
        <w:rPr>
          <w:rFonts w:hint="eastAsia" w:ascii="CESI仿宋-GB2312" w:hAnsi="CESI仿宋-GB2312" w:eastAsia="CESI仿宋-GB2312" w:cs="CESI仿宋-GB2312"/>
          <w:b/>
          <w:szCs w:val="21"/>
        </w:rPr>
        <w:t xml:space="preserve">采购合同（模板）             </w:t>
      </w:r>
      <w:r>
        <w:rPr>
          <w:rFonts w:hint="eastAsia" w:ascii="CESI仿宋-GB2312" w:hAnsi="CESI仿宋-GB2312" w:eastAsia="CESI仿宋-GB2312" w:cs="CESI仿宋-GB2312"/>
          <w:color w:val="00B0F0"/>
          <w:szCs w:val="21"/>
        </w:rPr>
        <w:t xml:space="preserve">            </w:t>
      </w:r>
      <w:r>
        <w:rPr>
          <w:rFonts w:hint="eastAsia" w:ascii="CESI仿宋-GB2312" w:hAnsi="CESI仿宋-GB2312" w:eastAsia="CESI仿宋-GB2312" w:cs="CESI仿宋-GB2312"/>
          <w:szCs w:val="21"/>
        </w:rPr>
        <w:t xml:space="preserve">                                      </w:t>
      </w:r>
    </w:p>
    <w:p w14:paraId="2234C5D4">
      <w:pPr>
        <w:tabs>
          <w:tab w:val="left" w:pos="4950"/>
        </w:tabs>
        <w:spacing w:line="440" w:lineRule="exact"/>
        <w:jc w:val="center"/>
        <w:rPr>
          <w:rFonts w:ascii="CESI仿宋-GB2312" w:hAnsi="CESI仿宋-GB2312" w:eastAsia="CESI仿宋-GB2312" w:cs="CESI仿宋-GB2312"/>
          <w:szCs w:val="21"/>
        </w:rPr>
      </w:pPr>
      <w:r>
        <w:rPr>
          <w:rFonts w:hint="eastAsia" w:ascii="CESI仿宋-GB2312" w:hAnsi="CESI仿宋-GB2312" w:eastAsia="CESI仿宋-GB2312" w:cs="CESI仿宋-GB2312"/>
          <w:szCs w:val="21"/>
        </w:rPr>
        <w:t xml:space="preserve">                            合同编号：</w:t>
      </w:r>
    </w:p>
    <w:p w14:paraId="3AA4F1F6">
      <w:pPr>
        <w:pStyle w:val="2"/>
        <w:spacing w:line="440" w:lineRule="exact"/>
        <w:rPr>
          <w:rFonts w:ascii="CESI仿宋-GB2312" w:hAnsi="CESI仿宋-GB2312" w:eastAsia="CESI仿宋-GB2312" w:cs="CESI仿宋-GB2312"/>
          <w:sz w:val="21"/>
          <w:szCs w:val="21"/>
        </w:rPr>
      </w:pPr>
    </w:p>
    <w:p w14:paraId="250C989D">
      <w:pPr>
        <w:pStyle w:val="2"/>
        <w:spacing w:line="440" w:lineRule="exact"/>
        <w:rPr>
          <w:rFonts w:ascii="CESI仿宋-GB2312" w:hAnsi="CESI仿宋-GB2312" w:eastAsia="CESI仿宋-GB2312" w:cs="CESI仿宋-GB2312"/>
          <w:sz w:val="21"/>
          <w:szCs w:val="21"/>
        </w:rPr>
      </w:pPr>
    </w:p>
    <w:p w14:paraId="0D89F7D0">
      <w:pPr>
        <w:pStyle w:val="2"/>
        <w:spacing w:line="440" w:lineRule="exact"/>
        <w:rPr>
          <w:rFonts w:ascii="CESI仿宋-GB2312" w:hAnsi="CESI仿宋-GB2312" w:eastAsia="CESI仿宋-GB2312" w:cs="CESI仿宋-GB2312"/>
          <w:b/>
          <w:bCs/>
          <w:kern w:val="2"/>
          <w:sz w:val="21"/>
          <w:szCs w:val="21"/>
        </w:rPr>
      </w:pPr>
      <w:r>
        <w:rPr>
          <w:rFonts w:hint="eastAsia" w:ascii="CESI仿宋-GB2312" w:hAnsi="CESI仿宋-GB2312" w:eastAsia="CESI仿宋-GB2312" w:cs="CESI仿宋-GB2312"/>
          <w:sz w:val="21"/>
          <w:szCs w:val="21"/>
        </w:rPr>
        <w:t xml:space="preserve"> （仅供参考，具体以项目需求及采购结果为准）   </w:t>
      </w:r>
    </w:p>
    <w:p w14:paraId="5AF226DD">
      <w:pPr>
        <w:spacing w:line="440" w:lineRule="exact"/>
        <w:rPr>
          <w:rFonts w:ascii="CESI仿宋-GB2312" w:hAnsi="CESI仿宋-GB2312" w:eastAsia="CESI仿宋-GB2312" w:cs="CESI仿宋-GB2312"/>
          <w:szCs w:val="21"/>
        </w:rPr>
      </w:pPr>
    </w:p>
    <w:p w14:paraId="0F688AA4">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 xml:space="preserve">甲 方：深圳市龙岗区布吉街道办事处 </w:t>
      </w:r>
    </w:p>
    <w:p w14:paraId="29F11485">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统一社会信用代码：1144030700754262XF</w:t>
      </w:r>
    </w:p>
    <w:p w14:paraId="477DC4D7">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法定代表人：</w:t>
      </w:r>
      <w:r>
        <w:rPr>
          <w:rFonts w:hint="eastAsia" w:ascii="CESI仿宋-GB2312" w:hAnsi="CESI仿宋-GB2312" w:eastAsia="CESI仿宋-GB2312" w:cs="CESI仿宋-GB2312"/>
          <w:szCs w:val="21"/>
        </w:rPr>
        <w:t xml:space="preserve"> </w:t>
      </w:r>
      <w:r>
        <w:rPr>
          <w:rFonts w:hint="eastAsia" w:ascii="CESI仿宋-GB2312" w:hAnsi="CESI仿宋-GB2312" w:eastAsia="CESI仿宋-GB2312" w:cs="CESI仿宋-GB2312"/>
          <w:b/>
          <w:szCs w:val="21"/>
        </w:rPr>
        <w:t xml:space="preserve">              </w:t>
      </w:r>
    </w:p>
    <w:p w14:paraId="5FB35827">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 xml:space="preserve">地 址：深圳市龙岗区布吉街道广场路2号  </w:t>
      </w:r>
    </w:p>
    <w:p w14:paraId="5A4657C4">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 xml:space="preserve">电 话：0755-28539111    </w:t>
      </w:r>
    </w:p>
    <w:p w14:paraId="34CB5A1C">
      <w:pPr>
        <w:spacing w:line="440" w:lineRule="exact"/>
        <w:rPr>
          <w:rFonts w:ascii="CESI仿宋-GB2312" w:hAnsi="CESI仿宋-GB2312" w:eastAsia="CESI仿宋-GB2312" w:cs="CESI仿宋-GB2312"/>
          <w:szCs w:val="21"/>
        </w:rPr>
      </w:pPr>
      <w:r>
        <w:rPr>
          <w:rFonts w:hint="eastAsia" w:ascii="CESI仿宋-GB2312" w:hAnsi="CESI仿宋-GB2312" w:eastAsia="CESI仿宋-GB2312" w:cs="CESI仿宋-GB2312"/>
          <w:szCs w:val="21"/>
        </w:rPr>
        <w:t xml:space="preserve">                                                              </w:t>
      </w:r>
    </w:p>
    <w:p w14:paraId="32FAB683">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 xml:space="preserve">                          </w:t>
      </w:r>
    </w:p>
    <w:p w14:paraId="7903005B">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乙 方：</w:t>
      </w:r>
    </w:p>
    <w:p w14:paraId="5BA8B74E">
      <w:pPr>
        <w:spacing w:line="440" w:lineRule="exact"/>
        <w:rPr>
          <w:rFonts w:ascii="CESI仿宋-GB2312" w:hAnsi="CESI仿宋-GB2312" w:eastAsia="CESI仿宋-GB2312" w:cs="CESI仿宋-GB2312"/>
          <w:szCs w:val="21"/>
        </w:rPr>
      </w:pPr>
      <w:r>
        <w:rPr>
          <w:rFonts w:hint="eastAsia" w:ascii="CESI仿宋-GB2312" w:hAnsi="CESI仿宋-GB2312" w:eastAsia="CESI仿宋-GB2312" w:cs="CESI仿宋-GB2312"/>
          <w:b/>
          <w:szCs w:val="21"/>
        </w:rPr>
        <w:t>统一社会信用代码：</w:t>
      </w:r>
    </w:p>
    <w:p w14:paraId="08F3F236">
      <w:pPr>
        <w:spacing w:line="440" w:lineRule="exact"/>
        <w:rPr>
          <w:rFonts w:ascii="CESI仿宋-GB2312" w:hAnsi="CESI仿宋-GB2312" w:eastAsia="CESI仿宋-GB2312" w:cs="CESI仿宋-GB2312"/>
          <w:b/>
          <w:color w:val="000000"/>
          <w:szCs w:val="21"/>
        </w:rPr>
      </w:pPr>
      <w:r>
        <w:rPr>
          <w:rFonts w:hint="eastAsia" w:ascii="CESI仿宋-GB2312" w:hAnsi="CESI仿宋-GB2312" w:eastAsia="CESI仿宋-GB2312" w:cs="CESI仿宋-GB2312"/>
          <w:b/>
          <w:color w:val="000000"/>
          <w:szCs w:val="21"/>
        </w:rPr>
        <w:t>法定代表人：</w:t>
      </w:r>
    </w:p>
    <w:p w14:paraId="33232B14">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地 址：</w:t>
      </w:r>
    </w:p>
    <w:p w14:paraId="3CAA1941">
      <w:pPr>
        <w:spacing w:line="440" w:lineRule="exact"/>
        <w:rPr>
          <w:rFonts w:ascii="CESI仿宋-GB2312" w:hAnsi="CESI仿宋-GB2312" w:eastAsia="CESI仿宋-GB2312" w:cs="CESI仿宋-GB2312"/>
          <w:b/>
          <w:color w:val="000000"/>
          <w:szCs w:val="21"/>
        </w:rPr>
      </w:pPr>
      <w:r>
        <w:rPr>
          <w:rFonts w:hint="eastAsia" w:ascii="CESI仿宋-GB2312" w:hAnsi="CESI仿宋-GB2312" w:eastAsia="CESI仿宋-GB2312" w:cs="CESI仿宋-GB2312"/>
          <w:b/>
          <w:color w:val="000000"/>
          <w:szCs w:val="21"/>
        </w:rPr>
        <w:t>电 话：</w:t>
      </w:r>
    </w:p>
    <w:p w14:paraId="5F25D3A3">
      <w:pPr>
        <w:spacing w:line="440" w:lineRule="exact"/>
        <w:rPr>
          <w:rFonts w:ascii="CESI仿宋-GB2312" w:hAnsi="CESI仿宋-GB2312" w:eastAsia="CESI仿宋-GB2312" w:cs="CESI仿宋-GB2312"/>
          <w:b/>
          <w:szCs w:val="21"/>
        </w:rPr>
      </w:pPr>
    </w:p>
    <w:p w14:paraId="7CC4B889">
      <w:pPr>
        <w:spacing w:line="440" w:lineRule="exact"/>
        <w:rPr>
          <w:rFonts w:ascii="CESI仿宋-GB2312" w:hAnsi="CESI仿宋-GB2312" w:eastAsia="CESI仿宋-GB2312" w:cs="CESI仿宋-GB2312"/>
          <w:b/>
          <w:szCs w:val="21"/>
        </w:rPr>
      </w:pPr>
    </w:p>
    <w:p w14:paraId="7DD7432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甲、乙双方根据《中华人民共和国民法典》以及相关法律、法规的规定，经甲乙双方协商一致，签署本合同。以资双方共同信守：</w:t>
      </w:r>
    </w:p>
    <w:p w14:paraId="2449112A">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第一条合同标的物清单及合同总价</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57"/>
        <w:gridCol w:w="1704"/>
        <w:gridCol w:w="1705"/>
        <w:gridCol w:w="1705"/>
      </w:tblGrid>
      <w:tr w14:paraId="73DB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14:paraId="2D2E4C1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品名</w:t>
            </w:r>
          </w:p>
        </w:tc>
        <w:tc>
          <w:tcPr>
            <w:tcW w:w="1457" w:type="dxa"/>
            <w:noWrap/>
            <w:vAlign w:val="center"/>
          </w:tcPr>
          <w:p w14:paraId="2FF95546">
            <w:pPr>
              <w:spacing w:line="440" w:lineRule="exact"/>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型号及规格</w:t>
            </w:r>
          </w:p>
        </w:tc>
        <w:tc>
          <w:tcPr>
            <w:tcW w:w="1704" w:type="dxa"/>
            <w:noWrap/>
            <w:vAlign w:val="center"/>
          </w:tcPr>
          <w:p w14:paraId="52CD3136">
            <w:pPr>
              <w:spacing w:line="440" w:lineRule="exact"/>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数量（单位）</w:t>
            </w:r>
          </w:p>
        </w:tc>
        <w:tc>
          <w:tcPr>
            <w:tcW w:w="1705" w:type="dxa"/>
            <w:noWrap/>
            <w:vAlign w:val="center"/>
          </w:tcPr>
          <w:p w14:paraId="01CDC13E">
            <w:pPr>
              <w:spacing w:line="440" w:lineRule="exact"/>
              <w:ind w:firstLine="210" w:firstLineChars="1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单价（元）</w:t>
            </w:r>
          </w:p>
        </w:tc>
        <w:tc>
          <w:tcPr>
            <w:tcW w:w="1705" w:type="dxa"/>
            <w:noWrap/>
            <w:vAlign w:val="center"/>
          </w:tcPr>
          <w:p w14:paraId="0DC816D3">
            <w:pPr>
              <w:spacing w:line="440" w:lineRule="exact"/>
              <w:ind w:firstLine="210" w:firstLineChars="1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总价（元）</w:t>
            </w:r>
          </w:p>
        </w:tc>
      </w:tr>
      <w:tr w14:paraId="1B8E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nil"/>
              <w:left w:val="single" w:color="auto" w:sz="4" w:space="0"/>
              <w:bottom w:val="single" w:color="auto" w:sz="4" w:space="0"/>
              <w:right w:val="single" w:color="auto" w:sz="4" w:space="0"/>
            </w:tcBorders>
            <w:noWrap/>
            <w:vAlign w:val="center"/>
          </w:tcPr>
          <w:p w14:paraId="1E7389A3">
            <w:pPr>
              <w:spacing w:line="440" w:lineRule="exact"/>
              <w:ind w:firstLine="420" w:firstLineChars="200"/>
              <w:rPr>
                <w:rFonts w:ascii="CESI仿宋-GB2312" w:hAnsi="CESI仿宋-GB2312" w:eastAsia="CESI仿宋-GB2312" w:cs="CESI仿宋-GB2312"/>
                <w:bCs/>
                <w:szCs w:val="21"/>
              </w:rPr>
            </w:pPr>
          </w:p>
        </w:tc>
        <w:tc>
          <w:tcPr>
            <w:tcW w:w="1457" w:type="dxa"/>
            <w:tcBorders>
              <w:top w:val="nil"/>
              <w:left w:val="nil"/>
              <w:bottom w:val="single" w:color="auto" w:sz="4" w:space="0"/>
              <w:right w:val="single" w:color="auto" w:sz="4" w:space="0"/>
            </w:tcBorders>
            <w:noWrap/>
            <w:vAlign w:val="center"/>
          </w:tcPr>
          <w:p w14:paraId="3E8B7021">
            <w:pPr>
              <w:spacing w:line="440" w:lineRule="exact"/>
              <w:ind w:firstLine="420" w:firstLineChars="200"/>
              <w:rPr>
                <w:rFonts w:ascii="CESI仿宋-GB2312" w:hAnsi="CESI仿宋-GB2312" w:eastAsia="CESI仿宋-GB2312" w:cs="CESI仿宋-GB2312"/>
                <w:bCs/>
                <w:szCs w:val="21"/>
              </w:rPr>
            </w:pPr>
          </w:p>
        </w:tc>
        <w:tc>
          <w:tcPr>
            <w:tcW w:w="1704" w:type="dxa"/>
            <w:noWrap/>
            <w:vAlign w:val="center"/>
          </w:tcPr>
          <w:p w14:paraId="1223BE3F">
            <w:pPr>
              <w:spacing w:line="440" w:lineRule="exact"/>
              <w:ind w:firstLine="420" w:firstLineChars="200"/>
              <w:rPr>
                <w:rFonts w:ascii="CESI仿宋-GB2312" w:hAnsi="CESI仿宋-GB2312" w:eastAsia="CESI仿宋-GB2312" w:cs="CESI仿宋-GB2312"/>
                <w:bCs/>
                <w:szCs w:val="21"/>
              </w:rPr>
            </w:pPr>
          </w:p>
        </w:tc>
        <w:tc>
          <w:tcPr>
            <w:tcW w:w="1705" w:type="dxa"/>
            <w:tcBorders>
              <w:top w:val="nil"/>
              <w:left w:val="nil"/>
              <w:bottom w:val="single" w:color="auto" w:sz="4" w:space="0"/>
              <w:right w:val="single" w:color="auto" w:sz="4" w:space="0"/>
            </w:tcBorders>
            <w:noWrap/>
            <w:vAlign w:val="center"/>
          </w:tcPr>
          <w:p w14:paraId="38DD115A">
            <w:pPr>
              <w:spacing w:line="440" w:lineRule="exact"/>
              <w:ind w:firstLine="420" w:firstLineChars="200"/>
              <w:rPr>
                <w:rFonts w:ascii="CESI仿宋-GB2312" w:hAnsi="CESI仿宋-GB2312" w:eastAsia="CESI仿宋-GB2312" w:cs="CESI仿宋-GB2312"/>
                <w:bCs/>
                <w:szCs w:val="21"/>
              </w:rPr>
            </w:pPr>
          </w:p>
        </w:tc>
        <w:tc>
          <w:tcPr>
            <w:tcW w:w="1705" w:type="dxa"/>
            <w:tcBorders>
              <w:top w:val="nil"/>
              <w:left w:val="nil"/>
              <w:bottom w:val="single" w:color="auto" w:sz="4" w:space="0"/>
              <w:right w:val="single" w:color="auto" w:sz="4" w:space="0"/>
            </w:tcBorders>
            <w:noWrap/>
            <w:vAlign w:val="center"/>
          </w:tcPr>
          <w:p w14:paraId="3641E061">
            <w:pPr>
              <w:spacing w:line="440" w:lineRule="exact"/>
              <w:ind w:firstLine="420" w:firstLineChars="200"/>
              <w:rPr>
                <w:rFonts w:ascii="CESI仿宋-GB2312" w:hAnsi="CESI仿宋-GB2312" w:eastAsia="CESI仿宋-GB2312" w:cs="CESI仿宋-GB2312"/>
                <w:bCs/>
                <w:szCs w:val="21"/>
              </w:rPr>
            </w:pPr>
          </w:p>
        </w:tc>
      </w:tr>
      <w:tr w14:paraId="66F5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14:paraId="0007F95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合计（元）</w:t>
            </w:r>
          </w:p>
        </w:tc>
        <w:tc>
          <w:tcPr>
            <w:tcW w:w="6571" w:type="dxa"/>
            <w:gridSpan w:val="4"/>
            <w:noWrap/>
            <w:vAlign w:val="center"/>
          </w:tcPr>
          <w:p w14:paraId="7A2C7AEB">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人民币：  （大写：  ）</w:t>
            </w:r>
          </w:p>
        </w:tc>
      </w:tr>
    </w:tbl>
    <w:p w14:paraId="000C7314">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最终结算价以甲乙双方最终实际结算确定的金额为准，但最终结算价不得超过上述合同约定总价，最终结算价超过上述合同约定总价的，按上述合同约定总价结算。</w:t>
      </w:r>
    </w:p>
    <w:p w14:paraId="2F042C4B">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本合同总价为包干价格，包含但不限于原材料和配件费、生产加工、调试，通过有关主管部门的验收，运至合同指定地点的包装、运输、装卸、保险、技术培训等服务，检查，及保修、利润、风险金、国家规定的各项税费等一切可能发生的费用，乙方不得以任何理由向甲方要求增加任何费用。</w:t>
      </w:r>
    </w:p>
    <w:p w14:paraId="6C0A66AA">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第二条合同标的物质量要求</w:t>
      </w:r>
    </w:p>
    <w:p w14:paraId="37F274F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乙方提供的合同标的物应保证是原装全新正品，且合同标的物不侵犯任何第三人的知识产权;乙方应保证其提供的合同标的物在其使用寿命内具有良好的性能。</w:t>
      </w:r>
    </w:p>
    <w:p w14:paraId="18E7DE12">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第三条合同标的物交付及验收标准</w:t>
      </w:r>
    </w:p>
    <w:p w14:paraId="4B59BDDE">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（一）双方约定，按第</w:t>
      </w:r>
      <w:r>
        <w:rPr>
          <w:rFonts w:hint="eastAsia" w:ascii="CESI仿宋-GB2312" w:hAnsi="CESI仿宋-GB2312" w:eastAsia="CESI仿宋-GB2312" w:cs="CESI仿宋-GB2312"/>
          <w:b/>
          <w:szCs w:val="21"/>
          <w:u w:val="single"/>
        </w:rPr>
        <w:t xml:space="preserve">  1 </w:t>
      </w:r>
      <w:r>
        <w:rPr>
          <w:rFonts w:hint="eastAsia" w:ascii="CESI仿宋-GB2312" w:hAnsi="CESI仿宋-GB2312" w:eastAsia="CESI仿宋-GB2312" w:cs="CESI仿宋-GB2312"/>
          <w:b/>
          <w:szCs w:val="21"/>
        </w:rPr>
        <w:t>种交付方式：</w:t>
      </w:r>
    </w:p>
    <w:p w14:paraId="57DAC2B9">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（1）乙方应在合同生效后</w:t>
      </w:r>
      <w:r>
        <w:rPr>
          <w:rFonts w:hint="eastAsia" w:ascii="CESI仿宋-GB2312" w:hAnsi="CESI仿宋-GB2312" w:eastAsia="CESI仿宋-GB2312" w:cs="CESI仿宋-GB2312"/>
          <w:bCs/>
          <w:szCs w:val="21"/>
          <w:u w:val="single"/>
        </w:rPr>
        <w:t>30日内</w:t>
      </w:r>
      <w:r>
        <w:rPr>
          <w:rFonts w:hint="eastAsia" w:ascii="CESI仿宋-GB2312" w:hAnsi="CESI仿宋-GB2312" w:eastAsia="CESI仿宋-GB2312" w:cs="CESI仿宋-GB2312"/>
          <w:bCs/>
          <w:szCs w:val="21"/>
        </w:rPr>
        <w:t>一次性向甲方交付合同标的物并完成安装，并由乙方承担运输费用。</w:t>
      </w:r>
    </w:p>
    <w:p w14:paraId="7E2A21B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（2）乙方应在合同生效后</w:t>
      </w:r>
      <w:r>
        <w:rPr>
          <w:rFonts w:hint="eastAsia" w:ascii="CESI仿宋-GB2312" w:hAnsi="CESI仿宋-GB2312" w:eastAsia="CESI仿宋-GB2312" w:cs="CESI仿宋-GB2312"/>
          <w:bCs/>
          <w:szCs w:val="21"/>
          <w:u w:val="single"/>
        </w:rPr>
        <w:t xml:space="preserve">  /  </w:t>
      </w:r>
      <w:r>
        <w:rPr>
          <w:rFonts w:hint="eastAsia" w:ascii="CESI仿宋-GB2312" w:hAnsi="CESI仿宋-GB2312" w:eastAsia="CESI仿宋-GB2312" w:cs="CESI仿宋-GB2312"/>
          <w:bCs/>
          <w:szCs w:val="21"/>
        </w:rPr>
        <w:t>日内第一次向甲方交付合同标的物（交付的数量按照甲方的要求），并根据甲方要求分</w:t>
      </w:r>
      <w:r>
        <w:rPr>
          <w:rFonts w:hint="eastAsia" w:ascii="CESI仿宋-GB2312" w:hAnsi="CESI仿宋-GB2312" w:eastAsia="CESI仿宋-GB2312" w:cs="CESI仿宋-GB2312"/>
          <w:bCs/>
          <w:szCs w:val="21"/>
          <w:u w:val="single"/>
        </w:rPr>
        <w:t xml:space="preserve">  /  </w:t>
      </w:r>
      <w:r>
        <w:rPr>
          <w:rFonts w:hint="eastAsia" w:ascii="CESI仿宋-GB2312" w:hAnsi="CESI仿宋-GB2312" w:eastAsia="CESI仿宋-GB2312" w:cs="CESI仿宋-GB2312"/>
          <w:bCs/>
          <w:szCs w:val="21"/>
        </w:rPr>
        <w:t>批供货，于合同生效后</w:t>
      </w:r>
      <w:r>
        <w:rPr>
          <w:rFonts w:hint="eastAsia" w:ascii="CESI仿宋-GB2312" w:hAnsi="CESI仿宋-GB2312" w:eastAsia="CESI仿宋-GB2312" w:cs="CESI仿宋-GB2312"/>
          <w:bCs/>
          <w:szCs w:val="21"/>
          <w:u w:val="single"/>
        </w:rPr>
        <w:t xml:space="preserve">  / </w:t>
      </w:r>
      <w:r>
        <w:rPr>
          <w:rFonts w:hint="eastAsia" w:ascii="CESI仿宋-GB2312" w:hAnsi="CESI仿宋-GB2312" w:eastAsia="CESI仿宋-GB2312" w:cs="CESI仿宋-GB2312"/>
          <w:bCs/>
          <w:szCs w:val="21"/>
        </w:rPr>
        <w:t>日内完成全部标的物的供货，并由乙方承担运输费用。</w:t>
      </w:r>
    </w:p>
    <w:p w14:paraId="54E3D04A">
      <w:pPr>
        <w:spacing w:line="440" w:lineRule="exact"/>
        <w:ind w:firstLine="422" w:firstLineChars="200"/>
        <w:rPr>
          <w:rFonts w:ascii="CESI仿宋-GB2312" w:hAnsi="CESI仿宋-GB2312" w:eastAsia="CESI仿宋-GB2312" w:cs="CESI仿宋-GB2312"/>
          <w:b/>
          <w:szCs w:val="21"/>
          <w:highlight w:val="yellow"/>
        </w:rPr>
      </w:pPr>
      <w:r>
        <w:rPr>
          <w:rFonts w:hint="eastAsia" w:ascii="CESI仿宋-GB2312" w:hAnsi="CESI仿宋-GB2312" w:eastAsia="CESI仿宋-GB2312" w:cs="CESI仿宋-GB2312"/>
          <w:b/>
          <w:szCs w:val="21"/>
        </w:rPr>
        <w:t>（二）交付地点：布吉街道辖区范围内或甲方指定地点</w:t>
      </w:r>
    </w:p>
    <w:p w14:paraId="377619A0">
      <w:pPr>
        <w:numPr>
          <w:ilvl w:val="0"/>
          <w:numId w:val="3"/>
        </w:num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验收标准：</w:t>
      </w:r>
    </w:p>
    <w:p w14:paraId="64EA487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1、乙方货物经过双方检验认可后，签署验收报告，产品保修期自验收合格之日起算。</w:t>
      </w:r>
    </w:p>
    <w:p w14:paraId="4453CB3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2、严格按照招标文件条目进行逐项验收，如有不满足或虚假应标情况，本单位有权拒收货物。</w:t>
      </w:r>
    </w:p>
    <w:p w14:paraId="052A1CF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3、当满足以下所有条件时，甲方才向乙方签发货物验收报告：</w:t>
      </w:r>
    </w:p>
    <w:p w14:paraId="3C389398">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a.乙方已按照合同规定提供了全部产品及完整的技术资料。</w:t>
      </w:r>
    </w:p>
    <w:p w14:paraId="6704C128">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b.货物符合招标文件技术规格书的要求，性能满足要求。</w:t>
      </w:r>
    </w:p>
    <w:p w14:paraId="2C7C9310">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c.货物安装调试成功能正常使用。</w:t>
      </w:r>
    </w:p>
    <w:p w14:paraId="5E95BCCB">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4、货物若有国家标准按照国家标准验收，若无国家标准按行业标准验收，为原制造商制造的全新产品，整机无污染，无侵权行为、表面无划损、无任何缺陷隐患，在中国境内可依常规安全合法使用。</w:t>
      </w:r>
    </w:p>
    <w:p w14:paraId="5BE69D9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5、乙方应将关键主机设备的用户手册、保修手册、有关单证资料及配备件、随机工具等交付给甲方，使用操作及安全须知等重要资料应附有中文说明。</w:t>
      </w:r>
    </w:p>
    <w:p w14:paraId="310889F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6、甲方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AAAB12F">
      <w:pPr>
        <w:spacing w:line="440" w:lineRule="exact"/>
        <w:rPr>
          <w:rFonts w:ascii="CESI仿宋-GB2312" w:hAnsi="CESI仿宋-GB2312" w:eastAsia="CESI仿宋-GB2312" w:cs="CESI仿宋-GB2312"/>
          <w:b/>
          <w:szCs w:val="21"/>
        </w:rPr>
      </w:pPr>
    </w:p>
    <w:p w14:paraId="190B94B6">
      <w:pPr>
        <w:spacing w:line="440" w:lineRule="exact"/>
        <w:rPr>
          <w:rFonts w:ascii="CESI仿宋-GB2312" w:hAnsi="CESI仿宋-GB2312" w:eastAsia="CESI仿宋-GB2312" w:cs="CESI仿宋-GB2312"/>
          <w:b/>
          <w:szCs w:val="21"/>
        </w:rPr>
      </w:pPr>
      <w:r>
        <w:rPr>
          <w:rFonts w:hint="eastAsia" w:ascii="CESI仿宋-GB2312" w:hAnsi="CESI仿宋-GB2312" w:eastAsia="CESI仿宋-GB2312" w:cs="CESI仿宋-GB2312"/>
          <w:b/>
          <w:szCs w:val="21"/>
        </w:rPr>
        <w:t>（四）安装及其他</w:t>
      </w:r>
    </w:p>
    <w:p w14:paraId="10C74DB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需额外提供50米或以上符合标准的新护栏，做为应急损坏维护替换品；乙方除了提供护栏，还需要提供包括非机动车道的标志、标线、标牌以及端头的防撞柱之类的设施配套，所有的护栏及设施都需要进行安装、焊接，并通过打螺丝加以固定。</w:t>
      </w:r>
    </w:p>
    <w:p w14:paraId="5C538217">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2.对于风速较大路段，根据实际需要，护栏每隔4跨或以上采用膨胀螺栓固定于地面；保修期内，乙方需要根据采购方的需求，无条件的将护栏调整到甲方指定地方。</w:t>
      </w:r>
    </w:p>
    <w:p w14:paraId="163EA99A">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第四条 安全生产要求</w:t>
      </w:r>
    </w:p>
    <w:p w14:paraId="2E14C10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须落实安全生产主体责任，应履行安全生产工作职责，并树立安全意识，坚持预防为主，做好防盗、防火、防漏电、防伤亡等防范工作，确保运行安全。并承诺对作业期间所发生的生产、安全和交通等全部事故负责，甲方不承担任何责任。</w:t>
      </w:r>
    </w:p>
    <w:p w14:paraId="3AF1B17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应安排具有相关资质的人员进行本合同所涉的安装调试、投放点施工、运营维护等工作，严格遵守相关法律法规的规定，避免出现安全性、违法类事故。乙方应合理评估作业条件，在作业过程中与相关管理单位进行友好协商，不得发生争吵、打架等事件。涉及乙方作业过程中的各类纠纷、违法案件、突发事故及其相关损失均由乙方自行处理或承担所有责任，与甲方无关。</w:t>
      </w:r>
    </w:p>
    <w:p w14:paraId="57201403">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3、乙方在作业过程中须严格按照《中华人民共和国安全生产法》等相关法律法规要求规定执行。</w:t>
      </w:r>
    </w:p>
    <w:p w14:paraId="5C6FF03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4、乙方须为相关作业人员提供劳动安全保障。</w:t>
      </w:r>
    </w:p>
    <w:p w14:paraId="0AB77FD6">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5、乙方应完成甲方的其他安全生产要求。</w:t>
      </w:r>
    </w:p>
    <w:p w14:paraId="157E457E">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第五条售后服务要求</w:t>
      </w:r>
    </w:p>
    <w:p w14:paraId="7CAD37B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1、乙方应指定专人负责与甲方联系售后服务事宜。</w:t>
      </w:r>
    </w:p>
    <w:p w14:paraId="72EBF04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2、乙方承诺为甲方提供免费保修期</w:t>
      </w:r>
      <w:r>
        <w:rPr>
          <w:rFonts w:hint="eastAsia" w:ascii="CESI仿宋-GB2312" w:hAnsi="CESI仿宋-GB2312" w:eastAsia="CESI仿宋-GB2312" w:cs="CESI仿宋-GB2312"/>
          <w:bCs/>
          <w:szCs w:val="21"/>
          <w:u w:val="single"/>
        </w:rPr>
        <w:t xml:space="preserve">  1 </w:t>
      </w:r>
      <w:r>
        <w:rPr>
          <w:rFonts w:hint="eastAsia" w:ascii="CESI仿宋-GB2312" w:hAnsi="CESI仿宋-GB2312" w:eastAsia="CESI仿宋-GB2312" w:cs="CESI仿宋-GB2312"/>
          <w:bCs/>
          <w:szCs w:val="21"/>
        </w:rPr>
        <w:t>年，免费保修期从合同标的物全部验收合格之日起计算。保修期内，设备如发生移位、破损等，乙方维修人员应在接到故障通知后</w:t>
      </w:r>
      <w:r>
        <w:rPr>
          <w:rFonts w:hint="eastAsia" w:ascii="CESI仿宋-GB2312" w:hAnsi="CESI仿宋-GB2312" w:eastAsia="CESI仿宋-GB2312" w:cs="CESI仿宋-GB2312"/>
          <w:bCs/>
          <w:szCs w:val="21"/>
          <w:u w:val="single"/>
        </w:rPr>
        <w:t xml:space="preserve"> 6 </w:t>
      </w:r>
      <w:r>
        <w:rPr>
          <w:rFonts w:hint="eastAsia" w:ascii="CESI仿宋-GB2312" w:hAnsi="CESI仿宋-GB2312" w:eastAsia="CESI仿宋-GB2312" w:cs="CESI仿宋-GB2312"/>
          <w:bCs/>
          <w:szCs w:val="21"/>
        </w:rPr>
        <w:t>小时内赴故障现场对设备进行抢修；如需更换小部件，应在接到故障通知</w:t>
      </w:r>
      <w:r>
        <w:rPr>
          <w:rFonts w:hint="eastAsia" w:ascii="CESI仿宋-GB2312" w:hAnsi="CESI仿宋-GB2312" w:eastAsia="CESI仿宋-GB2312" w:cs="CESI仿宋-GB2312"/>
          <w:bCs/>
          <w:szCs w:val="21"/>
          <w:u w:val="single"/>
        </w:rPr>
        <w:t xml:space="preserve"> 12</w:t>
      </w:r>
      <w:r>
        <w:rPr>
          <w:rFonts w:hint="eastAsia" w:ascii="CESI仿宋-GB2312" w:hAnsi="CESI仿宋-GB2312" w:eastAsia="CESI仿宋-GB2312" w:cs="CESI仿宋-GB2312"/>
          <w:bCs/>
          <w:szCs w:val="21"/>
        </w:rPr>
        <w:t>小时内更换修理完毕；如要更换大部件，应在接到故障通知10天内更换修理完毕。其他服务：在 24 小时内或紧急情况下，未能修复，提供具有同样功能的设备供使用单位使用。</w:t>
      </w:r>
    </w:p>
    <w:p w14:paraId="7CC26A0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3、保修期内，乙方需根据甲方的需求，无条件将护栏调整到甲方指定地点。</w:t>
      </w:r>
    </w:p>
    <w:p w14:paraId="3311949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4、免费保修期满后，乙方必须继续支持维修，并按成本价标准收取维修及零件费用。</w:t>
      </w:r>
    </w:p>
    <w:p w14:paraId="75ADC258">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第六条合同价款及支付方式</w:t>
      </w:r>
    </w:p>
    <w:p w14:paraId="085D04E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1、合同生效后</w:t>
      </w:r>
      <w:r>
        <w:rPr>
          <w:rFonts w:hint="eastAsia" w:ascii="CESI仿宋-GB2312" w:hAnsi="CESI仿宋-GB2312" w:eastAsia="CESI仿宋-GB2312" w:cs="CESI仿宋-GB2312"/>
          <w:bCs/>
          <w:szCs w:val="21"/>
          <w:u w:val="single"/>
        </w:rPr>
        <w:t>15</w:t>
      </w:r>
      <w:r>
        <w:rPr>
          <w:rFonts w:hint="eastAsia" w:ascii="CESI仿宋-GB2312" w:hAnsi="CESI仿宋-GB2312" w:eastAsia="CESI仿宋-GB2312" w:cs="CESI仿宋-GB2312"/>
          <w:bCs/>
          <w:szCs w:val="21"/>
        </w:rPr>
        <w:t>日内，甲方向乙方支付合同总额的</w:t>
      </w:r>
      <w:r>
        <w:rPr>
          <w:rFonts w:hint="eastAsia" w:ascii="CESI仿宋-GB2312" w:hAnsi="CESI仿宋-GB2312" w:eastAsia="CESI仿宋-GB2312" w:cs="CESI仿宋-GB2312"/>
          <w:bCs/>
          <w:szCs w:val="21"/>
          <w:u w:val="single"/>
        </w:rPr>
        <w:t xml:space="preserve"> 50%</w:t>
      </w:r>
      <w:r>
        <w:rPr>
          <w:rFonts w:hint="eastAsia" w:ascii="CESI仿宋-GB2312" w:hAnsi="CESI仿宋-GB2312" w:eastAsia="CESI仿宋-GB2312" w:cs="CESI仿宋-GB2312"/>
          <w:bCs/>
          <w:szCs w:val="21"/>
        </w:rPr>
        <w:t>，项目经过甲方验收合格后；甲方向乙方支付合同总额的</w:t>
      </w:r>
      <w:r>
        <w:rPr>
          <w:rFonts w:hint="eastAsia" w:ascii="CESI仿宋-GB2312" w:hAnsi="CESI仿宋-GB2312" w:eastAsia="CESI仿宋-GB2312" w:cs="CESI仿宋-GB2312"/>
          <w:bCs/>
          <w:szCs w:val="21"/>
          <w:u w:val="single"/>
        </w:rPr>
        <w:t xml:space="preserve"> 50%</w:t>
      </w:r>
      <w:r>
        <w:rPr>
          <w:rFonts w:hint="eastAsia" w:ascii="CESI仿宋-GB2312" w:hAnsi="CESI仿宋-GB2312" w:eastAsia="CESI仿宋-GB2312" w:cs="CESI仿宋-GB2312"/>
          <w:bCs/>
          <w:szCs w:val="21"/>
        </w:rPr>
        <w:t>。</w:t>
      </w:r>
    </w:p>
    <w:p w14:paraId="6EDE0E08">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2、甲方收到并验收本合同所涉的全部货物，同时，乙方提供等额增值税发票后，甲方按照政府财政审批程序申请本合同所涉的款项，并且在财政资金审核完毕资金到位后，甲方向乙方支付款项。</w:t>
      </w:r>
    </w:p>
    <w:p w14:paraId="5D5E4CE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 xml:space="preserve">3、甲方根据乙方提供的账户信息支付款项，乙方应当保证其提供的账户信息真实、准确，乙方的账户信息发生变化的，应至少于甲方付款前10个工作日内书面通知甲方，否则由此导致的错付、无法支付等所有法律后果均由乙方自行承担。 </w:t>
      </w:r>
    </w:p>
    <w:p w14:paraId="55BC183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 xml:space="preserve">乙方的收款账户信息：  </w:t>
      </w:r>
    </w:p>
    <w:p w14:paraId="5E82942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户名：</w:t>
      </w:r>
    </w:p>
    <w:p w14:paraId="4234FD0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开户行：</w:t>
      </w:r>
    </w:p>
    <w:p w14:paraId="270B91F3">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账号：</w:t>
      </w:r>
    </w:p>
    <w:p w14:paraId="594360F8">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4、甲方付款前，乙方应当向甲方出具符合甲方要求的正式发票，否则甲方有权暂不付款且不承担任何责任。</w:t>
      </w:r>
    </w:p>
    <w:p w14:paraId="4CAAAC54">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5、如因审计或财政拨款审批程序等时间问题导致付款迟延的，不构成甲方违约行为，不承担违约责任。</w:t>
      </w:r>
    </w:p>
    <w:p w14:paraId="54F3FD94">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第七条 权利和义务</w:t>
      </w:r>
    </w:p>
    <w:p w14:paraId="478DBDB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（一）甲方的权利义务</w:t>
      </w:r>
    </w:p>
    <w:p w14:paraId="24FE7C4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1、甲方应在合理时间内接收合同标的物并验收。</w:t>
      </w:r>
    </w:p>
    <w:p w14:paraId="4A98BEA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2、按合同约定支付价款。</w:t>
      </w:r>
    </w:p>
    <w:p w14:paraId="76A0131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（二）乙方的权利义务</w:t>
      </w:r>
    </w:p>
    <w:p w14:paraId="408E8CD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1、乙方应按甲方要求，运送符合合同约定的合同标的物到指定地点，在甲方对标的物确认无误后将标的物交付甲方。</w:t>
      </w:r>
    </w:p>
    <w:p w14:paraId="0C77299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2、乙方不得未经甲方同意，将本合同义务部分或全部转让给第三方。</w:t>
      </w:r>
    </w:p>
    <w:p w14:paraId="513746A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3、乙方应保证提供的标的物无隐藏的质量瑕疵，无任何安全隐患且保证安全包装和运输，如因质量问题导致他人人身、财产受损的，乙方应承担全部赔偿责任，甲方不承担任何责任。</w:t>
      </w:r>
    </w:p>
    <w:p w14:paraId="0A8FA932">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乙方应按相关法律法规与乙方在履行本合同过程中所涉及的乙方相关人员签订劳动或劳务合同，支付乙方相关人员的薪资、五险一金、福利、补贴等全部费用，甲方无需向乙方相关人员支付任何费用，乙方若与乙方相关人员发生任何纠纷与甲方无关，甲方不承担任何责任。</w:t>
      </w:r>
    </w:p>
    <w:p w14:paraId="17872EB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5、乙方相关人员在甲方工作范围内进行标的物的相关作业时须遵守甲方的规章制度，不得影响甲方的工作，如因乙方原因造成他人的人身和财产损失的，乙方应承担全部赔偿责任，甲方不承担任何责任。</w:t>
      </w:r>
    </w:p>
    <w:p w14:paraId="52D32BF1">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6、乙方相关人员在作业期间非因甲方原因遭受人身、财产损害的，或是因个人身体原因突发疾病的，由乙方负责处理和承担相应的赔偿责任，甲方不承担任何责任。</w:t>
      </w:r>
    </w:p>
    <w:p w14:paraId="05CF08B4">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第八条  知识产权</w:t>
      </w:r>
    </w:p>
    <w:p w14:paraId="2C6F97F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1、乙方提供的合同标的物需要使用第三方知识产权的，应取得权利人许可或者授权并由乙方承担费用。</w:t>
      </w:r>
    </w:p>
    <w:p w14:paraId="66CBCB3E">
      <w:pPr>
        <w:spacing w:line="440" w:lineRule="exact"/>
        <w:ind w:firstLine="420" w:firstLineChars="200"/>
        <w:rPr>
          <w:rFonts w:ascii="CESI仿宋-GB2312" w:hAnsi="CESI仿宋-GB2312" w:eastAsia="CESI仿宋-GB2312" w:cs="CESI仿宋-GB2312"/>
          <w:b/>
          <w:szCs w:val="21"/>
        </w:rPr>
      </w:pPr>
      <w:r>
        <w:rPr>
          <w:rFonts w:hint="eastAsia" w:ascii="CESI仿宋-GB2312" w:hAnsi="CESI仿宋-GB2312" w:eastAsia="CESI仿宋-GB2312" w:cs="CESI仿宋-GB2312"/>
          <w:bCs/>
          <w:szCs w:val="21"/>
        </w:rPr>
        <w:t>2、乙方保证所提供的合同标的物不存在侵犯第三方合法权益 (包括但不限于著作权、商标权、专利权等知识产权和物权等)的情形。如果任何第三方提出侵权指控，乙方须与该第三方交涉并承担由此发生的一切责任、费用和赔偿。</w:t>
      </w:r>
    </w:p>
    <w:p w14:paraId="0F5CBC08">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第九条 保密条款</w:t>
      </w:r>
    </w:p>
    <w:p w14:paraId="559D8203">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除本合同另有约定外，乙方对其因履行本合同所知悉的与本项目相关的信息以及甲方其他未公开的信息，应当采取适当有效的方式予以保密。乙方仅得在本合同规定的范围内使用上述资料及信息，未经甲方事先书面同意，不得复制或披露给任何第三方。乙方对保密信息发生的被盗、泄露、或其他有损信息保密性的事件承担全部责任，因此给甲方造成损失的，乙方应予赔偿。</w:t>
      </w:r>
    </w:p>
    <w:p w14:paraId="2A413610">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2、乙方在提供服务过程中接触或产生涉密数据的，应严格按《中华人民共和国保守国家秘密法》以及其他相关法律法规和制度执行。如由于乙方的原因而导致泄密的，乙方应承担一切法律责任。</w:t>
      </w:r>
    </w:p>
    <w:p w14:paraId="364A327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3、未经甲方书面同意，乙方不得出于任何目的向第三方泄露本合同的任何内容及本合同的签订、履行情况，国家司法机关或监管机构要求提供的除外。</w:t>
      </w:r>
    </w:p>
    <w:p w14:paraId="6BE7E3A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4、乙方承担的保密责任期限自本合同签署之日起至甲方公开有关的保密信息之日止。上述保密义务不因本合同的终止、全部或部分条款无效而终止或无效。</w:t>
      </w:r>
    </w:p>
    <w:p w14:paraId="0DD9C715">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第十条 违约责任（可根据实际进行增加相应条款）</w:t>
      </w:r>
    </w:p>
    <w:p w14:paraId="6FF682B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1、乙方每延迟一日交货的，甲方有权扣除合同总价的</w:t>
      </w:r>
      <w:r>
        <w:rPr>
          <w:rFonts w:hint="eastAsia" w:ascii="CESI仿宋-GB2312" w:hAnsi="CESI仿宋-GB2312" w:eastAsia="CESI仿宋-GB2312" w:cs="CESI仿宋-GB2312"/>
          <w:bCs/>
          <w:szCs w:val="21"/>
          <w:u w:val="single"/>
        </w:rPr>
        <w:t xml:space="preserve">1 </w:t>
      </w:r>
      <w:r>
        <w:rPr>
          <w:rFonts w:hint="eastAsia" w:ascii="CESI仿宋-GB2312" w:hAnsi="CESI仿宋-GB2312" w:eastAsia="CESI仿宋-GB2312" w:cs="CESI仿宋-GB2312"/>
          <w:bCs/>
          <w:szCs w:val="21"/>
        </w:rPr>
        <w:t>%作为违约金；逾期达二十日的，甲方有权单方解除合同，并无需支付任何合同款项(甲方已支付的全部款项乙方应无条件退回)，同时乙方还应按照合同总价的</w:t>
      </w:r>
      <w:r>
        <w:rPr>
          <w:rFonts w:hint="eastAsia" w:ascii="CESI仿宋-GB2312" w:hAnsi="CESI仿宋-GB2312" w:eastAsia="CESI仿宋-GB2312" w:cs="CESI仿宋-GB2312"/>
          <w:bCs/>
          <w:szCs w:val="21"/>
          <w:u w:val="single"/>
        </w:rPr>
        <w:t>20%</w:t>
      </w:r>
      <w:r>
        <w:rPr>
          <w:rFonts w:hint="eastAsia" w:ascii="CESI仿宋-GB2312" w:hAnsi="CESI仿宋-GB2312" w:eastAsia="CESI仿宋-GB2312" w:cs="CESI仿宋-GB2312"/>
          <w:bCs/>
          <w:szCs w:val="21"/>
        </w:rPr>
        <w:t>向甲方支付违约金，并赔偿对甲方因此所造成的损失。</w:t>
      </w:r>
    </w:p>
    <w:p w14:paraId="288A6F5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乙方提供的标的物不合格或者品种、型号、规格等与合同约定不符的，或不能完整交付合同标的物及相关单证的，视为未按合同约定交货，甲方有权要求乙方承担无偿更换或者补齐的责任，因此导致延期交付的，乙方应按照上述第1项的约定承担延期交付的违约责任。</w:t>
      </w:r>
    </w:p>
    <w:p w14:paraId="63AEB8B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3、在免费保修期内，乙方未按合同约定提供售后服务的，每次乙方应按照合同总价的10%向甲方支付违约金，并赔偿对甲方因此所造成的损失。</w:t>
      </w:r>
    </w:p>
    <w:p w14:paraId="4FC98441">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4、乙方未经甲方同意将本合同义务部分或全部转让给第三方，甲方有权单方解除合同，并无需支付任何合同款项(甲方已支付的全部款项乙方应无条件退回)，同时乙方还应按照合同总价的30%向甲方支付违约金，并赔偿对甲方因此所造成的损失。</w:t>
      </w:r>
    </w:p>
    <w:p w14:paraId="2D417B82">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5、中标人擅自更换项目服务人员或不按采购人要求更换项目服务人员的，采购人有权要求中标人承担10000元/人次的违约金。发生3次以上时（含本数），中标人应向采购人支付相当于合同总价款20%的违约金，且采购人有权解除本合同。</w:t>
      </w:r>
    </w:p>
    <w:p w14:paraId="7500C91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6、因乙方自身原因单方终止合同履行的，甲方有权不予支付尚未支付的合同款项，同时甲方已支付的款项应无条件退回，乙方还应按照合同总价的</w:t>
      </w:r>
      <w:r>
        <w:rPr>
          <w:rFonts w:hint="eastAsia" w:ascii="CESI仿宋-GB2312" w:hAnsi="CESI仿宋-GB2312" w:eastAsia="CESI仿宋-GB2312" w:cs="CESI仿宋-GB2312"/>
          <w:bCs/>
          <w:szCs w:val="21"/>
          <w:u w:val="single"/>
        </w:rPr>
        <w:t>30%</w:t>
      </w:r>
      <w:r>
        <w:rPr>
          <w:rFonts w:hint="eastAsia" w:ascii="CESI仿宋-GB2312" w:hAnsi="CESI仿宋-GB2312" w:eastAsia="CESI仿宋-GB2312" w:cs="CESI仿宋-GB2312"/>
          <w:bCs/>
          <w:szCs w:val="21"/>
        </w:rPr>
        <w:t>向甲方支付违约金，并赔偿对甲方因此所造成的损失。</w:t>
      </w:r>
    </w:p>
    <w:p w14:paraId="54D67A59">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7、如因乙方提供的产品侵犯第三方知识产权或任何第三方向甲方提出的侵权诉讼或索赔，概由乙方承担一切处理、应诉和赔偿等法律责任，甲方有权单方解除合同，并无需支付任何合同款项(甲方已支付的全部款项乙方应无条件退回)，同时乙方还应按照合同总价的</w:t>
      </w:r>
      <w:r>
        <w:rPr>
          <w:rFonts w:hint="eastAsia" w:ascii="CESI仿宋-GB2312" w:hAnsi="CESI仿宋-GB2312" w:eastAsia="CESI仿宋-GB2312" w:cs="CESI仿宋-GB2312"/>
          <w:bCs/>
          <w:szCs w:val="21"/>
          <w:u w:val="single"/>
        </w:rPr>
        <w:t>30%</w:t>
      </w:r>
      <w:r>
        <w:rPr>
          <w:rFonts w:hint="eastAsia" w:ascii="CESI仿宋-GB2312" w:hAnsi="CESI仿宋-GB2312" w:eastAsia="CESI仿宋-GB2312" w:cs="CESI仿宋-GB2312"/>
          <w:bCs/>
          <w:szCs w:val="21"/>
        </w:rPr>
        <w:t>向甲方支付违约金，并赔偿对甲方因此所造成的损失。</w:t>
      </w:r>
    </w:p>
    <w:p w14:paraId="3151F6A6">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8、乙方违反劳动合同法或其他相关法律法规，未足额或未按时支付乙方服务人员的薪资等费用，或是乙方相关人员向甲方主张支付薪资等费用，以上情形引发乙方相关人员群体到政府部门维权或上访的，乙方应向甲方支付本合同总价款</w:t>
      </w:r>
      <w:r>
        <w:rPr>
          <w:rFonts w:hint="eastAsia" w:ascii="CESI仿宋-GB2312" w:hAnsi="CESI仿宋-GB2312" w:eastAsia="CESI仿宋-GB2312" w:cs="CESI仿宋-GB2312"/>
          <w:bCs/>
          <w:szCs w:val="21"/>
          <w:u w:val="single"/>
        </w:rPr>
        <w:t>30%</w:t>
      </w:r>
      <w:r>
        <w:rPr>
          <w:rFonts w:hint="eastAsia" w:ascii="CESI仿宋-GB2312" w:hAnsi="CESI仿宋-GB2312" w:eastAsia="CESI仿宋-GB2312" w:cs="CESI仿宋-GB2312"/>
          <w:bCs/>
          <w:szCs w:val="21"/>
        </w:rPr>
        <w:t>的违约金，同时甲方有权单方解除本合同，并无需向乙方支付本协议约定的任何费用(甲方已支付的全部款项乙方应无条件退回)，并赔偿对甲方因此所造成的损失。</w:t>
      </w:r>
    </w:p>
    <w:p w14:paraId="0A8CE2D3">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9、乙方如有任何违反本合同所约定的保密条款的行为，甲方有权单方解除合同，并无需支付任何合同款项(甲方已支付的全部款项乙方应无条件退回)，同时乙方还应按照合同总价的</w:t>
      </w:r>
      <w:r>
        <w:rPr>
          <w:rFonts w:hint="eastAsia" w:ascii="CESI仿宋-GB2312" w:hAnsi="CESI仿宋-GB2312" w:eastAsia="CESI仿宋-GB2312" w:cs="CESI仿宋-GB2312"/>
          <w:bCs/>
          <w:szCs w:val="21"/>
          <w:u w:val="single"/>
        </w:rPr>
        <w:t>30%</w:t>
      </w:r>
      <w:r>
        <w:rPr>
          <w:rFonts w:hint="eastAsia" w:ascii="CESI仿宋-GB2312" w:hAnsi="CESI仿宋-GB2312" w:eastAsia="CESI仿宋-GB2312" w:cs="CESI仿宋-GB2312"/>
          <w:bCs/>
          <w:szCs w:val="21"/>
        </w:rPr>
        <w:t>向甲方支付违约金，并赔偿对甲方因此所造成的损失。</w:t>
      </w:r>
    </w:p>
    <w:p w14:paraId="3C53472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10、中标人提供货物损害采购方原有的设备、系统或平台的，采购方有权解除本合同，中标方应退回采购方已支付的全部款项，并向采购方支付合同总价款20%的违约金，赔偿给采购方造成损失，同时采购方应及时修理、恢复有关设备、系统或平台至正常使用状态。</w:t>
      </w:r>
    </w:p>
    <w:p w14:paraId="00190921">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11、因乙方原因导致发生重大安全事故的，甲方有权单方解除合同，并无需支付任何合同款项(甲方已支付的全部款项乙方应无条件退回)，同时乙方应赔偿对甲方因此所造成的损失。</w:t>
      </w:r>
    </w:p>
    <w:p w14:paraId="71D0CEA4">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12、因乙方违约导致甲方支出的律师费、诉讼费、保全费、担保费、公证费、鉴定费、差旅费等费用，由乙方承担。</w:t>
      </w:r>
    </w:p>
    <w:p w14:paraId="44976013">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第十一条 不可抗力</w:t>
      </w:r>
    </w:p>
    <w:p w14:paraId="521E9703">
      <w:pPr>
        <w:spacing w:line="440" w:lineRule="exact"/>
        <w:ind w:firstLine="420" w:firstLineChars="200"/>
        <w:rPr>
          <w:rFonts w:ascii="CESI仿宋-GB2312" w:hAnsi="CESI仿宋-GB2312" w:eastAsia="CESI仿宋-GB2312" w:cs="CESI仿宋-GB2312"/>
          <w:b/>
          <w:szCs w:val="21"/>
        </w:rPr>
      </w:pPr>
      <w:r>
        <w:rPr>
          <w:rFonts w:hint="eastAsia" w:ascii="CESI仿宋-GB2312" w:hAnsi="CESI仿宋-GB2312" w:eastAsia="CESI仿宋-GB2312" w:cs="CESI仿宋-GB2312"/>
          <w:bCs/>
          <w:szCs w:val="21"/>
        </w:rPr>
        <w:t>在本合同履行期间，如甲、乙任何一方因战争(不论是否宣战)、动乱、地震、飓风、洪灾、台风、火山爆发、暴风雨、严重的火灾、政府行为或该方不能合理预见、不能避免并不能克服的任何其他不可抗力事件，致使该方不能全部或部分履行其合同义务或延迟履行合同义务，免除该方的违约责任。</w:t>
      </w:r>
    </w:p>
    <w:p w14:paraId="1DC87695">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第十二条争议的解决</w:t>
      </w:r>
    </w:p>
    <w:p w14:paraId="2B94B24D">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双方因本合同而发生的争议，应首先由甲、乙双方协商解决。如协商不成的，任何一方可向深圳市龙岗区人民法院提起诉讼。</w:t>
      </w:r>
    </w:p>
    <w:p w14:paraId="43AFA239">
      <w:pPr>
        <w:spacing w:line="440" w:lineRule="exact"/>
        <w:ind w:firstLine="422" w:firstLineChars="200"/>
        <w:rPr>
          <w:rFonts w:ascii="CESI仿宋-GB2312" w:hAnsi="CESI仿宋-GB2312" w:eastAsia="CESI仿宋-GB2312" w:cs="CESI仿宋-GB2312"/>
          <w:b/>
          <w:szCs w:val="21"/>
        </w:rPr>
      </w:pPr>
      <w:r>
        <w:rPr>
          <w:rFonts w:hint="eastAsia" w:ascii="CESI仿宋-GB2312" w:hAnsi="CESI仿宋-GB2312" w:eastAsia="CESI仿宋-GB2312" w:cs="CESI仿宋-GB2312"/>
          <w:b/>
          <w:szCs w:val="21"/>
        </w:rPr>
        <w:t>第十三条其他</w:t>
      </w:r>
    </w:p>
    <w:p w14:paraId="25275BFE">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1、本合同未尽事宜，由双方友好协商，达成补充协议，补充协议与本合同具有同等的法律效力。</w:t>
      </w:r>
    </w:p>
    <w:p w14:paraId="02F285B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2、本合同经甲乙双方盖章并经法定代表人或授权代表签字后生效，本合同共一式份，甲方执_____份，乙方执 份，均具同等法律效力。</w:t>
      </w:r>
    </w:p>
    <w:p w14:paraId="3F49C4F3">
      <w:pPr>
        <w:spacing w:line="440" w:lineRule="exact"/>
        <w:rPr>
          <w:rFonts w:ascii="CESI仿宋-GB2312" w:hAnsi="CESI仿宋-GB2312" w:eastAsia="CESI仿宋-GB2312" w:cs="CESI仿宋-GB2312"/>
          <w:bCs/>
          <w:szCs w:val="21"/>
        </w:rPr>
      </w:pPr>
    </w:p>
    <w:p w14:paraId="373AA990">
      <w:pPr>
        <w:pStyle w:val="5"/>
        <w:spacing w:line="440" w:lineRule="exact"/>
        <w:rPr>
          <w:rFonts w:ascii="CESI仿宋-GB2312" w:hAnsi="CESI仿宋-GB2312" w:eastAsia="CESI仿宋-GB2312" w:cs="CESI仿宋-GB2312"/>
          <w:bCs/>
        </w:rPr>
      </w:pPr>
    </w:p>
    <w:p w14:paraId="48E74175">
      <w:pPr>
        <w:spacing w:line="440" w:lineRule="exact"/>
        <w:rPr>
          <w:rFonts w:ascii="CESI仿宋-GB2312" w:hAnsi="CESI仿宋-GB2312" w:eastAsia="CESI仿宋-GB2312" w:cs="CESI仿宋-GB2312"/>
          <w:bCs/>
          <w:szCs w:val="21"/>
        </w:rPr>
      </w:pPr>
    </w:p>
    <w:p w14:paraId="2357C0AB">
      <w:pPr>
        <w:pStyle w:val="5"/>
        <w:rPr>
          <w:rFonts w:ascii="CESI仿宋-GB2312" w:hAnsi="CESI仿宋-GB2312" w:eastAsia="CESI仿宋-GB2312" w:cs="CESI仿宋-GB2312"/>
          <w:bCs/>
        </w:rPr>
      </w:pPr>
    </w:p>
    <w:p w14:paraId="5A303CAF">
      <w:pPr>
        <w:pStyle w:val="6"/>
        <w:rPr>
          <w:rFonts w:ascii="CESI仿宋-GB2312" w:hAnsi="CESI仿宋-GB2312" w:eastAsia="CESI仿宋-GB2312" w:cs="CESI仿宋-GB2312"/>
          <w:szCs w:val="21"/>
        </w:rPr>
      </w:pPr>
    </w:p>
    <w:p w14:paraId="73D8F493">
      <w:pPr>
        <w:pStyle w:val="5"/>
        <w:spacing w:line="440" w:lineRule="exact"/>
        <w:rPr>
          <w:rFonts w:ascii="CESI仿宋-GB2312" w:hAnsi="CESI仿宋-GB2312" w:eastAsia="CESI仿宋-GB2312" w:cs="CESI仿宋-GB2312"/>
        </w:rPr>
      </w:pPr>
    </w:p>
    <w:p w14:paraId="16DB4864">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 xml:space="preserve">甲方（盖章）：深圳市龙岗区布吉街道办事处    乙方（盖章）： </w:t>
      </w:r>
    </w:p>
    <w:p w14:paraId="7D56C6D5">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负责人（签字或盖章）：                      法定代表人（签字或盖章）：</w:t>
      </w:r>
    </w:p>
    <w:p w14:paraId="391F3F76">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经办人（签字或盖章）：                      授权代理人（签字或盖章）：</w:t>
      </w:r>
    </w:p>
    <w:p w14:paraId="482DDCE8">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经办人（签字或盖章）：</w:t>
      </w:r>
    </w:p>
    <w:p w14:paraId="77B54AEC">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 xml:space="preserve">单位地址：深圳市龙岗区                     单位地址： </w:t>
      </w:r>
    </w:p>
    <w:p w14:paraId="1B49AAEB">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邮政编码：                                 邮政编码：</w:t>
      </w:r>
    </w:p>
    <w:p w14:paraId="31FE260F">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联系电话：                                 联系电话：</w:t>
      </w:r>
    </w:p>
    <w:p w14:paraId="3A096DAA">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传    真：                                 传    真：</w:t>
      </w:r>
    </w:p>
    <w:p w14:paraId="2EF0EEBC">
      <w:pPr>
        <w:spacing w:line="440" w:lineRule="exact"/>
        <w:ind w:firstLine="420" w:firstLineChars="200"/>
        <w:rPr>
          <w:rFonts w:ascii="CESI仿宋-GB2312" w:hAnsi="CESI仿宋-GB2312" w:eastAsia="CESI仿宋-GB2312" w:cs="CESI仿宋-GB2312"/>
          <w:bCs/>
          <w:szCs w:val="21"/>
        </w:rPr>
      </w:pPr>
    </w:p>
    <w:p w14:paraId="3B3E1664">
      <w:pPr>
        <w:spacing w:line="440" w:lineRule="exact"/>
        <w:ind w:firstLine="420" w:firstLineChars="200"/>
        <w:rPr>
          <w:rFonts w:ascii="CESI仿宋-GB2312" w:hAnsi="CESI仿宋-GB2312" w:eastAsia="CESI仿宋-GB2312" w:cs="CESI仿宋-GB2312"/>
          <w:bCs/>
          <w:szCs w:val="21"/>
        </w:rPr>
      </w:pPr>
      <w:r>
        <w:rPr>
          <w:rFonts w:hint="eastAsia" w:ascii="CESI仿宋-GB2312" w:hAnsi="CESI仿宋-GB2312" w:eastAsia="CESI仿宋-GB2312" w:cs="CESI仿宋-GB2312"/>
          <w:bCs/>
          <w:szCs w:val="21"/>
        </w:rPr>
        <w:t>签约地点：</w:t>
      </w:r>
    </w:p>
    <w:p w14:paraId="69988284">
      <w:pPr>
        <w:spacing w:line="440" w:lineRule="exact"/>
        <w:ind w:firstLine="420" w:firstLineChars="200"/>
        <w:rPr>
          <w:rFonts w:ascii="CESI仿宋-GB2312" w:hAnsi="CESI仿宋-GB2312" w:eastAsia="CESI仿宋-GB2312" w:cs="CESI仿宋-GB2312"/>
          <w:szCs w:val="21"/>
          <w:highlight w:val="yellow"/>
        </w:rPr>
      </w:pPr>
      <w:r>
        <w:rPr>
          <w:rFonts w:hint="eastAsia" w:ascii="CESI仿宋-GB2312" w:hAnsi="CESI仿宋-GB2312" w:eastAsia="CESI仿宋-GB2312" w:cs="CESI仿宋-GB2312"/>
          <w:bCs/>
          <w:szCs w:val="21"/>
        </w:rPr>
        <w:t>签约时间：    年    月    日</w:t>
      </w:r>
    </w:p>
    <w:p w14:paraId="67335220">
      <w:pPr>
        <w:pStyle w:val="6"/>
        <w:spacing w:line="440" w:lineRule="exact"/>
        <w:rPr>
          <w:rFonts w:ascii="CESI仿宋-GB2312" w:hAnsi="CESI仿宋-GB2312" w:eastAsia="CESI仿宋-GB2312" w:cs="CESI仿宋-GB2312"/>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C86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A7E5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FA7E5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96504"/>
    <w:multiLevelType w:val="singleLevel"/>
    <w:tmpl w:val="FFD96504"/>
    <w:lvl w:ilvl="0" w:tentative="0">
      <w:start w:val="2"/>
      <w:numFmt w:val="chineseCounting"/>
      <w:suff w:val="nothing"/>
      <w:lvlText w:val="%1、"/>
      <w:lvlJc w:val="left"/>
      <w:rPr>
        <w:rFonts w:hint="eastAsia"/>
      </w:rPr>
    </w:lvl>
  </w:abstractNum>
  <w:abstractNum w:abstractNumId="1">
    <w:nsid w:val="2393505F"/>
    <w:multiLevelType w:val="singleLevel"/>
    <w:tmpl w:val="2393505F"/>
    <w:lvl w:ilvl="0" w:tentative="0">
      <w:start w:val="2"/>
      <w:numFmt w:val="chineseCounting"/>
      <w:suff w:val="nothing"/>
      <w:lvlText w:val="（%1）"/>
      <w:lvlJc w:val="left"/>
      <w:rPr>
        <w:rFonts w:hint="eastAsia"/>
      </w:rPr>
    </w:lvl>
  </w:abstractNum>
  <w:abstractNum w:abstractNumId="2">
    <w:nsid w:val="7F7E182F"/>
    <w:multiLevelType w:val="singleLevel"/>
    <w:tmpl w:val="7F7E182F"/>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7001C"/>
    <w:rsid w:val="00132C52"/>
    <w:rsid w:val="00473EBB"/>
    <w:rsid w:val="00D72DE4"/>
    <w:rsid w:val="00D76A0F"/>
    <w:rsid w:val="00DE014E"/>
    <w:rsid w:val="00E6260C"/>
    <w:rsid w:val="00F94020"/>
    <w:rsid w:val="01D65E2E"/>
    <w:rsid w:val="032C3258"/>
    <w:rsid w:val="055C3037"/>
    <w:rsid w:val="06C905F6"/>
    <w:rsid w:val="06ED4932"/>
    <w:rsid w:val="077548C2"/>
    <w:rsid w:val="0C1A731B"/>
    <w:rsid w:val="0E0B38F0"/>
    <w:rsid w:val="0EB6260B"/>
    <w:rsid w:val="0ECF17F5"/>
    <w:rsid w:val="10FE1B6B"/>
    <w:rsid w:val="13492DC7"/>
    <w:rsid w:val="13CC58CF"/>
    <w:rsid w:val="157B1C8A"/>
    <w:rsid w:val="16CD11C5"/>
    <w:rsid w:val="174E12FF"/>
    <w:rsid w:val="176B4B90"/>
    <w:rsid w:val="17CE60BA"/>
    <w:rsid w:val="193719DD"/>
    <w:rsid w:val="1DD51824"/>
    <w:rsid w:val="1F177A3C"/>
    <w:rsid w:val="21821CC3"/>
    <w:rsid w:val="235F406A"/>
    <w:rsid w:val="2C173088"/>
    <w:rsid w:val="2CCB2715"/>
    <w:rsid w:val="2DFCDCC0"/>
    <w:rsid w:val="2E3569FF"/>
    <w:rsid w:val="2E7FC2B7"/>
    <w:rsid w:val="2EEE2BF6"/>
    <w:rsid w:val="2FEFBF2E"/>
    <w:rsid w:val="2FFEF472"/>
    <w:rsid w:val="304E047D"/>
    <w:rsid w:val="34145E6A"/>
    <w:rsid w:val="355F5309"/>
    <w:rsid w:val="36541A28"/>
    <w:rsid w:val="37555A58"/>
    <w:rsid w:val="384653A1"/>
    <w:rsid w:val="38E64CB3"/>
    <w:rsid w:val="3C593721"/>
    <w:rsid w:val="3C682428"/>
    <w:rsid w:val="3DFB12DE"/>
    <w:rsid w:val="3F739A96"/>
    <w:rsid w:val="3FF34CA4"/>
    <w:rsid w:val="41CF1D2F"/>
    <w:rsid w:val="4642364B"/>
    <w:rsid w:val="4A1947CF"/>
    <w:rsid w:val="4FAC0962"/>
    <w:rsid w:val="506E4383"/>
    <w:rsid w:val="54F2B2DE"/>
    <w:rsid w:val="55287EB0"/>
    <w:rsid w:val="57B92E88"/>
    <w:rsid w:val="581035A9"/>
    <w:rsid w:val="58BC103B"/>
    <w:rsid w:val="595B637C"/>
    <w:rsid w:val="59EFC061"/>
    <w:rsid w:val="5BDBD2D1"/>
    <w:rsid w:val="5FBA64A3"/>
    <w:rsid w:val="5FCF5AF8"/>
    <w:rsid w:val="5FDFDBC6"/>
    <w:rsid w:val="5FF6FEC7"/>
    <w:rsid w:val="60AE4332"/>
    <w:rsid w:val="64137F7D"/>
    <w:rsid w:val="67E5938A"/>
    <w:rsid w:val="67F9FDF5"/>
    <w:rsid w:val="68FE1B30"/>
    <w:rsid w:val="6D40699A"/>
    <w:rsid w:val="6FE905AD"/>
    <w:rsid w:val="6FFC0672"/>
    <w:rsid w:val="7172202D"/>
    <w:rsid w:val="72595021"/>
    <w:rsid w:val="72CD6C4A"/>
    <w:rsid w:val="72F62F44"/>
    <w:rsid w:val="7395275D"/>
    <w:rsid w:val="741C71FD"/>
    <w:rsid w:val="759ACA9B"/>
    <w:rsid w:val="75DA4505"/>
    <w:rsid w:val="777D9309"/>
    <w:rsid w:val="77CB7BB8"/>
    <w:rsid w:val="7B3F59EA"/>
    <w:rsid w:val="7BCF2819"/>
    <w:rsid w:val="7BEA3964"/>
    <w:rsid w:val="7CDE8679"/>
    <w:rsid w:val="7D5EF0B8"/>
    <w:rsid w:val="7DF78FBB"/>
    <w:rsid w:val="7E505BFE"/>
    <w:rsid w:val="7ECBEFFA"/>
    <w:rsid w:val="7EFE1DE1"/>
    <w:rsid w:val="7EFF3522"/>
    <w:rsid w:val="7F5BF669"/>
    <w:rsid w:val="7F5F2FB3"/>
    <w:rsid w:val="7F7B6749"/>
    <w:rsid w:val="7F7F4E40"/>
    <w:rsid w:val="7FFBC5F3"/>
    <w:rsid w:val="7FFFBFD6"/>
    <w:rsid w:val="9CF7E1F2"/>
    <w:rsid w:val="9DDFFFDB"/>
    <w:rsid w:val="9F3D2661"/>
    <w:rsid w:val="ACFF9649"/>
    <w:rsid w:val="AEFBE780"/>
    <w:rsid w:val="B64C205B"/>
    <w:rsid w:val="B9ED1119"/>
    <w:rsid w:val="BB3BF8D0"/>
    <w:rsid w:val="BBAD459D"/>
    <w:rsid w:val="BD2BDF91"/>
    <w:rsid w:val="BD5DBECD"/>
    <w:rsid w:val="BFF5B010"/>
    <w:rsid w:val="CDE76715"/>
    <w:rsid w:val="CED9F0F5"/>
    <w:rsid w:val="CFEC013A"/>
    <w:rsid w:val="D7CB2537"/>
    <w:rsid w:val="D9F97491"/>
    <w:rsid w:val="DDFBEA9F"/>
    <w:rsid w:val="DFFF7409"/>
    <w:rsid w:val="E75FB08E"/>
    <w:rsid w:val="EBFFC6F1"/>
    <w:rsid w:val="EDBF0125"/>
    <w:rsid w:val="F7CFA7D4"/>
    <w:rsid w:val="F7F6F5F9"/>
    <w:rsid w:val="F99F756E"/>
    <w:rsid w:val="FADE8554"/>
    <w:rsid w:val="FBF37F5F"/>
    <w:rsid w:val="FBFDC1BF"/>
    <w:rsid w:val="FF934932"/>
    <w:rsid w:val="FFBB3DCA"/>
    <w:rsid w:val="FFD61098"/>
    <w:rsid w:val="FFFDF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adjustRightInd w:val="0"/>
      <w:jc w:val="center"/>
      <w:textAlignment w:val="baseline"/>
      <w:outlineLvl w:val="1"/>
    </w:pPr>
    <w:rPr>
      <w:rFonts w:ascii="宋体" w:hAnsi="宋体"/>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rFonts w:ascii="Times New Roman" w:hAnsi="Times New Roman" w:cs="Times New Roman"/>
      <w:szCs w:val="21"/>
    </w:rPr>
  </w:style>
  <w:style w:type="paragraph" w:styleId="6">
    <w:name w:val="Body Text"/>
    <w:basedOn w:val="1"/>
    <w:next w:val="7"/>
    <w:qFormat/>
    <w:uiPriority w:val="0"/>
  </w:style>
  <w:style w:type="paragraph" w:styleId="7">
    <w:name w:val="Body Text 2"/>
    <w:basedOn w:val="1"/>
    <w:qFormat/>
    <w:uiPriority w:val="0"/>
    <w:pPr>
      <w:spacing w:after="120" w:line="480" w:lineRule="auto"/>
    </w:pPr>
  </w:style>
  <w:style w:type="paragraph" w:styleId="8">
    <w:name w:val="annotation text"/>
    <w:basedOn w:val="1"/>
    <w:link w:val="24"/>
    <w:qFormat/>
    <w:uiPriority w:val="0"/>
    <w:pPr>
      <w:jc w:val="left"/>
    </w:pPr>
  </w:style>
  <w:style w:type="paragraph" w:styleId="9">
    <w:name w:val="Plain Text"/>
    <w:basedOn w:val="1"/>
    <w:semiHidden/>
    <w:unhideWhenUsed/>
    <w:qFormat/>
    <w:uiPriority w:val="99"/>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99"/>
  </w:style>
  <w:style w:type="paragraph" w:styleId="14">
    <w:name w:val="annotation subject"/>
    <w:basedOn w:val="8"/>
    <w:next w:val="8"/>
    <w:link w:val="25"/>
    <w:qFormat/>
    <w:uiPriority w:val="0"/>
    <w:rPr>
      <w:b/>
      <w:bCs/>
    </w:r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TOC Heading2"/>
    <w:next w:val="1"/>
    <w:qFormat/>
    <w:uiPriority w:val="0"/>
    <w:pPr>
      <w:wordWrap w:val="0"/>
    </w:pPr>
    <w:rPr>
      <w:rFonts w:ascii="Calibri" w:hAnsi="Calibri" w:eastAsia="宋体" w:cs="Times New Roman"/>
      <w:sz w:val="32"/>
      <w:szCs w:val="22"/>
      <w:lang w:val="en-US" w:eastAsia="zh-CN" w:bidi="ar-SA"/>
    </w:rPr>
  </w:style>
  <w:style w:type="paragraph" w:customStyle="1" w:styleId="21">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style>
  <w:style w:type="character" w:customStyle="1" w:styleId="23">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4">
    <w:name w:val="批注文字 Char"/>
    <w:basedOn w:val="16"/>
    <w:link w:val="8"/>
    <w:qFormat/>
    <w:uiPriority w:val="0"/>
    <w:rPr>
      <w:rFonts w:asciiTheme="minorHAnsi" w:hAnsiTheme="minorHAnsi" w:eastAsiaTheme="minorEastAsia" w:cstheme="minorBidi"/>
      <w:kern w:val="2"/>
      <w:sz w:val="21"/>
      <w:szCs w:val="24"/>
    </w:rPr>
  </w:style>
  <w:style w:type="character" w:customStyle="1" w:styleId="25">
    <w:name w:val="批注主题 Char"/>
    <w:basedOn w:val="24"/>
    <w:link w:val="14"/>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11895</Words>
  <Characters>12331</Characters>
  <Lines>132</Lines>
  <Paragraphs>37</Paragraphs>
  <TotalTime>49</TotalTime>
  <ScaleCrop>false</ScaleCrop>
  <LinksUpToDate>false</LinksUpToDate>
  <CharactersWithSpaces>12365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2018-07-21T15:11:00Z</dcterms:created>
  <dc:creator>d</dc:creator>
  <cp:lastModifiedBy>kid</cp:lastModifiedBy>
  <cp:lastPrinted>2025-09-04T22:17:00Z</cp:lastPrinted>
  <dcterms:modified xsi:type="dcterms:W3CDTF">2025-09-29T08:20:29Z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62359A3E564744808F2671ED9DAFD3AE_13</vt:lpwstr>
  </property>
  <property fmtid="{D5CDD505-2E9C-101B-9397-08002B2CF9AE}" pid="4" name="KSOTemplateDocerSaveRecord">
    <vt:lpwstr>eyJoZGlkIjoiMDkyN2JiZWExZTU5NTY1MjkyNzYyYTVlZGFiOWRkZjAiLCJ1c2VySWQiOiIxMzM2MTM2MDE1In0=</vt:lpwstr>
  </property>
</Properties>
</file>