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sz w:val="32"/>
          <w:szCs w:val="32"/>
          <w:lang w:val="en-US" w:eastAsia="zh-CN"/>
        </w:rPr>
      </w:pPr>
      <w:r>
        <w:rPr>
          <w:rFonts w:hint="eastAsia"/>
          <w:b/>
          <w:bCs/>
          <w:sz w:val="32"/>
          <w:szCs w:val="32"/>
          <w:lang w:val="en-US" w:eastAsia="zh-CN"/>
        </w:rPr>
        <w:t>平湖社小散工程评分细则</w:t>
      </w:r>
    </w:p>
    <w:tbl>
      <w:tblPr>
        <w:tblStyle w:val="5"/>
        <w:tblW w:w="150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383"/>
        <w:gridCol w:w="1383"/>
        <w:gridCol w:w="11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567" w:type="dxa"/>
          </w:tcPr>
          <w:p>
            <w:pPr>
              <w:rPr>
                <w:rFonts w:hint="default"/>
                <w:b/>
                <w:bCs/>
                <w:sz w:val="32"/>
                <w:szCs w:val="32"/>
                <w:vertAlign w:val="baseline"/>
                <w:lang w:val="en-US" w:eastAsia="zh-CN"/>
              </w:rPr>
            </w:pPr>
            <w:r>
              <w:rPr>
                <w:rFonts w:ascii="宋体" w:hAnsi="宋体" w:eastAsia="宋体" w:cs="宋体"/>
                <w:b/>
                <w:bCs/>
                <w:kern w:val="0"/>
                <w:sz w:val="24"/>
                <w:szCs w:val="24"/>
                <w:lang w:val="en-US" w:eastAsia="zh-CN" w:bidi="ar"/>
              </w:rPr>
              <w:t>序号</w:t>
            </w:r>
          </w:p>
        </w:tc>
        <w:tc>
          <w:tcPr>
            <w:tcW w:w="1383" w:type="dxa"/>
          </w:tcPr>
          <w:p>
            <w:pPr>
              <w:rPr>
                <w:rFonts w:hint="default"/>
                <w:b/>
                <w:bCs/>
                <w:sz w:val="32"/>
                <w:szCs w:val="32"/>
                <w:vertAlign w:val="baseline"/>
                <w:lang w:val="en-US" w:eastAsia="zh-CN"/>
              </w:rPr>
            </w:pPr>
            <w:r>
              <w:rPr>
                <w:rFonts w:ascii="宋体" w:hAnsi="宋体" w:eastAsia="宋体" w:cs="宋体"/>
                <w:b/>
                <w:bCs/>
                <w:kern w:val="0"/>
                <w:sz w:val="24"/>
                <w:szCs w:val="24"/>
                <w:lang w:val="en-US" w:eastAsia="zh-CN" w:bidi="ar"/>
              </w:rPr>
              <w:t>评审项目</w:t>
            </w:r>
          </w:p>
        </w:tc>
        <w:tc>
          <w:tcPr>
            <w:tcW w:w="1383" w:type="dxa"/>
          </w:tcPr>
          <w:p>
            <w:pPr>
              <w:keepNext w:val="0"/>
              <w:keepLines w:val="0"/>
              <w:widowControl/>
              <w:suppressLineNumbers w:val="0"/>
              <w:jc w:val="left"/>
              <w:rPr>
                <w:rFonts w:ascii="宋体" w:hAnsi="宋体" w:eastAsia="宋体" w:cs="宋体"/>
                <w:b/>
                <w:bCs/>
                <w:kern w:val="0"/>
                <w:sz w:val="24"/>
                <w:szCs w:val="24"/>
                <w:lang w:val="en-US" w:eastAsia="zh-CN" w:bidi="ar"/>
              </w:rPr>
            </w:pPr>
            <w:r>
              <w:rPr>
                <w:rFonts w:ascii="宋体" w:hAnsi="宋体" w:eastAsia="宋体" w:cs="宋体"/>
                <w:b/>
                <w:bCs/>
                <w:kern w:val="0"/>
                <w:sz w:val="24"/>
                <w:szCs w:val="24"/>
                <w:lang w:val="en-US" w:eastAsia="zh-CN" w:bidi="ar"/>
              </w:rPr>
              <w:t>分值</w:t>
            </w:r>
          </w:p>
          <w:p>
            <w:pPr>
              <w:rPr>
                <w:rFonts w:hint="default"/>
                <w:b/>
                <w:bCs/>
                <w:sz w:val="32"/>
                <w:szCs w:val="32"/>
                <w:vertAlign w:val="baseline"/>
                <w:lang w:val="en-US" w:eastAsia="zh-CN"/>
              </w:rPr>
            </w:pPr>
          </w:p>
        </w:tc>
        <w:tc>
          <w:tcPr>
            <w:tcW w:w="11681" w:type="dxa"/>
          </w:tcPr>
          <w:p>
            <w:pPr>
              <w:rPr>
                <w:rFonts w:hint="default"/>
                <w:b/>
                <w:bCs/>
                <w:sz w:val="32"/>
                <w:szCs w:val="32"/>
                <w:vertAlign w:val="baseline"/>
                <w:lang w:val="en-US" w:eastAsia="zh-CN"/>
              </w:rPr>
            </w:pPr>
            <w:r>
              <w:rPr>
                <w:rFonts w:ascii="宋体" w:hAnsi="宋体" w:eastAsia="宋体" w:cs="宋体"/>
                <w:b/>
                <w:bCs/>
                <w:kern w:val="0"/>
                <w:sz w:val="24"/>
                <w:szCs w:val="24"/>
                <w:lang w:val="en-US" w:eastAsia="zh-CN" w:bidi="ar"/>
              </w:rPr>
              <w:t>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7" w:type="dxa"/>
          </w:tcPr>
          <w:p>
            <w:pPr>
              <w:rPr>
                <w:rFonts w:hint="eastAsia" w:asciiTheme="majorEastAsia" w:hAnsiTheme="majorEastAsia" w:eastAsiaTheme="majorEastAsia" w:cstheme="majorEastAsia"/>
                <w:b w:val="0"/>
                <w:bCs w:val="0"/>
                <w:sz w:val="24"/>
                <w:szCs w:val="24"/>
                <w:vertAlign w:val="baseline"/>
                <w:lang w:val="en-US" w:eastAsia="zh-CN"/>
              </w:rPr>
            </w:pPr>
            <w:r>
              <w:rPr>
                <w:rFonts w:hint="eastAsia" w:asciiTheme="majorEastAsia" w:hAnsiTheme="majorEastAsia" w:eastAsiaTheme="majorEastAsia" w:cstheme="majorEastAsia"/>
                <w:b w:val="0"/>
                <w:bCs w:val="0"/>
                <w:sz w:val="24"/>
                <w:szCs w:val="24"/>
                <w:vertAlign w:val="baseline"/>
                <w:lang w:val="en-US" w:eastAsia="zh-CN"/>
              </w:rPr>
              <w:t>1</w:t>
            </w:r>
          </w:p>
        </w:tc>
        <w:tc>
          <w:tcPr>
            <w:tcW w:w="1383" w:type="dxa"/>
          </w:tcPr>
          <w:p>
            <w:pPr>
              <w:rPr>
                <w:rFonts w:hint="default"/>
                <w:b/>
                <w:bCs/>
                <w:sz w:val="32"/>
                <w:szCs w:val="32"/>
                <w:vertAlign w:val="baseline"/>
                <w:lang w:val="en-US" w:eastAsia="zh-CN"/>
              </w:rPr>
            </w:pPr>
            <w:r>
              <w:rPr>
                <w:rFonts w:ascii="宋体" w:hAnsi="宋体" w:eastAsia="宋体" w:cs="宋体"/>
                <w:kern w:val="0"/>
                <w:sz w:val="24"/>
                <w:szCs w:val="24"/>
                <w:lang w:val="en-US" w:eastAsia="zh-CN" w:bidi="ar"/>
              </w:rPr>
              <w:t>投标报价（</w:t>
            </w:r>
            <w:r>
              <w:rPr>
                <w:rFonts w:hint="eastAsia" w:ascii="宋体" w:hAnsi="宋体" w:cs="宋体"/>
                <w:kern w:val="0"/>
                <w:sz w:val="24"/>
                <w:szCs w:val="24"/>
                <w:lang w:val="en-US" w:eastAsia="zh-CN" w:bidi="ar"/>
              </w:rPr>
              <w:t>35分</w:t>
            </w:r>
            <w:r>
              <w:rPr>
                <w:rFonts w:ascii="宋体" w:hAnsi="宋体" w:eastAsia="宋体" w:cs="宋体"/>
                <w:kern w:val="0"/>
                <w:sz w:val="24"/>
                <w:szCs w:val="24"/>
                <w:lang w:val="en-US" w:eastAsia="zh-CN" w:bidi="ar"/>
              </w:rPr>
              <w:t>）</w:t>
            </w:r>
          </w:p>
        </w:tc>
        <w:tc>
          <w:tcPr>
            <w:tcW w:w="1383" w:type="dxa"/>
          </w:tcPr>
          <w:p>
            <w:pPr>
              <w:rPr>
                <w:rFonts w:hint="default"/>
                <w:b/>
                <w:bCs/>
                <w:sz w:val="32"/>
                <w:szCs w:val="32"/>
                <w:vertAlign w:val="baseline"/>
                <w:lang w:val="en-US" w:eastAsia="zh-CN"/>
              </w:rPr>
            </w:pPr>
            <w:r>
              <w:rPr>
                <w:rFonts w:hint="eastAsia" w:ascii="宋体" w:hAnsi="宋体" w:cs="宋体"/>
                <w:kern w:val="0"/>
                <w:sz w:val="24"/>
                <w:szCs w:val="24"/>
                <w:lang w:val="en-US" w:eastAsia="zh-CN" w:bidi="ar"/>
              </w:rPr>
              <w:t>35</w:t>
            </w:r>
            <w:r>
              <w:rPr>
                <w:rFonts w:ascii="宋体" w:hAnsi="宋体" w:eastAsia="宋体" w:cs="宋体"/>
                <w:kern w:val="0"/>
                <w:sz w:val="24"/>
                <w:szCs w:val="24"/>
                <w:lang w:val="en-US" w:eastAsia="zh-CN" w:bidi="ar"/>
              </w:rPr>
              <w:t xml:space="preserve"> 分</w:t>
            </w:r>
          </w:p>
        </w:tc>
        <w:tc>
          <w:tcPr>
            <w:tcW w:w="11681" w:type="dxa"/>
          </w:tcPr>
          <w:p>
            <w:pPr>
              <w:rPr>
                <w:rFonts w:hint="default"/>
                <w:b/>
                <w:bCs/>
                <w:sz w:val="32"/>
                <w:szCs w:val="32"/>
                <w:vertAlign w:val="baseline"/>
                <w:lang w:val="en-US" w:eastAsia="zh-CN"/>
              </w:rPr>
            </w:pPr>
            <w:r>
              <w:rPr>
                <w:rStyle w:val="3"/>
                <w:rFonts w:ascii="宋体" w:hAnsi="宋体" w:eastAsia="宋体" w:cs="宋体"/>
                <w:kern w:val="0"/>
                <w:sz w:val="24"/>
                <w:szCs w:val="24"/>
                <w:lang w:val="en-US" w:eastAsia="zh-CN" w:bidi="ar"/>
              </w:rPr>
              <w:t>经评审合理低价法</w:t>
            </w:r>
            <w:r>
              <w:rPr>
                <w:rFonts w:ascii="宋体" w:hAnsi="宋体" w:eastAsia="宋体" w:cs="宋体"/>
                <w:kern w:val="0"/>
                <w:sz w:val="24"/>
                <w:szCs w:val="24"/>
                <w:lang w:val="en-US" w:eastAsia="zh-CN" w:bidi="ar"/>
              </w:rPr>
              <w:t>1. 以有效投标人报价去掉异常高低价后的评标基准价；2. 投标报价 = 基准价得满分</w:t>
            </w:r>
            <w:r>
              <w:rPr>
                <w:rFonts w:hint="eastAsia" w:ascii="宋体" w:hAnsi="宋体" w:cs="宋体"/>
                <w:kern w:val="0"/>
                <w:sz w:val="24"/>
                <w:szCs w:val="24"/>
                <w:lang w:val="en-US" w:eastAsia="zh-CN" w:bidi="ar"/>
              </w:rPr>
              <w:t>35</w:t>
            </w:r>
            <w:r>
              <w:rPr>
                <w:rFonts w:ascii="宋体" w:hAnsi="宋体" w:eastAsia="宋体" w:cs="宋体"/>
                <w:kern w:val="0"/>
                <w:sz w:val="24"/>
                <w:szCs w:val="24"/>
                <w:lang w:val="en-US" w:eastAsia="zh-CN" w:bidi="ar"/>
              </w:rPr>
              <w:t xml:space="preserve"> 分；3. 报价低于基准价</w:t>
            </w:r>
            <w:r>
              <w:rPr>
                <w:rFonts w:hint="eastAsia" w:ascii="宋体" w:hAnsi="宋体" w:cs="宋体"/>
                <w:kern w:val="0"/>
                <w:sz w:val="24"/>
                <w:szCs w:val="24"/>
                <w:lang w:val="en-US" w:eastAsia="zh-CN" w:bidi="ar"/>
              </w:rPr>
              <w:t>10</w:t>
            </w:r>
            <w:r>
              <w:rPr>
                <w:rStyle w:val="3"/>
                <w:rFonts w:ascii="宋体" w:hAnsi="宋体" w:eastAsia="宋体" w:cs="宋体"/>
                <w:kern w:val="0"/>
                <w:sz w:val="24"/>
                <w:szCs w:val="24"/>
                <w:lang w:val="en-US" w:eastAsia="zh-CN" w:bidi="ar"/>
              </w:rPr>
              <w:t>% 及以上</w:t>
            </w:r>
            <w:r>
              <w:rPr>
                <w:rFonts w:ascii="宋体" w:hAnsi="宋体" w:eastAsia="宋体" w:cs="宋体"/>
                <w:kern w:val="0"/>
                <w:sz w:val="24"/>
                <w:szCs w:val="24"/>
                <w:lang w:val="en-US" w:eastAsia="zh-CN" w:bidi="ar"/>
              </w:rPr>
              <w:t>视为异常低价，要求投标人提交成本说明，无法证明的直接否决投标，防止低价烂尾。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7" w:type="dxa"/>
            <w:vMerge w:val="restart"/>
          </w:tcPr>
          <w:p>
            <w:pPr>
              <w:rPr>
                <w:rFonts w:hint="eastAsia" w:asciiTheme="majorEastAsia" w:hAnsiTheme="majorEastAsia" w:eastAsiaTheme="majorEastAsia" w:cstheme="majorEastAsia"/>
                <w:b w:val="0"/>
                <w:bCs w:val="0"/>
                <w:sz w:val="24"/>
                <w:szCs w:val="24"/>
                <w:vertAlign w:val="baseline"/>
                <w:lang w:val="en-US" w:eastAsia="zh-CN"/>
              </w:rPr>
            </w:pPr>
            <w:r>
              <w:rPr>
                <w:rFonts w:hint="eastAsia" w:asciiTheme="majorEastAsia" w:hAnsiTheme="majorEastAsia" w:eastAsiaTheme="majorEastAsia" w:cstheme="majorEastAsia"/>
                <w:b w:val="0"/>
                <w:bCs w:val="0"/>
                <w:sz w:val="24"/>
                <w:szCs w:val="24"/>
                <w:vertAlign w:val="baseline"/>
                <w:lang w:val="en-US" w:eastAsia="zh-CN"/>
              </w:rPr>
              <w:t>2</w:t>
            </w:r>
          </w:p>
        </w:tc>
        <w:tc>
          <w:tcPr>
            <w:tcW w:w="1383" w:type="dxa"/>
            <w:vMerge w:val="restart"/>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商务部分（33分）</w:t>
            </w:r>
          </w:p>
        </w:tc>
        <w:tc>
          <w:tcPr>
            <w:tcW w:w="1383"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企业资质10分</w:t>
            </w:r>
          </w:p>
        </w:tc>
        <w:tc>
          <w:tcPr>
            <w:tcW w:w="11681"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同时</w:t>
            </w:r>
            <w:bookmarkStart w:id="0" w:name="_GoBack"/>
            <w:bookmarkEnd w:id="0"/>
            <w:r>
              <w:rPr>
                <w:rFonts w:hint="eastAsia" w:ascii="宋体" w:hAnsi="宋体" w:cs="宋体"/>
                <w:kern w:val="0"/>
                <w:sz w:val="24"/>
                <w:szCs w:val="24"/>
                <w:lang w:val="en-US" w:eastAsia="zh-CN" w:bidi="ar"/>
              </w:rPr>
              <w:t>具备建筑工程施工总承包二级、建筑装修装饰二级、特种工程（结构补强）不分等级资质得10分，缺任意一项本项不得分。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7" w:type="dxa"/>
            <w:vMerge w:val="continue"/>
          </w:tcPr>
          <w:p>
            <w:pPr>
              <w:rPr>
                <w:rFonts w:hint="default"/>
                <w:b/>
                <w:bCs/>
                <w:sz w:val="32"/>
                <w:szCs w:val="32"/>
                <w:vertAlign w:val="baseline"/>
                <w:lang w:val="en-US" w:eastAsia="zh-CN"/>
              </w:rPr>
            </w:pPr>
          </w:p>
        </w:tc>
        <w:tc>
          <w:tcPr>
            <w:tcW w:w="1383" w:type="dxa"/>
            <w:vMerge w:val="continue"/>
          </w:tcPr>
          <w:p>
            <w:pPr>
              <w:rPr>
                <w:rFonts w:hint="default"/>
                <w:b/>
                <w:bCs/>
                <w:sz w:val="32"/>
                <w:szCs w:val="32"/>
                <w:vertAlign w:val="baseline"/>
                <w:lang w:val="en-US" w:eastAsia="zh-CN"/>
              </w:rPr>
            </w:pPr>
          </w:p>
        </w:tc>
        <w:tc>
          <w:tcPr>
            <w:tcW w:w="1383"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项目经理（8分）</w:t>
            </w:r>
          </w:p>
        </w:tc>
        <w:tc>
          <w:tcPr>
            <w:tcW w:w="11681"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eastAsia="宋体" w:cs="宋体"/>
                <w:kern w:val="0"/>
                <w:sz w:val="24"/>
                <w:szCs w:val="24"/>
                <w:lang w:val="en-US" w:eastAsia="zh-CN" w:bidi="ar"/>
              </w:rPr>
              <w:t xml:space="preserve"> 拟派项目经理具备建筑工程专业二级注册建造师证书及安全生产考核B证得5分；项目经理近3年内担任过含结构加固装修改造项目负责人（提供合同证明材料）得3分；无建造师证或B证本项0分。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7" w:type="dxa"/>
            <w:vMerge w:val="continue"/>
          </w:tcPr>
          <w:p>
            <w:pPr>
              <w:rPr>
                <w:rFonts w:hint="default"/>
                <w:b/>
                <w:bCs/>
                <w:sz w:val="32"/>
                <w:szCs w:val="32"/>
                <w:vertAlign w:val="baseline"/>
                <w:lang w:val="en-US" w:eastAsia="zh-CN"/>
              </w:rPr>
            </w:pPr>
          </w:p>
        </w:tc>
        <w:tc>
          <w:tcPr>
            <w:tcW w:w="1383" w:type="dxa"/>
            <w:vMerge w:val="continue"/>
          </w:tcPr>
          <w:p>
            <w:pPr>
              <w:rPr>
                <w:rFonts w:hint="default"/>
                <w:b/>
                <w:bCs/>
                <w:sz w:val="32"/>
                <w:szCs w:val="32"/>
                <w:vertAlign w:val="baseline"/>
                <w:lang w:val="en-US" w:eastAsia="zh-CN"/>
              </w:rPr>
            </w:pPr>
          </w:p>
        </w:tc>
        <w:tc>
          <w:tcPr>
            <w:tcW w:w="1383"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同类业绩（11分）</w:t>
            </w:r>
          </w:p>
        </w:tc>
        <w:tc>
          <w:tcPr>
            <w:tcW w:w="11681"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eastAsia="宋体" w:cs="宋体"/>
                <w:kern w:val="0"/>
                <w:sz w:val="24"/>
                <w:szCs w:val="24"/>
                <w:lang w:val="en-US" w:eastAsia="zh-CN" w:bidi="ar"/>
              </w:rPr>
              <w:t xml:space="preserve"> 投标人近3年内，完成含结构补强/加固的建筑装修改造工程业绩：提供1项合格业绩得4分，每多提供1项合格业绩加3.5分，本项最高11分；业绩合同须体现结构加固相关内容，否则不计分。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7" w:type="dxa"/>
            <w:vMerge w:val="continue"/>
          </w:tcPr>
          <w:p>
            <w:pPr>
              <w:rPr>
                <w:rFonts w:hint="default"/>
                <w:b/>
                <w:bCs/>
                <w:sz w:val="32"/>
                <w:szCs w:val="32"/>
                <w:vertAlign w:val="baseline"/>
                <w:lang w:val="en-US" w:eastAsia="zh-CN"/>
              </w:rPr>
            </w:pPr>
          </w:p>
        </w:tc>
        <w:tc>
          <w:tcPr>
            <w:tcW w:w="1383" w:type="dxa"/>
            <w:vMerge w:val="continue"/>
          </w:tcPr>
          <w:p>
            <w:pPr>
              <w:rPr>
                <w:rFonts w:hint="default"/>
                <w:b/>
                <w:bCs/>
                <w:sz w:val="32"/>
                <w:szCs w:val="32"/>
                <w:vertAlign w:val="baseline"/>
                <w:lang w:val="en-US" w:eastAsia="zh-CN"/>
              </w:rPr>
            </w:pPr>
          </w:p>
        </w:tc>
        <w:tc>
          <w:tcPr>
            <w:tcW w:w="1383"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信用情况（4分）</w:t>
            </w:r>
          </w:p>
        </w:tc>
        <w:tc>
          <w:tcPr>
            <w:tcW w:w="11681"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eastAsia="宋体" w:cs="宋体"/>
                <w:kern w:val="0"/>
                <w:sz w:val="24"/>
                <w:szCs w:val="24"/>
                <w:lang w:val="en-US" w:eastAsia="zh-CN" w:bidi="ar"/>
              </w:rPr>
              <w:t xml:space="preserve"> 投标人未列入失信被执行人、重大税收违法失信主体、政府采购严重违法失信名单得2分；提供近3年无安全生产处罚承诺得2分；经查实存在失信记录本项0分。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7" w:type="dxa"/>
            <w:vMerge w:val="restart"/>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3</w:t>
            </w:r>
          </w:p>
        </w:tc>
        <w:tc>
          <w:tcPr>
            <w:tcW w:w="1383" w:type="dxa"/>
            <w:vMerge w:val="restart"/>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技术方案（32分）</w:t>
            </w:r>
          </w:p>
        </w:tc>
        <w:tc>
          <w:tcPr>
            <w:tcW w:w="1383"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施工方案（12分）</w:t>
            </w:r>
          </w:p>
        </w:tc>
        <w:tc>
          <w:tcPr>
            <w:tcW w:w="11681"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 xml:space="preserve"> 施工部署、工序安排、拆除保护、结构加固专项方案、文明施工方案完整程度打分。方案完整针对性强10-12分；方案基本齐全6-9分；缺失关键内容0-5分。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7" w:type="dxa"/>
            <w:vMerge w:val="continue"/>
          </w:tcPr>
          <w:p>
            <w:pPr>
              <w:rPr>
                <w:rFonts w:hint="default"/>
                <w:b/>
                <w:bCs/>
                <w:sz w:val="32"/>
                <w:szCs w:val="32"/>
                <w:vertAlign w:val="baseline"/>
                <w:lang w:val="en-US" w:eastAsia="zh-CN"/>
              </w:rPr>
            </w:pPr>
          </w:p>
        </w:tc>
        <w:tc>
          <w:tcPr>
            <w:tcW w:w="1383" w:type="dxa"/>
            <w:vMerge w:val="continue"/>
          </w:tcPr>
          <w:p>
            <w:pPr>
              <w:rPr>
                <w:rFonts w:hint="default"/>
                <w:b/>
                <w:bCs/>
                <w:sz w:val="32"/>
                <w:szCs w:val="32"/>
                <w:vertAlign w:val="baseline"/>
                <w:lang w:val="en-US" w:eastAsia="zh-CN"/>
              </w:rPr>
            </w:pPr>
          </w:p>
        </w:tc>
        <w:tc>
          <w:tcPr>
            <w:tcW w:w="1383"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安全保障（8分）</w:t>
            </w:r>
          </w:p>
        </w:tc>
        <w:tc>
          <w:tcPr>
            <w:tcW w:w="11681"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eastAsia="宋体" w:cs="宋体"/>
                <w:kern w:val="0"/>
                <w:sz w:val="24"/>
                <w:szCs w:val="24"/>
                <w:lang w:val="en-US" w:eastAsia="zh-CN" w:bidi="ar"/>
              </w:rPr>
              <w:t xml:space="preserve"> 依据安全管理体系、现场危险源辨识、结构加固安全专项措施、应急处置预案、安全教育培训、安全防护配置完整性打分。内容完善6-8分；基本齐全3-5分；内容简陋缺失0-2分。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7" w:type="dxa"/>
            <w:vMerge w:val="continue"/>
          </w:tcPr>
          <w:p>
            <w:pPr>
              <w:rPr>
                <w:rFonts w:hint="default"/>
                <w:b/>
                <w:bCs/>
                <w:sz w:val="32"/>
                <w:szCs w:val="32"/>
                <w:vertAlign w:val="baseline"/>
                <w:lang w:val="en-US" w:eastAsia="zh-CN"/>
              </w:rPr>
            </w:pPr>
          </w:p>
        </w:tc>
        <w:tc>
          <w:tcPr>
            <w:tcW w:w="1383" w:type="dxa"/>
            <w:vMerge w:val="continue"/>
          </w:tcPr>
          <w:p>
            <w:pPr>
              <w:rPr>
                <w:rFonts w:hint="default"/>
                <w:b/>
                <w:bCs/>
                <w:sz w:val="32"/>
                <w:szCs w:val="32"/>
                <w:vertAlign w:val="baseline"/>
                <w:lang w:val="en-US" w:eastAsia="zh-CN"/>
              </w:rPr>
            </w:pPr>
          </w:p>
        </w:tc>
        <w:tc>
          <w:tcPr>
            <w:tcW w:w="1383"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工期计划（6分）</w:t>
            </w:r>
          </w:p>
        </w:tc>
        <w:tc>
          <w:tcPr>
            <w:tcW w:w="11681"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eastAsia="宋体" w:cs="宋体"/>
                <w:kern w:val="0"/>
                <w:sz w:val="24"/>
                <w:szCs w:val="24"/>
                <w:lang w:val="en-US" w:eastAsia="zh-CN" w:bidi="ar"/>
              </w:rPr>
              <w:t xml:space="preserve">依据工期安排合理性、进度横道图/网络图、结构补强工序节点、工期保障措施、工期延误应急预案打分。计划合理措施齐全5-6分；计划基本可行2-4分；计划粗糙不合理0-1分。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7" w:type="dxa"/>
            <w:vMerge w:val="continue"/>
          </w:tcPr>
          <w:p>
            <w:pPr>
              <w:rPr>
                <w:rFonts w:hint="default"/>
                <w:b/>
                <w:bCs/>
                <w:sz w:val="32"/>
                <w:szCs w:val="32"/>
                <w:vertAlign w:val="baseline"/>
                <w:lang w:val="en-US" w:eastAsia="zh-CN"/>
              </w:rPr>
            </w:pPr>
          </w:p>
        </w:tc>
        <w:tc>
          <w:tcPr>
            <w:tcW w:w="1383" w:type="dxa"/>
            <w:vMerge w:val="continue"/>
          </w:tcPr>
          <w:p>
            <w:pPr>
              <w:rPr>
                <w:rFonts w:hint="default"/>
                <w:b/>
                <w:bCs/>
                <w:sz w:val="32"/>
                <w:szCs w:val="32"/>
                <w:vertAlign w:val="baseline"/>
                <w:lang w:val="en-US" w:eastAsia="zh-CN"/>
              </w:rPr>
            </w:pPr>
          </w:p>
        </w:tc>
        <w:tc>
          <w:tcPr>
            <w:tcW w:w="1383"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cs="宋体"/>
                <w:kern w:val="0"/>
                <w:sz w:val="24"/>
                <w:szCs w:val="24"/>
                <w:lang w:val="en-US" w:eastAsia="zh-CN" w:bidi="ar"/>
              </w:rPr>
              <w:t>质保服务（6分）</w:t>
            </w:r>
          </w:p>
        </w:tc>
        <w:tc>
          <w:tcPr>
            <w:tcW w:w="11681" w:type="dxa"/>
            <w:vAlign w:val="center"/>
          </w:tcPr>
          <w:p>
            <w:pPr>
              <w:keepNext w:val="0"/>
              <w:keepLines w:val="0"/>
              <w:widowControl/>
              <w:suppressLineNumbers w:val="0"/>
              <w:jc w:val="left"/>
              <w:rPr>
                <w:rFonts w:hint="default"/>
                <w:b/>
                <w:bCs/>
                <w:sz w:val="32"/>
                <w:szCs w:val="32"/>
                <w:vertAlign w:val="baseline"/>
                <w:lang w:val="en-US" w:eastAsia="zh-CN"/>
              </w:rPr>
            </w:pPr>
            <w:r>
              <w:rPr>
                <w:rFonts w:hint="eastAsia" w:ascii="宋体" w:hAnsi="宋体" w:eastAsia="宋体" w:cs="宋体"/>
                <w:kern w:val="0"/>
                <w:sz w:val="24"/>
                <w:szCs w:val="24"/>
                <w:lang w:val="en-US" w:eastAsia="zh-CN" w:bidi="ar"/>
              </w:rPr>
              <w:t xml:space="preserve"> 质保年限满足招标文件最低要求（结构加固质保不少于5年，普通装修质保不少于2年）得3分；承诺延长质保年限、配备专人售后、应急维修方案完善，酌情再加0~3分；不满足最低质保年限本项0分。</w:t>
            </w:r>
          </w:p>
        </w:tc>
      </w:tr>
    </w:tbl>
    <w:p>
      <w:pPr>
        <w:rPr>
          <w:rFonts w:hint="default"/>
          <w:b/>
          <w:bCs/>
          <w:sz w:val="32"/>
          <w:szCs w:val="32"/>
          <w:lang w:val="en-US" w:eastAsia="zh-CN"/>
        </w:rPr>
      </w:pPr>
    </w:p>
    <w:p/>
    <w:sectPr>
      <w:pgSz w:w="16838" w:h="11906" w:orient="landscape"/>
      <w:pgMar w:top="1380" w:right="60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6D1F9B"/>
    <w:rsid w:val="1E6D1F9B"/>
    <w:rsid w:val="419068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2">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character" w:styleId="3">
    <w:name w:val="Strong"/>
    <w:basedOn w:val="2"/>
    <w:qFormat/>
    <w:uiPriority w:val="0"/>
    <w:rPr>
      <w:b/>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2026-10-14T07:54:00Z</dcterms:created>
  <dc:creator>admin</dc:creator>
  <cp:lastModifiedBy>admin</cp:lastModifiedBy>
  <dcterms:modified xsi:type="dcterms:W3CDTF">2026-10-21T08:31:51Z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