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098EB">
      <w:pPr>
        <w:spacing w:line="560" w:lineRule="exact"/>
        <w:jc w:val="cente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pPr>
    </w:p>
    <w:p w14:paraId="3C7FA96B">
      <w:pPr>
        <w:spacing w:line="56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广东深汕投资控股集团有限公司中期票据及公司债券律师专项咨询服务询价函</w:t>
      </w:r>
    </w:p>
    <w:p w14:paraId="089342EB">
      <w:pPr>
        <w:spacing w:line="560" w:lineRule="exact"/>
        <w:jc w:val="left"/>
        <w:rPr>
          <w:rFonts w:ascii="黑体" w:hAnsi="黑体" w:eastAsia="黑体" w:cs="黑体"/>
          <w:color w:val="000000" w:themeColor="text1"/>
          <w:szCs w:val="32"/>
          <w14:textFill>
            <w14:solidFill>
              <w14:schemeClr w14:val="tx1"/>
            </w14:solidFill>
          </w14:textFill>
        </w:rPr>
      </w:pPr>
    </w:p>
    <w:p w14:paraId="147AEB12">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1.招标人及项目名称</w:t>
      </w:r>
    </w:p>
    <w:p w14:paraId="4A98BFC5">
      <w:pPr>
        <w:ind w:firstLine="640" w:firstLineChars="200"/>
        <w:rPr>
          <w:rFonts w:hint="eastAsia" w:ascii="仿宋_GB2312" w:eastAsia="仿宋_GB2312"/>
          <w:color w:val="000000" w:themeColor="text1"/>
          <w:lang w:eastAsia="zh-CN"/>
          <w14:textFill>
            <w14:solidFill>
              <w14:schemeClr w14:val="tx1"/>
            </w14:solidFill>
          </w14:textFill>
        </w:rPr>
      </w:pPr>
      <w:r>
        <w:rPr>
          <w:rFonts w:hint="eastAsia" w:ascii="仿宋_GB2312"/>
          <w:color w:val="000000" w:themeColor="text1"/>
          <w14:textFill>
            <w14:solidFill>
              <w14:schemeClr w14:val="tx1"/>
            </w14:solidFill>
          </w14:textFill>
        </w:rPr>
        <w:t>1.1招标人：</w:t>
      </w:r>
      <w:r>
        <w:rPr>
          <w:rFonts w:hint="eastAsia" w:ascii="仿宋_GB2312"/>
          <w:color w:val="000000" w:themeColor="text1"/>
          <w:lang w:eastAsia="zh-CN"/>
          <w14:textFill>
            <w14:solidFill>
              <w14:schemeClr w14:val="tx1"/>
            </w14:solidFill>
          </w14:textFill>
        </w:rPr>
        <w:t>广东深汕投资控股集团有限公司</w:t>
      </w:r>
    </w:p>
    <w:p w14:paraId="6101C52D">
      <w:pPr>
        <w:ind w:firstLine="640" w:firstLineChars="200"/>
        <w:rPr>
          <w:rFonts w:hint="eastAsia" w:ascii="仿宋_GB2312" w:eastAsia="仿宋_GB2312"/>
          <w:color w:val="000000" w:themeColor="text1"/>
          <w:lang w:eastAsia="zh-CN"/>
          <w14:textFill>
            <w14:solidFill>
              <w14:schemeClr w14:val="tx1"/>
            </w14:solidFill>
          </w14:textFill>
        </w:rPr>
      </w:pPr>
      <w:r>
        <w:rPr>
          <w:rFonts w:hint="eastAsia" w:ascii="仿宋_GB2312"/>
          <w:color w:val="000000" w:themeColor="text1"/>
          <w14:textFill>
            <w14:solidFill>
              <w14:schemeClr w14:val="tx1"/>
            </w14:solidFill>
          </w14:textFill>
        </w:rPr>
        <w:t>1.2项目名称：</w:t>
      </w:r>
      <w:r>
        <w:rPr>
          <w:rFonts w:hint="eastAsia" w:ascii="仿宋_GB2312"/>
          <w:color w:val="000000" w:themeColor="text1"/>
          <w:lang w:eastAsia="zh-CN"/>
          <w14:textFill>
            <w14:solidFill>
              <w14:schemeClr w14:val="tx1"/>
            </w14:solidFill>
          </w14:textFill>
        </w:rPr>
        <w:t>广东深汕投资控股集团有限公司中期票据及公司债券律师专项咨询服务</w:t>
      </w:r>
    </w:p>
    <w:p w14:paraId="67126AF1">
      <w:pPr>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2.项目规模及特征</w:t>
      </w:r>
    </w:p>
    <w:p w14:paraId="11E467C5">
      <w:pPr>
        <w:ind w:firstLine="640" w:firstLineChars="200"/>
        <w:rPr>
          <w:rFonts w:hint="eastAsia"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本次招选的服务单位需为集团公司中期票据及公司债券所涉及的持有人会议提供法律服务，服务内容包括但不限于在会议召开期间需由律师全程监督，并发表相关法律意见、出具法律意见书等。</w:t>
      </w:r>
    </w:p>
    <w:p w14:paraId="30D6DF23">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3.</w:t>
      </w:r>
      <w:r>
        <w:rPr>
          <w:rFonts w:hint="eastAsia" w:ascii="黑体" w:hAnsi="黑体" w:eastAsia="黑体" w:cs="黑体"/>
          <w:color w:val="000000" w:themeColor="text1"/>
          <w14:textFill>
            <w14:solidFill>
              <w14:schemeClr w14:val="tx1"/>
            </w14:solidFill>
          </w14:textFill>
        </w:rPr>
        <w:t>招标范围</w:t>
      </w:r>
    </w:p>
    <w:p w14:paraId="3E3AFE42">
      <w:pPr>
        <w:ind w:firstLine="640" w:firstLineChars="200"/>
        <w:rPr>
          <w:rFonts w:hint="eastAsia"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14:textFill>
            <w14:solidFill>
              <w14:schemeClr w14:val="tx1"/>
            </w14:solidFill>
          </w14:textFill>
        </w:rPr>
        <w:t>本</w:t>
      </w:r>
      <w:r>
        <w:rPr>
          <w:rFonts w:hint="eastAsia" w:ascii="仿宋_GB2312" w:hAnsi="仿宋" w:cs="仿宋"/>
          <w:color w:val="000000" w:themeColor="text1"/>
          <w:szCs w:val="32"/>
          <w:lang w:val="en-US" w:eastAsia="zh-CN"/>
          <w14:textFill>
            <w14:solidFill>
              <w14:schemeClr w14:val="tx1"/>
            </w14:solidFill>
          </w14:textFill>
        </w:rPr>
        <w:t>项目</w:t>
      </w:r>
      <w:r>
        <w:rPr>
          <w:rFonts w:hint="eastAsia" w:ascii="仿宋_GB2312" w:hAnsi="仿宋" w:cs="仿宋"/>
          <w:color w:val="000000" w:themeColor="text1"/>
          <w:szCs w:val="32"/>
          <w14:textFill>
            <w14:solidFill>
              <w14:schemeClr w14:val="tx1"/>
            </w14:solidFill>
          </w14:textFill>
        </w:rPr>
        <w:t>拟招选一家律师咨询机构</w:t>
      </w:r>
      <w:r>
        <w:rPr>
          <w:rFonts w:hint="eastAsia" w:ascii="仿宋_GB2312" w:hAnsi="仿宋" w:cs="仿宋"/>
          <w:color w:val="000000" w:themeColor="text1"/>
          <w:szCs w:val="32"/>
          <w:lang w:eastAsia="zh-CN"/>
          <w14:textFill>
            <w14:solidFill>
              <w14:schemeClr w14:val="tx1"/>
            </w14:solidFill>
          </w14:textFill>
        </w:rPr>
        <w:t>，</w:t>
      </w:r>
      <w:r>
        <w:rPr>
          <w:rFonts w:hint="eastAsia" w:ascii="仿宋_GB2312" w:hAnsi="仿宋" w:cs="仿宋"/>
          <w:color w:val="000000" w:themeColor="text1"/>
          <w:szCs w:val="32"/>
          <w14:textFill>
            <w14:solidFill>
              <w14:schemeClr w14:val="tx1"/>
            </w14:solidFill>
          </w14:textFill>
        </w:rPr>
        <w:t>服务范围包括但不限于：在每次持有人会议召开时，在持有人会议召开日确定参会人员，通报会议是否有效，对公告内容及异议期全程监督，并通报异议情况，发表相关法律意见并出具《法律意见书》（律师签字盖章）等，参与每次债券持有人会议全过程服务。配合交易所、交易商协会、证监会的检查与问询，提供法律解释与合规说明等，以及其他相关的工作事项等。</w:t>
      </w:r>
    </w:p>
    <w:p w14:paraId="7838FAD2">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4</w:t>
      </w:r>
      <w:r>
        <w:rPr>
          <w:rFonts w:hint="eastAsia" w:ascii="黑体" w:hAnsi="黑体" w:eastAsia="黑体" w:cs="黑体"/>
          <w:color w:val="000000" w:themeColor="text1"/>
          <w14:textFill>
            <w14:solidFill>
              <w14:schemeClr w14:val="tx1"/>
            </w14:solidFill>
          </w14:textFill>
        </w:rPr>
        <w:t>.投标上限价</w:t>
      </w:r>
    </w:p>
    <w:p w14:paraId="3CFB4A1E">
      <w:pPr>
        <w:ind w:firstLine="64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本项目</w:t>
      </w:r>
      <w:r>
        <w:rPr>
          <w:rFonts w:hint="eastAsia"/>
          <w:color w:val="000000" w:themeColor="text1"/>
          <w:lang w:val="en-US" w:eastAsia="zh-CN"/>
          <w14:textFill>
            <w14:solidFill>
              <w14:schemeClr w14:val="tx1"/>
            </w14:solidFill>
          </w14:textFill>
        </w:rPr>
        <w:t>单次会议</w:t>
      </w:r>
      <w:r>
        <w:rPr>
          <w:rFonts w:hint="eastAsia"/>
          <w:color w:val="000000" w:themeColor="text1"/>
          <w14:textFill>
            <w14:solidFill>
              <w14:schemeClr w14:val="tx1"/>
            </w14:solidFill>
          </w14:textFill>
        </w:rPr>
        <w:t>投</w:t>
      </w:r>
      <w:r>
        <w:rPr>
          <w:rFonts w:hint="eastAsia" w:ascii="仿宋_GB2312"/>
          <w:color w:val="000000" w:themeColor="text1"/>
          <w14:textFill>
            <w14:solidFill>
              <w14:schemeClr w14:val="tx1"/>
            </w14:solidFill>
          </w14:textFill>
        </w:rPr>
        <w:t>标</w:t>
      </w:r>
      <w:r>
        <w:rPr>
          <w:rFonts w:hint="eastAsia" w:ascii="仿宋_GB2312"/>
          <w:color w:val="000000" w:themeColor="text1"/>
          <w:lang w:val="en-US" w:eastAsia="zh-CN"/>
          <w14:textFill>
            <w14:solidFill>
              <w14:schemeClr w14:val="tx1"/>
            </w14:solidFill>
          </w14:textFill>
        </w:rPr>
        <w:t>报价</w:t>
      </w:r>
      <w:r>
        <w:rPr>
          <w:rFonts w:hint="eastAsia" w:ascii="仿宋_GB2312"/>
          <w:color w:val="000000" w:themeColor="text1"/>
          <w14:textFill>
            <w14:solidFill>
              <w14:schemeClr w14:val="tx1"/>
            </w14:solidFill>
          </w14:textFill>
        </w:rPr>
        <w:t>上限价为</w:t>
      </w:r>
      <w:r>
        <w:rPr>
          <w:rFonts w:hint="eastAsia" w:ascii="仿宋_GB2312"/>
          <w:color w:val="000000" w:themeColor="text1"/>
          <w:lang w:val="en-US" w:eastAsia="zh-CN"/>
          <w14:textFill>
            <w14:solidFill>
              <w14:schemeClr w14:val="tx1"/>
            </w14:solidFill>
          </w14:textFill>
        </w:rPr>
        <w:t>3</w:t>
      </w:r>
      <w:r>
        <w:rPr>
          <w:rFonts w:hint="eastAsia" w:ascii="仿宋_GB2312"/>
          <w:color w:val="000000" w:themeColor="text1"/>
          <w14:textFill>
            <w14:solidFill>
              <w14:schemeClr w14:val="tx1"/>
            </w14:solidFill>
          </w14:textFill>
        </w:rPr>
        <w:t>万元</w:t>
      </w:r>
      <w:r>
        <w:rPr>
          <w:rFonts w:hint="eastAsia" w:ascii="仿宋_GB2312"/>
          <w:color w:val="000000" w:themeColor="text1"/>
          <w:lang w:eastAsia="zh-CN"/>
          <w14:textFill>
            <w14:solidFill>
              <w14:schemeClr w14:val="tx1"/>
            </w14:solidFill>
          </w14:textFill>
        </w:rPr>
        <w:t>，</w:t>
      </w:r>
      <w:r>
        <w:rPr>
          <w:rFonts w:hint="eastAsia" w:ascii="仿宋_GB2312"/>
          <w:color w:val="000000" w:themeColor="text1"/>
          <w:lang w:val="en-US" w:eastAsia="zh-CN"/>
          <w14:textFill>
            <w14:solidFill>
              <w14:schemeClr w14:val="tx1"/>
            </w14:solidFill>
          </w14:textFill>
        </w:rPr>
        <w:t>暂定会议召开次数为6次（以实际发生次数为准），总投标报价上限价为18万元</w:t>
      </w:r>
      <w:r>
        <w:rPr>
          <w:rFonts w:hint="eastAsia" w:ascii="仿宋_GB2312"/>
          <w:color w:val="000000" w:themeColor="text1"/>
          <w14:textFill>
            <w14:solidFill>
              <w14:schemeClr w14:val="tx1"/>
            </w14:solidFill>
          </w14:textFill>
        </w:rPr>
        <w:t>。</w:t>
      </w:r>
    </w:p>
    <w:p w14:paraId="0F57363F">
      <w:pPr>
        <w:ind w:firstLine="640" w:firstLineChars="200"/>
        <w:rPr>
          <w:rFonts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14:textFill>
            <w14:solidFill>
              <w14:schemeClr w14:val="tx1"/>
            </w14:solidFill>
          </w14:textFill>
        </w:rPr>
        <w:t>投标报价应包含完成本项目所需的全部费用，包括但不限于实施和完成合同工作所需的人员工资、社会福利、各种津贴、技术服务费、现场费用(包括办公及生活设施、设备、通讯费用)、管理费、保险、利润和税金、差旅费、交通费、不可预见费、全部基础资料和后续服务费用等全部费用，以及合同明示或暗示的所有风险、责任和义务。</w:t>
      </w:r>
    </w:p>
    <w:p w14:paraId="1FC8BE18">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5</w:t>
      </w:r>
      <w:r>
        <w:rPr>
          <w:rFonts w:hint="eastAsia" w:ascii="黑体" w:hAnsi="黑体" w:eastAsia="黑体" w:cs="黑体"/>
          <w:color w:val="000000" w:themeColor="text1"/>
          <w14:textFill>
            <w14:solidFill>
              <w14:schemeClr w14:val="tx1"/>
            </w14:solidFill>
          </w14:textFill>
        </w:rPr>
        <w:t>.投标资格条件要求</w:t>
      </w:r>
    </w:p>
    <w:p w14:paraId="25C06324">
      <w:pPr>
        <w:ind w:firstLine="640"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（1）投标人须具有《律师事务所执业许可证》。</w:t>
      </w:r>
    </w:p>
    <w:p w14:paraId="09E6E7C6">
      <w:pPr>
        <w:ind w:firstLine="640"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（2）投标人或其总所需在证监会完成从事证券法律业务备案，并提供完成备案证明文件；投标人不存在被监管部门限制债券承销或参与债券发行业务活动资格的情形，签字人员不存在被监管机构处罚的情况。</w:t>
      </w:r>
    </w:p>
    <w:p w14:paraId="50407366">
      <w:pPr>
        <w:ind w:firstLine="640"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（3）投标人或其总所需为中国银行间市场交易商协会会员单位，并提供会员证明文件；投标人及签字人员不存在被中国银行间市场交易商协会处分或禁入的情况。</w:t>
      </w:r>
    </w:p>
    <w:p w14:paraId="733162D3">
      <w:pPr>
        <w:ind w:firstLine="640" w:firstLineChars="200"/>
        <w:rPr>
          <w:rFonts w:hint="default" w:ascii="仿宋_GB2312" w:eastAsia="仿宋_GB2312"/>
          <w:color w:val="000000" w:themeColor="text1"/>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（4）本项目不接受联合体投标，中标后不允许转包、分包。</w:t>
      </w:r>
    </w:p>
    <w:p w14:paraId="48A93D20">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w:t>
      </w:r>
      <w:r>
        <w:rPr>
          <w:rFonts w:hint="eastAsia" w:ascii="黑体" w:hAnsi="黑体" w:eastAsia="黑体" w:cs="黑体"/>
          <w:color w:val="000000" w:themeColor="text1"/>
          <w14:textFill>
            <w14:solidFill>
              <w14:schemeClr w14:val="tx1"/>
            </w14:solidFill>
          </w14:textFill>
        </w:rPr>
        <w:t>.服务期</w:t>
      </w:r>
    </w:p>
    <w:p w14:paraId="1F9AD3DC">
      <w:pPr>
        <w:ind w:firstLine="640" w:firstLineChars="200"/>
        <w:rPr>
          <w:rFonts w:ascii="仿宋_GB2312"/>
          <w:color w:val="000000" w:themeColor="text1"/>
          <w14:textFill>
            <w14:solidFill>
              <w14:schemeClr w14:val="tx1"/>
            </w14:solidFill>
          </w14:textFill>
        </w:rPr>
      </w:pPr>
      <w:bookmarkStart w:id="0" w:name="OLE_LINK7"/>
      <w:r>
        <w:rPr>
          <w:rFonts w:hint="eastAsia" w:ascii="仿宋_GB2312"/>
          <w:color w:val="000000" w:themeColor="text1"/>
          <w14:textFill>
            <w14:solidFill>
              <w14:schemeClr w14:val="tx1"/>
            </w14:solidFill>
          </w14:textFill>
        </w:rPr>
        <w:t>自签订服务协议起至2029年12月31日。</w:t>
      </w:r>
    </w:p>
    <w:bookmarkEnd w:id="0"/>
    <w:p w14:paraId="07BE3D4D">
      <w:p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7</w:t>
      </w:r>
      <w:r>
        <w:rPr>
          <w:rFonts w:hint="eastAsia" w:ascii="黑体" w:hAnsi="黑体" w:eastAsia="黑体" w:cs="黑体"/>
          <w:color w:val="000000" w:themeColor="text1"/>
          <w14:textFill>
            <w14:solidFill>
              <w14:schemeClr w14:val="tx1"/>
            </w14:solidFill>
          </w14:textFill>
        </w:rPr>
        <w:t>.</w:t>
      </w:r>
      <w:r>
        <w:rPr>
          <w:rFonts w:hint="eastAsia" w:ascii="黑体" w:hAnsi="黑体" w:eastAsia="黑体" w:cs="黑体"/>
          <w:color w:val="000000" w:themeColor="text1"/>
          <w:lang w:val="en-US" w:eastAsia="zh-CN"/>
          <w14:textFill>
            <w14:solidFill>
              <w14:schemeClr w14:val="tx1"/>
            </w14:solidFill>
          </w14:textFill>
        </w:rPr>
        <w:t>其他要求</w:t>
      </w:r>
    </w:p>
    <w:p w14:paraId="6912F946">
      <w:pPr>
        <w:ind w:firstLine="640" w:firstLineChars="200"/>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（1）服务地点：深圳市深汕特别合作区；</w:t>
      </w:r>
    </w:p>
    <w:p w14:paraId="429BAE7B">
      <w:pPr>
        <w:ind w:firstLine="640" w:firstLineChars="200"/>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（2）服务要求：</w:t>
      </w:r>
    </w:p>
    <w:p w14:paraId="5FEC6D09">
      <w:pPr>
        <w:ind w:firstLine="640" w:firstLineChars="200"/>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①中标供应商需建立专门项目组,项目组成员均应熟悉银行间交易商协会、证监会对已发行票据或债券的各项政策，项目组主要成员须保持稳定。</w:t>
      </w:r>
    </w:p>
    <w:p w14:paraId="68CD69EC">
      <w:pPr>
        <w:ind w:firstLine="640" w:firstLineChars="200"/>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②报送的资料要求签章齐全、装订成册，格式、序号、页码</w:t>
      </w:r>
      <w:r>
        <w:rPr>
          <w:rFonts w:hint="eastAsia" w:ascii="仿宋_GB2312"/>
          <w:color w:val="000000" w:themeColor="text1"/>
          <w:u w:val="none"/>
          <w:lang w:val="en-US" w:eastAsia="zh-CN"/>
          <w14:textFill>
            <w14:solidFill>
              <w14:schemeClr w14:val="tx1"/>
            </w14:solidFill>
          </w14:textFill>
        </w:rPr>
        <w:t>标示</w:t>
      </w:r>
      <w:r>
        <w:rPr>
          <w:rFonts w:hint="eastAsia" w:ascii="仿宋_GB2312"/>
          <w:color w:val="000000" w:themeColor="text1"/>
          <w:lang w:val="en-US" w:eastAsia="zh-CN"/>
          <w14:textFill>
            <w14:solidFill>
              <w14:schemeClr w14:val="tx1"/>
            </w14:solidFill>
          </w14:textFill>
        </w:rPr>
        <w:t>规范、清晰。</w:t>
      </w:r>
    </w:p>
    <w:p w14:paraId="2583120C">
      <w:pPr>
        <w:ind w:firstLine="640" w:firstLineChars="200"/>
        <w:rPr>
          <w:rFonts w:hint="default"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（3）服务成果：为甲方中期票据及公司债券提供法律专项咨询服务，并为每次持有人会议出具法律意见书。</w:t>
      </w:r>
    </w:p>
    <w:p w14:paraId="11BE7398">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8.</w:t>
      </w:r>
      <w:r>
        <w:rPr>
          <w:rFonts w:hint="eastAsia" w:ascii="黑体" w:hAnsi="黑体" w:eastAsia="黑体" w:cs="黑体"/>
          <w:color w:val="000000" w:themeColor="text1"/>
          <w14:textFill>
            <w14:solidFill>
              <w14:schemeClr w14:val="tx1"/>
            </w14:solidFill>
          </w14:textFill>
        </w:rPr>
        <w:t>合同付款方式</w:t>
      </w:r>
    </w:p>
    <w:p w14:paraId="10BB79D6">
      <w:pPr>
        <w:ind w:firstLineChars="200"/>
        <w:rPr>
          <w:rFonts w:hint="eastAsia" w:ascii="仿宋_GB2312" w:hAnsi="仿宋" w:eastAsia="仿宋_GB2312" w:cs="仿宋"/>
          <w:color w:val="000000" w:themeColor="text1"/>
          <w:szCs w:val="32"/>
          <w:lang w:val="en-US" w:eastAsia="zh-CN"/>
          <w14:textFill>
            <w14:solidFill>
              <w14:schemeClr w14:val="tx1"/>
            </w14:solidFill>
          </w14:textFill>
        </w:rPr>
      </w:pPr>
      <w:r>
        <w:rPr>
          <w:rFonts w:hint="eastAsia" w:ascii="仿宋_GB2312" w:hAnsi="仿宋" w:eastAsia="仿宋_GB2312" w:cs="仿宋"/>
          <w:color w:val="000000" w:themeColor="text1"/>
          <w:szCs w:val="32"/>
          <w:lang w:val="en-US" w:eastAsia="zh-CN"/>
          <w14:textFill>
            <w14:solidFill>
              <w14:schemeClr w14:val="tx1"/>
            </w14:solidFill>
          </w14:textFill>
        </w:rPr>
        <w:t>本项目采用总价包干合同，每完成一次持有人会议法律咨询服务的服务价格为总价包干的方式</w:t>
      </w:r>
      <w:r>
        <w:rPr>
          <w:rFonts w:hint="eastAsia" w:ascii="仿宋_GB2312" w:hAnsi="仿宋" w:cs="仿宋"/>
          <w:color w:val="000000" w:themeColor="text1"/>
          <w:szCs w:val="32"/>
          <w:lang w:val="en-US" w:eastAsia="zh-CN"/>
          <w14:textFill>
            <w14:solidFill>
              <w14:schemeClr w14:val="tx1"/>
            </w14:solidFill>
          </w14:textFill>
        </w:rPr>
        <w:t>。</w:t>
      </w:r>
      <w:r>
        <w:rPr>
          <w:rFonts w:hint="eastAsia" w:ascii="仿宋_GB2312" w:hAnsi="仿宋" w:eastAsia="仿宋_GB2312" w:cs="仿宋"/>
          <w:color w:val="000000" w:themeColor="text1"/>
          <w:szCs w:val="32"/>
          <w:lang w:val="en-US" w:eastAsia="zh-CN"/>
          <w14:textFill>
            <w14:solidFill>
              <w14:schemeClr w14:val="tx1"/>
            </w14:solidFill>
          </w14:textFill>
        </w:rPr>
        <w:t>合同总价由基本费用和绩效费用组成，合同总价的90%为合同基本费用，合同总价的10%为合同绩效费用。</w:t>
      </w:r>
    </w:p>
    <w:p w14:paraId="16705FFF">
      <w:pPr>
        <w:ind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（1）乙方可依据单次服务成果向甲方请款，也可以在本合同服务期限完毕后一次性请款。</w:t>
      </w:r>
    </w:p>
    <w:p w14:paraId="766C611F">
      <w:pPr>
        <w:ind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2）绩效费用根据项目最终履约评价结果按比例支付：得分80分及以上绩效费用按100%支付，得分60分及以上、80分以下绩效费用按50%支付，低于60分绩效费用不予支付，且无须承担任何违约责任。最终履约评价在每次请款时开展。乙方认可并确认，本合同中履约评价是由甲方根据《广东深汕投资控股集团有限公司合同履约评价管理办法》结合乙方履约情况单方面做出。</w:t>
      </w:r>
    </w:p>
    <w:p w14:paraId="1226E952">
      <w:pPr>
        <w:ind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（3）乙方申请付款时，须提供符合甲方财务管理要求的付款资料及增值税专用发票。如乙方提供发票迟延，甲方付款时限顺延。甲方因审批或乙方履约不合格等原因而导致迟延付款的，不视为甲方违约。</w:t>
      </w:r>
    </w:p>
    <w:p w14:paraId="79370DF6">
      <w:p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9</w:t>
      </w:r>
      <w:r>
        <w:rPr>
          <w:rFonts w:hint="eastAsia" w:ascii="黑体" w:hAnsi="黑体" w:eastAsia="黑体" w:cs="黑体"/>
          <w:color w:val="000000" w:themeColor="text1"/>
          <w14:textFill>
            <w14:solidFill>
              <w14:schemeClr w14:val="tx1"/>
            </w14:solidFill>
          </w14:textFill>
        </w:rPr>
        <w:t>.</w:t>
      </w:r>
      <w:r>
        <w:rPr>
          <w:rFonts w:hint="eastAsia" w:ascii="黑体" w:hAnsi="黑体" w:eastAsia="黑体" w:cs="黑体"/>
          <w:color w:val="000000" w:themeColor="text1"/>
          <w:lang w:val="en-US" w:eastAsia="zh-CN"/>
          <w14:textFill>
            <w14:solidFill>
              <w14:schemeClr w14:val="tx1"/>
            </w14:solidFill>
          </w14:textFill>
        </w:rPr>
        <w:t>其他要求</w:t>
      </w:r>
    </w:p>
    <w:p w14:paraId="550D2DDD">
      <w:pPr>
        <w:ind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详见合同条款；</w:t>
      </w:r>
    </w:p>
    <w:p w14:paraId="771AA6B4">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10.</w:t>
      </w:r>
      <w:r>
        <w:rPr>
          <w:rFonts w:hint="eastAsia" w:ascii="黑体" w:hAnsi="黑体" w:eastAsia="黑体" w:cs="黑体"/>
          <w:color w:val="000000" w:themeColor="text1"/>
          <w14:textFill>
            <w14:solidFill>
              <w14:schemeClr w14:val="tx1"/>
            </w14:solidFill>
          </w14:textFill>
        </w:rPr>
        <w:t>定标方法</w:t>
      </w:r>
    </w:p>
    <w:p w14:paraId="547A4F03">
      <w:pPr>
        <w:ind w:firstLine="640" w:firstLineChars="200"/>
        <w:rPr>
          <w:color w:val="000000" w:themeColor="text1"/>
          <w14:textFill>
            <w14:solidFill>
              <w14:schemeClr w14:val="tx1"/>
            </w14:solidFill>
          </w14:textFill>
        </w:rPr>
      </w:pPr>
      <w:r>
        <w:rPr>
          <w:rFonts w:hint="eastAsia" w:eastAsia="仿宋_GB2312"/>
        </w:rPr>
        <w:t>本项目采用</w:t>
      </w:r>
      <w:r>
        <w:rPr>
          <w:rFonts w:hint="eastAsia"/>
          <w:lang w:eastAsia="zh-CN"/>
        </w:rPr>
        <w:t>询比</w:t>
      </w:r>
      <w:r>
        <w:rPr>
          <w:rFonts w:hint="eastAsia" w:eastAsia="仿宋_GB2312"/>
        </w:rPr>
        <w:t>方式确定服务单位，采用次低价法确定中标候选人</w:t>
      </w:r>
      <w:r>
        <w:rPr>
          <w:rFonts w:hint="eastAsia"/>
          <w:color w:val="000000" w:themeColor="text1"/>
          <w14:textFill>
            <w14:solidFill>
              <w14:schemeClr w14:val="tx1"/>
            </w14:solidFill>
          </w14:textFill>
        </w:rPr>
        <w:t>。</w:t>
      </w:r>
    </w:p>
    <w:p w14:paraId="7335F73C">
      <w:pPr>
        <w:ind w:firstLine="640" w:firstLineChars="200"/>
        <w:rPr>
          <w:color w:val="000000" w:themeColor="text1"/>
          <w14:textFill>
            <w14:solidFill>
              <w14:schemeClr w14:val="tx1"/>
            </w14:solidFill>
          </w14:textFill>
        </w:rPr>
      </w:pPr>
      <w:r>
        <w:rPr>
          <w:rFonts w:hint="eastAsia" w:eastAsia="仿宋_GB2312"/>
        </w:rPr>
        <w:t>如投标报价次低的单位有两家或两家以上，则由招标人通过抽签确定中标候选人（抽签序号按投标人回复询价函时间先后顺序排序）</w:t>
      </w:r>
      <w:r>
        <w:rPr>
          <w:rFonts w:hint="eastAsia"/>
          <w:color w:val="000000" w:themeColor="text1"/>
          <w14:textFill>
            <w14:solidFill>
              <w14:schemeClr w14:val="tx1"/>
            </w14:solidFill>
          </w14:textFill>
        </w:rPr>
        <w:t>。</w:t>
      </w:r>
    </w:p>
    <w:p w14:paraId="785AAE22">
      <w:pPr>
        <w:ind w:firstLine="640" w:firstLineChars="200"/>
        <w:rPr>
          <w:color w:val="000000" w:themeColor="text1"/>
          <w14:textFill>
            <w14:solidFill>
              <w14:schemeClr w14:val="tx1"/>
            </w14:solidFill>
          </w14:textFill>
        </w:rPr>
      </w:pPr>
      <w:r>
        <w:rPr>
          <w:color w:val="000000" w:themeColor="text1"/>
          <w14:textFill>
            <w14:solidFill>
              <w14:schemeClr w14:val="tx1"/>
            </w14:solidFill>
          </w14:textFill>
        </w:rPr>
        <w:t>请各投标人在</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15</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r>
        <w:rPr>
          <w:rFonts w:hint="eastAsia" w:eastAsia="仿宋_GB2312"/>
          <w:b/>
          <w:bCs/>
        </w:rPr>
        <w:t>前将报价函及相关附件加密发送至我公司指定邮箱</w:t>
      </w:r>
      <w:r>
        <w:rPr>
          <w:rFonts w:hint="eastAsia"/>
          <w:b/>
          <w:bCs/>
          <w:lang w:eastAsia="zh-CN"/>
        </w:rPr>
        <w:t>（</w:t>
      </w:r>
      <w:r>
        <w:rPr>
          <w:rFonts w:hint="eastAsia"/>
          <w:b/>
          <w:bCs/>
          <w:lang w:val="en-US" w:eastAsia="zh-CN"/>
        </w:rPr>
        <w:t>不收纸质报价文件</w:t>
      </w:r>
      <w:r>
        <w:rPr>
          <w:rFonts w:hint="eastAsia"/>
          <w:b/>
          <w:bCs/>
          <w:lang w:eastAsia="zh-CN"/>
        </w:rPr>
        <w:t>）</w:t>
      </w:r>
      <w:r>
        <w:rPr>
          <w:rFonts w:hint="eastAsia" w:eastAsia="仿宋_GB2312"/>
          <w:b/>
          <w:bCs/>
        </w:rPr>
        <w:t>，</w:t>
      </w:r>
      <w:r>
        <w:rPr>
          <w:rFonts w:hint="eastAsia" w:eastAsia="仿宋_GB2312"/>
          <w:b/>
          <w:bCs/>
          <w:lang w:val="en-US" w:eastAsia="zh-CN"/>
        </w:rPr>
        <w:t>未加密报价文件不予受理，</w:t>
      </w:r>
      <w:r>
        <w:rPr>
          <w:rFonts w:hint="eastAsia" w:eastAsia="仿宋_GB2312"/>
          <w:b/>
          <w:bCs/>
        </w:rPr>
        <w:t>逾期不予受理</w:t>
      </w:r>
      <w:r>
        <w:rPr>
          <w:color w:val="000000" w:themeColor="text1"/>
          <w14:textFill>
            <w14:solidFill>
              <w14:schemeClr w14:val="tx1"/>
            </w14:solidFill>
          </w14:textFill>
        </w:rPr>
        <w:t>。</w:t>
      </w:r>
    </w:p>
    <w:p w14:paraId="49D73993">
      <w:pPr>
        <w:ind w:firstLine="640" w:firstLineChars="200"/>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质疑截止时间：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10</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p>
    <w:p w14:paraId="60C8938B">
      <w:pPr>
        <w:ind w:firstLine="64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答疑截止时间：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11</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p>
    <w:p w14:paraId="09D11EDB">
      <w:pPr>
        <w:ind w:firstLine="640" w:firstLineChars="200"/>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文件加密密码报送时间：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15</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r>
        <w:rPr>
          <w:rFonts w:hint="eastAsia"/>
          <w:color w:val="000000" w:themeColor="text1"/>
          <w14:textFill>
            <w14:solidFill>
              <w14:schemeClr w14:val="tx1"/>
            </w14:solidFill>
          </w14:textFill>
        </w:rPr>
        <w:t>至</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15</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17:30</w:t>
      </w:r>
    </w:p>
    <w:p w14:paraId="3699657E">
      <w:pPr>
        <w:ind w:firstLine="640" w:firstLineChars="200"/>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开标时间：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15</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17:30</w:t>
      </w:r>
    </w:p>
    <w:p w14:paraId="57CAF224">
      <w:pPr>
        <w:pStyle w:val="23"/>
        <w:spacing w:line="560" w:lineRule="exact"/>
        <w:ind w:firstLine="640"/>
        <w:rPr>
          <w:rFonts w:hint="eastAsia"/>
          <w:color w:val="000000" w:themeColor="text1"/>
          <w14:textFill>
            <w14:solidFill>
              <w14:schemeClr w14:val="tx1"/>
            </w14:solidFill>
          </w14:textFill>
        </w:rPr>
      </w:pPr>
      <w:r>
        <w:rPr>
          <w:color w:val="000000" w:themeColor="text1"/>
          <w14:textFill>
            <w14:solidFill>
              <w14:schemeClr w14:val="tx1"/>
            </w14:solidFill>
          </w14:textFill>
        </w:rPr>
        <w:t>邮箱：</w:t>
      </w:r>
      <w:r>
        <w:rPr>
          <w:rStyle w:val="20"/>
          <w:rFonts w:ascii="Times New Roman" w:hAnsi="Times New Roman" w:cs="Times New Roman"/>
          <w:color w:val="auto"/>
          <w:szCs w:val="32"/>
        </w:rPr>
        <w:fldChar w:fldCharType="begin"/>
      </w:r>
      <w:r>
        <w:rPr>
          <w:rStyle w:val="20"/>
          <w:rFonts w:ascii="Times New Roman" w:hAnsi="Times New Roman" w:cs="Times New Roman"/>
          <w:color w:val="auto"/>
          <w:szCs w:val="32"/>
        </w:rPr>
        <w:instrText xml:space="preserve"> HYPERLINK "mailto:shenshanzzczhaocai@163.com" </w:instrText>
      </w:r>
      <w:r>
        <w:rPr>
          <w:rStyle w:val="20"/>
          <w:rFonts w:ascii="Times New Roman" w:hAnsi="Times New Roman" w:cs="Times New Roman"/>
          <w:color w:val="auto"/>
          <w:szCs w:val="32"/>
        </w:rPr>
        <w:fldChar w:fldCharType="separate"/>
      </w:r>
      <w:r>
        <w:rPr>
          <w:rStyle w:val="20"/>
          <w:rFonts w:ascii="Times New Roman" w:hAnsi="Times New Roman" w:cs="Times New Roman"/>
          <w:color w:val="auto"/>
          <w:szCs w:val="32"/>
        </w:rPr>
        <w:t>s</w:t>
      </w:r>
      <w:r>
        <w:rPr>
          <w:rStyle w:val="20"/>
          <w:rFonts w:hint="eastAsia" w:ascii="Times New Roman" w:hAnsi="Times New Roman" w:cs="Times New Roman"/>
          <w:color w:val="auto"/>
          <w:szCs w:val="32"/>
        </w:rPr>
        <w:t>stkzlfzb@163.com</w:t>
      </w:r>
      <w:r>
        <w:rPr>
          <w:rStyle w:val="20"/>
          <w:rFonts w:ascii="Times New Roman" w:hAnsi="Times New Roman" w:cs="Times New Roman"/>
          <w:color w:val="auto"/>
          <w:szCs w:val="32"/>
        </w:rPr>
        <w:fldChar w:fldCharType="end"/>
      </w:r>
    </w:p>
    <w:p w14:paraId="0DEC2DE4">
      <w:pPr>
        <w:pStyle w:val="23"/>
        <w:spacing w:line="560" w:lineRule="exact"/>
        <w:ind w:left="595" w:leftChars="186" w:firstLine="0" w:firstLineChars="0"/>
        <w:rPr>
          <w:rFonts w:hint="eastAsia" w:ascii="仿宋_GB2312" w:eastAsia="仿宋_GB2312"/>
          <w:color w:val="000000" w:themeColor="text1"/>
          <w:lang w:val="en-US" w:eastAsia="zh-CN"/>
          <w14:textFill>
            <w14:solidFill>
              <w14:schemeClr w14:val="tx1"/>
            </w14:solidFill>
          </w14:textFill>
        </w:rPr>
      </w:pPr>
      <w:r>
        <w:rPr>
          <w:rFonts w:hint="eastAsia" w:ascii="仿宋_GB2312"/>
          <w:color w:val="000000" w:themeColor="text1"/>
          <w14:textFill>
            <w14:solidFill>
              <w14:schemeClr w14:val="tx1"/>
            </w14:solidFill>
          </w14:textFill>
        </w:rPr>
        <w:t>地址：深圳市深汕特别合作区鹅埠镇创元路日新楼</w:t>
      </w:r>
    </w:p>
    <w:p w14:paraId="1254126A">
      <w:pPr>
        <w:pStyle w:val="23"/>
        <w:spacing w:line="560" w:lineRule="exact"/>
        <w:ind w:firstLine="640"/>
        <w:rPr>
          <w:rFonts w:hint="eastAsia"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联系人：</w:t>
      </w:r>
      <w:r>
        <w:rPr>
          <w:rFonts w:hint="eastAsia" w:ascii="仿宋_GB2312"/>
          <w:color w:val="000000" w:themeColor="text1"/>
          <w:lang w:val="en-US" w:eastAsia="zh-CN"/>
          <w14:textFill>
            <w14:solidFill>
              <w14:schemeClr w14:val="tx1"/>
            </w14:solidFill>
          </w14:textFill>
        </w:rPr>
        <w:t>潘</w:t>
      </w:r>
      <w:r>
        <w:rPr>
          <w:rFonts w:hint="eastAsia" w:ascii="仿宋_GB2312"/>
          <w:color w:val="000000" w:themeColor="text1"/>
          <w14:textFill>
            <w14:solidFill>
              <w14:schemeClr w14:val="tx1"/>
            </w14:solidFill>
          </w14:textFill>
        </w:rPr>
        <w:t>工</w:t>
      </w:r>
    </w:p>
    <w:p w14:paraId="2F8D5156">
      <w:pPr>
        <w:pStyle w:val="23"/>
        <w:spacing w:line="560" w:lineRule="exact"/>
        <w:ind w:firstLine="640"/>
        <w:rPr>
          <w:rFonts w:hint="default" w:ascii="仿宋_GB2312" w:eastAsia="仿宋_GB2312"/>
          <w:color w:val="000000" w:themeColor="text1"/>
          <w:lang w:val="en-US" w:eastAsia="zh-CN"/>
          <w14:textFill>
            <w14:solidFill>
              <w14:schemeClr w14:val="tx1"/>
            </w14:solidFill>
          </w14:textFill>
        </w:rPr>
      </w:pPr>
      <w:r>
        <w:rPr>
          <w:rFonts w:hint="eastAsia" w:ascii="仿宋_GB2312"/>
          <w:color w:val="000000" w:themeColor="text1"/>
          <w14:textFill>
            <w14:solidFill>
              <w14:schemeClr w14:val="tx1"/>
            </w14:solidFill>
          </w14:textFill>
        </w:rPr>
        <w:t>联系电话：</w:t>
      </w:r>
      <w:r>
        <w:rPr>
          <w:rFonts w:hint="eastAsia" w:ascii="仿宋_GB2312"/>
          <w:color w:val="000000" w:themeColor="text1"/>
          <w:lang w:val="en-US" w:eastAsia="zh-CN"/>
          <w14:textFill>
            <w14:solidFill>
              <w14:schemeClr w14:val="tx1"/>
            </w14:solidFill>
          </w14:textFill>
        </w:rPr>
        <w:t>13725592155</w:t>
      </w:r>
    </w:p>
    <w:p w14:paraId="5DCC29B9">
      <w:pPr>
        <w:rPr>
          <w:color w:val="000000" w:themeColor="text1"/>
          <w14:textFill>
            <w14:solidFill>
              <w14:schemeClr w14:val="tx1"/>
            </w14:solidFill>
          </w14:textFill>
        </w:rPr>
      </w:pPr>
    </w:p>
    <w:p w14:paraId="705A9AE8">
      <w:pPr>
        <w:pStyle w:val="2"/>
        <w:rPr>
          <w:rFonts w:hint="eastAsia"/>
          <w:color w:val="000000" w:themeColor="text1"/>
          <w:lang w:val="en-US" w:eastAsia="zh-CN"/>
          <w14:textFill>
            <w14:solidFill>
              <w14:schemeClr w14:val="tx1"/>
            </w14:solidFill>
          </w14:textFill>
        </w:rPr>
      </w:pPr>
    </w:p>
    <w:p w14:paraId="1F5DF2AF">
      <w:pPr>
        <w:rPr>
          <w:rFonts w:hint="default"/>
          <w:lang w:val="en-US" w:eastAsia="zh-CN"/>
        </w:rPr>
      </w:pPr>
    </w:p>
    <w:p w14:paraId="7C69903F">
      <w:pPr>
        <w:jc w:val="right"/>
        <w:rPr>
          <w:rFonts w:hint="eastAsia" w:eastAsia="仿宋_GB2312"/>
          <w:color w:val="000000" w:themeColor="text1"/>
          <w:lang w:eastAsia="zh-CN"/>
          <w14:textFill>
            <w14:solidFill>
              <w14:schemeClr w14:val="tx1"/>
            </w14:solidFill>
          </w14:textFill>
        </w:rPr>
      </w:pPr>
      <w:r>
        <w:rPr>
          <w:color w:val="000000" w:themeColor="text1"/>
          <w14:textFill>
            <w14:solidFill>
              <w14:schemeClr w14:val="tx1"/>
            </w14:solidFill>
          </w14:textFill>
        </w:rPr>
        <w:t>招标人：</w:t>
      </w:r>
      <w:r>
        <w:rPr>
          <w:rFonts w:hint="eastAsia"/>
          <w:color w:val="000000" w:themeColor="text1"/>
          <w:lang w:eastAsia="zh-CN"/>
          <w14:textFill>
            <w14:solidFill>
              <w14:schemeClr w14:val="tx1"/>
            </w14:solidFill>
          </w14:textFill>
        </w:rPr>
        <w:t>广东深汕投资控股集团有限公司</w:t>
      </w:r>
    </w:p>
    <w:p w14:paraId="78CFAC41">
      <w:pPr>
        <w:ind w:right="1280" w:rightChars="400"/>
        <w:jc w:val="right"/>
        <w:rPr>
          <w:rFonts w:hint="eastAsia" w:ascii="仿宋_GB2312"/>
          <w:color w:val="000000" w:themeColor="text1"/>
          <w14:textFill>
            <w14:solidFill>
              <w14:schemeClr w14:val="tx1"/>
            </w14:solidFill>
          </w14:textFill>
        </w:rPr>
        <w:sectPr>
          <w:footerReference r:id="rId3" w:type="default"/>
          <w:footerReference r:id="rId4" w:type="even"/>
          <w:pgSz w:w="11906" w:h="16838"/>
          <w:pgMar w:top="2098" w:right="1474" w:bottom="1984" w:left="1587" w:header="851" w:footer="992" w:gutter="0"/>
          <w:cols w:space="425" w:num="1"/>
          <w:docGrid w:type="lines" w:linePitch="312" w:charSpace="0"/>
        </w:sectPr>
      </w:pPr>
      <w:r>
        <w:rPr>
          <w:rFonts w:hint="eastAsia" w:ascii="仿宋_GB2312"/>
          <w:color w:val="000000" w:themeColor="text1"/>
          <w14:textFill>
            <w14:solidFill>
              <w14:schemeClr w14:val="tx1"/>
            </w14:solidFill>
          </w14:textFill>
        </w:rPr>
        <w:t xml:space="preserve">   202</w:t>
      </w:r>
      <w:r>
        <w:rPr>
          <w:rFonts w:hint="eastAsia" w:ascii="仿宋_GB2312"/>
          <w:color w:val="000000" w:themeColor="text1"/>
          <w:lang w:val="en-US" w:eastAsia="zh-CN"/>
          <w14:textFill>
            <w14:solidFill>
              <w14:schemeClr w14:val="tx1"/>
            </w14:solidFill>
          </w14:textFill>
        </w:rPr>
        <w:t>6</w:t>
      </w:r>
      <w:r>
        <w:rPr>
          <w:rFonts w:hint="eastAsia" w:ascii="仿宋_GB2312"/>
          <w:color w:val="000000" w:themeColor="text1"/>
          <w14:textFill>
            <w14:solidFill>
              <w14:schemeClr w14:val="tx1"/>
            </w14:solidFill>
          </w14:textFill>
        </w:rPr>
        <w:t>年</w:t>
      </w:r>
      <w:r>
        <w:rPr>
          <w:rFonts w:hint="eastAsia" w:ascii="仿宋_GB2312"/>
          <w:color w:val="000000" w:themeColor="text1"/>
          <w:lang w:val="en-US" w:eastAsia="zh-CN"/>
          <w14:textFill>
            <w14:solidFill>
              <w14:schemeClr w14:val="tx1"/>
            </w14:solidFill>
          </w14:textFill>
        </w:rPr>
        <w:t>6</w:t>
      </w:r>
      <w:r>
        <w:rPr>
          <w:rFonts w:hint="eastAsia" w:ascii="仿宋_GB2312"/>
          <w:color w:val="000000" w:themeColor="text1"/>
          <w14:textFill>
            <w14:solidFill>
              <w14:schemeClr w14:val="tx1"/>
            </w14:solidFill>
          </w14:textFill>
        </w:rPr>
        <w:t>月</w:t>
      </w:r>
      <w:r>
        <w:rPr>
          <w:rFonts w:hint="eastAsia" w:ascii="仿宋_GB2312"/>
          <w:color w:val="000000" w:themeColor="text1"/>
          <w:lang w:val="en-US" w:eastAsia="zh-CN"/>
          <w14:textFill>
            <w14:solidFill>
              <w14:schemeClr w14:val="tx1"/>
            </w14:solidFill>
          </w14:textFill>
        </w:rPr>
        <w:t>8</w:t>
      </w:r>
      <w:bookmarkStart w:id="2" w:name="_GoBack"/>
      <w:bookmarkEnd w:id="2"/>
      <w:r>
        <w:rPr>
          <w:rFonts w:hint="eastAsia" w:ascii="仿宋_GB2312"/>
          <w:color w:val="000000" w:themeColor="text1"/>
          <w14:textFill>
            <w14:solidFill>
              <w14:schemeClr w14:val="tx1"/>
            </w14:solidFill>
          </w14:textFill>
        </w:rPr>
        <w:t>日</w:t>
      </w:r>
    </w:p>
    <w:p w14:paraId="34EB6A9F">
      <w:pPr>
        <w:pStyle w:val="2"/>
        <w:spacing w:beforeAutospacing="0"/>
        <w:ind w:firstLine="0" w:firstLineChars="0"/>
        <w:rPr>
          <w:rFonts w:hint="eastAsia" w:eastAsia="仿宋_GB2312"/>
          <w:b/>
          <w:bCs/>
          <w:lang w:val="en-US" w:eastAsia="zh-CN"/>
        </w:rPr>
      </w:pPr>
      <w:r>
        <w:rPr>
          <w:rFonts w:eastAsia="仿宋_GB2312"/>
          <w:b/>
          <w:bCs/>
        </w:rPr>
        <w:t>附件1.</w:t>
      </w:r>
      <w:r>
        <w:rPr>
          <w:rFonts w:hint="eastAsia"/>
          <w:b w:val="0"/>
          <w:bCs w:val="0"/>
          <w:lang w:val="en-US" w:eastAsia="zh-CN"/>
        </w:rPr>
        <w:t>报价函</w:t>
      </w:r>
    </w:p>
    <w:p w14:paraId="466629AE">
      <w:pPr>
        <w:pStyle w:val="2"/>
        <w:spacing w:beforeAutospacing="0"/>
        <w:ind w:firstLine="0" w:firstLineChars="0"/>
        <w:jc w:val="center"/>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报价函</w:t>
      </w:r>
    </w:p>
    <w:tbl>
      <w:tblPr>
        <w:tblStyle w:val="18"/>
        <w:tblW w:w="0" w:type="auto"/>
        <w:tblInd w:w="-7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4"/>
        <w:gridCol w:w="1102"/>
        <w:gridCol w:w="1227"/>
        <w:gridCol w:w="1220"/>
        <w:gridCol w:w="1310"/>
        <w:gridCol w:w="1221"/>
        <w:gridCol w:w="1219"/>
      </w:tblGrid>
      <w:tr w14:paraId="47D5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vAlign w:val="center"/>
          </w:tcPr>
          <w:p w14:paraId="739809D0">
            <w:pPr>
              <w:jc w:val="both"/>
              <w:rPr>
                <w:rFonts w:hint="default" w:eastAsia="仿宋_GB2312"/>
                <w:b/>
                <w:bCs/>
                <w:sz w:val="24"/>
                <w:szCs w:val="20"/>
                <w:vertAlign w:val="baseline"/>
                <w:lang w:val="en-US" w:eastAsia="zh-CN"/>
              </w:rPr>
            </w:pPr>
            <w:r>
              <w:rPr>
                <w:rFonts w:hint="eastAsia"/>
                <w:b/>
                <w:bCs/>
                <w:sz w:val="24"/>
                <w:szCs w:val="20"/>
                <w:vertAlign w:val="baseline"/>
                <w:lang w:val="en-US" w:eastAsia="zh-CN"/>
              </w:rPr>
              <w:t>项目名称</w:t>
            </w:r>
          </w:p>
        </w:tc>
        <w:tc>
          <w:tcPr>
            <w:tcW w:w="1102" w:type="dxa"/>
            <w:vAlign w:val="center"/>
          </w:tcPr>
          <w:p w14:paraId="159FFC93">
            <w:pPr>
              <w:jc w:val="both"/>
              <w:rPr>
                <w:rFonts w:hint="eastAsia" w:eastAsia="仿宋_GB2312"/>
                <w:b/>
                <w:bCs/>
                <w:sz w:val="24"/>
                <w:szCs w:val="20"/>
                <w:vertAlign w:val="baseline"/>
                <w:lang w:val="en-US" w:eastAsia="zh-CN"/>
              </w:rPr>
            </w:pPr>
            <w:r>
              <w:rPr>
                <w:rFonts w:hint="eastAsia"/>
                <w:b/>
                <w:bCs/>
                <w:sz w:val="24"/>
                <w:szCs w:val="20"/>
                <w:vertAlign w:val="baseline"/>
                <w:lang w:val="en-US" w:eastAsia="zh-CN"/>
              </w:rPr>
              <w:t>服务期</w:t>
            </w:r>
          </w:p>
        </w:tc>
        <w:tc>
          <w:tcPr>
            <w:tcW w:w="1227" w:type="dxa"/>
            <w:vAlign w:val="center"/>
          </w:tcPr>
          <w:p w14:paraId="0666FD9A">
            <w:pPr>
              <w:jc w:val="both"/>
              <w:rPr>
                <w:rFonts w:hint="default"/>
                <w:b/>
                <w:bCs/>
                <w:sz w:val="24"/>
                <w:szCs w:val="20"/>
                <w:vertAlign w:val="baseline"/>
              </w:rPr>
            </w:pPr>
            <w:r>
              <w:rPr>
                <w:rFonts w:hint="eastAsia"/>
                <w:b/>
                <w:bCs/>
                <w:sz w:val="24"/>
                <w:szCs w:val="20"/>
                <w:vertAlign w:val="baseline"/>
                <w:lang w:val="en-US" w:eastAsia="zh-CN"/>
              </w:rPr>
              <w:t>单次会议</w:t>
            </w:r>
            <w:r>
              <w:rPr>
                <w:rFonts w:hint="default"/>
                <w:b/>
                <w:bCs/>
                <w:sz w:val="24"/>
                <w:szCs w:val="20"/>
                <w:vertAlign w:val="baseline"/>
              </w:rPr>
              <w:t>投标报价上限价</w:t>
            </w:r>
            <w:r>
              <w:rPr>
                <w:rFonts w:hint="eastAsia"/>
                <w:b/>
                <w:bCs/>
                <w:sz w:val="24"/>
                <w:szCs w:val="20"/>
                <w:vertAlign w:val="baseline"/>
                <w:lang w:eastAsia="zh-CN"/>
              </w:rPr>
              <w:t>（</w:t>
            </w:r>
            <w:r>
              <w:rPr>
                <w:rFonts w:hint="default"/>
                <w:b/>
                <w:bCs/>
                <w:sz w:val="24"/>
                <w:szCs w:val="20"/>
                <w:vertAlign w:val="baseline"/>
              </w:rPr>
              <w:t>元</w:t>
            </w:r>
            <w:r>
              <w:rPr>
                <w:rFonts w:hint="eastAsia"/>
                <w:b/>
                <w:bCs/>
                <w:sz w:val="24"/>
                <w:szCs w:val="20"/>
                <w:vertAlign w:val="baseline"/>
                <w:lang w:val="en-US" w:eastAsia="zh-CN"/>
              </w:rPr>
              <w:t>，含税</w:t>
            </w:r>
            <w:r>
              <w:rPr>
                <w:rFonts w:hint="default"/>
                <w:b/>
                <w:bCs/>
                <w:sz w:val="24"/>
                <w:szCs w:val="20"/>
                <w:vertAlign w:val="baseline"/>
              </w:rPr>
              <w:t>）</w:t>
            </w:r>
          </w:p>
        </w:tc>
        <w:tc>
          <w:tcPr>
            <w:tcW w:w="1220" w:type="dxa"/>
            <w:vAlign w:val="center"/>
          </w:tcPr>
          <w:p w14:paraId="6FB06D70">
            <w:pPr>
              <w:jc w:val="both"/>
              <w:rPr>
                <w:rFonts w:hint="eastAsia" w:eastAsia="仿宋_GB2312"/>
                <w:b/>
                <w:bCs/>
                <w:sz w:val="24"/>
                <w:szCs w:val="20"/>
                <w:vertAlign w:val="baseline"/>
                <w:lang w:eastAsia="zh-CN"/>
              </w:rPr>
            </w:pPr>
            <w:r>
              <w:rPr>
                <w:rFonts w:hint="default"/>
                <w:b/>
                <w:bCs/>
                <w:sz w:val="24"/>
                <w:szCs w:val="20"/>
                <w:vertAlign w:val="baseline"/>
              </w:rPr>
              <w:t>单次会议投标报价</w:t>
            </w:r>
            <w:r>
              <w:rPr>
                <w:rFonts w:hint="eastAsia"/>
                <w:b/>
                <w:bCs/>
                <w:sz w:val="24"/>
                <w:szCs w:val="20"/>
                <w:vertAlign w:val="baseline"/>
                <w:lang w:eastAsia="zh-CN"/>
              </w:rPr>
              <w:t>（</w:t>
            </w:r>
            <w:r>
              <w:rPr>
                <w:rFonts w:hint="eastAsia"/>
                <w:b/>
                <w:bCs/>
                <w:sz w:val="24"/>
                <w:szCs w:val="20"/>
                <w:vertAlign w:val="baseline"/>
                <w:lang w:val="en-US" w:eastAsia="zh-CN"/>
              </w:rPr>
              <w:t>元，含税</w:t>
            </w:r>
            <w:r>
              <w:rPr>
                <w:rFonts w:hint="eastAsia"/>
                <w:b/>
                <w:bCs/>
                <w:sz w:val="24"/>
                <w:szCs w:val="20"/>
                <w:vertAlign w:val="baseline"/>
                <w:lang w:eastAsia="zh-CN"/>
              </w:rPr>
              <w:t>）</w:t>
            </w:r>
          </w:p>
        </w:tc>
        <w:tc>
          <w:tcPr>
            <w:tcW w:w="1310" w:type="dxa"/>
            <w:vAlign w:val="center"/>
          </w:tcPr>
          <w:p w14:paraId="155A51A5">
            <w:pPr>
              <w:jc w:val="both"/>
              <w:rPr>
                <w:rFonts w:hint="default"/>
                <w:b/>
                <w:bCs/>
                <w:sz w:val="24"/>
                <w:szCs w:val="20"/>
                <w:vertAlign w:val="baseline"/>
              </w:rPr>
            </w:pPr>
            <w:r>
              <w:rPr>
                <w:rFonts w:hint="eastAsia"/>
                <w:b/>
                <w:bCs/>
                <w:sz w:val="24"/>
                <w:szCs w:val="20"/>
                <w:vertAlign w:val="baseline"/>
                <w:lang w:val="en-US" w:eastAsia="zh-CN"/>
              </w:rPr>
              <w:t>总</w:t>
            </w:r>
            <w:r>
              <w:rPr>
                <w:rFonts w:hint="default"/>
                <w:b/>
                <w:bCs/>
                <w:sz w:val="24"/>
                <w:szCs w:val="20"/>
                <w:vertAlign w:val="baseline"/>
              </w:rPr>
              <w:t>投标报价上限价</w:t>
            </w:r>
            <w:r>
              <w:rPr>
                <w:rFonts w:hint="eastAsia"/>
                <w:b/>
                <w:bCs/>
                <w:sz w:val="24"/>
                <w:szCs w:val="20"/>
                <w:vertAlign w:val="baseline"/>
                <w:lang w:eastAsia="zh-CN"/>
              </w:rPr>
              <w:t>（</w:t>
            </w:r>
            <w:r>
              <w:rPr>
                <w:rFonts w:hint="default"/>
                <w:b/>
                <w:bCs/>
                <w:sz w:val="24"/>
                <w:szCs w:val="20"/>
                <w:vertAlign w:val="baseline"/>
              </w:rPr>
              <w:t>元，含税）</w:t>
            </w:r>
          </w:p>
        </w:tc>
        <w:tc>
          <w:tcPr>
            <w:tcW w:w="1221" w:type="dxa"/>
            <w:vAlign w:val="center"/>
          </w:tcPr>
          <w:p w14:paraId="6FCC028C">
            <w:pPr>
              <w:jc w:val="both"/>
              <w:rPr>
                <w:rFonts w:hint="default"/>
                <w:b/>
                <w:bCs/>
                <w:sz w:val="24"/>
                <w:szCs w:val="20"/>
                <w:vertAlign w:val="baseline"/>
              </w:rPr>
            </w:pPr>
            <w:r>
              <w:rPr>
                <w:rFonts w:hint="eastAsia"/>
                <w:b/>
                <w:bCs/>
                <w:sz w:val="24"/>
                <w:szCs w:val="20"/>
                <w:vertAlign w:val="baseline"/>
                <w:lang w:val="en-US" w:eastAsia="zh-CN"/>
              </w:rPr>
              <w:t>总</w:t>
            </w:r>
            <w:r>
              <w:rPr>
                <w:rFonts w:hint="default"/>
                <w:b/>
                <w:bCs/>
                <w:sz w:val="24"/>
                <w:szCs w:val="20"/>
                <w:vertAlign w:val="baseline"/>
              </w:rPr>
              <w:t>投标报价</w:t>
            </w:r>
            <w:r>
              <w:rPr>
                <w:rFonts w:hint="eastAsia"/>
                <w:b/>
                <w:bCs/>
                <w:sz w:val="24"/>
                <w:szCs w:val="20"/>
                <w:vertAlign w:val="baseline"/>
                <w:lang w:eastAsia="zh-CN"/>
              </w:rPr>
              <w:t>（</w:t>
            </w:r>
            <w:r>
              <w:rPr>
                <w:rFonts w:hint="eastAsia"/>
                <w:b/>
                <w:bCs/>
                <w:sz w:val="24"/>
                <w:szCs w:val="20"/>
                <w:vertAlign w:val="baseline"/>
                <w:lang w:val="en-US" w:eastAsia="zh-CN"/>
              </w:rPr>
              <w:t>元，含税</w:t>
            </w:r>
            <w:r>
              <w:rPr>
                <w:rFonts w:hint="eastAsia"/>
                <w:b/>
                <w:bCs/>
                <w:sz w:val="24"/>
                <w:szCs w:val="20"/>
                <w:vertAlign w:val="baseline"/>
                <w:lang w:eastAsia="zh-CN"/>
              </w:rPr>
              <w:t>）</w:t>
            </w:r>
          </w:p>
        </w:tc>
        <w:tc>
          <w:tcPr>
            <w:tcW w:w="1219" w:type="dxa"/>
            <w:vAlign w:val="center"/>
          </w:tcPr>
          <w:p w14:paraId="24D7DFCA">
            <w:pPr>
              <w:jc w:val="both"/>
              <w:rPr>
                <w:rFonts w:hint="default"/>
                <w:b/>
                <w:bCs/>
                <w:sz w:val="24"/>
                <w:szCs w:val="20"/>
                <w:vertAlign w:val="baseline"/>
                <w:lang w:val="en-US" w:eastAsia="zh-CN"/>
              </w:rPr>
            </w:pPr>
            <w:r>
              <w:rPr>
                <w:rFonts w:hint="eastAsia"/>
                <w:b/>
                <w:bCs/>
                <w:sz w:val="24"/>
                <w:szCs w:val="20"/>
                <w:vertAlign w:val="baseline"/>
                <w:lang w:val="en-US" w:eastAsia="zh-CN"/>
              </w:rPr>
              <w:t>税率（%）</w:t>
            </w:r>
          </w:p>
        </w:tc>
      </w:tr>
      <w:tr w14:paraId="23C9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Pr>
          <w:p w14:paraId="7D5F5125">
            <w:pPr>
              <w:rPr>
                <w:rFonts w:hint="default"/>
                <w:sz w:val="24"/>
                <w:szCs w:val="20"/>
                <w:vertAlign w:val="baseline"/>
              </w:rPr>
            </w:pPr>
            <w:r>
              <w:rPr>
                <w:rFonts w:hint="default"/>
                <w:sz w:val="24"/>
                <w:szCs w:val="20"/>
                <w:vertAlign w:val="baseline"/>
              </w:rPr>
              <w:t>广东深汕投资控股集团有限公司中期票据及公司债券律师专项咨询服务</w:t>
            </w:r>
          </w:p>
        </w:tc>
        <w:tc>
          <w:tcPr>
            <w:tcW w:w="1102" w:type="dxa"/>
          </w:tcPr>
          <w:p w14:paraId="39F21EC1">
            <w:pPr>
              <w:rPr>
                <w:rFonts w:hint="default"/>
                <w:sz w:val="24"/>
                <w:szCs w:val="20"/>
                <w:vertAlign w:val="baseline"/>
              </w:rPr>
            </w:pPr>
            <w:r>
              <w:rPr>
                <w:rFonts w:hint="default"/>
                <w:sz w:val="24"/>
                <w:szCs w:val="20"/>
                <w:vertAlign w:val="baseline"/>
              </w:rPr>
              <w:t>自签订服务协议起至2029年12月31日。</w:t>
            </w:r>
          </w:p>
        </w:tc>
        <w:tc>
          <w:tcPr>
            <w:tcW w:w="1227" w:type="dxa"/>
            <w:vAlign w:val="center"/>
          </w:tcPr>
          <w:p w14:paraId="548FB82A">
            <w:pPr>
              <w:jc w:val="center"/>
              <w:rPr>
                <w:rFonts w:hint="default" w:eastAsia="仿宋_GB2312"/>
                <w:sz w:val="24"/>
                <w:szCs w:val="20"/>
                <w:vertAlign w:val="baseline"/>
                <w:lang w:val="en-US" w:eastAsia="zh-CN"/>
              </w:rPr>
            </w:pPr>
            <w:r>
              <w:rPr>
                <w:rFonts w:hint="eastAsia"/>
                <w:sz w:val="24"/>
                <w:szCs w:val="20"/>
                <w:vertAlign w:val="baseline"/>
                <w:lang w:val="en-US" w:eastAsia="zh-CN"/>
              </w:rPr>
              <w:t>30,000.00</w:t>
            </w:r>
          </w:p>
        </w:tc>
        <w:tc>
          <w:tcPr>
            <w:tcW w:w="1220" w:type="dxa"/>
            <w:vAlign w:val="center"/>
          </w:tcPr>
          <w:p w14:paraId="152E1BA0">
            <w:pPr>
              <w:jc w:val="center"/>
              <w:rPr>
                <w:rFonts w:hint="default" w:eastAsia="仿宋_GB2312"/>
                <w:sz w:val="24"/>
                <w:szCs w:val="20"/>
                <w:vertAlign w:val="baseline"/>
                <w:lang w:val="en-US" w:eastAsia="zh-CN"/>
              </w:rPr>
            </w:pPr>
          </w:p>
        </w:tc>
        <w:tc>
          <w:tcPr>
            <w:tcW w:w="1310" w:type="dxa"/>
            <w:vAlign w:val="center"/>
          </w:tcPr>
          <w:p w14:paraId="6B2ADCBC">
            <w:pPr>
              <w:jc w:val="center"/>
              <w:rPr>
                <w:rFonts w:hint="default" w:eastAsia="仿宋_GB2312"/>
                <w:sz w:val="24"/>
                <w:szCs w:val="20"/>
                <w:vertAlign w:val="baseline"/>
                <w:lang w:val="en-US" w:eastAsia="zh-CN"/>
              </w:rPr>
            </w:pPr>
            <w:r>
              <w:rPr>
                <w:rFonts w:hint="eastAsia"/>
                <w:sz w:val="24"/>
                <w:szCs w:val="20"/>
                <w:vertAlign w:val="baseline"/>
                <w:lang w:val="en-US" w:eastAsia="zh-CN"/>
              </w:rPr>
              <w:t>180,000.00</w:t>
            </w:r>
          </w:p>
        </w:tc>
        <w:tc>
          <w:tcPr>
            <w:tcW w:w="1221" w:type="dxa"/>
            <w:vAlign w:val="center"/>
          </w:tcPr>
          <w:p w14:paraId="5B24ABBC">
            <w:pPr>
              <w:jc w:val="center"/>
              <w:rPr>
                <w:rFonts w:hint="default"/>
                <w:sz w:val="24"/>
                <w:szCs w:val="20"/>
                <w:vertAlign w:val="baseline"/>
              </w:rPr>
            </w:pPr>
          </w:p>
        </w:tc>
        <w:tc>
          <w:tcPr>
            <w:tcW w:w="1219" w:type="dxa"/>
            <w:vAlign w:val="center"/>
          </w:tcPr>
          <w:p w14:paraId="78F642C6">
            <w:pPr>
              <w:jc w:val="center"/>
              <w:rPr>
                <w:rFonts w:hint="default"/>
                <w:sz w:val="24"/>
                <w:szCs w:val="20"/>
                <w:vertAlign w:val="baseline"/>
              </w:rPr>
            </w:pPr>
          </w:p>
        </w:tc>
      </w:tr>
      <w:tr w14:paraId="031F2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9313" w:type="dxa"/>
            <w:gridSpan w:val="7"/>
            <w:vAlign w:val="center"/>
          </w:tcPr>
          <w:p w14:paraId="02E542FD">
            <w:pPr>
              <w:jc w:val="left"/>
              <w:rPr>
                <w:rFonts w:hint="default" w:eastAsia="仿宋_GB2312"/>
                <w:sz w:val="24"/>
                <w:szCs w:val="20"/>
                <w:vertAlign w:val="baseline"/>
                <w:lang w:val="en-US" w:eastAsia="zh-CN"/>
              </w:rPr>
            </w:pPr>
            <w:r>
              <w:rPr>
                <w:rFonts w:hint="eastAsia"/>
                <w:sz w:val="24"/>
                <w:szCs w:val="20"/>
                <w:vertAlign w:val="baseline"/>
                <w:lang w:val="en-US" w:eastAsia="zh-CN"/>
              </w:rPr>
              <w:t>联系人：              联系方式：</w:t>
            </w:r>
          </w:p>
        </w:tc>
      </w:tr>
    </w:tbl>
    <w:p w14:paraId="099081B1">
      <w:pPr>
        <w:widowControl w:val="0"/>
        <w:spacing w:line="240" w:lineRule="auto"/>
        <w:ind w:firstLine="480" w:firstLineChars="200"/>
        <w:contextualSpacing/>
        <w:rPr>
          <w:rFonts w:hint="eastAsia" w:ascii="仿宋_GB2312" w:eastAsia="仿宋_GB2312"/>
          <w:sz w:val="24"/>
          <w:szCs w:val="24"/>
        </w:rPr>
      </w:pPr>
    </w:p>
    <w:p w14:paraId="07F22262">
      <w:pPr>
        <w:widowControl w:val="0"/>
        <w:spacing w:line="240" w:lineRule="auto"/>
        <w:ind w:firstLine="480" w:firstLineChars="200"/>
        <w:contextualSpacing/>
        <w:rPr>
          <w:rFonts w:ascii="仿宋_GB2312" w:eastAsia="仿宋_GB2312"/>
          <w:sz w:val="24"/>
          <w:szCs w:val="24"/>
        </w:rPr>
      </w:pPr>
      <w:r>
        <w:rPr>
          <w:rFonts w:hint="eastAsia" w:ascii="仿宋_GB2312" w:eastAsia="仿宋_GB2312"/>
          <w:sz w:val="24"/>
          <w:szCs w:val="24"/>
        </w:rPr>
        <w:t>注：1.投标报价应包含完成本项目所需的全部费用，包括但不限于实施和完成合同工作所需的人员工资、社会福利、各种津贴、技术服务费、现场费用(包括办公及生活设施、设备、通讯费用)、管理费、保险、利润和税金、差旅费、交通费、不可预见费、全部基础资料和后续服务费用等全部费用，以及合同明示或暗示的所有风险、责任和义务。</w:t>
      </w:r>
    </w:p>
    <w:p w14:paraId="6F1DCE62">
      <w:pPr>
        <w:widowControl w:val="0"/>
        <w:spacing w:line="240" w:lineRule="auto"/>
        <w:ind w:firstLine="480" w:firstLineChars="200"/>
        <w:contextualSpacing/>
        <w:rPr>
          <w:sz w:val="24"/>
          <w:szCs w:val="24"/>
        </w:rPr>
      </w:pPr>
      <w:r>
        <w:rPr>
          <w:rFonts w:hint="eastAsia" w:ascii="仿宋_GB2312" w:eastAsia="仿宋_GB2312"/>
          <w:sz w:val="24"/>
          <w:szCs w:val="24"/>
        </w:rPr>
        <w:t>2.单次会议投标报价为总投标报价除以6（含税）。</w:t>
      </w:r>
    </w:p>
    <w:p w14:paraId="7E83BA3D">
      <w:pPr>
        <w:pStyle w:val="2"/>
        <w:spacing w:beforeAutospacing="0" w:after="0" w:line="240" w:lineRule="auto"/>
        <w:ind w:firstLine="1680" w:firstLineChars="600"/>
        <w:rPr>
          <w:rFonts w:eastAsia="仿宋_GB2312"/>
          <w:sz w:val="28"/>
          <w:szCs w:val="28"/>
        </w:rPr>
      </w:pPr>
    </w:p>
    <w:p w14:paraId="65837C10">
      <w:pPr>
        <w:pStyle w:val="2"/>
        <w:spacing w:beforeAutospacing="0" w:after="0" w:line="240" w:lineRule="auto"/>
        <w:ind w:firstLine="1680" w:firstLineChars="600"/>
        <w:rPr>
          <w:rFonts w:hint="default" w:eastAsia="仿宋_GB2312"/>
          <w:sz w:val="28"/>
          <w:szCs w:val="28"/>
        </w:rPr>
      </w:pPr>
      <w:r>
        <w:rPr>
          <w:rFonts w:eastAsia="仿宋_GB2312"/>
          <w:sz w:val="28"/>
          <w:szCs w:val="28"/>
        </w:rPr>
        <w:t>投标人（盖章）：</w:t>
      </w:r>
    </w:p>
    <w:p w14:paraId="003B5266">
      <w:pPr>
        <w:pStyle w:val="2"/>
        <w:spacing w:beforeAutospacing="0" w:after="0" w:line="240" w:lineRule="auto"/>
        <w:ind w:firstLine="1680" w:firstLineChars="600"/>
        <w:rPr>
          <w:rFonts w:hint="default" w:eastAsia="仿宋_GB2312"/>
          <w:sz w:val="28"/>
          <w:szCs w:val="28"/>
        </w:rPr>
      </w:pPr>
      <w:r>
        <w:rPr>
          <w:rFonts w:eastAsia="仿宋_GB2312"/>
          <w:sz w:val="28"/>
          <w:szCs w:val="28"/>
        </w:rPr>
        <w:t>法定代表人或委托代理人：（签字或盖章）</w:t>
      </w:r>
    </w:p>
    <w:p w14:paraId="44977828">
      <w:pPr>
        <w:pStyle w:val="2"/>
        <w:spacing w:beforeAutospacing="0" w:after="0" w:line="240" w:lineRule="auto"/>
        <w:ind w:firstLine="1680" w:firstLineChars="600"/>
        <w:rPr>
          <w:rFonts w:hint="default" w:eastAsia="仿宋_GB2312"/>
          <w:sz w:val="28"/>
          <w:szCs w:val="28"/>
        </w:rPr>
      </w:pPr>
      <w:r>
        <w:rPr>
          <w:rFonts w:eastAsia="仿宋_GB2312"/>
          <w:sz w:val="28"/>
          <w:szCs w:val="28"/>
        </w:rPr>
        <w:t>日期：</w:t>
      </w:r>
      <w:r>
        <w:rPr>
          <w:rFonts w:eastAsia="仿宋_GB2312"/>
          <w:sz w:val="28"/>
          <w:szCs w:val="28"/>
        </w:rPr>
        <w:br w:type="page"/>
      </w:r>
    </w:p>
    <w:p w14:paraId="01E96E93">
      <w:pPr>
        <w:pStyle w:val="2"/>
        <w:spacing w:beforeAutospacing="0"/>
        <w:ind w:firstLine="0" w:firstLineChars="0"/>
        <w:rPr>
          <w:rFonts w:hint="default" w:eastAsia="仿宋_GB2312" w:cs="仿宋_GB2312"/>
        </w:rPr>
      </w:pPr>
      <w:r>
        <w:rPr>
          <w:rFonts w:eastAsia="仿宋_GB2312" w:cs="仿宋_GB2312"/>
          <w:b/>
          <w:bCs/>
        </w:rPr>
        <w:t>附件2</w:t>
      </w:r>
      <w:r>
        <w:rPr>
          <w:rFonts w:eastAsia="仿宋_GB2312" w:cs="仿宋_GB2312"/>
        </w:rPr>
        <w:t xml:space="preserve"> </w:t>
      </w:r>
      <w:r>
        <w:rPr>
          <w:rFonts w:hint="eastAsia" w:eastAsia="仿宋_GB2312" w:cs="仿宋_GB2312"/>
        </w:rPr>
        <w:t>律师事务所执业许可证</w:t>
      </w:r>
    </w:p>
    <w:p w14:paraId="7343C149">
      <w:pPr>
        <w:pStyle w:val="2"/>
        <w:spacing w:beforeAutospacing="0"/>
        <w:ind w:firstLine="0" w:firstLineChars="0"/>
        <w:rPr>
          <w:rFonts w:hint="default" w:ascii="方正小标宋简体" w:hAnsi="方正小标宋简体" w:eastAsia="方正小标宋简体" w:cs="方正小标宋简体"/>
          <w:sz w:val="36"/>
          <w:szCs w:val="36"/>
        </w:rPr>
      </w:pPr>
    </w:p>
    <w:p w14:paraId="095AFD18">
      <w:pPr>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br w:type="page"/>
      </w:r>
    </w:p>
    <w:p w14:paraId="02AC3799">
      <w:pPr>
        <w:pStyle w:val="2"/>
        <w:spacing w:beforeAutospacing="0"/>
        <w:ind w:firstLine="0" w:firstLineChars="0"/>
        <w:rPr>
          <w:rFonts w:hint="default" w:eastAsia="仿宋_GB2312" w:cs="仿宋_GB2312"/>
        </w:rPr>
      </w:pPr>
      <w:r>
        <w:rPr>
          <w:rFonts w:eastAsia="仿宋_GB2312" w:cs="仿宋_GB2312"/>
          <w:b/>
          <w:bCs/>
        </w:rPr>
        <w:t>附件3</w:t>
      </w:r>
      <w:r>
        <w:rPr>
          <w:rFonts w:eastAsia="仿宋_GB2312" w:cs="仿宋_GB2312"/>
        </w:rPr>
        <w:t xml:space="preserve"> 法定代表人证明书及法人授权委托书</w:t>
      </w:r>
    </w:p>
    <w:p w14:paraId="23DD8CB3">
      <w:pPr>
        <w:widowControl w:val="0"/>
        <w:autoSpaceDE w:val="0"/>
        <w:autoSpaceDN w:val="0"/>
        <w:adjustRightInd w:val="0"/>
        <w:snapToGrid w:val="0"/>
        <w:spacing w:line="400" w:lineRule="exact"/>
        <w:jc w:val="center"/>
        <w:rPr>
          <w:rFonts w:ascii="宋体" w:hAnsi="宋体"/>
          <w:b/>
          <w:sz w:val="32"/>
          <w:szCs w:val="32"/>
        </w:rPr>
      </w:pPr>
      <w:bookmarkStart w:id="1" w:name="_Hlk532142471"/>
    </w:p>
    <w:p w14:paraId="056B77A4">
      <w:pPr>
        <w:widowControl w:val="0"/>
        <w:adjustRightInd w:val="0"/>
        <w:snapToGrid w:val="0"/>
        <w:spacing w:line="360" w:lineRule="auto"/>
        <w:jc w:val="center"/>
        <w:rPr>
          <w:rFonts w:ascii="黑体" w:hAnsi="宋体" w:eastAsia="黑体" w:cs="黑体"/>
          <w:b/>
          <w:bCs/>
          <w:spacing w:val="12"/>
          <w:sz w:val="32"/>
          <w:szCs w:val="20"/>
        </w:rPr>
      </w:pPr>
      <w:r>
        <w:rPr>
          <w:rFonts w:hint="eastAsia" w:ascii="黑体" w:hAnsi="宋体" w:eastAsia="黑体" w:cs="黑体"/>
          <w:b/>
          <w:bCs/>
          <w:spacing w:val="12"/>
          <w:kern w:val="0"/>
          <w:sz w:val="32"/>
          <w:szCs w:val="20"/>
          <w:lang w:bidi="ar"/>
        </w:rPr>
        <w:t>法定代表人证明书</w:t>
      </w:r>
    </w:p>
    <w:p w14:paraId="06D97312">
      <w:pPr>
        <w:widowControl w:val="0"/>
        <w:adjustRightInd w:val="0"/>
        <w:snapToGrid w:val="0"/>
        <w:spacing w:line="360" w:lineRule="auto"/>
        <w:jc w:val="left"/>
        <w:rPr>
          <w:rFonts w:hAnsi="宋体"/>
          <w:b/>
          <w:bCs/>
          <w:spacing w:val="12"/>
        </w:rPr>
      </w:pPr>
    </w:p>
    <w:p w14:paraId="5F203E9F">
      <w:pPr>
        <w:widowControl w:val="0"/>
        <w:adjustRightInd w:val="0"/>
        <w:snapToGrid w:val="0"/>
        <w:spacing w:line="360" w:lineRule="auto"/>
        <w:jc w:val="left"/>
        <w:rPr>
          <w:rFonts w:hAnsi="宋体"/>
          <w:b/>
          <w:bCs/>
          <w:spacing w:val="12"/>
        </w:rPr>
      </w:pPr>
    </w:p>
    <w:p w14:paraId="730F45BB">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单位名称：</w:t>
      </w:r>
      <w:r>
        <w:rPr>
          <w:rFonts w:hint="eastAsia" w:ascii="宋体" w:hAnsi="宋体" w:eastAsia="宋体" w:cs="宋体"/>
          <w:kern w:val="0"/>
          <w:sz w:val="24"/>
          <w:szCs w:val="24"/>
          <w:u w:val="single"/>
          <w:lang w:bidi="ar"/>
        </w:rPr>
        <w:t xml:space="preserve">                                                                 </w:t>
      </w:r>
    </w:p>
    <w:p w14:paraId="2BF30D52">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地    址：</w:t>
      </w:r>
      <w:r>
        <w:rPr>
          <w:rFonts w:hint="eastAsia" w:ascii="宋体" w:hAnsi="宋体" w:eastAsia="宋体" w:cs="宋体"/>
          <w:kern w:val="0"/>
          <w:sz w:val="24"/>
          <w:szCs w:val="24"/>
          <w:u w:val="single"/>
          <w:lang w:bidi="ar"/>
        </w:rPr>
        <w:t xml:space="preserve">                                                                 </w:t>
      </w:r>
    </w:p>
    <w:p w14:paraId="2652DC55">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姓  名：</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 xml:space="preserve"> 性别：</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 xml:space="preserve"> 年龄：</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 xml:space="preserve"> 职务：</w:t>
      </w:r>
      <w:r>
        <w:rPr>
          <w:rFonts w:hint="eastAsia" w:ascii="宋体" w:hAnsi="宋体" w:eastAsia="宋体" w:cs="宋体"/>
          <w:kern w:val="0"/>
          <w:sz w:val="24"/>
          <w:szCs w:val="24"/>
          <w:u w:val="single"/>
          <w:lang w:bidi="ar"/>
        </w:rPr>
        <w:t xml:space="preserve">                  </w:t>
      </w:r>
    </w:p>
    <w:p w14:paraId="53DB5EAD">
      <w:pPr>
        <w:widowControl w:val="0"/>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系</w:t>
      </w:r>
      <w:r>
        <w:rPr>
          <w:rFonts w:hint="eastAsia" w:ascii="宋体" w:hAnsi="宋体" w:eastAsia="宋体" w:cs="宋体"/>
          <w:kern w:val="0"/>
          <w:sz w:val="24"/>
          <w:szCs w:val="24"/>
          <w:u w:val="single"/>
          <w:lang w:bidi="ar"/>
        </w:rPr>
        <w:t xml:space="preserve">                （投标人单位名称）                           </w:t>
      </w:r>
      <w:r>
        <w:rPr>
          <w:rFonts w:hint="eastAsia" w:ascii="宋体" w:hAnsi="宋体" w:eastAsia="宋体" w:cs="宋体"/>
          <w:kern w:val="0"/>
          <w:sz w:val="24"/>
          <w:szCs w:val="24"/>
          <w:lang w:bidi="ar"/>
        </w:rPr>
        <w:t>的法定代表人。</w:t>
      </w:r>
    </w:p>
    <w:p w14:paraId="21CBFCB9">
      <w:pPr>
        <w:widowControl w:val="0"/>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特此证明。</w:t>
      </w:r>
    </w:p>
    <w:p w14:paraId="29AB11EF">
      <w:pPr>
        <w:widowControl w:val="0"/>
        <w:adjustRightInd w:val="0"/>
        <w:snapToGrid w:val="0"/>
        <w:spacing w:line="360" w:lineRule="auto"/>
        <w:jc w:val="left"/>
        <w:rPr>
          <w:rFonts w:hint="eastAsia" w:ascii="宋体" w:hAnsi="宋体" w:eastAsia="宋体" w:cs="宋体"/>
          <w:sz w:val="24"/>
          <w:szCs w:val="24"/>
        </w:rPr>
      </w:pPr>
    </w:p>
    <w:p w14:paraId="22DBD7AA">
      <w:pPr>
        <w:widowControl w:val="0"/>
        <w:adjustRightInd w:val="0"/>
        <w:snapToGrid w:val="0"/>
        <w:spacing w:line="360" w:lineRule="auto"/>
        <w:jc w:val="left"/>
        <w:rPr>
          <w:rFonts w:hint="eastAsia" w:ascii="宋体" w:hAnsi="宋体" w:eastAsia="宋体" w:cs="宋体"/>
          <w:sz w:val="24"/>
          <w:szCs w:val="24"/>
        </w:rPr>
      </w:pPr>
    </w:p>
    <w:p w14:paraId="66ED666D">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投标人(盖章)：</w:t>
      </w:r>
      <w:r>
        <w:rPr>
          <w:rFonts w:hint="eastAsia" w:ascii="宋体" w:hAnsi="宋体" w:eastAsia="宋体" w:cs="宋体"/>
          <w:kern w:val="0"/>
          <w:sz w:val="24"/>
          <w:szCs w:val="24"/>
          <w:u w:val="single"/>
          <w:lang w:bidi="ar"/>
        </w:rPr>
        <w:t xml:space="preserve">                                 </w:t>
      </w:r>
    </w:p>
    <w:p w14:paraId="3C7F635A">
      <w:pPr>
        <w:widowControl w:val="0"/>
        <w:adjustRightInd w:val="0"/>
        <w:snapToGrid w:val="0"/>
        <w:spacing w:line="360" w:lineRule="auto"/>
        <w:jc w:val="left"/>
        <w:rPr>
          <w:rFonts w:hint="eastAsia" w:ascii="宋体" w:hAnsi="宋体" w:eastAsia="宋体" w:cs="宋体"/>
          <w:sz w:val="24"/>
          <w:szCs w:val="24"/>
          <w:u w:val="single"/>
        </w:rPr>
      </w:pPr>
    </w:p>
    <w:p w14:paraId="7E1341EB">
      <w:pPr>
        <w:widowControl w:val="0"/>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日        期：</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年</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月</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日</w:t>
      </w:r>
    </w:p>
    <w:p w14:paraId="43D4C67D">
      <w:pPr>
        <w:widowControl w:val="0"/>
        <w:autoSpaceDE w:val="0"/>
        <w:autoSpaceDN w:val="0"/>
        <w:adjustRightInd w:val="0"/>
        <w:snapToGrid w:val="0"/>
        <w:spacing w:line="500" w:lineRule="exact"/>
        <w:jc w:val="left"/>
        <w:rPr>
          <w:rFonts w:hint="eastAsia" w:ascii="宋体" w:hAnsi="宋体" w:eastAsia="宋体" w:cs="宋体"/>
          <w:sz w:val="24"/>
          <w:szCs w:val="24"/>
        </w:rPr>
      </w:pPr>
    </w:p>
    <w:p w14:paraId="54CF7576">
      <w:pPr>
        <w:widowControl w:val="0"/>
        <w:autoSpaceDE w:val="0"/>
        <w:autoSpaceDN w:val="0"/>
        <w:adjustRightInd w:val="0"/>
        <w:snapToGrid w:val="0"/>
        <w:spacing w:line="500" w:lineRule="exact"/>
        <w:jc w:val="left"/>
        <w:rPr>
          <w:rFonts w:hint="eastAsia" w:ascii="宋体" w:hAnsi="宋体" w:eastAsia="宋体" w:cs="宋体"/>
          <w:b/>
          <w:sz w:val="24"/>
          <w:szCs w:val="24"/>
        </w:rPr>
      </w:pPr>
      <w:r>
        <w:rPr>
          <w:rFonts w:hint="eastAsia" w:ascii="宋体" w:hAnsi="宋体" w:eastAsia="宋体" w:cs="宋体"/>
          <w:b/>
          <w:sz w:val="24"/>
          <w:szCs w:val="24"/>
        </w:rPr>
        <w:t>注：</w:t>
      </w:r>
    </w:p>
    <w:p w14:paraId="35DA17B8">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1、如为法定代表人参加本次投标活动时，则不需要填写“法定代表人授权委托书”。</w:t>
      </w:r>
    </w:p>
    <w:p w14:paraId="0ACCBE3F">
      <w:pPr>
        <w:widowControl w:val="0"/>
        <w:autoSpaceDE w:val="0"/>
        <w:autoSpaceDN w:val="0"/>
        <w:adjustRightInd w:val="0"/>
        <w:snapToGrid w:val="0"/>
        <w:spacing w:line="500" w:lineRule="exact"/>
        <w:jc w:val="left"/>
        <w:rPr>
          <w:rFonts w:ascii="宋体" w:hAnsi="宋体"/>
          <w:szCs w:val="21"/>
        </w:rPr>
      </w:pPr>
      <w:r>
        <w:rPr>
          <w:rFonts w:hint="eastAsia" w:ascii="宋体" w:hAnsi="宋体" w:eastAsia="宋体" w:cs="宋体"/>
          <w:sz w:val="24"/>
          <w:szCs w:val="24"/>
        </w:rPr>
        <w:t>2、</w:t>
      </w:r>
      <w:r>
        <w:rPr>
          <w:rFonts w:hint="eastAsia" w:ascii="宋体" w:hAnsi="宋体" w:eastAsia="宋体" w:cs="宋体"/>
          <w:b/>
          <w:bCs/>
          <w:sz w:val="24"/>
          <w:szCs w:val="24"/>
        </w:rPr>
        <w:t>后附法定代表人身份证复印件</w:t>
      </w:r>
      <w:r>
        <w:rPr>
          <w:rFonts w:hint="eastAsia" w:ascii="宋体" w:hAnsi="宋体" w:eastAsia="宋体" w:cs="宋体"/>
          <w:sz w:val="24"/>
          <w:szCs w:val="24"/>
        </w:rPr>
        <w:t>。</w:t>
      </w:r>
    </w:p>
    <w:p w14:paraId="6BAB268A">
      <w:pPr>
        <w:widowControl w:val="0"/>
        <w:autoSpaceDE w:val="0"/>
        <w:autoSpaceDN w:val="0"/>
        <w:adjustRightInd w:val="0"/>
        <w:snapToGrid w:val="0"/>
        <w:spacing w:line="500" w:lineRule="exact"/>
        <w:jc w:val="left"/>
        <w:rPr>
          <w:rFonts w:ascii="宋体" w:hAnsi="宋体"/>
          <w:b/>
          <w:szCs w:val="21"/>
        </w:rPr>
      </w:pPr>
      <w:r>
        <w:rPr>
          <w:rFonts w:ascii="宋体" w:hAnsi="宋体"/>
          <w:b/>
          <w:szCs w:val="21"/>
        </w:rPr>
        <w:br w:type="page"/>
      </w:r>
    </w:p>
    <w:bookmarkEnd w:id="1"/>
    <w:p w14:paraId="1FF26A0E">
      <w:pPr>
        <w:widowControl w:val="0"/>
        <w:autoSpaceDE/>
        <w:autoSpaceDN/>
        <w:adjustRightInd w:val="0"/>
        <w:snapToGrid w:val="0"/>
        <w:spacing w:line="360" w:lineRule="auto"/>
        <w:jc w:val="center"/>
        <w:rPr>
          <w:rFonts w:hint="eastAsia" w:ascii="黑体" w:hAnsi="宋体" w:eastAsia="黑体" w:cs="黑体"/>
          <w:b/>
          <w:bCs/>
          <w:spacing w:val="12"/>
          <w:kern w:val="0"/>
          <w:sz w:val="32"/>
          <w:szCs w:val="20"/>
          <w:lang w:bidi="ar"/>
        </w:rPr>
      </w:pPr>
      <w:r>
        <w:rPr>
          <w:rFonts w:hint="eastAsia" w:ascii="黑体" w:hAnsi="宋体" w:eastAsia="黑体" w:cs="黑体"/>
          <w:b/>
          <w:bCs/>
          <w:spacing w:val="12"/>
          <w:kern w:val="0"/>
          <w:sz w:val="32"/>
          <w:szCs w:val="20"/>
          <w:lang w:bidi="ar"/>
        </w:rPr>
        <w:t>法定代表人授权委托书</w:t>
      </w:r>
    </w:p>
    <w:p w14:paraId="31DB608C">
      <w:pPr>
        <w:widowControl w:val="0"/>
        <w:autoSpaceDE w:val="0"/>
        <w:autoSpaceDN w:val="0"/>
        <w:adjustRightInd w:val="0"/>
        <w:snapToGrid w:val="0"/>
        <w:spacing w:line="500" w:lineRule="exact"/>
        <w:jc w:val="left"/>
        <w:rPr>
          <w:rFonts w:ascii="宋体" w:hAnsi="宋体"/>
          <w:sz w:val="24"/>
        </w:rPr>
      </w:pPr>
    </w:p>
    <w:p w14:paraId="48139CF2">
      <w:pPr>
        <w:widowControl w:val="0"/>
        <w:autoSpaceDE w:val="0"/>
        <w:autoSpaceDN w:val="0"/>
        <w:adjustRightInd w:val="0"/>
        <w:snapToGrid w:val="0"/>
        <w:spacing w:line="500" w:lineRule="exact"/>
        <w:jc w:val="left"/>
        <w:rPr>
          <w:rFonts w:hint="eastAsia" w:ascii="宋体" w:hAnsi="宋体" w:eastAsia="宋体" w:cs="宋体"/>
          <w:sz w:val="24"/>
          <w:szCs w:val="24"/>
          <w:highlight w:val="yellow"/>
          <w:u w:val="single"/>
          <w:lang w:eastAsia="zh-CN"/>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 w:eastAsia="zh-CN"/>
        </w:rPr>
        <w:t>广东深汕投资控股集团有限公司</w:t>
      </w:r>
    </w:p>
    <w:p w14:paraId="3378D1B2">
      <w:pPr>
        <w:widowControl w:val="0"/>
        <w:autoSpaceDE w:val="0"/>
        <w:autoSpaceDN w:val="0"/>
        <w:adjustRightInd w:val="0"/>
        <w:snapToGrid w:val="0"/>
        <w:spacing w:line="500" w:lineRule="exact"/>
        <w:jc w:val="left"/>
        <w:rPr>
          <w:rFonts w:hint="eastAsia" w:ascii="宋体" w:hAnsi="宋体" w:eastAsia="宋体" w:cs="宋体"/>
          <w:sz w:val="24"/>
          <w:szCs w:val="24"/>
          <w:highlight w:val="yellow"/>
          <w:u w:val="single"/>
        </w:rPr>
      </w:pPr>
    </w:p>
    <w:p w14:paraId="3D117514">
      <w:pPr>
        <w:widowControl w:val="0"/>
        <w:autoSpaceDE w:val="0"/>
        <w:autoSpaceDN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本授权委托书宣告：</w:t>
      </w:r>
      <w:r>
        <w:rPr>
          <w:rFonts w:hint="eastAsia" w:ascii="宋体" w:hAnsi="宋体" w:eastAsia="宋体" w:cs="宋体"/>
          <w:sz w:val="24"/>
          <w:szCs w:val="24"/>
          <w:u w:val="single"/>
        </w:rPr>
        <w:t>（投标人全称）</w:t>
      </w:r>
      <w:r>
        <w:rPr>
          <w:rFonts w:hint="eastAsia" w:ascii="宋体" w:hAnsi="宋体" w:eastAsia="宋体" w:cs="宋体"/>
          <w:sz w:val="24"/>
          <w:szCs w:val="24"/>
        </w:rPr>
        <w:t>的</w:t>
      </w:r>
      <w:r>
        <w:rPr>
          <w:rFonts w:hint="eastAsia" w:ascii="宋体" w:hAnsi="宋体" w:eastAsia="宋体" w:cs="宋体"/>
          <w:sz w:val="24"/>
          <w:szCs w:val="24"/>
          <w:u w:val="single"/>
        </w:rPr>
        <w:t xml:space="preserve"> （职务）（姓名）</w:t>
      </w:r>
      <w:r>
        <w:rPr>
          <w:rFonts w:hint="eastAsia" w:ascii="宋体" w:hAnsi="宋体" w:eastAsia="宋体" w:cs="宋体"/>
          <w:sz w:val="24"/>
          <w:szCs w:val="24"/>
        </w:rPr>
        <w:t>以其法定代表人的身份，合法地代表本单位，授权</w:t>
      </w:r>
      <w:r>
        <w:rPr>
          <w:rFonts w:hint="eastAsia" w:ascii="宋体" w:hAnsi="宋体" w:eastAsia="宋体" w:cs="宋体"/>
          <w:sz w:val="24"/>
          <w:szCs w:val="24"/>
          <w:u w:val="single"/>
        </w:rPr>
        <w:t xml:space="preserve"> （投标人全称） </w:t>
      </w:r>
      <w:r>
        <w:rPr>
          <w:rFonts w:hint="eastAsia" w:ascii="宋体" w:hAnsi="宋体" w:eastAsia="宋体" w:cs="宋体"/>
          <w:sz w:val="24"/>
          <w:szCs w:val="24"/>
        </w:rPr>
        <w:t>的</w:t>
      </w:r>
      <w:r>
        <w:rPr>
          <w:rFonts w:hint="eastAsia" w:ascii="宋体" w:hAnsi="宋体" w:eastAsia="宋体" w:cs="宋体"/>
          <w:sz w:val="24"/>
          <w:szCs w:val="24"/>
          <w:u w:val="single"/>
        </w:rPr>
        <w:t>（职务）（姓名）</w:t>
      </w:r>
      <w:r>
        <w:rPr>
          <w:rFonts w:hint="eastAsia" w:ascii="宋体" w:hAnsi="宋体" w:eastAsia="宋体" w:cs="宋体"/>
          <w:sz w:val="24"/>
          <w:szCs w:val="24"/>
        </w:rPr>
        <w:t>为我单位授权代理人，该授权代理人有权在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广东深汕投资控股集团有限公司中期票据及公司债券律师专项咨询服务</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的投标活动中，以我单位的名义签署报价函与招标人协商、谈判、签订合同协议以及全权处理与此有关的一切事项，其法律后果由我单位承担。</w:t>
      </w:r>
    </w:p>
    <w:p w14:paraId="61C54AD1">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8D429DC">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授权代理人无转委托权，特此委托。</w:t>
      </w:r>
    </w:p>
    <w:p w14:paraId="2E56D961">
      <w:pPr>
        <w:widowControl w:val="0"/>
        <w:autoSpaceDE w:val="0"/>
        <w:autoSpaceDN w:val="0"/>
        <w:adjustRightInd w:val="0"/>
        <w:snapToGrid w:val="0"/>
        <w:spacing w:line="500" w:lineRule="exact"/>
        <w:jc w:val="left"/>
        <w:rPr>
          <w:rFonts w:hint="eastAsia" w:ascii="宋体" w:hAnsi="宋体" w:eastAsia="宋体" w:cs="宋体"/>
          <w:sz w:val="24"/>
          <w:szCs w:val="24"/>
        </w:rPr>
      </w:pPr>
    </w:p>
    <w:p w14:paraId="54DE2CC3">
      <w:pPr>
        <w:widowControl w:val="0"/>
        <w:autoSpaceDE w:val="0"/>
        <w:autoSpaceDN w:val="0"/>
        <w:adjustRightInd w:val="0"/>
        <w:snapToGrid w:val="0"/>
        <w:spacing w:line="500" w:lineRule="exact"/>
        <w:jc w:val="left"/>
        <w:rPr>
          <w:rFonts w:hint="eastAsia" w:ascii="宋体" w:hAnsi="宋体" w:eastAsia="宋体" w:cs="宋体"/>
          <w:sz w:val="24"/>
          <w:szCs w:val="24"/>
          <w:u w:val="single"/>
        </w:rPr>
      </w:pPr>
      <w:r>
        <w:rPr>
          <w:rFonts w:hint="eastAsia" w:ascii="宋体" w:hAnsi="宋体" w:eastAsia="宋体" w:cs="宋体"/>
          <w:sz w:val="24"/>
          <w:szCs w:val="24"/>
        </w:rPr>
        <w:t>投标人（公章）：</w:t>
      </w:r>
      <w:r>
        <w:rPr>
          <w:rFonts w:hint="eastAsia" w:ascii="宋体" w:hAnsi="宋体" w:eastAsia="宋体" w:cs="宋体"/>
          <w:sz w:val="24"/>
          <w:szCs w:val="24"/>
          <w:u w:val="single"/>
        </w:rPr>
        <w:t xml:space="preserve">                            </w:t>
      </w:r>
    </w:p>
    <w:p w14:paraId="6A681C77">
      <w:pPr>
        <w:widowControl w:val="0"/>
        <w:autoSpaceDE w:val="0"/>
        <w:autoSpaceDN w:val="0"/>
        <w:adjustRightInd w:val="0"/>
        <w:snapToGrid w:val="0"/>
        <w:spacing w:line="500" w:lineRule="exact"/>
        <w:jc w:val="left"/>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3718E316">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0CCA55F">
      <w:pPr>
        <w:widowControl w:val="0"/>
        <w:autoSpaceDE w:val="0"/>
        <w:autoSpaceDN w:val="0"/>
        <w:adjustRightInd w:val="0"/>
        <w:snapToGrid w:val="0"/>
        <w:spacing w:line="500" w:lineRule="exact"/>
        <w:jc w:val="left"/>
        <w:rPr>
          <w:rFonts w:hint="eastAsia" w:ascii="宋体" w:hAnsi="宋体" w:eastAsia="宋体" w:cs="宋体"/>
          <w:sz w:val="24"/>
          <w:szCs w:val="24"/>
        </w:rPr>
      </w:pPr>
    </w:p>
    <w:p w14:paraId="55F11A4E">
      <w:pPr>
        <w:widowControl w:val="0"/>
        <w:autoSpaceDE w:val="0"/>
        <w:autoSpaceDN w:val="0"/>
        <w:adjustRightInd w:val="0"/>
        <w:snapToGrid w:val="0"/>
        <w:spacing w:line="500" w:lineRule="exact"/>
        <w:jc w:val="left"/>
        <w:rPr>
          <w:rFonts w:hint="eastAsia" w:ascii="宋体" w:hAnsi="宋体" w:eastAsia="宋体" w:cs="宋体"/>
          <w:b/>
          <w:sz w:val="24"/>
          <w:szCs w:val="24"/>
        </w:rPr>
      </w:pPr>
      <w:r>
        <w:rPr>
          <w:rFonts w:hint="eastAsia" w:ascii="宋体" w:hAnsi="宋体" w:eastAsia="宋体" w:cs="宋体"/>
          <w:b/>
          <w:sz w:val="24"/>
          <w:szCs w:val="24"/>
        </w:rPr>
        <w:t>注：</w:t>
      </w:r>
    </w:p>
    <w:p w14:paraId="1D8B18A6">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1、如为法定代表人参加本次投标活动时，则不需要填写“法定代表人授权委托书”。</w:t>
      </w:r>
    </w:p>
    <w:p w14:paraId="7C3D6ADF">
      <w:pPr>
        <w:widowControl w:val="0"/>
        <w:autoSpaceDE w:val="0"/>
        <w:autoSpaceDN w:val="0"/>
        <w:adjustRightInd w:val="0"/>
        <w:snapToGrid w:val="0"/>
        <w:spacing w:line="500" w:lineRule="exact"/>
        <w:jc w:val="left"/>
        <w:rPr>
          <w:rFonts w:ascii="宋体" w:hAnsi="宋体"/>
          <w:b/>
          <w:szCs w:val="21"/>
        </w:rPr>
      </w:pPr>
      <w:r>
        <w:rPr>
          <w:rFonts w:hint="eastAsia" w:ascii="宋体" w:hAnsi="宋体" w:eastAsia="宋体" w:cs="宋体"/>
          <w:sz w:val="24"/>
          <w:szCs w:val="24"/>
        </w:rPr>
        <w:t>2、</w:t>
      </w:r>
      <w:r>
        <w:rPr>
          <w:rFonts w:hint="eastAsia" w:ascii="宋体" w:hAnsi="宋体" w:eastAsia="宋体" w:cs="宋体"/>
          <w:b/>
          <w:bCs/>
          <w:sz w:val="24"/>
          <w:szCs w:val="24"/>
        </w:rPr>
        <w:t>后附授权代理人身份证复印件。</w:t>
      </w:r>
    </w:p>
    <w:p w14:paraId="5B39F3A8">
      <w:pPr>
        <w:pStyle w:val="2"/>
        <w:spacing w:beforeAutospacing="0" w:line="500" w:lineRule="exact"/>
        <w:ind w:firstLine="0" w:firstLineChars="0"/>
        <w:rPr>
          <w:rFonts w:hint="default" w:eastAsia="仿宋_GB2312" w:cs="仿宋_GB2312"/>
        </w:rPr>
      </w:pPr>
    </w:p>
    <w:p w14:paraId="59455D9B">
      <w:pPr>
        <w:rPr>
          <w:rFonts w:eastAsia="仿宋_GB2312" w:cs="仿宋_GB2312"/>
          <w:color w:val="FF0000"/>
        </w:rPr>
      </w:pPr>
    </w:p>
    <w:p w14:paraId="5524DA86">
      <w:pPr>
        <w:pStyle w:val="15"/>
        <w:spacing w:line="560" w:lineRule="exact"/>
        <w:ind w:firstLine="320"/>
        <w:rPr>
          <w:rFonts w:eastAsia="仿宋_GB2312"/>
          <w:sz w:val="32"/>
          <w:szCs w:val="32"/>
        </w:rPr>
      </w:pPr>
    </w:p>
    <w:p w14:paraId="01E03102">
      <w:pPr>
        <w:pStyle w:val="2"/>
        <w:ind w:firstLine="640"/>
        <w:rPr>
          <w:rFonts w:hint="default" w:eastAsia="仿宋_GB2312"/>
        </w:rPr>
      </w:pPr>
    </w:p>
    <w:p w14:paraId="1E56FA5A">
      <w:pPr>
        <w:widowControl w:val="0"/>
        <w:spacing w:line="24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附件4</w:t>
      </w:r>
      <w:r>
        <w:rPr>
          <w:rFonts w:hint="eastAsia" w:ascii="仿宋_GB2312" w:hAnsi="仿宋_GB2312" w:eastAsia="仿宋_GB2312" w:cs="仿宋_GB2312"/>
          <w:sz w:val="32"/>
          <w:szCs w:val="32"/>
        </w:rPr>
        <w:t xml:space="preserve"> </w:t>
      </w:r>
      <w:r>
        <w:rPr>
          <w:rFonts w:hint="eastAsia" w:ascii="仿宋_GB2312" w:hAnsi="仿宋_GB2312" w:cs="仿宋_GB2312"/>
          <w:sz w:val="32"/>
          <w:szCs w:val="32"/>
          <w:lang w:val="en-US" w:eastAsia="zh-CN"/>
        </w:rPr>
        <w:t>备案证明</w:t>
      </w:r>
    </w:p>
    <w:p w14:paraId="2DBC33E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投标人或其总所需在证监会完成从事证券法律业务备案</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提供投标人或其总所在中国证券监督管理委员会《从事证券法律业务律师事务所首次备案表》所列位置截图。</w:t>
      </w:r>
    </w:p>
    <w:p w14:paraId="2AB02DF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如供应商为律师事务所分所，还需提供总所及分所的关系证明。</w:t>
      </w:r>
      <w:r>
        <w:rPr>
          <w:rFonts w:hint="eastAsia" w:ascii="仿宋_GB2312" w:hAnsi="仿宋_GB2312" w:eastAsia="仿宋_GB2312" w:cs="仿宋_GB2312"/>
          <w:sz w:val="32"/>
          <w:szCs w:val="32"/>
        </w:rPr>
        <w:br w:type="page"/>
      </w:r>
    </w:p>
    <w:p w14:paraId="445CBB98">
      <w:pPr>
        <w:widowControl w:val="0"/>
        <w:spacing w:line="240" w:lineRule="auto"/>
        <w:rPr>
          <w:rFonts w:hint="eastAsia" w:ascii="仿宋_GB2312" w:hAnsi="仿宋_GB2312" w:cs="仿宋_GB2312"/>
          <w:b/>
          <w:bCs/>
          <w:sz w:val="32"/>
          <w:szCs w:val="32"/>
          <w:lang w:val="en-US" w:eastAsia="zh-CN"/>
        </w:rPr>
      </w:pPr>
      <w:r>
        <w:rPr>
          <w:rFonts w:hint="eastAsia" w:ascii="仿宋_GB2312" w:hAnsi="仿宋_GB2312" w:eastAsia="仿宋_GB2312" w:cs="仿宋_GB2312"/>
          <w:b/>
          <w:bCs/>
          <w:sz w:val="32"/>
          <w:szCs w:val="32"/>
        </w:rPr>
        <w:t>附件</w:t>
      </w:r>
      <w:r>
        <w:rPr>
          <w:rFonts w:hint="eastAsia" w:ascii="仿宋_GB2312" w:hAnsi="仿宋_GB2312" w:cs="仿宋_GB2312"/>
          <w:b/>
          <w:bCs/>
          <w:sz w:val="32"/>
          <w:szCs w:val="32"/>
          <w:lang w:val="en-US" w:eastAsia="zh-CN"/>
        </w:rPr>
        <w:t>5</w:t>
      </w:r>
      <w:r>
        <w:rPr>
          <w:rFonts w:hint="eastAsia" w:ascii="仿宋_GB2312" w:hAnsi="仿宋_GB2312" w:eastAsia="仿宋_GB2312" w:cs="仿宋_GB2312"/>
          <w:sz w:val="32"/>
          <w:szCs w:val="32"/>
          <w:lang w:val="en-US" w:eastAsia="zh-CN"/>
        </w:rPr>
        <w:t>会员证明文件</w:t>
      </w:r>
    </w:p>
    <w:p w14:paraId="31CF51D7">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投标人或其总所需为中国银行间市场交易商协会会员单位，</w:t>
      </w:r>
      <w:r>
        <w:rPr>
          <w:rFonts w:hint="eastAsia" w:ascii="仿宋_GB2312" w:hAnsi="仿宋_GB2312" w:cs="仿宋_GB2312"/>
          <w:sz w:val="32"/>
          <w:szCs w:val="32"/>
          <w:lang w:val="en-US" w:eastAsia="zh-CN"/>
        </w:rPr>
        <w:t>提供中国银行间市场交易商协会官网网站会员名单查询结果截图。</w:t>
      </w:r>
    </w:p>
    <w:p w14:paraId="156D33E9">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如供应商为律师事务所分所，还需提供总所及分所的关系证明。</w:t>
      </w:r>
    </w:p>
    <w:p w14:paraId="7891212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6B47F280">
      <w:pPr>
        <w:widowControl w:val="0"/>
        <w:spacing w:line="240" w:lineRule="auto"/>
        <w:rPr>
          <w:rFonts w:hint="eastAsia" w:ascii="仿宋_GB2312" w:hAnsi="仿宋_GB2312" w:cs="仿宋_GB2312"/>
          <w:sz w:val="32"/>
          <w:szCs w:val="32"/>
          <w:lang w:val="en-US" w:eastAsia="zh-CN"/>
        </w:rPr>
      </w:pPr>
      <w:r>
        <w:rPr>
          <w:rFonts w:hint="eastAsia" w:ascii="仿宋_GB2312" w:hAnsi="仿宋_GB2312" w:eastAsia="仿宋_GB2312" w:cs="仿宋_GB2312"/>
          <w:b/>
          <w:bCs/>
          <w:sz w:val="32"/>
          <w:szCs w:val="32"/>
          <w:lang w:val="en-US" w:eastAsia="zh-CN"/>
        </w:rPr>
        <w:t>附件6</w:t>
      </w:r>
      <w:r>
        <w:rPr>
          <w:rFonts w:hint="eastAsia" w:ascii="仿宋_GB2312" w:hAnsi="仿宋_GB2312" w:cs="仿宋_GB2312"/>
          <w:sz w:val="32"/>
          <w:szCs w:val="32"/>
          <w:lang w:val="en-US" w:eastAsia="zh-CN"/>
        </w:rPr>
        <w:t>承诺函</w:t>
      </w:r>
    </w:p>
    <w:p w14:paraId="162DD593">
      <w:pPr>
        <w:pStyle w:val="2"/>
        <w:rPr>
          <w:rFonts w:hint="eastAsia"/>
          <w:lang w:val="en-US" w:eastAsia="zh-CN"/>
        </w:rPr>
      </w:pPr>
      <w:r>
        <w:rPr>
          <w:rFonts w:hint="eastAsia"/>
          <w:lang w:val="en-US" w:eastAsia="zh-CN"/>
        </w:rPr>
        <w:t>供应商需承诺不存在被监管部门限制债券承销或参与债券发行业务活动资格的情形，签字人员不存在被监管机构处罚的情况</w:t>
      </w:r>
      <w:r>
        <w:rPr>
          <w:rFonts w:hint="eastAsia"/>
          <w:lang w:eastAsia="zh-CN"/>
        </w:rPr>
        <w:t>，投标人及签字人员不存在被中国银行间市场交易商协会处分或禁入的情况，</w:t>
      </w:r>
      <w:r>
        <w:rPr>
          <w:rFonts w:hint="eastAsia"/>
          <w:lang w:val="en-US" w:eastAsia="zh-CN"/>
        </w:rPr>
        <w:t>提供承诺函，格式自拟。</w:t>
      </w:r>
    </w:p>
    <w:p w14:paraId="4EB82335">
      <w:pPr>
        <w:rPr>
          <w:rFonts w:hint="eastAsia"/>
          <w:lang w:val="en-US" w:eastAsia="zh-CN"/>
        </w:rPr>
      </w:pPr>
    </w:p>
    <w:p w14:paraId="0AB69496">
      <w:pPr>
        <w:rPr>
          <w:rFonts w:hint="eastAsia"/>
          <w:lang w:val="en-US" w:eastAsia="zh-CN"/>
        </w:rPr>
      </w:pPr>
      <w:r>
        <w:rPr>
          <w:rFonts w:hint="eastAsia"/>
          <w:lang w:val="en-US" w:eastAsia="zh-CN"/>
        </w:rPr>
        <w:t>参考格式：</w:t>
      </w:r>
    </w:p>
    <w:p w14:paraId="4B035BC1">
      <w:pPr>
        <w:pStyle w:val="2"/>
        <w:ind w:left="0" w:leftChars="0" w:firstLine="0" w:firstLineChars="0"/>
        <w:jc w:val="center"/>
        <w:rPr>
          <w:rFonts w:hint="eastAsia"/>
          <w:lang w:val="en-US" w:eastAsia="zh-CN"/>
        </w:rPr>
      </w:pPr>
      <w:r>
        <w:rPr>
          <w:rFonts w:hint="eastAsia"/>
          <w:lang w:val="en-US" w:eastAsia="zh-CN"/>
        </w:rPr>
        <w:t>承诺函</w:t>
      </w:r>
    </w:p>
    <w:p w14:paraId="1B011001">
      <w:pPr>
        <w:pStyle w:val="2"/>
        <w:rPr>
          <w:rFonts w:hint="eastAsia"/>
          <w:u w:val="single"/>
          <w:lang w:val="en-US" w:eastAsia="zh-CN"/>
        </w:rPr>
      </w:pPr>
      <w:r>
        <w:rPr>
          <w:rFonts w:hint="eastAsia"/>
          <w:lang w:val="en-US" w:eastAsia="zh-CN"/>
        </w:rPr>
        <w:t>我单位参与</w:t>
      </w:r>
      <w:r>
        <w:rPr>
          <w:rFonts w:hint="eastAsia"/>
          <w:u w:val="single"/>
          <w:lang w:val="en-US" w:eastAsia="zh-CN"/>
        </w:rPr>
        <w:t>广东深汕投资控股集团有限公司中期票据及公司债券律师专项咨询服务</w:t>
      </w:r>
      <w:r>
        <w:rPr>
          <w:rFonts w:hint="eastAsia"/>
          <w:u w:val="none"/>
          <w:lang w:val="en-US" w:eastAsia="zh-CN"/>
        </w:rPr>
        <w:t>项目采购活动，承诺</w:t>
      </w:r>
      <w:r>
        <w:rPr>
          <w:rFonts w:hint="eastAsia"/>
          <w:u w:val="single"/>
          <w:lang w:val="en-US" w:eastAsia="zh-CN"/>
        </w:rPr>
        <w:t>我单位不存在被监管部门限制债券承销或参与债券发行业务活动资格的情形，签字人员不存在被监管机构处罚的情况。我单位及签字人员不存在被中国银行间市场交易商协会处分或禁入的情况。</w:t>
      </w:r>
    </w:p>
    <w:p w14:paraId="10A62ACC">
      <w:pPr>
        <w:widowControl w:val="0"/>
        <w:autoSpaceDE w:val="0"/>
        <w:autoSpaceDN w:val="0"/>
        <w:adjustRightInd w:val="0"/>
        <w:snapToGrid w:val="0"/>
        <w:spacing w:line="500" w:lineRule="exact"/>
        <w:jc w:val="center"/>
        <w:rPr>
          <w:rFonts w:hint="eastAsia" w:ascii="仿宋_GB2312" w:hAnsi="仿宋_GB2312" w:eastAsia="仿宋_GB2312" w:cs="仿宋_GB2312"/>
          <w:sz w:val="28"/>
          <w:szCs w:val="28"/>
        </w:rPr>
      </w:pPr>
    </w:p>
    <w:p w14:paraId="7DAD53C0">
      <w:pPr>
        <w:widowControl w:val="0"/>
        <w:autoSpaceDE w:val="0"/>
        <w:autoSpaceDN w:val="0"/>
        <w:adjustRightInd w:val="0"/>
        <w:snapToGrid w:val="0"/>
        <w:spacing w:line="500" w:lineRule="exact"/>
        <w:jc w:val="cente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投标人（公章）：</w:t>
      </w:r>
      <w:r>
        <w:rPr>
          <w:rFonts w:hint="eastAsia" w:ascii="仿宋_GB2312" w:hAnsi="仿宋_GB2312" w:eastAsia="仿宋_GB2312" w:cs="仿宋_GB2312"/>
          <w:sz w:val="28"/>
          <w:szCs w:val="28"/>
          <w:u w:val="single"/>
        </w:rPr>
        <w:t xml:space="preserve">                            </w:t>
      </w:r>
    </w:p>
    <w:p w14:paraId="6DA28A10">
      <w:pPr>
        <w:widowControl w:val="0"/>
        <w:autoSpaceDE w:val="0"/>
        <w:autoSpaceDN w:val="0"/>
        <w:adjustRightInd w:val="0"/>
        <w:snapToGrid w:val="0"/>
        <w:spacing w:line="500" w:lineRule="exact"/>
        <w:jc w:val="cente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法定代表人（签字或盖章）：</w:t>
      </w:r>
      <w:r>
        <w:rPr>
          <w:rFonts w:hint="eastAsia" w:ascii="仿宋_GB2312" w:hAnsi="仿宋_GB2312" w:eastAsia="仿宋_GB2312" w:cs="仿宋_GB2312"/>
          <w:sz w:val="28"/>
          <w:szCs w:val="28"/>
          <w:u w:val="single"/>
        </w:rPr>
        <w:t xml:space="preserve">                        </w:t>
      </w:r>
    </w:p>
    <w:p w14:paraId="60F2CE6D">
      <w:pPr>
        <w:widowControl w:val="0"/>
        <w:autoSpaceDE w:val="0"/>
        <w:autoSpaceDN w:val="0"/>
        <w:adjustRightInd w:val="0"/>
        <w:snapToGrid w:val="0"/>
        <w:spacing w:line="500" w:lineRule="exact"/>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14:paraId="4CFE3F9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5829C9CF">
      <w:pPr>
        <w:widowControl w:val="0"/>
        <w:spacing w:line="240" w:lineRule="auto"/>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附件</w:t>
      </w:r>
      <w:r>
        <w:rPr>
          <w:rFonts w:hint="eastAsia" w:ascii="仿宋_GB2312" w:hAnsi="仿宋_GB2312" w:cs="仿宋_GB2312"/>
          <w:b/>
          <w:bCs/>
          <w:sz w:val="32"/>
          <w:szCs w:val="32"/>
          <w:lang w:val="en-US" w:eastAsia="zh-CN"/>
        </w:rPr>
        <w:t>7</w:t>
      </w:r>
      <w:r>
        <w:rPr>
          <w:rFonts w:hint="eastAsia" w:ascii="仿宋_GB2312" w:hAnsi="仿宋_GB2312" w:eastAsia="仿宋_GB2312" w:cs="仿宋_GB2312"/>
          <w:sz w:val="32"/>
          <w:szCs w:val="32"/>
        </w:rPr>
        <w:t>投标人认为需要提供的其他材料（若有）</w:t>
      </w:r>
    </w:p>
    <w:p w14:paraId="562FEBC1">
      <w:pPr>
        <w:pStyle w:val="7"/>
        <w:ind w:firstLine="0"/>
      </w:pPr>
    </w:p>
    <w:p w14:paraId="34B10D90">
      <w:pPr>
        <w:ind w:right="1280" w:rightChars="400"/>
        <w:jc w:val="right"/>
        <w:rPr>
          <w:rFonts w:hint="eastAsia" w:ascii="仿宋_GB2312"/>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DE753">
    <w:pPr>
      <w:pStyle w:val="11"/>
      <w:ind w:firstLine="360"/>
    </w:pPr>
    <w:r>
      <mc:AlternateContent>
        <mc:Choice Requires="wps">
          <w:drawing>
            <wp:anchor distT="0" distB="0" distL="114300" distR="114300" simplePos="0" relativeHeight="251659264" behindDoc="0" locked="0" layoutInCell="1" allowOverlap="1">
              <wp:simplePos x="0" y="0"/>
              <wp:positionH relativeFrom="margin">
                <wp:posOffset>5452745</wp:posOffset>
              </wp:positionH>
              <wp:positionV relativeFrom="paragraph">
                <wp:posOffset>-101600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3FB453">
                          <w:pPr>
                            <w:pStyle w:val="11"/>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w:t>
                          </w:r>
                          <w:r>
                            <w:rPr>
                              <w:rFonts w:hint="eastAsia" w:ascii="仿宋_GB2312" w:hAnsi="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29.35pt;margin-top:-8pt;height:144pt;width:144pt;mso-position-horizontal-relative:margin;mso-wrap-style:none;z-index:251659264;mso-width-relative:page;mso-height-relative:page;" filled="f" stroked="f" coordsize="21600,21600" o:gfxdata="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dl/7dkAAAAMAQAADwAAAAAAAAABACAAAAAiAAAAZHJzL2Rvd25yZXYueG1sUEsB&#10;AhQAFAAAAAgAh07iQGJ7cdktAgAAVwQAAA4AAAAAAAAAAQAgAAAAKAEAAGRycy9lMm9Eb2MueG1s&#10;UEsFBgAAAAAGAAYAWQEAAMcFAAAAAA==&#10;">
              <v:fill on="f" focussize="0,0"/>
              <v:stroke on="f" weight="0.5pt"/>
              <v:imagedata o:title=""/>
              <o:lock v:ext="edit" aspectratio="f"/>
              <v:textbox inset="0mm,0mm,0mm,0mm" style="mso-fit-shape-to-text:t;">
                <w:txbxContent>
                  <w:p w14:paraId="723FB453">
                    <w:pPr>
                      <w:pStyle w:val="11"/>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w:t>
                    </w:r>
                    <w:r>
                      <w:rPr>
                        <w:rFonts w:hint="eastAsia" w:ascii="仿宋_GB2312" w:hAnsi="仿宋_GB2312" w:cs="仿宋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91A8">
    <w:pPr>
      <w:pStyle w:val="11"/>
      <w:ind w:firstLine="360"/>
    </w:pPr>
    <w:r>
      <mc:AlternateContent>
        <mc:Choice Requires="wps">
          <w:drawing>
            <wp:anchor distT="0" distB="0" distL="114300" distR="114300" simplePos="0" relativeHeight="251660288" behindDoc="0" locked="0" layoutInCell="1" allowOverlap="1">
              <wp:simplePos x="0" y="0"/>
              <wp:positionH relativeFrom="margin">
                <wp:posOffset>5080</wp:posOffset>
              </wp:positionH>
              <wp:positionV relativeFrom="paragraph">
                <wp:posOffset>-95250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373788">
                          <w:pPr>
                            <w:pStyle w:val="11"/>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１０</w:t>
                          </w:r>
                          <w:r>
                            <w:rPr>
                              <w:rFonts w:hint="eastAsia" w:ascii="仿宋_GB2312" w:hAnsi="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0.4pt;margin-top:-7.5pt;height:144pt;width:144pt;mso-position-horizontal-relative:margin;mso-wrap-style:none;z-index:251660288;mso-width-relative:page;mso-height-relative:page;" filled="f" stroked="f" coordsize="21600,21600" o:gfxdata="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Wi2ObNYAAAAIAQAADwAAAAAAAAABACAAAAAiAAAAZHJzL2Rvd25yZXYueG1sUEsBAhQA&#10;FAAAAAgAh07iQMo2IpktAgAAVwQAAA4AAAAAAAAAAQAgAAAAJQEAAGRycy9lMm9Eb2MueG1sUEsF&#10;BgAAAAAGAAYAWQEAAMQFAAAAAA==&#10;">
              <v:fill on="f" focussize="0,0"/>
              <v:stroke on="f" weight="0.5pt"/>
              <v:imagedata o:title=""/>
              <o:lock v:ext="edit" aspectratio="f"/>
              <v:textbox inset="0mm,0mm,0mm,0mm" style="mso-fit-shape-to-text:t;">
                <w:txbxContent>
                  <w:p w14:paraId="3F373788">
                    <w:pPr>
                      <w:pStyle w:val="11"/>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１０</w:t>
                    </w:r>
                    <w:r>
                      <w:rPr>
                        <w:rFonts w:hint="eastAsia" w:ascii="仿宋_GB2312" w:hAnsi="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34D31"/>
    <w:multiLevelType w:val="singleLevel"/>
    <w:tmpl w:val="44B34D31"/>
    <w:lvl w:ilvl="0" w:tentative="0">
      <w:start w:val="1"/>
      <w:numFmt w:val="chineseCounting"/>
      <w:pStyle w:val="28"/>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iMjJhMTM3NjI1ZTUzZDQ5ODZmOTJjZWRkYzNiN2UifQ=="/>
  </w:docVars>
  <w:rsids>
    <w:rsidRoot w:val="00F41971"/>
    <w:rsid w:val="0003479A"/>
    <w:rsid w:val="00077E8D"/>
    <w:rsid w:val="00111D78"/>
    <w:rsid w:val="00192DD7"/>
    <w:rsid w:val="001A4B49"/>
    <w:rsid w:val="001D06C4"/>
    <w:rsid w:val="002559A5"/>
    <w:rsid w:val="002564DB"/>
    <w:rsid w:val="002572FF"/>
    <w:rsid w:val="00285EB6"/>
    <w:rsid w:val="002A1AA4"/>
    <w:rsid w:val="002A20B3"/>
    <w:rsid w:val="00380BAF"/>
    <w:rsid w:val="0038259E"/>
    <w:rsid w:val="003A2B15"/>
    <w:rsid w:val="0045669D"/>
    <w:rsid w:val="004D3C11"/>
    <w:rsid w:val="004E2146"/>
    <w:rsid w:val="00585C00"/>
    <w:rsid w:val="00601E41"/>
    <w:rsid w:val="00605875"/>
    <w:rsid w:val="00643228"/>
    <w:rsid w:val="0069311D"/>
    <w:rsid w:val="00704706"/>
    <w:rsid w:val="00753887"/>
    <w:rsid w:val="00807161"/>
    <w:rsid w:val="008D62E8"/>
    <w:rsid w:val="0094414D"/>
    <w:rsid w:val="009626BA"/>
    <w:rsid w:val="00970F34"/>
    <w:rsid w:val="009A385F"/>
    <w:rsid w:val="00A3388A"/>
    <w:rsid w:val="00A6198C"/>
    <w:rsid w:val="00A80A22"/>
    <w:rsid w:val="00A84754"/>
    <w:rsid w:val="00B80821"/>
    <w:rsid w:val="00B87829"/>
    <w:rsid w:val="00BE6C98"/>
    <w:rsid w:val="00BF6491"/>
    <w:rsid w:val="00CA194E"/>
    <w:rsid w:val="00CA65F4"/>
    <w:rsid w:val="00CD3C7C"/>
    <w:rsid w:val="00CE2F8A"/>
    <w:rsid w:val="00CF5F15"/>
    <w:rsid w:val="00D13FD4"/>
    <w:rsid w:val="00D849A1"/>
    <w:rsid w:val="00E11C9C"/>
    <w:rsid w:val="00E14578"/>
    <w:rsid w:val="00E8498A"/>
    <w:rsid w:val="00ED427E"/>
    <w:rsid w:val="00EE069C"/>
    <w:rsid w:val="00F21FAD"/>
    <w:rsid w:val="00F41971"/>
    <w:rsid w:val="00F55B54"/>
    <w:rsid w:val="01DD546B"/>
    <w:rsid w:val="01F616E2"/>
    <w:rsid w:val="02306E83"/>
    <w:rsid w:val="02456922"/>
    <w:rsid w:val="031A3124"/>
    <w:rsid w:val="04161BF6"/>
    <w:rsid w:val="049C7837"/>
    <w:rsid w:val="04AB1F60"/>
    <w:rsid w:val="04B21CA4"/>
    <w:rsid w:val="05585ED0"/>
    <w:rsid w:val="068230B6"/>
    <w:rsid w:val="07320416"/>
    <w:rsid w:val="078B5EF9"/>
    <w:rsid w:val="07CB112E"/>
    <w:rsid w:val="096F40AE"/>
    <w:rsid w:val="0A055451"/>
    <w:rsid w:val="0A170D36"/>
    <w:rsid w:val="0AE4395F"/>
    <w:rsid w:val="0AF948EC"/>
    <w:rsid w:val="0B3E5D43"/>
    <w:rsid w:val="0B707ED0"/>
    <w:rsid w:val="0BAF7C0D"/>
    <w:rsid w:val="0C9214E5"/>
    <w:rsid w:val="0CEB5ED7"/>
    <w:rsid w:val="0D706097"/>
    <w:rsid w:val="0DC84FB6"/>
    <w:rsid w:val="0DD15B08"/>
    <w:rsid w:val="0E007557"/>
    <w:rsid w:val="0E250CBF"/>
    <w:rsid w:val="0E4B0190"/>
    <w:rsid w:val="0EBF4A72"/>
    <w:rsid w:val="0FBD0CCD"/>
    <w:rsid w:val="10A43C75"/>
    <w:rsid w:val="10BD18AA"/>
    <w:rsid w:val="10C81A80"/>
    <w:rsid w:val="113C332B"/>
    <w:rsid w:val="12217B86"/>
    <w:rsid w:val="127F6B7F"/>
    <w:rsid w:val="13CF754D"/>
    <w:rsid w:val="140A5FF3"/>
    <w:rsid w:val="14672A93"/>
    <w:rsid w:val="14676F87"/>
    <w:rsid w:val="14AC7470"/>
    <w:rsid w:val="14B02230"/>
    <w:rsid w:val="14D76415"/>
    <w:rsid w:val="17614824"/>
    <w:rsid w:val="17DD1A0A"/>
    <w:rsid w:val="19091317"/>
    <w:rsid w:val="19F141B4"/>
    <w:rsid w:val="1B7157C2"/>
    <w:rsid w:val="1BF26880"/>
    <w:rsid w:val="1C275879"/>
    <w:rsid w:val="1C2F64E9"/>
    <w:rsid w:val="1C6C76F9"/>
    <w:rsid w:val="1D486DF2"/>
    <w:rsid w:val="1ED15BD1"/>
    <w:rsid w:val="1F1A4D81"/>
    <w:rsid w:val="1F581A14"/>
    <w:rsid w:val="1F646746"/>
    <w:rsid w:val="1F767CCE"/>
    <w:rsid w:val="21011CAD"/>
    <w:rsid w:val="215B5E2D"/>
    <w:rsid w:val="22407BB4"/>
    <w:rsid w:val="224A0815"/>
    <w:rsid w:val="231A3D12"/>
    <w:rsid w:val="238E5ADE"/>
    <w:rsid w:val="239A0AE3"/>
    <w:rsid w:val="241E3F05"/>
    <w:rsid w:val="24753E56"/>
    <w:rsid w:val="26116869"/>
    <w:rsid w:val="266348BB"/>
    <w:rsid w:val="26E83CE7"/>
    <w:rsid w:val="27973C5A"/>
    <w:rsid w:val="27D7244B"/>
    <w:rsid w:val="29715F80"/>
    <w:rsid w:val="2A02312A"/>
    <w:rsid w:val="2A336250"/>
    <w:rsid w:val="2AF53C86"/>
    <w:rsid w:val="2B3B10F2"/>
    <w:rsid w:val="2B3B3D8C"/>
    <w:rsid w:val="2B936FA7"/>
    <w:rsid w:val="2BA96173"/>
    <w:rsid w:val="2E492514"/>
    <w:rsid w:val="2E506D6B"/>
    <w:rsid w:val="309712B9"/>
    <w:rsid w:val="310B321B"/>
    <w:rsid w:val="3125041B"/>
    <w:rsid w:val="31576FA5"/>
    <w:rsid w:val="315E2D8D"/>
    <w:rsid w:val="31882FF3"/>
    <w:rsid w:val="32F31E67"/>
    <w:rsid w:val="33B01767"/>
    <w:rsid w:val="340F3962"/>
    <w:rsid w:val="345B136D"/>
    <w:rsid w:val="35076310"/>
    <w:rsid w:val="36970CC5"/>
    <w:rsid w:val="38471DA8"/>
    <w:rsid w:val="3949781C"/>
    <w:rsid w:val="39577055"/>
    <w:rsid w:val="399106B2"/>
    <w:rsid w:val="3AAB6BF5"/>
    <w:rsid w:val="3E8A1232"/>
    <w:rsid w:val="3E8E0BCF"/>
    <w:rsid w:val="3EFA165F"/>
    <w:rsid w:val="3F4924BC"/>
    <w:rsid w:val="3F7F15FF"/>
    <w:rsid w:val="3FAD2544"/>
    <w:rsid w:val="404B17A6"/>
    <w:rsid w:val="40EF2A79"/>
    <w:rsid w:val="41E74828"/>
    <w:rsid w:val="420C67D1"/>
    <w:rsid w:val="42117D50"/>
    <w:rsid w:val="42436C90"/>
    <w:rsid w:val="427B77F6"/>
    <w:rsid w:val="43675ED2"/>
    <w:rsid w:val="436960CE"/>
    <w:rsid w:val="440866B3"/>
    <w:rsid w:val="441C7B6B"/>
    <w:rsid w:val="45A7637C"/>
    <w:rsid w:val="469C18DD"/>
    <w:rsid w:val="47082882"/>
    <w:rsid w:val="4748214E"/>
    <w:rsid w:val="47717E43"/>
    <w:rsid w:val="477E6208"/>
    <w:rsid w:val="48D51C61"/>
    <w:rsid w:val="48E91141"/>
    <w:rsid w:val="491E0503"/>
    <w:rsid w:val="4A59797C"/>
    <w:rsid w:val="4A8A0FB0"/>
    <w:rsid w:val="4A9B2545"/>
    <w:rsid w:val="4AAD4A0C"/>
    <w:rsid w:val="4B4879CC"/>
    <w:rsid w:val="4B9E3E1F"/>
    <w:rsid w:val="4C953B3D"/>
    <w:rsid w:val="4CCB41D4"/>
    <w:rsid w:val="4D0C499C"/>
    <w:rsid w:val="4D3B1E28"/>
    <w:rsid w:val="4D507C3B"/>
    <w:rsid w:val="4D766FC2"/>
    <w:rsid w:val="4DB15B45"/>
    <w:rsid w:val="4F1E3FF2"/>
    <w:rsid w:val="4F9111A0"/>
    <w:rsid w:val="4FAC7DC3"/>
    <w:rsid w:val="4FFD7659"/>
    <w:rsid w:val="50266CC0"/>
    <w:rsid w:val="50904BF3"/>
    <w:rsid w:val="50AC5187"/>
    <w:rsid w:val="52053B69"/>
    <w:rsid w:val="5217582C"/>
    <w:rsid w:val="523A63CC"/>
    <w:rsid w:val="52B6036C"/>
    <w:rsid w:val="52C90974"/>
    <w:rsid w:val="53BA75DB"/>
    <w:rsid w:val="53ED7934"/>
    <w:rsid w:val="53F01B00"/>
    <w:rsid w:val="55E42272"/>
    <w:rsid w:val="56AD5365"/>
    <w:rsid w:val="56E64618"/>
    <w:rsid w:val="57AB0168"/>
    <w:rsid w:val="57D82C90"/>
    <w:rsid w:val="57E87AE8"/>
    <w:rsid w:val="594C5BD9"/>
    <w:rsid w:val="59747F0F"/>
    <w:rsid w:val="59BD33CC"/>
    <w:rsid w:val="5A00338B"/>
    <w:rsid w:val="5AB133BB"/>
    <w:rsid w:val="5CA41214"/>
    <w:rsid w:val="5D47257A"/>
    <w:rsid w:val="5D51271B"/>
    <w:rsid w:val="5D671A00"/>
    <w:rsid w:val="5D9F2AFC"/>
    <w:rsid w:val="5E097B04"/>
    <w:rsid w:val="5E3F23ED"/>
    <w:rsid w:val="5E5B1F8E"/>
    <w:rsid w:val="5E903F41"/>
    <w:rsid w:val="5F7E21F5"/>
    <w:rsid w:val="60065727"/>
    <w:rsid w:val="609C6E93"/>
    <w:rsid w:val="60A22AC8"/>
    <w:rsid w:val="60A70CB4"/>
    <w:rsid w:val="60D50706"/>
    <w:rsid w:val="614172D9"/>
    <w:rsid w:val="61427B28"/>
    <w:rsid w:val="6199155E"/>
    <w:rsid w:val="621A59E9"/>
    <w:rsid w:val="62C044BD"/>
    <w:rsid w:val="62E641F4"/>
    <w:rsid w:val="62F61E16"/>
    <w:rsid w:val="63507F2A"/>
    <w:rsid w:val="63905B92"/>
    <w:rsid w:val="639F71D5"/>
    <w:rsid w:val="647D0D21"/>
    <w:rsid w:val="649C0239"/>
    <w:rsid w:val="667D240D"/>
    <w:rsid w:val="6772472A"/>
    <w:rsid w:val="68B007A5"/>
    <w:rsid w:val="68B93348"/>
    <w:rsid w:val="68CA73EF"/>
    <w:rsid w:val="68FE5C79"/>
    <w:rsid w:val="69172DED"/>
    <w:rsid w:val="69BB691E"/>
    <w:rsid w:val="69F129C2"/>
    <w:rsid w:val="6B902CAD"/>
    <w:rsid w:val="6CBD1CD9"/>
    <w:rsid w:val="6CE90C46"/>
    <w:rsid w:val="6D205BE5"/>
    <w:rsid w:val="6D2C7A79"/>
    <w:rsid w:val="6D65036D"/>
    <w:rsid w:val="6E210B9E"/>
    <w:rsid w:val="6E6C5DF4"/>
    <w:rsid w:val="6EC770E8"/>
    <w:rsid w:val="6F8B09D7"/>
    <w:rsid w:val="6FA2478B"/>
    <w:rsid w:val="6FE73A98"/>
    <w:rsid w:val="701D01BA"/>
    <w:rsid w:val="707027D3"/>
    <w:rsid w:val="7110171C"/>
    <w:rsid w:val="71656ED7"/>
    <w:rsid w:val="71C268FA"/>
    <w:rsid w:val="72336FB2"/>
    <w:rsid w:val="72574928"/>
    <w:rsid w:val="72AD09AD"/>
    <w:rsid w:val="73132DD6"/>
    <w:rsid w:val="73416663"/>
    <w:rsid w:val="7379631C"/>
    <w:rsid w:val="73FA17D7"/>
    <w:rsid w:val="73FC2978"/>
    <w:rsid w:val="74C10CC4"/>
    <w:rsid w:val="74F146EB"/>
    <w:rsid w:val="75045A30"/>
    <w:rsid w:val="764C4F37"/>
    <w:rsid w:val="768953FF"/>
    <w:rsid w:val="76F21CFC"/>
    <w:rsid w:val="774421B0"/>
    <w:rsid w:val="788947D3"/>
    <w:rsid w:val="790E11A1"/>
    <w:rsid w:val="79524525"/>
    <w:rsid w:val="79F010C6"/>
    <w:rsid w:val="7A007F81"/>
    <w:rsid w:val="7A39135B"/>
    <w:rsid w:val="7A3C03A0"/>
    <w:rsid w:val="7B054349"/>
    <w:rsid w:val="7B841A35"/>
    <w:rsid w:val="7BCE5C4F"/>
    <w:rsid w:val="7C7718E2"/>
    <w:rsid w:val="7C8D3D6B"/>
    <w:rsid w:val="7CB61116"/>
    <w:rsid w:val="7D661DBB"/>
    <w:rsid w:val="7F3212D1"/>
    <w:rsid w:val="7F343F36"/>
    <w:rsid w:val="7FA84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b/>
      <w:kern w:val="44"/>
      <w:sz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6">
    <w:name w:val="heading 4"/>
    <w:basedOn w:val="1"/>
    <w:next w:val="1"/>
    <w:autoRedefine/>
    <w:unhideWhenUsed/>
    <w:qFormat/>
    <w:uiPriority w:val="0"/>
    <w:pPr>
      <w:keepNext/>
      <w:keepLines/>
      <w:spacing w:before="280" w:after="290" w:line="372" w:lineRule="auto"/>
      <w:outlineLvl w:val="3"/>
    </w:pPr>
    <w:rPr>
      <w:rFonts w:ascii="Arial" w:hAnsi="Arial" w:eastAsia="黑体"/>
      <w:b/>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beforeAutospacing="1" w:after="120" w:line="560" w:lineRule="exact"/>
      <w:ind w:firstLine="200" w:firstLineChars="200"/>
    </w:pPr>
    <w:rPr>
      <w:rFonts w:hint="eastAsia" w:ascii="仿宋_GB2312" w:hAnsi="仿宋_GB2312"/>
      <w:szCs w:val="32"/>
    </w:rPr>
  </w:style>
  <w:style w:type="paragraph" w:styleId="7">
    <w:name w:val="Normal Indent"/>
    <w:basedOn w:val="1"/>
    <w:qFormat/>
    <w:uiPriority w:val="99"/>
    <w:pPr>
      <w:ind w:firstLine="420"/>
    </w:pPr>
    <w:rPr>
      <w:szCs w:val="20"/>
    </w:rPr>
  </w:style>
  <w:style w:type="paragraph" w:styleId="8">
    <w:name w:val="annotation text"/>
    <w:basedOn w:val="1"/>
    <w:autoRedefine/>
    <w:qFormat/>
    <w:uiPriority w:val="0"/>
    <w:pPr>
      <w:jc w:val="left"/>
    </w:pPr>
  </w:style>
  <w:style w:type="paragraph" w:styleId="9">
    <w:name w:val="Body Text 3"/>
    <w:basedOn w:val="1"/>
    <w:autoRedefine/>
    <w:qFormat/>
    <w:uiPriority w:val="0"/>
    <w:pPr>
      <w:spacing w:after="120"/>
    </w:pPr>
    <w:rPr>
      <w:sz w:val="16"/>
    </w:rPr>
  </w:style>
  <w:style w:type="paragraph" w:styleId="10">
    <w:name w:val="toc 3"/>
    <w:basedOn w:val="1"/>
    <w:next w:val="1"/>
    <w:autoRedefine/>
    <w:qFormat/>
    <w:uiPriority w:val="0"/>
    <w:pPr>
      <w:ind w:left="840" w:leftChars="400"/>
    </w:pPr>
  </w:style>
  <w:style w:type="paragraph" w:styleId="11">
    <w:name w:val="footer"/>
    <w:basedOn w:val="1"/>
    <w:autoRedefine/>
    <w:unhideWhenUsed/>
    <w:qFormat/>
    <w:uiPriority w:val="99"/>
    <w:pPr>
      <w:tabs>
        <w:tab w:val="center" w:pos="4153"/>
        <w:tab w:val="right" w:pos="8306"/>
      </w:tabs>
      <w:snapToGrid w:val="0"/>
      <w:jc w:val="left"/>
    </w:pPr>
    <w:rPr>
      <w:sz w:val="18"/>
      <w:szCs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autoRedefine/>
    <w:qFormat/>
    <w:uiPriority w:val="0"/>
  </w:style>
  <w:style w:type="paragraph" w:styleId="14">
    <w:name w:val="toc 2"/>
    <w:basedOn w:val="1"/>
    <w:next w:val="1"/>
    <w:autoRedefine/>
    <w:qFormat/>
    <w:uiPriority w:val="0"/>
    <w:pPr>
      <w:ind w:left="420" w:leftChars="200"/>
    </w:pPr>
  </w:style>
  <w:style w:type="paragraph" w:styleId="15">
    <w:name w:val="Body Text 2"/>
    <w:basedOn w:val="1"/>
    <w:next w:val="2"/>
    <w:autoRedefine/>
    <w:qFormat/>
    <w:uiPriority w:val="0"/>
    <w:pPr>
      <w:snapToGrid w:val="0"/>
      <w:spacing w:before="120" w:after="120" w:line="360" w:lineRule="auto"/>
      <w:ind w:firstLine="100" w:firstLineChars="100"/>
    </w:pPr>
    <w:rPr>
      <w:rFonts w:ascii="宋体"/>
      <w:sz w:val="24"/>
      <w:szCs w:val="20"/>
    </w:rPr>
  </w:style>
  <w:style w:type="paragraph" w:styleId="16">
    <w:name w:val="Normal (Web)"/>
    <w:basedOn w:val="1"/>
    <w:autoRedefine/>
    <w:qFormat/>
    <w:uiPriority w:val="0"/>
    <w:pPr>
      <w:spacing w:beforeAutospacing="1" w:afterAutospacing="1"/>
      <w:jc w:val="left"/>
    </w:pPr>
    <w:rPr>
      <w:rFonts w:cs="Times New Roman"/>
      <w:kern w:val="0"/>
      <w:sz w:val="24"/>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autoRedefine/>
    <w:qFormat/>
    <w:uiPriority w:val="0"/>
    <w:rPr>
      <w:color w:val="000000"/>
      <w:u w:val="none"/>
    </w:rPr>
  </w:style>
  <w:style w:type="character" w:styleId="21">
    <w:name w:val="Emphasis"/>
    <w:basedOn w:val="19"/>
    <w:autoRedefine/>
    <w:qFormat/>
    <w:uiPriority w:val="0"/>
    <w:rPr>
      <w:i/>
    </w:rPr>
  </w:style>
  <w:style w:type="character" w:styleId="22">
    <w:name w:val="Hyperlink"/>
    <w:basedOn w:val="19"/>
    <w:autoRedefine/>
    <w:qFormat/>
    <w:uiPriority w:val="0"/>
    <w:rPr>
      <w:color w:val="000000"/>
      <w:u w:val="none"/>
    </w:rPr>
  </w:style>
  <w:style w:type="paragraph" w:customStyle="1" w:styleId="23">
    <w:name w:val="列出段落1"/>
    <w:basedOn w:val="1"/>
    <w:autoRedefine/>
    <w:qFormat/>
    <w:uiPriority w:val="0"/>
    <w:pPr>
      <w:ind w:firstLine="420" w:firstLineChars="200"/>
    </w:pPr>
  </w:style>
  <w:style w:type="character" w:customStyle="1" w:styleId="24">
    <w:name w:val="bar"/>
    <w:basedOn w:val="19"/>
    <w:autoRedefine/>
    <w:qFormat/>
    <w:uiPriority w:val="0"/>
  </w:style>
  <w:style w:type="character" w:customStyle="1" w:styleId="25">
    <w:name w:val="on"/>
    <w:basedOn w:val="19"/>
    <w:autoRedefine/>
    <w:qFormat/>
    <w:uiPriority w:val="0"/>
    <w:rPr>
      <w:color w:val="C40001"/>
    </w:rPr>
  </w:style>
  <w:style w:type="character" w:customStyle="1" w:styleId="26">
    <w:name w:val="first-child"/>
    <w:basedOn w:val="19"/>
    <w:autoRedefine/>
    <w:qFormat/>
    <w:uiPriority w:val="0"/>
  </w:style>
  <w:style w:type="character" w:customStyle="1" w:styleId="27">
    <w:name w:val="first-child1"/>
    <w:basedOn w:val="19"/>
    <w:autoRedefine/>
    <w:qFormat/>
    <w:uiPriority w:val="0"/>
  </w:style>
  <w:style w:type="paragraph" w:customStyle="1" w:styleId="28">
    <w:name w:val="样式1"/>
    <w:basedOn w:val="1"/>
    <w:next w:val="9"/>
    <w:autoRedefine/>
    <w:qFormat/>
    <w:uiPriority w:val="0"/>
    <w:pPr>
      <w:numPr>
        <w:ilvl w:val="0"/>
        <w:numId w:val="1"/>
      </w:numPr>
      <w:spacing w:beforeAutospacing="1" w:after="120" w:line="560" w:lineRule="exact"/>
      <w:outlineLvl w:val="0"/>
    </w:pPr>
    <w:rPr>
      <w:rFonts w:hint="eastAsia" w:ascii="黑体" w:hAnsi="黑体" w:eastAsia="黑体" w:cs="黑体"/>
      <w:szCs w:val="32"/>
    </w:rPr>
  </w:style>
  <w:style w:type="paragraph" w:customStyle="1" w:styleId="29">
    <w:name w:val="页码123"/>
    <w:basedOn w:val="1"/>
    <w:autoRedefine/>
    <w:qFormat/>
    <w:uiPriority w:val="0"/>
    <w:pPr>
      <w:tabs>
        <w:tab w:val="center" w:pos="4153"/>
        <w:tab w:val="right" w:pos="8306"/>
      </w:tabs>
      <w:snapToGrid w:val="0"/>
      <w:jc w:val="left"/>
    </w:pPr>
    <w:rPr>
      <w:sz w:val="2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7170D-2DF8-4CD0-98A8-D74C75373F69}">
  <ds:schemaRefs/>
</ds:datastoreItem>
</file>

<file path=docProps/app.xml><?xml version="1.0" encoding="utf-8"?>
<Properties xmlns="http://schemas.openxmlformats.org/officeDocument/2006/extended-properties" xmlns:vt="http://schemas.openxmlformats.org/officeDocument/2006/docPropsVTypes">
  <Template>Normal</Template>
  <Pages>13</Pages>
  <Words>2971</Words>
  <Characters>3101</Characters>
  <Lines>9</Lines>
  <Paragraphs>2</Paragraphs>
  <TotalTime>23</TotalTime>
  <ScaleCrop>false</ScaleCrop>
  <LinksUpToDate>false</LinksUpToDate>
  <CharactersWithSpaces>3659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2025-02-26T10:05:00Z</dcterms:created>
  <dc:creator>Administrator</dc:creator>
  <cp:lastModifiedBy>潘希敏</cp:lastModifiedBy>
  <cp:lastPrinted>2024-04-28T07:09:00Z</cp:lastPrinted>
  <dcterms:modified xsi:type="dcterms:W3CDTF">2026-06-08T07:39:39Z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BFB0B804685C4DA0BBAADE3D2A17CA98</vt:lpwstr>
  </property>
  <property fmtid="{D5CDD505-2E9C-101B-9397-08002B2CF9AE}" pid="4" name="KSOTemplateDocerSaveRecord">
    <vt:lpwstr>eyJoZGlkIjoiNTdjNTJlZTE0YmI5MmZmZjVhNjAzMDQ3NmViYjdmM2MiLCJ1c2VySWQiOiI0OTA2MzM0NDcifQ==</vt:lpwstr>
  </property>
</Properties>
</file>