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358B5">
      <w:pPr>
        <w:jc w:val="center"/>
        <w:rPr>
          <w:rFonts w:hint="default"/>
          <w:b/>
          <w:bCs/>
          <w:sz w:val="30"/>
          <w:szCs w:val="30"/>
          <w:lang w:val="en-US"/>
        </w:rPr>
      </w:pPr>
      <w:bookmarkStart w:id="11" w:name="_GoBack"/>
      <w:r>
        <w:rPr>
          <w:rFonts w:hint="eastAsia" w:ascii="宋体" w:hAnsi="宋体" w:eastAsia="宋体"/>
          <w:b/>
          <w:bCs/>
          <w:snapToGrid w:val="0"/>
          <w:color w:val="auto"/>
          <w:sz w:val="30"/>
          <w:szCs w:val="30"/>
          <w:lang w:eastAsia="zh-CN"/>
        </w:rPr>
        <w:t>微阵列比较基因组分析系统扫描仪激光模块更换</w:t>
      </w:r>
      <w:r>
        <w:rPr>
          <w:rFonts w:hint="eastAsia" w:ascii="宋体" w:hAnsi="宋体"/>
          <w:b/>
          <w:bCs/>
          <w:snapToGrid w:val="0"/>
          <w:color w:val="auto"/>
          <w:sz w:val="30"/>
          <w:szCs w:val="30"/>
          <w:lang w:eastAsia="zh-CN"/>
        </w:rPr>
        <w:t>的</w:t>
      </w:r>
      <w:r>
        <w:rPr>
          <w:rFonts w:hint="eastAsia" w:ascii="宋体" w:hAnsi="宋体"/>
          <w:b/>
          <w:bCs/>
          <w:snapToGrid w:val="0"/>
          <w:color w:val="auto"/>
          <w:sz w:val="30"/>
          <w:szCs w:val="30"/>
          <w:lang w:val="en-US" w:eastAsia="zh-CN"/>
        </w:rPr>
        <w:t>采购公告</w:t>
      </w:r>
    </w:p>
    <w:bookmarkEnd w:id="11"/>
    <w:p w14:paraId="6327EB9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7AE2D86">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微阵列比较基因组分析系统扫描仪激光模块更换</w:t>
      </w:r>
      <w:r>
        <w:rPr>
          <w:rFonts w:hint="eastAsia" w:ascii="宋体" w:hAnsi="宋体" w:cs="Arial Unicode MS"/>
          <w:snapToGrid w:val="0"/>
          <w:kern w:val="0"/>
          <w:szCs w:val="21"/>
        </w:rPr>
        <w:t>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snapToGrid w:val="0"/>
          <w:szCs w:val="21"/>
        </w:rPr>
        <w:t>采购</w:t>
      </w:r>
      <w:r>
        <w:rPr>
          <w:rFonts w:hint="eastAsia" w:ascii="宋体" w:hAnsi="宋体" w:cs="Arial Unicode MS"/>
          <w:snapToGrid w:val="0"/>
          <w:kern w:val="0"/>
          <w:szCs w:val="21"/>
        </w:rPr>
        <w:t>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（北京时间）前提交应答文件（报价）。</w:t>
      </w:r>
    </w:p>
    <w:p w14:paraId="50304060">
      <w:pPr>
        <w:adjustRightInd w:val="0"/>
        <w:snapToGrid w:val="0"/>
        <w:spacing w:line="360" w:lineRule="auto"/>
        <w:ind w:firstLine="420" w:firstLineChars="200"/>
        <w:jc w:val="left"/>
        <w:rPr>
          <w:rFonts w:ascii="宋体" w:hAnsi="宋体" w:cs="Arial Unicode MS"/>
          <w:snapToGrid w:val="0"/>
          <w:kern w:val="0"/>
          <w:szCs w:val="21"/>
        </w:rPr>
      </w:pPr>
    </w:p>
    <w:p w14:paraId="47A8C8E6">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15C414AF">
      <w:pPr>
        <w:pStyle w:val="6"/>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SZZZ2025-TQC0012</w:t>
      </w:r>
    </w:p>
    <w:p w14:paraId="23A65FBF">
      <w:pPr>
        <w:pStyle w:val="6"/>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微阵列比较基因组分析系统扫描仪激光模块更换</w:t>
      </w:r>
    </w:p>
    <w:p w14:paraId="2AA7C8A5">
      <w:pPr>
        <w:pStyle w:val="6"/>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3、采购方式（组织形式）：单一来源采购</w:t>
      </w:r>
    </w:p>
    <w:p w14:paraId="5E369946">
      <w:pPr>
        <w:pStyle w:val="6"/>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174,350.08</w:t>
      </w:r>
      <w:r>
        <w:rPr>
          <w:rFonts w:hint="eastAsia" w:ascii="宋体" w:hAnsi="宋体" w:eastAsia="宋体"/>
          <w:snapToGrid w:val="0"/>
          <w:color w:val="auto"/>
          <w:sz w:val="21"/>
          <w:szCs w:val="21"/>
        </w:rPr>
        <w:t>元</w:t>
      </w:r>
    </w:p>
    <w:p w14:paraId="3889A048">
      <w:pPr>
        <w:pStyle w:val="6"/>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174,350.08</w:t>
      </w:r>
      <w:r>
        <w:rPr>
          <w:rFonts w:hint="eastAsia" w:ascii="宋体" w:hAnsi="宋体" w:eastAsia="宋体"/>
          <w:snapToGrid w:val="0"/>
          <w:color w:val="auto"/>
          <w:sz w:val="21"/>
          <w:szCs w:val="21"/>
        </w:rPr>
        <w:t>元</w:t>
      </w:r>
    </w:p>
    <w:p w14:paraId="3BF777FB">
      <w:pPr>
        <w:pStyle w:val="6"/>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8788"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708"/>
        <w:gridCol w:w="3261"/>
        <w:gridCol w:w="708"/>
        <w:gridCol w:w="709"/>
        <w:gridCol w:w="2552"/>
        <w:gridCol w:w="850"/>
      </w:tblGrid>
      <w:tr w14:paraId="028EF591">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E46A690">
            <w:pPr>
              <w:pStyle w:val="3"/>
              <w:spacing w:before="0" w:beforeAutospacing="0" w:after="0" w:afterAutospacing="0" w:line="360" w:lineRule="auto"/>
              <w:jc w:val="center"/>
              <w:rPr>
                <w:sz w:val="21"/>
              </w:rPr>
            </w:pPr>
            <w:r>
              <w:rPr>
                <w:rFonts w:hint="eastAsia"/>
                <w:sz w:val="21"/>
              </w:rPr>
              <w:t>序号</w:t>
            </w:r>
          </w:p>
        </w:tc>
        <w:tc>
          <w:tcPr>
            <w:tcW w:w="3261"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EE98DCA">
            <w:pPr>
              <w:pStyle w:val="3"/>
              <w:spacing w:line="360" w:lineRule="auto"/>
              <w:jc w:val="center"/>
              <w:rPr>
                <w:sz w:val="21"/>
              </w:rPr>
            </w:pPr>
            <w:r>
              <w:rPr>
                <w:sz w:val="21"/>
              </w:rPr>
              <w:t>标的名称</w:t>
            </w:r>
          </w:p>
        </w:tc>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F975465">
            <w:pPr>
              <w:pStyle w:val="3"/>
              <w:spacing w:before="0" w:beforeAutospacing="0" w:after="0" w:afterAutospacing="0" w:line="360" w:lineRule="auto"/>
              <w:jc w:val="center"/>
              <w:rPr>
                <w:sz w:val="21"/>
              </w:rPr>
            </w:pPr>
            <w:r>
              <w:rPr>
                <w:sz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415ABC62">
            <w:pPr>
              <w:pStyle w:val="3"/>
              <w:spacing w:before="0" w:beforeAutospacing="0" w:after="0" w:afterAutospacing="0" w:line="360" w:lineRule="auto"/>
              <w:jc w:val="center"/>
              <w:rPr>
                <w:sz w:val="21"/>
              </w:rPr>
            </w:pPr>
            <w:r>
              <w:rPr>
                <w:sz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06DD6918">
            <w:pPr>
              <w:pStyle w:val="3"/>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35E2B6B8">
            <w:pPr>
              <w:pStyle w:val="3"/>
              <w:spacing w:before="0" w:beforeAutospacing="0" w:after="0" w:afterAutospacing="0" w:line="360" w:lineRule="auto"/>
              <w:jc w:val="center"/>
              <w:rPr>
                <w:sz w:val="21"/>
              </w:rPr>
            </w:pPr>
            <w:r>
              <w:rPr>
                <w:sz w:val="21"/>
              </w:rPr>
              <w:t>备注</w:t>
            </w:r>
          </w:p>
        </w:tc>
      </w:tr>
      <w:tr w14:paraId="3FD721C0">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noWrap w:val="0"/>
            <w:vAlign w:val="center"/>
          </w:tcPr>
          <w:p w14:paraId="377F0CF4">
            <w:pPr>
              <w:spacing w:line="360" w:lineRule="auto"/>
              <w:jc w:val="center"/>
              <w:rPr>
                <w:rFonts w:ascii="宋体" w:hAnsi="宋体" w:cs="Arial Unicode MS"/>
                <w:snapToGrid w:val="0"/>
                <w:kern w:val="0"/>
                <w:szCs w:val="18"/>
              </w:rPr>
            </w:pPr>
            <w:r>
              <w:rPr>
                <w:rFonts w:hint="eastAsia" w:ascii="宋体" w:hAnsi="宋体"/>
                <w:snapToGrid w:val="0"/>
              </w:rPr>
              <w:t>1</w:t>
            </w:r>
          </w:p>
        </w:tc>
        <w:tc>
          <w:tcPr>
            <w:tcW w:w="3261" w:type="dxa"/>
            <w:tcBorders>
              <w:top w:val="outset" w:color="AAAAAA" w:sz="6" w:space="0"/>
              <w:left w:val="outset" w:color="AAAAAA" w:sz="6" w:space="0"/>
              <w:bottom w:val="outset" w:color="AAAAAA" w:sz="6" w:space="0"/>
              <w:right w:val="outset" w:color="AAAAAA" w:sz="6" w:space="0"/>
            </w:tcBorders>
            <w:noWrap w:val="0"/>
            <w:vAlign w:val="center"/>
          </w:tcPr>
          <w:p w14:paraId="485F6B45">
            <w:pPr>
              <w:spacing w:line="360" w:lineRule="auto"/>
              <w:jc w:val="center"/>
              <w:rPr>
                <w:rFonts w:hint="eastAsia" w:ascii="宋体" w:hAnsi="宋体" w:eastAsia="宋体" w:cs="Arial Unicode MS"/>
                <w:snapToGrid w:val="0"/>
                <w:kern w:val="0"/>
                <w:szCs w:val="18"/>
                <w:lang w:eastAsia="zh-CN"/>
              </w:rPr>
            </w:pPr>
            <w:r>
              <w:rPr>
                <w:rFonts w:hint="eastAsia" w:ascii="宋体" w:hAnsi="宋体"/>
                <w:snapToGrid w:val="0"/>
                <w:lang w:eastAsia="zh-CN"/>
              </w:rPr>
              <w:t>微阵列比较基因组分析系统扫描仪激光模块更换</w:t>
            </w:r>
          </w:p>
        </w:tc>
        <w:tc>
          <w:tcPr>
            <w:tcW w:w="708" w:type="dxa"/>
            <w:tcBorders>
              <w:top w:val="outset" w:color="AAAAAA" w:sz="6" w:space="0"/>
              <w:left w:val="outset" w:color="AAAAAA" w:sz="6" w:space="0"/>
              <w:bottom w:val="outset" w:color="AAAAAA" w:sz="6" w:space="0"/>
              <w:right w:val="outset" w:color="AAAAAA" w:sz="6" w:space="0"/>
            </w:tcBorders>
            <w:noWrap w:val="0"/>
            <w:vAlign w:val="center"/>
          </w:tcPr>
          <w:p w14:paraId="2E2FD96D">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709" w:type="dxa"/>
            <w:tcBorders>
              <w:top w:val="outset" w:color="AAAAAA" w:sz="6" w:space="0"/>
              <w:left w:val="outset" w:color="AAAAAA" w:sz="6" w:space="0"/>
              <w:bottom w:val="outset" w:color="AAAAAA" w:sz="6" w:space="0"/>
              <w:right w:val="outset" w:color="AAAAAA" w:sz="6" w:space="0"/>
            </w:tcBorders>
            <w:noWrap w:val="0"/>
            <w:vAlign w:val="center"/>
          </w:tcPr>
          <w:p w14:paraId="619D4249">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2552" w:type="dxa"/>
            <w:tcBorders>
              <w:top w:val="outset" w:color="AAAAAA" w:sz="6" w:space="0"/>
              <w:left w:val="outset" w:color="AAAAAA" w:sz="6" w:space="0"/>
              <w:bottom w:val="outset" w:color="AAAAAA" w:sz="6" w:space="0"/>
              <w:right w:val="outset" w:color="AAAAAA" w:sz="6" w:space="0"/>
            </w:tcBorders>
            <w:noWrap w:val="0"/>
            <w:vAlign w:val="center"/>
          </w:tcPr>
          <w:p w14:paraId="5CB73A36">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详见采购文件</w:t>
            </w:r>
          </w:p>
        </w:tc>
        <w:tc>
          <w:tcPr>
            <w:tcW w:w="850" w:type="dxa"/>
            <w:tcBorders>
              <w:top w:val="outset" w:color="AAAAAA" w:sz="6" w:space="0"/>
              <w:left w:val="outset" w:color="AAAAAA" w:sz="6" w:space="0"/>
              <w:bottom w:val="outset" w:color="AAAAAA" w:sz="6" w:space="0"/>
              <w:right w:val="outset" w:color="AAAAAA" w:sz="6" w:space="0"/>
            </w:tcBorders>
            <w:noWrap w:val="0"/>
            <w:vAlign w:val="center"/>
          </w:tcPr>
          <w:p w14:paraId="32145E20">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14:paraId="7C84A1BF">
      <w:pPr>
        <w:pStyle w:val="6"/>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7、合同履行期限：详见采购文件</w:t>
      </w:r>
      <w:r>
        <w:rPr>
          <w:rFonts w:ascii="宋体" w:hAnsi="宋体" w:eastAsia="宋体"/>
          <w:snapToGrid w:val="0"/>
          <w:color w:val="auto"/>
          <w:sz w:val="21"/>
          <w:szCs w:val="21"/>
        </w:rPr>
        <w:t xml:space="preserve"> </w:t>
      </w:r>
    </w:p>
    <w:p w14:paraId="29168248">
      <w:pPr>
        <w:pStyle w:val="6"/>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w:t>
      </w:r>
      <w:r>
        <w:rPr>
          <w:rFonts w:hint="eastAsia" w:ascii="宋体" w:hAnsi="宋体" w:eastAsia="宋体"/>
          <w:snapToGrid w:val="0"/>
          <w:color w:val="auto"/>
          <w:sz w:val="21"/>
        </w:rPr>
        <w:t>应答</w:t>
      </w:r>
      <w:r>
        <w:rPr>
          <w:rFonts w:hint="eastAsia" w:ascii="宋体" w:hAnsi="宋体" w:eastAsia="宋体"/>
          <w:snapToGrid w:val="0"/>
          <w:color w:val="auto"/>
          <w:sz w:val="21"/>
          <w:szCs w:val="21"/>
        </w:rPr>
        <w:t>：详见“申请人的资格要求”</w:t>
      </w:r>
    </w:p>
    <w:p w14:paraId="4D95ABAA">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6858D3F">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D25DB4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营业执照或法人证书等证明材料复印件或扫描件以及《承诺函》加盖供应商公章；如果供应商为分支机构，还须同时提供其具有独立法人资格的上级主体出具的有效授权书及上级主体的营业执照或法人证书等证明材料复印件或扫描件加盖供应商公章，原件备查）。</w:t>
      </w:r>
    </w:p>
    <w:p w14:paraId="2DDC7EF4">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144879F2">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r>
        <w:rPr>
          <w:rFonts w:ascii="宋体" w:hAnsi="宋体" w:eastAsia="宋体"/>
          <w:snapToGrid w:val="0"/>
          <w:color w:val="auto"/>
          <w:sz w:val="21"/>
        </w:rPr>
        <w:t xml:space="preserve"> </w:t>
      </w:r>
    </w:p>
    <w:p w14:paraId="0C01F44A">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（1）供应商须为采购单位推荐的供应商；</w:t>
      </w:r>
    </w:p>
    <w:p w14:paraId="52045834">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（2）参与本项目政府采购活动前三年内，在经营活动中没有重大违法记录（须按本项目应答文件格式要求提供《承诺函》加盖供应商公章）；</w:t>
      </w:r>
    </w:p>
    <w:p w14:paraId="5F3E6C6A">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14:paraId="55CCF22F">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（4）不存在《深圳市财政局政府采购供应商信用信息管理办法》（深财规〔2023〕3号）列明的严重违法失信行为（须按本项目应答文件格式要求提供《承诺函》加盖供应商公章）；</w:t>
      </w:r>
    </w:p>
    <w:p w14:paraId="26FED441">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5）供应商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7F3791D5">
      <w:pPr>
        <w:pStyle w:val="6"/>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（6）本项目不接受进口产品投标（进口产品是指通过中国海关报关验放进入中国境内且产自关境外的产品，相关内容以“财库【2007】119号文”和“财办库【2008】248号文”的相关规定为准）；</w:t>
      </w:r>
    </w:p>
    <w:p w14:paraId="388FCFAB">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snapToGrid w:val="0"/>
          <w:color w:val="auto"/>
          <w:sz w:val="21"/>
        </w:rPr>
        <w:t>（7）</w:t>
      </w:r>
      <w:r>
        <w:rPr>
          <w:rFonts w:hint="eastAsia" w:ascii="宋体" w:hAnsi="宋体" w:eastAsia="宋体" w:cs="宋体"/>
          <w:snapToGrid w:val="0"/>
          <w:color w:val="auto"/>
          <w:sz w:val="21"/>
          <w:szCs w:val="21"/>
        </w:rPr>
        <w:t>参与本项目投标的供应商或厂家须提供针对所投产品出具的《知识产权合规性承诺》（相应格式见采购文件格式）；</w:t>
      </w:r>
    </w:p>
    <w:p w14:paraId="6C7EFC28">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cs="宋体"/>
          <w:snapToGrid w:val="0"/>
          <w:color w:val="auto"/>
          <w:sz w:val="21"/>
          <w:szCs w:val="21"/>
        </w:rPr>
        <w:t>（8）</w:t>
      </w:r>
      <w:r>
        <w:rPr>
          <w:rFonts w:hint="eastAsia" w:ascii="宋体" w:hAnsi="宋体" w:eastAsia="宋体"/>
          <w:snapToGrid w:val="0"/>
          <w:color w:val="auto"/>
          <w:sz w:val="21"/>
          <w:szCs w:val="21"/>
        </w:rPr>
        <w:t>本项目不接受联合体应答</w:t>
      </w:r>
      <w:r>
        <w:rPr>
          <w:rFonts w:hint="eastAsia" w:ascii="宋体" w:hAnsi="宋体" w:eastAsia="宋体"/>
          <w:snapToGrid w:val="0"/>
          <w:color w:val="auto"/>
          <w:sz w:val="21"/>
        </w:rPr>
        <w:t>，不允许非法分包或转包。</w:t>
      </w:r>
    </w:p>
    <w:p w14:paraId="4D3A2C50">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338197E">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14:paraId="2D188EEE">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26519DE">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61A09D8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D65BF5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（1）现场获取：供应商按以上时间和地点现场报名和获取采购文件（提供加盖公章的《购买标书登记表》），逾期不予受理。</w:t>
      </w:r>
    </w:p>
    <w:p w14:paraId="5618FB7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购买采购文件费用的银行转账凭证。</w:t>
      </w:r>
    </w:p>
    <w:p w14:paraId="77A3F0B0">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14:paraId="43C068D2">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40FBE94">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DCC1A70">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58C28C2F">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F4CD734">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14:paraId="5B4D0C49">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4655FA57">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深圳市福田区民田路171号新华保险大厦903中正</w:t>
      </w:r>
      <w:r>
        <w:rPr>
          <w:rFonts w:hint="eastAsia" w:ascii="宋体" w:hAnsi="宋体" w:eastAsia="宋体"/>
          <w:snapToGrid w:val="0"/>
          <w:color w:val="auto"/>
          <w:sz w:val="21"/>
          <w:szCs w:val="21"/>
        </w:rPr>
        <w:t>招标</w:t>
      </w:r>
      <w:r>
        <w:rPr>
          <w:rFonts w:ascii="宋体" w:hAnsi="宋体" w:eastAsia="宋体"/>
          <w:snapToGrid w:val="0"/>
          <w:color w:val="auto"/>
          <w:sz w:val="21"/>
          <w:szCs w:val="21"/>
        </w:rPr>
        <w:t>公司</w:t>
      </w:r>
    </w:p>
    <w:p w14:paraId="18A22D1E">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66253D6">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0" w:name="_Toc28359084"/>
      <w:bookmarkStart w:id="1" w:name="_Toc28359007"/>
      <w:bookmarkStart w:id="2" w:name="_Toc35393625"/>
      <w:bookmarkStart w:id="3" w:name="_Toc35393794"/>
      <w:r>
        <w:rPr>
          <w:rFonts w:hint="eastAsia" w:ascii="宋体" w:hAnsi="宋体" w:eastAsia="宋体"/>
          <w:b/>
          <w:snapToGrid w:val="0"/>
          <w:color w:val="auto"/>
          <w:sz w:val="21"/>
          <w:szCs w:val="21"/>
        </w:rPr>
        <w:t>五、公告期限</w:t>
      </w:r>
      <w:bookmarkEnd w:id="0"/>
      <w:bookmarkEnd w:id="1"/>
      <w:bookmarkEnd w:id="2"/>
      <w:bookmarkEnd w:id="3"/>
    </w:p>
    <w:p w14:paraId="46F3BE53">
      <w:pPr>
        <w:pStyle w:val="6"/>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2025年</w:t>
      </w:r>
      <w:r>
        <w:rPr>
          <w:rFonts w:hint="eastAsia" w:ascii="宋体" w:hAnsi="宋体" w:eastAsia="宋体"/>
          <w:snapToGrid w:val="0"/>
          <w:color w:val="auto"/>
          <w:sz w:val="21"/>
          <w:szCs w:val="21"/>
          <w:lang w:val="en-US" w:eastAsia="zh-CN"/>
        </w:rPr>
        <w:t>5</w:t>
      </w:r>
      <w:r>
        <w:rPr>
          <w:rFonts w:hint="eastAsia" w:ascii="宋体" w:hAnsi="宋体" w:eastAsia="宋体"/>
          <w:snapToGrid w:val="0"/>
          <w:color w:val="auto"/>
          <w:sz w:val="21"/>
          <w:szCs w:val="21"/>
        </w:rPr>
        <w:t>月</w:t>
      </w:r>
      <w:r>
        <w:rPr>
          <w:rFonts w:hint="eastAsia" w:ascii="宋体" w:hAnsi="宋体" w:eastAsia="宋体"/>
          <w:snapToGrid w:val="0"/>
          <w:color w:val="auto"/>
          <w:sz w:val="21"/>
          <w:szCs w:val="21"/>
          <w:lang w:val="en-US" w:eastAsia="zh-CN"/>
        </w:rPr>
        <w:t>26</w:t>
      </w:r>
      <w:r>
        <w:rPr>
          <w:rFonts w:hint="eastAsia" w:ascii="宋体" w:hAnsi="宋体" w:eastAsia="宋体"/>
          <w:snapToGrid w:val="0"/>
          <w:color w:val="auto"/>
          <w:sz w:val="21"/>
          <w:szCs w:val="21"/>
        </w:rPr>
        <w:t>日至2025年</w:t>
      </w:r>
      <w:r>
        <w:rPr>
          <w:rFonts w:hint="eastAsia" w:ascii="宋体" w:hAnsi="宋体" w:eastAsia="宋体"/>
          <w:snapToGrid w:val="0"/>
          <w:color w:val="auto"/>
          <w:sz w:val="21"/>
          <w:szCs w:val="21"/>
          <w:lang w:val="en-US" w:eastAsia="zh-CN"/>
        </w:rPr>
        <w:t>5</w:t>
      </w:r>
      <w:r>
        <w:rPr>
          <w:rFonts w:hint="eastAsia" w:ascii="宋体" w:hAnsi="宋体" w:eastAsia="宋体"/>
          <w:snapToGrid w:val="0"/>
          <w:color w:val="auto"/>
          <w:sz w:val="21"/>
          <w:szCs w:val="21"/>
        </w:rPr>
        <w:t>月</w:t>
      </w:r>
      <w:r>
        <w:rPr>
          <w:rFonts w:hint="eastAsia" w:ascii="宋体" w:hAnsi="宋体" w:eastAsia="宋体"/>
          <w:snapToGrid w:val="0"/>
          <w:color w:val="auto"/>
          <w:sz w:val="21"/>
          <w:szCs w:val="21"/>
          <w:lang w:val="en-US" w:eastAsia="zh-CN"/>
        </w:rPr>
        <w:t>29</w:t>
      </w:r>
      <w:r>
        <w:rPr>
          <w:rFonts w:hint="eastAsia" w:ascii="宋体" w:hAnsi="宋体" w:eastAsia="宋体"/>
          <w:snapToGrid w:val="0"/>
          <w:color w:val="auto"/>
          <w:sz w:val="21"/>
          <w:szCs w:val="21"/>
        </w:rPr>
        <w:t>日</w:t>
      </w:r>
    </w:p>
    <w:p w14:paraId="1E70EF1F">
      <w:pPr>
        <w:pStyle w:val="6"/>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p>
    <w:p w14:paraId="5F2064D4">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4" w:name="_Toc35393795"/>
      <w:bookmarkStart w:id="5" w:name="_Toc35393626"/>
      <w:r>
        <w:rPr>
          <w:rFonts w:hint="eastAsia" w:ascii="宋体" w:hAnsi="宋体" w:eastAsia="宋体"/>
          <w:b/>
          <w:snapToGrid w:val="0"/>
          <w:color w:val="auto"/>
          <w:sz w:val="21"/>
          <w:szCs w:val="21"/>
        </w:rPr>
        <w:t>六、其他补充事宜</w:t>
      </w:r>
      <w:bookmarkEnd w:id="4"/>
      <w:bookmarkEnd w:id="5"/>
    </w:p>
    <w:p w14:paraId="0A2522D4">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E24C91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w:t>
      </w:r>
      <w:bookmarkStart w:id="6" w:name="OLE_LINK1"/>
      <w:r>
        <w:rPr>
          <w:rFonts w:hint="eastAsia" w:ascii="宋体" w:hAnsi="宋体" w:eastAsia="宋体" w:cs="宋体"/>
          <w:snapToGrid w:val="0"/>
          <w:color w:val="auto"/>
          <w:sz w:val="21"/>
          <w:szCs w:val="21"/>
        </w:rPr>
        <w:fldChar w:fldCharType="begin"/>
      </w:r>
      <w:r>
        <w:rPr>
          <w:rFonts w:hint="eastAsia" w:ascii="宋体" w:hAnsi="宋体" w:eastAsia="宋体" w:cs="宋体"/>
          <w:snapToGrid w:val="0"/>
          <w:color w:val="auto"/>
          <w:sz w:val="21"/>
          <w:szCs w:val="21"/>
        </w:rPr>
        <w:instrText xml:space="preserve"> HYPERLINK "http://www.szzzt.com/zhaobiaogonggao/http:" </w:instrText>
      </w:r>
      <w:r>
        <w:rPr>
          <w:rFonts w:hint="eastAsia" w:ascii="宋体" w:hAnsi="宋体" w:eastAsia="宋体" w:cs="宋体"/>
          <w:snapToGrid w:val="0"/>
          <w:color w:val="auto"/>
          <w:sz w:val="21"/>
          <w:szCs w:val="21"/>
        </w:rPr>
        <w:fldChar w:fldCharType="separate"/>
      </w:r>
      <w:bookmarkEnd w:id="6"/>
      <w:r>
        <w:rPr>
          <w:rFonts w:hint="eastAsia" w:ascii="宋体" w:hAnsi="宋体" w:eastAsia="宋体" w:cs="宋体"/>
          <w:snapToGrid w:val="0"/>
          <w:color w:val="auto"/>
          <w:sz w:val="21"/>
          <w:szCs w:val="21"/>
        </w:rPr>
        <w:fldChar w:fldCharType="end"/>
      </w:r>
      <w:r>
        <w:rPr>
          <w:rFonts w:hint="eastAsia" w:ascii="宋体" w:hAnsi="宋体" w:eastAsia="宋体" w:cs="宋体"/>
          <w:snapToGrid w:val="0"/>
          <w:color w:val="auto"/>
          <w:sz w:val="21"/>
          <w:szCs w:val="21"/>
        </w:rPr>
        <w:fldChar w:fldCharType="begin"/>
      </w:r>
      <w:r>
        <w:rPr>
          <w:rFonts w:hint="eastAsia" w:ascii="宋体" w:hAnsi="宋体" w:eastAsia="宋体" w:cs="宋体"/>
          <w:snapToGrid w:val="0"/>
          <w:color w:val="auto"/>
          <w:sz w:val="21"/>
          <w:szCs w:val="21"/>
        </w:rPr>
        <w:instrText xml:space="preserve"> HYPERLINK "http://www.szzzt.com/zhaobiaogonggao/http:" </w:instrText>
      </w:r>
      <w:r>
        <w:rPr>
          <w:rFonts w:hint="eastAsia" w:ascii="宋体" w:hAnsi="宋体" w:eastAsia="宋体" w:cs="宋体"/>
          <w:snapToGrid w:val="0"/>
          <w:color w:val="auto"/>
          <w:sz w:val="21"/>
          <w:szCs w:val="21"/>
        </w:rPr>
        <w:fldChar w:fldCharType="separate"/>
      </w:r>
      <w:r>
        <w:rPr>
          <w:rFonts w:hint="eastAsia" w:ascii="宋体" w:hAnsi="宋体" w:eastAsia="宋体" w:cs="宋体"/>
          <w:snapToGrid w:val="0"/>
          <w:color w:val="auto"/>
          <w:sz w:val="21"/>
          <w:szCs w:val="21"/>
        </w:rPr>
        <w:t>深圳公共资源交易中心网站（www.szexgrp.com）；</w:t>
      </w:r>
      <w:r>
        <w:rPr>
          <w:rFonts w:hint="eastAsia" w:ascii="宋体" w:hAnsi="宋体" w:eastAsia="宋体" w:cs="宋体"/>
          <w:snapToGrid w:val="0"/>
          <w:color w:val="auto"/>
          <w:sz w:val="21"/>
          <w:szCs w:val="21"/>
        </w:rPr>
        <w:fldChar w:fldCharType="end"/>
      </w:r>
    </w:p>
    <w:p w14:paraId="42E2032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rPr>
        <w:t>）采购代理机构网站（www.szzzt.com）。</w:t>
      </w:r>
    </w:p>
    <w:p w14:paraId="734C0E98">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5EFB5BEE">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注：按深圳政府采购自行采购系统操作要求，供应商需办理注册手续，注册网址为：https://trade.szggzy.com/ggzy/center/#/register。</w:t>
      </w:r>
    </w:p>
    <w:p w14:paraId="4D2F4220">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75D96E57">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7" w:name="_Toc28359085"/>
      <w:bookmarkStart w:id="8" w:name="_Toc28359008"/>
      <w:bookmarkStart w:id="9" w:name="_Toc35393627"/>
      <w:bookmarkStart w:id="10" w:name="_Toc35393796"/>
      <w:r>
        <w:rPr>
          <w:rFonts w:hint="eastAsia" w:ascii="宋体" w:hAnsi="宋体" w:eastAsia="宋体"/>
          <w:b/>
          <w:snapToGrid w:val="0"/>
          <w:color w:val="auto"/>
          <w:sz w:val="21"/>
          <w:szCs w:val="21"/>
        </w:rPr>
        <w:t>七、凡对本次采购提出询问，请按以下方式联系。</w:t>
      </w:r>
      <w:bookmarkEnd w:id="7"/>
      <w:bookmarkEnd w:id="8"/>
      <w:bookmarkEnd w:id="9"/>
      <w:bookmarkEnd w:id="10"/>
    </w:p>
    <w:p w14:paraId="035EA3D9">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B941A5B">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名称：深圳市妇幼保健院</w:t>
      </w:r>
    </w:p>
    <w:p w14:paraId="3128673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地址：深圳市福田区红荔路2004号</w:t>
      </w:r>
    </w:p>
    <w:p w14:paraId="0191A35E">
      <w:pPr>
        <w:pStyle w:val="6"/>
        <w:adjustRightInd w:val="0"/>
        <w:snapToGrid w:val="0"/>
        <w:spacing w:before="0" w:beforeAutospacing="0" w:after="0" w:afterAutospacing="0" w:line="360" w:lineRule="auto"/>
        <w:ind w:left="359" w:leftChars="171" w:firstLine="65" w:firstLineChars="31"/>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联系方式：黄工，0755-832</w:t>
      </w:r>
      <w:r>
        <w:rPr>
          <w:rFonts w:hint="eastAsia" w:ascii="宋体" w:hAnsi="宋体" w:eastAsia="宋体" w:cs="宋体"/>
          <w:snapToGrid w:val="0"/>
          <w:color w:val="auto"/>
          <w:sz w:val="21"/>
          <w:szCs w:val="21"/>
          <w:lang w:val="en-US" w:eastAsia="zh-CN"/>
        </w:rPr>
        <w:t>12516</w:t>
      </w:r>
    </w:p>
    <w:p w14:paraId="4A29A280">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38FFDB1B">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2D2E6584">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3828EB49">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联系方式：周小姐，0755-83026699</w:t>
      </w:r>
    </w:p>
    <w:p w14:paraId="3AE15EC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3、项目联系方式</w:t>
      </w:r>
    </w:p>
    <w:p w14:paraId="49E800F8">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项目联系人：周小姐</w:t>
      </w:r>
    </w:p>
    <w:p w14:paraId="3384B7EF">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44A72F83">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CD7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F307DF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rPr>
        <w:t>2025年</w:t>
      </w:r>
      <w:r>
        <w:rPr>
          <w:rFonts w:hint="eastAsia" w:ascii="宋体" w:hAnsi="宋体"/>
          <w:snapToGrid w:val="0"/>
          <w:kern w:val="0"/>
          <w:sz w:val="24"/>
          <w:lang w:val="en-US" w:eastAsia="zh-CN"/>
        </w:rPr>
        <w:t>5</w:t>
      </w:r>
      <w:r>
        <w:rPr>
          <w:rFonts w:hint="eastAsia" w:ascii="宋体" w:hAnsi="宋体"/>
          <w:snapToGrid w:val="0"/>
          <w:kern w:val="0"/>
          <w:sz w:val="24"/>
        </w:rPr>
        <w:t>月</w:t>
      </w:r>
      <w:r>
        <w:rPr>
          <w:rFonts w:hint="eastAsia" w:ascii="宋体" w:hAnsi="宋体"/>
          <w:snapToGrid w:val="0"/>
          <w:kern w:val="0"/>
          <w:sz w:val="24"/>
          <w:lang w:val="en-US" w:eastAsia="zh-CN"/>
        </w:rPr>
        <w:t>26</w:t>
      </w:r>
      <w:r>
        <w:rPr>
          <w:rFonts w:hint="eastAsia" w:ascii="宋体" w:hAnsi="宋体"/>
          <w:snapToGrid w:val="0"/>
          <w:kern w:val="0"/>
          <w:sz w:val="24"/>
        </w:rPr>
        <w:t>日</w:t>
      </w:r>
    </w:p>
    <w:p w14:paraId="68367B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1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p9"/>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2025-05-26T09:14:41Z</dcterms:created>
  <dc:creator>Administrator</dc:creator>
  <cp:lastModifiedBy>中正--周</cp:lastModifiedBy>
  <dcterms:modified xsi:type="dcterms:W3CDTF">2025-05-26T09:15:42Z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eyJoZGlkIjoiY2Y5OTA2MGI3MGFmOGU0NTE2YWU2ZGI5ZDJmMmNkMGUifQ==</vt:lpwstr>
  </property>
  <property fmtid="{D5CDD505-2E9C-101B-9397-08002B2CF9AE}" pid="4" name="ICV">
    <vt:lpwstr>70B91504A4CB46D7967D941ED09B4141_12</vt:lpwstr>
  </property>
</Properties>
</file>