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0CFE12">
      <w:pPr>
        <w:pStyle w:val="16"/>
        <w:widowControl/>
        <w:rPr>
          <w:highlight w:val="none"/>
        </w:rPr>
      </w:pPr>
      <mc:AlternateContent>
        <mc:Choice Requires="wpsCustomData">
          <wpsCustomData:docfieldStart id="0" docfieldname="标题_1" hidden="0" print="1" readonly="0" index="7"/>
        </mc:Choice>
      </mc:AlternateContent>
      <w:r>
        <w:rPr>
          <w:highlight w:val="none"/>
        </w:rPr>
        <w:t>房屋租金指导价格体系编制项目招标文件</w:t>
      </w:r>
      <mc:AlternateContent>
        <mc:Choice Requires="wpsCustomData">
          <wpsCustomData:docfieldEnd id="0"/>
        </mc:Choice>
      </mc:AlternateContent>
    </w:p>
    <w:p w14:paraId="3296B8F8">
      <w:pPr>
        <w:pStyle w:val="12"/>
        <w:bidi w:val="0"/>
        <w:spacing w:beforeAutospacing="0" w:afterAutospacing="0" w:line="360" w:lineRule="exact"/>
        <w:rPr>
          <w:rFonts w:hint="eastAsia"/>
          <w:highlight w:val="none"/>
          <w:lang w:eastAsia="zh-CN"/>
        </w:rPr>
      </w:pPr>
    </w:p>
    <w:p w14:paraId="00B2F6AB">
      <w:pPr>
        <w:pStyle w:val="23"/>
        <w:widowControl/>
        <w:numPr>
          <w:ilvl w:val="0"/>
          <w:numId w:val="0"/>
        </w:numPr>
        <w:ind w:leftChars="0"/>
        <w:rPr>
          <w:rFonts w:hint="eastAsia" w:ascii="仿宋_GB2312" w:hAnsi="仿宋_GB2312" w:eastAsia="仿宋_GB2312" w:cs="仿宋_GB2312"/>
          <w:sz w:val="32"/>
          <w:szCs w:val="32"/>
          <w:highlight w:val="none"/>
        </w:rPr>
      </w:pPr>
      <w:r>
        <w:rPr>
          <w:rFonts w:hint="eastAsia"/>
          <w:highlight w:val="none"/>
          <w:lang w:eastAsia="zh-CN"/>
        </w:rPr>
        <w:t>第一章</w:t>
      </w:r>
      <w:r>
        <w:rPr>
          <w:highlight w:val="none"/>
        </w:rPr>
        <w:t>招标项目介绍</w:t>
      </w:r>
    </w:p>
    <w:p w14:paraId="55533CFE">
      <w:pPr>
        <w:pStyle w:val="12"/>
        <w:rPr>
          <w:rFonts w:hint="eastAsia" w:ascii="仿宋_GB2312" w:hAnsi="仿宋_GB2312" w:eastAsia="仿宋_GB2312" w:cs="仿宋_GB2312"/>
          <w:sz w:val="32"/>
          <w:szCs w:val="32"/>
          <w:highlight w:val="none"/>
          <w:lang w:val="en-US" w:eastAsia="zh-CN"/>
        </w:rPr>
      </w:pPr>
      <w:r>
        <w:rPr>
          <w:rFonts w:ascii="仿宋_GB2312" w:hAnsi="仿宋_GB2312" w:eastAsia="仿宋_GB2312" w:cs="Times New Roman"/>
          <w:sz w:val="32"/>
          <w:highlight w:val="none"/>
        </w:rPr>
        <w:t>为统筹指导房屋招租价格，全面掌握房屋所在地租金基本情况，选聘第三方专业机构编制公司2027年度</w:t>
      </w:r>
      <w:r>
        <w:rPr>
          <w:rFonts w:hint="eastAsia" w:cs="Times New Roman"/>
          <w:sz w:val="32"/>
          <w:highlight w:val="none"/>
          <w:lang w:val="en-US" w:eastAsia="zh-CN"/>
        </w:rPr>
        <w:t>至2029年度</w:t>
      </w:r>
      <w:r>
        <w:rPr>
          <w:rFonts w:ascii="仿宋_GB2312" w:hAnsi="仿宋_GB2312" w:eastAsia="仿宋_GB2312" w:cs="Times New Roman"/>
          <w:sz w:val="32"/>
          <w:highlight w:val="none"/>
        </w:rPr>
        <w:t>房屋租金指导价格体系，分析研究所提供清单中的物业（详见附件）未来租赁市场可发展趋向，评估和预判物业租金，对未来租赁经营取向与租金价格水平提出建议，并形成房屋租金指导价格体系询价报告。</w:t>
      </w:r>
    </w:p>
    <w:p w14:paraId="78512AF5">
      <w:pPr>
        <w:pStyle w:val="23"/>
        <w:widowControl/>
        <w:numPr>
          <w:ilvl w:val="0"/>
          <w:numId w:val="0"/>
        </w:numPr>
        <w:ind w:leftChars="0"/>
        <w:rPr>
          <w:rFonts w:hint="eastAsia" w:ascii="楷体_GB2312" w:hAnsi="楷体_GB2312" w:eastAsia="楷体_GB2312" w:cs="楷体_GB2312"/>
          <w:b/>
          <w:bCs/>
          <w:sz w:val="32"/>
          <w:szCs w:val="32"/>
          <w:highlight w:val="none"/>
        </w:rPr>
      </w:pPr>
      <w:r>
        <w:rPr>
          <w:rFonts w:hint="eastAsia"/>
          <w:highlight w:val="none"/>
          <w:lang w:eastAsia="zh-CN"/>
        </w:rPr>
        <w:t>第二章</w:t>
      </w:r>
      <w:r>
        <w:rPr>
          <w:highlight w:val="none"/>
        </w:rPr>
        <w:t>招标项目要求</w:t>
      </w:r>
    </w:p>
    <w:p w14:paraId="4C6E7548">
      <w:pPr>
        <w:pStyle w:val="2"/>
        <w:widowControl/>
        <w:numPr>
          <w:ilvl w:val="0"/>
          <w:numId w:val="0"/>
        </w:numPr>
        <w:topLinePunct w:val="0"/>
        <w:ind w:left="0" w:leftChars="0" w:firstLine="640"/>
        <w:rPr>
          <w:b w:val="0"/>
          <w:highlight w:val="none"/>
        </w:rPr>
      </w:pPr>
      <w:r>
        <w:rPr>
          <w:rFonts w:hint="eastAsia"/>
          <w:highlight w:val="none"/>
          <w:lang w:eastAsia="zh-CN"/>
        </w:rPr>
        <w:t>一、</w:t>
      </w:r>
      <w:r>
        <w:rPr>
          <w:highlight w:val="none"/>
        </w:rPr>
        <w:t>投标人资格要求</w:t>
      </w:r>
    </w:p>
    <w:p w14:paraId="09375F1C">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（一）</w:t>
      </w:r>
      <w:r>
        <w:rPr>
          <w:rFonts w:ascii="仿宋_GB2312" w:hAnsi="仿宋_GB2312" w:eastAsia="仿宋_GB2312" w:cs="Times New Roman"/>
          <w:sz w:val="32"/>
          <w:highlight w:val="none"/>
        </w:rPr>
        <w:t>投标人是在中华人民共和国境内注册并合法运作的法人机构或者其他组织，需提供营业执照或登记证书复印件（加盖投标人公章）。</w:t>
      </w:r>
    </w:p>
    <w:p w14:paraId="03ED8B6B">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（二）</w:t>
      </w:r>
      <w:r>
        <w:rPr>
          <w:rFonts w:ascii="仿宋_GB2312" w:hAnsi="仿宋_GB2312" w:eastAsia="仿宋_GB2312" w:cs="Times New Roman"/>
          <w:sz w:val="32"/>
          <w:highlight w:val="none"/>
        </w:rPr>
        <w:t>投标人需具备房屋租赁咨询业务资质。如营业执照或登记证书不能体现经营范围的，需另附商事主体登记及备案信息查询单或相关资质证明。</w:t>
      </w:r>
    </w:p>
    <w:p w14:paraId="705DF550">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（三）</w:t>
      </w:r>
      <w:r>
        <w:rPr>
          <w:rFonts w:ascii="仿宋_GB2312" w:hAnsi="仿宋_GB2312" w:eastAsia="仿宋_GB2312" w:cs="Times New Roman"/>
          <w:sz w:val="32"/>
          <w:highlight w:val="none"/>
        </w:rPr>
        <w:t>不接受联合体投标。</w:t>
      </w:r>
    </w:p>
    <w:p w14:paraId="05269508">
      <w:pPr>
        <w:pStyle w:val="2"/>
        <w:widowControl/>
        <w:numPr>
          <w:ilvl w:val="0"/>
          <w:numId w:val="0"/>
        </w:numPr>
        <w:topLinePunct w:val="0"/>
        <w:ind w:left="0" w:leftChars="0" w:firstLine="640"/>
        <w:rPr>
          <w:b w:val="0"/>
          <w:highlight w:val="none"/>
        </w:rPr>
      </w:pPr>
      <w:r>
        <w:rPr>
          <w:rFonts w:hint="eastAsia"/>
          <w:highlight w:val="none"/>
          <w:lang w:eastAsia="zh-CN"/>
        </w:rPr>
        <w:t>二、</w:t>
      </w:r>
      <w:r>
        <w:rPr>
          <w:highlight w:val="none"/>
        </w:rPr>
        <w:t>内容要求</w:t>
      </w:r>
    </w:p>
    <w:p w14:paraId="0C05A0D4">
      <w:pPr>
        <w:pStyle w:val="12"/>
        <w:widowControl/>
        <w:rPr>
          <w:rFonts w:ascii="仿宋_GB2312" w:hAnsi="仿宋_GB2312" w:eastAsia="仿宋_GB2312" w:cs="Times New Roman"/>
          <w:sz w:val="32"/>
          <w:highlight w:val="none"/>
        </w:rPr>
      </w:pPr>
      <w:r>
        <w:rPr>
          <w:rFonts w:ascii="仿宋_GB2312" w:hAnsi="仿宋_GB2312" w:eastAsia="仿宋_GB2312" w:cs="Times New Roman"/>
          <w:sz w:val="32"/>
          <w:highlight w:val="none"/>
        </w:rPr>
        <w:t>为招标人提供物业租赁相关的咨询服务，并编制出租物业租赁价格评估报告，服务内容包括但不仅限于：</w:t>
      </w:r>
    </w:p>
    <w:p w14:paraId="45159525">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（一）</w:t>
      </w:r>
      <w:r>
        <w:rPr>
          <w:rFonts w:ascii="仿宋_GB2312" w:hAnsi="仿宋_GB2312" w:eastAsia="仿宋_GB2312" w:cs="Times New Roman"/>
          <w:sz w:val="32"/>
          <w:highlight w:val="none"/>
        </w:rPr>
        <w:t>提供政府指导价、租赁所备案价及市场价等，并提供询价数据的来源渠道及相应依据；对相应物业租赁走势进行预判并提供依据；对承租人的业态准入提出意见。</w:t>
      </w:r>
    </w:p>
    <w:p w14:paraId="242E944E">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（二）</w:t>
      </w:r>
      <w:r>
        <w:rPr>
          <w:rFonts w:ascii="仿宋_GB2312" w:hAnsi="仿宋_GB2312" w:eastAsia="仿宋_GB2312" w:cs="Times New Roman"/>
          <w:sz w:val="32"/>
          <w:highlight w:val="none"/>
        </w:rPr>
        <w:t>当具体物业询价结果发生重大变化或偏离政府指导价时，投标人应按招标人要求就相关物业出具专题报告。</w:t>
      </w:r>
    </w:p>
    <w:p w14:paraId="270F44B1">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（三）</w:t>
      </w:r>
      <w:r>
        <w:rPr>
          <w:rFonts w:ascii="仿宋_GB2312" w:hAnsi="仿宋_GB2312" w:eastAsia="仿宋_GB2312" w:cs="Times New Roman"/>
          <w:sz w:val="32"/>
          <w:highlight w:val="none"/>
        </w:rPr>
        <w:t>服务有效期内，如有新增物业，投标人应按招标人要求及时提供租赁价格评估报告，服务费用不再另行调整。</w:t>
      </w:r>
    </w:p>
    <w:p w14:paraId="0003AFCD">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（四）</w:t>
      </w:r>
      <w:r>
        <w:rPr>
          <w:rFonts w:ascii="仿宋_GB2312" w:hAnsi="仿宋_GB2312" w:eastAsia="仿宋_GB2312" w:cs="Times New Roman"/>
          <w:sz w:val="32"/>
          <w:highlight w:val="none"/>
        </w:rPr>
        <w:t>服务有效期内，投标人应按招标人要求，就相关物业租赁情况出具书面报告。</w:t>
      </w:r>
    </w:p>
    <w:p w14:paraId="2B5EBD95">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（五）</w:t>
      </w:r>
      <w:r>
        <w:rPr>
          <w:rFonts w:ascii="仿宋_GB2312" w:hAnsi="仿宋_GB2312" w:eastAsia="仿宋_GB2312" w:cs="Times New Roman"/>
          <w:sz w:val="32"/>
          <w:highlight w:val="none"/>
        </w:rPr>
        <w:t>服务有效期内的其他物业咨询服务。</w:t>
      </w:r>
    </w:p>
    <w:p w14:paraId="2F13A900">
      <w:pPr>
        <w:pStyle w:val="2"/>
        <w:widowControl/>
        <w:numPr>
          <w:ilvl w:val="0"/>
          <w:numId w:val="0"/>
        </w:numPr>
        <w:topLinePunct w:val="0"/>
        <w:ind w:left="0" w:leftChars="0" w:firstLine="640"/>
        <w:rPr>
          <w:b w:val="0"/>
          <w:highlight w:val="none"/>
        </w:rPr>
      </w:pPr>
      <w:r>
        <w:rPr>
          <w:rFonts w:hint="eastAsia"/>
          <w:highlight w:val="none"/>
          <w:lang w:eastAsia="zh-CN"/>
        </w:rPr>
        <w:t>三、</w:t>
      </w:r>
      <w:r>
        <w:rPr>
          <w:highlight w:val="none"/>
        </w:rPr>
        <w:t>人员要求</w:t>
      </w:r>
    </w:p>
    <w:p w14:paraId="2A072EA0">
      <w:pPr>
        <w:pStyle w:val="12"/>
        <w:widowControl/>
        <w:rPr>
          <w:rFonts w:ascii="仿宋_GB2312" w:hAnsi="仿宋_GB2312" w:eastAsia="仿宋_GB2312" w:cs="Times New Roman"/>
          <w:sz w:val="32"/>
          <w:highlight w:val="none"/>
        </w:rPr>
      </w:pPr>
      <w:r>
        <w:rPr>
          <w:rFonts w:ascii="仿宋_GB2312" w:hAnsi="仿宋_GB2312" w:eastAsia="仿宋_GB2312" w:cs="Times New Roman"/>
          <w:sz w:val="32"/>
          <w:highlight w:val="none"/>
        </w:rPr>
        <w:t>拟派的负责人须</w:t>
      </w:r>
      <w:r>
        <w:rPr>
          <w:rFonts w:hint="eastAsia" w:cs="Times New Roman"/>
          <w:sz w:val="32"/>
          <w:highlight w:val="none"/>
          <w:lang w:eastAsia="zh-CN"/>
        </w:rPr>
        <w:t>要</w:t>
      </w:r>
      <w:r>
        <w:rPr>
          <w:rFonts w:ascii="仿宋_GB2312" w:hAnsi="仿宋_GB2312" w:eastAsia="仿宋_GB2312" w:cs="Times New Roman"/>
          <w:sz w:val="32"/>
          <w:highlight w:val="none"/>
        </w:rPr>
        <w:t>具有丰富的物业租赁咨询服务工作经验，从业时间5年（含5年）以上。</w:t>
      </w:r>
    </w:p>
    <w:p w14:paraId="26FDF75D">
      <w:pPr>
        <w:pStyle w:val="2"/>
        <w:widowControl/>
        <w:numPr>
          <w:ilvl w:val="0"/>
          <w:numId w:val="0"/>
        </w:numPr>
        <w:topLinePunct w:val="0"/>
        <w:ind w:left="0" w:leftChars="0" w:firstLine="640"/>
        <w:rPr>
          <w:rFonts w:hint="eastAsia" w:eastAsia="黑体"/>
          <w:b w:val="0"/>
          <w:highlight w:val="none"/>
          <w:lang w:val="en-US" w:eastAsia="zh-CN"/>
        </w:rPr>
      </w:pPr>
      <w:r>
        <w:rPr>
          <w:rFonts w:hint="eastAsia"/>
          <w:highlight w:val="none"/>
          <w:lang w:eastAsia="zh-CN"/>
        </w:rPr>
        <w:t>四、</w:t>
      </w:r>
      <w:r>
        <w:rPr>
          <w:highlight w:val="none"/>
        </w:rPr>
        <w:t>费用</w:t>
      </w:r>
      <w:r>
        <w:rPr>
          <w:rFonts w:hint="eastAsia"/>
          <w:highlight w:val="none"/>
          <w:lang w:val="en-US" w:eastAsia="zh-CN"/>
        </w:rPr>
        <w:t>说明</w:t>
      </w:r>
    </w:p>
    <w:p w14:paraId="27871D1F">
      <w:pPr>
        <w:pStyle w:val="12"/>
        <w:widowControl/>
        <w:rPr>
          <w:rFonts w:hint="eastAsia" w:ascii="仿宋_GB2312" w:hAnsi="仿宋_GB2312" w:eastAsia="仿宋_GB2312" w:cs="Times New Roman"/>
          <w:sz w:val="32"/>
          <w:highlight w:val="none"/>
          <w:lang w:eastAsia="zh-CN"/>
        </w:rPr>
      </w:pPr>
      <w:r>
        <w:rPr>
          <w:rFonts w:ascii="仿宋_GB2312" w:hAnsi="仿宋_GB2312" w:eastAsia="仿宋_GB2312" w:cs="Times New Roman"/>
          <w:sz w:val="32"/>
          <w:highlight w:val="none"/>
        </w:rPr>
        <w:t>所报价格为费用总额，以人民币为结算单位，要求服务费用不得超过人民币19万元（含税），超出控制金额的报价将不被接受。</w:t>
      </w:r>
      <w:r>
        <w:rPr>
          <w:rFonts w:hint="eastAsia" w:ascii="仿宋_GB2312" w:hAnsi="仿宋_GB2312" w:eastAsia="仿宋_GB2312" w:cs="Times New Roman"/>
          <w:sz w:val="32"/>
          <w:highlight w:val="none"/>
        </w:rPr>
        <w:t>本项目总报价包干包含2次完整全域房屋租赁市场调研、全套年度房屋租金指导价格体系编制报告服务</w:t>
      </w:r>
      <w:r>
        <w:rPr>
          <w:rFonts w:hint="eastAsia" w:cs="Times New Roman"/>
          <w:sz w:val="32"/>
          <w:highlight w:val="none"/>
          <w:lang w:eastAsia="zh-CN"/>
        </w:rPr>
        <w:t>，3年服务期内未启动全域调研的年度，乙方须免费提供全年配套咨询服务，不额外计取费用。</w:t>
      </w:r>
    </w:p>
    <w:p w14:paraId="2F3E1727">
      <w:pPr>
        <w:pStyle w:val="2"/>
        <w:widowControl/>
        <w:numPr>
          <w:ilvl w:val="0"/>
          <w:numId w:val="0"/>
        </w:numPr>
        <w:topLinePunct w:val="0"/>
        <w:ind w:left="0" w:leftChars="0" w:firstLine="640"/>
        <w:rPr>
          <w:b w:val="0"/>
          <w:highlight w:val="none"/>
        </w:rPr>
      </w:pPr>
      <w:r>
        <w:rPr>
          <w:rFonts w:hint="eastAsia"/>
          <w:highlight w:val="none"/>
          <w:lang w:eastAsia="zh-CN"/>
        </w:rPr>
        <w:t>五、</w:t>
      </w:r>
      <w:r>
        <w:rPr>
          <w:highlight w:val="none"/>
        </w:rPr>
        <w:t>时间要求</w:t>
      </w:r>
    </w:p>
    <w:p w14:paraId="699563E9">
      <w:pPr>
        <w:pStyle w:val="12"/>
        <w:rPr>
          <w:rFonts w:hint="eastAsia" w:ascii="仿宋_GB2312" w:hAnsi="仿宋_GB2312" w:eastAsia="仿宋_GB2312" w:cs="Times New Roman"/>
          <w:sz w:val="32"/>
          <w:highlight w:val="none"/>
          <w:lang w:eastAsia="zh-CN"/>
        </w:rPr>
      </w:pPr>
      <w:r>
        <w:rPr>
          <w:rFonts w:hint="eastAsia" w:ascii="仿宋_GB2312" w:hAnsi="仿宋_GB2312" w:eastAsia="仿宋_GB2312" w:cs="Times New Roman"/>
          <w:sz w:val="32"/>
          <w:highlight w:val="none"/>
        </w:rPr>
        <w:t>项目服务总周期：2027年1月1日至2029年12月31日，覆盖3个租赁年度</w:t>
      </w:r>
      <w:r>
        <w:rPr>
          <w:rFonts w:hint="eastAsia" w:cs="Times New Roman"/>
          <w:sz w:val="32"/>
          <w:highlight w:val="none"/>
          <w:lang w:eastAsia="zh-CN"/>
        </w:rPr>
        <w:t>。</w:t>
      </w:r>
    </w:p>
    <w:p w14:paraId="1C94593D">
      <w:pPr>
        <w:pStyle w:val="2"/>
        <w:widowControl/>
        <w:numPr>
          <w:ilvl w:val="0"/>
          <w:numId w:val="0"/>
        </w:numPr>
        <w:topLinePunct w:val="0"/>
        <w:ind w:left="0" w:leftChars="0" w:firstLine="640"/>
        <w:rPr>
          <w:b w:val="0"/>
          <w:highlight w:val="none"/>
        </w:rPr>
      </w:pPr>
      <w:r>
        <w:rPr>
          <w:rFonts w:hint="eastAsia"/>
          <w:highlight w:val="none"/>
          <w:lang w:eastAsia="zh-CN"/>
        </w:rPr>
        <w:t>六、</w:t>
      </w:r>
      <w:r>
        <w:rPr>
          <w:highlight w:val="none"/>
        </w:rPr>
        <w:t>其他说明</w:t>
      </w:r>
    </w:p>
    <w:p w14:paraId="3A9AC33D">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（一）</w:t>
      </w:r>
      <w:r>
        <w:rPr>
          <w:rFonts w:ascii="仿宋_GB2312" w:hAnsi="仿宋_GB2312" w:eastAsia="仿宋_GB2312" w:cs="Times New Roman"/>
          <w:sz w:val="32"/>
          <w:highlight w:val="none"/>
        </w:rPr>
        <w:t>中标与否，投标人均需自行承担参与招标的所有费用。</w:t>
      </w:r>
    </w:p>
    <w:p w14:paraId="75EDE936">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（二）</w:t>
      </w:r>
      <w:r>
        <w:rPr>
          <w:rFonts w:ascii="仿宋_GB2312" w:hAnsi="仿宋_GB2312" w:eastAsia="仿宋_GB2312" w:cs="Times New Roman"/>
          <w:sz w:val="32"/>
          <w:highlight w:val="none"/>
        </w:rPr>
        <w:t>投标人应仔细阅读招标文件的所有内容，按要求作出实质性响应，提供投标文件，并保证所提供资料的真实性，否则，其投标将被拒绝。</w:t>
      </w:r>
    </w:p>
    <w:p w14:paraId="4893792E">
      <w:pPr>
        <w:pStyle w:val="12"/>
        <w:widowControl/>
        <w:numPr>
          <w:ilvl w:val="0"/>
          <w:numId w:val="0"/>
        </w:numPr>
        <w:ind w:left="0" w:leftChars="0" w:firstLine="616"/>
        <w:rPr>
          <w:rFonts w:hint="eastAsia" w:ascii="仿宋_GB2312" w:hAnsi="仿宋_GB2312" w:eastAsia="仿宋_GB2312" w:cs="仿宋_GB2312"/>
          <w:sz w:val="32"/>
          <w:szCs w:val="32"/>
          <w:highlight w:val="none"/>
        </w:rPr>
      </w:pPr>
      <w:r>
        <w:rPr>
          <w:rFonts w:hint="eastAsia" w:cs="Times New Roman"/>
          <w:sz w:val="32"/>
          <w:highlight w:val="none"/>
          <w:lang w:eastAsia="zh-CN"/>
        </w:rPr>
        <w:t>（三）</w:t>
      </w:r>
      <w:r>
        <w:rPr>
          <w:rFonts w:ascii="仿宋_GB2312" w:hAnsi="仿宋_GB2312" w:eastAsia="仿宋_GB2312" w:cs="Times New Roman"/>
          <w:sz w:val="32"/>
          <w:highlight w:val="none"/>
        </w:rPr>
        <w:t>中标人需在中标之日起7个日历日内与招标人签订法律服务合同书，逾期将视为弃权，招标方有权选择其他投标人为中标人。</w:t>
      </w:r>
    </w:p>
    <w:p w14:paraId="02665E76">
      <w:pPr>
        <w:pStyle w:val="23"/>
        <w:widowControl/>
        <w:numPr>
          <w:ilvl w:val="0"/>
          <w:numId w:val="0"/>
        </w:numPr>
        <w:ind w:leftChars="0"/>
        <w:rPr>
          <w:rFonts w:hint="eastAsia" w:ascii="仿宋_GB2312" w:hAnsi="仿宋_GB2312" w:eastAsia="仿宋_GB2312" w:cs="仿宋_GB2312"/>
          <w:sz w:val="32"/>
          <w:szCs w:val="32"/>
          <w:highlight w:val="none"/>
        </w:rPr>
      </w:pPr>
      <w:r>
        <w:rPr>
          <w:rFonts w:hint="eastAsia"/>
          <w:highlight w:val="none"/>
          <w:lang w:eastAsia="zh-CN"/>
        </w:rPr>
        <w:t>第三章</w:t>
      </w:r>
      <w:r>
        <w:rPr>
          <w:highlight w:val="none"/>
        </w:rPr>
        <w:t>投标文件编写与递交</w:t>
      </w:r>
    </w:p>
    <w:p w14:paraId="3EFF539A">
      <w:pPr>
        <w:pStyle w:val="2"/>
        <w:widowControl/>
        <w:numPr>
          <w:ilvl w:val="0"/>
          <w:numId w:val="0"/>
        </w:numPr>
        <w:topLinePunct w:val="0"/>
        <w:ind w:left="0" w:leftChars="0" w:firstLine="640"/>
        <w:rPr>
          <w:b w:val="0"/>
          <w:highlight w:val="none"/>
        </w:rPr>
      </w:pPr>
      <w:r>
        <w:rPr>
          <w:rFonts w:hint="eastAsia"/>
          <w:highlight w:val="none"/>
          <w:lang w:eastAsia="zh-CN"/>
        </w:rPr>
        <w:t>一、</w:t>
      </w:r>
      <w:r>
        <w:rPr>
          <w:highlight w:val="none"/>
        </w:rPr>
        <w:t>投标人提供文件</w:t>
      </w:r>
    </w:p>
    <w:p w14:paraId="16BC86A6">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（一）</w:t>
      </w:r>
      <w:r>
        <w:rPr>
          <w:rFonts w:ascii="仿宋_GB2312" w:hAnsi="仿宋_GB2312" w:eastAsia="仿宋_GB2312" w:cs="Times New Roman"/>
          <w:sz w:val="32"/>
          <w:highlight w:val="none"/>
        </w:rPr>
        <w:t>投标书；</w:t>
      </w:r>
    </w:p>
    <w:p w14:paraId="29A3A6D2">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（二）</w:t>
      </w:r>
      <w:r>
        <w:rPr>
          <w:rFonts w:ascii="仿宋_GB2312" w:hAnsi="仿宋_GB2312" w:eastAsia="仿宋_GB2312" w:cs="Times New Roman"/>
          <w:sz w:val="32"/>
          <w:highlight w:val="none"/>
        </w:rPr>
        <w:t>报价及收费标准（须法定代表人或授权代表签字并加盖公章）；</w:t>
      </w:r>
    </w:p>
    <w:p w14:paraId="468E807D">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（三）</w:t>
      </w:r>
      <w:r>
        <w:rPr>
          <w:rFonts w:ascii="仿宋_GB2312" w:hAnsi="仿宋_GB2312" w:eastAsia="仿宋_GB2312" w:cs="Times New Roman"/>
          <w:sz w:val="32"/>
          <w:highlight w:val="none"/>
        </w:rPr>
        <w:t>中介机构简介（含中介机构成立时间等）；</w:t>
      </w:r>
    </w:p>
    <w:p w14:paraId="0F56F9EA">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（四）</w:t>
      </w:r>
      <w:r>
        <w:rPr>
          <w:rFonts w:ascii="仿宋_GB2312" w:hAnsi="仿宋_GB2312" w:eastAsia="仿宋_GB2312" w:cs="Times New Roman"/>
          <w:sz w:val="32"/>
          <w:highlight w:val="none"/>
        </w:rPr>
        <w:t>项目负责人的简介；</w:t>
      </w:r>
    </w:p>
    <w:p w14:paraId="034B33E5">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（五）</w:t>
      </w:r>
      <w:r>
        <w:rPr>
          <w:rFonts w:ascii="仿宋_GB2312" w:hAnsi="仿宋_GB2312" w:eastAsia="仿宋_GB2312" w:cs="Times New Roman"/>
          <w:sz w:val="32"/>
          <w:highlight w:val="none"/>
        </w:rPr>
        <w:t>法定代表人证明书、法定代表人授权书；</w:t>
      </w:r>
    </w:p>
    <w:p w14:paraId="39785642">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（六）</w:t>
      </w:r>
      <w:r>
        <w:rPr>
          <w:rFonts w:ascii="仿宋_GB2312" w:hAnsi="仿宋_GB2312" w:eastAsia="仿宋_GB2312" w:cs="Times New Roman"/>
          <w:sz w:val="32"/>
          <w:highlight w:val="none"/>
        </w:rPr>
        <w:t>租赁咨询服务工作方案；</w:t>
      </w:r>
    </w:p>
    <w:p w14:paraId="32BB720F">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（七）</w:t>
      </w:r>
      <w:r>
        <w:rPr>
          <w:rFonts w:ascii="仿宋_GB2312" w:hAnsi="仿宋_GB2312" w:eastAsia="仿宋_GB2312" w:cs="Times New Roman"/>
          <w:sz w:val="32"/>
          <w:highlight w:val="none"/>
        </w:rPr>
        <w:t>服务承诺；</w:t>
      </w:r>
    </w:p>
    <w:p w14:paraId="67197ADE">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（八）</w:t>
      </w:r>
      <w:r>
        <w:rPr>
          <w:rFonts w:ascii="仿宋_GB2312" w:hAnsi="仿宋_GB2312" w:eastAsia="仿宋_GB2312" w:cs="Times New Roman"/>
          <w:sz w:val="32"/>
          <w:highlight w:val="none"/>
        </w:rPr>
        <w:t>提供2021年以来同类业务的成功合作案例（合同复印件）；</w:t>
      </w:r>
    </w:p>
    <w:p w14:paraId="6363D022">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（九）</w:t>
      </w:r>
      <w:r>
        <w:rPr>
          <w:rFonts w:ascii="仿宋_GB2312" w:hAnsi="仿宋_GB2312" w:eastAsia="仿宋_GB2312" w:cs="Times New Roman"/>
          <w:sz w:val="32"/>
          <w:highlight w:val="none"/>
        </w:rPr>
        <w:t>资格证明文件；</w:t>
      </w:r>
    </w:p>
    <w:p w14:paraId="7244E5F6">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（十）</w:t>
      </w:r>
      <w:r>
        <w:rPr>
          <w:rFonts w:ascii="仿宋_GB2312" w:hAnsi="仿宋_GB2312" w:eastAsia="仿宋_GB2312" w:cs="Times New Roman"/>
          <w:sz w:val="32"/>
          <w:highlight w:val="none"/>
        </w:rPr>
        <w:t>其他证明文件（投标方认为需要提供的其他相关证明文件）。</w:t>
      </w:r>
    </w:p>
    <w:p w14:paraId="578A3124">
      <w:pPr>
        <w:pStyle w:val="12"/>
        <w:widowControl/>
        <w:rPr>
          <w:rFonts w:ascii="仿宋_GB2312" w:hAnsi="仿宋_GB2312" w:eastAsia="仿宋_GB2312" w:cs="Times New Roman"/>
          <w:sz w:val="32"/>
          <w:highlight w:val="none"/>
        </w:rPr>
      </w:pPr>
      <w:r>
        <w:rPr>
          <w:rFonts w:ascii="仿宋_GB2312" w:hAnsi="仿宋_GB2312" w:eastAsia="仿宋_GB2312" w:cs="Times New Roman"/>
          <w:sz w:val="32"/>
          <w:highlight w:val="none"/>
        </w:rPr>
        <w:t>所有投标文件须加盖公章。</w:t>
      </w:r>
    </w:p>
    <w:p w14:paraId="115F4F1A">
      <w:pPr>
        <w:pStyle w:val="2"/>
        <w:widowControl/>
        <w:numPr>
          <w:ilvl w:val="0"/>
          <w:numId w:val="0"/>
        </w:numPr>
        <w:topLinePunct w:val="0"/>
        <w:ind w:left="0" w:leftChars="0" w:firstLine="640"/>
        <w:rPr>
          <w:b w:val="0"/>
          <w:highlight w:val="none"/>
        </w:rPr>
      </w:pPr>
      <w:r>
        <w:rPr>
          <w:rFonts w:hint="eastAsia"/>
          <w:highlight w:val="none"/>
          <w:lang w:eastAsia="zh-CN"/>
        </w:rPr>
        <w:t>二、</w:t>
      </w:r>
      <w:r>
        <w:rPr>
          <w:highlight w:val="none"/>
        </w:rPr>
        <w:t>投标文件递交方式</w:t>
      </w:r>
    </w:p>
    <w:p w14:paraId="038B9E3C">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（一）</w:t>
      </w:r>
      <w:r>
        <w:rPr>
          <w:rFonts w:ascii="仿宋_GB2312" w:hAnsi="仿宋_GB2312" w:eastAsia="仿宋_GB2312" w:cs="Times New Roman"/>
          <w:sz w:val="32"/>
          <w:highlight w:val="none"/>
        </w:rPr>
        <w:t>正本壹份、副本壹份。正本、副本按A4纸规格分别装订成册；所有投标文件必须密封（副本内容须与正本完全一致，可以复印正本内容）</w:t>
      </w:r>
    </w:p>
    <w:p w14:paraId="417C17D6">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（二）</w:t>
      </w:r>
      <w:r>
        <w:rPr>
          <w:rFonts w:ascii="仿宋_GB2312" w:hAnsi="仿宋_GB2312" w:eastAsia="仿宋_GB2312" w:cs="Times New Roman"/>
          <w:sz w:val="32"/>
          <w:highlight w:val="none"/>
        </w:rPr>
        <w:t>投标文件封套上写明以下内容（封套上四角需加盖公章）：</w:t>
      </w:r>
    </w:p>
    <w:p w14:paraId="6CB313E1">
      <w:pPr>
        <w:pStyle w:val="12"/>
        <w:widowControl/>
        <w:rPr>
          <w:rFonts w:ascii="仿宋_GB2312" w:hAnsi="仿宋_GB2312" w:eastAsia="仿宋_GB2312" w:cs="Times New Roman"/>
          <w:sz w:val="32"/>
          <w:highlight w:val="none"/>
        </w:rPr>
      </w:pPr>
      <w:r>
        <w:rPr>
          <w:rFonts w:ascii="仿宋_GB2312" w:hAnsi="仿宋_GB2312" w:eastAsia="仿宋_GB2312" w:cs="Times New Roman"/>
          <w:sz w:val="32"/>
          <w:highlight w:val="none"/>
        </w:rPr>
        <w:t>文件送达地址：深圳市罗湖区国际贸易中心大厦16楼</w:t>
      </w:r>
    </w:p>
    <w:p w14:paraId="256B9846">
      <w:pPr>
        <w:pStyle w:val="12"/>
        <w:widowControl/>
        <w:rPr>
          <w:rFonts w:ascii="仿宋_GB2312" w:hAnsi="仿宋_GB2312" w:eastAsia="仿宋_GB2312" w:cs="Times New Roman"/>
          <w:sz w:val="32"/>
          <w:highlight w:val="none"/>
        </w:rPr>
      </w:pPr>
      <w:r>
        <w:rPr>
          <w:rFonts w:ascii="仿宋_GB2312" w:hAnsi="仿宋_GB2312" w:eastAsia="仿宋_GB2312" w:cs="Times New Roman"/>
          <w:sz w:val="32"/>
          <w:highlight w:val="none"/>
        </w:rPr>
        <w:t>投标人名称：</w:t>
      </w:r>
    </w:p>
    <w:p w14:paraId="1473D557">
      <w:pPr>
        <w:pStyle w:val="12"/>
        <w:widowControl/>
        <w:rPr>
          <w:rFonts w:ascii="仿宋_GB2312" w:hAnsi="仿宋_GB2312" w:eastAsia="仿宋_GB2312" w:cs="Times New Roman"/>
          <w:sz w:val="32"/>
          <w:highlight w:val="none"/>
        </w:rPr>
      </w:pPr>
      <w:r>
        <w:rPr>
          <w:rFonts w:ascii="仿宋_GB2312" w:hAnsi="仿宋_GB2312" w:eastAsia="仿宋_GB2312" w:cs="Times New Roman"/>
          <w:sz w:val="32"/>
          <w:highlight w:val="none"/>
        </w:rPr>
        <w:t>项目名称：关于聘请第三方中介机构提供2027年物业租赁咨询服务</w:t>
      </w:r>
    </w:p>
    <w:p w14:paraId="5B980405">
      <w:pPr>
        <w:pStyle w:val="12"/>
        <w:widowControl/>
        <w:rPr>
          <w:rFonts w:ascii="仿宋_GB2312" w:hAnsi="仿宋_GB2312" w:eastAsia="仿宋_GB2312" w:cs="Times New Roman"/>
          <w:sz w:val="32"/>
          <w:highlight w:val="none"/>
        </w:rPr>
      </w:pPr>
      <w:r>
        <w:rPr>
          <w:rFonts w:ascii="仿宋_GB2312" w:hAnsi="仿宋_GB2312" w:eastAsia="仿宋_GB2312" w:cs="Times New Roman"/>
          <w:sz w:val="32"/>
          <w:highlight w:val="none"/>
        </w:rPr>
        <w:t>在</w:t>
      </w:r>
      <w:r>
        <w:rPr>
          <w:rFonts w:hint="eastAsia" w:cs="Times New Roman"/>
          <w:sz w:val="32"/>
          <w:highlight w:val="none"/>
          <w:lang w:eastAsia="zh-CN"/>
        </w:rPr>
        <w:t>2026年</w:t>
      </w:r>
      <w:r>
        <w:rPr>
          <w:rFonts w:hint="eastAsia" w:cs="Times New Roman"/>
          <w:sz w:val="32"/>
          <w:highlight w:val="none"/>
          <w:lang w:val="en-US" w:eastAsia="zh-CN"/>
        </w:rPr>
        <w:t>8</w:t>
      </w:r>
      <w:r>
        <w:rPr>
          <w:rFonts w:hint="eastAsia" w:cs="Times New Roman"/>
          <w:sz w:val="32"/>
          <w:highlight w:val="none"/>
          <w:lang w:eastAsia="zh-CN"/>
        </w:rPr>
        <w:t>月</w:t>
      </w:r>
      <w:r>
        <w:rPr>
          <w:rFonts w:hint="eastAsia" w:cs="Times New Roman"/>
          <w:sz w:val="32"/>
          <w:highlight w:val="none"/>
          <w:lang w:val="en-US" w:eastAsia="zh-CN"/>
        </w:rPr>
        <w:t xml:space="preserve">  </w:t>
      </w:r>
      <w:r>
        <w:rPr>
          <w:rFonts w:hint="eastAsia" w:cs="Times New Roman"/>
          <w:sz w:val="32"/>
          <w:highlight w:val="none"/>
          <w:lang w:eastAsia="zh-CN"/>
        </w:rPr>
        <w:t>日</w:t>
      </w:r>
      <w:r>
        <w:rPr>
          <w:rFonts w:hint="eastAsia" w:cs="Times New Roman"/>
          <w:sz w:val="32"/>
          <w:highlight w:val="none"/>
          <w:lang w:val="en-US" w:eastAsia="zh-CN"/>
        </w:rPr>
        <w:t xml:space="preserve">   </w:t>
      </w:r>
      <w:r>
        <w:rPr>
          <w:rFonts w:ascii="仿宋_GB2312" w:hAnsi="仿宋_GB2312" w:eastAsia="仿宋_GB2312" w:cs="Times New Roman"/>
          <w:sz w:val="32"/>
          <w:highlight w:val="none"/>
        </w:rPr>
        <w:t>时（具体日期以招标公告为准）前不得开启</w:t>
      </w:r>
    </w:p>
    <w:p w14:paraId="7B4D4982">
      <w:pPr>
        <w:pStyle w:val="12"/>
        <w:widowControl/>
        <w:numPr>
          <w:ilvl w:val="0"/>
          <w:numId w:val="0"/>
        </w:numPr>
        <w:ind w:left="0" w:leftChars="0" w:firstLine="616"/>
        <w:rPr>
          <w:rFonts w:hint="eastAsia"/>
          <w:highlight w:val="none"/>
          <w:lang w:eastAsia="zh-CN"/>
        </w:rPr>
      </w:pPr>
      <w:r>
        <w:rPr>
          <w:rFonts w:hint="eastAsia" w:cs="Times New Roman"/>
          <w:sz w:val="32"/>
          <w:highlight w:val="none"/>
          <w:lang w:eastAsia="zh-CN"/>
        </w:rPr>
        <w:t>（三）</w:t>
      </w:r>
      <w:r>
        <w:rPr>
          <w:rFonts w:ascii="仿宋_GB2312" w:hAnsi="仿宋_GB2312" w:eastAsia="仿宋_GB2312" w:cs="Times New Roman"/>
          <w:sz w:val="32"/>
          <w:highlight w:val="none"/>
        </w:rPr>
        <w:t>投标人于</w:t>
      </w:r>
      <w:r>
        <w:rPr>
          <w:rFonts w:hint="eastAsia" w:cs="Times New Roman"/>
          <w:sz w:val="32"/>
          <w:highlight w:val="none"/>
          <w:lang w:eastAsia="zh-CN"/>
        </w:rPr>
        <w:t>2026年</w:t>
      </w:r>
      <w:r>
        <w:rPr>
          <w:rFonts w:hint="eastAsia" w:cs="Times New Roman"/>
          <w:sz w:val="32"/>
          <w:highlight w:val="none"/>
          <w:lang w:val="en-US" w:eastAsia="zh-CN"/>
        </w:rPr>
        <w:t>8</w:t>
      </w:r>
      <w:r>
        <w:rPr>
          <w:rFonts w:hint="eastAsia" w:cs="Times New Roman"/>
          <w:sz w:val="32"/>
          <w:highlight w:val="none"/>
          <w:lang w:eastAsia="zh-CN"/>
        </w:rPr>
        <w:t>月</w:t>
      </w:r>
      <w:r>
        <w:rPr>
          <w:rFonts w:hint="eastAsia" w:cs="Times New Roman"/>
          <w:sz w:val="32"/>
          <w:highlight w:val="none"/>
          <w:lang w:val="en-US" w:eastAsia="zh-CN"/>
        </w:rPr>
        <w:t xml:space="preserve">  </w:t>
      </w:r>
      <w:r>
        <w:rPr>
          <w:rFonts w:hint="eastAsia" w:cs="Times New Roman"/>
          <w:sz w:val="32"/>
          <w:highlight w:val="none"/>
          <w:lang w:eastAsia="zh-CN"/>
        </w:rPr>
        <w:t>日</w:t>
      </w:r>
      <w:r>
        <w:rPr>
          <w:rFonts w:ascii="仿宋_GB2312" w:hAnsi="仿宋_GB2312" w:eastAsia="仿宋_GB2312" w:cs="Times New Roman"/>
          <w:sz w:val="32"/>
          <w:highlight w:val="none"/>
        </w:rPr>
        <w:t>时之前（具体日期以招标公告为准）将投标文件交至深圳市罗湖区国际贸易中心大厦16楼经营部晏工（联系电话82211965），招标人拒绝接受任何逾期递交的投标文件。</w:t>
      </w:r>
    </w:p>
    <w:p w14:paraId="7167B066">
      <w:pPr>
        <w:pStyle w:val="23"/>
        <w:widowControl/>
        <w:numPr>
          <w:ilvl w:val="0"/>
          <w:numId w:val="0"/>
        </w:numPr>
        <w:ind w:leftChars="0"/>
        <w:rPr>
          <w:rFonts w:hint="eastAsia" w:ascii="黑体" w:hAnsi="黑体" w:eastAsia="黑体" w:cs="黑体"/>
          <w:b w:val="0"/>
          <w:bCs w:val="0"/>
          <w:sz w:val="32"/>
          <w:szCs w:val="32"/>
          <w:highlight w:val="none"/>
        </w:rPr>
      </w:pPr>
      <w:r>
        <w:rPr>
          <w:rFonts w:hint="eastAsia"/>
          <w:highlight w:val="none"/>
          <w:lang w:eastAsia="zh-CN"/>
        </w:rPr>
        <w:t>第四章</w:t>
      </w:r>
      <w:r>
        <w:rPr>
          <w:highlight w:val="none"/>
        </w:rPr>
        <w:t>开标与评审</w:t>
      </w:r>
    </w:p>
    <w:p w14:paraId="1DFFE284">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一、</w:t>
      </w:r>
      <w:r>
        <w:rPr>
          <w:rFonts w:ascii="仿宋_GB2312" w:hAnsi="仿宋_GB2312" w:eastAsia="仿宋_GB2312" w:cs="Times New Roman"/>
          <w:sz w:val="32"/>
          <w:highlight w:val="none"/>
        </w:rPr>
        <w:t>开标时间暂定于</w:t>
      </w:r>
      <w:r>
        <w:rPr>
          <w:rFonts w:hint="eastAsia" w:cs="Times New Roman"/>
          <w:sz w:val="32"/>
          <w:highlight w:val="none"/>
          <w:lang w:eastAsia="zh-CN"/>
        </w:rPr>
        <w:t>2026年</w:t>
      </w:r>
      <w:r>
        <w:rPr>
          <w:rFonts w:hint="eastAsia" w:cs="Times New Roman"/>
          <w:sz w:val="32"/>
          <w:highlight w:val="none"/>
          <w:lang w:val="en-US" w:eastAsia="zh-CN"/>
        </w:rPr>
        <w:t>8</w:t>
      </w:r>
      <w:r>
        <w:rPr>
          <w:rFonts w:hint="eastAsia" w:cs="Times New Roman"/>
          <w:sz w:val="32"/>
          <w:highlight w:val="none"/>
          <w:lang w:eastAsia="zh-CN"/>
        </w:rPr>
        <w:t>月</w:t>
      </w:r>
      <w:r>
        <w:rPr>
          <w:rFonts w:hint="eastAsia" w:cs="Times New Roman"/>
          <w:sz w:val="32"/>
          <w:highlight w:val="none"/>
          <w:lang w:val="en-US" w:eastAsia="zh-CN"/>
        </w:rPr>
        <w:t xml:space="preserve">  </w:t>
      </w:r>
      <w:r>
        <w:rPr>
          <w:rFonts w:hint="eastAsia" w:cs="Times New Roman"/>
          <w:sz w:val="32"/>
          <w:highlight w:val="none"/>
          <w:lang w:eastAsia="zh-CN"/>
        </w:rPr>
        <w:t>日</w:t>
      </w:r>
      <w:r>
        <w:rPr>
          <w:rFonts w:hint="eastAsia" w:cs="Times New Roman"/>
          <w:sz w:val="32"/>
          <w:highlight w:val="none"/>
          <w:lang w:val="en-US" w:eastAsia="zh-CN"/>
        </w:rPr>
        <w:t xml:space="preserve">  </w:t>
      </w:r>
      <w:r>
        <w:rPr>
          <w:rFonts w:ascii="仿宋_GB2312" w:hAnsi="仿宋_GB2312" w:eastAsia="仿宋_GB2312" w:cs="Times New Roman"/>
          <w:sz w:val="32"/>
          <w:highlight w:val="none"/>
        </w:rPr>
        <w:t>时（以招标公告为准），本次招标无需述标，不邀请投标人参加。</w:t>
      </w:r>
    </w:p>
    <w:p w14:paraId="161FB35A">
      <w:pPr>
        <w:pStyle w:val="2"/>
        <w:widowControl/>
        <w:numPr>
          <w:ilvl w:val="0"/>
          <w:numId w:val="0"/>
        </w:numPr>
        <w:ind w:left="0" w:leftChars="0" w:firstLine="616"/>
        <w:rPr>
          <w:b w:val="0"/>
          <w:highlight w:val="none"/>
        </w:rPr>
      </w:pPr>
      <w:r>
        <w:rPr>
          <w:rFonts w:hint="eastAsia"/>
          <w:highlight w:val="none"/>
          <w:lang w:eastAsia="zh-CN"/>
        </w:rPr>
        <w:t>二、</w:t>
      </w:r>
      <w:r>
        <w:rPr>
          <w:highlight w:val="none"/>
        </w:rPr>
        <w:t>评审原则：采用综合评分法。</w:t>
      </w:r>
    </w:p>
    <w:p w14:paraId="5EB4B7E7">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（一）</w:t>
      </w:r>
      <w:r>
        <w:rPr>
          <w:rFonts w:ascii="仿宋_GB2312" w:hAnsi="仿宋_GB2312" w:eastAsia="仿宋_GB2312" w:cs="Times New Roman"/>
          <w:sz w:val="32"/>
          <w:highlight w:val="none"/>
        </w:rPr>
        <w:t>评标小组根据招标文件的内容和标准，对所有投标人进行符合性检查。</w:t>
      </w:r>
    </w:p>
    <w:p w14:paraId="47F6A380">
      <w:pPr>
        <w:pStyle w:val="12"/>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（二）</w:t>
      </w:r>
      <w:r>
        <w:rPr>
          <w:rFonts w:ascii="仿宋_GB2312" w:hAnsi="仿宋_GB2312" w:eastAsia="仿宋_GB2312" w:cs="Times New Roman"/>
          <w:sz w:val="32"/>
          <w:highlight w:val="none"/>
        </w:rPr>
        <w:t>对通过符合性检查的投标文件，评标小组将对照招标文件的项目明细和项目需求的内容和标准对投标文件中的条款响应进行评议。</w:t>
      </w:r>
    </w:p>
    <w:p w14:paraId="76C93B5B">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（三）</w:t>
      </w:r>
      <w:r>
        <w:rPr>
          <w:rFonts w:ascii="仿宋_GB2312" w:hAnsi="仿宋_GB2312" w:eastAsia="仿宋_GB2312" w:cs="Times New Roman"/>
          <w:sz w:val="32"/>
          <w:highlight w:val="none"/>
        </w:rPr>
        <w:t>由评标小组成员现场打分，综合得分最高者中标。评分项目及标准如下：</w:t>
      </w:r>
    </w:p>
    <w:tbl>
      <w:tblPr>
        <w:tblStyle w:val="19"/>
        <w:tblW w:w="5004"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629"/>
        <w:gridCol w:w="5065"/>
        <w:gridCol w:w="672"/>
        <w:gridCol w:w="953"/>
      </w:tblGrid>
      <w:tr w14:paraId="271ED0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9" w:hRule="atLeast"/>
          <w:jc w:val="center"/>
        </w:trPr>
        <w:tc>
          <w:tcPr>
            <w:tcW w:w="979" w:type="pct"/>
            <w:vAlign w:val="center"/>
          </w:tcPr>
          <w:p w14:paraId="639C68B9">
            <w:pPr>
              <w:keepNext w:val="0"/>
              <w:keepLines w:val="0"/>
              <w:pageBreakBefore w:val="0"/>
              <w:widowControl/>
              <w:kinsoku/>
              <w:wordWrap/>
              <w:overflowPunct w:val="0"/>
              <w:topLinePunct w:val="0"/>
              <w:autoSpaceDE w:val="0"/>
              <w:autoSpaceDN w:val="0"/>
              <w:bidi w:val="0"/>
              <w:adjustRightInd w:val="0"/>
              <w:snapToGrid w:val="0"/>
              <w:ind w:left="105" w:leftChars="50" w:right="105" w:rightChars="50"/>
              <w:jc w:val="center"/>
              <w:textAlignment w:val="baseline"/>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评分项目</w:t>
            </w:r>
          </w:p>
        </w:tc>
        <w:tc>
          <w:tcPr>
            <w:tcW w:w="3043" w:type="pct"/>
            <w:vAlign w:val="center"/>
          </w:tcPr>
          <w:p w14:paraId="5B1E5348">
            <w:pPr>
              <w:keepNext w:val="0"/>
              <w:keepLines w:val="0"/>
              <w:pageBreakBefore w:val="0"/>
              <w:widowControl/>
              <w:kinsoku/>
              <w:wordWrap/>
              <w:overflowPunct w:val="0"/>
              <w:topLinePunct w:val="0"/>
              <w:autoSpaceDE w:val="0"/>
              <w:autoSpaceDN w:val="0"/>
              <w:bidi w:val="0"/>
              <w:adjustRightInd w:val="0"/>
              <w:snapToGrid w:val="0"/>
              <w:ind w:left="105" w:leftChars="50" w:right="105" w:rightChars="50"/>
              <w:jc w:val="center"/>
              <w:textAlignment w:val="baseline"/>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评分内容</w:t>
            </w:r>
          </w:p>
        </w:tc>
        <w:tc>
          <w:tcPr>
            <w:tcW w:w="404" w:type="pct"/>
            <w:vAlign w:val="center"/>
          </w:tcPr>
          <w:p w14:paraId="52E1CAFC">
            <w:pPr>
              <w:keepNext w:val="0"/>
              <w:keepLines w:val="0"/>
              <w:pageBreakBefore w:val="0"/>
              <w:widowControl/>
              <w:kinsoku/>
              <w:wordWrap/>
              <w:overflowPunct w:val="0"/>
              <w:topLinePunct w:val="0"/>
              <w:autoSpaceDE w:val="0"/>
              <w:autoSpaceDN w:val="0"/>
              <w:bidi w:val="0"/>
              <w:adjustRightInd w:val="0"/>
              <w:snapToGrid w:val="0"/>
              <w:ind w:left="105" w:leftChars="50" w:right="105" w:rightChars="50"/>
              <w:jc w:val="center"/>
              <w:textAlignment w:val="baseline"/>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最高分值</w:t>
            </w:r>
          </w:p>
        </w:tc>
        <w:tc>
          <w:tcPr>
            <w:tcW w:w="572" w:type="pct"/>
            <w:vAlign w:val="center"/>
          </w:tcPr>
          <w:p w14:paraId="158BB57C">
            <w:pPr>
              <w:keepNext w:val="0"/>
              <w:keepLines w:val="0"/>
              <w:pageBreakBefore w:val="0"/>
              <w:widowControl/>
              <w:kinsoku/>
              <w:wordWrap/>
              <w:overflowPunct w:val="0"/>
              <w:topLinePunct w:val="0"/>
              <w:autoSpaceDE w:val="0"/>
              <w:autoSpaceDN w:val="0"/>
              <w:bidi w:val="0"/>
              <w:adjustRightInd w:val="0"/>
              <w:snapToGrid w:val="0"/>
              <w:ind w:left="105" w:leftChars="50" w:right="105" w:rightChars="50"/>
              <w:jc w:val="center"/>
              <w:textAlignment w:val="baseline"/>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得分</w:t>
            </w:r>
          </w:p>
        </w:tc>
      </w:tr>
      <w:tr w14:paraId="20CE1D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12" w:hRule="atLeast"/>
          <w:jc w:val="center"/>
        </w:trPr>
        <w:tc>
          <w:tcPr>
            <w:tcW w:w="979" w:type="pct"/>
            <w:vMerge w:val="restart"/>
            <w:vAlign w:val="center"/>
          </w:tcPr>
          <w:p w14:paraId="0D5FE908">
            <w:pPr>
              <w:keepNext w:val="0"/>
              <w:keepLines w:val="0"/>
              <w:pageBreakBefore w:val="0"/>
              <w:widowControl/>
              <w:kinsoku/>
              <w:wordWrap/>
              <w:overflowPunct w:val="0"/>
              <w:topLinePunct w:val="0"/>
              <w:autoSpaceDE w:val="0"/>
              <w:autoSpaceDN w:val="0"/>
              <w:bidi w:val="0"/>
              <w:adjustRightInd w:val="0"/>
              <w:snapToGrid w:val="0"/>
              <w:ind w:left="105" w:leftChars="50" w:right="105" w:rightChars="50"/>
              <w:jc w:val="center"/>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质量与服务要求评分（</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0分）</w:t>
            </w:r>
          </w:p>
        </w:tc>
        <w:tc>
          <w:tcPr>
            <w:tcW w:w="3043" w:type="pct"/>
            <w:vAlign w:val="center"/>
          </w:tcPr>
          <w:p w14:paraId="2FD03A7E">
            <w:pPr>
              <w:keepNext w:val="0"/>
              <w:keepLines w:val="0"/>
              <w:pageBreakBefore w:val="0"/>
              <w:widowControl/>
              <w:kinsoku/>
              <w:wordWrap/>
              <w:overflowPunct w:val="0"/>
              <w:topLinePunct w:val="0"/>
              <w:autoSpaceDE w:val="0"/>
              <w:autoSpaceDN w:val="0"/>
              <w:bidi w:val="0"/>
              <w:adjustRightInd w:val="0"/>
              <w:snapToGrid w:val="0"/>
              <w:ind w:left="105" w:leftChars="50" w:right="105" w:rightChars="50"/>
              <w:jc w:val="left"/>
              <w:textAlignment w:val="baseline"/>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根据投标人的成立年限进行打分</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15年（含）以上</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得</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0分；10</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年</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得</w:t>
            </w: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分；5</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9</w:t>
            </w:r>
            <w:r>
              <w:rPr>
                <w:rFonts w:hint="eastAsia" w:ascii="宋体" w:hAnsi="宋体" w:eastAsia="宋体" w:cs="宋体"/>
                <w:sz w:val="21"/>
                <w:szCs w:val="21"/>
                <w:highlight w:val="none"/>
              </w:rPr>
              <w:t>年</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得</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分；5年以下</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得</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分；其他不得分</w:t>
            </w:r>
            <w:r>
              <w:rPr>
                <w:rFonts w:hint="eastAsia" w:ascii="宋体" w:hAnsi="宋体" w:eastAsia="宋体" w:cs="宋体"/>
                <w:sz w:val="21"/>
                <w:szCs w:val="21"/>
                <w:highlight w:val="none"/>
                <w:lang w:eastAsia="zh-CN"/>
              </w:rPr>
              <w:t>。</w:t>
            </w:r>
          </w:p>
          <w:p w14:paraId="1794D5D8">
            <w:pPr>
              <w:keepNext w:val="0"/>
              <w:keepLines w:val="0"/>
              <w:pageBreakBefore w:val="0"/>
              <w:widowControl/>
              <w:kinsoku/>
              <w:wordWrap/>
              <w:overflowPunct w:val="0"/>
              <w:topLinePunct w:val="0"/>
              <w:autoSpaceDE w:val="0"/>
              <w:autoSpaceDN w:val="0"/>
              <w:bidi w:val="0"/>
              <w:adjustRightInd w:val="0"/>
              <w:snapToGrid w:val="0"/>
              <w:ind w:left="105" w:leftChars="50" w:right="105" w:rightChars="50"/>
              <w:jc w:val="left"/>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（提供投标人的营业执照或登记证书扫描件</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如营业执照或登记证书未体现成立时间</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还需提供工商行政管理部门公示的商事主体登记备案信息查询截图证明</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未提供或根据提供的证明文件无法判断的一律不得分</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w:t>
            </w:r>
          </w:p>
        </w:tc>
        <w:tc>
          <w:tcPr>
            <w:tcW w:w="404" w:type="pct"/>
            <w:vAlign w:val="center"/>
          </w:tcPr>
          <w:p w14:paraId="44D525BE">
            <w:pPr>
              <w:keepNext w:val="0"/>
              <w:keepLines w:val="0"/>
              <w:pageBreakBefore w:val="0"/>
              <w:widowControl/>
              <w:kinsoku/>
              <w:wordWrap/>
              <w:overflowPunct w:val="0"/>
              <w:topLinePunct w:val="0"/>
              <w:autoSpaceDE w:val="0"/>
              <w:autoSpaceDN w:val="0"/>
              <w:bidi w:val="0"/>
              <w:adjustRightInd w:val="0"/>
              <w:snapToGrid w:val="0"/>
              <w:ind w:left="105" w:leftChars="50" w:right="105" w:rightChars="50"/>
              <w:jc w:val="center"/>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0</w:t>
            </w:r>
          </w:p>
        </w:tc>
        <w:tc>
          <w:tcPr>
            <w:tcW w:w="572" w:type="pct"/>
            <w:vAlign w:val="center"/>
          </w:tcPr>
          <w:p w14:paraId="4AED5271">
            <w:pPr>
              <w:keepNext w:val="0"/>
              <w:keepLines w:val="0"/>
              <w:pageBreakBefore w:val="0"/>
              <w:widowControl/>
              <w:kinsoku/>
              <w:wordWrap/>
              <w:overflowPunct w:val="0"/>
              <w:topLinePunct w:val="0"/>
              <w:autoSpaceDE w:val="0"/>
              <w:autoSpaceDN w:val="0"/>
              <w:bidi w:val="0"/>
              <w:adjustRightInd w:val="0"/>
              <w:snapToGrid w:val="0"/>
              <w:ind w:left="105" w:leftChars="50" w:right="105" w:rightChars="50"/>
              <w:jc w:val="center"/>
              <w:textAlignment w:val="baseline"/>
              <w:rPr>
                <w:rFonts w:hint="eastAsia" w:ascii="宋体" w:hAnsi="宋体" w:eastAsia="宋体" w:cs="宋体"/>
                <w:sz w:val="21"/>
                <w:szCs w:val="21"/>
                <w:highlight w:val="none"/>
              </w:rPr>
            </w:pPr>
          </w:p>
        </w:tc>
      </w:tr>
      <w:tr w14:paraId="40197B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2" w:hRule="atLeast"/>
          <w:jc w:val="center"/>
        </w:trPr>
        <w:tc>
          <w:tcPr>
            <w:tcW w:w="979" w:type="pct"/>
            <w:vMerge w:val="continue"/>
            <w:vAlign w:val="center"/>
          </w:tcPr>
          <w:p w14:paraId="2B3EDA0F">
            <w:pPr>
              <w:keepNext w:val="0"/>
              <w:keepLines w:val="0"/>
              <w:pageBreakBefore w:val="0"/>
              <w:widowControl/>
              <w:kinsoku/>
              <w:wordWrap/>
              <w:overflowPunct w:val="0"/>
              <w:topLinePunct w:val="0"/>
              <w:autoSpaceDE w:val="0"/>
              <w:autoSpaceDN w:val="0"/>
              <w:bidi w:val="0"/>
              <w:adjustRightInd w:val="0"/>
              <w:snapToGrid w:val="0"/>
              <w:ind w:left="105" w:leftChars="50" w:right="105" w:rightChars="50"/>
              <w:jc w:val="center"/>
              <w:textAlignment w:val="baseline"/>
              <w:rPr>
                <w:rFonts w:hint="eastAsia" w:ascii="宋体" w:hAnsi="宋体" w:eastAsia="宋体" w:cs="宋体"/>
                <w:sz w:val="21"/>
                <w:szCs w:val="21"/>
                <w:highlight w:val="none"/>
              </w:rPr>
            </w:pPr>
          </w:p>
        </w:tc>
        <w:tc>
          <w:tcPr>
            <w:tcW w:w="3043" w:type="pct"/>
            <w:vAlign w:val="center"/>
          </w:tcPr>
          <w:p w14:paraId="1E1264EA">
            <w:pPr>
              <w:keepNext w:val="0"/>
              <w:keepLines w:val="0"/>
              <w:pageBreakBefore w:val="0"/>
              <w:widowControl/>
              <w:kinsoku/>
              <w:wordWrap/>
              <w:overflowPunct w:val="0"/>
              <w:topLinePunct w:val="0"/>
              <w:autoSpaceDE w:val="0"/>
              <w:autoSpaceDN w:val="0"/>
              <w:bidi w:val="0"/>
              <w:adjustRightInd w:val="0"/>
              <w:snapToGrid w:val="0"/>
              <w:ind w:left="105" w:leftChars="50" w:right="105" w:rightChars="50"/>
              <w:jc w:val="left"/>
              <w:textAlignment w:val="baseline"/>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提供2021年以来类似业务的成功合作案例</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一份合同得</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分</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最高不超过</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0分</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未提供合同的得0分</w:t>
            </w:r>
            <w:r>
              <w:rPr>
                <w:rFonts w:hint="eastAsia" w:ascii="宋体" w:hAnsi="宋体" w:eastAsia="宋体" w:cs="宋体"/>
                <w:sz w:val="21"/>
                <w:szCs w:val="21"/>
                <w:highlight w:val="none"/>
                <w:lang w:eastAsia="zh-CN"/>
              </w:rPr>
              <w:t>。</w:t>
            </w:r>
          </w:p>
          <w:p w14:paraId="351AE2CD">
            <w:pPr>
              <w:keepNext w:val="0"/>
              <w:keepLines w:val="0"/>
              <w:pageBreakBefore w:val="0"/>
              <w:widowControl/>
              <w:kinsoku/>
              <w:wordWrap/>
              <w:overflowPunct w:val="0"/>
              <w:topLinePunct w:val="0"/>
              <w:autoSpaceDE w:val="0"/>
              <w:autoSpaceDN w:val="0"/>
              <w:bidi w:val="0"/>
              <w:adjustRightInd w:val="0"/>
              <w:snapToGrid w:val="0"/>
              <w:ind w:left="105" w:leftChars="50" w:right="105" w:rightChars="50"/>
              <w:jc w:val="left"/>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（提供相关证明文件、合同复印件并加盖投</w:t>
            </w:r>
            <w:r>
              <w:rPr>
                <w:rFonts w:hint="eastAsia" w:ascii="宋体" w:hAnsi="宋体" w:eastAsia="宋体" w:cs="宋体"/>
                <w:highlight w:val="none"/>
              </w:rPr>
              <w:t>标人公章）</w:t>
            </w:r>
          </w:p>
        </w:tc>
        <w:tc>
          <w:tcPr>
            <w:tcW w:w="404" w:type="pct"/>
            <w:vAlign w:val="center"/>
          </w:tcPr>
          <w:p w14:paraId="0DDA0371">
            <w:pPr>
              <w:keepNext w:val="0"/>
              <w:keepLines w:val="0"/>
              <w:pageBreakBefore w:val="0"/>
              <w:widowControl/>
              <w:kinsoku/>
              <w:wordWrap/>
              <w:overflowPunct w:val="0"/>
              <w:topLinePunct w:val="0"/>
              <w:autoSpaceDE w:val="0"/>
              <w:autoSpaceDN w:val="0"/>
              <w:bidi w:val="0"/>
              <w:adjustRightInd w:val="0"/>
              <w:snapToGrid w:val="0"/>
              <w:ind w:left="105" w:leftChars="50" w:right="105" w:rightChars="50"/>
              <w:jc w:val="center"/>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0</w:t>
            </w:r>
          </w:p>
        </w:tc>
        <w:tc>
          <w:tcPr>
            <w:tcW w:w="572" w:type="pct"/>
            <w:vAlign w:val="center"/>
          </w:tcPr>
          <w:p w14:paraId="78168CCA">
            <w:pPr>
              <w:keepNext w:val="0"/>
              <w:keepLines w:val="0"/>
              <w:pageBreakBefore w:val="0"/>
              <w:widowControl/>
              <w:kinsoku/>
              <w:wordWrap/>
              <w:overflowPunct w:val="0"/>
              <w:topLinePunct w:val="0"/>
              <w:autoSpaceDE w:val="0"/>
              <w:autoSpaceDN w:val="0"/>
              <w:bidi w:val="0"/>
              <w:adjustRightInd w:val="0"/>
              <w:snapToGrid w:val="0"/>
              <w:ind w:left="105" w:leftChars="50" w:right="105" w:rightChars="50"/>
              <w:jc w:val="center"/>
              <w:textAlignment w:val="baseline"/>
              <w:rPr>
                <w:rFonts w:hint="eastAsia" w:ascii="宋体" w:hAnsi="宋体" w:eastAsia="宋体" w:cs="宋体"/>
                <w:sz w:val="21"/>
                <w:szCs w:val="21"/>
                <w:highlight w:val="none"/>
              </w:rPr>
            </w:pPr>
          </w:p>
        </w:tc>
      </w:tr>
      <w:tr w14:paraId="0E131A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2" w:hRule="atLeast"/>
          <w:jc w:val="center"/>
        </w:trPr>
        <w:tc>
          <w:tcPr>
            <w:tcW w:w="979" w:type="pct"/>
            <w:vMerge w:val="continue"/>
            <w:vAlign w:val="center"/>
          </w:tcPr>
          <w:p w14:paraId="211DE8CB">
            <w:pPr>
              <w:keepNext w:val="0"/>
              <w:keepLines w:val="0"/>
              <w:pageBreakBefore w:val="0"/>
              <w:widowControl/>
              <w:kinsoku/>
              <w:wordWrap/>
              <w:overflowPunct w:val="0"/>
              <w:topLinePunct w:val="0"/>
              <w:autoSpaceDE w:val="0"/>
              <w:autoSpaceDN w:val="0"/>
              <w:bidi w:val="0"/>
              <w:adjustRightInd w:val="0"/>
              <w:snapToGrid w:val="0"/>
              <w:ind w:left="105" w:leftChars="50" w:right="105" w:rightChars="50"/>
              <w:jc w:val="center"/>
              <w:textAlignment w:val="baseline"/>
              <w:rPr>
                <w:rFonts w:hint="eastAsia" w:ascii="宋体" w:hAnsi="宋体" w:eastAsia="宋体" w:cs="宋体"/>
                <w:sz w:val="21"/>
                <w:szCs w:val="21"/>
                <w:highlight w:val="none"/>
              </w:rPr>
            </w:pPr>
          </w:p>
        </w:tc>
        <w:tc>
          <w:tcPr>
            <w:tcW w:w="3043" w:type="pct"/>
            <w:vAlign w:val="center"/>
          </w:tcPr>
          <w:p w14:paraId="3A41F295">
            <w:pPr>
              <w:keepNext w:val="0"/>
              <w:keepLines w:val="0"/>
              <w:pageBreakBefore w:val="0"/>
              <w:widowControl/>
              <w:kinsoku/>
              <w:wordWrap/>
              <w:overflowPunct w:val="0"/>
              <w:topLinePunct w:val="0"/>
              <w:autoSpaceDE w:val="0"/>
              <w:autoSpaceDN w:val="0"/>
              <w:bidi w:val="0"/>
              <w:adjustRightInd w:val="0"/>
              <w:snapToGrid w:val="0"/>
              <w:ind w:left="105" w:leftChars="50" w:right="105" w:rightChars="50"/>
              <w:jc w:val="left"/>
              <w:textAlignment w:val="baseline"/>
              <w:rPr>
                <w:rFonts w:hint="eastAsia" w:ascii="宋体" w:hAnsi="宋体" w:eastAsia="宋体" w:cs="宋体"/>
                <w:sz w:val="21"/>
                <w:szCs w:val="21"/>
                <w:highlight w:val="none"/>
                <w:lang w:eastAsia="zh-CN"/>
              </w:rPr>
            </w:pPr>
            <w:r>
              <w:rPr>
                <w:rFonts w:hint="eastAsia" w:ascii="宋体" w:hAnsi="宋体" w:eastAsia="宋体" w:cs="宋体"/>
                <w:highlight w:val="none"/>
              </w:rPr>
              <w:t>物业租赁咨询服务：根据投标人提交的物业租赁咨询服务工作方案横向比较打分</w:t>
            </w:r>
            <w:r>
              <w:rPr>
                <w:rFonts w:hint="eastAsia" w:ascii="宋体" w:hAnsi="宋体" w:eastAsia="宋体" w:cs="宋体"/>
                <w:highlight w:val="none"/>
                <w:lang w:eastAsia="zh-CN"/>
              </w:rPr>
              <w:t>。</w:t>
            </w:r>
            <w:r>
              <w:rPr>
                <w:rFonts w:hint="eastAsia" w:ascii="宋体" w:hAnsi="宋体" w:eastAsia="宋体" w:cs="宋体"/>
                <w:highlight w:val="none"/>
              </w:rPr>
              <w:t>评价优</w:t>
            </w:r>
            <w:r>
              <w:rPr>
                <w:rFonts w:hint="eastAsia" w:ascii="宋体" w:hAnsi="宋体" w:eastAsia="宋体" w:cs="宋体"/>
                <w:highlight w:val="none"/>
                <w:lang w:val="en-US" w:eastAsia="zh-CN"/>
              </w:rPr>
              <w:t>2</w:t>
            </w:r>
            <w:r>
              <w:rPr>
                <w:rFonts w:hint="eastAsia" w:ascii="宋体" w:hAnsi="宋体" w:eastAsia="宋体" w:cs="宋体"/>
                <w:highlight w:val="none"/>
              </w:rPr>
              <w:t>0</w:t>
            </w:r>
            <w:r>
              <w:rPr>
                <w:rFonts w:hint="eastAsia" w:ascii="宋体" w:hAnsi="宋体" w:eastAsia="宋体" w:cs="宋体"/>
                <w:highlight w:val="none"/>
                <w:lang w:eastAsia="zh-CN"/>
              </w:rPr>
              <w:t>－</w:t>
            </w:r>
            <w:r>
              <w:rPr>
                <w:rFonts w:hint="eastAsia" w:ascii="宋体" w:hAnsi="宋体" w:eastAsia="宋体" w:cs="宋体"/>
                <w:highlight w:val="none"/>
                <w:lang w:val="en-US" w:eastAsia="zh-CN"/>
              </w:rPr>
              <w:t>16</w:t>
            </w:r>
            <w:r>
              <w:rPr>
                <w:rFonts w:hint="eastAsia" w:ascii="宋体" w:hAnsi="宋体" w:eastAsia="宋体" w:cs="宋体"/>
                <w:highlight w:val="none"/>
              </w:rPr>
              <w:t>分；评价良</w:t>
            </w:r>
            <w:r>
              <w:rPr>
                <w:rFonts w:hint="eastAsia" w:ascii="宋体" w:hAnsi="宋体" w:eastAsia="宋体" w:cs="宋体"/>
                <w:highlight w:val="none"/>
                <w:lang w:val="en-US" w:eastAsia="zh-CN"/>
              </w:rPr>
              <w:t>15</w:t>
            </w:r>
            <w:r>
              <w:rPr>
                <w:rFonts w:hint="eastAsia" w:ascii="宋体" w:hAnsi="宋体" w:eastAsia="宋体" w:cs="宋体"/>
                <w:highlight w:val="none"/>
                <w:lang w:eastAsia="zh-CN"/>
              </w:rPr>
              <w:t>－</w:t>
            </w:r>
            <w:r>
              <w:rPr>
                <w:rFonts w:hint="eastAsia" w:ascii="宋体" w:hAnsi="宋体" w:eastAsia="宋体" w:cs="宋体"/>
                <w:highlight w:val="none"/>
              </w:rPr>
              <w:t>1</w:t>
            </w:r>
            <w:r>
              <w:rPr>
                <w:rFonts w:hint="eastAsia" w:ascii="宋体" w:hAnsi="宋体" w:eastAsia="宋体" w:cs="宋体"/>
                <w:highlight w:val="none"/>
                <w:lang w:val="en-US" w:eastAsia="zh-CN"/>
              </w:rPr>
              <w:t>1</w:t>
            </w:r>
            <w:r>
              <w:rPr>
                <w:rFonts w:hint="eastAsia" w:ascii="宋体" w:hAnsi="宋体" w:eastAsia="宋体" w:cs="宋体"/>
                <w:highlight w:val="none"/>
              </w:rPr>
              <w:t>分；评价中1</w:t>
            </w:r>
            <w:r>
              <w:rPr>
                <w:rFonts w:hint="eastAsia" w:ascii="宋体" w:hAnsi="宋体" w:eastAsia="宋体" w:cs="宋体"/>
                <w:highlight w:val="none"/>
                <w:lang w:val="en-US" w:eastAsia="zh-CN"/>
              </w:rPr>
              <w:t>0</w:t>
            </w:r>
            <w:r>
              <w:rPr>
                <w:rFonts w:hint="eastAsia" w:ascii="宋体" w:hAnsi="宋体" w:eastAsia="宋体" w:cs="宋体"/>
                <w:highlight w:val="none"/>
                <w:lang w:eastAsia="zh-CN"/>
              </w:rPr>
              <w:t>－</w:t>
            </w:r>
            <w:r>
              <w:rPr>
                <w:rFonts w:hint="eastAsia" w:ascii="宋体" w:hAnsi="宋体" w:eastAsia="宋体" w:cs="宋体"/>
                <w:highlight w:val="none"/>
                <w:lang w:val="en-US" w:eastAsia="zh-CN"/>
              </w:rPr>
              <w:t>6</w:t>
            </w:r>
            <w:r>
              <w:rPr>
                <w:rFonts w:hint="eastAsia" w:ascii="宋体" w:hAnsi="宋体" w:eastAsia="宋体" w:cs="宋体"/>
                <w:highlight w:val="none"/>
              </w:rPr>
              <w:t>；评价差</w:t>
            </w:r>
            <w:r>
              <w:rPr>
                <w:rFonts w:hint="eastAsia" w:ascii="宋体" w:hAnsi="宋体" w:eastAsia="宋体" w:cs="宋体"/>
                <w:highlight w:val="none"/>
                <w:lang w:val="en-US" w:eastAsia="zh-CN"/>
              </w:rPr>
              <w:t>5</w:t>
            </w:r>
            <w:r>
              <w:rPr>
                <w:rFonts w:hint="eastAsia" w:ascii="宋体" w:hAnsi="宋体" w:eastAsia="宋体" w:cs="宋体"/>
                <w:highlight w:val="none"/>
                <w:lang w:eastAsia="zh-CN"/>
              </w:rPr>
              <w:t>－</w:t>
            </w:r>
            <w:r>
              <w:rPr>
                <w:rFonts w:hint="eastAsia" w:ascii="宋体" w:hAnsi="宋体" w:eastAsia="宋体" w:cs="宋体"/>
                <w:highlight w:val="none"/>
              </w:rPr>
              <w:t>0分</w:t>
            </w:r>
            <w:r>
              <w:rPr>
                <w:rFonts w:hint="eastAsia" w:ascii="宋体" w:hAnsi="宋体" w:eastAsia="宋体" w:cs="宋体"/>
                <w:highlight w:val="none"/>
                <w:lang w:eastAsia="zh-CN"/>
              </w:rPr>
              <w:t>。</w:t>
            </w:r>
          </w:p>
        </w:tc>
        <w:tc>
          <w:tcPr>
            <w:tcW w:w="404" w:type="pct"/>
            <w:shd w:val="clear" w:color="auto" w:fill="auto"/>
            <w:vAlign w:val="center"/>
          </w:tcPr>
          <w:p w14:paraId="2A5206C9">
            <w:pPr>
              <w:keepNext w:val="0"/>
              <w:keepLines w:val="0"/>
              <w:pageBreakBefore w:val="0"/>
              <w:widowControl/>
              <w:kinsoku/>
              <w:wordWrap/>
              <w:overflowPunct w:val="0"/>
              <w:topLinePunct w:val="0"/>
              <w:autoSpaceDE w:val="0"/>
              <w:autoSpaceDN w:val="0"/>
              <w:bidi w:val="0"/>
              <w:adjustRightInd w:val="0"/>
              <w:snapToGrid w:val="0"/>
              <w:ind w:left="105" w:leftChars="50" w:right="105" w:rightChars="50"/>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highlight w:val="none"/>
                <w:lang w:val="en-US" w:eastAsia="zh-CN"/>
              </w:rPr>
              <w:t>2</w:t>
            </w:r>
            <w:r>
              <w:rPr>
                <w:rFonts w:hint="eastAsia" w:ascii="宋体" w:hAnsi="宋体" w:eastAsia="宋体" w:cs="宋体"/>
                <w:highlight w:val="none"/>
              </w:rPr>
              <w:t>0</w:t>
            </w:r>
          </w:p>
        </w:tc>
        <w:tc>
          <w:tcPr>
            <w:tcW w:w="572" w:type="pct"/>
            <w:vAlign w:val="center"/>
          </w:tcPr>
          <w:p w14:paraId="39C1D8FC">
            <w:pPr>
              <w:keepNext w:val="0"/>
              <w:keepLines w:val="0"/>
              <w:pageBreakBefore w:val="0"/>
              <w:widowControl/>
              <w:kinsoku/>
              <w:wordWrap/>
              <w:overflowPunct w:val="0"/>
              <w:topLinePunct w:val="0"/>
              <w:autoSpaceDE w:val="0"/>
              <w:autoSpaceDN w:val="0"/>
              <w:bidi w:val="0"/>
              <w:adjustRightInd w:val="0"/>
              <w:snapToGrid w:val="0"/>
              <w:ind w:left="105" w:leftChars="50" w:right="105" w:rightChars="50"/>
              <w:jc w:val="center"/>
              <w:textAlignment w:val="baseline"/>
              <w:rPr>
                <w:rFonts w:hint="eastAsia" w:ascii="宋体" w:hAnsi="宋体" w:eastAsia="宋体" w:cs="宋体"/>
                <w:sz w:val="21"/>
                <w:szCs w:val="21"/>
                <w:highlight w:val="none"/>
              </w:rPr>
            </w:pPr>
          </w:p>
        </w:tc>
      </w:tr>
      <w:tr w14:paraId="794331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84" w:hRule="atLeast"/>
          <w:jc w:val="center"/>
        </w:trPr>
        <w:tc>
          <w:tcPr>
            <w:tcW w:w="979" w:type="pct"/>
            <w:shd w:val="clear" w:color="auto" w:fill="auto"/>
            <w:vAlign w:val="center"/>
          </w:tcPr>
          <w:p w14:paraId="63670971">
            <w:pPr>
              <w:keepNext w:val="0"/>
              <w:keepLines w:val="0"/>
              <w:pageBreakBefore w:val="0"/>
              <w:widowControl/>
              <w:kinsoku/>
              <w:wordWrap/>
              <w:overflowPunct w:val="0"/>
              <w:topLinePunct w:val="0"/>
              <w:autoSpaceDE w:val="0"/>
              <w:autoSpaceDN w:val="0"/>
              <w:bidi w:val="0"/>
              <w:adjustRightInd w:val="0"/>
              <w:snapToGrid w:val="0"/>
              <w:ind w:left="105" w:leftChars="50" w:right="105" w:rightChars="50"/>
              <w:jc w:val="center"/>
              <w:textAlignment w:val="baseline"/>
              <w:rPr>
                <w:rFonts w:hint="eastAsia" w:ascii="宋体" w:hAnsi="宋体" w:eastAsia="宋体" w:cs="宋体"/>
                <w:highlight w:val="none"/>
              </w:rPr>
            </w:pPr>
            <w:r>
              <w:rPr>
                <w:rFonts w:hint="eastAsia" w:ascii="宋体" w:hAnsi="宋体" w:eastAsia="宋体" w:cs="宋体"/>
                <w:highlight w:val="none"/>
              </w:rPr>
              <w:t>价格评分</w:t>
            </w:r>
          </w:p>
          <w:p w14:paraId="1CFD03C7">
            <w:pPr>
              <w:keepNext w:val="0"/>
              <w:keepLines w:val="0"/>
              <w:pageBreakBefore w:val="0"/>
              <w:widowControl/>
              <w:kinsoku/>
              <w:wordWrap/>
              <w:overflowPunct w:val="0"/>
              <w:topLinePunct w:val="0"/>
              <w:autoSpaceDE w:val="0"/>
              <w:autoSpaceDN w:val="0"/>
              <w:bidi w:val="0"/>
              <w:adjustRightInd w:val="0"/>
              <w:snapToGrid w:val="0"/>
              <w:ind w:left="105" w:leftChars="50" w:right="105" w:rightChars="50"/>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highlight w:val="none"/>
              </w:rPr>
              <w:t>（</w:t>
            </w:r>
            <w:r>
              <w:rPr>
                <w:rFonts w:hint="eastAsia" w:ascii="宋体" w:hAnsi="宋体" w:eastAsia="宋体" w:cs="宋体"/>
                <w:highlight w:val="none"/>
                <w:lang w:val="en-US" w:eastAsia="zh-CN"/>
              </w:rPr>
              <w:t>6</w:t>
            </w:r>
            <w:r>
              <w:rPr>
                <w:rFonts w:hint="eastAsia" w:ascii="宋体" w:hAnsi="宋体" w:eastAsia="宋体" w:cs="宋体"/>
                <w:highlight w:val="none"/>
              </w:rPr>
              <w:t>0分）</w:t>
            </w:r>
          </w:p>
        </w:tc>
        <w:tc>
          <w:tcPr>
            <w:tcW w:w="3043" w:type="pct"/>
            <w:shd w:val="clear" w:color="auto" w:fill="auto"/>
            <w:vAlign w:val="center"/>
          </w:tcPr>
          <w:p w14:paraId="760FE3A4">
            <w:pPr>
              <w:keepNext w:val="0"/>
              <w:keepLines w:val="0"/>
              <w:pageBreakBefore w:val="0"/>
              <w:widowControl/>
              <w:kinsoku/>
              <w:wordWrap/>
              <w:overflowPunct w:val="0"/>
              <w:topLinePunct w:val="0"/>
              <w:autoSpaceDE w:val="0"/>
              <w:autoSpaceDN w:val="0"/>
              <w:bidi w:val="0"/>
              <w:adjustRightInd w:val="0"/>
              <w:snapToGrid w:val="0"/>
              <w:ind w:left="105" w:leftChars="50" w:right="105" w:rightChars="50"/>
              <w:jc w:val="left"/>
              <w:textAlignment w:val="baseline"/>
              <w:rPr>
                <w:rFonts w:hint="eastAsia" w:ascii="宋体" w:hAnsi="宋体" w:eastAsia="宋体" w:cs="宋体"/>
                <w:highlight w:val="none"/>
                <w:lang w:eastAsia="zh-CN"/>
              </w:rPr>
            </w:pPr>
            <w:r>
              <w:rPr>
                <w:rFonts w:hint="eastAsia" w:ascii="宋体" w:hAnsi="宋体" w:eastAsia="宋体" w:cs="宋体"/>
                <w:highlight w:val="none"/>
              </w:rPr>
              <w:t>1</w:t>
            </w:r>
            <w:r>
              <w:rPr>
                <w:rFonts w:hint="eastAsia" w:ascii="宋体" w:hAnsi="宋体" w:eastAsia="宋体" w:cs="宋体"/>
                <w:highlight w:val="none"/>
                <w:lang w:val="en-US" w:eastAsia="zh-CN"/>
              </w:rPr>
              <w:t>.</w:t>
            </w:r>
            <w:r>
              <w:rPr>
                <w:rFonts w:hint="eastAsia" w:ascii="宋体" w:hAnsi="宋体" w:eastAsia="宋体" w:cs="宋体"/>
                <w:highlight w:val="none"/>
              </w:rPr>
              <w:t>有效投标人为3家或以上时</w:t>
            </w:r>
            <w:r>
              <w:rPr>
                <w:rFonts w:hint="eastAsia" w:ascii="宋体" w:hAnsi="宋体" w:eastAsia="宋体" w:cs="宋体"/>
                <w:highlight w:val="none"/>
                <w:lang w:eastAsia="zh-CN"/>
              </w:rPr>
              <w:t>，</w:t>
            </w:r>
            <w:r>
              <w:rPr>
                <w:rFonts w:hint="eastAsia" w:ascii="宋体" w:hAnsi="宋体" w:eastAsia="宋体" w:cs="宋体"/>
                <w:highlight w:val="none"/>
              </w:rPr>
              <w:t>以所有通过初步评审且报价不超过预算控制金额的有效投标报价的平均价为基准价</w:t>
            </w:r>
            <w:r>
              <w:rPr>
                <w:rFonts w:hint="eastAsia" w:ascii="宋体" w:hAnsi="宋体" w:eastAsia="宋体" w:cs="宋体"/>
                <w:highlight w:val="none"/>
                <w:lang w:eastAsia="zh-CN"/>
              </w:rPr>
              <w:t>。</w:t>
            </w:r>
          </w:p>
          <w:p w14:paraId="4814BC26">
            <w:pPr>
              <w:keepNext w:val="0"/>
              <w:keepLines w:val="0"/>
              <w:pageBreakBefore w:val="0"/>
              <w:widowControl/>
              <w:kinsoku/>
              <w:wordWrap/>
              <w:overflowPunct w:val="0"/>
              <w:topLinePunct w:val="0"/>
              <w:autoSpaceDE w:val="0"/>
              <w:autoSpaceDN w:val="0"/>
              <w:bidi w:val="0"/>
              <w:adjustRightInd w:val="0"/>
              <w:snapToGrid w:val="0"/>
              <w:ind w:left="105" w:leftChars="50" w:right="105" w:rightChars="50"/>
              <w:jc w:val="left"/>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highlight w:val="none"/>
              </w:rPr>
              <w:t>价格分</w:t>
            </w:r>
            <w:r>
              <w:rPr>
                <w:rFonts w:hint="eastAsia" w:ascii="宋体" w:hAnsi="宋体" w:eastAsia="宋体" w:cs="宋体"/>
                <w:highlight w:val="none"/>
                <w:lang w:eastAsia="zh-CN"/>
              </w:rPr>
              <w:t>＝</w:t>
            </w:r>
            <w:r>
              <w:rPr>
                <w:rFonts w:hint="eastAsia" w:ascii="宋体" w:hAnsi="宋体" w:eastAsia="宋体" w:cs="宋体"/>
                <w:highlight w:val="none"/>
              </w:rPr>
              <w:t>（1－︱投标报价－基准价︱÷基准价）×</w:t>
            </w:r>
            <w:r>
              <w:rPr>
                <w:rFonts w:hint="eastAsia" w:ascii="宋体" w:hAnsi="宋体" w:eastAsia="宋体" w:cs="宋体"/>
                <w:highlight w:val="none"/>
                <w:lang w:val="en-US" w:eastAsia="zh-CN"/>
              </w:rPr>
              <w:t>6</w:t>
            </w:r>
            <w:r>
              <w:rPr>
                <w:rFonts w:hint="eastAsia" w:ascii="宋体" w:hAnsi="宋体" w:eastAsia="宋体" w:cs="宋体"/>
                <w:highlight w:val="none"/>
              </w:rPr>
              <w:t>0分（价格分保留至小数点后两位）</w:t>
            </w:r>
          </w:p>
        </w:tc>
        <w:tc>
          <w:tcPr>
            <w:tcW w:w="404" w:type="pct"/>
            <w:shd w:val="clear" w:color="auto" w:fill="auto"/>
            <w:vAlign w:val="center"/>
          </w:tcPr>
          <w:p w14:paraId="389B8E27">
            <w:pPr>
              <w:keepNext w:val="0"/>
              <w:keepLines w:val="0"/>
              <w:pageBreakBefore w:val="0"/>
              <w:widowControl/>
              <w:kinsoku/>
              <w:wordWrap/>
              <w:overflowPunct w:val="0"/>
              <w:topLinePunct w:val="0"/>
              <w:autoSpaceDE w:val="0"/>
              <w:autoSpaceDN w:val="0"/>
              <w:bidi w:val="0"/>
              <w:adjustRightInd w:val="0"/>
              <w:snapToGrid w:val="0"/>
              <w:ind w:left="105" w:leftChars="50" w:right="105" w:rightChars="50"/>
              <w:jc w:val="center"/>
              <w:textAlignment w:val="baseline"/>
              <w:rPr>
                <w:rFonts w:hint="eastAsia" w:ascii="宋体" w:hAnsi="宋体" w:eastAsia="宋体" w:cs="宋体"/>
                <w:snapToGrid w:val="0"/>
                <w:color w:val="000000"/>
                <w:kern w:val="0"/>
                <w:sz w:val="21"/>
                <w:szCs w:val="21"/>
                <w:highlight w:val="none"/>
                <w:lang w:val="en-US" w:eastAsia="en-US" w:bidi="ar-SA"/>
              </w:rPr>
            </w:pPr>
            <w:r>
              <w:rPr>
                <w:rFonts w:hint="eastAsia" w:ascii="宋体" w:hAnsi="宋体" w:eastAsia="宋体" w:cs="宋体"/>
                <w:highlight w:val="none"/>
                <w:lang w:val="en-US" w:eastAsia="zh-CN"/>
              </w:rPr>
              <w:t>6</w:t>
            </w:r>
            <w:r>
              <w:rPr>
                <w:rFonts w:hint="eastAsia" w:ascii="宋体" w:hAnsi="宋体" w:eastAsia="宋体" w:cs="宋体"/>
                <w:highlight w:val="none"/>
              </w:rPr>
              <w:t>0</w:t>
            </w:r>
          </w:p>
        </w:tc>
        <w:tc>
          <w:tcPr>
            <w:tcW w:w="572" w:type="pct"/>
            <w:vAlign w:val="center"/>
          </w:tcPr>
          <w:p w14:paraId="31336DAF">
            <w:pPr>
              <w:keepNext w:val="0"/>
              <w:keepLines w:val="0"/>
              <w:pageBreakBefore w:val="0"/>
              <w:widowControl/>
              <w:kinsoku/>
              <w:wordWrap/>
              <w:overflowPunct w:val="0"/>
              <w:topLinePunct w:val="0"/>
              <w:autoSpaceDE w:val="0"/>
              <w:autoSpaceDN w:val="0"/>
              <w:bidi w:val="0"/>
              <w:adjustRightInd w:val="0"/>
              <w:snapToGrid w:val="0"/>
              <w:ind w:left="105" w:leftChars="50" w:right="105" w:rightChars="50"/>
              <w:jc w:val="center"/>
              <w:textAlignment w:val="baseline"/>
              <w:rPr>
                <w:rFonts w:hint="eastAsia" w:ascii="宋体" w:hAnsi="宋体" w:eastAsia="宋体" w:cs="宋体"/>
                <w:sz w:val="21"/>
                <w:szCs w:val="21"/>
                <w:highlight w:val="none"/>
              </w:rPr>
            </w:pPr>
          </w:p>
        </w:tc>
      </w:tr>
    </w:tbl>
    <w:p w14:paraId="119F5383">
      <w:pPr>
        <w:pStyle w:val="2"/>
        <w:widowControl/>
        <w:numPr>
          <w:ilvl w:val="0"/>
          <w:numId w:val="0"/>
        </w:numPr>
        <w:ind w:left="0" w:leftChars="0" w:firstLine="616"/>
        <w:rPr>
          <w:b w:val="0"/>
          <w:highlight w:val="none"/>
        </w:rPr>
      </w:pPr>
      <w:r>
        <w:rPr>
          <w:rFonts w:hint="eastAsia"/>
          <w:highlight w:val="none"/>
          <w:lang w:eastAsia="zh-CN"/>
        </w:rPr>
        <w:t>三、</w:t>
      </w:r>
      <w:r>
        <w:rPr>
          <w:highlight w:val="none"/>
        </w:rPr>
        <w:t>特别说明</w:t>
      </w:r>
    </w:p>
    <w:p w14:paraId="720454D0">
      <w:pPr>
        <w:pStyle w:val="12"/>
        <w:widowControl/>
        <w:rPr>
          <w:rFonts w:ascii="仿宋_GB2312" w:hAnsi="仿宋_GB2312" w:eastAsia="仿宋_GB2312" w:cs="Times New Roman"/>
          <w:sz w:val="32"/>
          <w:highlight w:val="none"/>
        </w:rPr>
      </w:pPr>
      <w:r>
        <w:rPr>
          <w:rFonts w:ascii="仿宋_GB2312" w:hAnsi="仿宋_GB2312" w:eastAsia="仿宋_GB2312" w:cs="Times New Roman"/>
          <w:sz w:val="32"/>
          <w:highlight w:val="none"/>
        </w:rPr>
        <w:t>若响应供应商为2家时，转为竞争性谈判采购。若响应供应商仅为1家时，转为单一来源采购。</w:t>
      </w:r>
    </w:p>
    <w:p w14:paraId="469B57B9">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四、</w:t>
      </w:r>
      <w:r>
        <w:rPr>
          <w:rFonts w:ascii="仿宋_GB2312" w:hAnsi="仿宋_GB2312" w:eastAsia="仿宋_GB2312" w:cs="Times New Roman"/>
          <w:sz w:val="32"/>
          <w:highlight w:val="none"/>
        </w:rPr>
        <w:t>评审结束后，由深圳市物业发展（集团）股份有限公司签发《中标通知书》，《中标通知书》将作为签订合同的重要依据。</w:t>
      </w:r>
    </w:p>
    <w:p w14:paraId="4C02DC38">
      <w:pPr>
        <w:rPr>
          <w:rFonts w:hint="eastAsia" w:ascii="仿宋_GB2312" w:hAnsi="仿宋_GB2312" w:eastAsia="仿宋_GB2312" w:cs="仿宋_GB2312"/>
          <w:sz w:val="32"/>
          <w:szCs w:val="32"/>
          <w:highlight w:val="none"/>
        </w:rPr>
      </w:pPr>
    </w:p>
    <w:p w14:paraId="65CCDF1E">
      <w:pPr>
        <w:pStyle w:val="23"/>
        <w:widowControl/>
        <w:numPr>
          <w:ilvl w:val="0"/>
          <w:numId w:val="0"/>
        </w:numPr>
        <w:ind w:leftChars="0"/>
        <w:rPr>
          <w:rFonts w:hint="eastAsia" w:ascii="仿宋_GB2312" w:hAnsi="仿宋_GB2312" w:eastAsia="仿宋_GB2312" w:cs="仿宋_GB2312"/>
          <w:sz w:val="32"/>
          <w:szCs w:val="32"/>
          <w:highlight w:val="none"/>
          <w:lang w:val="en-US" w:eastAsia="zh-CN"/>
        </w:rPr>
      </w:pPr>
      <w:r>
        <w:rPr>
          <w:rFonts w:hint="eastAsia"/>
          <w:highlight w:val="none"/>
          <w:lang w:eastAsia="zh-CN"/>
        </w:rPr>
        <w:t>第五章</w:t>
      </w:r>
      <w:r>
        <w:rPr>
          <w:highlight w:val="none"/>
        </w:rPr>
        <w:t>授予合同</w:t>
      </w:r>
    </w:p>
    <w:p w14:paraId="691571A6">
      <w:pPr>
        <w:pStyle w:val="2"/>
        <w:widowControl/>
        <w:numPr>
          <w:ilvl w:val="0"/>
          <w:numId w:val="0"/>
        </w:numPr>
        <w:topLinePunct w:val="0"/>
        <w:ind w:left="0" w:leftChars="0" w:firstLine="640"/>
        <w:rPr>
          <w:b w:val="0"/>
          <w:highlight w:val="none"/>
        </w:rPr>
      </w:pPr>
      <w:r>
        <w:rPr>
          <w:rFonts w:hint="eastAsia"/>
          <w:highlight w:val="none"/>
          <w:lang w:eastAsia="zh-CN"/>
        </w:rPr>
        <w:t>一、</w:t>
      </w:r>
      <w:r>
        <w:rPr>
          <w:highlight w:val="none"/>
        </w:rPr>
        <w:t>中标通知</w:t>
      </w:r>
    </w:p>
    <w:p w14:paraId="69AE3A46">
      <w:pPr>
        <w:pStyle w:val="12"/>
        <w:widowControl/>
        <w:rPr>
          <w:rFonts w:ascii="仿宋_GB2312" w:hAnsi="仿宋_GB2312" w:eastAsia="仿宋_GB2312" w:cs="Times New Roman"/>
          <w:sz w:val="32"/>
          <w:highlight w:val="none"/>
        </w:rPr>
      </w:pPr>
      <w:r>
        <w:rPr>
          <w:rFonts w:ascii="仿宋_GB2312" w:hAnsi="仿宋_GB2312" w:eastAsia="仿宋_GB2312" w:cs="Times New Roman"/>
          <w:sz w:val="32"/>
          <w:highlight w:val="none"/>
        </w:rPr>
        <w:t>经评标小组评审决定中标人后，招标人以电话或书面通知的方式告知中标人。</w:t>
      </w:r>
    </w:p>
    <w:p w14:paraId="546C4C2C">
      <w:pPr>
        <w:pStyle w:val="2"/>
        <w:widowControl/>
        <w:numPr>
          <w:ilvl w:val="0"/>
          <w:numId w:val="0"/>
        </w:numPr>
        <w:topLinePunct w:val="0"/>
        <w:ind w:left="0" w:leftChars="0" w:firstLine="640"/>
        <w:rPr>
          <w:b w:val="0"/>
          <w:highlight w:val="none"/>
        </w:rPr>
      </w:pPr>
      <w:r>
        <w:rPr>
          <w:rFonts w:hint="eastAsia"/>
          <w:highlight w:val="none"/>
          <w:lang w:eastAsia="zh-CN"/>
        </w:rPr>
        <w:t>二、</w:t>
      </w:r>
      <w:r>
        <w:rPr>
          <w:highlight w:val="none"/>
        </w:rPr>
        <w:t>授予合同</w:t>
      </w:r>
    </w:p>
    <w:p w14:paraId="4A3F5733">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（一）</w:t>
      </w:r>
      <w:r>
        <w:rPr>
          <w:rFonts w:ascii="仿宋_GB2312" w:hAnsi="仿宋_GB2312" w:eastAsia="仿宋_GB2312" w:cs="Times New Roman"/>
          <w:sz w:val="32"/>
          <w:highlight w:val="none"/>
        </w:rPr>
        <w:t>中标人应在接到通知后按指定的时间、地点与招标人</w:t>
      </w:r>
      <w:r>
        <w:rPr>
          <w:rFonts w:hint="eastAsia" w:cs="Times New Roman"/>
          <w:sz w:val="32"/>
          <w:highlight w:val="none"/>
          <w:lang w:eastAsia="zh-CN"/>
        </w:rPr>
        <w:t>签订合同</w:t>
      </w:r>
      <w:r>
        <w:rPr>
          <w:rFonts w:ascii="仿宋_GB2312" w:hAnsi="仿宋_GB2312" w:eastAsia="仿宋_GB2312" w:cs="Times New Roman"/>
          <w:sz w:val="32"/>
          <w:highlight w:val="none"/>
        </w:rPr>
        <w:t>。</w:t>
      </w:r>
    </w:p>
    <w:p w14:paraId="662DE170">
      <w:pPr>
        <w:pStyle w:val="12"/>
        <w:widowControl/>
        <w:numPr>
          <w:ilvl w:val="0"/>
          <w:numId w:val="0"/>
        </w:numPr>
        <w:ind w:left="0" w:leftChars="0" w:firstLine="616"/>
        <w:rPr>
          <w:rFonts w:ascii="仿宋_GB2312" w:hAnsi="仿宋_GB2312" w:eastAsia="仿宋_GB2312" w:cs="Times New Roman"/>
          <w:sz w:val="32"/>
          <w:highlight w:val="none"/>
        </w:rPr>
      </w:pPr>
      <w:r>
        <w:rPr>
          <w:rFonts w:hint="eastAsia" w:cs="Times New Roman"/>
          <w:sz w:val="32"/>
          <w:highlight w:val="none"/>
          <w:lang w:eastAsia="zh-CN"/>
        </w:rPr>
        <w:t>（二）</w:t>
      </w:r>
      <w:r>
        <w:rPr>
          <w:rFonts w:ascii="仿宋_GB2312" w:hAnsi="仿宋_GB2312" w:eastAsia="仿宋_GB2312" w:cs="Times New Roman"/>
          <w:sz w:val="32"/>
          <w:highlight w:val="none"/>
        </w:rPr>
        <w:t>招标文件、中标人投标文件等均为签订合同依据。</w:t>
      </w:r>
      <mc:AlternateContent>
        <mc:Choice Requires="wpsCustomData">
          <wpsCustomData:docfieldStart id="1" docfieldname="标题_2" hidden="0" print="1" readonly="0" index="2"/>
        </mc:Choice>
      </mc:AlternateContent>
    </w:p>
    <w:p w14:paraId="743D2DB5">
      <w:pPr>
        <w:rPr>
          <w:highlight w:val="none"/>
        </w:rPr>
      </w:pPr>
    </w:p>
    <w:p w14:paraId="17B8C6F1">
      <w:pPr>
        <w:rPr>
          <w:highlight w:val="none"/>
        </w:rPr>
      </w:pPr>
    </w:p>
    <w:p w14:paraId="0F621069">
      <w:pPr>
        <w:pStyle w:val="16"/>
        <w:widowControl/>
        <w:rPr>
          <w:highlight w:val="none"/>
        </w:rPr>
      </w:pPr>
      <w:r>
        <w:rPr>
          <w:highlight w:val="none"/>
        </w:rPr>
        <w:t>物业租赁询价服务项目合同</w:t>
      </w:r>
      <mc:AlternateContent>
        <mc:Choice Requires="wpsCustomData">
          <wpsCustomData:docfieldEnd id="1"/>
        </mc:Choice>
      </mc:AlternateContent>
    </w:p>
    <w:p w14:paraId="4A271F63">
      <w:pPr>
        <w:pStyle w:val="12"/>
        <w:bidi w:val="0"/>
        <w:spacing w:beforeAutospacing="0" w:afterAutospacing="0" w:line="360" w:lineRule="exact"/>
        <w:rPr>
          <w:highlight w:val="none"/>
        </w:rPr>
      </w:pPr>
    </w:p>
    <w:p w14:paraId="0EEBB4EA">
      <w:pPr>
        <w:widowControl/>
        <w:ind w:firstLine="560"/>
        <w:jc w:val="center"/>
        <w:rPr>
          <w:rFonts w:ascii="Times New Roman" w:hAnsi="Times New Roman"/>
          <w:color w:val="auto"/>
          <w:sz w:val="28"/>
          <w:szCs w:val="28"/>
          <w:highlight w:val="none"/>
        </w:rPr>
      </w:pPr>
      <w:r>
        <w:rPr>
          <w:rFonts w:hint="eastAsia" w:ascii="黑体" w:hAnsi="Times New Roman" w:eastAsia="黑体"/>
          <w:color w:val="auto"/>
          <w:sz w:val="28"/>
          <w:szCs w:val="28"/>
          <w:highlight w:val="none"/>
        </w:rPr>
        <w:t>（本合同格式仅供参考，以招标人最终版本为准）</w:t>
      </w:r>
    </w:p>
    <w:p w14:paraId="2A5156FE">
      <w:pPr>
        <w:pStyle w:val="15"/>
        <w:widowControl/>
        <w:rPr>
          <w:highlight w:val="none"/>
        </w:rPr>
      </w:pPr>
    </w:p>
    <w:p w14:paraId="404D67AF">
      <w:pPr>
        <w:keepNext w:val="0"/>
        <w:keepLines w:val="0"/>
        <w:pageBreakBefore w:val="0"/>
        <w:widowControl/>
        <w:kinsoku/>
        <w:wordWrap/>
        <w:overflowPunct w:val="0"/>
        <w:topLinePunct w:val="0"/>
        <w:autoSpaceDE w:val="0"/>
        <w:autoSpaceDN w:val="0"/>
        <w:bidi w:val="0"/>
        <w:adjustRightInd w:val="0"/>
        <w:snapToGrid w:val="0"/>
        <w:spacing w:line="560" w:lineRule="exact"/>
        <w:jc w:val="both"/>
        <w:textAlignment w:val="baseline"/>
        <w:rPr>
          <w:rFonts w:hint="eastAsia" w:ascii="仿宋_GB2312" w:hAnsi="仿宋_GB2312" w:eastAsia="仿宋_GB2312" w:cs="仿宋_GB2312"/>
          <w:sz w:val="32"/>
          <w:szCs w:val="32"/>
          <w:highlight w:val="none"/>
        </w:rPr>
      </w:pPr>
    </w:p>
    <w:p w14:paraId="402708B0">
      <w:pPr>
        <w:keepNext w:val="0"/>
        <w:keepLines w:val="0"/>
        <w:pageBreakBefore w:val="0"/>
        <w:widowControl/>
        <w:kinsoku/>
        <w:wordWrap/>
        <w:overflowPunct w:val="0"/>
        <w:topLinePunct w:val="0"/>
        <w:autoSpaceDE w:val="0"/>
        <w:autoSpaceDN w:val="0"/>
        <w:bidi w:val="0"/>
        <w:adjustRightInd w:val="0"/>
        <w:snapToGrid w:val="0"/>
        <w:spacing w:line="560" w:lineRule="exact"/>
        <w:jc w:val="both"/>
        <w:textAlignment w:val="baseline"/>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委托方（甲方）</w:t>
      </w:r>
      <w:r>
        <w:rPr>
          <w:rFonts w:hint="eastAsia" w:ascii="仿宋_GB2312" w:hAnsi="仿宋_GB2312" w:eastAsia="仿宋_GB2312" w:cs="仿宋_GB2312"/>
          <w:sz w:val="32"/>
          <w:szCs w:val="32"/>
          <w:highlight w:val="none"/>
          <w:lang w:eastAsia="zh-CN"/>
        </w:rPr>
        <w:t>：</w:t>
      </w:r>
    </w:p>
    <w:p w14:paraId="40849E03">
      <w:pPr>
        <w:keepNext w:val="0"/>
        <w:keepLines w:val="0"/>
        <w:pageBreakBefore w:val="0"/>
        <w:widowControl/>
        <w:kinsoku/>
        <w:wordWrap/>
        <w:overflowPunct w:val="0"/>
        <w:topLinePunct w:val="0"/>
        <w:autoSpaceDE w:val="0"/>
        <w:autoSpaceDN w:val="0"/>
        <w:bidi w:val="0"/>
        <w:adjustRightInd w:val="0"/>
        <w:snapToGrid w:val="0"/>
        <w:spacing w:line="560" w:lineRule="exact"/>
        <w:jc w:val="both"/>
        <w:textAlignment w:val="baseline"/>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地址</w:t>
      </w:r>
      <w:r>
        <w:rPr>
          <w:rFonts w:hint="eastAsia" w:ascii="仿宋_GB2312" w:hAnsi="仿宋_GB2312" w:eastAsia="仿宋_GB2312" w:cs="仿宋_GB2312"/>
          <w:sz w:val="32"/>
          <w:szCs w:val="32"/>
          <w:highlight w:val="none"/>
          <w:lang w:eastAsia="zh-CN"/>
        </w:rPr>
        <w:t>：</w:t>
      </w:r>
    </w:p>
    <w:p w14:paraId="6377CA81">
      <w:pPr>
        <w:keepNext w:val="0"/>
        <w:keepLines w:val="0"/>
        <w:pageBreakBefore w:val="0"/>
        <w:widowControl/>
        <w:kinsoku/>
        <w:wordWrap/>
        <w:overflowPunct w:val="0"/>
        <w:topLinePunct w:val="0"/>
        <w:autoSpaceDE w:val="0"/>
        <w:autoSpaceDN w:val="0"/>
        <w:bidi w:val="0"/>
        <w:adjustRightInd w:val="0"/>
        <w:snapToGrid w:val="0"/>
        <w:spacing w:line="560" w:lineRule="exact"/>
        <w:jc w:val="both"/>
        <w:textAlignment w:val="baseline"/>
        <w:rPr>
          <w:rFonts w:hint="eastAsia" w:ascii="仿宋_GB2312" w:hAnsi="仿宋_GB2312" w:eastAsia="仿宋_GB2312" w:cs="仿宋_GB2312"/>
          <w:sz w:val="32"/>
          <w:szCs w:val="32"/>
          <w:highlight w:val="none"/>
        </w:rPr>
      </w:pPr>
    </w:p>
    <w:p w14:paraId="4CFC4526">
      <w:pPr>
        <w:keepNext w:val="0"/>
        <w:keepLines w:val="0"/>
        <w:pageBreakBefore w:val="0"/>
        <w:widowControl/>
        <w:kinsoku/>
        <w:wordWrap/>
        <w:overflowPunct w:val="0"/>
        <w:topLinePunct w:val="0"/>
        <w:autoSpaceDE w:val="0"/>
        <w:autoSpaceDN w:val="0"/>
        <w:bidi w:val="0"/>
        <w:adjustRightInd w:val="0"/>
        <w:snapToGrid w:val="0"/>
        <w:spacing w:line="560" w:lineRule="exact"/>
        <w:jc w:val="both"/>
        <w:textAlignment w:val="baseline"/>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受托方（乙方）：</w:t>
      </w:r>
    </w:p>
    <w:p w14:paraId="594D14CA">
      <w:pPr>
        <w:keepNext w:val="0"/>
        <w:keepLines w:val="0"/>
        <w:pageBreakBefore w:val="0"/>
        <w:widowControl/>
        <w:kinsoku/>
        <w:wordWrap/>
        <w:overflowPunct w:val="0"/>
        <w:topLinePunct w:val="0"/>
        <w:autoSpaceDE w:val="0"/>
        <w:autoSpaceDN w:val="0"/>
        <w:bidi w:val="0"/>
        <w:adjustRightInd w:val="0"/>
        <w:snapToGrid w:val="0"/>
        <w:spacing w:line="560" w:lineRule="exact"/>
        <w:jc w:val="both"/>
        <w:textAlignment w:val="baseline"/>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地址：</w:t>
      </w:r>
    </w:p>
    <w:p w14:paraId="5F8588FD">
      <w:pPr>
        <w:keepNext w:val="0"/>
        <w:keepLines w:val="0"/>
        <w:pageBreakBefore w:val="0"/>
        <w:widowControl/>
        <w:kinsoku/>
        <w:wordWrap/>
        <w:overflowPunct w:val="0"/>
        <w:topLinePunct w:val="0"/>
        <w:autoSpaceDE w:val="0"/>
        <w:autoSpaceDN w:val="0"/>
        <w:bidi w:val="0"/>
        <w:adjustRightInd w:val="0"/>
        <w:snapToGrid w:val="0"/>
        <w:spacing w:line="560" w:lineRule="exact"/>
        <w:jc w:val="both"/>
        <w:textAlignment w:val="baseline"/>
        <w:rPr>
          <w:rFonts w:hint="eastAsia" w:ascii="仿宋_GB2312" w:hAnsi="仿宋_GB2312" w:eastAsia="仿宋_GB2312" w:cs="仿宋_GB2312"/>
          <w:sz w:val="32"/>
          <w:szCs w:val="32"/>
          <w:highlight w:val="none"/>
        </w:rPr>
      </w:pPr>
    </w:p>
    <w:p w14:paraId="5B9A13E5">
      <w:pPr>
        <w:pStyle w:val="2"/>
        <w:widowControl/>
        <w:numPr>
          <w:ilvl w:val="0"/>
          <w:numId w:val="0"/>
        </w:numPr>
        <w:topLinePunct w:val="0"/>
        <w:ind w:left="0" w:leftChars="0" w:firstLine="640"/>
        <w:rPr>
          <w:b w:val="0"/>
          <w:highlight w:val="none"/>
        </w:rPr>
      </w:pPr>
      <w:r>
        <w:rPr>
          <w:rFonts w:hint="eastAsia"/>
          <w:highlight w:val="none"/>
          <w:lang w:eastAsia="zh-CN"/>
        </w:rPr>
        <w:t>一、</w:t>
      </w:r>
      <w:r>
        <w:rPr>
          <w:highlight w:val="none"/>
        </w:rPr>
        <w:t>委托内容</w:t>
      </w:r>
    </w:p>
    <w:p w14:paraId="55F0C1D6">
      <w:pPr>
        <w:pStyle w:val="12"/>
        <w:widowControl/>
        <w:rPr>
          <w:rFonts w:ascii="仿宋_GB2312" w:hAnsi="仿宋_GB2312" w:eastAsia="仿宋_GB2312" w:cs="Times New Roman"/>
          <w:sz w:val="32"/>
          <w:highlight w:val="none"/>
        </w:rPr>
      </w:pPr>
      <w:r>
        <w:rPr>
          <w:rFonts w:ascii="仿宋_GB2312" w:hAnsi="仿宋_GB2312" w:eastAsia="仿宋_GB2312" w:cs="Times New Roman"/>
          <w:sz w:val="32"/>
          <w:highlight w:val="none"/>
        </w:rPr>
        <w:t>为甲方提供物业租赁相关的咨询服务，并编制出租物业租赁价格评估报告，服务内容包括但不仅限于：</w:t>
      </w:r>
    </w:p>
    <w:p w14:paraId="22521C55">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（一）</w:t>
      </w:r>
      <w:r>
        <w:rPr>
          <w:rFonts w:ascii="仿宋_GB2312" w:hAnsi="仿宋_GB2312" w:eastAsia="仿宋_GB2312" w:cs="Times New Roman"/>
          <w:sz w:val="32"/>
          <w:highlight w:val="none"/>
        </w:rPr>
        <w:t>分析研究所提供清单中的物业（详见附件）未来租赁</w:t>
      </w:r>
      <w:r>
        <w:rPr>
          <w:rFonts w:hint="eastAsia" w:cs="Times New Roman"/>
          <w:sz w:val="32"/>
          <w:highlight w:val="none"/>
          <w:lang w:eastAsia="zh-CN"/>
        </w:rPr>
        <w:t>市场</w:t>
      </w:r>
      <w:r>
        <w:rPr>
          <w:rFonts w:ascii="仿宋_GB2312" w:hAnsi="仿宋_GB2312" w:eastAsia="仿宋_GB2312" w:cs="Times New Roman"/>
          <w:sz w:val="32"/>
          <w:highlight w:val="none"/>
        </w:rPr>
        <w:t>发展趋向，评估和预判物业租金，对未来租赁经营取向与租金价格水平提出建议。</w:t>
      </w:r>
    </w:p>
    <w:p w14:paraId="67C532C9">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（二）</w:t>
      </w:r>
      <w:r>
        <w:rPr>
          <w:rFonts w:ascii="仿宋_GB2312" w:hAnsi="仿宋_GB2312" w:eastAsia="仿宋_GB2312" w:cs="Times New Roman"/>
          <w:sz w:val="32"/>
          <w:highlight w:val="none"/>
        </w:rPr>
        <w:t>提供政府指导价、租赁所备案价及市场价等，并提供询价数据的来源渠道及相应依据；对相应物业租赁走势进行预判并提供依据；对承租人的业态准入提出意见。</w:t>
      </w:r>
    </w:p>
    <w:p w14:paraId="01BA6969">
      <w:pPr>
        <w:pStyle w:val="12"/>
        <w:widowControl/>
        <w:numPr>
          <w:ilvl w:val="0"/>
          <w:numId w:val="0"/>
        </w:numPr>
        <w:ind w:left="0" w:leftChars="0" w:firstLine="616"/>
        <w:rPr>
          <w:rFonts w:ascii="仿宋_GB2312" w:hAnsi="仿宋_GB2312" w:eastAsia="仿宋_GB2312" w:cs="Times New Roman"/>
          <w:sz w:val="32"/>
          <w:highlight w:val="none"/>
        </w:rPr>
      </w:pPr>
      <w:r>
        <w:rPr>
          <w:rFonts w:hint="eastAsia" w:cs="Times New Roman"/>
          <w:sz w:val="32"/>
          <w:highlight w:val="none"/>
          <w:lang w:eastAsia="zh-CN"/>
        </w:rPr>
        <w:t>（三）</w:t>
      </w:r>
      <w:r>
        <w:rPr>
          <w:rFonts w:ascii="仿宋_GB2312" w:hAnsi="仿宋_GB2312" w:eastAsia="仿宋_GB2312" w:cs="Times New Roman"/>
          <w:sz w:val="32"/>
          <w:highlight w:val="none"/>
        </w:rPr>
        <w:t>当具体物业询价结果发生重大变化或偏离政府指导价时，应按甲方要求就相关物业出具专题报告。</w:t>
      </w:r>
    </w:p>
    <w:p w14:paraId="2958D12E">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（四）</w:t>
      </w:r>
      <w:r>
        <w:rPr>
          <w:rFonts w:ascii="仿宋_GB2312" w:hAnsi="仿宋_GB2312" w:eastAsia="仿宋_GB2312" w:cs="Times New Roman"/>
          <w:sz w:val="32"/>
          <w:highlight w:val="none"/>
        </w:rPr>
        <w:t>服务有效期内，如有新增物业、甲方重点关注物业或其他物业等，应提供咨询服务，并按甲方要求及时提供租赁价格评估报告，服务费用不再另行调整。</w:t>
      </w:r>
    </w:p>
    <w:p w14:paraId="65AED1A6">
      <w:pPr>
        <w:pStyle w:val="2"/>
        <w:widowControl/>
        <w:numPr>
          <w:ilvl w:val="0"/>
          <w:numId w:val="0"/>
        </w:numPr>
        <w:topLinePunct w:val="0"/>
        <w:ind w:left="0" w:leftChars="0" w:firstLine="640"/>
        <w:rPr>
          <w:b w:val="0"/>
          <w:highlight w:val="none"/>
        </w:rPr>
      </w:pPr>
      <w:r>
        <w:rPr>
          <w:rFonts w:hint="eastAsia"/>
          <w:highlight w:val="none"/>
          <w:lang w:eastAsia="zh-CN"/>
        </w:rPr>
        <w:t>二、</w:t>
      </w:r>
      <w:r>
        <w:rPr>
          <w:highlight w:val="none"/>
        </w:rPr>
        <w:t>工作内容及要求</w:t>
      </w:r>
    </w:p>
    <w:p w14:paraId="1D00376F">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（一）</w:t>
      </w:r>
      <w:r>
        <w:rPr>
          <w:rFonts w:ascii="仿宋_GB2312" w:hAnsi="仿宋_GB2312" w:eastAsia="仿宋_GB2312" w:cs="Times New Roman"/>
          <w:sz w:val="32"/>
          <w:highlight w:val="none"/>
        </w:rPr>
        <w:t>编制房屋租金指导价格体系询价报告（以下简称询价报告），提交书面询价报告、询价报告电子文档（均须加盖公章），并按要求进行解答质疑、调整和修改。询价报告应结合物业情况、周边环境以及市场情况等因素对物业租金进行综合分析。具体应至少包含以下内容：</w:t>
      </w:r>
    </w:p>
    <w:p w14:paraId="4A45078E">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1.</w:t>
      </w:r>
      <w:r>
        <w:rPr>
          <w:rFonts w:ascii="仿宋_GB2312" w:hAnsi="仿宋_GB2312" w:eastAsia="仿宋_GB2312" w:cs="Times New Roman"/>
          <w:sz w:val="32"/>
          <w:highlight w:val="none"/>
        </w:rPr>
        <w:t>政府指导价（若有）、租赁所备案价及市场价等，提供询价数据的来源渠道并提供相应依据；</w:t>
      </w:r>
    </w:p>
    <w:p w14:paraId="32153C1B">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2.</w:t>
      </w:r>
      <w:r>
        <w:rPr>
          <w:rFonts w:ascii="仿宋_GB2312" w:hAnsi="仿宋_GB2312" w:eastAsia="仿宋_GB2312" w:cs="Times New Roman"/>
          <w:sz w:val="32"/>
          <w:highlight w:val="none"/>
        </w:rPr>
        <w:t>根据要求分别制定大宗物业散租、整租价格策略；</w:t>
      </w:r>
    </w:p>
    <w:p w14:paraId="5044756A">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3.</w:t>
      </w:r>
      <w:r>
        <w:rPr>
          <w:rFonts w:ascii="仿宋_GB2312" w:hAnsi="仿宋_GB2312" w:eastAsia="仿宋_GB2312" w:cs="Times New Roman"/>
          <w:sz w:val="32"/>
          <w:highlight w:val="none"/>
        </w:rPr>
        <w:t>需对相应物业租赁走势进行预判并提供依据；</w:t>
      </w:r>
    </w:p>
    <w:p w14:paraId="7A2FB2B3">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4.</w:t>
      </w:r>
      <w:r>
        <w:rPr>
          <w:rFonts w:ascii="仿宋_GB2312" w:hAnsi="仿宋_GB2312" w:eastAsia="仿宋_GB2312" w:cs="Times New Roman"/>
          <w:sz w:val="32"/>
          <w:highlight w:val="none"/>
        </w:rPr>
        <w:t>需对承租人的业态准入提出意见。</w:t>
      </w:r>
    </w:p>
    <w:p w14:paraId="0BBB19C5">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（二）</w:t>
      </w:r>
      <w:r>
        <w:rPr>
          <w:rFonts w:ascii="仿宋_GB2312" w:hAnsi="仿宋_GB2312" w:eastAsia="仿宋_GB2312" w:cs="Times New Roman"/>
          <w:sz w:val="32"/>
          <w:highlight w:val="none"/>
        </w:rPr>
        <w:t>对于上述工作成果，提交书面报告（</w:t>
      </w:r>
      <w:r>
        <w:rPr>
          <w:rFonts w:hint="eastAsia" w:cs="Times New Roman"/>
          <w:sz w:val="32"/>
          <w:highlight w:val="none"/>
          <w:lang w:eastAsia="zh-CN"/>
        </w:rPr>
        <w:t>一式两份</w:t>
      </w:r>
      <w:r>
        <w:rPr>
          <w:rFonts w:ascii="仿宋_GB2312" w:hAnsi="仿宋_GB2312" w:eastAsia="仿宋_GB2312" w:cs="Times New Roman"/>
          <w:sz w:val="32"/>
          <w:highlight w:val="none"/>
        </w:rPr>
        <w:t>）及电子文档，并对其解答质疑，调整和修改。</w:t>
      </w:r>
    </w:p>
    <w:p w14:paraId="552E0DF4">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（三）</w:t>
      </w:r>
      <w:r>
        <w:rPr>
          <w:rFonts w:ascii="仿宋_GB2312" w:hAnsi="仿宋_GB2312" w:eastAsia="仿宋_GB2312" w:cs="Times New Roman"/>
          <w:sz w:val="32"/>
          <w:highlight w:val="none"/>
        </w:rPr>
        <w:t>出具询价报告后，若具体物业询价结果发生重大变化或偏离市场价等情况，按要求就相关物业出具专题报告，该专题报告的费用已包括在本合同的服务费用中。</w:t>
      </w:r>
    </w:p>
    <w:p w14:paraId="24507E59">
      <w:pPr>
        <w:pStyle w:val="12"/>
        <w:widowControl/>
        <w:numPr>
          <w:ilvl w:val="0"/>
          <w:numId w:val="0"/>
        </w:numPr>
        <w:ind w:left="0" w:leftChars="0" w:firstLine="616"/>
        <w:rPr>
          <w:rFonts w:ascii="仿宋_GB2312" w:hAnsi="仿宋_GB2312" w:eastAsia="仿宋_GB2312" w:cs="Times New Roman"/>
          <w:b w:val="0"/>
          <w:sz w:val="32"/>
          <w:highlight w:val="none"/>
        </w:rPr>
      </w:pPr>
      <w:bookmarkStart w:id="0" w:name="_Hlk62144037"/>
      <w:r>
        <w:rPr>
          <w:rFonts w:hint="eastAsia" w:cs="Times New Roman"/>
          <w:sz w:val="32"/>
          <w:highlight w:val="none"/>
          <w:lang w:eastAsia="zh-CN"/>
        </w:rPr>
        <w:t>（四）</w:t>
      </w:r>
      <w:r>
        <w:rPr>
          <w:rFonts w:ascii="仿宋_GB2312" w:hAnsi="仿宋_GB2312" w:eastAsia="仿宋_GB2312" w:cs="Times New Roman"/>
          <w:sz w:val="32"/>
          <w:highlight w:val="none"/>
        </w:rPr>
        <w:t>根据实际情况及需求，出具专题报告、专项物业</w:t>
      </w:r>
      <w:r>
        <w:rPr>
          <w:rFonts w:hint="eastAsia" w:cs="Times New Roman"/>
          <w:sz w:val="32"/>
          <w:highlight w:val="none"/>
          <w:lang w:eastAsia="zh-CN"/>
        </w:rPr>
        <w:t>租赁</w:t>
      </w:r>
      <w:r>
        <w:rPr>
          <w:rFonts w:ascii="仿宋_GB2312" w:hAnsi="仿宋_GB2312" w:eastAsia="仿宋_GB2312" w:cs="Times New Roman"/>
          <w:sz w:val="32"/>
          <w:highlight w:val="none"/>
        </w:rPr>
        <w:t>情况报告等其他书面文件，并负责解释、修订，服务费用不再另行调整。</w:t>
      </w:r>
      <w:bookmarkEnd w:id="0"/>
    </w:p>
    <w:p w14:paraId="1787D312">
      <w:pPr>
        <w:pStyle w:val="2"/>
        <w:widowControl/>
        <w:numPr>
          <w:ilvl w:val="0"/>
          <w:numId w:val="0"/>
        </w:numPr>
        <w:topLinePunct w:val="0"/>
        <w:ind w:left="0" w:leftChars="0" w:firstLine="640"/>
        <w:rPr>
          <w:b w:val="0"/>
          <w:highlight w:val="none"/>
        </w:rPr>
      </w:pPr>
      <w:r>
        <w:rPr>
          <w:rFonts w:hint="eastAsia"/>
          <w:highlight w:val="none"/>
          <w:lang w:eastAsia="zh-CN"/>
        </w:rPr>
        <w:t>三、</w:t>
      </w:r>
      <w:r>
        <w:rPr>
          <w:highlight w:val="none"/>
        </w:rPr>
        <w:t>工作方式</w:t>
      </w:r>
    </w:p>
    <w:p w14:paraId="3E20894A">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（一）</w:t>
      </w:r>
      <w:r>
        <w:rPr>
          <w:rFonts w:ascii="仿宋_GB2312" w:hAnsi="仿宋_GB2312" w:eastAsia="仿宋_GB2312" w:cs="Times New Roman"/>
          <w:sz w:val="32"/>
          <w:highlight w:val="none"/>
        </w:rPr>
        <w:t>市场调查工作在项目所在地及项目租赁经营可辐射的市区范</w:t>
      </w:r>
      <w:r>
        <w:rPr>
          <w:rFonts w:hint="eastAsia" w:cs="Times New Roman"/>
          <w:sz w:val="32"/>
          <w:highlight w:val="none"/>
          <w:lang w:eastAsia="zh-CN"/>
        </w:rPr>
        <w:t>围内</w:t>
      </w:r>
      <w:r>
        <w:rPr>
          <w:rFonts w:ascii="仿宋_GB2312" w:hAnsi="仿宋_GB2312" w:eastAsia="仿宋_GB2312" w:cs="Times New Roman"/>
          <w:sz w:val="32"/>
          <w:highlight w:val="none"/>
        </w:rPr>
        <w:t>进行；</w:t>
      </w:r>
    </w:p>
    <w:p w14:paraId="1AF5D1A1">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（二）</w:t>
      </w:r>
      <w:r>
        <w:rPr>
          <w:rFonts w:ascii="仿宋_GB2312" w:hAnsi="仿宋_GB2312" w:eastAsia="仿宋_GB2312" w:cs="Times New Roman"/>
          <w:sz w:val="32"/>
          <w:highlight w:val="none"/>
        </w:rPr>
        <w:t>研究分析与询价报告编写工作在乙方公司进行；</w:t>
      </w:r>
    </w:p>
    <w:p w14:paraId="6948CC50">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（三）</w:t>
      </w:r>
      <w:r>
        <w:rPr>
          <w:rFonts w:ascii="仿宋_GB2312" w:hAnsi="仿宋_GB2312" w:eastAsia="仿宋_GB2312" w:cs="Times New Roman"/>
          <w:sz w:val="32"/>
          <w:highlight w:val="none"/>
        </w:rPr>
        <w:t>乙方与甲方的工作沟通采取当面、电话、电子邮件等方式进行；</w:t>
      </w:r>
    </w:p>
    <w:p w14:paraId="00005584">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（四）</w:t>
      </w:r>
      <w:r>
        <w:rPr>
          <w:rFonts w:ascii="仿宋_GB2312" w:hAnsi="仿宋_GB2312" w:eastAsia="仿宋_GB2312" w:cs="Times New Roman"/>
          <w:sz w:val="32"/>
          <w:highlight w:val="none"/>
        </w:rPr>
        <w:t>乙方于甲方公司向甲方进行工作汇报。</w:t>
      </w:r>
    </w:p>
    <w:p w14:paraId="61988035">
      <w:pPr>
        <w:pStyle w:val="2"/>
        <w:widowControl/>
        <w:numPr>
          <w:ilvl w:val="0"/>
          <w:numId w:val="0"/>
        </w:numPr>
        <w:topLinePunct w:val="0"/>
        <w:ind w:left="0" w:leftChars="0" w:firstLine="640"/>
        <w:rPr>
          <w:b w:val="0"/>
          <w:highlight w:val="none"/>
        </w:rPr>
      </w:pPr>
      <w:r>
        <w:rPr>
          <w:rFonts w:hint="eastAsia"/>
          <w:highlight w:val="none"/>
          <w:lang w:eastAsia="zh-CN"/>
        </w:rPr>
        <w:t>四、</w:t>
      </w:r>
      <w:r>
        <w:rPr>
          <w:highlight w:val="none"/>
        </w:rPr>
        <w:t>委托有效期</w:t>
      </w:r>
      <w:r>
        <w:rPr>
          <w:rFonts w:hint="eastAsia"/>
          <w:highlight w:val="none"/>
          <w:lang w:eastAsia="zh-CN"/>
        </w:rPr>
        <w:t>及工作时限</w:t>
      </w:r>
    </w:p>
    <w:p w14:paraId="5D93E992">
      <w:pPr>
        <w:pStyle w:val="12"/>
        <w:widowControl/>
        <w:numPr>
          <w:ilvl w:val="0"/>
          <w:numId w:val="0"/>
        </w:numPr>
        <w:ind w:left="0" w:leftChars="0" w:firstLine="616"/>
        <w:rPr>
          <w:rFonts w:hint="eastAsia" w:ascii="仿宋" w:hAnsi="仿宋" w:eastAsia="仿宋" w:cs="仿宋"/>
          <w:spacing w:val="-6"/>
          <w:sz w:val="32"/>
          <w:highlight w:val="none"/>
          <w:lang w:eastAsia="zh-CN"/>
        </w:rPr>
      </w:pPr>
      <w:r>
        <w:rPr>
          <w:rFonts w:hint="eastAsia" w:cs="Times New Roman"/>
          <w:sz w:val="32"/>
          <w:highlight w:val="none"/>
          <w:lang w:eastAsia="zh-CN"/>
        </w:rPr>
        <w:t>（一）</w:t>
      </w:r>
      <w:r>
        <w:rPr>
          <w:rFonts w:hint="eastAsia" w:ascii="仿宋" w:hAnsi="仿宋" w:eastAsia="仿宋" w:cs="仿宋"/>
          <w:spacing w:val="-6"/>
          <w:sz w:val="32"/>
          <w:highlight w:val="none"/>
          <w:lang w:eastAsia="zh-CN"/>
        </w:rPr>
        <w:t>本合同总服务有效期为2027年1月1日至2029年12月31日，合同总包干服务费对应2次全域租金指导价调研编制服务，</w:t>
      </w:r>
      <w:r>
        <w:rPr>
          <w:rFonts w:hint="eastAsia" w:ascii="仿宋" w:hAnsi="仿宋" w:eastAsia="仿宋" w:cs="仿宋"/>
          <w:spacing w:val="-6"/>
          <w:sz w:val="32"/>
          <w:highlight w:val="none"/>
          <w:lang w:val="en-US" w:eastAsia="zh-CN"/>
        </w:rPr>
        <w:t>根据报告提交节点</w:t>
      </w:r>
      <w:r>
        <w:rPr>
          <w:rFonts w:hint="eastAsia" w:ascii="仿宋" w:hAnsi="仿宋" w:eastAsia="仿宋" w:cs="仿宋"/>
          <w:spacing w:val="-6"/>
          <w:sz w:val="32"/>
          <w:highlight w:val="none"/>
          <w:lang w:eastAsia="zh-CN"/>
        </w:rPr>
        <w:t>分</w:t>
      </w:r>
      <w:r>
        <w:rPr>
          <w:rFonts w:hint="eastAsia" w:ascii="仿宋" w:hAnsi="仿宋" w:eastAsia="仿宋" w:cs="仿宋"/>
          <w:spacing w:val="-6"/>
          <w:sz w:val="32"/>
          <w:highlight w:val="none"/>
          <w:lang w:val="en-US" w:eastAsia="zh-CN"/>
        </w:rPr>
        <w:t>2</w:t>
      </w:r>
      <w:r>
        <w:rPr>
          <w:rFonts w:hint="eastAsia" w:ascii="仿宋" w:hAnsi="仿宋" w:eastAsia="仿宋" w:cs="仿宋"/>
          <w:spacing w:val="-6"/>
          <w:sz w:val="32"/>
          <w:highlight w:val="none"/>
          <w:lang w:eastAsia="zh-CN"/>
        </w:rPr>
        <w:t>次验收结算。</w:t>
      </w:r>
    </w:p>
    <w:p w14:paraId="03803526">
      <w:pPr>
        <w:pStyle w:val="12"/>
        <w:widowControl/>
        <w:numPr>
          <w:ilvl w:val="0"/>
          <w:numId w:val="0"/>
        </w:numPr>
        <w:ind w:left="0" w:leftChars="0" w:firstLine="616"/>
        <w:rPr>
          <w:rFonts w:hint="eastAsia" w:ascii="仿宋" w:hAnsi="仿宋" w:eastAsia="仿宋" w:cs="仿宋"/>
          <w:spacing w:val="-6"/>
          <w:sz w:val="32"/>
          <w:highlight w:val="none"/>
          <w:lang w:eastAsia="zh-CN"/>
        </w:rPr>
      </w:pPr>
      <w:r>
        <w:rPr>
          <w:rFonts w:hint="eastAsia" w:ascii="仿宋" w:hAnsi="仿宋" w:eastAsia="仿宋" w:cs="仿宋"/>
          <w:spacing w:val="-6"/>
          <w:sz w:val="32"/>
          <w:highlight w:val="none"/>
          <w:lang w:eastAsia="zh-CN"/>
        </w:rPr>
        <w:t>（</w:t>
      </w:r>
      <w:r>
        <w:rPr>
          <w:rFonts w:hint="eastAsia" w:ascii="仿宋" w:hAnsi="仿宋" w:eastAsia="仿宋" w:cs="仿宋"/>
          <w:spacing w:val="-6"/>
          <w:sz w:val="32"/>
          <w:highlight w:val="none"/>
          <w:lang w:val="en-US" w:eastAsia="zh-CN"/>
        </w:rPr>
        <w:t>二</w:t>
      </w:r>
      <w:r>
        <w:rPr>
          <w:rFonts w:hint="eastAsia" w:ascii="仿宋" w:hAnsi="仿宋" w:eastAsia="仿宋" w:cs="仿宋"/>
          <w:spacing w:val="-6"/>
          <w:sz w:val="32"/>
          <w:highlight w:val="none"/>
          <w:lang w:eastAsia="zh-CN"/>
        </w:rPr>
        <w:t>）</w:t>
      </w:r>
      <w:r>
        <w:rPr>
          <w:rFonts w:hint="eastAsia" w:ascii="仿宋" w:hAnsi="仿宋" w:eastAsia="仿宋" w:cs="仿宋"/>
          <w:spacing w:val="-6"/>
          <w:sz w:val="32"/>
          <w:highlight w:val="none"/>
          <w:lang w:val="en-US" w:eastAsia="zh-CN"/>
        </w:rPr>
        <w:t>2</w:t>
      </w:r>
      <w:r>
        <w:rPr>
          <w:rFonts w:hint="eastAsia" w:ascii="仿宋" w:hAnsi="仿宋" w:eastAsia="仿宋" w:cs="仿宋"/>
          <w:spacing w:val="-6"/>
          <w:sz w:val="32"/>
          <w:highlight w:val="none"/>
          <w:lang w:eastAsia="zh-CN"/>
        </w:rPr>
        <w:t>次全域调研实施年份由甲方根据租赁市场行情自主研判，甲方</w:t>
      </w:r>
      <w:r>
        <w:rPr>
          <w:rFonts w:hint="eastAsia" w:ascii="仿宋" w:hAnsi="仿宋" w:eastAsia="仿宋" w:cs="仿宋"/>
          <w:spacing w:val="-6"/>
          <w:sz w:val="32"/>
          <w:highlight w:val="none"/>
          <w:lang w:val="en-US" w:eastAsia="zh-CN"/>
        </w:rPr>
        <w:t>需</w:t>
      </w:r>
      <w:r>
        <w:rPr>
          <w:rFonts w:hint="eastAsia" w:ascii="仿宋" w:hAnsi="仿宋" w:eastAsia="仿宋" w:cs="仿宋"/>
          <w:spacing w:val="-6"/>
          <w:sz w:val="32"/>
          <w:highlight w:val="none"/>
          <w:lang w:eastAsia="zh-CN"/>
        </w:rPr>
        <w:t>提前书面告知乙方启动时间，乙方须按期完成全套租金指导价格报告。甲方判定当年无需全域调研编制的，乙方仍需提供该年度全周期配套咨询服务，相关服务已包含在包干总价内，不单独收费。</w:t>
      </w:r>
    </w:p>
    <w:p w14:paraId="0C1D082D">
      <w:pPr>
        <w:pStyle w:val="12"/>
        <w:widowControl/>
        <w:numPr>
          <w:ilvl w:val="0"/>
          <w:numId w:val="0"/>
        </w:numPr>
        <w:ind w:left="0" w:leftChars="0" w:firstLine="616"/>
        <w:rPr>
          <w:rFonts w:hint="eastAsia" w:ascii="仿宋_GB2312" w:hAnsi="仿宋_GB2312" w:eastAsia="仿宋_GB2312" w:cs="Times New Roman"/>
          <w:b w:val="0"/>
          <w:sz w:val="32"/>
          <w:highlight w:val="none"/>
          <w:lang w:eastAsia="zh-CN"/>
        </w:rPr>
      </w:pPr>
      <w:r>
        <w:rPr>
          <w:rFonts w:hint="eastAsia" w:cs="Times New Roman"/>
          <w:sz w:val="32"/>
          <w:highlight w:val="none"/>
          <w:lang w:eastAsia="zh-CN"/>
        </w:rPr>
        <w:t>（</w:t>
      </w:r>
      <w:r>
        <w:rPr>
          <w:rFonts w:hint="eastAsia" w:cs="Times New Roman"/>
          <w:sz w:val="32"/>
          <w:highlight w:val="none"/>
          <w:lang w:val="en-US" w:eastAsia="zh-CN"/>
        </w:rPr>
        <w:t>三</w:t>
      </w:r>
      <w:r>
        <w:rPr>
          <w:rFonts w:hint="eastAsia" w:cs="Times New Roman"/>
          <w:sz w:val="32"/>
          <w:highlight w:val="none"/>
          <w:lang w:eastAsia="zh-CN"/>
        </w:rPr>
        <w:t>）</w:t>
      </w:r>
      <w:r>
        <w:rPr>
          <w:rFonts w:ascii="仿宋_GB2312" w:hAnsi="仿宋_GB2312" w:eastAsia="仿宋_GB2312" w:cs="Times New Roman"/>
          <w:sz w:val="32"/>
          <w:highlight w:val="none"/>
        </w:rPr>
        <w:t>乙方应根据甲方要求时间完成询价报告并交付。乙方逾期交付询价报告的，应向甲方支付拖期损失费，每逾期一天的拖期损失费按本合同约定的合同总价款的1％计算</w:t>
      </w:r>
      <w:r>
        <w:rPr>
          <w:rFonts w:hint="eastAsia" w:cs="Times New Roman"/>
          <w:sz w:val="32"/>
          <w:highlight w:val="none"/>
          <w:lang w:eastAsia="zh-CN"/>
        </w:rPr>
        <w:t>。</w:t>
      </w:r>
    </w:p>
    <w:p w14:paraId="5BE35A57">
      <w:pPr>
        <w:pStyle w:val="12"/>
        <w:widowControl/>
        <w:numPr>
          <w:ilvl w:val="0"/>
          <w:numId w:val="0"/>
        </w:numPr>
        <w:ind w:left="0" w:leftChars="0" w:firstLine="616"/>
        <w:rPr>
          <w:rFonts w:ascii="仿宋_GB2312" w:hAnsi="仿宋_GB2312" w:eastAsia="仿宋_GB2312" w:cs="Times New Roman"/>
          <w:sz w:val="32"/>
          <w:highlight w:val="none"/>
        </w:rPr>
      </w:pPr>
      <w:r>
        <w:rPr>
          <w:rFonts w:hint="eastAsia" w:cs="Times New Roman"/>
          <w:sz w:val="32"/>
          <w:highlight w:val="none"/>
          <w:lang w:eastAsia="zh-CN"/>
        </w:rPr>
        <w:t>（</w:t>
      </w:r>
      <w:r>
        <w:rPr>
          <w:rFonts w:hint="eastAsia" w:cs="Times New Roman"/>
          <w:sz w:val="32"/>
          <w:highlight w:val="none"/>
          <w:lang w:val="en-US" w:eastAsia="zh-CN"/>
        </w:rPr>
        <w:t>四</w:t>
      </w:r>
      <w:r>
        <w:rPr>
          <w:rFonts w:hint="eastAsia" w:cs="Times New Roman"/>
          <w:sz w:val="32"/>
          <w:highlight w:val="none"/>
          <w:lang w:eastAsia="zh-CN"/>
        </w:rPr>
        <w:t>）</w:t>
      </w:r>
      <w:r>
        <w:rPr>
          <w:rFonts w:ascii="仿宋_GB2312" w:hAnsi="仿宋_GB2312" w:eastAsia="仿宋_GB2312" w:cs="Times New Roman"/>
          <w:sz w:val="32"/>
          <w:highlight w:val="none"/>
        </w:rPr>
        <w:t>乙方应按甲方意见对询价报告等文件进行调整、修改和完善，并在甲方提出书面意见后5日内完成修改。</w:t>
      </w:r>
    </w:p>
    <w:p w14:paraId="4B96656E">
      <w:pPr>
        <w:pStyle w:val="12"/>
        <w:widowControl/>
        <w:numPr>
          <w:ilvl w:val="0"/>
          <w:numId w:val="0"/>
        </w:numPr>
        <w:ind w:left="0" w:leftChars="0" w:firstLine="616"/>
        <w:rPr>
          <w:rFonts w:ascii="黑体" w:hAnsi="黑体" w:eastAsia="黑体" w:cs="Times New Roman"/>
          <w:spacing w:val="0"/>
          <w:kern w:val="44"/>
          <w:sz w:val="32"/>
          <w:szCs w:val="32"/>
          <w:highlight w:val="none"/>
        </w:rPr>
      </w:pPr>
      <w:r>
        <w:rPr>
          <w:rFonts w:hint="eastAsia" w:ascii="黑体" w:hAnsi="黑体" w:eastAsia="黑体" w:cs="Times New Roman"/>
          <w:spacing w:val="0"/>
          <w:kern w:val="44"/>
          <w:sz w:val="32"/>
          <w:szCs w:val="32"/>
          <w:highlight w:val="none"/>
          <w:lang w:eastAsia="zh-CN"/>
        </w:rPr>
        <w:t>五、</w:t>
      </w:r>
      <w:r>
        <w:rPr>
          <w:rFonts w:ascii="黑体" w:hAnsi="黑体" w:eastAsia="黑体" w:cs="Times New Roman"/>
          <w:spacing w:val="0"/>
          <w:kern w:val="44"/>
          <w:sz w:val="32"/>
          <w:szCs w:val="32"/>
          <w:highlight w:val="none"/>
        </w:rPr>
        <w:t>双方权利和义务</w:t>
      </w:r>
    </w:p>
    <w:p w14:paraId="785DE7B4">
      <w:pPr>
        <w:pStyle w:val="12"/>
        <w:widowControl/>
        <w:numPr>
          <w:ilvl w:val="0"/>
          <w:numId w:val="0"/>
        </w:numPr>
        <w:ind w:left="0" w:leftChars="0" w:firstLine="616"/>
        <w:rPr>
          <w:highlight w:val="none"/>
        </w:rPr>
      </w:pPr>
      <w:r>
        <w:rPr>
          <w:highlight w:val="none"/>
        </w:rPr>
        <w:t>（一）甲方权利和义务</w:t>
      </w:r>
    </w:p>
    <w:p w14:paraId="5ACBA320">
      <w:pPr>
        <w:pStyle w:val="12"/>
        <w:widowControl/>
        <w:numPr>
          <w:ilvl w:val="0"/>
          <w:numId w:val="0"/>
        </w:numPr>
        <w:ind w:left="0" w:leftChars="0" w:firstLine="616"/>
        <w:rPr>
          <w:highlight w:val="none"/>
        </w:rPr>
      </w:pPr>
      <w:r>
        <w:rPr>
          <w:rFonts w:hint="eastAsia"/>
          <w:highlight w:val="none"/>
          <w:lang w:eastAsia="zh-CN"/>
        </w:rPr>
        <w:t>1.</w:t>
      </w:r>
      <w:r>
        <w:rPr>
          <w:highlight w:val="none"/>
        </w:rPr>
        <w:t>甲方指派专人与乙方保持联系，在咨询服务工作过程中，积极配合乙方完成咨询服务工作；</w:t>
      </w:r>
    </w:p>
    <w:p w14:paraId="55DAD50E">
      <w:pPr>
        <w:pStyle w:val="12"/>
        <w:widowControl/>
        <w:numPr>
          <w:ilvl w:val="0"/>
          <w:numId w:val="0"/>
        </w:numPr>
        <w:ind w:left="0" w:leftChars="0" w:firstLine="616"/>
        <w:rPr>
          <w:highlight w:val="none"/>
        </w:rPr>
      </w:pPr>
      <w:r>
        <w:rPr>
          <w:rFonts w:hint="eastAsia"/>
          <w:highlight w:val="none"/>
          <w:lang w:eastAsia="zh-CN"/>
        </w:rPr>
        <w:t>2.</w:t>
      </w:r>
      <w:r>
        <w:rPr>
          <w:highlight w:val="none"/>
        </w:rPr>
        <w:t>审定乙方出具的询价报告，并提出修改意见；</w:t>
      </w:r>
    </w:p>
    <w:p w14:paraId="23D01939">
      <w:pPr>
        <w:pStyle w:val="12"/>
        <w:widowControl/>
        <w:numPr>
          <w:ilvl w:val="0"/>
          <w:numId w:val="0"/>
        </w:numPr>
        <w:ind w:left="0" w:leftChars="0" w:firstLine="616"/>
        <w:rPr>
          <w:highlight w:val="none"/>
        </w:rPr>
      </w:pPr>
      <w:r>
        <w:rPr>
          <w:rFonts w:hint="eastAsia"/>
          <w:highlight w:val="none"/>
          <w:lang w:eastAsia="zh-CN"/>
        </w:rPr>
        <w:t>3.</w:t>
      </w:r>
      <w:r>
        <w:rPr>
          <w:highlight w:val="none"/>
        </w:rPr>
        <w:t>按照合同约定的金额和付款方式支付咨询服务费。</w:t>
      </w:r>
    </w:p>
    <w:p w14:paraId="5F695821">
      <w:pPr>
        <w:pStyle w:val="12"/>
        <w:widowControl/>
        <w:numPr>
          <w:ilvl w:val="0"/>
          <w:numId w:val="0"/>
        </w:numPr>
        <w:ind w:left="0" w:leftChars="0" w:firstLine="616"/>
        <w:rPr>
          <w:highlight w:val="none"/>
        </w:rPr>
      </w:pPr>
      <w:r>
        <w:rPr>
          <w:highlight w:val="none"/>
        </w:rPr>
        <w:t>（二）乙方权利和义务</w:t>
      </w:r>
    </w:p>
    <w:p w14:paraId="3494A7FD">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1.</w:t>
      </w:r>
      <w:r>
        <w:rPr>
          <w:rFonts w:ascii="仿宋_GB2312" w:hAnsi="仿宋_GB2312" w:eastAsia="仿宋_GB2312" w:cs="Times New Roman"/>
          <w:sz w:val="32"/>
          <w:highlight w:val="none"/>
        </w:rPr>
        <w:t>乙方指派专人与甲方联系，在市场调研与咨询服务过程中，应就有关项目的重大问题，自发现或发生起12小时内与甲方沟通，充分交换意见。</w:t>
      </w:r>
    </w:p>
    <w:p w14:paraId="4E3EBFCB">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2.</w:t>
      </w:r>
      <w:r>
        <w:rPr>
          <w:rFonts w:ascii="仿宋_GB2312" w:hAnsi="仿宋_GB2312" w:eastAsia="仿宋_GB2312" w:cs="Times New Roman"/>
          <w:sz w:val="32"/>
          <w:highlight w:val="none"/>
        </w:rPr>
        <w:t>按照合同约定的内容和时间，完成服务工作，交付询价报告等其他工作成果，并按约定进行调整、修改和完善。</w:t>
      </w:r>
    </w:p>
    <w:p w14:paraId="792D6FC2">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3.</w:t>
      </w:r>
      <w:r>
        <w:rPr>
          <w:rFonts w:ascii="仿宋_GB2312" w:hAnsi="仿宋_GB2312" w:eastAsia="仿宋_GB2312" w:cs="Times New Roman"/>
          <w:sz w:val="32"/>
          <w:highlight w:val="none"/>
        </w:rPr>
        <w:t>除本项目咨询服务费涵盖外的所有费用由乙方自行承担。</w:t>
      </w:r>
    </w:p>
    <w:p w14:paraId="3CBE7886">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4.</w:t>
      </w:r>
      <w:r>
        <w:rPr>
          <w:rFonts w:ascii="仿宋_GB2312" w:hAnsi="仿宋_GB2312" w:eastAsia="仿宋_GB2312" w:cs="Times New Roman"/>
          <w:sz w:val="32"/>
          <w:highlight w:val="none"/>
        </w:rPr>
        <w:t>及时解答服务事宜、询价报告等相关咨询。</w:t>
      </w:r>
    </w:p>
    <w:p w14:paraId="651737DF">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5.</w:t>
      </w:r>
      <w:r>
        <w:rPr>
          <w:rFonts w:ascii="仿宋_GB2312" w:hAnsi="仿宋_GB2312" w:eastAsia="仿宋_GB2312" w:cs="Times New Roman"/>
          <w:sz w:val="32"/>
          <w:highlight w:val="none"/>
        </w:rPr>
        <w:t>乙方保证向甲方提供的工作成果是其独立针对本合同项目实施完成，不存在任何侵犯第三方专利权、商标权、著作权等合法权益的情形。如因乙方提供的工作成果侵犯任何第三方的合法权益，导致该第三方追究甲方责任的，乙方应负责解决并赔偿因此给甲方造成的全部损失（包括但不限于甲方为处理有关纠纷而支出的律师费、诉讼费等费用）。</w:t>
      </w:r>
    </w:p>
    <w:p w14:paraId="6C33B95E">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6.</w:t>
      </w:r>
      <w:r>
        <w:rPr>
          <w:rFonts w:ascii="仿宋_GB2312" w:hAnsi="仿宋_GB2312" w:eastAsia="仿宋_GB2312" w:cs="Times New Roman"/>
          <w:sz w:val="32"/>
          <w:highlight w:val="none"/>
        </w:rPr>
        <w:t>乙方保证其具备提供本合同项下服务的法定资质、条件和能力，保证其出具的有关报告具备可行性、合理性、科学性、合法性。如因乙方责任、过错或过失，致使甲方因使用乙方出具的报告而遭受损失的，乙方应足额赔偿。</w:t>
      </w:r>
    </w:p>
    <w:p w14:paraId="33D08B75">
      <w:pPr>
        <w:pStyle w:val="2"/>
        <w:widowControl/>
        <w:numPr>
          <w:ilvl w:val="0"/>
          <w:numId w:val="0"/>
        </w:numPr>
        <w:topLinePunct w:val="0"/>
        <w:ind w:left="0" w:leftChars="0" w:firstLine="640"/>
        <w:rPr>
          <w:b w:val="0"/>
          <w:highlight w:val="none"/>
        </w:rPr>
      </w:pPr>
      <w:r>
        <w:rPr>
          <w:rFonts w:hint="eastAsia"/>
          <w:highlight w:val="none"/>
          <w:lang w:eastAsia="zh-CN"/>
        </w:rPr>
        <w:t>六、</w:t>
      </w:r>
      <w:r>
        <w:rPr>
          <w:highlight w:val="none"/>
        </w:rPr>
        <w:t>合同价款及付款方式</w:t>
      </w:r>
    </w:p>
    <w:p w14:paraId="0B10A1C0">
      <w:pPr>
        <w:pStyle w:val="3"/>
        <w:numPr>
          <w:ilvl w:val="0"/>
          <w:numId w:val="0"/>
        </w:numPr>
        <w:topLinePunct w:val="0"/>
        <w:ind w:left="0" w:leftChars="0" w:firstLine="640"/>
        <w:rPr>
          <w:b w:val="0"/>
          <w:highlight w:val="none"/>
        </w:rPr>
      </w:pPr>
      <w:r>
        <w:rPr>
          <w:rFonts w:hint="eastAsia"/>
          <w:highlight w:val="none"/>
          <w:lang w:eastAsia="zh-CN"/>
        </w:rPr>
        <w:t>（一）</w:t>
      </w:r>
      <w:r>
        <w:rPr>
          <w:highlight w:val="none"/>
        </w:rPr>
        <w:t>合同价款</w:t>
      </w:r>
    </w:p>
    <w:p w14:paraId="07A1B4AE">
      <w:pPr>
        <w:pStyle w:val="12"/>
        <w:rPr>
          <w:rFonts w:ascii="仿宋_GB2312" w:hAnsi="仿宋_GB2312" w:eastAsia="仿宋_GB2312" w:cs="Times New Roman"/>
          <w:sz w:val="32"/>
          <w:highlight w:val="none"/>
        </w:rPr>
      </w:pPr>
      <w:r>
        <w:rPr>
          <w:rFonts w:hint="eastAsia" w:ascii="仿宋_GB2312" w:hAnsi="仿宋_GB2312" w:eastAsia="仿宋_GB2312" w:cs="Times New Roman"/>
          <w:sz w:val="32"/>
          <w:highlight w:val="none"/>
        </w:rPr>
        <w:t>本项目2027年1月1日至2029年12月31日三年服务周期包干总服务费为含税人民币【</w:t>
      </w:r>
      <w:r>
        <w:rPr>
          <w:rFonts w:hint="eastAsia" w:cs="Times New Roman"/>
          <w:sz w:val="32"/>
          <w:highlight w:val="none"/>
          <w:lang w:val="en-US" w:eastAsia="zh-CN"/>
        </w:rPr>
        <w:t xml:space="preserve">    </w:t>
      </w:r>
      <w:r>
        <w:rPr>
          <w:rFonts w:hint="eastAsia" w:ascii="仿宋_GB2312" w:hAnsi="仿宋_GB2312" w:eastAsia="仿宋_GB2312" w:cs="Times New Roman"/>
          <w:sz w:val="32"/>
          <w:highlight w:val="none"/>
        </w:rPr>
        <w:t>】元（大写：【</w:t>
      </w:r>
      <w:r>
        <w:rPr>
          <w:rFonts w:hint="eastAsia" w:cs="Times New Roman"/>
          <w:sz w:val="32"/>
          <w:highlight w:val="none"/>
          <w:lang w:val="en-US" w:eastAsia="zh-CN"/>
        </w:rPr>
        <w:t xml:space="preserve">    </w:t>
      </w:r>
      <w:r>
        <w:rPr>
          <w:rFonts w:hint="eastAsia" w:ascii="仿宋_GB2312" w:hAnsi="仿宋_GB2312" w:eastAsia="仿宋_GB2312" w:cs="Times New Roman"/>
          <w:sz w:val="32"/>
          <w:highlight w:val="none"/>
        </w:rPr>
        <w:t>】）</w:t>
      </w:r>
      <w:r>
        <w:rPr>
          <w:rFonts w:hint="eastAsia" w:cs="Times New Roman"/>
          <w:sz w:val="32"/>
          <w:highlight w:val="none"/>
          <w:lang w:eastAsia="zh-CN"/>
        </w:rPr>
        <w:t>。总价包含2次完整全域物业租赁市场调研、年度租金指导价格体系编制报告服务，</w:t>
      </w:r>
      <w:r>
        <w:rPr>
          <w:rFonts w:hint="eastAsia" w:cs="Times New Roman"/>
          <w:sz w:val="32"/>
          <w:highlight w:val="none"/>
          <w:lang w:val="en-US" w:eastAsia="zh-CN"/>
        </w:rPr>
        <w:t>根据报告提交节点</w:t>
      </w:r>
      <w:r>
        <w:rPr>
          <w:rFonts w:hint="eastAsia" w:cs="Times New Roman"/>
          <w:sz w:val="32"/>
          <w:highlight w:val="none"/>
          <w:lang w:eastAsia="zh-CN"/>
        </w:rPr>
        <w:t>分两次验收结算，</w:t>
      </w:r>
      <w:r>
        <w:rPr>
          <w:rFonts w:hint="eastAsia" w:cs="Times New Roman"/>
          <w:sz w:val="32"/>
          <w:highlight w:val="none"/>
          <w:lang w:val="en-US" w:eastAsia="zh-CN"/>
        </w:rPr>
        <w:t>单次结算合同包干总价的50%</w:t>
      </w:r>
      <w:r>
        <w:rPr>
          <w:rFonts w:hint="eastAsia" w:cs="Times New Roman"/>
          <w:sz w:val="32"/>
          <w:highlight w:val="none"/>
          <w:lang w:eastAsia="zh-CN"/>
        </w:rPr>
        <w:t>。</w:t>
      </w:r>
      <w:r>
        <w:rPr>
          <w:rFonts w:ascii="仿宋_GB2312" w:hAnsi="仿宋_GB2312" w:eastAsia="仿宋_GB2312" w:cs="Times New Roman"/>
          <w:sz w:val="32"/>
          <w:highlight w:val="none"/>
        </w:rPr>
        <w:t>支付方式为：银行转账。本合同采取总价包干的方式，上述合同价为乙方完成本项目所有内容所需的咨询费、人工费、加班费、材料费、设备费、交通费、住宿费、保险费、办公费、管理费、不可预见费及利润、税金等与本项目相关的一切费用。乙方指定收款账户如下：</w:t>
      </w:r>
    </w:p>
    <w:p w14:paraId="64809784">
      <w:pPr>
        <w:pStyle w:val="12"/>
        <w:rPr>
          <w:rFonts w:hint="eastAsia" w:ascii="仿宋_GB2312" w:hAnsi="仿宋_GB2312" w:eastAsia="仿宋_GB2312" w:cs="Times New Roman"/>
          <w:sz w:val="32"/>
          <w:highlight w:val="none"/>
          <w:u w:val="single"/>
          <w:lang w:eastAsia="zh-CN"/>
        </w:rPr>
      </w:pPr>
      <w:r>
        <w:rPr>
          <w:rFonts w:ascii="仿宋_GB2312" w:hAnsi="仿宋_GB2312" w:eastAsia="仿宋_GB2312" w:cs="Times New Roman"/>
          <w:sz w:val="32"/>
          <w:highlight w:val="none"/>
          <w:u w:val="single"/>
        </w:rPr>
        <w:t>户名：</w:t>
      </w:r>
    </w:p>
    <w:p w14:paraId="45AC3A02">
      <w:pPr>
        <w:pStyle w:val="12"/>
        <w:rPr>
          <w:rFonts w:hint="eastAsia" w:ascii="仿宋_GB2312" w:hAnsi="仿宋_GB2312" w:eastAsia="仿宋_GB2312" w:cs="Times New Roman"/>
          <w:sz w:val="32"/>
          <w:highlight w:val="none"/>
          <w:u w:val="single"/>
          <w:lang w:eastAsia="zh-CN"/>
        </w:rPr>
      </w:pPr>
      <w:r>
        <w:rPr>
          <w:rFonts w:ascii="仿宋_GB2312" w:hAnsi="仿宋_GB2312" w:eastAsia="仿宋_GB2312" w:cs="Times New Roman"/>
          <w:sz w:val="32"/>
          <w:highlight w:val="none"/>
          <w:u w:val="single"/>
        </w:rPr>
        <w:t>账号：</w:t>
      </w:r>
    </w:p>
    <w:p w14:paraId="01EEAD0A">
      <w:pPr>
        <w:pStyle w:val="12"/>
        <w:rPr>
          <w:rFonts w:hint="eastAsia" w:ascii="仿宋_GB2312" w:hAnsi="仿宋_GB2312" w:eastAsia="仿宋_GB2312" w:cs="Times New Roman"/>
          <w:sz w:val="32"/>
          <w:highlight w:val="none"/>
          <w:u w:val="single"/>
          <w:lang w:eastAsia="zh-CN"/>
        </w:rPr>
      </w:pPr>
      <w:r>
        <w:rPr>
          <w:rFonts w:ascii="仿宋_GB2312" w:hAnsi="仿宋_GB2312" w:eastAsia="仿宋_GB2312" w:cs="Times New Roman"/>
          <w:sz w:val="32"/>
          <w:highlight w:val="none"/>
          <w:u w:val="single"/>
        </w:rPr>
        <w:t>开户行：</w:t>
      </w:r>
    </w:p>
    <w:p w14:paraId="16707ABC">
      <w:pPr>
        <w:pStyle w:val="12"/>
        <w:rPr>
          <w:rFonts w:ascii="仿宋_GB2312" w:hAnsi="仿宋_GB2312" w:eastAsia="仿宋_GB2312" w:cs="Times New Roman"/>
          <w:sz w:val="32"/>
          <w:highlight w:val="none"/>
        </w:rPr>
      </w:pPr>
      <w:r>
        <w:rPr>
          <w:rFonts w:ascii="仿宋_GB2312" w:hAnsi="仿宋_GB2312" w:eastAsia="仿宋_GB2312" w:cs="Times New Roman"/>
          <w:sz w:val="32"/>
          <w:highlight w:val="none"/>
        </w:rPr>
        <w:t>乙方变更收款账户信息应当书面通知甲方，并取得甲方的书面回复确认甲方已知悉，否则，甲方按照合同中约定的账户付款，乙方自行承担一切不利后果。</w:t>
      </w:r>
    </w:p>
    <w:p w14:paraId="3D22F006">
      <w:pPr>
        <w:pStyle w:val="3"/>
        <w:numPr>
          <w:ilvl w:val="0"/>
          <w:numId w:val="0"/>
        </w:numPr>
        <w:topLinePunct w:val="0"/>
        <w:ind w:left="0" w:leftChars="0" w:firstLine="640"/>
        <w:rPr>
          <w:b w:val="0"/>
          <w:highlight w:val="none"/>
        </w:rPr>
      </w:pPr>
      <w:r>
        <w:rPr>
          <w:rFonts w:hint="eastAsia"/>
          <w:highlight w:val="none"/>
          <w:lang w:eastAsia="zh-CN"/>
        </w:rPr>
        <w:t>（二）</w:t>
      </w:r>
      <w:r>
        <w:rPr>
          <w:highlight w:val="none"/>
        </w:rPr>
        <w:t>付款方式</w:t>
      </w:r>
    </w:p>
    <w:p w14:paraId="49345614">
      <w:pPr>
        <w:pStyle w:val="12"/>
        <w:rPr>
          <w:rFonts w:ascii="仿宋_GB2312" w:hAnsi="仿宋_GB2312" w:eastAsia="仿宋_GB2312" w:cs="Times New Roman"/>
          <w:sz w:val="32"/>
          <w:highlight w:val="none"/>
        </w:rPr>
      </w:pPr>
      <w:r>
        <w:rPr>
          <w:rFonts w:ascii="仿宋_GB2312" w:hAnsi="仿宋_GB2312" w:eastAsia="仿宋_GB2312" w:cs="Times New Roman"/>
          <w:sz w:val="32"/>
          <w:highlight w:val="none"/>
        </w:rPr>
        <w:t>本合同签订后，自乙方递交询价报告并经甲方书面确认十天内，甲方向乙方支付咨询服务费。乙方需在甲方支付咨询服务费前向甲方提供符合甲方财务要求的等额正式税票，如因乙方未提供发票导致甲方付款迟延的，甲方不承担任何责任。</w:t>
      </w:r>
    </w:p>
    <w:p w14:paraId="468F4423">
      <w:pPr>
        <w:pStyle w:val="12"/>
        <w:rPr>
          <w:rFonts w:hint="eastAsia" w:ascii="仿宋_GB2312" w:hAnsi="仿宋_GB2312" w:eastAsia="仿宋_GB2312" w:cs="Times New Roman"/>
          <w:sz w:val="32"/>
          <w:highlight w:val="none"/>
          <w:lang w:eastAsia="zh-CN"/>
        </w:rPr>
      </w:pPr>
      <w:r>
        <w:rPr>
          <w:rFonts w:ascii="仿宋_GB2312" w:hAnsi="仿宋_GB2312" w:eastAsia="仿宋_GB2312" w:cs="Times New Roman"/>
          <w:sz w:val="32"/>
          <w:highlight w:val="none"/>
        </w:rPr>
        <w:t>因甲方履行财政审批程序或乙方未及时准备请款材料以及准备的请款材料不符合甲方要求导致的延迟付款，甲方不承担违约责任。</w:t>
      </w:r>
    </w:p>
    <w:p w14:paraId="76F40CA8">
      <w:pPr>
        <w:pStyle w:val="2"/>
        <w:widowControl/>
        <w:numPr>
          <w:ilvl w:val="0"/>
          <w:numId w:val="0"/>
        </w:numPr>
        <w:topLinePunct w:val="0"/>
        <w:ind w:left="0" w:leftChars="0" w:firstLine="640"/>
        <w:rPr>
          <w:b w:val="0"/>
          <w:highlight w:val="none"/>
        </w:rPr>
      </w:pPr>
      <w:r>
        <w:rPr>
          <w:rFonts w:hint="eastAsia"/>
          <w:highlight w:val="none"/>
          <w:lang w:eastAsia="zh-CN"/>
        </w:rPr>
        <w:t>七、</w:t>
      </w:r>
      <w:r>
        <w:rPr>
          <w:highlight w:val="none"/>
        </w:rPr>
        <w:t>违约责任</w:t>
      </w:r>
    </w:p>
    <w:p w14:paraId="4ED0BC3C">
      <w:pPr>
        <w:pStyle w:val="12"/>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（一）</w:t>
      </w:r>
      <w:r>
        <w:rPr>
          <w:rFonts w:ascii="仿宋_GB2312" w:hAnsi="仿宋_GB2312" w:eastAsia="仿宋_GB2312" w:cs="Times New Roman"/>
          <w:sz w:val="32"/>
          <w:highlight w:val="none"/>
        </w:rPr>
        <w:t>乙方应对本服务相关的所有资料及询价报告内容</w:t>
      </w:r>
      <w:r>
        <w:rPr>
          <w:rFonts w:hint="eastAsia" w:cs="Times New Roman"/>
          <w:sz w:val="32"/>
          <w:highlight w:val="none"/>
          <w:lang w:eastAsia="zh-CN"/>
        </w:rPr>
        <w:t>负有保密责任</w:t>
      </w:r>
      <w:r>
        <w:rPr>
          <w:rFonts w:ascii="仿宋_GB2312" w:hAnsi="仿宋_GB2312" w:eastAsia="仿宋_GB2312" w:cs="Times New Roman"/>
          <w:sz w:val="32"/>
          <w:highlight w:val="none"/>
        </w:rPr>
        <w:t>，如向任何第三方泄露合作过程中知悉的甲方的商业机密或其他秘密，或将相关资料及文件擅自修改、复制或向第三方转让，乙方承担相关法律责任。保密义务是永久的，不因本合同终止而解除。</w:t>
      </w:r>
    </w:p>
    <w:p w14:paraId="16794ADF">
      <w:pPr>
        <w:pStyle w:val="12"/>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（二）</w:t>
      </w:r>
      <w:r>
        <w:rPr>
          <w:rFonts w:ascii="仿宋_GB2312" w:hAnsi="仿宋_GB2312" w:eastAsia="仿宋_GB2312" w:cs="Times New Roman"/>
          <w:sz w:val="32"/>
          <w:highlight w:val="none"/>
        </w:rPr>
        <w:t>乙方逾期提交询价报告（包括逾期提交修改后的询价报告）超过15天或严重违反本合同其他约定的，甲方有权解除本合同，并有权拒绝支付合同款项，要求乙方按合同价款的20％支付违约金，乙方须承担甲方因此造成的损失，包括但不限于律师费、诉讼费、管理费、差旅费、赔偿金和违约金等。</w:t>
      </w:r>
    </w:p>
    <w:p w14:paraId="1BDBF194">
      <w:pPr>
        <w:pStyle w:val="12"/>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（三）</w:t>
      </w:r>
      <w:r>
        <w:rPr>
          <w:rFonts w:ascii="仿宋_GB2312" w:hAnsi="仿宋_GB2312" w:eastAsia="仿宋_GB2312" w:cs="Times New Roman"/>
          <w:sz w:val="32"/>
          <w:highlight w:val="none"/>
        </w:rPr>
        <w:t>未经甲方书面同意，本合同项下乙方的权利义务不得转让，否则乙方应立即返还已收费用和资料，向甲方支付相当于合同金额20％的违约金，且甲方有权解除本合同，无需向乙方支付任何费用和承担任何责任。</w:t>
      </w:r>
    </w:p>
    <w:p w14:paraId="05877691">
      <w:pPr>
        <w:pStyle w:val="12"/>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（四）</w:t>
      </w:r>
      <w:r>
        <w:rPr>
          <w:rFonts w:ascii="仿宋_GB2312" w:hAnsi="仿宋_GB2312" w:eastAsia="仿宋_GB2312" w:cs="Times New Roman"/>
          <w:sz w:val="32"/>
          <w:highlight w:val="none"/>
        </w:rPr>
        <w:t>乙方提供错误或不合格信息而导致甲方损失的，乙方有责任采取补救措施，并按实际情况赔偿甲方因此而造成的全部经济损失，同时，向甲方赔偿合同金额的20％作为违约金。</w:t>
      </w:r>
    </w:p>
    <w:p w14:paraId="1E7209A4">
      <w:pPr>
        <w:pStyle w:val="2"/>
        <w:widowControl/>
        <w:numPr>
          <w:ilvl w:val="0"/>
          <w:numId w:val="0"/>
        </w:numPr>
        <w:topLinePunct w:val="0"/>
        <w:ind w:left="0" w:leftChars="0" w:firstLine="640"/>
        <w:rPr>
          <w:b w:val="0"/>
          <w:highlight w:val="none"/>
        </w:rPr>
      </w:pPr>
      <w:r>
        <w:rPr>
          <w:rFonts w:hint="eastAsia"/>
          <w:highlight w:val="none"/>
          <w:lang w:eastAsia="zh-CN"/>
        </w:rPr>
        <w:t>八、</w:t>
      </w:r>
      <w:r>
        <w:rPr>
          <w:highlight w:val="none"/>
        </w:rPr>
        <w:t>其他</w:t>
      </w:r>
    </w:p>
    <w:p w14:paraId="40ABF295">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（一）</w:t>
      </w:r>
      <w:r>
        <w:rPr>
          <w:rFonts w:ascii="仿宋_GB2312" w:hAnsi="仿宋_GB2312" w:eastAsia="仿宋_GB2312" w:cs="Times New Roman"/>
          <w:sz w:val="32"/>
          <w:highlight w:val="none"/>
        </w:rPr>
        <w:t>本协议一式肆份，甲乙双方各贰份，自双方签字盖章之日起生效，自双方履行完合同约定的义务后自动终止。</w:t>
      </w:r>
    </w:p>
    <w:p w14:paraId="31D14166">
      <w:pPr>
        <w:pStyle w:val="12"/>
        <w:numPr>
          <w:ilvl w:val="0"/>
          <w:numId w:val="0"/>
        </w:numPr>
        <w:ind w:left="0" w:leftChars="0" w:firstLine="616"/>
        <w:rPr>
          <w:rFonts w:ascii="仿宋_GB2312" w:hAnsi="仿宋_GB2312" w:eastAsia="仿宋_GB2312" w:cs="Times New Roman"/>
          <w:sz w:val="32"/>
          <w:highlight w:val="none"/>
        </w:rPr>
      </w:pPr>
      <w:r>
        <w:rPr>
          <w:rFonts w:hint="eastAsia" w:cs="Times New Roman"/>
          <w:sz w:val="32"/>
          <w:highlight w:val="none"/>
          <w:lang w:eastAsia="zh-CN"/>
        </w:rPr>
        <w:t>（二）</w:t>
      </w:r>
      <w:r>
        <w:rPr>
          <w:rFonts w:ascii="仿宋_GB2312" w:hAnsi="仿宋_GB2312" w:eastAsia="仿宋_GB2312" w:cs="Times New Roman"/>
          <w:sz w:val="32"/>
          <w:highlight w:val="none"/>
        </w:rPr>
        <w:t>甲乙双方应严格遵守本合同。如因本合同引发争议的，双方应本着诚实信用原则，通过友好协商解决；协商不成的，任何一方可向甲方所在地人民法院提起诉讼。双方因诉讼产生的律师费及一切必要费用（诉讼费、担保费、保全费、评估费等）均由败诉方承担。</w:t>
      </w:r>
    </w:p>
    <w:p w14:paraId="261183FD">
      <w:pPr>
        <w:pStyle w:val="12"/>
        <w:numPr>
          <w:ilvl w:val="0"/>
          <w:numId w:val="0"/>
        </w:numPr>
        <w:ind w:left="0" w:leftChars="0" w:firstLine="616"/>
        <w:rPr>
          <w:rFonts w:ascii="仿宋_GB2312" w:hAnsi="仿宋_GB2312" w:eastAsia="仿宋_GB2312" w:cs="Times New Roman"/>
          <w:sz w:val="32"/>
          <w:highlight w:val="none"/>
        </w:rPr>
      </w:pPr>
    </w:p>
    <w:p w14:paraId="0B3593C8">
      <w:pPr>
        <w:keepNext w:val="0"/>
        <w:keepLines w:val="0"/>
        <w:pageBreakBefore w:val="0"/>
        <w:widowControl/>
        <w:kinsoku/>
        <w:wordWrap/>
        <w:overflowPunct w:val="0"/>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highlight w:val="none"/>
          <w:lang w:eastAsia="zh-CN"/>
        </w:rPr>
      </w:pPr>
    </w:p>
    <w:p w14:paraId="2F53C320">
      <w:pPr>
        <w:keepNext w:val="0"/>
        <w:keepLines w:val="0"/>
        <w:pageBreakBefore w:val="0"/>
        <w:widowControl/>
        <w:kinsoku/>
        <w:wordWrap/>
        <w:overflowPunct w:val="0"/>
        <w:topLinePunct w:val="0"/>
        <w:autoSpaceDE w:val="0"/>
        <w:autoSpaceDN w:val="0"/>
        <w:bidi w:val="0"/>
        <w:adjustRightInd w:val="0"/>
        <w:snapToGrid w:val="0"/>
        <w:spacing w:line="560" w:lineRule="exact"/>
        <w:jc w:val="both"/>
        <w:textAlignment w:val="baseline"/>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w:t>
      </w:r>
    </w:p>
    <w:p w14:paraId="576AF300">
      <w:pPr>
        <w:keepNext w:val="0"/>
        <w:keepLines w:val="0"/>
        <w:pageBreakBefore w:val="0"/>
        <w:widowControl w:val="0"/>
        <w:kinsoku/>
        <w:wordWrap/>
        <w:overflowPunct/>
        <w:topLinePunct w:val="0"/>
        <w:autoSpaceDE/>
        <w:autoSpaceDN/>
        <w:bidi w:val="0"/>
        <w:adjustRightInd w:val="0"/>
        <w:snapToGrid w:val="0"/>
        <w:spacing w:line="540" w:lineRule="exact"/>
        <w:jc w:val="left"/>
        <w:textAlignment w:val="auto"/>
        <w:rPr>
          <w:rFonts w:hint="eastAsia" w:ascii="仿宋_GB2312" w:hAnsi="仿宋_GB2312" w:eastAsia="仿宋_GB2312" w:cs="Times New Roman"/>
          <w:b/>
          <w:sz w:val="32"/>
          <w:szCs w:val="32"/>
          <w:highlight w:val="none"/>
        </w:rPr>
      </w:pPr>
      <w:r>
        <w:rPr>
          <w:rFonts w:hint="eastAsia" w:ascii="仿宋_GB2312" w:hAnsi="仿宋_GB2312" w:eastAsia="仿宋_GB2312" w:cs="Times New Roman"/>
          <w:b/>
          <w:sz w:val="32"/>
          <w:szCs w:val="32"/>
          <w:highlight w:val="none"/>
        </w:rPr>
        <w:t>甲方（盖章）：</w:t>
      </w:r>
      <w:r>
        <w:rPr>
          <w:rFonts w:hint="eastAsia" w:ascii="仿宋_GB2312" w:hAnsi="仿宋_GB2312" w:eastAsia="仿宋_GB2312" w:cs="Times New Roman"/>
          <w:b/>
          <w:sz w:val="32"/>
          <w:szCs w:val="32"/>
          <w:highlight w:val="none"/>
          <w:lang w:val="en-US" w:eastAsia="zh-CN"/>
        </w:rPr>
        <w:t xml:space="preserve">                   </w:t>
      </w:r>
      <w:r>
        <w:rPr>
          <w:rFonts w:hint="eastAsia" w:ascii="仿宋_GB2312" w:hAnsi="仿宋_GB2312" w:eastAsia="仿宋_GB2312" w:cs="Times New Roman"/>
          <w:b/>
          <w:sz w:val="32"/>
          <w:szCs w:val="32"/>
          <w:highlight w:val="none"/>
        </w:rPr>
        <w:t>乙方（盖章）：</w:t>
      </w:r>
    </w:p>
    <w:p w14:paraId="1CC19B64">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eastAsia" w:ascii="仿宋_GB2312" w:hAnsi="仿宋_GB2312" w:eastAsia="仿宋_GB2312" w:cs="仿宋_GB2312"/>
          <w:b/>
          <w:sz w:val="32"/>
          <w:szCs w:val="32"/>
          <w:highlight w:val="none"/>
          <w:lang w:eastAsia="zh-CN"/>
        </w:rPr>
      </w:pPr>
    </w:p>
    <w:p w14:paraId="7990F0E8">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eastAsia" w:ascii="仿宋_GB2312" w:hAnsi="仿宋_GB2312" w:eastAsia="仿宋_GB2312" w:cs="Times New Roman"/>
          <w:b/>
          <w:sz w:val="32"/>
          <w:szCs w:val="32"/>
          <w:highlight w:val="none"/>
        </w:rPr>
      </w:pPr>
      <w:r>
        <w:rPr>
          <w:rFonts w:hint="eastAsia" w:ascii="仿宋_GB2312" w:hAnsi="仿宋_GB2312" w:eastAsia="仿宋_GB2312" w:cs="Times New Roman"/>
          <w:b/>
          <w:sz w:val="32"/>
          <w:szCs w:val="32"/>
          <w:highlight w:val="none"/>
        </w:rPr>
        <w:t>法定代表人或授权人：</w:t>
      </w:r>
      <w:r>
        <w:rPr>
          <w:rFonts w:hint="eastAsia" w:ascii="仿宋_GB2312" w:hAnsi="仿宋_GB2312" w:eastAsia="仿宋_GB2312" w:cs="Times New Roman"/>
          <w:b/>
          <w:sz w:val="32"/>
          <w:szCs w:val="32"/>
          <w:highlight w:val="none"/>
          <w:lang w:val="en-US" w:eastAsia="zh-CN"/>
        </w:rPr>
        <w:t xml:space="preserve">             </w:t>
      </w:r>
      <w:r>
        <w:rPr>
          <w:rFonts w:hint="eastAsia" w:ascii="仿宋_GB2312" w:hAnsi="仿宋_GB2312" w:eastAsia="仿宋_GB2312" w:cs="Times New Roman"/>
          <w:b/>
          <w:sz w:val="32"/>
          <w:szCs w:val="32"/>
          <w:highlight w:val="none"/>
        </w:rPr>
        <w:t>法定代表人或授权人：</w:t>
      </w:r>
    </w:p>
    <w:p w14:paraId="7FA546B7">
      <w:pPr>
        <w:pStyle w:val="21"/>
        <w:rPr>
          <w:rFonts w:hint="eastAsia" w:ascii="仿宋_GB2312" w:hAnsi="仿宋_GB2312" w:eastAsia="仿宋_GB2312" w:cs="仿宋_GB2312"/>
          <w:sz w:val="32"/>
          <w:szCs w:val="32"/>
          <w:highlight w:val="none"/>
        </w:rPr>
      </w:pPr>
    </w:p>
    <w:p w14:paraId="3EF98D8C">
      <w:pPr>
        <w:keepNext w:val="0"/>
        <w:keepLines w:val="0"/>
        <w:pageBreakBefore w:val="0"/>
        <w:widowControl/>
        <w:kinsoku/>
        <w:wordWrap/>
        <w:overflowPunct w:val="0"/>
        <w:topLinePunct w:val="0"/>
        <w:autoSpaceDE w:val="0"/>
        <w:autoSpaceDN w:val="0"/>
        <w:bidi w:val="0"/>
        <w:adjustRightInd w:val="0"/>
        <w:snapToGrid w:val="0"/>
        <w:spacing w:line="560" w:lineRule="exact"/>
        <w:jc w:val="both"/>
        <w:textAlignment w:val="baseline"/>
        <w:rPr>
          <w:rFonts w:hint="eastAsia" w:ascii="仿宋_GB2312" w:hAnsi="仿宋_GB2312" w:eastAsia="仿宋_GB2312" w:cs="Times New Roman"/>
          <w:b/>
          <w:sz w:val="32"/>
          <w:szCs w:val="32"/>
          <w:highlight w:val="none"/>
          <w:lang w:eastAsia="zh-CN"/>
        </w:rPr>
      </w:pPr>
      <w:r>
        <w:rPr>
          <w:rFonts w:hint="eastAsia" w:ascii="仿宋_GB2312" w:hAnsi="仿宋_GB2312" w:eastAsia="仿宋_GB2312" w:cs="Times New Roman"/>
          <w:b/>
          <w:sz w:val="32"/>
          <w:szCs w:val="32"/>
          <w:highlight w:val="none"/>
        </w:rPr>
        <w:t>签订日期：</w:t>
      </w:r>
      <w:r>
        <w:rPr>
          <w:rFonts w:hint="eastAsia" w:ascii="仿宋_GB2312" w:hAnsi="仿宋_GB2312" w:eastAsia="仿宋_GB2312" w:cs="Times New Roman"/>
          <w:b/>
          <w:sz w:val="32"/>
          <w:szCs w:val="32"/>
          <w:highlight w:val="none"/>
          <w:lang w:val="en-US" w:eastAsia="zh-CN"/>
        </w:rPr>
        <w:t xml:space="preserve">                       </w:t>
      </w:r>
      <w:r>
        <w:rPr>
          <w:rFonts w:hint="eastAsia" w:ascii="仿宋_GB2312" w:hAnsi="仿宋_GB2312" w:eastAsia="仿宋_GB2312" w:cs="Times New Roman"/>
          <w:b/>
          <w:sz w:val="32"/>
          <w:szCs w:val="32"/>
          <w:highlight w:val="none"/>
        </w:rPr>
        <w:t>签订日期：</w:t>
      </w:r>
    </w:p>
    <w:p w14:paraId="365F3F50">
      <w:pPr>
        <w:rPr>
          <w:rFonts w:hint="eastAsia" w:ascii="仿宋_GB2312" w:hAnsi="仿宋_GB2312" w:eastAsia="仿宋_GB2312" w:cs="仿宋_GB2312"/>
          <w:b/>
          <w:sz w:val="32"/>
          <w:szCs w:val="32"/>
          <w:highlight w:val="none"/>
        </w:rPr>
      </w:pPr>
      <w:r>
        <w:rPr>
          <w:rFonts w:hint="eastAsia" w:ascii="仿宋_GB2312" w:hAnsi="仿宋_GB2312" w:eastAsia="仿宋_GB2312" w:cs="仿宋_GB2312"/>
          <w:b/>
          <w:sz w:val="32"/>
          <w:szCs w:val="32"/>
          <w:highlight w:val="none"/>
        </w:rPr>
        <w:br w:type="page"/>
      </w:r>
    </w:p>
    <w:p w14:paraId="4DDDEB74">
      <w:pPr>
        <w:pStyle w:val="16"/>
        <w:widowControl/>
        <w:rPr>
          <w:highlight w:val="none"/>
        </w:rPr>
      </w:pPr>
      <mc:AlternateContent>
        <mc:Choice Requires="wpsCustomData">
          <wpsCustomData:docfieldStart id="2" docfieldname="标题_3" hidden="0" print="1" readonly="0" index="3"/>
        </mc:Choice>
      </mc:AlternateContent>
      <w:r>
        <w:rPr>
          <w:highlight w:val="none"/>
        </w:rPr>
        <w:t>投标书</w:t>
      </w:r>
      <mc:AlternateContent>
        <mc:Choice Requires="wpsCustomData">
          <wpsCustomData:docfieldEnd id="2"/>
        </mc:Choice>
      </mc:AlternateContent>
    </w:p>
    <w:p w14:paraId="1B443267">
      <w:pPr>
        <w:pStyle w:val="12"/>
        <w:bidi w:val="0"/>
        <w:spacing w:beforeAutospacing="0" w:afterAutospacing="0" w:line="360" w:lineRule="exact"/>
        <w:rPr>
          <w:highlight w:val="none"/>
        </w:rPr>
      </w:pPr>
    </w:p>
    <w:p w14:paraId="5FB8D1A7">
      <w:pPr>
        <w:pStyle w:val="22"/>
        <w:widowControl/>
        <w:rPr>
          <w:rFonts w:ascii="仿宋_GB2312" w:hAnsi="仿宋_GB2312" w:eastAsia="仿宋_GB2312" w:cs="Times New Roman"/>
          <w:sz w:val="32"/>
          <w:szCs w:val="32"/>
          <w:highlight w:val="none"/>
        </w:rPr>
      </w:pPr>
      <mc:AlternateContent>
        <mc:Choice Requires="wpsCustomData">
          <wpsCustomData:docfieldStart id="3" docfieldname="主送机关_1" hidden="0" print="1" readonly="0" index="8"/>
        </mc:Choice>
      </mc:AlternateContent>
      <w:r>
        <w:rPr>
          <w:rFonts w:ascii="仿宋_GB2312" w:hAnsi="仿宋_GB2312" w:eastAsia="仿宋_GB2312" w:cs="Times New Roman"/>
          <w:sz w:val="32"/>
          <w:szCs w:val="32"/>
          <w:highlight w:val="none"/>
        </w:rPr>
        <w:t>致深圳市物业发展（集团）股份有限公司</w:t>
      </w:r>
      <mc:AlternateContent>
        <mc:Choice Requires="wpsCustomData">
          <wpsCustomData:docfieldEnd id="3"/>
        </mc:Choice>
      </mc:AlternateContent>
      <w:r>
        <w:rPr>
          <w:rFonts w:ascii="仿宋_GB2312" w:hAnsi="仿宋_GB2312" w:eastAsia="仿宋_GB2312" w:cs="Times New Roman"/>
          <w:sz w:val="32"/>
          <w:szCs w:val="32"/>
          <w:highlight w:val="none"/>
        </w:rPr>
        <w:t>：</w:t>
      </w:r>
    </w:p>
    <w:p w14:paraId="47C124DE">
      <w:pPr>
        <w:pStyle w:val="12"/>
        <w:widowControl/>
        <w:rPr>
          <w:rFonts w:ascii="仿宋_GB2312" w:hAnsi="仿宋_GB2312" w:eastAsia="仿宋_GB2312" w:cs="Times New Roman"/>
          <w:sz w:val="32"/>
          <w:highlight w:val="none"/>
        </w:rPr>
      </w:pPr>
      <w:r>
        <w:rPr>
          <w:rFonts w:ascii="仿宋_GB2312" w:hAnsi="仿宋_GB2312" w:eastAsia="仿宋_GB2312" w:cs="Times New Roman"/>
          <w:sz w:val="32"/>
          <w:highlight w:val="none"/>
        </w:rPr>
        <w:t>根据贵方为“聘请第三方中介机构提供2027</w:t>
      </w:r>
      <w:r>
        <w:rPr>
          <w:rFonts w:hint="eastAsia" w:cs="Times New Roman"/>
          <w:sz w:val="32"/>
          <w:highlight w:val="none"/>
          <w:lang w:val="en-US" w:eastAsia="zh-CN"/>
        </w:rPr>
        <w:t>-2029</w:t>
      </w:r>
      <w:bookmarkStart w:id="1" w:name="_GoBack"/>
      <w:bookmarkEnd w:id="1"/>
      <w:r>
        <w:rPr>
          <w:rFonts w:ascii="仿宋_GB2312" w:hAnsi="仿宋_GB2312" w:eastAsia="仿宋_GB2312" w:cs="Times New Roman"/>
          <w:sz w:val="32"/>
          <w:highlight w:val="none"/>
        </w:rPr>
        <w:t>年物业租赁咨询服务项目”的投标邀请，</w:t>
      </w:r>
      <w:r>
        <w:rPr>
          <w:rFonts w:ascii="仿宋_GB2312" w:hAnsi="仿宋_GB2312" w:eastAsia="仿宋_GB2312" w:cs="Times New Roman"/>
          <w:sz w:val="32"/>
          <w:highlight w:val="none"/>
          <w:u w:val="single"/>
        </w:rPr>
        <w:t>签字代表（姓名、职务）</w:t>
      </w:r>
      <w:r>
        <w:rPr>
          <w:rFonts w:ascii="仿宋_GB2312" w:hAnsi="仿宋_GB2312" w:eastAsia="仿宋_GB2312" w:cs="Times New Roman"/>
          <w:sz w:val="32"/>
          <w:highlight w:val="none"/>
        </w:rPr>
        <w:t>经正式授权并代表投标人</w:t>
      </w:r>
      <w:r>
        <w:rPr>
          <w:rFonts w:ascii="仿宋_GB2312" w:hAnsi="仿宋_GB2312" w:eastAsia="仿宋_GB2312" w:cs="Times New Roman"/>
          <w:sz w:val="32"/>
          <w:highlight w:val="none"/>
          <w:u w:val="single"/>
        </w:rPr>
        <w:t>（投标人名称、地址）</w:t>
      </w:r>
      <w:r>
        <w:rPr>
          <w:rFonts w:ascii="仿宋_GB2312" w:hAnsi="仿宋_GB2312" w:eastAsia="仿宋_GB2312" w:cs="Times New Roman"/>
          <w:sz w:val="32"/>
          <w:highlight w:val="none"/>
        </w:rPr>
        <w:t>提交：</w:t>
      </w:r>
    </w:p>
    <w:p w14:paraId="773DF81A">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1.</w:t>
      </w:r>
      <w:r>
        <w:rPr>
          <w:rFonts w:ascii="仿宋_GB2312" w:hAnsi="仿宋_GB2312" w:eastAsia="仿宋_GB2312" w:cs="Times New Roman"/>
          <w:sz w:val="32"/>
          <w:highlight w:val="none"/>
        </w:rPr>
        <w:t>投标书；</w:t>
      </w:r>
    </w:p>
    <w:p w14:paraId="2490D228">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2.</w:t>
      </w:r>
      <w:r>
        <w:rPr>
          <w:rFonts w:ascii="仿宋_GB2312" w:hAnsi="仿宋_GB2312" w:eastAsia="仿宋_GB2312" w:cs="Times New Roman"/>
          <w:sz w:val="32"/>
          <w:highlight w:val="none"/>
        </w:rPr>
        <w:t>报价及收费标准；</w:t>
      </w:r>
    </w:p>
    <w:p w14:paraId="5DE8275B">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3.</w:t>
      </w:r>
      <w:r>
        <w:rPr>
          <w:rFonts w:ascii="仿宋_GB2312" w:hAnsi="仿宋_GB2312" w:eastAsia="仿宋_GB2312" w:cs="Times New Roman"/>
          <w:sz w:val="32"/>
          <w:highlight w:val="none"/>
        </w:rPr>
        <w:t>中介机构简介；</w:t>
      </w:r>
    </w:p>
    <w:p w14:paraId="5C210D0B">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4.</w:t>
      </w:r>
      <w:r>
        <w:rPr>
          <w:rFonts w:ascii="仿宋_GB2312" w:hAnsi="仿宋_GB2312" w:eastAsia="仿宋_GB2312" w:cs="Times New Roman"/>
          <w:sz w:val="32"/>
          <w:highlight w:val="none"/>
        </w:rPr>
        <w:t>项目负责人的简介；</w:t>
      </w:r>
    </w:p>
    <w:p w14:paraId="6F797C78">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5.</w:t>
      </w:r>
      <w:r>
        <w:rPr>
          <w:rFonts w:ascii="仿宋_GB2312" w:hAnsi="仿宋_GB2312" w:eastAsia="仿宋_GB2312" w:cs="Times New Roman"/>
          <w:sz w:val="32"/>
          <w:highlight w:val="none"/>
        </w:rPr>
        <w:t>法定代表人证明书、法定代表人授权书；</w:t>
      </w:r>
    </w:p>
    <w:p w14:paraId="15C9F639">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6.</w:t>
      </w:r>
      <w:r>
        <w:rPr>
          <w:rFonts w:ascii="仿宋_GB2312" w:hAnsi="仿宋_GB2312" w:eastAsia="仿宋_GB2312" w:cs="Times New Roman"/>
          <w:sz w:val="32"/>
          <w:highlight w:val="none"/>
        </w:rPr>
        <w:t>租赁咨询服务工作方案；</w:t>
      </w:r>
    </w:p>
    <w:p w14:paraId="22BF9E7F">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7.</w:t>
      </w:r>
      <w:r>
        <w:rPr>
          <w:rFonts w:ascii="仿宋_GB2312" w:hAnsi="仿宋_GB2312" w:eastAsia="仿宋_GB2312" w:cs="Times New Roman"/>
          <w:sz w:val="32"/>
          <w:highlight w:val="none"/>
        </w:rPr>
        <w:t>服务承诺；</w:t>
      </w:r>
    </w:p>
    <w:p w14:paraId="15920233">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8.</w:t>
      </w:r>
      <w:r>
        <w:rPr>
          <w:rFonts w:ascii="仿宋_GB2312" w:hAnsi="仿宋_GB2312" w:eastAsia="仿宋_GB2312" w:cs="Times New Roman"/>
          <w:sz w:val="32"/>
          <w:highlight w:val="none"/>
        </w:rPr>
        <w:t>提供2021年以来类似业务的成功合作案例；</w:t>
      </w:r>
    </w:p>
    <w:p w14:paraId="0C550F7C">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9.</w:t>
      </w:r>
      <w:r>
        <w:rPr>
          <w:rFonts w:ascii="仿宋_GB2312" w:hAnsi="仿宋_GB2312" w:eastAsia="仿宋_GB2312" w:cs="Times New Roman"/>
          <w:sz w:val="32"/>
          <w:highlight w:val="none"/>
        </w:rPr>
        <w:t>资格证明文件；</w:t>
      </w:r>
    </w:p>
    <w:p w14:paraId="5BF1133B">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10.</w:t>
      </w:r>
      <w:r>
        <w:rPr>
          <w:rFonts w:ascii="仿宋_GB2312" w:hAnsi="仿宋_GB2312" w:eastAsia="仿宋_GB2312" w:cs="Times New Roman"/>
          <w:sz w:val="32"/>
          <w:highlight w:val="none"/>
        </w:rPr>
        <w:t>其他证明文件。</w:t>
      </w:r>
    </w:p>
    <w:p w14:paraId="40671EAA">
      <w:pPr>
        <w:pStyle w:val="12"/>
        <w:widowControl/>
        <w:rPr>
          <w:rFonts w:ascii="仿宋_GB2312" w:hAnsi="仿宋_GB2312" w:eastAsia="仿宋_GB2312" w:cs="Times New Roman"/>
          <w:sz w:val="32"/>
          <w:highlight w:val="none"/>
        </w:rPr>
      </w:pPr>
      <w:r>
        <w:rPr>
          <w:rFonts w:ascii="仿宋_GB2312" w:hAnsi="仿宋_GB2312" w:eastAsia="仿宋_GB2312" w:cs="Times New Roman"/>
          <w:sz w:val="32"/>
          <w:highlight w:val="none"/>
        </w:rPr>
        <w:t>据此函，签字代表宣布同意如下：</w:t>
      </w:r>
    </w:p>
    <w:p w14:paraId="4A1386BD">
      <w:pPr>
        <w:pStyle w:val="12"/>
        <w:widowControl/>
        <w:numPr>
          <w:ilvl w:val="0"/>
          <w:numId w:val="0"/>
        </w:numPr>
        <w:ind w:left="0" w:leftChars="0" w:firstLine="616"/>
        <w:rPr>
          <w:rFonts w:ascii="仿宋_GB2312" w:hAnsi="仿宋_GB2312" w:eastAsia="仿宋_GB2312" w:cs="Times New Roman"/>
          <w:b w:val="0"/>
          <w:sz w:val="32"/>
          <w:highlight w:val="none"/>
          <w:u w:val="single"/>
        </w:rPr>
      </w:pPr>
      <w:r>
        <w:rPr>
          <w:rFonts w:hint="eastAsia" w:cs="Times New Roman"/>
          <w:sz w:val="32"/>
          <w:highlight w:val="none"/>
          <w:lang w:eastAsia="zh-CN"/>
        </w:rPr>
        <w:t>1.</w:t>
      </w:r>
      <w:r>
        <w:rPr>
          <w:rFonts w:ascii="仿宋_GB2312" w:hAnsi="仿宋_GB2312" w:eastAsia="仿宋_GB2312" w:cs="Times New Roman"/>
          <w:sz w:val="32"/>
          <w:highlight w:val="none"/>
        </w:rPr>
        <w:t>本次投标报价为（注明币种），大写</w:t>
      </w:r>
      <w:r>
        <w:rPr>
          <w:rFonts w:ascii="仿宋_GB2312" w:hAnsi="仿宋_GB2312" w:eastAsia="仿宋_GB2312" w:cs="Times New Roman"/>
          <w:sz w:val="32"/>
          <w:highlight w:val="none"/>
          <w:u w:val="none"/>
        </w:rPr>
        <w:t>；</w:t>
      </w:r>
    </w:p>
    <w:p w14:paraId="72E11E9D">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2.</w:t>
      </w:r>
      <w:r>
        <w:rPr>
          <w:rFonts w:ascii="仿宋_GB2312" w:hAnsi="仿宋_GB2312" w:eastAsia="仿宋_GB2312" w:cs="Times New Roman"/>
          <w:sz w:val="32"/>
          <w:highlight w:val="none"/>
        </w:rPr>
        <w:t>投标人将按“招标文件”的规定履行责任和义务；</w:t>
      </w:r>
    </w:p>
    <w:p w14:paraId="0260ADFC">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3.</w:t>
      </w:r>
      <w:r>
        <w:rPr>
          <w:rFonts w:ascii="仿宋_GB2312" w:hAnsi="仿宋_GB2312" w:eastAsia="仿宋_GB2312" w:cs="Times New Roman"/>
          <w:sz w:val="32"/>
          <w:highlight w:val="none"/>
        </w:rPr>
        <w:t>投标人已详细审查全部“招标文件”，包括修改文件（如有的话）、参考资料以及有关附件。我们完全理解并同意放弃对这方面有不明及误解的权利；</w:t>
      </w:r>
    </w:p>
    <w:p w14:paraId="55EDCD1B">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4.</w:t>
      </w:r>
      <w:r>
        <w:rPr>
          <w:rFonts w:ascii="仿宋_GB2312" w:hAnsi="仿宋_GB2312" w:eastAsia="仿宋_GB2312" w:cs="Times New Roman"/>
          <w:sz w:val="32"/>
          <w:highlight w:val="none"/>
        </w:rPr>
        <w:t>本投标有效期为30个工作日。</w:t>
      </w:r>
    </w:p>
    <w:p w14:paraId="5D828602">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5.</w:t>
      </w:r>
      <w:r>
        <w:rPr>
          <w:rFonts w:ascii="仿宋_GB2312" w:hAnsi="仿宋_GB2312" w:eastAsia="仿宋_GB2312" w:cs="Times New Roman"/>
          <w:sz w:val="32"/>
          <w:highlight w:val="none"/>
        </w:rPr>
        <w:t>投标人同意提供，按照贵方要求与投标有关的一切数据或资料，并理解贵方不一定接受最低价的投标。</w:t>
      </w:r>
    </w:p>
    <w:p w14:paraId="287E7006">
      <w:pPr>
        <w:keepNext w:val="0"/>
        <w:keepLines w:val="0"/>
        <w:pageBreakBefore w:val="0"/>
        <w:widowControl/>
        <w:kinsoku/>
        <w:wordWrap/>
        <w:overflowPunct w:val="0"/>
        <w:topLinePunct w:val="0"/>
        <w:autoSpaceDE w:val="0"/>
        <w:autoSpaceDN w:val="0"/>
        <w:bidi w:val="0"/>
        <w:adjustRightInd w:val="0"/>
        <w:snapToGrid w:val="0"/>
        <w:spacing w:line="560" w:lineRule="exact"/>
        <w:jc w:val="both"/>
        <w:textAlignment w:val="baseline"/>
        <w:rPr>
          <w:rFonts w:hint="eastAsia" w:ascii="仿宋_GB2312" w:hAnsi="仿宋_GB2312" w:eastAsia="仿宋_GB2312" w:cs="仿宋_GB2312"/>
          <w:sz w:val="32"/>
          <w:szCs w:val="32"/>
          <w:highlight w:val="none"/>
        </w:rPr>
      </w:pPr>
    </w:p>
    <w:p w14:paraId="2C290BAA">
      <w:pPr>
        <w:keepNext w:val="0"/>
        <w:keepLines w:val="0"/>
        <w:pageBreakBefore w:val="0"/>
        <w:widowControl/>
        <w:kinsoku/>
        <w:wordWrap/>
        <w:overflowPunct w:val="0"/>
        <w:topLinePunct w:val="0"/>
        <w:autoSpaceDE w:val="0"/>
        <w:autoSpaceDN w:val="0"/>
        <w:bidi w:val="0"/>
        <w:adjustRightInd w:val="0"/>
        <w:snapToGrid w:val="0"/>
        <w:spacing w:line="560" w:lineRule="exact"/>
        <w:jc w:val="both"/>
        <w:textAlignment w:val="baseline"/>
        <w:rPr>
          <w:rFonts w:hint="eastAsia" w:ascii="仿宋_GB2312" w:hAnsi="仿宋_GB2312" w:eastAsia="仿宋_GB2312" w:cs="仿宋_GB2312"/>
          <w:sz w:val="32"/>
          <w:szCs w:val="32"/>
          <w:highlight w:val="none"/>
        </w:rPr>
      </w:pPr>
    </w:p>
    <w:p w14:paraId="2FEE35D4">
      <w:pPr>
        <w:keepNext w:val="0"/>
        <w:keepLines w:val="0"/>
        <w:pageBreakBefore w:val="0"/>
        <w:widowControl/>
        <w:kinsoku/>
        <w:wordWrap/>
        <w:overflowPunct w:val="0"/>
        <w:topLinePunct w:val="0"/>
        <w:autoSpaceDE w:val="0"/>
        <w:autoSpaceDN w:val="0"/>
        <w:bidi w:val="0"/>
        <w:adjustRightInd w:val="0"/>
        <w:snapToGrid w:val="0"/>
        <w:spacing w:line="560" w:lineRule="exact"/>
        <w:jc w:val="both"/>
        <w:textAlignment w:val="baseline"/>
        <w:rPr>
          <w:rFonts w:hint="eastAsia" w:ascii="仿宋_GB2312" w:hAnsi="仿宋_GB2312" w:eastAsia="仿宋_GB2312" w:cs="仿宋_GB2312"/>
          <w:sz w:val="32"/>
          <w:szCs w:val="32"/>
          <w:highlight w:val="none"/>
        </w:rPr>
      </w:pPr>
    </w:p>
    <w:p w14:paraId="67ACEEFA">
      <w:pPr>
        <w:keepNext w:val="0"/>
        <w:keepLines w:val="0"/>
        <w:pageBreakBefore w:val="0"/>
        <w:widowControl/>
        <w:kinsoku/>
        <w:wordWrap/>
        <w:overflowPunct w:val="0"/>
        <w:topLinePunct w:val="0"/>
        <w:autoSpaceDE w:val="0"/>
        <w:autoSpaceDN w:val="0"/>
        <w:bidi w:val="0"/>
        <w:adjustRightInd w:val="0"/>
        <w:snapToGrid w:val="0"/>
        <w:spacing w:line="560" w:lineRule="exact"/>
        <w:jc w:val="both"/>
        <w:textAlignment w:val="baseline"/>
        <w:rPr>
          <w:rFonts w:hint="eastAsia" w:ascii="仿宋_GB2312" w:hAnsi="仿宋_GB2312" w:eastAsia="仿宋_GB2312" w:cs="Times New Roman"/>
          <w:sz w:val="32"/>
          <w:szCs w:val="32"/>
          <w:highlight w:val="none"/>
          <w:lang w:eastAsia="zh-CN"/>
        </w:rPr>
      </w:pPr>
      <w:r>
        <w:rPr>
          <w:rFonts w:hint="eastAsia" w:ascii="仿宋_GB2312" w:hAnsi="仿宋_GB2312" w:eastAsia="仿宋_GB2312" w:cs="Times New Roman"/>
          <w:sz w:val="32"/>
          <w:szCs w:val="32"/>
          <w:highlight w:val="none"/>
        </w:rPr>
        <w:t>投标</w:t>
      </w:r>
      <w:r>
        <w:rPr>
          <w:rFonts w:hint="eastAsia" w:ascii="仿宋_GB2312" w:hAnsi="仿宋_GB2312" w:eastAsia="仿宋_GB2312" w:cs="Times New Roman"/>
          <w:sz w:val="32"/>
          <w:szCs w:val="32"/>
          <w:highlight w:val="none"/>
          <w:lang w:val="en-US" w:eastAsia="zh-CN"/>
        </w:rPr>
        <w:t>人</w:t>
      </w:r>
      <w:r>
        <w:rPr>
          <w:rFonts w:hint="eastAsia" w:ascii="仿宋_GB2312" w:hAnsi="仿宋_GB2312" w:eastAsia="仿宋_GB2312" w:cs="Times New Roman"/>
          <w:sz w:val="32"/>
          <w:szCs w:val="32"/>
          <w:highlight w:val="none"/>
        </w:rPr>
        <w:t>名称（公章）</w:t>
      </w:r>
      <w:r>
        <w:rPr>
          <w:rFonts w:hint="eastAsia" w:ascii="仿宋_GB2312" w:hAnsi="仿宋_GB2312" w:eastAsia="仿宋_GB2312" w:cs="Times New Roman"/>
          <w:sz w:val="32"/>
          <w:szCs w:val="32"/>
          <w:highlight w:val="none"/>
          <w:lang w:eastAsia="zh-CN"/>
        </w:rPr>
        <w:t>：</w:t>
      </w:r>
    </w:p>
    <w:p w14:paraId="01134211">
      <w:pPr>
        <w:keepNext w:val="0"/>
        <w:keepLines w:val="0"/>
        <w:pageBreakBefore w:val="0"/>
        <w:widowControl/>
        <w:kinsoku/>
        <w:wordWrap/>
        <w:overflowPunct w:val="0"/>
        <w:topLinePunct w:val="0"/>
        <w:autoSpaceDE w:val="0"/>
        <w:autoSpaceDN w:val="0"/>
        <w:bidi w:val="0"/>
        <w:adjustRightInd w:val="0"/>
        <w:snapToGrid w:val="0"/>
        <w:spacing w:line="560" w:lineRule="exact"/>
        <w:jc w:val="both"/>
        <w:textAlignment w:val="baseline"/>
        <w:rPr>
          <w:rFonts w:hint="eastAsia" w:ascii="仿宋_GB2312" w:hAnsi="仿宋_GB2312" w:eastAsia="仿宋_GB2312" w:cs="仿宋_GB2312"/>
          <w:sz w:val="32"/>
          <w:szCs w:val="32"/>
          <w:highlight w:val="none"/>
        </w:rPr>
      </w:pPr>
    </w:p>
    <w:p w14:paraId="555C1005">
      <w:pPr>
        <w:keepNext w:val="0"/>
        <w:keepLines w:val="0"/>
        <w:pageBreakBefore w:val="0"/>
        <w:widowControl/>
        <w:kinsoku/>
        <w:wordWrap/>
        <w:overflowPunct w:val="0"/>
        <w:topLinePunct w:val="0"/>
        <w:autoSpaceDE w:val="0"/>
        <w:autoSpaceDN w:val="0"/>
        <w:bidi w:val="0"/>
        <w:adjustRightInd w:val="0"/>
        <w:snapToGrid w:val="0"/>
        <w:spacing w:line="560" w:lineRule="exact"/>
        <w:jc w:val="both"/>
        <w:textAlignment w:val="baseline"/>
        <w:rPr>
          <w:rFonts w:hint="eastAsia" w:ascii="仿宋_GB2312" w:hAnsi="仿宋_GB2312" w:eastAsia="仿宋_GB2312" w:cs="仿宋_GB2312"/>
          <w:sz w:val="32"/>
          <w:szCs w:val="32"/>
          <w:highlight w:val="none"/>
        </w:rPr>
      </w:pPr>
    </w:p>
    <w:p w14:paraId="292B34E2">
      <w:pPr>
        <w:keepNext w:val="0"/>
        <w:keepLines w:val="0"/>
        <w:pageBreakBefore w:val="0"/>
        <w:widowControl/>
        <w:kinsoku/>
        <w:wordWrap/>
        <w:overflowPunct w:val="0"/>
        <w:topLinePunct w:val="0"/>
        <w:autoSpaceDE w:val="0"/>
        <w:autoSpaceDN w:val="0"/>
        <w:bidi w:val="0"/>
        <w:adjustRightInd w:val="0"/>
        <w:snapToGrid w:val="0"/>
        <w:spacing w:line="560" w:lineRule="exact"/>
        <w:jc w:val="both"/>
        <w:textAlignment w:val="baseline"/>
        <w:rPr>
          <w:rFonts w:hint="eastAsia" w:ascii="仿宋_GB2312" w:hAnsi="仿宋_GB2312" w:eastAsia="仿宋_GB2312" w:cs="Times New Roman"/>
          <w:sz w:val="32"/>
          <w:szCs w:val="32"/>
          <w:highlight w:val="none"/>
          <w:lang w:eastAsia="zh-CN"/>
        </w:rPr>
      </w:pPr>
      <w:r>
        <w:rPr>
          <w:rFonts w:hint="eastAsia" w:ascii="仿宋_GB2312" w:hAnsi="仿宋_GB2312" w:eastAsia="仿宋_GB2312" w:cs="Times New Roman"/>
          <w:sz w:val="32"/>
          <w:szCs w:val="32"/>
          <w:highlight w:val="none"/>
        </w:rPr>
        <w:t>法人或授权代表签字：</w:t>
      </w:r>
    </w:p>
    <w:p w14:paraId="1F6FCB68">
      <w:pPr>
        <w:keepNext w:val="0"/>
        <w:keepLines w:val="0"/>
        <w:pageBreakBefore w:val="0"/>
        <w:widowControl/>
        <w:kinsoku/>
        <w:wordWrap/>
        <w:overflowPunct w:val="0"/>
        <w:topLinePunct w:val="0"/>
        <w:autoSpaceDE w:val="0"/>
        <w:autoSpaceDN w:val="0"/>
        <w:bidi w:val="0"/>
        <w:adjustRightInd w:val="0"/>
        <w:snapToGrid w:val="0"/>
        <w:spacing w:line="560" w:lineRule="exact"/>
        <w:jc w:val="both"/>
        <w:textAlignment w:val="baseline"/>
        <w:rPr>
          <w:rFonts w:hint="eastAsia" w:ascii="仿宋_GB2312" w:hAnsi="仿宋_GB2312" w:eastAsia="仿宋_GB2312" w:cs="仿宋_GB2312"/>
          <w:sz w:val="32"/>
          <w:szCs w:val="32"/>
          <w:highlight w:val="none"/>
        </w:rPr>
      </w:pPr>
    </w:p>
    <w:p w14:paraId="468E7EFD">
      <w:pPr>
        <w:keepNext w:val="0"/>
        <w:keepLines w:val="0"/>
        <w:pageBreakBefore w:val="0"/>
        <w:widowControl/>
        <w:kinsoku/>
        <w:wordWrap/>
        <w:overflowPunct w:val="0"/>
        <w:topLinePunct w:val="0"/>
        <w:autoSpaceDE w:val="0"/>
        <w:autoSpaceDN w:val="0"/>
        <w:bidi w:val="0"/>
        <w:adjustRightInd w:val="0"/>
        <w:snapToGrid w:val="0"/>
        <w:spacing w:line="560" w:lineRule="exact"/>
        <w:jc w:val="both"/>
        <w:textAlignment w:val="baseline"/>
        <w:rPr>
          <w:rFonts w:hint="eastAsia" w:ascii="仿宋_GB2312" w:hAnsi="仿宋_GB2312" w:eastAsia="仿宋_GB2312" w:cs="仿宋_GB2312"/>
          <w:sz w:val="32"/>
          <w:szCs w:val="32"/>
          <w:highlight w:val="none"/>
        </w:rPr>
      </w:pPr>
    </w:p>
    <w:p w14:paraId="0C4FFF6E">
      <w:pPr>
        <w:keepNext w:val="0"/>
        <w:keepLines w:val="0"/>
        <w:pageBreakBefore w:val="0"/>
        <w:widowControl/>
        <w:kinsoku/>
        <w:wordWrap/>
        <w:overflowPunct w:val="0"/>
        <w:topLinePunct w:val="0"/>
        <w:autoSpaceDE w:val="0"/>
        <w:autoSpaceDN w:val="0"/>
        <w:bidi w:val="0"/>
        <w:adjustRightInd w:val="0"/>
        <w:snapToGrid w:val="0"/>
        <w:spacing w:line="560" w:lineRule="exact"/>
        <w:jc w:val="both"/>
        <w:textAlignment w:val="baseline"/>
        <w:rPr>
          <w:rFonts w:hint="eastAsia" w:ascii="仿宋_GB2312" w:hAnsi="仿宋_GB2312" w:eastAsia="仿宋_GB2312" w:cs="Times New Roman"/>
          <w:sz w:val="32"/>
          <w:szCs w:val="32"/>
          <w:highlight w:val="none"/>
        </w:rPr>
      </w:pPr>
      <w:r>
        <w:rPr>
          <w:rFonts w:hint="eastAsia" w:ascii="仿宋_GB2312" w:hAnsi="仿宋_GB2312" w:eastAsia="仿宋_GB2312" w:cs="Times New Roman"/>
          <w:sz w:val="32"/>
          <w:szCs w:val="32"/>
          <w:highlight w:val="none"/>
        </w:rPr>
        <w:t>日期：年月日</w:t>
      </w:r>
    </w:p>
    <w:p w14:paraId="08C75056">
      <w:pPr>
        <w:keepNext w:val="0"/>
        <w:keepLines w:val="0"/>
        <w:pageBreakBefore w:val="0"/>
        <w:widowControl/>
        <w:kinsoku/>
        <w:wordWrap/>
        <w:overflowPunct w:val="0"/>
        <w:topLinePunct w:val="0"/>
        <w:autoSpaceDE w:val="0"/>
        <w:autoSpaceDN w:val="0"/>
        <w:bidi w:val="0"/>
        <w:adjustRightInd w:val="0"/>
        <w:snapToGrid w:val="0"/>
        <w:jc w:val="both"/>
        <w:textAlignment w:val="baseline"/>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br w:type="page"/>
      </w:r>
    </w:p>
    <w:p w14:paraId="5C21A63C">
      <w:pPr>
        <w:keepNext w:val="0"/>
        <w:keepLines w:val="0"/>
        <w:pageBreakBefore w:val="0"/>
        <w:widowControl/>
        <w:kinsoku/>
        <w:wordWrap/>
        <w:overflowPunct w:val="0"/>
        <w:topLinePunct w:val="0"/>
        <w:autoSpaceDE w:val="0"/>
        <w:autoSpaceDN w:val="0"/>
        <w:bidi w:val="0"/>
        <w:adjustRightInd w:val="0"/>
        <w:snapToGrid w:val="0"/>
        <w:spacing w:line="560" w:lineRule="exact"/>
        <w:jc w:val="center"/>
        <w:textAlignment w:val="baseline"/>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项目廉洁承诺书</w:t>
      </w:r>
    </w:p>
    <w:p w14:paraId="22505D53">
      <w:pPr>
        <w:keepNext w:val="0"/>
        <w:keepLines w:val="0"/>
        <w:pageBreakBefore w:val="0"/>
        <w:widowControl/>
        <w:kinsoku/>
        <w:wordWrap/>
        <w:overflowPunct w:val="0"/>
        <w:topLinePunct w:val="0"/>
        <w:autoSpaceDE w:val="0"/>
        <w:autoSpaceDN w:val="0"/>
        <w:bidi w:val="0"/>
        <w:adjustRightInd w:val="0"/>
        <w:snapToGrid w:val="0"/>
        <w:spacing w:line="276" w:lineRule="auto"/>
        <w:ind w:firstLine="482"/>
        <w:jc w:val="both"/>
        <w:textAlignment w:val="baseline"/>
        <w:rPr>
          <w:rFonts w:ascii="宋体" w:hAnsi="宋体"/>
          <w:b/>
          <w:sz w:val="24"/>
          <w:highlight w:val="none"/>
        </w:rPr>
      </w:pPr>
    </w:p>
    <w:p w14:paraId="45C45B06">
      <w:pPr>
        <w:keepNext w:val="0"/>
        <w:keepLines w:val="0"/>
        <w:pageBreakBefore w:val="0"/>
        <w:widowControl/>
        <w:kinsoku/>
        <w:wordWrap/>
        <w:overflowPunct w:val="0"/>
        <w:topLinePunct w:val="0"/>
        <w:autoSpaceDE w:val="0"/>
        <w:autoSpaceDN w:val="0"/>
        <w:bidi w:val="0"/>
        <w:adjustRightInd w:val="0"/>
        <w:snapToGrid w:val="0"/>
        <w:ind w:firstLine="420"/>
        <w:jc w:val="both"/>
        <w:textAlignment w:val="baseline"/>
        <w:rPr>
          <w:rFonts w:ascii="宋体" w:hAnsi="宋体"/>
          <w:highlight w:val="none"/>
        </w:rPr>
      </w:pPr>
    </w:p>
    <w:p w14:paraId="31943823">
      <w:pPr>
        <w:pStyle w:val="22"/>
        <w:widowControl/>
        <w:rPr>
          <w:rFonts w:hint="eastAsia" w:ascii="仿宋_GB2312" w:hAnsi="仿宋_GB2312" w:eastAsia="仿宋_GB2312" w:cs="Times New Roman"/>
          <w:sz w:val="32"/>
          <w:szCs w:val="32"/>
          <w:highlight w:val="none"/>
          <w:u w:val="single"/>
          <w:lang w:eastAsia="zh-CN"/>
        </w:rPr>
      </w:pPr>
      <w:r>
        <w:rPr>
          <w:rFonts w:ascii="仿宋_GB2312" w:hAnsi="仿宋_GB2312" w:eastAsia="仿宋_GB2312" w:cs="Times New Roman"/>
          <w:sz w:val="32"/>
          <w:szCs w:val="32"/>
          <w:highlight w:val="none"/>
        </w:rPr>
        <w:t>致：</w:t>
      </w:r>
      <w:r>
        <w:rPr>
          <w:rFonts w:ascii="仿宋_GB2312" w:hAnsi="仿宋_GB2312" w:eastAsia="仿宋_GB2312" w:cs="Times New Roman"/>
          <w:sz w:val="32"/>
          <w:szCs w:val="32"/>
          <w:highlight w:val="none"/>
          <w:u w:val="single"/>
        </w:rPr>
        <w:t>（招标人名称）</w:t>
      </w:r>
    </w:p>
    <w:p w14:paraId="3B80825B">
      <w:pPr>
        <w:pStyle w:val="12"/>
        <w:widowControl/>
        <w:rPr>
          <w:rFonts w:ascii="仿宋_GB2312" w:hAnsi="仿宋_GB2312" w:eastAsia="仿宋_GB2312" w:cs="Times New Roman"/>
          <w:sz w:val="32"/>
          <w:highlight w:val="none"/>
        </w:rPr>
      </w:pPr>
      <w:r>
        <w:rPr>
          <w:rFonts w:ascii="仿宋_GB2312" w:hAnsi="仿宋_GB2312" w:eastAsia="仿宋_GB2312" w:cs="Times New Roman"/>
          <w:sz w:val="32"/>
          <w:highlight w:val="none"/>
        </w:rPr>
        <w:t>现本公司投标或参与贵公司项目，为保证项目优质、高效、健康、廉洁、有序地进行，有效预防和禁止商业贿赂，防止腐败及其他不正当行为的发生，本公司特向贵公司提交以下不可撤销承诺。</w:t>
      </w:r>
    </w:p>
    <w:p w14:paraId="0C4A5BE6">
      <w:pPr>
        <w:pStyle w:val="12"/>
        <w:widowControl/>
        <w:numPr>
          <w:ilvl w:val="0"/>
          <w:numId w:val="0"/>
        </w:numPr>
        <w:ind w:left="0" w:leftChars="0" w:firstLine="619"/>
        <w:rPr>
          <w:rFonts w:ascii="仿宋_GB2312" w:hAnsi="仿宋_GB2312" w:eastAsia="仿宋_GB2312" w:cs="Times New Roman"/>
          <w:b/>
          <w:sz w:val="32"/>
          <w:highlight w:val="none"/>
        </w:rPr>
      </w:pPr>
      <w:r>
        <w:rPr>
          <w:rFonts w:hint="eastAsia" w:cs="Times New Roman"/>
          <w:b/>
          <w:sz w:val="32"/>
          <w:highlight w:val="none"/>
          <w:lang w:eastAsia="zh-CN"/>
        </w:rPr>
        <w:t>一、</w:t>
      </w:r>
      <w:r>
        <w:rPr>
          <w:rFonts w:ascii="仿宋_GB2312" w:hAnsi="仿宋_GB2312" w:eastAsia="仿宋_GB2312" w:cs="Times New Roman"/>
          <w:b/>
          <w:sz w:val="32"/>
          <w:highlight w:val="none"/>
        </w:rPr>
        <w:t>在项目招投标和合作期间，本公司及工作人员承诺并履行以下廉洁义务：</w:t>
      </w:r>
    </w:p>
    <w:p w14:paraId="54F1C1F4">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1.</w:t>
      </w:r>
      <w:r>
        <w:rPr>
          <w:rFonts w:ascii="仿宋_GB2312" w:hAnsi="仿宋_GB2312" w:eastAsia="仿宋_GB2312" w:cs="Times New Roman"/>
          <w:sz w:val="32"/>
          <w:highlight w:val="none"/>
        </w:rPr>
        <w:t>本公司及工作人员清楚并愿意严格遵守《中华人民共和国反不正当竞争法》等法律法规和廉洁从业规定，坚持公开、公平、公正、诚实信用原则，不损害国家、社会公共利益和贵公司的合法权益。</w:t>
      </w:r>
    </w:p>
    <w:p w14:paraId="36A3C94B">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2.</w:t>
      </w:r>
      <w:r>
        <w:rPr>
          <w:rFonts w:ascii="仿宋_GB2312" w:hAnsi="仿宋_GB2312" w:eastAsia="仿宋_GB2312" w:cs="Times New Roman"/>
          <w:sz w:val="32"/>
          <w:highlight w:val="none"/>
        </w:rPr>
        <w:t>本公司</w:t>
      </w:r>
      <w:r>
        <w:rPr>
          <w:rFonts w:hint="eastAsia" w:cs="Times New Roman"/>
          <w:sz w:val="32"/>
          <w:highlight w:val="none"/>
          <w:lang w:eastAsia="zh-CN"/>
        </w:rPr>
        <w:t>及其</w:t>
      </w:r>
      <w:r>
        <w:rPr>
          <w:rFonts w:ascii="仿宋_GB2312" w:hAnsi="仿宋_GB2312" w:eastAsia="仿宋_GB2312" w:cs="Times New Roman"/>
          <w:sz w:val="32"/>
          <w:highlight w:val="none"/>
        </w:rPr>
        <w:t>工作人员不以任何理由和形式向本项目招标单位（以下简称甲方）及其工作人员、其他相关方（包括甲方委托办理业务的相关单位和人员，甲方及其相关方配偶、子女等亲属，下同）收受、提供、给予协议约</w:t>
      </w:r>
      <w:r>
        <w:rPr>
          <w:rFonts w:hint="eastAsia" w:cs="Times New Roman"/>
          <w:sz w:val="32"/>
          <w:highlight w:val="none"/>
          <w:lang w:eastAsia="zh-CN"/>
        </w:rPr>
        <w:t>定以</w:t>
      </w:r>
      <w:r>
        <w:rPr>
          <w:rFonts w:ascii="仿宋_GB2312" w:hAnsi="仿宋_GB2312" w:eastAsia="仿宋_GB2312" w:cs="Times New Roman"/>
          <w:sz w:val="32"/>
          <w:highlight w:val="none"/>
        </w:rPr>
        <w:t>外的任何利益，包括但不限于明扣、暗扣、现金、购物卡、实物、有价证券等物质性利益或其他非物质性利益。</w:t>
      </w:r>
    </w:p>
    <w:p w14:paraId="540F9C55">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3.</w:t>
      </w:r>
      <w:r>
        <w:rPr>
          <w:rFonts w:ascii="仿宋_GB2312" w:hAnsi="仿宋_GB2312" w:eastAsia="仿宋_GB2312" w:cs="Times New Roman"/>
          <w:sz w:val="32"/>
          <w:highlight w:val="none"/>
        </w:rPr>
        <w:t>本公司确认并同意本廉洁承诺书的见证单位为深圳市物业发展（集团）股份有限公司纪检监察室，授权见证单位及中共深圳市物业发展（集团）股份有限公司纪律检查委员会（简称深物业集团纪委）监督本廉洁承诺书执行情况，提出在本承诺书规定范围内的处理意见。</w:t>
      </w:r>
    </w:p>
    <w:p w14:paraId="358CF005">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4.</w:t>
      </w:r>
      <w:r>
        <w:rPr>
          <w:rFonts w:ascii="仿宋_GB2312" w:hAnsi="仿宋_GB2312" w:eastAsia="仿宋_GB2312" w:cs="Times New Roman"/>
          <w:sz w:val="32"/>
          <w:highlight w:val="none"/>
        </w:rPr>
        <w:t>本公司及工作人员面对甲方及有关管理人员的违法、违规行为或不正当要求时，本公司将</w:t>
      </w:r>
      <w:r>
        <w:rPr>
          <w:rFonts w:hint="eastAsia" w:cs="Times New Roman"/>
          <w:sz w:val="32"/>
          <w:highlight w:val="none"/>
          <w:lang w:eastAsia="zh-CN"/>
        </w:rPr>
        <w:t>随时</w:t>
      </w:r>
      <w:r>
        <w:rPr>
          <w:rFonts w:ascii="仿宋_GB2312" w:hAnsi="仿宋_GB2312" w:eastAsia="仿宋_GB2312" w:cs="Times New Roman"/>
          <w:sz w:val="32"/>
          <w:highlight w:val="none"/>
        </w:rPr>
        <w:t>主动向甲方纪检监察部门举报。甲方见证及监督举报联系电话：0755－82212550，举报邮箱：swyjjs＠szwuye.com.cn。</w:t>
      </w:r>
    </w:p>
    <w:p w14:paraId="3FF4E885">
      <w:pPr>
        <w:pStyle w:val="12"/>
        <w:widowControl/>
        <w:numPr>
          <w:ilvl w:val="0"/>
          <w:numId w:val="0"/>
        </w:numPr>
        <w:ind w:left="0" w:leftChars="0" w:firstLine="619"/>
        <w:rPr>
          <w:rFonts w:ascii="仿宋_GB2312" w:hAnsi="仿宋_GB2312" w:eastAsia="仿宋_GB2312" w:cs="Times New Roman"/>
          <w:b/>
          <w:sz w:val="32"/>
          <w:highlight w:val="none"/>
        </w:rPr>
      </w:pPr>
      <w:r>
        <w:rPr>
          <w:rFonts w:hint="eastAsia" w:cs="Times New Roman"/>
          <w:b/>
          <w:sz w:val="32"/>
          <w:highlight w:val="none"/>
          <w:lang w:eastAsia="zh-CN"/>
        </w:rPr>
        <w:t>二、</w:t>
      </w:r>
      <w:r>
        <w:rPr>
          <w:rFonts w:ascii="仿宋_GB2312" w:hAnsi="仿宋_GB2312" w:eastAsia="仿宋_GB2312" w:cs="Times New Roman"/>
          <w:b/>
          <w:sz w:val="32"/>
          <w:highlight w:val="none"/>
        </w:rPr>
        <w:t>若本公司及工作人员违反本廉洁承诺书的有关约定，本公司承诺承担以下违约责任及后果：</w:t>
      </w:r>
    </w:p>
    <w:p w14:paraId="1AB0FD30">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1.</w:t>
      </w:r>
      <w:r>
        <w:rPr>
          <w:rFonts w:ascii="仿宋_GB2312" w:hAnsi="仿宋_GB2312" w:eastAsia="仿宋_GB2312" w:cs="Times New Roman"/>
          <w:sz w:val="32"/>
          <w:highlight w:val="none"/>
        </w:rPr>
        <w:t>本公司或本公司工作人员如违反本廉洁承诺书所承诺的行为造成甲方损失，本公司将承担全部赔偿责任；同时视情节轻重，本公司将向甲方支付合同总额的1％—10％（赔偿比例由双方协商确定，最高不超过合同总额的10％，最低不低于合同总额的1％）的违约金，并在5年内不得参加深圳市物业发展（集团）股份有限公司及其所属企业的任何项目投标活动和业务合作。</w:t>
      </w:r>
    </w:p>
    <w:p w14:paraId="7593CF2B">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2.</w:t>
      </w:r>
      <w:r>
        <w:rPr>
          <w:rFonts w:ascii="仿宋_GB2312" w:hAnsi="仿宋_GB2312" w:eastAsia="仿宋_GB2312" w:cs="Times New Roman"/>
          <w:sz w:val="32"/>
          <w:highlight w:val="none"/>
        </w:rPr>
        <w:t>在项目招投标和合作期间，若本公司及工作人员发现己方存在以任何方式向甲方工作人员行贿的行为，本公司均将及时、主动采取措施予以制止，同时通报甲方相关部门，并对已方人员进行相应处分。</w:t>
      </w:r>
    </w:p>
    <w:p w14:paraId="756957C6">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3.</w:t>
      </w:r>
      <w:r>
        <w:rPr>
          <w:rFonts w:ascii="仿宋_GB2312" w:hAnsi="仿宋_GB2312" w:eastAsia="仿宋_GB2312" w:cs="Times New Roman"/>
          <w:sz w:val="32"/>
          <w:highlight w:val="none"/>
        </w:rPr>
        <w:t>如本公司或本公司工作人员在项目招投标和合作期间贿赂甲方人员，经核实受立案查处的，甲方有权单方解除双方合作合同，并可终止与本公司的一切合作关系，本公司承担由此给甲方所造成的一切损失，并负责承担由此发生的一切费用。</w:t>
      </w:r>
    </w:p>
    <w:p w14:paraId="3D94D032">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4.</w:t>
      </w:r>
      <w:r>
        <w:rPr>
          <w:rFonts w:ascii="仿宋_GB2312" w:hAnsi="仿宋_GB2312" w:eastAsia="仿宋_GB2312" w:cs="Times New Roman"/>
          <w:sz w:val="32"/>
          <w:highlight w:val="none"/>
        </w:rPr>
        <w:t>如本公司或本公司工作人员违反相关承诺向甲方或甲方工作人员赠送物品，所赠送之物品等由甲方按有关规定上交、处理，同时本公司将按本承诺书第二条第1款所承诺的内容向甲方支付违约金，甲方有权在应支付给本公司的任何款项中扣除相关金额的违约金，本公司无条件配合和协助。</w:t>
      </w:r>
    </w:p>
    <w:p w14:paraId="76913EC2">
      <w:pPr>
        <w:pStyle w:val="12"/>
        <w:widowControl/>
        <w:numPr>
          <w:ilvl w:val="0"/>
          <w:numId w:val="0"/>
        </w:numPr>
        <w:ind w:left="0" w:leftChars="0" w:firstLine="616"/>
        <w:rPr>
          <w:rFonts w:ascii="仿宋_GB2312" w:hAnsi="仿宋_GB2312" w:eastAsia="仿宋_GB2312" w:cs="Times New Roman"/>
          <w:b w:val="0"/>
          <w:sz w:val="32"/>
          <w:highlight w:val="none"/>
        </w:rPr>
      </w:pPr>
      <w:r>
        <w:rPr>
          <w:rFonts w:hint="eastAsia" w:cs="Times New Roman"/>
          <w:sz w:val="32"/>
          <w:highlight w:val="none"/>
          <w:lang w:eastAsia="zh-CN"/>
        </w:rPr>
        <w:t>5.</w:t>
      </w:r>
      <w:r>
        <w:rPr>
          <w:rFonts w:ascii="仿宋_GB2312" w:hAnsi="仿宋_GB2312" w:eastAsia="仿宋_GB2312" w:cs="Times New Roman"/>
          <w:sz w:val="32"/>
          <w:highlight w:val="none"/>
        </w:rPr>
        <w:t>本公司确认并同意项目廉洁工作的检查方式为：由见证单位及深物业集团纪委主持项目廉洁工作履约情况的检查，双方共同派人参加，检查方式为座谈、问卷调查、查看资料等；检查时间、次数、方式、结论和处理意见等由双方协商确定，如无法达成一致的，由见证单位依据事实决定。</w:t>
      </w:r>
    </w:p>
    <w:p w14:paraId="000BE80E">
      <w:pPr>
        <w:pStyle w:val="12"/>
        <w:widowControl/>
        <w:numPr>
          <w:ilvl w:val="0"/>
          <w:numId w:val="0"/>
        </w:numPr>
        <w:ind w:left="0" w:leftChars="0" w:firstLine="619"/>
        <w:rPr>
          <w:rFonts w:ascii="仿宋_GB2312" w:hAnsi="仿宋_GB2312" w:eastAsia="仿宋_GB2312" w:cs="Times New Roman"/>
          <w:b w:val="0"/>
          <w:sz w:val="32"/>
          <w:highlight w:val="none"/>
        </w:rPr>
      </w:pPr>
      <w:r>
        <w:rPr>
          <w:rFonts w:hint="eastAsia" w:cs="Times New Roman"/>
          <w:sz w:val="32"/>
          <w:highlight w:val="none"/>
          <w:lang w:eastAsia="zh-CN"/>
        </w:rPr>
        <w:t>三、</w:t>
      </w:r>
      <w:r>
        <w:rPr>
          <w:rFonts w:ascii="仿宋_GB2312" w:hAnsi="仿宋_GB2312" w:eastAsia="仿宋_GB2312" w:cs="Times New Roman"/>
          <w:sz w:val="32"/>
          <w:highlight w:val="none"/>
        </w:rPr>
        <w:t>本项目廉洁承诺书自本公司参与投标活动并报名、签署本承诺书或签署合作合同（以三者之间较早者）之日起生效，对本公司具有永久约束力，不因合同其他条款无效而丧失效力。本项目廉洁承诺书一式三份，合同双方各执一份，送交见证单位备案一份。</w:t>
      </w:r>
    </w:p>
    <w:p w14:paraId="6060C537">
      <w:pPr>
        <w:pStyle w:val="12"/>
        <w:widowControl/>
        <w:rPr>
          <w:rFonts w:ascii="仿宋_GB2312" w:hAnsi="仿宋_GB2312" w:eastAsia="仿宋_GB2312" w:cs="Times New Roman"/>
          <w:sz w:val="32"/>
          <w:highlight w:val="none"/>
        </w:rPr>
      </w:pPr>
      <w:r>
        <w:rPr>
          <w:rFonts w:ascii="仿宋_GB2312" w:hAnsi="仿宋_GB2312" w:eastAsia="仿宋_GB2312" w:cs="Times New Roman"/>
          <w:sz w:val="32"/>
          <w:highlight w:val="none"/>
        </w:rPr>
        <w:t>本公司已将本承诺书内容向己方所有相关工作人员告知，并确保相关工作人员熟悉本承诺书内容。</w:t>
      </w:r>
    </w:p>
    <w:p w14:paraId="74CB2172">
      <w:pPr>
        <w:keepNext w:val="0"/>
        <w:keepLines w:val="0"/>
        <w:pageBreakBefore w:val="0"/>
        <w:widowControl/>
        <w:kinsoku/>
        <w:wordWrap/>
        <w:overflowPunct w:val="0"/>
        <w:topLinePunct w:val="0"/>
        <w:autoSpaceDE w:val="0"/>
        <w:autoSpaceDN w:val="0"/>
        <w:bidi w:val="0"/>
        <w:adjustRightInd w:val="0"/>
        <w:snapToGrid w:val="0"/>
        <w:spacing w:line="560" w:lineRule="exact"/>
        <w:ind w:firstLine="420"/>
        <w:jc w:val="both"/>
        <w:textAlignment w:val="baseline"/>
        <w:rPr>
          <w:rFonts w:hint="eastAsia" w:ascii="仿宋_GB2312" w:hAnsi="仿宋_GB2312" w:eastAsia="仿宋_GB2312" w:cs="仿宋_GB2312"/>
          <w:sz w:val="32"/>
          <w:szCs w:val="32"/>
          <w:highlight w:val="none"/>
        </w:rPr>
      </w:pPr>
    </w:p>
    <w:p w14:paraId="2D3560B6">
      <w:pPr>
        <w:keepNext w:val="0"/>
        <w:keepLines w:val="0"/>
        <w:pageBreakBefore w:val="0"/>
        <w:widowControl/>
        <w:kinsoku/>
        <w:wordWrap/>
        <w:overflowPunct w:val="0"/>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highlight w:val="none"/>
        </w:rPr>
      </w:pPr>
    </w:p>
    <w:p w14:paraId="7BF6535A">
      <w:pPr>
        <w:keepNext w:val="0"/>
        <w:keepLines w:val="0"/>
        <w:pageBreakBefore w:val="0"/>
        <w:widowControl/>
        <w:kinsoku/>
        <w:wordWrap/>
        <w:overflowPunct w:val="0"/>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Times New Roman"/>
          <w:sz w:val="32"/>
          <w:szCs w:val="32"/>
          <w:highlight w:val="none"/>
        </w:rPr>
      </w:pPr>
      <w:r>
        <w:rPr>
          <w:rFonts w:hint="eastAsia" w:ascii="仿宋_GB2312" w:hAnsi="仿宋_GB2312" w:eastAsia="仿宋_GB2312" w:cs="Times New Roman"/>
          <w:sz w:val="32"/>
          <w:szCs w:val="32"/>
          <w:highlight w:val="none"/>
        </w:rPr>
        <w:t>承诺单位（盖章）：</w:t>
      </w:r>
    </w:p>
    <w:p w14:paraId="1AA4CF67">
      <w:pPr>
        <w:keepNext w:val="0"/>
        <w:keepLines w:val="0"/>
        <w:pageBreakBefore w:val="0"/>
        <w:widowControl/>
        <w:kinsoku/>
        <w:wordWrap/>
        <w:overflowPunct w:val="0"/>
        <w:topLinePunct w:val="0"/>
        <w:autoSpaceDE w:val="0"/>
        <w:autoSpaceDN w:val="0"/>
        <w:bidi w:val="0"/>
        <w:adjustRightInd w:val="0"/>
        <w:snapToGrid w:val="0"/>
        <w:spacing w:line="560" w:lineRule="exact"/>
        <w:ind w:firstLine="420"/>
        <w:jc w:val="both"/>
        <w:textAlignment w:val="baseline"/>
        <w:rPr>
          <w:rFonts w:hint="eastAsia" w:ascii="仿宋_GB2312" w:hAnsi="仿宋_GB2312" w:eastAsia="仿宋_GB2312" w:cs="仿宋_GB2312"/>
          <w:sz w:val="32"/>
          <w:szCs w:val="32"/>
          <w:highlight w:val="none"/>
        </w:rPr>
      </w:pPr>
    </w:p>
    <w:p w14:paraId="39947B11">
      <w:pPr>
        <w:keepNext w:val="0"/>
        <w:keepLines w:val="0"/>
        <w:pageBreakBefore w:val="0"/>
        <w:widowControl/>
        <w:kinsoku/>
        <w:wordWrap/>
        <w:overflowPunct w:val="0"/>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Times New Roman"/>
          <w:sz w:val="32"/>
          <w:szCs w:val="32"/>
          <w:highlight w:val="none"/>
        </w:rPr>
      </w:pPr>
      <w:r>
        <w:rPr>
          <w:rFonts w:hint="eastAsia" w:ascii="仿宋_GB2312" w:hAnsi="仿宋_GB2312" w:eastAsia="仿宋_GB2312" w:cs="Times New Roman"/>
          <w:sz w:val="32"/>
          <w:szCs w:val="32"/>
          <w:highlight w:val="none"/>
        </w:rPr>
        <w:t>法定代表人或其授权代理人：</w:t>
      </w:r>
    </w:p>
    <w:p w14:paraId="793514C6">
      <w:pPr>
        <w:keepNext w:val="0"/>
        <w:keepLines w:val="0"/>
        <w:pageBreakBefore w:val="0"/>
        <w:widowControl/>
        <w:kinsoku/>
        <w:wordWrap/>
        <w:overflowPunct w:val="0"/>
        <w:topLinePunct w:val="0"/>
        <w:autoSpaceDE w:val="0"/>
        <w:autoSpaceDN w:val="0"/>
        <w:bidi w:val="0"/>
        <w:adjustRightInd w:val="0"/>
        <w:snapToGrid w:val="0"/>
        <w:spacing w:line="560" w:lineRule="exact"/>
        <w:ind w:firstLine="420"/>
        <w:jc w:val="both"/>
        <w:textAlignment w:val="baseline"/>
        <w:rPr>
          <w:rFonts w:hint="eastAsia" w:ascii="仿宋_GB2312" w:hAnsi="仿宋_GB2312" w:eastAsia="仿宋_GB2312" w:cs="仿宋_GB2312"/>
          <w:sz w:val="32"/>
          <w:szCs w:val="32"/>
          <w:highlight w:val="none"/>
        </w:rPr>
      </w:pPr>
    </w:p>
    <w:p w14:paraId="5F29FF1A">
      <w:pPr>
        <w:keepNext w:val="0"/>
        <w:keepLines w:val="0"/>
        <w:pageBreakBefore w:val="0"/>
        <w:widowControl/>
        <w:kinsoku/>
        <w:wordWrap/>
        <w:overflowPunct w:val="0"/>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Times New Roman"/>
          <w:sz w:val="32"/>
          <w:szCs w:val="32"/>
          <w:highlight w:val="none"/>
        </w:rPr>
      </w:pPr>
      <w:r>
        <w:rPr>
          <w:rFonts w:hint="eastAsia" w:ascii="仿宋_GB2312" w:hAnsi="仿宋_GB2312" w:eastAsia="仿宋_GB2312" w:cs="Times New Roman"/>
          <w:sz w:val="32"/>
          <w:szCs w:val="32"/>
          <w:highlight w:val="none"/>
        </w:rPr>
        <w:t>日期：年月日</w:t>
      </w:r>
    </w:p>
    <w:p w14:paraId="5BF74FFE">
      <w:pPr>
        <w:pStyle w:val="12"/>
        <w:bidi w:val="0"/>
        <w:rPr>
          <w:rFonts w:hint="eastAsia"/>
          <w:highlight w:val="none"/>
        </w:rPr>
      </w:pPr>
    </w:p>
    <w:sectPr>
      <w:headerReference r:id="rId5" w:type="default"/>
      <w:footerReference r:id="rId6" w:type="default"/>
      <w:pgSz w:w="11906" w:h="16838"/>
      <w:pgMar w:top="1440" w:right="1800" w:bottom="1440" w:left="1800" w:header="851" w:footer="1049"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0CE2E3">
    <w:pPr>
      <w:spacing w:line="471" w:lineRule="auto"/>
      <w:rPr>
        <w:rFonts w:hint="eastAsia" w:ascii="仿宋_GB2312" w:hAnsi="仿宋_GB2312" w:eastAsia="仿宋_GB2312" w:cs="仿宋_GB2312"/>
        <w:sz w:val="28"/>
        <w:szCs w:val="18"/>
      </w:rPr>
    </w:pPr>
    <w:r>
      <w:rPr>
        <w:rFonts w:hint="eastAsia" w:ascii="仿宋_GB2312" w:hAnsi="仿宋_GB2312" w:eastAsia="仿宋_GB2312" w:cs="仿宋_GB2312"/>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71755</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B81200">
                          <w:pPr>
                            <w:pStyle w:val="13"/>
                            <w:rPr>
                              <w:rFonts w:hint="eastAsia" w:ascii="宋体" w:hAnsi="宋体" w:eastAsia="宋体" w:cs="宋体"/>
                              <w:b w:val="0"/>
                              <w:bCs w:val="0"/>
                              <w:sz w:val="28"/>
                            </w:rPr>
                          </w:pPr>
                          <w:r>
                            <w:rPr>
                              <w:rFonts w:hint="eastAsia" w:ascii="宋体" w:hAnsi="宋体" w:eastAsia="宋体" w:cs="宋体"/>
                              <w:b w:val="0"/>
                              <w:bCs w:val="0"/>
                              <w:sz w:val="28"/>
                            </w:rPr>
                            <w:t>—</w:t>
                          </w:r>
                          <w:r>
                            <w:rPr>
                              <w:rFonts w:hint="eastAsia" w:ascii="宋体" w:hAnsi="宋体" w:eastAsia="宋体" w:cs="宋体"/>
                              <w:b w:val="0"/>
                              <w:bCs w:val="0"/>
                              <w:sz w:val="24"/>
                            </w:rPr>
                            <w:t>　</w:t>
                          </w:r>
                          <w:r>
                            <w:rPr>
                              <w:rFonts w:hint="eastAsia" w:ascii="宋体" w:hAnsi="宋体" w:eastAsia="宋体" w:cs="宋体"/>
                              <w:b w:val="0"/>
                              <w:bCs w:val="0"/>
                              <w:sz w:val="28"/>
                            </w:rPr>
                            <w:fldChar w:fldCharType="begin"/>
                          </w:r>
                          <w:r>
                            <w:rPr>
                              <w:rFonts w:hint="eastAsia" w:ascii="宋体" w:hAnsi="宋体" w:eastAsia="宋体" w:cs="宋体"/>
                              <w:b w:val="0"/>
                              <w:bCs w:val="0"/>
                              <w:sz w:val="28"/>
                            </w:rPr>
                            <w:instrText xml:space="preserve"> PAGE  \* MERGEFORMAT </w:instrText>
                          </w:r>
                          <w:r>
                            <w:rPr>
                              <w:rFonts w:hint="eastAsia" w:ascii="宋体" w:hAnsi="宋体" w:eastAsia="宋体" w:cs="宋体"/>
                              <w:b w:val="0"/>
                              <w:bCs w:val="0"/>
                              <w:sz w:val="28"/>
                            </w:rPr>
                            <w:fldChar w:fldCharType="separate"/>
                          </w:r>
                          <w:r>
                            <w:rPr>
                              <w:rFonts w:hint="eastAsia" w:ascii="宋体" w:hAnsi="宋体" w:eastAsia="宋体" w:cs="宋体"/>
                              <w:b w:val="0"/>
                              <w:bCs w:val="0"/>
                              <w:sz w:val="28"/>
                            </w:rPr>
                            <w:t>1</w:t>
                          </w:r>
                          <w:r>
                            <w:rPr>
                              <w:rFonts w:hint="eastAsia" w:ascii="宋体" w:hAnsi="宋体" w:eastAsia="宋体" w:cs="宋体"/>
                              <w:b w:val="0"/>
                              <w:bCs w:val="0"/>
                              <w:sz w:val="28"/>
                            </w:rPr>
                            <w:fldChar w:fldCharType="end"/>
                          </w:r>
                          <w:r>
                            <w:rPr>
                              <w:rFonts w:hint="eastAsia" w:ascii="宋体" w:hAnsi="宋体" w:eastAsia="宋体" w:cs="宋体"/>
                              <w:b w:val="0"/>
                              <w:bCs w:val="0"/>
                              <w:sz w:val="24"/>
                            </w:rPr>
                            <w:t>　</w:t>
                          </w:r>
                          <w:r>
                            <w:rPr>
                              <w:rFonts w:hint="eastAsia" w:ascii="宋体" w:hAnsi="宋体" w:eastAsia="宋体" w:cs="宋体"/>
                              <w:b w:val="0"/>
                              <w:bCs w:val="0"/>
                              <w:sz w:val="28"/>
                            </w:rPr>
                            <w:t>—</w:t>
                          </w:r>
                        </w:p>
                      </w:txbxContent>
                    </wps:txbx>
                    <wps:bodyPr rot="0" spcFirstLastPara="0" vertOverflow="overflow" horzOverflow="overflow" vert="horz" wrap="none" lIns="201625" tIns="0" rIns="201625"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5.65pt;height:144pt;width:144pt;mso-position-horizontal:outside;mso-position-horizontal-relative:margin;mso-wrap-style:none;z-index:251659264;mso-width-relative:page;mso-height-relative:page;" filled="f" stroked="f" coordsize="21600,21600" o:gfxdata="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jdWbY1gAAAAcBAAAPAAAAAAAAAAEAIAAAACIAAABkcnMvZG93bnJl&#10;di54bWxQSwECFAAUAAAACACHTuJAit39tjgCAABrBAAADgAAAAAAAAABACAAAAAlAQAAZHJzL2Uy&#10;b0RvYy54bWxQSwUGAAAAAAYABgBZAQAAzwUAAAAA&#10;">
              <v:fill on="f" focussize="0,0"/>
              <v:stroke on="f" weight="0.5pt"/>
              <v:imagedata o:title=""/>
              <o:lock v:ext="edit" aspectratio="f"/>
              <v:textbox inset="15.8759842519685pt,0mm,15.8759842519685pt,0mm" style="mso-fit-shape-to-text:t;">
                <w:txbxContent>
                  <w:p w14:paraId="24B81200">
                    <w:pPr>
                      <w:pStyle w:val="13"/>
                      <w:rPr>
                        <w:rFonts w:hint="eastAsia" w:ascii="宋体" w:hAnsi="宋体" w:eastAsia="宋体" w:cs="宋体"/>
                        <w:b w:val="0"/>
                        <w:bCs w:val="0"/>
                        <w:sz w:val="28"/>
                      </w:rPr>
                    </w:pPr>
                    <w:r>
                      <w:rPr>
                        <w:rFonts w:hint="eastAsia" w:ascii="宋体" w:hAnsi="宋体" w:eastAsia="宋体" w:cs="宋体"/>
                        <w:b w:val="0"/>
                        <w:bCs w:val="0"/>
                        <w:sz w:val="28"/>
                      </w:rPr>
                      <w:t>—</w:t>
                    </w:r>
                    <w:r>
                      <w:rPr>
                        <w:rFonts w:hint="eastAsia" w:ascii="宋体" w:hAnsi="宋体" w:eastAsia="宋体" w:cs="宋体"/>
                        <w:b w:val="0"/>
                        <w:bCs w:val="0"/>
                        <w:sz w:val="24"/>
                      </w:rPr>
                      <w:t>　</w:t>
                    </w:r>
                    <w:r>
                      <w:rPr>
                        <w:rFonts w:hint="eastAsia" w:ascii="宋体" w:hAnsi="宋体" w:eastAsia="宋体" w:cs="宋体"/>
                        <w:b w:val="0"/>
                        <w:bCs w:val="0"/>
                        <w:sz w:val="28"/>
                      </w:rPr>
                      <w:fldChar w:fldCharType="begin"/>
                    </w:r>
                    <w:r>
                      <w:rPr>
                        <w:rFonts w:hint="eastAsia" w:ascii="宋体" w:hAnsi="宋体" w:eastAsia="宋体" w:cs="宋体"/>
                        <w:b w:val="0"/>
                        <w:bCs w:val="0"/>
                        <w:sz w:val="28"/>
                      </w:rPr>
                      <w:instrText xml:space="preserve"> PAGE  \* MERGEFORMAT </w:instrText>
                    </w:r>
                    <w:r>
                      <w:rPr>
                        <w:rFonts w:hint="eastAsia" w:ascii="宋体" w:hAnsi="宋体" w:eastAsia="宋体" w:cs="宋体"/>
                        <w:b w:val="0"/>
                        <w:bCs w:val="0"/>
                        <w:sz w:val="28"/>
                      </w:rPr>
                      <w:fldChar w:fldCharType="separate"/>
                    </w:r>
                    <w:r>
                      <w:rPr>
                        <w:rFonts w:hint="eastAsia" w:ascii="宋体" w:hAnsi="宋体" w:eastAsia="宋体" w:cs="宋体"/>
                        <w:b w:val="0"/>
                        <w:bCs w:val="0"/>
                        <w:sz w:val="28"/>
                      </w:rPr>
                      <w:t>1</w:t>
                    </w:r>
                    <w:r>
                      <w:rPr>
                        <w:rFonts w:hint="eastAsia" w:ascii="宋体" w:hAnsi="宋体" w:eastAsia="宋体" w:cs="宋体"/>
                        <w:b w:val="0"/>
                        <w:bCs w:val="0"/>
                        <w:sz w:val="28"/>
                      </w:rPr>
                      <w:fldChar w:fldCharType="end"/>
                    </w:r>
                    <w:r>
                      <w:rPr>
                        <w:rFonts w:hint="eastAsia" w:ascii="宋体" w:hAnsi="宋体" w:eastAsia="宋体" w:cs="宋体"/>
                        <w:b w:val="0"/>
                        <w:bCs w:val="0"/>
                        <w:sz w:val="24"/>
                      </w:rPr>
                      <w:t>　</w:t>
                    </w:r>
                    <w:r>
                      <w:rPr>
                        <w:rFonts w:hint="eastAsia" w:ascii="宋体" w:hAnsi="宋体" w:eastAsia="宋体" w:cs="宋体"/>
                        <w:b w:val="0"/>
                        <w:bCs w:val="0"/>
                        <w:sz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6841A">
    <w:pPr>
      <w:pStyle w:val="1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0"/>
  <w:bordersDoNotSurroundFooter w:val="0"/>
  <w:documentProtection w:edit="trackedChanges" w:enforcement="0"/>
  <w:defaultTabStop w:val="3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967432"/>
    <w:rsid w:val="0DF0443D"/>
    <w:rsid w:val="143740D2"/>
    <w:rsid w:val="1BC52318"/>
    <w:rsid w:val="26DE08FD"/>
    <w:rsid w:val="29B5659D"/>
    <w:rsid w:val="2C390EC8"/>
    <w:rsid w:val="2E166025"/>
    <w:rsid w:val="2E967432"/>
    <w:rsid w:val="3F867DC6"/>
    <w:rsid w:val="50E761A8"/>
    <w:rsid w:val="58A513BE"/>
    <w:rsid w:val="5C04638D"/>
    <w:rsid w:val="706C5FBE"/>
    <w:rsid w:val="714E5FED"/>
    <w:rsid w:val="748C2ED5"/>
    <w:rsid w:val="753074FD"/>
    <w:rsid w:val="7C474DF4"/>
    <w:rsid w:val="7D9113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officialmode val="1"/>
    </mc:Choice>
  </mc:AlternateContent>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Times New Roman"/>
      <w:kern w:val="44"/>
      <w:sz w:val="32"/>
      <w:szCs w:val="32"/>
    </w:rPr>
  </w:style>
  <w:style w:type="paragraph" w:styleId="3">
    <w:name w:val="heading 2"/>
    <w:next w:val="1"/>
    <w:unhideWhenUsed/>
    <w:qFormat/>
    <w:uiPriority w:val="0"/>
    <w:pPr>
      <w:keepNext/>
      <w:keepLines/>
      <w:spacing w:beforeLines="0" w:beforeAutospacing="0" w:afterLines="0" w:afterAutospacing="0" w:line="560" w:lineRule="exact"/>
      <w:ind w:firstLine="894" w:firstLineChars="200"/>
      <w:outlineLvl w:val="1"/>
    </w:pPr>
    <w:rPr>
      <w:rFonts w:ascii="楷体_GB2312" w:hAnsi="楷体_GB2312" w:eastAsia="楷体_GB2312" w:cs="Times New Roman"/>
      <w:sz w:val="32"/>
      <w:szCs w:val="32"/>
    </w:rPr>
  </w:style>
  <w:style w:type="paragraph" w:styleId="4">
    <w:name w:val="heading 3"/>
    <w:next w:val="1"/>
    <w:qFormat/>
    <w:uiPriority w:val="0"/>
    <w:pPr>
      <w:keepNext/>
      <w:keepLines/>
      <w:spacing w:beforeLines="0" w:beforeAutospacing="0" w:afterLines="0" w:afterAutospacing="0" w:line="560" w:lineRule="exact"/>
      <w:ind w:firstLine="894" w:firstLineChars="200"/>
      <w:outlineLvl w:val="2"/>
    </w:pPr>
    <w:rPr>
      <w:rFonts w:ascii="仿宋_GB2312" w:hAnsi="仿宋_GB2312" w:eastAsia="仿宋_GB2312" w:cs="Times New Roman"/>
      <w:sz w:val="32"/>
      <w:szCs w:val="32"/>
    </w:rPr>
  </w:style>
  <w:style w:type="paragraph" w:styleId="5">
    <w:name w:val="heading 4"/>
    <w:next w:val="1"/>
    <w:semiHidden/>
    <w:unhideWhenUsed/>
    <w:qFormat/>
    <w:uiPriority w:val="0"/>
    <w:pPr>
      <w:keepNext/>
      <w:keepLines/>
      <w:spacing w:beforeLines="0" w:beforeAutospacing="0" w:afterLines="0" w:afterAutospacing="0" w:line="560" w:lineRule="exact"/>
      <w:ind w:firstLine="894" w:firstLineChars="200"/>
      <w:outlineLvl w:val="3"/>
    </w:pPr>
    <w:rPr>
      <w:rFonts w:ascii="仿宋_GB2312" w:hAnsi="仿宋_GB2312" w:eastAsia="仿宋_GB2312" w:cs="Times New Roman"/>
      <w:sz w:val="32"/>
      <w:szCs w:val="32"/>
    </w:rPr>
  </w:style>
  <w:style w:type="paragraph" w:styleId="6">
    <w:name w:val="heading 5"/>
    <w:next w:val="1"/>
    <w:semiHidden/>
    <w:unhideWhenUsed/>
    <w:qFormat/>
    <w:uiPriority w:val="0"/>
    <w:pPr>
      <w:spacing w:line="560" w:lineRule="exact"/>
      <w:ind w:firstLine="894" w:firstLineChars="200"/>
      <w:outlineLvl w:val="4"/>
    </w:pPr>
    <w:rPr>
      <w:rFonts w:ascii="仿宋_GB2312" w:hAnsi="仿宋_GB2312" w:eastAsia="仿宋_GB2312" w:cs="Times New Roman"/>
      <w:sz w:val="32"/>
      <w:szCs w:val="32"/>
    </w:rPr>
  </w:style>
  <w:style w:type="paragraph" w:styleId="7">
    <w:name w:val="heading 6"/>
    <w:next w:val="1"/>
    <w:semiHidden/>
    <w:unhideWhenUsed/>
    <w:qFormat/>
    <w:uiPriority w:val="0"/>
    <w:pPr>
      <w:spacing w:line="560" w:lineRule="exact"/>
      <w:ind w:firstLine="894" w:firstLineChars="200"/>
      <w:outlineLvl w:val="5"/>
    </w:pPr>
    <w:rPr>
      <w:rFonts w:ascii="仿宋_GB2312" w:hAnsi="仿宋_GB2312" w:eastAsia="仿宋_GB2312" w:cs="Times New Roman"/>
      <w:sz w:val="32"/>
      <w:szCs w:val="32"/>
    </w:rPr>
  </w:style>
  <w:style w:type="paragraph" w:styleId="8">
    <w:name w:val="heading 7"/>
    <w:next w:val="1"/>
    <w:semiHidden/>
    <w:unhideWhenUsed/>
    <w:qFormat/>
    <w:uiPriority w:val="0"/>
    <w:pPr>
      <w:spacing w:line="560" w:lineRule="exact"/>
      <w:ind w:firstLine="894" w:firstLineChars="200"/>
      <w:outlineLvl w:val="6"/>
    </w:pPr>
    <w:rPr>
      <w:rFonts w:ascii="仿宋_GB2312" w:hAnsi="仿宋_GB2312" w:eastAsia="仿宋_GB2312" w:cs="Times New Roman"/>
      <w:sz w:val="32"/>
      <w:szCs w:val="32"/>
    </w:rPr>
  </w:style>
  <w:style w:type="paragraph" w:styleId="9">
    <w:name w:val="heading 8"/>
    <w:next w:val="1"/>
    <w:semiHidden/>
    <w:unhideWhenUsed/>
    <w:qFormat/>
    <w:uiPriority w:val="0"/>
    <w:pPr>
      <w:spacing w:line="560" w:lineRule="exact"/>
      <w:ind w:firstLine="894" w:firstLineChars="200"/>
      <w:outlineLvl w:val="7"/>
    </w:pPr>
    <w:rPr>
      <w:rFonts w:ascii="仿宋_GB2312" w:hAnsi="仿宋_GB2312" w:eastAsia="仿宋_GB2312" w:cs="Times New Roman"/>
      <w:sz w:val="32"/>
      <w:szCs w:val="32"/>
    </w:rPr>
  </w:style>
  <w:style w:type="paragraph" w:styleId="10">
    <w:name w:val="heading 9"/>
    <w:next w:val="1"/>
    <w:semiHidden/>
    <w:unhideWhenUsed/>
    <w:qFormat/>
    <w:uiPriority w:val="0"/>
    <w:pPr>
      <w:spacing w:line="560" w:lineRule="exact"/>
      <w:ind w:firstLine="894" w:firstLineChars="200"/>
      <w:outlineLvl w:val="8"/>
    </w:pPr>
    <w:rPr>
      <w:rFonts w:ascii="仿宋_GB2312" w:hAnsi="仿宋_GB2312" w:eastAsia="仿宋_GB2312" w:cs="Times New Roman"/>
      <w:sz w:val="32"/>
      <w:szCs w:val="32"/>
    </w:rPr>
  </w:style>
  <w:style w:type="character" w:default="1" w:styleId="18">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11">
    <w:name w:val="annotation text"/>
    <w:basedOn w:val="1"/>
    <w:qFormat/>
    <w:uiPriority w:val="0"/>
    <w:pPr>
      <w:jc w:val="left"/>
    </w:pPr>
  </w:style>
  <w:style w:type="paragraph" w:styleId="12">
    <w:name w:val="Body Text"/>
    <w:qFormat/>
    <w:uiPriority w:val="0"/>
    <w:pPr>
      <w:spacing w:line="560" w:lineRule="exact"/>
      <w:ind w:firstLine="630" w:firstLineChars="200"/>
    </w:pPr>
    <w:rPr>
      <w:rFonts w:ascii="仿宋_GB2312" w:hAnsi="仿宋_GB2312" w:eastAsia="仿宋_GB2312" w:cs="Times New Roman"/>
      <w:spacing w:val="-6"/>
      <w:sz w:val="32"/>
    </w:rPr>
  </w:style>
  <w:style w:type="paragraph" w:styleId="13">
    <w:name w:val="footer"/>
    <w:basedOn w:val="1"/>
    <w:qFormat/>
    <w:uiPriority w:val="99"/>
    <w:pPr>
      <w:tabs>
        <w:tab w:val="center" w:pos="4153"/>
        <w:tab w:val="right" w:pos="8306"/>
      </w:tabs>
      <w:snapToGrid w:val="0"/>
    </w:pPr>
    <w:rPr>
      <w:sz w:val="18"/>
      <w:szCs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Subtitle"/>
    <w:qFormat/>
    <w:uiPriority w:val="0"/>
    <w:pPr>
      <w:spacing w:beforeLines="0" w:beforeAutospacing="0" w:afterLines="0" w:afterAutospacing="0" w:line="560" w:lineRule="exact"/>
      <w:jc w:val="center"/>
      <w:outlineLvl w:val="1"/>
    </w:pPr>
    <w:rPr>
      <w:rFonts w:ascii="楷体_GB2312" w:hAnsi="楷体_GB2312" w:eastAsia="楷体_GB2312" w:cs="Times New Roman"/>
      <w:kern w:val="28"/>
      <w:sz w:val="32"/>
      <w:szCs w:val="32"/>
    </w:rPr>
  </w:style>
  <w:style w:type="paragraph" w:styleId="16">
    <w:name w:val="Title"/>
    <w:qFormat/>
    <w:uiPriority w:val="0"/>
    <w:pPr>
      <w:spacing w:line="720" w:lineRule="exact"/>
      <w:jc w:val="center"/>
      <w:outlineLvl w:val="0"/>
    </w:pPr>
    <w:rPr>
      <w:rFonts w:ascii="方正小标宋简体" w:hAnsi="方正小标宋简体" w:eastAsia="方正小标宋简体" w:cs="Times New Roman"/>
      <w:sz w:val="44"/>
      <w:szCs w:val="44"/>
    </w:rPr>
  </w:style>
  <w:style w:type="table" w:customStyle="1" w:styleId="19">
    <w:name w:val="Table Normal"/>
    <w:semiHidden/>
    <w:unhideWhenUsed/>
    <w:qFormat/>
    <w:uiPriority w:val="0"/>
    <w:tblPr>
      <w:tblCellMar>
        <w:top w:w="0" w:type="dxa"/>
        <w:left w:w="0" w:type="dxa"/>
        <w:bottom w:w="0" w:type="dxa"/>
        <w:right w:w="0" w:type="dxa"/>
      </w:tblCellMar>
    </w:tblPr>
  </w:style>
  <w:style w:type="paragraph" w:customStyle="1" w:styleId="20">
    <w:name w:val="样式 标题 3 + (中文) 黑体 小四 非加粗 段前: 7.8 磅 段后: 0 磅 行距: 固定值 20 磅"/>
    <w:basedOn w:val="4"/>
    <w:qFormat/>
    <w:uiPriority w:val="0"/>
    <w:pPr>
      <w:spacing w:before="0" w:after="0" w:line="400" w:lineRule="exact"/>
    </w:pPr>
    <w:rPr>
      <w:rFonts w:eastAsia="黑体"/>
      <w:kern w:val="0"/>
      <w:szCs w:val="20"/>
    </w:rPr>
  </w:style>
  <w:style w:type="paragraph" w:customStyle="1" w:styleId="21">
    <w:name w:val="列出段落1"/>
    <w:basedOn w:val="1"/>
    <w:next w:val="1"/>
    <w:autoRedefine/>
    <w:qFormat/>
    <w:uiPriority w:val="34"/>
    <w:pPr>
      <w:spacing w:line="360" w:lineRule="auto"/>
      <w:ind w:firstLine="420" w:firstLineChars="200"/>
    </w:pPr>
    <w:rPr>
      <w:sz w:val="28"/>
      <w:szCs w:val="20"/>
    </w:rPr>
  </w:style>
  <w:style w:type="paragraph" w:customStyle="1" w:styleId="22">
    <w:name w:val="主送对象"/>
    <w:next w:val="1"/>
    <w:qFormat/>
    <w:uiPriority w:val="0"/>
    <w:pPr>
      <w:spacing w:line="560" w:lineRule="exact"/>
    </w:pPr>
    <w:rPr>
      <w:rFonts w:ascii="仿宋_GB2312" w:hAnsi="仿宋_GB2312" w:eastAsia="仿宋_GB2312" w:cs="Times New Roman"/>
      <w:sz w:val="32"/>
      <w:szCs w:val="32"/>
    </w:rPr>
  </w:style>
  <w:style w:type="paragraph" w:customStyle="1" w:styleId="23">
    <w:name w:val="章标题"/>
    <w:next w:val="1"/>
    <w:qFormat/>
    <w:uiPriority w:val="0"/>
    <w:pPr>
      <w:widowControl w:val="0"/>
      <w:spacing w:line="720" w:lineRule="exact"/>
      <w:jc w:val="center"/>
      <w:outlineLvl w:val="0"/>
    </w:pPr>
    <w:rPr>
      <w:rFonts w:ascii="黑体" w:hAnsi="黑体" w:eastAsia="黑体" w:cs="Times New Roman"/>
      <w:bCs/>
      <w:spacing w:val="-6"/>
      <w:kern w:val="44"/>
      <w:sz w:val="32"/>
      <w:szCs w:val="44"/>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cac11f45-b0f4-47f3-b21c-3c7fa71cf6e8</errorID>
      <errorWord>需要</errorWord>
      <group>L1_Word</group>
      <groupName>字词问题</groupName>
      <ability>L2_Typo</ability>
      <abilityName>字词错误</abilityName>
      <candidateList>
        <item>要</item>
      </candidateList>
      <explain/>
      <paraID>2A072EA0</paraID>
      <start>7</start>
      <end>8</end>
      <status>modified</status>
      <modifiedWord>要</modifiedWord>
      <trackRevisions>false</trackRevisions>
    </reviewItem>
    <reviewItem>
      <errorID>8cadd605-efda-4a10-9097-e83c4bd24eed</errorID>
      <errorWord>2026年07月日</errorWord>
      <group>L1_Knowledge</group>
      <groupName>知识性问题</groupName>
      <ability>L2_Time</ability>
      <abilityName>日期时间</abilityName>
      <candidateList>
        <item>2026年7月日</item>
      </candidateList>
      <explain>根据日常书写习惯，月份一般会省略前导零。</explain>
      <paraID>5B980405</paraID>
      <start>1</start>
      <end>9</end>
      <status>modified</status>
      <modifiedWord>2026年7月日</modifiedWord>
      <trackRevisions>false</trackRevisions>
    </reviewItem>
    <reviewItem>
      <errorID>4a742d5c-e758-4ecf-a5ea-f03192a3b6cf</errorID>
      <errorWord>2026年07月日</errorWord>
      <group>L1_Knowledge</group>
      <groupName>知识性问题</groupName>
      <ability>L2_Time</ability>
      <abilityName>日期时间</abilityName>
      <candidateList>
        <item>2026年7月日</item>
      </candidateList>
      <explain>根据日常书写习惯，月份一般会省略前导零。</explain>
      <paraID>7B4D4982</paraID>
      <start>7</start>
      <end>15</end>
      <status>modified</status>
      <modifiedWord>2026年7月日</modifiedWord>
      <trackRevisions>false</trackRevisions>
    </reviewItem>
    <reviewItem>
      <errorID>a7e6b9df-a1a5-436c-8fe2-ca6847a067a9</errorID>
      <errorWord>2026年07月日</errorWord>
      <group>L1_Knowledge</group>
      <groupName>知识性问题</groupName>
      <ability>L2_Time</ability>
      <abilityName>日期时间</abilityName>
      <candidateList>
        <item>2026年7月日</item>
      </candidateList>
      <explain>根据日常书写习惯，月份一般会省略前导零。</explain>
      <paraID>1DFFE284</paraID>
      <start>9</start>
      <end>17</end>
      <status>modified</status>
      <modifiedWord>2026年7月日</modifiedWord>
      <trackRevisions>false</trackRevisions>
    </reviewItem>
    <reviewItem>
      <errorID>1f330f7f-5a8b-4d2c-b185-537419492d71</errorID>
      <errorWord>签定合同</errorWord>
      <group>L1_Word</group>
      <groupName>字词问题</groupName>
      <ability>L2_Typo</ability>
      <abilityName>字词错误</abilityName>
      <candidateList>
        <item>签订合同</item>
      </candidateList>
      <explain/>
      <paraID>4A3F5733</paraID>
      <start>26</start>
      <end>30</end>
      <status>modified</status>
      <modifiedWord>签订合同</modifiedWord>
      <trackRevisions>false</trackRevisions>
    </reviewItem>
    <reviewItem>
      <errorID>f2f1b859-ce32-4097-9708-dcb38380bfbf</errorID>
      <errorWord>市场可</errorWord>
      <group>L1_Word</group>
      <groupName>字词问题</groupName>
      <ability>L2_Typo</ability>
      <abilityName>字词错误</abilityName>
      <candidateList>
        <item>市场</item>
      </candidateList>
      <explain/>
      <paraID>22521C55</paraID>
      <start>26</start>
      <end>28</end>
      <status>modified</status>
      <modifiedWord>市场</modifiedWord>
      <trackRevisions>false</trackRevisions>
    </reviewItem>
    <reviewItem>
      <errorID>86ca6504-4157-4bae-9228-871e3b822b6b</errorID>
      <errorWord>一式二份</errorWord>
      <group>L1_Word</group>
      <groupName>字词问题</groupName>
      <ability>L2_Typo</ability>
      <abilityName>字词错误</abilityName>
      <candidateList>
        <item>一式两份</item>
      </candidateList>
      <explain/>
      <paraID> BBB19C5</paraID>
      <start>19</start>
      <end>23</end>
      <status>modified</status>
      <modifiedWord>一式两份</modifiedWord>
      <trackRevisions>false</trackRevisions>
    </reviewItem>
    <reviewItem>
      <errorID>a2e3c4f6-979b-4453-8911-996441d0cdfd</errorID>
      <errorWord>租</errorWord>
      <group>L1_Word</group>
      <groupName>字词问题</groupName>
      <ability>L2_Typo</ability>
      <abilityName>字词错误</abilityName>
      <candidateList>
        <item>租赁</item>
      </candidateList>
      <explain/>
      <paraID>24507E59</paraID>
      <start>24</start>
      <end>26</end>
      <status>modified</status>
      <modifiedWord>租赁</modifiedWord>
      <trackRevisions>false</trackRevisions>
    </reviewItem>
    <reviewItem>
      <errorID>1ad29a03-fc3f-46cc-ad55-fa377db4d2a7</errorID>
      <errorWord>围</errorWord>
      <group>L1_Word</group>
      <groupName>字词问题</groupName>
      <ability>L2_Typo</ability>
      <abilityName>字词错误</abilityName>
      <candidateList>
        <item>围内</item>
      </candidateList>
      <explain/>
      <paraID>3E20894A</paraID>
      <start>29</start>
      <end>31</end>
      <status>modified</status>
      <modifiedWord>围内</modifiedWord>
      <trackRevisions>false</trackRevisions>
    </reviewItem>
    <reviewItem>
      <errorID>2b3c0407-7ca3-4123-89ba-126a2aa5299d</errorID>
      <errorWord>负保密责任</errorWord>
      <group>L1_Word</group>
      <groupName>字词问题</groupName>
      <ability>L2_Typo</ability>
      <abilityName>字词错误</abilityName>
      <candidateList>
        <item>负有保密责任</item>
      </candidateList>
      <explain/>
      <paraID>4ED0BC3C</paraID>
      <start>24</start>
      <end>30</end>
      <status>modified</status>
      <modifiedWord>负有保密责任</modifiedWord>
      <trackRevisions>false</trackRevisions>
    </reviewItem>
    <reviewItem>
      <errorID>d44155ca-9755-461d-ae2b-c62d8761974b</errorID>
      <errorWord>及</errorWord>
      <group>L1_Word</group>
      <groupName>字词问题</groupName>
      <ability>L2_Typo</ability>
      <abilityName>字词错误</abilityName>
      <candidateList>
        <item>及其</item>
      </candidateList>
      <explain/>
      <paraID>36A3C94B</paraID>
      <start>5</start>
      <end>7</end>
      <status>modified</status>
      <modifiedWord>及其</modifiedWord>
      <trackRevisions>false</trackRevisions>
    </reviewItem>
    <reviewItem>
      <errorID>a038585c-d117-4fc5-aa78-5d3dd0177c84</errorID>
      <errorWord>定</errorWord>
      <group>L1_Word</group>
      <groupName>字词问题</groupName>
      <ability>L2_Typo</ability>
      <abilityName>字词错误</abilityName>
      <candidateList>
        <item>定以</item>
      </candidateList>
      <explain/>
      <paraID>36A3C94B</paraID>
      <start>98</start>
      <end>100</end>
      <status>modified</status>
      <modifiedWord>定以</modifiedWord>
      <trackRevisions>false</trackRevisions>
    </reviewItem>
    <reviewItem>
      <errorID>dcfe1671-5981-4335-aadb-e11e9bd9e546</errorID>
      <errorWord>随时并</errorWord>
      <group>L1_Word</group>
      <groupName>字词问题</groupName>
      <ability>L2_Typo</ability>
      <abilityName>字词错误</abilityName>
      <candidateList>
        <item>随时</item>
      </candidateList>
      <explain/>
      <paraID>358CF005</paraID>
      <start>41</start>
      <end>43</end>
      <status>modified</status>
      <modifiedWord>随时</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9c1969b-6fdf-444e-8275-7d0b4961182d}">
  <ds:schemaRefs/>
</ds:datastoreItem>
</file>

<file path=docProps/app.xml><?xml version="1.0" encoding="utf-8"?>
<Properties xmlns="http://schemas.openxmlformats.org/officeDocument/2006/extended-properties" xmlns:vt="http://schemas.openxmlformats.org/officeDocument/2006/docPropsVTypes">
  <Template>Normal.dotm</Template>
  <Pages>17</Pages>
  <Words>2353</Words>
  <Characters>2415</Characters>
  <Lines>0</Lines>
  <Paragraphs>0</Paragraphs>
  <TotalTime>120</TotalTime>
  <ScaleCrop>false</ScaleCrop>
  <LinksUpToDate>false</LinksUpToDate>
  <CharactersWithSpaces>2415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2025-02-18T01:39:00Z</dcterms:created>
  <dc:creator>L</dc:creator>
  <cp:lastModifiedBy>Yian</cp:lastModifiedBy>
  <dcterms:modified xsi:type="dcterms:W3CDTF">2026-07-28T00:32:03Z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DA03E3D6959B4B52A71933660D9F977F_13</vt:lpwstr>
  </property>
  <property fmtid="{D5CDD505-2E9C-101B-9397-08002B2CF9AE}" pid="4" name="KSOTemplateDocerSaveRecord">
    <vt:lpwstr>eyJoZGlkIjoiNzJjODRjNmZkMzhjZGVlNmEyN2U0N2MxZDZlMWExOWEiLCJ1c2VySWQiOiIzMzA5NzgxNDcifQ==</vt:lpwstr>
  </property>
</Properties>
</file>