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A5C42">
      <w:pPr>
        <w:pStyle w:val="3"/>
        <w:rPr>
          <w:rFonts w:ascii="宋体" w:hAnsi="宋体"/>
          <w:b/>
          <w:bCs/>
          <w:kern w:val="0"/>
          <w:sz w:val="24"/>
          <w:szCs w:val="20"/>
        </w:rPr>
      </w:pPr>
      <w:r>
        <w:rPr>
          <w:rFonts w:hint="eastAsia" w:ascii="宋体" w:hAnsi="宋体" w:cs="宋体" w:eastAsiaTheme="minorEastAsia"/>
          <w:b/>
          <w:bCs/>
          <w:kern w:val="0"/>
          <w:sz w:val="44"/>
          <w:szCs w:val="28"/>
          <w:lang w:val="en-US" w:eastAsia="zh-CN" w:bidi="ar-SA"/>
        </w:rPr>
        <w:t>坪山区全面推进林长制和绿美广东生态建设2025年实施成效评估项目</w:t>
      </w:r>
      <w:r>
        <w:rPr>
          <w:rFonts w:hint="eastAsia" w:ascii="宋体" w:hAnsi="宋体" w:cs="宋体"/>
          <w:b/>
          <w:bCs/>
          <w:kern w:val="0"/>
          <w:sz w:val="44"/>
          <w:szCs w:val="28"/>
          <w:lang w:val="en-US" w:eastAsia="zh-CN" w:bidi="ar-SA"/>
        </w:rPr>
        <w:t>（第二次）</w:t>
      </w:r>
      <w:r>
        <w:rPr>
          <w:rFonts w:hint="eastAsia" w:ascii="宋体" w:hAnsi="宋体" w:cs="宋体" w:eastAsiaTheme="minorEastAsia"/>
          <w:b/>
          <w:bCs/>
          <w:kern w:val="0"/>
          <w:sz w:val="44"/>
          <w:szCs w:val="28"/>
          <w:lang w:val="en-US" w:eastAsia="zh-CN" w:bidi="ar-SA"/>
        </w:rPr>
        <w:t>招标公告</w:t>
      </w:r>
    </w:p>
    <w:p w14:paraId="50069A6A">
      <w:pPr>
        <w:spacing w:line="360" w:lineRule="exact"/>
        <w:rPr>
          <w:rFonts w:ascii="宋体" w:hAnsi="宋体"/>
          <w:vanish/>
          <w:szCs w:val="21"/>
        </w:rPr>
      </w:pPr>
    </w:p>
    <w:p w14:paraId="0EC0E65F">
      <w:pPr>
        <w:pStyle w:val="3"/>
      </w:pPr>
      <w:bookmarkStart w:id="2" w:name="_GoBack"/>
      <w:bookmarkEnd w:id="2"/>
    </w:p>
    <w:p w14:paraId="4BD8ED2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7AE109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坪山区全面推进林长制和绿美广东生态建设2025年实施成效评估项目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A51306F">
      <w:pPr>
        <w:adjustRightInd w:val="0"/>
        <w:snapToGrid w:val="0"/>
        <w:spacing w:line="360" w:lineRule="auto"/>
        <w:ind w:firstLine="420" w:firstLineChars="200"/>
        <w:jc w:val="left"/>
        <w:rPr>
          <w:rFonts w:ascii="宋体" w:hAnsi="宋体" w:cs="Arial Unicode MS"/>
          <w:snapToGrid w:val="0"/>
          <w:kern w:val="0"/>
          <w:szCs w:val="21"/>
        </w:rPr>
      </w:pPr>
    </w:p>
    <w:p w14:paraId="10F9BC21">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5E4D8DA8">
      <w:pPr>
        <w:pStyle w:val="2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SZZZ2025-QC0211</w:t>
      </w:r>
    </w:p>
    <w:p w14:paraId="78F41A04">
      <w:pPr>
        <w:pStyle w:val="2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2、项目名称：坪山区全面推进林长制和绿美广东生态建设2025年实施成效评估项目</w:t>
      </w:r>
    </w:p>
    <w:p w14:paraId="66EB3E84">
      <w:pPr>
        <w:pStyle w:val="2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76A2C9E7">
      <w:pPr>
        <w:pStyle w:val="2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4、预算金额：人民币45万元</w:t>
      </w:r>
    </w:p>
    <w:p w14:paraId="2F24ACEB">
      <w:pPr>
        <w:pStyle w:val="2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5、最高限价：人民币45万元</w:t>
      </w:r>
    </w:p>
    <w:p w14:paraId="07DADCD3">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7"/>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425"/>
        <w:gridCol w:w="783"/>
        <w:gridCol w:w="922"/>
        <w:gridCol w:w="2693"/>
        <w:gridCol w:w="1276"/>
      </w:tblGrid>
      <w:tr w14:paraId="106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6EAFFE1F">
            <w:pPr>
              <w:pStyle w:val="15"/>
              <w:spacing w:before="0" w:beforeAutospacing="0" w:after="0" w:afterAutospacing="0" w:line="360" w:lineRule="auto"/>
              <w:jc w:val="center"/>
              <w:rPr>
                <w:sz w:val="21"/>
              </w:rPr>
            </w:pPr>
            <w:r>
              <w:rPr>
                <w:rFonts w:hint="eastAsia"/>
                <w:sz w:val="21"/>
              </w:rPr>
              <w:t>序号</w:t>
            </w:r>
          </w:p>
        </w:tc>
        <w:tc>
          <w:tcPr>
            <w:tcW w:w="3425" w:type="dxa"/>
            <w:shd w:val="clear" w:color="auto" w:fill="ABCDEF"/>
            <w:vAlign w:val="center"/>
          </w:tcPr>
          <w:p w14:paraId="15306713">
            <w:pPr>
              <w:pStyle w:val="15"/>
              <w:spacing w:line="360" w:lineRule="auto"/>
              <w:jc w:val="center"/>
              <w:rPr>
                <w:sz w:val="21"/>
              </w:rPr>
            </w:pPr>
            <w:r>
              <w:rPr>
                <w:sz w:val="21"/>
              </w:rPr>
              <w:t>标的名称</w:t>
            </w:r>
          </w:p>
        </w:tc>
        <w:tc>
          <w:tcPr>
            <w:tcW w:w="783" w:type="dxa"/>
            <w:shd w:val="clear" w:color="auto" w:fill="ABCDEF"/>
            <w:vAlign w:val="center"/>
          </w:tcPr>
          <w:p w14:paraId="2E84EE96">
            <w:pPr>
              <w:pStyle w:val="1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0EA01896">
            <w:pPr>
              <w:pStyle w:val="1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E646F4">
            <w:pPr>
              <w:pStyle w:val="1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795D539">
            <w:pPr>
              <w:pStyle w:val="15"/>
              <w:spacing w:before="0" w:beforeAutospacing="0" w:after="0" w:afterAutospacing="0" w:line="360" w:lineRule="auto"/>
              <w:jc w:val="center"/>
              <w:rPr>
                <w:sz w:val="21"/>
              </w:rPr>
            </w:pPr>
            <w:r>
              <w:rPr>
                <w:sz w:val="21"/>
              </w:rPr>
              <w:t>备注</w:t>
            </w:r>
          </w:p>
        </w:tc>
      </w:tr>
      <w:tr w14:paraId="714C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800F876">
            <w:pPr>
              <w:pStyle w:val="15"/>
              <w:spacing w:before="0" w:beforeAutospacing="0" w:after="0" w:afterAutospacing="0" w:line="360" w:lineRule="auto"/>
              <w:jc w:val="center"/>
              <w:rPr>
                <w:rFonts w:ascii="宋体" w:hAnsi="宋体" w:eastAsia="宋体"/>
                <w:sz w:val="21"/>
              </w:rPr>
            </w:pPr>
            <w:r>
              <w:rPr>
                <w:rFonts w:hint="eastAsia" w:ascii="宋体" w:hAnsi="宋体" w:eastAsia="宋体"/>
                <w:sz w:val="21"/>
              </w:rPr>
              <w:t>1</w:t>
            </w:r>
          </w:p>
        </w:tc>
        <w:tc>
          <w:tcPr>
            <w:tcW w:w="3425" w:type="dxa"/>
            <w:shd w:val="clear" w:color="auto" w:fill="auto"/>
            <w:vAlign w:val="center"/>
          </w:tcPr>
          <w:p w14:paraId="50E4CA9D">
            <w:pPr>
              <w:pStyle w:val="15"/>
              <w:spacing w:line="360" w:lineRule="auto"/>
              <w:jc w:val="center"/>
              <w:rPr>
                <w:rFonts w:ascii="宋体" w:hAnsi="宋体" w:eastAsia="宋体"/>
                <w:sz w:val="21"/>
              </w:rPr>
            </w:pPr>
            <w:r>
              <w:rPr>
                <w:rFonts w:hint="eastAsia" w:ascii="宋体" w:hAnsi="宋体" w:eastAsia="宋体"/>
                <w:snapToGrid w:val="0"/>
                <w:sz w:val="21"/>
                <w:szCs w:val="21"/>
              </w:rPr>
              <w:t>坪山区全面推进林长制和绿美广东生态建设2025年实施成效评估项目</w:t>
            </w:r>
          </w:p>
        </w:tc>
        <w:tc>
          <w:tcPr>
            <w:tcW w:w="783" w:type="dxa"/>
            <w:shd w:val="clear" w:color="auto" w:fill="auto"/>
            <w:vAlign w:val="center"/>
          </w:tcPr>
          <w:p w14:paraId="6CCF576A">
            <w:pPr>
              <w:pStyle w:val="15"/>
              <w:spacing w:before="0" w:beforeAutospacing="0" w:after="0" w:afterAutospacing="0" w:line="360" w:lineRule="auto"/>
              <w:jc w:val="center"/>
              <w:rPr>
                <w:rFonts w:ascii="宋体" w:hAnsi="宋体" w:eastAsia="宋体"/>
                <w:sz w:val="21"/>
              </w:rPr>
            </w:pPr>
            <w:r>
              <w:rPr>
                <w:rFonts w:hint="eastAsia" w:ascii="宋体" w:hAnsi="宋体" w:eastAsia="宋体"/>
                <w:sz w:val="21"/>
              </w:rPr>
              <w:t>1</w:t>
            </w:r>
          </w:p>
        </w:tc>
        <w:tc>
          <w:tcPr>
            <w:tcW w:w="922" w:type="dxa"/>
            <w:shd w:val="clear" w:color="auto" w:fill="auto"/>
            <w:vAlign w:val="center"/>
          </w:tcPr>
          <w:p w14:paraId="7B2D5766">
            <w:pPr>
              <w:pStyle w:val="15"/>
              <w:spacing w:before="0" w:beforeAutospacing="0" w:after="0" w:afterAutospacing="0" w:line="360" w:lineRule="auto"/>
              <w:jc w:val="center"/>
              <w:rPr>
                <w:rFonts w:ascii="宋体" w:hAnsi="宋体" w:eastAsia="宋体"/>
                <w:sz w:val="21"/>
              </w:rPr>
            </w:pPr>
            <w:r>
              <w:rPr>
                <w:rFonts w:hint="eastAsia" w:ascii="宋体" w:hAnsi="宋体" w:eastAsia="宋体"/>
                <w:sz w:val="21"/>
              </w:rPr>
              <w:t>项</w:t>
            </w:r>
          </w:p>
        </w:tc>
        <w:tc>
          <w:tcPr>
            <w:tcW w:w="2693" w:type="dxa"/>
            <w:shd w:val="clear" w:color="auto" w:fill="auto"/>
            <w:vAlign w:val="center"/>
          </w:tcPr>
          <w:p w14:paraId="528E4EAF">
            <w:pPr>
              <w:pStyle w:val="15"/>
              <w:spacing w:before="0" w:beforeAutospacing="0" w:after="0" w:afterAutospacing="0" w:line="360" w:lineRule="auto"/>
              <w:jc w:val="center"/>
              <w:rPr>
                <w:rFonts w:ascii="宋体" w:hAnsi="宋体" w:eastAsia="宋体"/>
                <w:sz w:val="21"/>
              </w:rPr>
            </w:pPr>
            <w:r>
              <w:rPr>
                <w:rFonts w:hint="eastAsia" w:ascii="宋体" w:hAnsi="宋体" w:eastAsia="宋体"/>
                <w:sz w:val="21"/>
              </w:rPr>
              <w:t>详见招标文件项目需求</w:t>
            </w:r>
          </w:p>
        </w:tc>
        <w:tc>
          <w:tcPr>
            <w:tcW w:w="1276" w:type="dxa"/>
            <w:shd w:val="clear" w:color="auto" w:fill="auto"/>
            <w:vAlign w:val="center"/>
          </w:tcPr>
          <w:p w14:paraId="655F145B">
            <w:pPr>
              <w:widowControl/>
              <w:spacing w:line="360" w:lineRule="auto"/>
              <w:jc w:val="center"/>
              <w:rPr>
                <w:rFonts w:ascii="宋体" w:hAnsi="宋体" w:eastAsia="宋体"/>
              </w:rPr>
            </w:pPr>
            <w:r>
              <w:rPr>
                <w:rFonts w:hint="eastAsia" w:ascii="宋体" w:hAnsi="宋体" w:eastAsia="宋体"/>
              </w:rPr>
              <w:t>无</w:t>
            </w:r>
          </w:p>
        </w:tc>
      </w:tr>
    </w:tbl>
    <w:p w14:paraId="0369DD5D">
      <w:pPr>
        <w:pStyle w:val="2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273A46A">
      <w:pPr>
        <w:pStyle w:val="2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487A51C">
      <w:pPr>
        <w:pStyle w:val="2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B6B3166">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655A26E5">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4EA93D9E">
      <w:pPr>
        <w:pStyle w:val="23"/>
        <w:adjustRightInd w:val="0"/>
        <w:snapToGrid w:val="0"/>
        <w:spacing w:before="0" w:beforeAutospacing="0" w:after="0" w:afterAutospacing="0" w:line="360" w:lineRule="auto"/>
        <w:ind w:firstLine="424" w:firstLineChars="202"/>
        <w:rPr>
          <w:rFonts w:hint="eastAsia" w:ascii="宋体" w:hAnsi="宋体" w:eastAsia="宋体"/>
          <w:snapToGrid w:val="0"/>
          <w:color w:val="FF0000"/>
          <w:sz w:val="21"/>
          <w:lang w:val="en-US" w:eastAsia="zh-CN"/>
        </w:rPr>
      </w:pPr>
      <w:r>
        <w:rPr>
          <w:rFonts w:hint="eastAsia" w:ascii="宋体" w:hAnsi="宋体" w:eastAsia="宋体"/>
          <w:snapToGrid w:val="0"/>
          <w:color w:val="auto"/>
          <w:sz w:val="21"/>
        </w:rPr>
        <w:t>2、落实政府采购政策需满足的资格要求：</w:t>
      </w:r>
      <w:r>
        <w:rPr>
          <w:rFonts w:hint="eastAsia" w:ascii="宋体" w:hAnsi="宋体" w:eastAsia="宋体"/>
          <w:snapToGrid w:val="0"/>
          <w:color w:val="auto"/>
          <w:sz w:val="21"/>
          <w:lang w:val="en-US" w:eastAsia="zh-CN"/>
        </w:rPr>
        <w:t>无</w:t>
      </w:r>
    </w:p>
    <w:p w14:paraId="3A3DD886">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p>
    <w:p w14:paraId="66A01DF8">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（1）参与本项目采购活动前三年内，在经营活动中没有重大违法记录（须按本项目投标文件格式要求提供《政府采购投标及履约承诺函》加盖投标人公章）；</w:t>
      </w:r>
    </w:p>
    <w:p w14:paraId="1A19BFE8">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07B6ABC4">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20311D5">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D35F679">
      <w:pPr>
        <w:pStyle w:val="23"/>
        <w:adjustRightInd w:val="0"/>
        <w:snapToGrid w:val="0"/>
        <w:spacing w:before="0" w:beforeAutospacing="0" w:after="0" w:afterAutospacing="0" w:line="360" w:lineRule="auto"/>
        <w:ind w:firstLine="420" w:firstLineChars="200"/>
        <w:rPr>
          <w:rFonts w:ascii="宋体" w:hAnsi="宋体" w:eastAsia="宋体"/>
          <w:snapToGrid w:val="0"/>
          <w:color w:val="auto"/>
          <w:sz w:val="21"/>
        </w:rPr>
      </w:pPr>
      <w:r>
        <w:rPr>
          <w:rFonts w:hint="eastAsia" w:ascii="宋体" w:hAnsi="宋体" w:eastAsia="宋体"/>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BA3CD03">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64F2A6C">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8669DE3">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（8）本项目不接受联合体投标，不允许非法分包或转包。</w:t>
      </w:r>
    </w:p>
    <w:p w14:paraId="55873650">
      <w:pPr>
        <w:pStyle w:val="2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A02B956">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39D46B75">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CE63D7">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2F32700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2A7BE5A">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102ABAA">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0DBA4FC7">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FE19D0F">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54F36CF">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4E9F98E">
      <w:pPr>
        <w:pStyle w:val="2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683CE9CE">
      <w:pPr>
        <w:pStyle w:val="2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558C0AA">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E70F45C">
      <w:pPr>
        <w:pStyle w:val="2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30F175D4">
      <w:pPr>
        <w:pStyle w:val="2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39A4E4B9">
      <w:pPr>
        <w:pStyle w:val="2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3243A0A">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BE10C85">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B23056F">
      <w:pPr>
        <w:pStyle w:val="2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439931E">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BB8FF20">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78D43CE9">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563D7703">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56E5C53D">
      <w:pPr>
        <w:pStyle w:val="2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054CADE">
      <w:pPr>
        <w:pStyle w:val="2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0D81CD04">
      <w:pPr>
        <w:pStyle w:val="2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5A37555">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52250C63">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名称：深圳市规划和自然资源局坪山管理局</w:t>
      </w:r>
    </w:p>
    <w:p w14:paraId="53C274E2">
      <w:pPr>
        <w:pStyle w:val="2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地址：广东省深圳市坪山区坪慧路6号</w:t>
      </w:r>
    </w:p>
    <w:p w14:paraId="5094B945">
      <w:pPr>
        <w:pStyle w:val="2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谈工，0755-28297891</w:t>
      </w:r>
    </w:p>
    <w:p w14:paraId="1BF38884">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C183BE2">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8B9717">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1C658710">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2C565973">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4281E56">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21B96B4D">
      <w:pPr>
        <w:pStyle w:val="2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19F6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6F2E237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9</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4ZWExMzI1NmQ5Yzc3N2Y3OGMxZGE3OTBlZDY2ZTIifQ=="/>
  </w:docVars>
  <w:rsids>
    <w:rsidRoot w:val="00105E9C"/>
    <w:rsid w:val="00004CBC"/>
    <w:rsid w:val="000A436D"/>
    <w:rsid w:val="00105E9C"/>
    <w:rsid w:val="00110CD4"/>
    <w:rsid w:val="001419DD"/>
    <w:rsid w:val="001511AE"/>
    <w:rsid w:val="00161692"/>
    <w:rsid w:val="001A47BF"/>
    <w:rsid w:val="001A5609"/>
    <w:rsid w:val="001B53CA"/>
    <w:rsid w:val="001C16D1"/>
    <w:rsid w:val="00246702"/>
    <w:rsid w:val="00253C17"/>
    <w:rsid w:val="00307312"/>
    <w:rsid w:val="00313E90"/>
    <w:rsid w:val="00322A44"/>
    <w:rsid w:val="003D0D5B"/>
    <w:rsid w:val="003E0876"/>
    <w:rsid w:val="0041749E"/>
    <w:rsid w:val="00430DB2"/>
    <w:rsid w:val="0044535E"/>
    <w:rsid w:val="004456CA"/>
    <w:rsid w:val="004860C1"/>
    <w:rsid w:val="004C0E60"/>
    <w:rsid w:val="004C159C"/>
    <w:rsid w:val="004C5653"/>
    <w:rsid w:val="004C5E78"/>
    <w:rsid w:val="00546243"/>
    <w:rsid w:val="00561A68"/>
    <w:rsid w:val="005C325E"/>
    <w:rsid w:val="005C6716"/>
    <w:rsid w:val="00605329"/>
    <w:rsid w:val="00607B4A"/>
    <w:rsid w:val="00616C90"/>
    <w:rsid w:val="00643547"/>
    <w:rsid w:val="006756D0"/>
    <w:rsid w:val="006C2190"/>
    <w:rsid w:val="006C57D6"/>
    <w:rsid w:val="006E20F5"/>
    <w:rsid w:val="007A5BB3"/>
    <w:rsid w:val="007B0811"/>
    <w:rsid w:val="007B3099"/>
    <w:rsid w:val="007D557C"/>
    <w:rsid w:val="00800E36"/>
    <w:rsid w:val="008478F8"/>
    <w:rsid w:val="008660A6"/>
    <w:rsid w:val="0087229F"/>
    <w:rsid w:val="008761FB"/>
    <w:rsid w:val="00882966"/>
    <w:rsid w:val="00890F39"/>
    <w:rsid w:val="00894685"/>
    <w:rsid w:val="008E1AD4"/>
    <w:rsid w:val="00917192"/>
    <w:rsid w:val="00930C0D"/>
    <w:rsid w:val="009568C1"/>
    <w:rsid w:val="00963C03"/>
    <w:rsid w:val="00973519"/>
    <w:rsid w:val="00984694"/>
    <w:rsid w:val="00A31F39"/>
    <w:rsid w:val="00A5548C"/>
    <w:rsid w:val="00A92B35"/>
    <w:rsid w:val="00AD68BB"/>
    <w:rsid w:val="00AE0C97"/>
    <w:rsid w:val="00AF3249"/>
    <w:rsid w:val="00B129A9"/>
    <w:rsid w:val="00B46447"/>
    <w:rsid w:val="00B52052"/>
    <w:rsid w:val="00B82C5F"/>
    <w:rsid w:val="00BA6535"/>
    <w:rsid w:val="00C32F51"/>
    <w:rsid w:val="00C52B73"/>
    <w:rsid w:val="00C76695"/>
    <w:rsid w:val="00C85887"/>
    <w:rsid w:val="00CB79EF"/>
    <w:rsid w:val="00CD3F2C"/>
    <w:rsid w:val="00CE0F48"/>
    <w:rsid w:val="00CE6F82"/>
    <w:rsid w:val="00D041CC"/>
    <w:rsid w:val="00D20742"/>
    <w:rsid w:val="00D648BB"/>
    <w:rsid w:val="00D66EB9"/>
    <w:rsid w:val="00D71342"/>
    <w:rsid w:val="00DB75B9"/>
    <w:rsid w:val="00DE78FC"/>
    <w:rsid w:val="00E07C84"/>
    <w:rsid w:val="00E34188"/>
    <w:rsid w:val="00EB21D1"/>
    <w:rsid w:val="00EC7273"/>
    <w:rsid w:val="00ED1AE0"/>
    <w:rsid w:val="00EE4430"/>
    <w:rsid w:val="00EF7DD6"/>
    <w:rsid w:val="00F15F4B"/>
    <w:rsid w:val="00F239AE"/>
    <w:rsid w:val="00F25FBD"/>
    <w:rsid w:val="00F4393F"/>
    <w:rsid w:val="00F51BA0"/>
    <w:rsid w:val="00F63D99"/>
    <w:rsid w:val="00F83977"/>
    <w:rsid w:val="00FC0D26"/>
    <w:rsid w:val="00FC699E"/>
    <w:rsid w:val="09EB52D6"/>
    <w:rsid w:val="0BC47CAF"/>
    <w:rsid w:val="1EB624A3"/>
    <w:rsid w:val="1F3F45E1"/>
    <w:rsid w:val="2E373DD9"/>
    <w:rsid w:val="3DA7411B"/>
    <w:rsid w:val="3DE418E4"/>
    <w:rsid w:val="40B808E3"/>
    <w:rsid w:val="4A156212"/>
    <w:rsid w:val="502F27EE"/>
    <w:rsid w:val="54573D45"/>
    <w:rsid w:val="66961FB9"/>
    <w:rsid w:val="66AF59F0"/>
    <w:rsid w:val="79DE34B4"/>
    <w:rsid w:val="7A48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460" w:after="450" w:line="360" w:lineRule="auto"/>
      <w:jc w:val="center"/>
      <w:outlineLvl w:val="0"/>
    </w:pPr>
    <w:rPr>
      <w:rFonts w:eastAsiaTheme="minorEastAsia"/>
      <w:kern w:val="44"/>
      <w:sz w:val="44"/>
      <w:szCs w:val="28"/>
    </w:rPr>
  </w:style>
  <w:style w:type="paragraph" w:styleId="5">
    <w:name w:val="heading 2"/>
    <w:basedOn w:val="1"/>
    <w:next w:val="1"/>
    <w:qFormat/>
    <w:uiPriority w:val="9"/>
    <w:pPr>
      <w:keepNext/>
      <w:keepLines/>
      <w:spacing w:before="260" w:after="260" w:line="416" w:lineRule="auto"/>
      <w:outlineLvl w:val="1"/>
    </w:pPr>
    <w:rPr>
      <w:rFonts w:ascii="Arial" w:hAnsi="Arial"/>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6">
    <w:name w:val="toc 7"/>
    <w:basedOn w:val="1"/>
    <w:next w:val="1"/>
    <w:qFormat/>
    <w:uiPriority w:val="0"/>
    <w:pPr>
      <w:ind w:left="1260"/>
      <w:jc w:val="left"/>
    </w:pPr>
    <w:rPr>
      <w:szCs w:val="21"/>
    </w:rPr>
  </w:style>
  <w:style w:type="paragraph" w:styleId="7">
    <w:name w:val="Normal Indent"/>
    <w:basedOn w:val="1"/>
    <w:qFormat/>
    <w:uiPriority w:val="0"/>
    <w:pPr>
      <w:ind w:firstLine="420" w:firstLineChars="200"/>
    </w:pPr>
  </w:style>
  <w:style w:type="paragraph" w:styleId="8">
    <w:name w:val="annotation text"/>
    <w:basedOn w:val="1"/>
    <w:link w:val="22"/>
    <w:autoRedefine/>
    <w:qFormat/>
    <w:uiPriority w:val="99"/>
    <w:pPr>
      <w:jc w:val="left"/>
    </w:pPr>
  </w:style>
  <w:style w:type="paragraph" w:styleId="9">
    <w:name w:val="Body Text"/>
    <w:basedOn w:val="1"/>
    <w:next w:val="1"/>
    <w:qFormat/>
    <w:uiPriority w:val="0"/>
    <w:pPr>
      <w:spacing w:after="120"/>
    </w:pPr>
  </w:style>
  <w:style w:type="paragraph" w:styleId="10">
    <w:name w:val="Body Text Indent"/>
    <w:basedOn w:val="1"/>
    <w:next w:val="11"/>
    <w:qFormat/>
    <w:uiPriority w:val="0"/>
    <w:pPr>
      <w:ind w:firstLine="540"/>
    </w:pPr>
    <w:rPr>
      <w:sz w:val="28"/>
      <w:szCs w:val="20"/>
    </w:rPr>
  </w:style>
  <w:style w:type="paragraph" w:styleId="11">
    <w:name w:val="Body Text First Indent 2"/>
    <w:basedOn w:val="10"/>
    <w:qFormat/>
    <w:uiPriority w:val="0"/>
    <w:pPr>
      <w:spacing w:after="160" w:line="360" w:lineRule="auto"/>
      <w:ind w:firstLine="480" w:firstLineChars="200"/>
    </w:pPr>
    <w:rPr>
      <w:kern w:val="0"/>
      <w:sz w:val="24"/>
    </w:rPr>
  </w:style>
  <w:style w:type="paragraph" w:styleId="12">
    <w:name w:val="Balloon Text"/>
    <w:basedOn w:val="1"/>
    <w:link w:val="24"/>
    <w:autoRedefine/>
    <w:semiHidden/>
    <w:unhideWhenUsed/>
    <w:qFormat/>
    <w:uiPriority w:val="99"/>
    <w:rPr>
      <w:sz w:val="18"/>
      <w:szCs w:val="18"/>
    </w:rPr>
  </w:style>
  <w:style w:type="paragraph" w:styleId="13">
    <w:name w:val="footer"/>
    <w:basedOn w:val="1"/>
    <w:link w:val="26"/>
    <w:autoRedefine/>
    <w:semiHidden/>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kern w:val="0"/>
      <w:sz w:val="24"/>
    </w:rPr>
  </w:style>
  <w:style w:type="paragraph" w:styleId="16">
    <w:name w:val="annotation subject"/>
    <w:basedOn w:val="8"/>
    <w:next w:val="8"/>
    <w:link w:val="27"/>
    <w:autoRedefine/>
    <w:semiHidden/>
    <w:unhideWhenUsed/>
    <w:qFormat/>
    <w:uiPriority w:val="99"/>
    <w:rPr>
      <w:b/>
      <w:bCs/>
    </w:rPr>
  </w:style>
  <w:style w:type="character" w:styleId="19">
    <w:name w:val="Hyperlink"/>
    <w:qFormat/>
    <w:uiPriority w:val="0"/>
    <w:rPr>
      <w:color w:val="0000FF"/>
      <w:u w:val="single"/>
    </w:rPr>
  </w:style>
  <w:style w:type="character" w:styleId="20">
    <w:name w:val="annotation reference"/>
    <w:autoRedefine/>
    <w:qFormat/>
    <w:uiPriority w:val="99"/>
    <w:rPr>
      <w:sz w:val="21"/>
      <w:szCs w:val="21"/>
    </w:rPr>
  </w:style>
  <w:style w:type="paragraph" w:customStyle="1" w:styleId="21">
    <w:name w:val="表格文字"/>
    <w:basedOn w:val="1"/>
    <w:autoRedefine/>
    <w:qFormat/>
    <w:uiPriority w:val="0"/>
    <w:pPr>
      <w:spacing w:before="25" w:after="25"/>
      <w:jc w:val="left"/>
    </w:pPr>
    <w:rPr>
      <w:bCs/>
      <w:spacing w:val="10"/>
      <w:kern w:val="0"/>
      <w:sz w:val="24"/>
    </w:rPr>
  </w:style>
  <w:style w:type="character" w:customStyle="1" w:styleId="22">
    <w:name w:val="批注文字 Char"/>
    <w:basedOn w:val="18"/>
    <w:link w:val="8"/>
    <w:autoRedefine/>
    <w:qFormat/>
    <w:uiPriority w:val="99"/>
    <w:rPr>
      <w:rFonts w:ascii="Times New Roman" w:hAnsi="Times New Roman" w:eastAsia="宋体" w:cs="Times New Roman"/>
      <w:szCs w:val="24"/>
    </w:rPr>
  </w:style>
  <w:style w:type="paragraph" w:customStyle="1" w:styleId="2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4">
    <w:name w:val="批注框文本 Char"/>
    <w:basedOn w:val="18"/>
    <w:link w:val="12"/>
    <w:autoRedefine/>
    <w:semiHidden/>
    <w:qFormat/>
    <w:uiPriority w:val="99"/>
    <w:rPr>
      <w:rFonts w:ascii="Times New Roman" w:hAnsi="Times New Roman" w:eastAsia="宋体" w:cs="Times New Roman"/>
      <w:sz w:val="18"/>
      <w:szCs w:val="18"/>
    </w:rPr>
  </w:style>
  <w:style w:type="character" w:customStyle="1" w:styleId="25">
    <w:name w:val="页眉 Char"/>
    <w:basedOn w:val="18"/>
    <w:link w:val="14"/>
    <w:autoRedefine/>
    <w:semiHidden/>
    <w:qFormat/>
    <w:uiPriority w:val="99"/>
    <w:rPr>
      <w:rFonts w:ascii="Times New Roman" w:hAnsi="Times New Roman" w:eastAsia="宋体" w:cs="Times New Roman"/>
      <w:sz w:val="18"/>
      <w:szCs w:val="18"/>
    </w:rPr>
  </w:style>
  <w:style w:type="character" w:customStyle="1" w:styleId="26">
    <w:name w:val="页脚 Char"/>
    <w:basedOn w:val="18"/>
    <w:link w:val="13"/>
    <w:autoRedefine/>
    <w:semiHidden/>
    <w:qFormat/>
    <w:uiPriority w:val="99"/>
    <w:rPr>
      <w:rFonts w:ascii="Times New Roman" w:hAnsi="Times New Roman" w:eastAsia="宋体" w:cs="Times New Roman"/>
      <w:sz w:val="18"/>
      <w:szCs w:val="18"/>
    </w:rPr>
  </w:style>
  <w:style w:type="character" w:customStyle="1" w:styleId="27">
    <w:name w:val="批注主题 Char"/>
    <w:basedOn w:val="22"/>
    <w:link w:val="16"/>
    <w:autoRedefine/>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2235</Words>
  <Characters>2524</Characters>
  <Lines>15</Lines>
  <Paragraphs>4</Paragraphs>
  <TotalTime>0</TotalTime>
  <ScaleCrop>false</ScaleCrop>
  <LinksUpToDate>false</LinksUpToDate>
  <CharactersWithSpaces>2526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中正招标庄学华</cp:lastModifiedBy>
  <dcterms:modified xsi:type="dcterms:W3CDTF">2025-06-09T11:48:11Z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AC3ACBA1041B484F8574525919B49FBE_12</vt:lpwstr>
  </property>
  <property fmtid="{D5CDD505-2E9C-101B-9397-08002B2CF9AE}" pid="4" name="KSOTemplateDocerSaveRecord">
    <vt:lpwstr>eyJoZGlkIjoiY2FkNzhjOTRiYTFjZGFkODk1NGVjZmFjOTg4ODM4ZjUiLCJ1c2VySWQiOiI0NTA5MTc1MTkifQ==</vt:lpwstr>
  </property>
</Properties>
</file>