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5013A">
      <w:pPr>
        <w:pStyle w:val="7"/>
        <w:pageBreakBefore/>
        <w:rPr>
          <w:rFonts w:hint="eastAsia" w:ascii="黑体" w:hAnsi="黑体" w:eastAsia="黑体" w:cs="黑体"/>
          <w:color w:val="auto"/>
        </w:rPr>
      </w:pPr>
      <w:r>
        <w:rPr>
          <w:rFonts w:hint="eastAsia" w:ascii="黑体" w:hAnsi="黑体" w:eastAsia="黑体" w:cs="黑体"/>
          <w:color w:val="auto"/>
        </w:rPr>
        <w:t xml:space="preserve">第一章 </w:t>
      </w:r>
      <w:bookmarkStart w:id="0" w:name="_Hlk66182504"/>
      <w:r>
        <w:rPr>
          <w:rFonts w:hint="eastAsia" w:ascii="黑体" w:hAnsi="黑体" w:eastAsia="黑体" w:cs="黑体"/>
          <w:color w:val="auto"/>
        </w:rPr>
        <w:t>采购公告</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D3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7" w:type="dxa"/>
            <w:noWrap w:val="0"/>
            <w:vAlign w:val="top"/>
          </w:tcPr>
          <w:p w14:paraId="1DC16833">
            <w:pPr>
              <w:keepNext w:val="0"/>
              <w:keepLines w:val="0"/>
              <w:widowControl w:val="0"/>
              <w:suppressLineNumbers w:val="0"/>
              <w:shd w:val="clear" w:color="auto" w:fill="auto"/>
              <w:tabs>
                <w:tab w:val="clear" w:pos="426"/>
              </w:tabs>
              <w:spacing w:before="0" w:beforeAutospacing="0" w:after="0" w:afterAutospacing="0" w:line="240" w:lineRule="auto"/>
              <w:ind w:left="0" w:right="0" w:firstLine="422" w:firstLineChars="200"/>
              <w:rPr>
                <w:rFonts w:hint="eastAsia" w:ascii="黑体" w:hAnsi="黑体" w:eastAsia="黑体" w:cs="黑体"/>
                <w:b/>
                <w:color w:val="auto"/>
                <w:kern w:val="2"/>
                <w:vertAlign w:val="baseline"/>
              </w:rPr>
            </w:pPr>
            <w:r>
              <w:rPr>
                <w:rFonts w:hint="eastAsia" w:ascii="黑体" w:hAnsi="黑体" w:eastAsia="黑体" w:cs="黑体"/>
                <w:b/>
                <w:color w:val="auto"/>
                <w:kern w:val="2"/>
                <w:vertAlign w:val="baseline"/>
              </w:rPr>
              <w:t>项目概况</w:t>
            </w:r>
          </w:p>
          <w:p w14:paraId="7370D008">
            <w:pPr>
              <w:keepNext w:val="0"/>
              <w:keepLines w:val="0"/>
              <w:widowControl w:val="0"/>
              <w:suppressLineNumbers w:val="0"/>
              <w:shd w:val="clear" w:color="auto" w:fill="auto"/>
              <w:tabs>
                <w:tab w:val="clear" w:pos="426"/>
              </w:tabs>
              <w:spacing w:before="0" w:beforeAutospacing="0" w:after="0" w:afterAutospacing="0" w:line="240" w:lineRule="auto"/>
              <w:ind w:left="0" w:right="0" w:firstLine="420" w:firstLineChars="200"/>
              <w:rPr>
                <w:rFonts w:hint="eastAsia" w:ascii="黑体" w:hAnsi="黑体" w:eastAsia="黑体" w:cs="黑体"/>
                <w:b/>
                <w:color w:val="auto"/>
                <w:kern w:val="2"/>
                <w:vertAlign w:val="baseline"/>
              </w:rPr>
            </w:pPr>
            <w:r>
              <w:rPr>
                <w:rFonts w:hint="eastAsia" w:ascii="黑体" w:hAnsi="黑体" w:eastAsia="黑体" w:cs="黑体"/>
                <w:color w:val="auto"/>
                <w:kern w:val="2"/>
                <w:szCs w:val="21"/>
                <w:lang w:eastAsia="zh-CN"/>
              </w:rPr>
              <w:t>2025年停办园资产拆装运输项目</w:t>
            </w:r>
            <w:r>
              <w:rPr>
                <w:rFonts w:hint="eastAsia" w:ascii="黑体" w:hAnsi="黑体" w:eastAsia="黑体" w:cs="黑体"/>
                <w:color w:val="auto"/>
                <w:kern w:val="2"/>
                <w:szCs w:val="21"/>
              </w:rPr>
              <w:t>项目的潜在投标人应前往采购代理机构处获取招标文件，并于</w:t>
            </w:r>
            <w:r>
              <w:rPr>
                <w:rFonts w:hint="eastAsia" w:ascii="黑体" w:hAnsi="黑体" w:eastAsia="黑体" w:cs="黑体"/>
                <w:bCs/>
                <w:color w:val="auto"/>
                <w:kern w:val="2"/>
                <w:szCs w:val="21"/>
                <w:lang w:eastAsia="zh-CN"/>
              </w:rPr>
              <w:t>2025</w:t>
            </w:r>
            <w:r>
              <w:rPr>
                <w:rFonts w:hint="eastAsia" w:ascii="黑体" w:hAnsi="黑体" w:eastAsia="黑体" w:cs="黑体"/>
                <w:bCs/>
                <w:color w:val="auto"/>
                <w:kern w:val="2"/>
                <w:szCs w:val="21"/>
              </w:rPr>
              <w:t>年</w:t>
            </w:r>
            <w:r>
              <w:rPr>
                <w:rFonts w:hint="eastAsia" w:ascii="黑体" w:hAnsi="黑体" w:eastAsia="黑体" w:cs="黑体"/>
                <w:bCs/>
                <w:color w:val="auto"/>
                <w:kern w:val="2"/>
                <w:szCs w:val="21"/>
                <w:lang w:val="en-US" w:eastAsia="zh-CN"/>
              </w:rPr>
              <w:t>08</w:t>
            </w:r>
            <w:r>
              <w:rPr>
                <w:rFonts w:hint="eastAsia" w:ascii="黑体" w:hAnsi="黑体" w:eastAsia="黑体" w:cs="黑体"/>
                <w:bCs/>
                <w:color w:val="auto"/>
                <w:kern w:val="2"/>
                <w:szCs w:val="21"/>
              </w:rPr>
              <w:t>月</w:t>
            </w:r>
            <w:r>
              <w:rPr>
                <w:rFonts w:hint="eastAsia" w:ascii="黑体" w:hAnsi="黑体" w:eastAsia="黑体" w:cs="黑体"/>
                <w:bCs/>
                <w:color w:val="auto"/>
                <w:kern w:val="2"/>
                <w:szCs w:val="21"/>
                <w:lang w:val="en-US" w:eastAsia="zh-CN"/>
              </w:rPr>
              <w:t>08</w:t>
            </w:r>
            <w:r>
              <w:rPr>
                <w:rFonts w:hint="eastAsia" w:ascii="黑体" w:hAnsi="黑体" w:eastAsia="黑体" w:cs="黑体"/>
                <w:bCs/>
                <w:color w:val="auto"/>
                <w:kern w:val="2"/>
                <w:szCs w:val="21"/>
              </w:rPr>
              <w:t>日</w:t>
            </w:r>
            <w:r>
              <w:rPr>
                <w:rFonts w:hint="eastAsia" w:ascii="黑体" w:hAnsi="黑体" w:eastAsia="黑体" w:cs="黑体"/>
                <w:bCs/>
                <w:color w:val="auto"/>
                <w:kern w:val="2"/>
                <w:szCs w:val="21"/>
                <w:lang w:val="en-US" w:eastAsia="zh-CN"/>
              </w:rPr>
              <w:t>10</w:t>
            </w:r>
            <w:r>
              <w:rPr>
                <w:rFonts w:hint="eastAsia" w:ascii="黑体" w:hAnsi="黑体" w:eastAsia="黑体" w:cs="黑体"/>
                <w:bCs/>
                <w:color w:val="auto"/>
                <w:kern w:val="2"/>
                <w:szCs w:val="21"/>
              </w:rPr>
              <w:t>：</w:t>
            </w:r>
            <w:r>
              <w:rPr>
                <w:rFonts w:hint="eastAsia" w:ascii="黑体" w:hAnsi="黑体" w:eastAsia="黑体" w:cs="黑体"/>
                <w:bCs/>
                <w:color w:val="auto"/>
                <w:kern w:val="2"/>
                <w:szCs w:val="21"/>
                <w:lang w:val="en-US" w:eastAsia="zh-CN"/>
              </w:rPr>
              <w:t>00</w:t>
            </w:r>
            <w:r>
              <w:rPr>
                <w:rFonts w:hint="eastAsia" w:ascii="黑体" w:hAnsi="黑体" w:eastAsia="黑体" w:cs="黑体"/>
                <w:bCs/>
                <w:color w:val="auto"/>
                <w:kern w:val="2"/>
                <w:szCs w:val="21"/>
              </w:rPr>
              <w:t>分（北京时间）前递交投标文件</w:t>
            </w:r>
            <w:r>
              <w:rPr>
                <w:rFonts w:hint="eastAsia" w:ascii="黑体" w:hAnsi="黑体" w:eastAsia="黑体" w:cs="黑体"/>
                <w:color w:val="auto"/>
                <w:kern w:val="2"/>
                <w:szCs w:val="21"/>
              </w:rPr>
              <w:t>。</w:t>
            </w:r>
          </w:p>
        </w:tc>
      </w:tr>
    </w:tbl>
    <w:p w14:paraId="44DF138D">
      <w:pPr>
        <w:tabs>
          <w:tab w:val="clear" w:pos="426"/>
        </w:tabs>
        <w:spacing w:line="240" w:lineRule="auto"/>
        <w:rPr>
          <w:rFonts w:hint="eastAsia" w:ascii="黑体" w:hAnsi="黑体" w:eastAsia="黑体" w:cs="黑体"/>
          <w:b/>
          <w:color w:val="auto"/>
        </w:rPr>
      </w:pPr>
      <w:r>
        <w:rPr>
          <w:rFonts w:hint="eastAsia" w:ascii="黑体" w:hAnsi="黑体" w:eastAsia="黑体" w:cs="黑体"/>
          <w:b/>
          <w:color w:val="auto"/>
        </w:rPr>
        <w:t>一、项目基本情况</w:t>
      </w:r>
    </w:p>
    <w:p w14:paraId="19B2A0D8">
      <w:pPr>
        <w:pStyle w:val="8"/>
        <w:numPr>
          <w:ilvl w:val="0"/>
          <w:numId w:val="1"/>
        </w:numPr>
        <w:ind w:firstLineChars="0"/>
        <w:rPr>
          <w:rFonts w:hint="eastAsia" w:ascii="黑体" w:hAnsi="黑体" w:eastAsia="黑体" w:cs="黑体"/>
          <w:color w:val="auto"/>
        </w:rPr>
      </w:pPr>
      <w:r>
        <w:rPr>
          <w:rFonts w:hint="eastAsia" w:ascii="黑体" w:hAnsi="黑体" w:eastAsia="黑体" w:cs="黑体"/>
          <w:color w:val="auto"/>
        </w:rPr>
        <w:t>项目编号：</w:t>
      </w:r>
      <w:r>
        <w:rPr>
          <w:rFonts w:hint="eastAsia" w:ascii="黑体" w:hAnsi="黑体" w:eastAsia="黑体" w:cs="黑体"/>
          <w:color w:val="auto"/>
          <w:lang w:eastAsia="zh-CN"/>
        </w:rPr>
        <w:t>SHZB202507012</w:t>
      </w:r>
    </w:p>
    <w:p w14:paraId="5322EFAB">
      <w:pPr>
        <w:pStyle w:val="8"/>
        <w:numPr>
          <w:ilvl w:val="0"/>
          <w:numId w:val="1"/>
        </w:numPr>
        <w:ind w:firstLineChars="0"/>
        <w:rPr>
          <w:rFonts w:hint="eastAsia" w:ascii="黑体" w:hAnsi="黑体" w:eastAsia="黑体" w:cs="黑体"/>
          <w:color w:val="auto"/>
        </w:rPr>
      </w:pPr>
      <w:r>
        <w:rPr>
          <w:rFonts w:hint="eastAsia" w:ascii="黑体" w:hAnsi="黑体" w:eastAsia="黑体" w:cs="黑体"/>
          <w:color w:val="auto"/>
        </w:rPr>
        <w:t>项目名称：</w:t>
      </w:r>
      <w:r>
        <w:rPr>
          <w:rFonts w:hint="eastAsia" w:ascii="黑体" w:hAnsi="黑体" w:eastAsia="黑体" w:cs="黑体"/>
          <w:color w:val="auto"/>
          <w:lang w:eastAsia="zh-CN"/>
        </w:rPr>
        <w:t>2025年停办园资产拆装运输项目</w:t>
      </w:r>
    </w:p>
    <w:p w14:paraId="14129464">
      <w:pPr>
        <w:pStyle w:val="8"/>
        <w:numPr>
          <w:ilvl w:val="0"/>
          <w:numId w:val="1"/>
        </w:numPr>
        <w:ind w:firstLineChars="0"/>
        <w:rPr>
          <w:rFonts w:hint="eastAsia" w:ascii="黑体" w:hAnsi="黑体" w:eastAsia="黑体" w:cs="黑体"/>
          <w:color w:val="auto"/>
        </w:rPr>
      </w:pPr>
      <w:r>
        <w:rPr>
          <w:rFonts w:hint="eastAsia" w:ascii="黑体" w:hAnsi="黑体" w:eastAsia="黑体" w:cs="黑体"/>
          <w:color w:val="auto"/>
          <w:lang w:val="en-US" w:eastAsia="zh-CN"/>
        </w:rPr>
        <w:t>预算金额</w:t>
      </w:r>
      <w:r>
        <w:rPr>
          <w:rFonts w:hint="eastAsia" w:ascii="黑体" w:hAnsi="黑体" w:eastAsia="黑体" w:cs="黑体"/>
          <w:color w:val="auto"/>
        </w:rPr>
        <w:t>：</w:t>
      </w:r>
      <w:r>
        <w:rPr>
          <w:rFonts w:hint="eastAsia" w:ascii="黑体" w:hAnsi="黑体" w:eastAsia="黑体" w:cs="黑体"/>
          <w:color w:val="auto"/>
          <w:lang w:eastAsia="zh-CN"/>
        </w:rPr>
        <w:t>164199</w:t>
      </w:r>
      <w:r>
        <w:rPr>
          <w:rFonts w:hint="eastAsia" w:ascii="黑体" w:hAnsi="黑体" w:eastAsia="黑体" w:cs="黑体"/>
          <w:color w:val="auto"/>
        </w:rPr>
        <w:t>元</w:t>
      </w:r>
    </w:p>
    <w:p w14:paraId="6119B644">
      <w:pPr>
        <w:pStyle w:val="8"/>
        <w:numPr>
          <w:ilvl w:val="0"/>
          <w:numId w:val="1"/>
        </w:numPr>
        <w:ind w:firstLineChars="0"/>
        <w:rPr>
          <w:rFonts w:hint="eastAsia" w:ascii="黑体" w:hAnsi="黑体" w:eastAsia="黑体" w:cs="黑体"/>
          <w:color w:val="auto"/>
        </w:rPr>
      </w:pPr>
      <w:r>
        <w:rPr>
          <w:rFonts w:hint="eastAsia" w:ascii="黑体" w:hAnsi="黑体" w:eastAsia="黑体" w:cs="黑体"/>
          <w:color w:val="auto"/>
        </w:rPr>
        <w:t>最高限价</w:t>
      </w:r>
      <w:r>
        <w:rPr>
          <w:rFonts w:hint="eastAsia" w:ascii="黑体" w:hAnsi="黑体" w:eastAsia="黑体" w:cs="黑体"/>
          <w:color w:val="auto"/>
          <w:lang w:eastAsia="zh-CN"/>
        </w:rPr>
        <w:t>（</w:t>
      </w:r>
      <w:r>
        <w:rPr>
          <w:rFonts w:hint="eastAsia" w:ascii="黑体" w:hAnsi="黑体" w:eastAsia="黑体" w:cs="黑体"/>
          <w:color w:val="auto"/>
          <w:lang w:val="en-US" w:eastAsia="zh-CN"/>
        </w:rPr>
        <w:t>如有</w:t>
      </w:r>
      <w:r>
        <w:rPr>
          <w:rFonts w:hint="eastAsia" w:ascii="黑体" w:hAnsi="黑体" w:eastAsia="黑体" w:cs="黑体"/>
          <w:color w:val="auto"/>
          <w:lang w:eastAsia="zh-CN"/>
        </w:rPr>
        <w:t>）</w:t>
      </w:r>
      <w:r>
        <w:rPr>
          <w:rFonts w:hint="eastAsia" w:ascii="黑体" w:hAnsi="黑体" w:eastAsia="黑体" w:cs="黑体"/>
          <w:color w:val="auto"/>
        </w:rPr>
        <w:t>：</w:t>
      </w:r>
      <w:r>
        <w:rPr>
          <w:rFonts w:hint="eastAsia" w:ascii="黑体" w:hAnsi="黑体" w:eastAsia="黑体" w:cs="黑体"/>
          <w:color w:val="auto"/>
          <w:lang w:eastAsia="zh-CN"/>
        </w:rPr>
        <w:t>164199</w:t>
      </w:r>
      <w:r>
        <w:rPr>
          <w:rFonts w:hint="eastAsia" w:ascii="黑体" w:hAnsi="黑体" w:eastAsia="黑体" w:cs="黑体"/>
          <w:color w:val="auto"/>
        </w:rPr>
        <w:t>元</w:t>
      </w:r>
    </w:p>
    <w:p w14:paraId="2901F267">
      <w:pPr>
        <w:pStyle w:val="8"/>
        <w:numPr>
          <w:ilvl w:val="0"/>
          <w:numId w:val="1"/>
        </w:numPr>
        <w:ind w:firstLineChars="0"/>
        <w:rPr>
          <w:rFonts w:hint="eastAsia" w:ascii="黑体" w:hAnsi="黑体" w:eastAsia="黑体" w:cs="黑体"/>
          <w:color w:val="auto"/>
        </w:rPr>
      </w:pPr>
      <w:r>
        <w:rPr>
          <w:rFonts w:hint="eastAsia" w:ascii="黑体" w:hAnsi="黑体" w:eastAsia="黑体" w:cs="黑体"/>
          <w:color w:val="auto"/>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71DA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39072940">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标的名称</w:t>
            </w:r>
          </w:p>
        </w:tc>
        <w:tc>
          <w:tcPr>
            <w:tcW w:w="415" w:type="pct"/>
            <w:noWrap w:val="0"/>
            <w:vAlign w:val="center"/>
          </w:tcPr>
          <w:p w14:paraId="414133AC">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数量</w:t>
            </w:r>
          </w:p>
        </w:tc>
        <w:tc>
          <w:tcPr>
            <w:tcW w:w="416" w:type="pct"/>
            <w:noWrap w:val="0"/>
            <w:vAlign w:val="center"/>
          </w:tcPr>
          <w:p w14:paraId="7087E921">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单位</w:t>
            </w:r>
          </w:p>
        </w:tc>
        <w:tc>
          <w:tcPr>
            <w:tcW w:w="1246" w:type="pct"/>
            <w:noWrap w:val="0"/>
            <w:vAlign w:val="center"/>
          </w:tcPr>
          <w:p w14:paraId="46693BEF">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简要服务需求</w:t>
            </w:r>
          </w:p>
        </w:tc>
        <w:tc>
          <w:tcPr>
            <w:tcW w:w="449" w:type="pct"/>
            <w:noWrap w:val="0"/>
            <w:vAlign w:val="center"/>
          </w:tcPr>
          <w:p w14:paraId="66242CC9">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auto"/>
                <w:kern w:val="2"/>
                <w:szCs w:val="21"/>
              </w:rPr>
            </w:pPr>
            <w:r>
              <w:rPr>
                <w:rFonts w:hint="eastAsia" w:ascii="黑体" w:hAnsi="黑体" w:eastAsia="黑体" w:cs="黑体"/>
                <w:b/>
                <w:bCs/>
                <w:color w:val="auto"/>
                <w:kern w:val="2"/>
                <w:szCs w:val="21"/>
              </w:rPr>
              <w:t>备注</w:t>
            </w:r>
          </w:p>
        </w:tc>
      </w:tr>
      <w:tr w14:paraId="7BF4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3318A778">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lang w:eastAsia="zh-CN"/>
              </w:rPr>
              <w:t>2025年停办园资产拆装运输项目</w:t>
            </w:r>
          </w:p>
        </w:tc>
        <w:tc>
          <w:tcPr>
            <w:tcW w:w="415" w:type="pct"/>
            <w:noWrap w:val="0"/>
            <w:vAlign w:val="center"/>
          </w:tcPr>
          <w:p w14:paraId="243F6661">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1.0</w:t>
            </w:r>
          </w:p>
        </w:tc>
        <w:tc>
          <w:tcPr>
            <w:tcW w:w="416" w:type="pct"/>
            <w:noWrap w:val="0"/>
            <w:vAlign w:val="center"/>
          </w:tcPr>
          <w:p w14:paraId="5F6AA0CB">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auto"/>
                <w:kern w:val="2"/>
                <w:szCs w:val="21"/>
              </w:rPr>
            </w:pPr>
            <w:r>
              <w:rPr>
                <w:rFonts w:hint="eastAsia" w:ascii="黑体" w:hAnsi="黑体" w:eastAsia="黑体" w:cs="黑体"/>
                <w:color w:val="auto"/>
                <w:kern w:val="2"/>
                <w:szCs w:val="21"/>
              </w:rPr>
              <w:t>项</w:t>
            </w:r>
          </w:p>
        </w:tc>
        <w:tc>
          <w:tcPr>
            <w:tcW w:w="1246" w:type="pct"/>
            <w:noWrap w:val="0"/>
            <w:vAlign w:val="center"/>
          </w:tcPr>
          <w:p w14:paraId="2BDCF0AA">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color w:val="auto"/>
                <w:kern w:val="2"/>
                <w:szCs w:val="21"/>
              </w:rPr>
            </w:pPr>
            <w:r>
              <w:rPr>
                <w:rFonts w:hint="eastAsia" w:ascii="黑体" w:hAnsi="黑体" w:eastAsia="黑体" w:cs="黑体"/>
                <w:color w:val="auto"/>
                <w:kern w:val="2"/>
                <w:szCs w:val="21"/>
              </w:rPr>
              <w:t>详见招标文件</w:t>
            </w:r>
          </w:p>
        </w:tc>
        <w:tc>
          <w:tcPr>
            <w:tcW w:w="449" w:type="pct"/>
            <w:noWrap w:val="0"/>
            <w:vAlign w:val="center"/>
          </w:tcPr>
          <w:p w14:paraId="33E19009">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Cs/>
                <w:color w:val="auto"/>
                <w:kern w:val="2"/>
                <w:szCs w:val="21"/>
              </w:rPr>
            </w:pPr>
          </w:p>
        </w:tc>
      </w:tr>
    </w:tbl>
    <w:p w14:paraId="05619F31">
      <w:pPr>
        <w:pStyle w:val="8"/>
        <w:numPr>
          <w:ilvl w:val="0"/>
          <w:numId w:val="1"/>
        </w:numPr>
        <w:shd w:val="clear" w:color="auto" w:fill="auto"/>
        <w:ind w:firstLineChars="0"/>
        <w:rPr>
          <w:rFonts w:hint="eastAsia" w:ascii="黑体" w:hAnsi="黑体" w:eastAsia="黑体" w:cs="黑体"/>
          <w:color w:val="auto"/>
        </w:rPr>
      </w:pPr>
      <w:r>
        <w:rPr>
          <w:rFonts w:hint="eastAsia" w:ascii="黑体" w:hAnsi="黑体" w:eastAsia="黑体" w:cs="黑体"/>
          <w:color w:val="auto"/>
        </w:rPr>
        <w:t>合同履行期限：</w:t>
      </w:r>
      <w:r>
        <w:rPr>
          <w:rFonts w:hint="eastAsia" w:ascii="黑体" w:hAnsi="黑体" w:eastAsia="黑体" w:cs="黑体"/>
          <w:color w:val="auto"/>
          <w:lang w:val="en-US" w:eastAsia="zh-CN"/>
        </w:rPr>
        <w:t>详见招标文件</w:t>
      </w:r>
    </w:p>
    <w:p w14:paraId="2868203C">
      <w:pPr>
        <w:pStyle w:val="8"/>
        <w:numPr>
          <w:ilvl w:val="0"/>
          <w:numId w:val="1"/>
        </w:numPr>
        <w:shd w:val="clear" w:color="auto" w:fill="auto"/>
        <w:ind w:firstLineChars="0"/>
        <w:rPr>
          <w:rFonts w:hint="eastAsia" w:ascii="黑体" w:hAnsi="黑体" w:eastAsia="黑体" w:cs="黑体"/>
          <w:color w:val="auto"/>
        </w:rPr>
      </w:pPr>
      <w:r>
        <w:rPr>
          <w:rFonts w:hint="eastAsia" w:ascii="黑体" w:hAnsi="黑体" w:eastAsia="黑体" w:cs="黑体"/>
          <w:color w:val="auto"/>
        </w:rPr>
        <w:t>本项目(不接受)联合体投标。</w:t>
      </w:r>
    </w:p>
    <w:p w14:paraId="3E232763">
      <w:pPr>
        <w:pStyle w:val="8"/>
        <w:spacing w:line="240" w:lineRule="auto"/>
        <w:ind w:firstLine="0" w:firstLineChars="0"/>
        <w:rPr>
          <w:rFonts w:hint="eastAsia" w:ascii="黑体" w:hAnsi="黑体" w:eastAsia="黑体" w:cs="黑体"/>
          <w:b/>
          <w:color w:val="auto"/>
        </w:rPr>
      </w:pPr>
      <w:r>
        <w:rPr>
          <w:rFonts w:hint="eastAsia" w:ascii="黑体" w:hAnsi="黑体" w:eastAsia="黑体" w:cs="黑体"/>
          <w:b/>
          <w:color w:val="auto"/>
        </w:rPr>
        <w:t>二、申请人的资格要求</w:t>
      </w:r>
    </w:p>
    <w:p w14:paraId="55F467CB">
      <w:pPr>
        <w:shd w:val="clear" w:color="auto" w:fill="FFFFFF"/>
        <w:tabs>
          <w:tab w:val="clear" w:pos="426"/>
        </w:tabs>
        <w:spacing w:line="240" w:lineRule="auto"/>
        <w:ind w:firstLine="424" w:firstLineChars="202"/>
        <w:rPr>
          <w:rFonts w:hint="eastAsia" w:ascii="黑体" w:hAnsi="黑体" w:eastAsia="黑体" w:cs="黑体"/>
          <w:color w:val="auto"/>
          <w:lang w:eastAsia="zh-CN"/>
        </w:rPr>
      </w:pPr>
      <w:r>
        <w:rPr>
          <w:rFonts w:hint="eastAsia" w:ascii="黑体" w:hAnsi="黑体" w:eastAsia="黑体" w:cs="黑体"/>
          <w:color w:val="auto"/>
        </w:rPr>
        <w:t>1.满足《中华人民共和国政府采购法》第二十二条规定</w:t>
      </w:r>
      <w:r>
        <w:rPr>
          <w:rFonts w:hint="eastAsia" w:ascii="黑体" w:hAnsi="黑体" w:eastAsia="黑体" w:cs="黑体"/>
          <w:color w:val="auto"/>
          <w:lang w:eastAsia="zh-CN"/>
        </w:rPr>
        <w:t>；</w:t>
      </w:r>
    </w:p>
    <w:p w14:paraId="79AFFA61">
      <w:pPr>
        <w:shd w:val="clear" w:color="auto" w:fill="FFFFFF"/>
        <w:tabs>
          <w:tab w:val="clear" w:pos="426"/>
        </w:tabs>
        <w:spacing w:line="240" w:lineRule="auto"/>
        <w:ind w:firstLine="424" w:firstLineChars="202"/>
        <w:rPr>
          <w:rFonts w:hint="default" w:ascii="黑体" w:hAnsi="黑体" w:eastAsia="黑体" w:cs="黑体"/>
          <w:color w:val="auto"/>
          <w:lang w:val="en-US" w:eastAsia="zh-CN"/>
        </w:rPr>
      </w:pPr>
      <w:r>
        <w:rPr>
          <w:rFonts w:hint="eastAsia" w:ascii="黑体" w:hAnsi="黑体" w:eastAsia="黑体" w:cs="黑体"/>
          <w:color w:val="auto"/>
          <w:lang w:val="en-US" w:eastAsia="zh-CN"/>
        </w:rPr>
        <w:t>2</w:t>
      </w:r>
      <w:r>
        <w:rPr>
          <w:rFonts w:hint="eastAsia" w:ascii="黑体" w:hAnsi="黑体" w:eastAsia="黑体" w:cs="黑体"/>
          <w:color w:val="auto"/>
        </w:rPr>
        <w:t>.落实政府采购政策需满足的资格要求：</w:t>
      </w:r>
      <w:r>
        <w:rPr>
          <w:rFonts w:hint="eastAsia" w:ascii="黑体" w:hAnsi="黑体" w:eastAsia="黑体" w:cs="黑体"/>
          <w:color w:val="auto"/>
          <w:lang w:val="en-US" w:eastAsia="zh-CN"/>
        </w:rPr>
        <w:t>无</w:t>
      </w:r>
    </w:p>
    <w:p w14:paraId="54D46CF3">
      <w:p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.本项目的特定资格要求：</w:t>
      </w:r>
    </w:p>
    <w:p w14:paraId="404C5E8F">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（1）投标人须具有独立法人资格（证明文件：须提供营业执照或法人证书或其他证明文件的复印件并加盖投标人公章，原件中标备查）。</w:t>
      </w:r>
    </w:p>
    <w:p w14:paraId="50D06AFF">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（2）本项目不接受联合体投标，不允许转包、分包。</w:t>
      </w:r>
    </w:p>
    <w:p w14:paraId="12831230">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注：采购代理机构将通过“信用中国”网站（www.creditchina.gov.cn）、“中国政府采购网”（www.ccgp.gov.cn）、“深圳市政府采购监督管理网”（http://zfcg.sz.gov.cn/）等3个渠道查询相关主体信用记录，相关信息以开标当日的查询结果为准。（2）已成功办理报名登记并获取采购文件的供应商参加投标的，不代表通过资格性审查。</w:t>
      </w:r>
    </w:p>
    <w:p w14:paraId="3A17C6DA">
      <w:pPr>
        <w:pStyle w:val="2"/>
        <w:spacing w:line="276" w:lineRule="auto"/>
        <w:jc w:val="left"/>
        <w:rPr>
          <w:rFonts w:hint="eastAsia" w:ascii="黑体" w:hAnsi="黑体" w:eastAsia="黑体" w:cs="黑体"/>
          <w:b/>
          <w:sz w:val="21"/>
          <w:szCs w:val="21"/>
        </w:rPr>
      </w:pPr>
      <w:r>
        <w:rPr>
          <w:rFonts w:hint="eastAsia" w:ascii="黑体" w:hAnsi="黑体" w:eastAsia="黑体" w:cs="黑体"/>
          <w:b/>
          <w:sz w:val="21"/>
          <w:szCs w:val="21"/>
        </w:rPr>
        <w:t>三、获取招标文件：</w:t>
      </w:r>
    </w:p>
    <w:p w14:paraId="21F1440E">
      <w:pPr>
        <w:spacing w:line="240" w:lineRule="auto"/>
        <w:ind w:firstLine="424" w:firstLineChars="202"/>
        <w:rPr>
          <w:rFonts w:hint="eastAsia" w:ascii="黑体" w:hAnsi="黑体" w:eastAsia="黑体" w:cs="黑体"/>
        </w:rPr>
      </w:pPr>
      <w:r>
        <w:rPr>
          <w:rFonts w:hint="eastAsia" w:ascii="黑体" w:hAnsi="黑体" w:eastAsia="黑体" w:cs="黑体"/>
        </w:rPr>
        <w:t>1.时间</w:t>
      </w:r>
      <w:r>
        <w:rPr>
          <w:rFonts w:hint="eastAsia" w:ascii="黑体" w:hAnsi="黑体" w:eastAsia="黑体" w:cs="黑体"/>
          <w:color w:val="auto"/>
        </w:rPr>
        <w:t>：</w:t>
      </w:r>
      <w:r>
        <w:rPr>
          <w:rFonts w:hint="eastAsia" w:ascii="黑体" w:hAnsi="黑体" w:eastAsia="黑体" w:cs="黑体"/>
          <w:color w:val="auto"/>
          <w:u w:val="single"/>
          <w:lang w:eastAsia="zh-CN"/>
        </w:rPr>
        <w:t>2025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w:t>
      </w:r>
      <w:r>
        <w:rPr>
          <w:rFonts w:hint="eastAsia" w:ascii="黑体" w:hAnsi="黑体" w:eastAsia="黑体" w:cs="黑体"/>
          <w:bCs/>
          <w:color w:val="auto"/>
          <w:kern w:val="2"/>
          <w:szCs w:val="21"/>
          <w:u w:val="single"/>
          <w:lang w:val="en-US" w:eastAsia="zh-CN"/>
        </w:rPr>
        <w:t>07</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w:t>
      </w:r>
      <w:r>
        <w:rPr>
          <w:rFonts w:hint="eastAsia" w:ascii="黑体" w:hAnsi="黑体" w:eastAsia="黑体" w:cs="黑体"/>
          <w:bCs/>
          <w:color w:val="auto"/>
          <w:kern w:val="2"/>
          <w:szCs w:val="21"/>
          <w:u w:val="single"/>
          <w:lang w:val="en-US" w:eastAsia="zh-CN"/>
        </w:rPr>
        <w:t>28</w:t>
      </w:r>
      <w:r>
        <w:rPr>
          <w:rFonts w:hint="eastAsia" w:ascii="黑体" w:hAnsi="黑体" w:eastAsia="黑体" w:cs="黑体"/>
          <w:color w:val="auto"/>
          <w:u w:val="single"/>
          <w:lang w:val="en-US" w:eastAsia="zh-CN"/>
        </w:rPr>
        <w:t xml:space="preserve"> </w:t>
      </w:r>
      <w:r>
        <w:rPr>
          <w:rFonts w:hint="eastAsia" w:ascii="黑体" w:hAnsi="黑体" w:eastAsia="黑体" w:cs="黑体"/>
          <w:color w:val="auto"/>
        </w:rPr>
        <w:t>日起至</w:t>
      </w:r>
      <w:r>
        <w:rPr>
          <w:rFonts w:hint="eastAsia" w:ascii="黑体" w:hAnsi="黑体" w:eastAsia="黑体" w:cs="黑体"/>
          <w:color w:val="auto"/>
          <w:u w:val="single"/>
          <w:lang w:eastAsia="zh-CN"/>
        </w:rPr>
        <w:t>2025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w:t>
      </w:r>
      <w:r>
        <w:rPr>
          <w:rFonts w:hint="eastAsia" w:ascii="黑体" w:hAnsi="黑体" w:eastAsia="黑体" w:cs="黑体"/>
          <w:bCs/>
          <w:color w:val="auto"/>
          <w:kern w:val="2"/>
          <w:szCs w:val="21"/>
          <w:u w:val="single"/>
          <w:lang w:val="en-US" w:eastAsia="zh-CN"/>
        </w:rPr>
        <w:t>08</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w:t>
      </w:r>
      <w:r>
        <w:rPr>
          <w:rFonts w:hint="eastAsia" w:ascii="黑体" w:hAnsi="黑体" w:eastAsia="黑体" w:cs="黑体"/>
          <w:bCs/>
          <w:color w:val="auto"/>
          <w:kern w:val="2"/>
          <w:szCs w:val="21"/>
          <w:u w:val="single"/>
          <w:lang w:val="en-US" w:eastAsia="zh-CN"/>
        </w:rPr>
        <w:t>04</w:t>
      </w:r>
      <w:r>
        <w:rPr>
          <w:rFonts w:hint="eastAsia" w:ascii="黑体" w:hAnsi="黑体" w:eastAsia="黑体" w:cs="黑体"/>
          <w:color w:val="auto"/>
        </w:rPr>
        <w:t>日（节假</w:t>
      </w:r>
      <w:r>
        <w:rPr>
          <w:rFonts w:hint="eastAsia" w:ascii="黑体" w:hAnsi="黑体" w:eastAsia="黑体" w:cs="黑体"/>
        </w:rPr>
        <w:t>日除外），</w:t>
      </w:r>
      <w:r>
        <w:rPr>
          <w:rFonts w:hint="eastAsia" w:ascii="黑体" w:hAnsi="黑体" w:eastAsia="黑体" w:cs="黑体"/>
          <w:u w:val="single"/>
        </w:rPr>
        <w:t>09：00</w:t>
      </w:r>
      <w:r>
        <w:rPr>
          <w:rFonts w:hint="eastAsia" w:ascii="黑体" w:hAnsi="黑体" w:eastAsia="黑体" w:cs="黑体"/>
        </w:rPr>
        <w:t>～</w:t>
      </w:r>
      <w:r>
        <w:rPr>
          <w:rFonts w:hint="eastAsia" w:ascii="黑体" w:hAnsi="黑体" w:eastAsia="黑体" w:cs="黑体"/>
          <w:u w:val="single"/>
        </w:rPr>
        <w:t>11：30</w:t>
      </w:r>
      <w:r>
        <w:rPr>
          <w:rFonts w:hint="eastAsia" w:ascii="黑体" w:hAnsi="黑体" w:eastAsia="黑体" w:cs="黑体"/>
        </w:rPr>
        <w:t>，</w:t>
      </w:r>
      <w:r>
        <w:rPr>
          <w:rFonts w:hint="eastAsia" w:ascii="黑体" w:hAnsi="黑体" w:eastAsia="黑体" w:cs="黑体"/>
          <w:u w:val="single"/>
        </w:rPr>
        <w:t>14：00</w:t>
      </w:r>
      <w:r>
        <w:rPr>
          <w:rFonts w:hint="eastAsia" w:ascii="黑体" w:hAnsi="黑体" w:eastAsia="黑体" w:cs="黑体"/>
        </w:rPr>
        <w:t>～</w:t>
      </w:r>
      <w:r>
        <w:rPr>
          <w:rFonts w:hint="eastAsia" w:ascii="黑体" w:hAnsi="黑体" w:eastAsia="黑体" w:cs="黑体"/>
          <w:u w:val="single"/>
        </w:rPr>
        <w:t>17：30（</w:t>
      </w:r>
      <w:r>
        <w:rPr>
          <w:rFonts w:hint="eastAsia" w:ascii="黑体" w:hAnsi="黑体" w:eastAsia="黑体" w:cs="黑体"/>
        </w:rPr>
        <w:t>北京时间）。</w:t>
      </w:r>
    </w:p>
    <w:p w14:paraId="30F29EA3">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lang w:val="en-US" w:eastAsia="zh-CN"/>
        </w:rPr>
        <w:t>2</w:t>
      </w:r>
      <w:r>
        <w:rPr>
          <w:rFonts w:hint="eastAsia" w:ascii="黑体" w:hAnsi="黑体" w:eastAsia="黑体" w:cs="黑体"/>
        </w:rPr>
        <w:t>.</w:t>
      </w: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470E5102">
      <w:p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.方式：现场报名或</w:t>
      </w:r>
      <w:r>
        <w:rPr>
          <w:rFonts w:hint="eastAsia" w:ascii="黑体" w:hAnsi="黑体" w:eastAsia="黑体" w:cs="黑体"/>
          <w:color w:val="auto"/>
          <w:lang w:val="en-US" w:eastAsia="zh-CN"/>
        </w:rPr>
        <w:t>网上</w:t>
      </w:r>
      <w:r>
        <w:rPr>
          <w:rFonts w:hint="eastAsia" w:ascii="黑体" w:hAnsi="黑体" w:eastAsia="黑体" w:cs="黑体"/>
          <w:color w:val="auto"/>
        </w:rPr>
        <w:t>邮</w:t>
      </w:r>
      <w:r>
        <w:rPr>
          <w:rFonts w:hint="eastAsia" w:ascii="黑体" w:hAnsi="黑体" w:eastAsia="黑体" w:cs="黑体"/>
          <w:color w:val="auto"/>
          <w:lang w:val="en-US" w:eastAsia="zh-CN"/>
        </w:rPr>
        <w:t>购</w:t>
      </w:r>
      <w:r>
        <w:rPr>
          <w:rFonts w:hint="eastAsia" w:ascii="黑体" w:hAnsi="黑体" w:eastAsia="黑体" w:cs="黑体"/>
          <w:color w:val="auto"/>
        </w:rPr>
        <w:t>方式报名</w:t>
      </w:r>
    </w:p>
    <w:p w14:paraId="276A208D">
      <w:p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.1.现场报名，供应商需提供以下报名资料：</w:t>
      </w:r>
    </w:p>
    <w:p w14:paraId="47F2400E">
      <w:pPr>
        <w:shd w:val="clear" w:color="auto" w:fill="FFFFFF"/>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）《洽购文件登记表》（至我司官网</w:t>
      </w:r>
      <w:r>
        <w:rPr>
          <w:rFonts w:hint="eastAsia" w:ascii="黑体" w:hAnsi="黑体" w:eastAsia="黑体" w:cs="黑体"/>
          <w:color w:val="auto"/>
        </w:rPr>
        <w:fldChar w:fldCharType="begin"/>
      </w:r>
      <w:r>
        <w:rPr>
          <w:rFonts w:hint="eastAsia" w:ascii="黑体" w:hAnsi="黑体" w:eastAsia="黑体" w:cs="黑体"/>
          <w:color w:val="auto"/>
        </w:rPr>
        <w:instrText xml:space="preserve"> HYPERLINK "http://www.shgcgl.com/下载" </w:instrText>
      </w:r>
      <w:r>
        <w:rPr>
          <w:rFonts w:hint="eastAsia" w:ascii="黑体" w:hAnsi="黑体" w:eastAsia="黑体" w:cs="黑体"/>
          <w:color w:val="auto"/>
        </w:rPr>
        <w:fldChar w:fldCharType="separate"/>
      </w:r>
      <w:r>
        <w:rPr>
          <w:rFonts w:hint="eastAsia" w:ascii="黑体" w:hAnsi="黑体" w:eastAsia="黑体" w:cs="黑体"/>
          <w:color w:val="auto"/>
        </w:rPr>
        <w:t>http://www.shgcgl.com/下载</w:t>
      </w:r>
      <w:r>
        <w:rPr>
          <w:rFonts w:hint="eastAsia" w:ascii="黑体" w:hAnsi="黑体" w:eastAsia="黑体" w:cs="黑体"/>
          <w:color w:val="auto"/>
        </w:rPr>
        <w:fldChar w:fldCharType="end"/>
      </w:r>
      <w:r>
        <w:rPr>
          <w:rFonts w:hint="eastAsia" w:ascii="黑体" w:hAnsi="黑体" w:eastAsia="黑体" w:cs="黑体"/>
          <w:color w:val="auto"/>
        </w:rPr>
        <w:t>中心下载）；</w:t>
      </w:r>
    </w:p>
    <w:p w14:paraId="548D2188">
      <w:pPr>
        <w:shd w:val="clear" w:color="auto" w:fill="FFFFFF"/>
        <w:tabs>
          <w:tab w:val="clear" w:pos="426"/>
        </w:tabs>
        <w:spacing w:line="240" w:lineRule="auto"/>
        <w:ind w:firstLine="424" w:firstLineChars="202"/>
        <w:rPr>
          <w:rFonts w:hint="eastAsia" w:ascii="黑体" w:hAnsi="黑体" w:eastAsia="黑体" w:cs="黑体"/>
        </w:rPr>
      </w:pP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）营业执照（或事业法人登记证等证明文件）复印件；</w:t>
      </w:r>
    </w:p>
    <w:p w14:paraId="03D849A3">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(3）法定代表人证明书及授权委托书，附上法定代表人身份证复印件及授权代表身份证复印件；</w:t>
      </w:r>
    </w:p>
    <w:p w14:paraId="47323C52">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以上报名资料须加盖公章，原件备查。</w:t>
      </w:r>
    </w:p>
    <w:p w14:paraId="2DFEAC5A">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3.2.网上</w:t>
      </w:r>
      <w:r>
        <w:rPr>
          <w:rFonts w:hint="eastAsia" w:ascii="黑体" w:hAnsi="黑体" w:eastAsia="黑体" w:cs="黑体"/>
          <w:color w:val="auto"/>
        </w:rPr>
        <w:t>邮</w:t>
      </w:r>
      <w:r>
        <w:rPr>
          <w:rFonts w:hint="eastAsia" w:ascii="黑体" w:hAnsi="黑体" w:eastAsia="黑体" w:cs="黑体"/>
          <w:color w:val="auto"/>
          <w:lang w:val="en-US" w:eastAsia="zh-CN"/>
        </w:rPr>
        <w:t>购方式报名：</w:t>
      </w:r>
    </w:p>
    <w:p w14:paraId="1BFB9226">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供应商可通过邮箱将报名资料加盖公章扫描成PDF以及缴费凭证发送至1643698309@qq.com，并致电（郑工/17724668253）进行确认，报名资料经审核合格的单位，我方将招标文件电子版发送至报名邮箱。</w:t>
      </w:r>
    </w:p>
    <w:p w14:paraId="4224BB3B">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4.售价：600.00元，本公告包含的招标文件售价总和。</w:t>
      </w:r>
    </w:p>
    <w:p w14:paraId="51C18C98">
      <w:pPr>
        <w:widowControl w:val="0"/>
        <w:shd w:val="clear" w:color="auto" w:fill="auto"/>
        <w:tabs>
          <w:tab w:val="clear" w:pos="426"/>
        </w:tabs>
        <w:spacing w:line="240" w:lineRule="auto"/>
        <w:rPr>
          <w:rFonts w:hint="eastAsia" w:ascii="黑体" w:hAnsi="黑体" w:eastAsia="黑体" w:cs="黑体"/>
          <w:b/>
          <w:color w:val="auto"/>
          <w:kern w:val="2"/>
          <w:szCs w:val="21"/>
          <w:lang w:val="en-US" w:eastAsia="zh-CN"/>
        </w:rPr>
      </w:pPr>
      <w:r>
        <w:rPr>
          <w:rFonts w:hint="eastAsia" w:ascii="黑体" w:hAnsi="黑体" w:eastAsia="黑体" w:cs="黑体"/>
          <w:b/>
          <w:color w:val="auto"/>
          <w:kern w:val="2"/>
          <w:szCs w:val="21"/>
        </w:rPr>
        <w:t>四、提交投标文件截止时间、开标时间和地点</w:t>
      </w:r>
      <w:r>
        <w:rPr>
          <w:rFonts w:hint="eastAsia" w:ascii="黑体" w:hAnsi="黑体" w:eastAsia="黑体" w:cs="黑体"/>
          <w:b/>
          <w:color w:val="auto"/>
          <w:kern w:val="2"/>
          <w:szCs w:val="21"/>
          <w:lang w:val="en-US" w:eastAsia="zh-CN"/>
        </w:rPr>
        <w:t xml:space="preserve"> </w:t>
      </w:r>
    </w:p>
    <w:p w14:paraId="608E0ADA">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rPr>
        <w:t>提交投标文件截止时间：</w:t>
      </w:r>
      <w:r>
        <w:rPr>
          <w:rFonts w:hint="eastAsia" w:ascii="黑体" w:hAnsi="黑体" w:eastAsia="黑体" w:cs="黑体"/>
          <w:bCs/>
          <w:color w:val="auto"/>
          <w:szCs w:val="21"/>
          <w:lang w:eastAsia="zh-CN"/>
        </w:rPr>
        <w:t>2025</w:t>
      </w:r>
      <w:r>
        <w:rPr>
          <w:rFonts w:hint="eastAsia" w:ascii="黑体" w:hAnsi="黑体" w:eastAsia="黑体" w:cs="黑体"/>
          <w:bCs/>
          <w:color w:val="auto"/>
          <w:szCs w:val="21"/>
        </w:rPr>
        <w:t>年</w:t>
      </w:r>
      <w:r>
        <w:rPr>
          <w:rFonts w:hint="eastAsia" w:ascii="黑体" w:hAnsi="黑体" w:eastAsia="黑体" w:cs="黑体"/>
          <w:bCs/>
          <w:color w:val="auto"/>
          <w:kern w:val="2"/>
          <w:szCs w:val="21"/>
          <w:lang w:val="en-US" w:eastAsia="zh-CN"/>
        </w:rPr>
        <w:t>08</w:t>
      </w:r>
      <w:r>
        <w:rPr>
          <w:rFonts w:hint="eastAsia" w:ascii="黑体" w:hAnsi="黑体" w:eastAsia="黑体" w:cs="黑体"/>
          <w:bCs/>
          <w:color w:val="auto"/>
          <w:kern w:val="2"/>
          <w:szCs w:val="21"/>
        </w:rPr>
        <w:t>月</w:t>
      </w:r>
      <w:r>
        <w:rPr>
          <w:rFonts w:hint="eastAsia" w:ascii="黑体" w:hAnsi="黑体" w:eastAsia="黑体" w:cs="黑体"/>
          <w:bCs/>
          <w:color w:val="auto"/>
          <w:kern w:val="2"/>
          <w:szCs w:val="21"/>
          <w:lang w:val="en-US" w:eastAsia="zh-CN"/>
        </w:rPr>
        <w:t>08</w:t>
      </w:r>
      <w:r>
        <w:rPr>
          <w:rFonts w:hint="eastAsia" w:ascii="黑体" w:hAnsi="黑体" w:eastAsia="黑体" w:cs="黑体"/>
          <w:bCs/>
          <w:color w:val="auto"/>
          <w:kern w:val="2"/>
          <w:szCs w:val="21"/>
        </w:rPr>
        <w:t>日</w:t>
      </w:r>
      <w:r>
        <w:rPr>
          <w:rFonts w:hint="eastAsia" w:ascii="黑体" w:hAnsi="黑体" w:eastAsia="黑体" w:cs="黑体"/>
          <w:bCs/>
          <w:color w:val="auto"/>
          <w:szCs w:val="21"/>
          <w:lang w:val="en-US" w:eastAsia="zh-CN"/>
        </w:rPr>
        <w:t>10</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00</w:t>
      </w:r>
      <w:r>
        <w:rPr>
          <w:rFonts w:hint="eastAsia" w:ascii="黑体" w:hAnsi="黑体" w:eastAsia="黑体" w:cs="黑体"/>
          <w:bCs/>
          <w:color w:val="auto"/>
          <w:szCs w:val="21"/>
        </w:rPr>
        <w:t xml:space="preserve">（北京时间） </w:t>
      </w:r>
    </w:p>
    <w:p w14:paraId="60CB3A3F">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lang w:val="en-US" w:eastAsia="zh-CN"/>
        </w:rPr>
        <w:t>开标</w:t>
      </w:r>
      <w:r>
        <w:rPr>
          <w:rFonts w:hint="eastAsia" w:ascii="黑体" w:hAnsi="黑体" w:eastAsia="黑体" w:cs="黑体"/>
          <w:bCs/>
          <w:color w:val="auto"/>
          <w:szCs w:val="21"/>
        </w:rPr>
        <w:t>时间：</w:t>
      </w:r>
      <w:r>
        <w:rPr>
          <w:rFonts w:hint="eastAsia" w:ascii="黑体" w:hAnsi="黑体" w:eastAsia="黑体" w:cs="黑体"/>
          <w:bCs/>
          <w:color w:val="auto"/>
          <w:szCs w:val="21"/>
          <w:lang w:eastAsia="zh-CN"/>
        </w:rPr>
        <w:t>2025</w:t>
      </w:r>
      <w:r>
        <w:rPr>
          <w:rFonts w:hint="eastAsia" w:ascii="黑体" w:hAnsi="黑体" w:eastAsia="黑体" w:cs="黑体"/>
          <w:bCs/>
          <w:color w:val="auto"/>
          <w:szCs w:val="21"/>
        </w:rPr>
        <w:t>年</w:t>
      </w:r>
      <w:r>
        <w:rPr>
          <w:rFonts w:hint="eastAsia" w:ascii="黑体" w:hAnsi="黑体" w:eastAsia="黑体" w:cs="黑体"/>
          <w:bCs/>
          <w:color w:val="auto"/>
          <w:kern w:val="2"/>
          <w:szCs w:val="21"/>
          <w:lang w:val="en-US" w:eastAsia="zh-CN"/>
        </w:rPr>
        <w:t>08</w:t>
      </w:r>
      <w:r>
        <w:rPr>
          <w:rFonts w:hint="eastAsia" w:ascii="黑体" w:hAnsi="黑体" w:eastAsia="黑体" w:cs="黑体"/>
          <w:bCs/>
          <w:color w:val="auto"/>
          <w:kern w:val="2"/>
          <w:szCs w:val="21"/>
        </w:rPr>
        <w:t>月</w:t>
      </w:r>
      <w:r>
        <w:rPr>
          <w:rFonts w:hint="eastAsia" w:ascii="黑体" w:hAnsi="黑体" w:eastAsia="黑体" w:cs="黑体"/>
          <w:bCs/>
          <w:color w:val="auto"/>
          <w:kern w:val="2"/>
          <w:szCs w:val="21"/>
          <w:lang w:val="en-US" w:eastAsia="zh-CN"/>
        </w:rPr>
        <w:t>08</w:t>
      </w:r>
      <w:r>
        <w:rPr>
          <w:rFonts w:hint="eastAsia" w:ascii="黑体" w:hAnsi="黑体" w:eastAsia="黑体" w:cs="黑体"/>
          <w:bCs/>
          <w:color w:val="auto"/>
          <w:kern w:val="2"/>
          <w:szCs w:val="21"/>
        </w:rPr>
        <w:t>日</w:t>
      </w:r>
      <w:r>
        <w:rPr>
          <w:rFonts w:hint="eastAsia" w:ascii="黑体" w:hAnsi="黑体" w:eastAsia="黑体" w:cs="黑体"/>
          <w:bCs/>
          <w:color w:val="auto"/>
          <w:szCs w:val="21"/>
          <w:lang w:val="en-US" w:eastAsia="zh-CN"/>
        </w:rPr>
        <w:t>10</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00</w:t>
      </w:r>
      <w:r>
        <w:rPr>
          <w:rFonts w:hint="eastAsia" w:ascii="黑体" w:hAnsi="黑体" w:eastAsia="黑体" w:cs="黑体"/>
          <w:bCs/>
          <w:color w:val="auto"/>
          <w:szCs w:val="21"/>
        </w:rPr>
        <w:t xml:space="preserve">（北京时间） </w:t>
      </w:r>
    </w:p>
    <w:p w14:paraId="1D9EAEDF">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1BFF62FE">
      <w:pPr>
        <w:widowControl w:val="0"/>
        <w:shd w:val="clear" w:color="auto" w:fill="auto"/>
        <w:tabs>
          <w:tab w:val="clear" w:pos="426"/>
        </w:tabs>
        <w:spacing w:line="240" w:lineRule="auto"/>
        <w:rPr>
          <w:rFonts w:hint="eastAsia" w:ascii="黑体" w:hAnsi="黑体" w:eastAsia="黑体" w:cs="黑体"/>
          <w:b/>
          <w:color w:val="auto"/>
          <w:kern w:val="2"/>
          <w:szCs w:val="21"/>
          <w:lang w:val="en-US" w:eastAsia="zh-CN"/>
        </w:rPr>
      </w:pPr>
      <w:r>
        <w:rPr>
          <w:rFonts w:hint="eastAsia" w:ascii="黑体" w:hAnsi="黑体" w:eastAsia="黑体" w:cs="黑体"/>
          <w:b/>
          <w:color w:val="auto"/>
          <w:kern w:val="2"/>
          <w:szCs w:val="21"/>
          <w:lang w:val="en-US" w:eastAsia="zh-CN"/>
        </w:rPr>
        <w:t>五、公告期限</w:t>
      </w:r>
    </w:p>
    <w:p w14:paraId="4F05DA0E">
      <w:pPr>
        <w:spacing w:line="276" w:lineRule="auto"/>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自本公告发布之日起5个工作日。</w:t>
      </w:r>
    </w:p>
    <w:p w14:paraId="26D07467">
      <w:pPr>
        <w:widowControl w:val="0"/>
        <w:shd w:val="clear" w:color="auto" w:fill="auto"/>
        <w:tabs>
          <w:tab w:val="clear" w:pos="426"/>
        </w:tabs>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lang w:val="en-US" w:eastAsia="zh-CN"/>
        </w:rPr>
        <w:t>六</w:t>
      </w:r>
      <w:r>
        <w:rPr>
          <w:rFonts w:hint="eastAsia" w:ascii="黑体" w:hAnsi="黑体" w:eastAsia="黑体" w:cs="黑体"/>
          <w:b/>
          <w:color w:val="auto"/>
          <w:kern w:val="2"/>
          <w:szCs w:val="21"/>
        </w:rPr>
        <w:t>、其他补充事宜</w:t>
      </w:r>
    </w:p>
    <w:p w14:paraId="5976AEA6">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1.本项目实行网下投标，采用纸质投标文件。</w:t>
      </w:r>
    </w:p>
    <w:p w14:paraId="5E22B6AF">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.本项目相关公告在</w:t>
      </w:r>
      <w:r>
        <w:rPr>
          <w:rFonts w:hint="eastAsia" w:ascii="黑体" w:hAnsi="黑体" w:eastAsia="黑体" w:cs="黑体"/>
          <w:szCs w:val="21"/>
          <w:lang w:val="en-US" w:eastAsia="zh-CN"/>
        </w:rPr>
        <w:t>(1)深圳公共资源交易网站</w:t>
      </w:r>
      <w:r>
        <w:rPr>
          <w:rFonts w:hint="eastAsia" w:ascii="黑体" w:hAnsi="黑体" w:eastAsia="黑体" w:cs="黑体"/>
          <w:szCs w:val="21"/>
          <w:lang w:eastAsia="zh-CN"/>
        </w:rPr>
        <w:t>（www.szggzy.com）；</w:t>
      </w:r>
      <w:r>
        <w:rPr>
          <w:rFonts w:hint="eastAsia" w:ascii="黑体" w:hAnsi="黑体" w:eastAsia="黑体" w:cs="黑体"/>
          <w:szCs w:val="21"/>
          <w:lang w:val="en-US" w:eastAsia="zh-CN"/>
        </w:rPr>
        <w:t>(2)</w:t>
      </w:r>
      <w:r>
        <w:rPr>
          <w:rFonts w:hint="eastAsia" w:ascii="黑体" w:hAnsi="黑体" w:eastAsia="黑体" w:cs="黑体"/>
          <w:szCs w:val="21"/>
          <w:lang w:eastAsia="zh-CN"/>
        </w:rPr>
        <w:t>采购代理机构网站（http://www.shgcgl.com/）媒体上公布之日即视为有效送达，不再另行通知。</w:t>
      </w:r>
    </w:p>
    <w:p w14:paraId="5C5E0303">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val="en-US" w:eastAsia="zh-CN"/>
        </w:rPr>
        <w:t>3</w:t>
      </w:r>
      <w:r>
        <w:rPr>
          <w:rFonts w:hint="eastAsia" w:ascii="黑体" w:hAnsi="黑体" w:eastAsia="黑体" w:cs="黑体"/>
          <w:szCs w:val="21"/>
          <w:lang w:eastAsia="zh-CN"/>
        </w:rPr>
        <w:t>.投标人有义务在招标活动期间浏览本公告中的相关网站，招标人在上述网站上公布的与本次招标项目有关的信息视为已送达各投标人。采购</w:t>
      </w:r>
      <w:bookmarkStart w:id="1" w:name="_GoBack"/>
      <w:bookmarkEnd w:id="1"/>
      <w:r>
        <w:rPr>
          <w:rFonts w:hint="eastAsia" w:ascii="黑体" w:hAnsi="黑体" w:eastAsia="黑体" w:cs="黑体"/>
          <w:szCs w:val="21"/>
          <w:lang w:eastAsia="zh-CN"/>
        </w:rPr>
        <w:t>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85E2A52">
      <w:pPr>
        <w:tabs>
          <w:tab w:val="clear" w:pos="426"/>
        </w:tabs>
        <w:spacing w:line="240" w:lineRule="auto"/>
        <w:rPr>
          <w:rFonts w:hint="eastAsia" w:ascii="黑体" w:hAnsi="黑体" w:eastAsia="黑体" w:cs="黑体"/>
          <w:b/>
          <w:color w:val="auto"/>
        </w:rPr>
      </w:pPr>
      <w:r>
        <w:rPr>
          <w:rFonts w:hint="eastAsia" w:ascii="黑体" w:hAnsi="黑体" w:eastAsia="黑体" w:cs="黑体"/>
          <w:b/>
          <w:color w:val="auto"/>
          <w:lang w:val="en-US" w:eastAsia="zh-CN"/>
        </w:rPr>
        <w:t>七</w:t>
      </w:r>
      <w:r>
        <w:rPr>
          <w:rFonts w:hint="eastAsia" w:ascii="黑体" w:hAnsi="黑体" w:eastAsia="黑体" w:cs="黑体"/>
          <w:b/>
          <w:color w:val="auto"/>
        </w:rPr>
        <w:t>、对本次招标提出询问，请按以下方式联系</w:t>
      </w:r>
    </w:p>
    <w:p w14:paraId="2BDD2B03">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1.采购人信息</w:t>
      </w:r>
    </w:p>
    <w:p w14:paraId="5EB9124F">
      <w:pPr>
        <w:spacing w:line="276"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rPr>
        <w:t>名　称：</w:t>
      </w:r>
      <w:r>
        <w:rPr>
          <w:rFonts w:hint="eastAsia" w:ascii="黑体" w:hAnsi="黑体" w:eastAsia="黑体" w:cs="黑体"/>
          <w:color w:val="auto"/>
          <w:szCs w:val="21"/>
          <w:lang w:eastAsia="zh-CN"/>
        </w:rPr>
        <w:t>深圳市龙岗区宝龙街道同心第三幼儿园</w:t>
      </w:r>
    </w:p>
    <w:p w14:paraId="2D78D5E1">
      <w:pPr>
        <w:spacing w:line="276" w:lineRule="auto"/>
        <w:ind w:firstLine="424" w:firstLineChars="202"/>
        <w:jc w:val="left"/>
        <w:rPr>
          <w:rFonts w:hint="eastAsia" w:ascii="黑体" w:hAnsi="黑体" w:eastAsia="黑体" w:cs="黑体"/>
          <w:color w:val="auto"/>
          <w:highlight w:val="none"/>
          <w:lang w:eastAsia="zh-CN"/>
        </w:rPr>
      </w:pPr>
      <w:r>
        <w:rPr>
          <w:rFonts w:hint="eastAsia" w:ascii="黑体" w:hAnsi="黑体" w:eastAsia="黑体" w:cs="黑体"/>
          <w:color w:val="auto"/>
          <w:szCs w:val="21"/>
          <w:highlight w:val="none"/>
        </w:rPr>
        <w:t>地　址：</w:t>
      </w:r>
      <w:r>
        <w:rPr>
          <w:rFonts w:hint="eastAsia" w:ascii="黑体" w:hAnsi="黑体" w:eastAsia="黑体" w:cs="黑体"/>
          <w:color w:val="auto"/>
          <w:szCs w:val="21"/>
          <w:highlight w:val="none"/>
          <w:lang w:eastAsia="zh-CN"/>
        </w:rPr>
        <w:t>深圳市龙岗区宝龙街道同心社区深汕路337号</w:t>
      </w:r>
    </w:p>
    <w:p w14:paraId="6A83435E">
      <w:pPr>
        <w:widowControl/>
        <w:spacing w:line="276" w:lineRule="auto"/>
        <w:ind w:firstLine="420" w:firstLineChars="200"/>
        <w:jc w:val="left"/>
        <w:rPr>
          <w:rFonts w:hint="default" w:ascii="黑体" w:hAnsi="黑体" w:eastAsia="黑体" w:cs="黑体"/>
          <w:color w:val="auto"/>
          <w:szCs w:val="21"/>
          <w:highlight w:val="none"/>
          <w:lang w:val="en-US" w:eastAsia="zh-CN"/>
        </w:rPr>
      </w:pPr>
      <w:r>
        <w:rPr>
          <w:rFonts w:hint="eastAsia" w:ascii="黑体" w:hAnsi="黑体" w:eastAsia="黑体" w:cs="黑体"/>
        </w:rPr>
        <w:t>联系方式：</w:t>
      </w:r>
      <w:r>
        <w:rPr>
          <w:rFonts w:hint="eastAsia" w:ascii="黑体" w:hAnsi="黑体" w:eastAsia="黑体" w:cs="黑体"/>
          <w:color w:val="auto"/>
          <w:szCs w:val="21"/>
          <w:highlight w:val="none"/>
          <w:lang w:eastAsia="zh-CN"/>
        </w:rPr>
        <w:t>孔令洲</w:t>
      </w:r>
      <w:r>
        <w:rPr>
          <w:rFonts w:hint="eastAsia" w:ascii="黑体" w:hAnsi="黑体" w:eastAsia="黑体" w:cs="黑体"/>
          <w:color w:val="auto"/>
          <w:szCs w:val="21"/>
          <w:highlight w:val="none"/>
          <w:lang w:val="en-US" w:eastAsia="zh-CN"/>
        </w:rPr>
        <w:t>/</w:t>
      </w:r>
      <w:r>
        <w:rPr>
          <w:rFonts w:hint="eastAsia" w:ascii="黑体" w:hAnsi="黑体" w:eastAsia="黑体" w:cs="黑体"/>
          <w:color w:val="auto"/>
          <w:szCs w:val="21"/>
          <w:highlight w:val="none"/>
          <w:lang w:eastAsia="zh-CN"/>
        </w:rPr>
        <w:t>13713772500</w:t>
      </w:r>
    </w:p>
    <w:p w14:paraId="0D83DEC0">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2.采购代理机构信息</w:t>
      </w:r>
    </w:p>
    <w:p w14:paraId="23C80B9F">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rPr>
        <w:t>名　称：</w:t>
      </w:r>
      <w:r>
        <w:rPr>
          <w:rFonts w:hint="eastAsia" w:ascii="黑体" w:hAnsi="黑体" w:eastAsia="黑体" w:cs="黑体"/>
          <w:color w:val="auto"/>
          <w:lang w:eastAsia="zh-CN"/>
        </w:rPr>
        <w:t>深圳申海项目管理有限公司</w:t>
      </w:r>
    </w:p>
    <w:p w14:paraId="786109ED">
      <w:pPr>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地</w:t>
      </w:r>
      <w:r>
        <w:rPr>
          <w:rFonts w:hint="eastAsia" w:ascii="黑体" w:hAnsi="黑体" w:eastAsia="黑体" w:cs="黑体"/>
          <w:lang w:val="en-US" w:eastAsia="zh-CN"/>
        </w:rPr>
        <w:t xml:space="preserve">  </w:t>
      </w:r>
      <w:r>
        <w:rPr>
          <w:rFonts w:hint="eastAsia" w:ascii="黑体" w:hAnsi="黑体" w:eastAsia="黑体" w:cs="黑体"/>
        </w:rPr>
        <w:t>址：</w:t>
      </w:r>
      <w:r>
        <w:rPr>
          <w:rFonts w:hint="eastAsia" w:ascii="黑体" w:hAnsi="黑体" w:eastAsia="黑体" w:cs="黑体"/>
          <w:lang w:eastAsia="zh-CN"/>
        </w:rPr>
        <w:t>深圳市龙岗区龙城街道吉祥社区龙腾三路4号顺景创业园A2栋205、206</w:t>
      </w:r>
    </w:p>
    <w:p w14:paraId="18A62B7F">
      <w:pPr>
        <w:spacing w:line="276" w:lineRule="auto"/>
        <w:ind w:firstLine="420" w:firstLineChars="200"/>
        <w:rPr>
          <w:rFonts w:hint="eastAsia" w:ascii="黑体" w:hAnsi="黑体" w:eastAsia="黑体" w:cs="黑体"/>
          <w:lang w:val="en-US" w:eastAsia="zh-CN"/>
        </w:rPr>
      </w:pPr>
      <w:r>
        <w:rPr>
          <w:rFonts w:hint="eastAsia" w:ascii="黑体" w:hAnsi="黑体" w:eastAsia="黑体" w:cs="黑体"/>
        </w:rPr>
        <w:t>联系方式：郑工</w:t>
      </w:r>
      <w:r>
        <w:rPr>
          <w:rFonts w:hint="eastAsia" w:ascii="黑体" w:hAnsi="黑体" w:eastAsia="黑体" w:cs="黑体"/>
          <w:lang w:val="en-US" w:eastAsia="zh-CN"/>
        </w:rPr>
        <w:t>/17724668253</w:t>
      </w:r>
    </w:p>
    <w:p w14:paraId="7822F8A3">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lang w:val="en-US" w:eastAsia="zh-CN"/>
        </w:rPr>
        <w:t>3</w:t>
      </w:r>
      <w:r>
        <w:rPr>
          <w:rFonts w:hint="eastAsia" w:ascii="黑体" w:hAnsi="黑体" w:eastAsia="黑体" w:cs="黑体"/>
          <w:color w:val="auto"/>
          <w:szCs w:val="21"/>
        </w:rPr>
        <w:t>.项目联系方式</w:t>
      </w:r>
    </w:p>
    <w:p w14:paraId="7E6AD5DA">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lang w:val="en-US" w:eastAsia="zh-CN"/>
        </w:rPr>
        <w:t>项目联系人</w:t>
      </w:r>
      <w:r>
        <w:rPr>
          <w:rFonts w:hint="eastAsia" w:ascii="黑体" w:hAnsi="黑体" w:eastAsia="黑体" w:cs="黑体"/>
          <w:color w:val="auto"/>
          <w:szCs w:val="21"/>
        </w:rPr>
        <w:t>：</w:t>
      </w:r>
      <w:r>
        <w:rPr>
          <w:rFonts w:hint="eastAsia" w:ascii="黑体" w:hAnsi="黑体" w:eastAsia="黑体" w:cs="黑体"/>
        </w:rPr>
        <w:t>郑工</w:t>
      </w:r>
    </w:p>
    <w:p w14:paraId="7392D1B0">
      <w:pPr>
        <w:spacing w:line="276" w:lineRule="auto"/>
        <w:ind w:firstLine="420" w:firstLineChars="200"/>
        <w:rPr>
          <w:rFonts w:hint="eastAsia" w:ascii="黑体" w:hAnsi="黑体" w:eastAsia="黑体" w:cs="黑体"/>
          <w:lang w:val="en-US" w:eastAsia="zh-CN"/>
        </w:rPr>
      </w:pPr>
      <w:r>
        <w:rPr>
          <w:rFonts w:hint="eastAsia" w:ascii="黑体" w:hAnsi="黑体" w:eastAsia="黑体" w:cs="黑体"/>
          <w:lang w:val="en-US" w:eastAsia="zh-CN"/>
        </w:rPr>
        <w:t>电  话</w:t>
      </w:r>
      <w:r>
        <w:rPr>
          <w:rFonts w:hint="eastAsia" w:ascii="黑体" w:hAnsi="黑体" w:eastAsia="黑体" w:cs="黑体"/>
        </w:rPr>
        <w:t>：</w:t>
      </w:r>
      <w:r>
        <w:rPr>
          <w:rFonts w:hint="eastAsia" w:ascii="黑体" w:hAnsi="黑体" w:eastAsia="黑体" w:cs="黑体"/>
          <w:color w:val="auto"/>
          <w:lang w:val="en-US" w:eastAsia="zh-CN"/>
        </w:rPr>
        <w:t>17724668253</w:t>
      </w:r>
    </w:p>
    <w:p w14:paraId="4C8C5351">
      <w:pPr>
        <w:spacing w:line="276" w:lineRule="auto"/>
        <w:ind w:firstLine="420" w:firstLineChars="200"/>
        <w:rPr>
          <w:rFonts w:hint="eastAsia" w:ascii="黑体" w:hAnsi="黑体" w:eastAsia="黑体" w:cs="黑体"/>
          <w:lang w:eastAsia="zh-CN"/>
        </w:rPr>
      </w:pPr>
      <w:r>
        <w:rPr>
          <w:rFonts w:hint="eastAsia" w:ascii="黑体" w:hAnsi="黑体" w:eastAsia="黑体" w:cs="黑体"/>
          <w:lang w:val="en-US" w:eastAsia="zh-CN"/>
        </w:rPr>
        <w:t>报名</w:t>
      </w:r>
      <w:r>
        <w:rPr>
          <w:rFonts w:hint="eastAsia" w:ascii="黑体" w:hAnsi="黑体" w:eastAsia="黑体" w:cs="黑体"/>
        </w:rPr>
        <w:t>缴费账户</w:t>
      </w:r>
      <w:r>
        <w:rPr>
          <w:rFonts w:hint="eastAsia" w:ascii="黑体" w:hAnsi="黑体" w:eastAsia="黑体" w:cs="黑体"/>
          <w:lang w:eastAsia="zh-CN"/>
        </w:rPr>
        <w:t>：</w:t>
      </w:r>
    </w:p>
    <w:p w14:paraId="1F900C54">
      <w:pPr>
        <w:spacing w:line="276" w:lineRule="auto"/>
        <w:ind w:firstLine="420" w:firstLineChars="200"/>
        <w:rPr>
          <w:rFonts w:hint="eastAsia" w:ascii="黑体" w:hAnsi="黑体" w:eastAsia="黑体" w:cs="黑体"/>
          <w:lang w:eastAsia="zh-CN"/>
        </w:rPr>
      </w:pPr>
      <w:r>
        <w:rPr>
          <w:rFonts w:hint="eastAsia" w:ascii="黑体" w:hAnsi="黑体" w:eastAsia="黑体" w:cs="黑体"/>
        </w:rPr>
        <w:t>账户名称：</w:t>
      </w:r>
      <w:r>
        <w:rPr>
          <w:rFonts w:hint="eastAsia" w:ascii="黑体" w:hAnsi="黑体" w:eastAsia="黑体" w:cs="黑体"/>
          <w:lang w:eastAsia="zh-CN"/>
        </w:rPr>
        <w:t>深圳申海项目管理有限公司</w:t>
      </w:r>
    </w:p>
    <w:p w14:paraId="5446F680">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帐  号：</w:t>
      </w:r>
      <w:r>
        <w:rPr>
          <w:rFonts w:hint="eastAsia" w:ascii="黑体" w:hAnsi="黑体" w:eastAsia="黑体" w:cs="黑体"/>
          <w:spacing w:val="38"/>
          <w:kern w:val="0"/>
        </w:rPr>
        <w:t>40000</w:t>
      </w:r>
      <w:r>
        <w:rPr>
          <w:rFonts w:hint="eastAsia" w:ascii="黑体" w:hAnsi="黑体" w:eastAsia="黑体" w:cs="黑体"/>
        </w:rPr>
        <w:t>92809100817907</w:t>
      </w:r>
    </w:p>
    <w:p w14:paraId="2A55BE79">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开户银行：中国工商银行股份有限公司深圳横岗支行</w:t>
      </w:r>
    </w:p>
    <w:p w14:paraId="5974FCAF">
      <w:pPr>
        <w:spacing w:line="276" w:lineRule="auto"/>
        <w:ind w:firstLine="420" w:firstLineChars="200"/>
        <w:rPr>
          <w:rFonts w:hint="eastAsia" w:ascii="黑体" w:hAnsi="黑体" w:eastAsia="黑体" w:cs="黑体"/>
        </w:rPr>
      </w:pPr>
      <w:r>
        <w:rPr>
          <w:rFonts w:hint="eastAsia" w:ascii="黑体" w:hAnsi="黑体" w:eastAsia="黑体" w:cs="黑体"/>
        </w:rPr>
        <w:t>公司网址：http://www.shgcgl.com/</w:t>
      </w:r>
    </w:p>
    <w:p w14:paraId="1A850D76">
      <w:pPr>
        <w:spacing w:line="276" w:lineRule="auto"/>
        <w:ind w:firstLine="420" w:firstLineChars="200"/>
        <w:rPr>
          <w:rFonts w:hint="eastAsia" w:ascii="黑体" w:hAnsi="黑体" w:eastAsia="黑体" w:cs="黑体"/>
        </w:rPr>
      </w:pPr>
      <w:r>
        <w:rPr>
          <w:rFonts w:hint="eastAsia" w:ascii="黑体" w:hAnsi="黑体" w:eastAsia="黑体" w:cs="黑体"/>
        </w:rPr>
        <w:t>E－ mail：1643698309@qq.com</w:t>
      </w:r>
    </w:p>
    <w:p w14:paraId="769F83B1">
      <w:pPr>
        <w:rPr>
          <w:rFonts w:hint="eastAsia" w:ascii="黑体" w:hAnsi="黑体" w:eastAsia="黑体" w:cs="黑体"/>
          <w:color w:val="auto"/>
          <w:lang w:eastAsia="zh-CN"/>
        </w:rPr>
      </w:pPr>
    </w:p>
    <w:p w14:paraId="5D622A5E">
      <w:pPr>
        <w:widowControl/>
        <w:spacing w:line="276" w:lineRule="auto"/>
        <w:ind w:firstLine="420" w:firstLineChars="200"/>
        <w:jc w:val="right"/>
        <w:rPr>
          <w:rFonts w:hint="eastAsia" w:ascii="黑体" w:hAnsi="黑体" w:eastAsia="黑体" w:cs="黑体"/>
          <w:szCs w:val="21"/>
          <w:lang w:eastAsia="zh-CN"/>
        </w:rPr>
      </w:pPr>
      <w:r>
        <w:rPr>
          <w:rFonts w:hint="eastAsia" w:ascii="黑体" w:hAnsi="黑体" w:eastAsia="黑体" w:cs="黑体"/>
          <w:szCs w:val="21"/>
          <w:lang w:eastAsia="zh-CN"/>
        </w:rPr>
        <w:t>深圳申海项目管理有限公司</w:t>
      </w:r>
    </w:p>
    <w:p w14:paraId="24D4C8B3">
      <w:pPr>
        <w:wordWrap w:val="0"/>
        <w:jc w:val="right"/>
        <w:rPr>
          <w:rFonts w:hint="eastAsia" w:ascii="黑体" w:hAnsi="黑体" w:eastAsia="黑体" w:cs="黑体"/>
          <w:color w:val="auto"/>
        </w:rPr>
      </w:pPr>
      <w:r>
        <w:rPr>
          <w:rFonts w:hint="eastAsia" w:ascii="黑体" w:hAnsi="黑体" w:eastAsia="黑体" w:cs="黑体"/>
          <w:color w:val="auto"/>
          <w:lang w:val="en-US" w:eastAsia="zh-CN"/>
        </w:rPr>
        <w:t xml:space="preserve">  </w:t>
      </w:r>
      <w:r>
        <w:rPr>
          <w:rFonts w:hint="eastAsia" w:ascii="黑体" w:hAnsi="黑体" w:eastAsia="黑体" w:cs="黑体"/>
          <w:color w:val="auto"/>
          <w:lang w:eastAsia="zh-CN"/>
        </w:rPr>
        <w:t>2025</w:t>
      </w:r>
      <w:r>
        <w:rPr>
          <w:rFonts w:hint="eastAsia" w:ascii="黑体" w:hAnsi="黑体" w:eastAsia="黑体" w:cs="黑体"/>
          <w:color w:val="auto"/>
        </w:rPr>
        <w:t>年</w:t>
      </w:r>
      <w:r>
        <w:rPr>
          <w:rFonts w:hint="eastAsia" w:ascii="黑体" w:hAnsi="黑体" w:eastAsia="黑体" w:cs="黑体"/>
          <w:bCs/>
          <w:color w:val="auto"/>
          <w:kern w:val="2"/>
          <w:szCs w:val="21"/>
          <w:lang w:val="en-US" w:eastAsia="zh-CN"/>
        </w:rPr>
        <w:t>07</w:t>
      </w:r>
      <w:r>
        <w:rPr>
          <w:rFonts w:hint="eastAsia" w:ascii="黑体" w:hAnsi="黑体" w:eastAsia="黑体" w:cs="黑体"/>
          <w:color w:val="auto"/>
        </w:rPr>
        <w:t>月</w:t>
      </w:r>
      <w:r>
        <w:rPr>
          <w:rFonts w:hint="eastAsia" w:ascii="黑体" w:hAnsi="黑体" w:eastAsia="黑体" w:cs="黑体"/>
          <w:bCs/>
          <w:color w:val="auto"/>
          <w:kern w:val="2"/>
          <w:szCs w:val="21"/>
          <w:lang w:val="en-US" w:eastAsia="zh-CN"/>
        </w:rPr>
        <w:t>28</w:t>
      </w:r>
      <w:r>
        <w:rPr>
          <w:rFonts w:hint="eastAsia" w:ascii="黑体" w:hAnsi="黑体" w:eastAsia="黑体" w:cs="黑体"/>
          <w:color w:val="auto"/>
        </w:rPr>
        <w:t>日</w:t>
      </w:r>
      <w:r>
        <w:rPr>
          <w:rFonts w:hint="eastAsia" w:ascii="黑体" w:hAnsi="黑体" w:eastAsia="黑体" w:cs="黑体"/>
          <w:color w:val="auto"/>
          <w:lang w:val="en-US" w:eastAsia="zh-CN"/>
        </w:rPr>
        <w:t xml:space="preserve"> </w:t>
      </w:r>
      <w:r>
        <w:rPr>
          <w:rFonts w:hint="eastAsia" w:ascii="黑体" w:hAnsi="黑体" w:eastAsia="黑体" w:cs="黑体"/>
          <w:color w:val="0000FF"/>
          <w:lang w:val="en-US" w:eastAsia="zh-CN"/>
        </w:rPr>
        <w:t xml:space="preserve">   </w:t>
      </w:r>
    </w:p>
    <w:p w14:paraId="1B1271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850B8"/>
    <w:multiLevelType w:val="multilevel"/>
    <w:tmpl w:val="196850B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E5F95"/>
    <w:rsid w:val="375E4D01"/>
    <w:rsid w:val="60B05CE6"/>
    <w:rsid w:val="61B1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qFormat/>
    <w:uiPriority w:val="0"/>
    <w:pPr>
      <w:textAlignment w:val="baseline"/>
      <w:outlineLvl w:val="1"/>
    </w:pPr>
    <w:rPr>
      <w:kern w:val="0"/>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Z2级标题"/>
    <w:basedOn w:val="3"/>
    <w:qFormat/>
    <w:uiPriority w:val="0"/>
  </w:style>
  <w:style w:type="paragraph" w:customStyle="1" w:styleId="8">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1427</Words>
  <Characters>1792</Characters>
  <Lines>0</Lines>
  <Paragraphs>0</Paragraphs>
  <TotalTime>0</TotalTime>
  <ScaleCrop>false</ScaleCrop>
  <LinksUpToDate>false</LinksUpToDate>
  <CharactersWithSpaces>1810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2025-07-28T13:35:00Z</dcterms:created>
  <dc:creator>Administrator</dc:creator>
  <cp:lastModifiedBy>张冬冬</cp:lastModifiedBy>
  <dcterms:modified xsi:type="dcterms:W3CDTF">2025-07-28T14:24:28Z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eyJoZGlkIjoiMDdkNDE2Yzg4N2I0ZjM5YTU0ZWRmOGRhNzYwMjE3ZWIiLCJ1c2VySWQiOiIxNjU5MzM3OTEzIn0=</vt:lpwstr>
  </property>
  <property fmtid="{D5CDD505-2E9C-101B-9397-08002B2CF9AE}" pid="4" name="ICV">
    <vt:lpwstr>6BB6371B890F4CE09A5ADED19C9E4444_12</vt:lpwstr>
  </property>
</Properties>
</file>