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91EB">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color w:val="FF0000"/>
          <w:szCs w:val="21"/>
          <w:lang w:val="en-US"/>
        </w:rPr>
      </w:pPr>
      <w:r>
        <w:rPr>
          <w:rFonts w:hint="eastAsia" w:ascii="宋体" w:hAnsi="宋体" w:eastAsia="黑体" w:cs="黑体"/>
          <w:b/>
          <w:bCs/>
          <w:color w:val="FF0000"/>
          <w:kern w:val="44"/>
          <w:sz w:val="28"/>
          <w:szCs w:val="44"/>
          <w:lang w:val="en-US" w:eastAsia="zh-CN" w:bidi="ar"/>
        </w:rPr>
        <w:t>特别警示条款</w:t>
      </w:r>
    </w:p>
    <w:p w14:paraId="34B2AC3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sz w:val="21"/>
          <w:szCs w:val="21"/>
          <w:highlight w:val="yellow"/>
          <w:lang w:val="en-US"/>
        </w:rPr>
      </w:pPr>
      <w:r>
        <w:rPr>
          <w:rFonts w:hint="eastAsia" w:ascii="宋体" w:hAnsi="宋体" w:eastAsia="宋体" w:cs="宋体"/>
          <w:b/>
          <w:bCs/>
          <w:color w:val="FF0000"/>
          <w:kern w:val="2"/>
          <w:sz w:val="21"/>
          <w:szCs w:val="21"/>
          <w:highlight w:val="yellow"/>
          <w:lang w:val="en-US"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6D7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9FA08E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4ABCA0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供应商参与投标禁止情形</w:t>
            </w:r>
          </w:p>
        </w:tc>
      </w:tr>
      <w:tr w14:paraId="4489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79CA84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286564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val="en-US" w:eastAsia="zh-CN" w:bidi="ar"/>
              </w:rPr>
              <w:t>同一人、属同一单位或者在同一单位缴纳社会保险</w:t>
            </w:r>
            <w:r>
              <w:rPr>
                <w:rFonts w:hint="eastAsia" w:ascii="宋体" w:hAnsi="宋体" w:eastAsia="宋体" w:cs="宋体"/>
                <w:color w:val="FF0000"/>
                <w:kern w:val="2"/>
                <w:sz w:val="21"/>
                <w:szCs w:val="21"/>
                <w:lang w:val="en-US" w:eastAsia="zh-CN" w:bidi="ar"/>
              </w:rPr>
              <w:t>。</w:t>
            </w:r>
          </w:p>
        </w:tc>
      </w:tr>
      <w:tr w14:paraId="695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DA447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83D155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参与本项目采购活动时，与其他投标供应商存在单位负责人为</w:t>
            </w:r>
            <w:r>
              <w:rPr>
                <w:rFonts w:hint="eastAsia" w:ascii="宋体" w:hAnsi="宋体" w:eastAsia="宋体" w:cs="宋体"/>
                <w:b/>
                <w:bCs/>
                <w:color w:val="FF0000"/>
                <w:kern w:val="2"/>
                <w:sz w:val="21"/>
                <w:szCs w:val="21"/>
                <w:lang w:val="en-US" w:eastAsia="zh-CN" w:bidi="ar"/>
              </w:rPr>
              <w:t>同一人或直接控股、管理关系</w:t>
            </w:r>
            <w:r>
              <w:rPr>
                <w:rFonts w:hint="eastAsia" w:ascii="宋体" w:hAnsi="宋体" w:eastAsia="宋体" w:cs="宋体"/>
                <w:color w:val="FF0000"/>
                <w:kern w:val="2"/>
                <w:sz w:val="21"/>
                <w:szCs w:val="21"/>
                <w:lang w:val="en-US" w:eastAsia="zh-CN" w:bidi="ar"/>
              </w:rPr>
              <w:t>。</w:t>
            </w:r>
          </w:p>
        </w:tc>
      </w:tr>
      <w:tr w14:paraId="063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340AE1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E3DC6D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与其他投标供应商的投标文件或部分投标文件</w:t>
            </w:r>
            <w:r>
              <w:rPr>
                <w:rFonts w:hint="eastAsia" w:ascii="宋体" w:hAnsi="宋体" w:eastAsia="宋体" w:cs="宋体"/>
                <w:b/>
                <w:bCs/>
                <w:color w:val="FF0000"/>
                <w:kern w:val="2"/>
                <w:sz w:val="21"/>
                <w:szCs w:val="21"/>
                <w:lang w:val="en-US" w:eastAsia="zh-CN" w:bidi="ar"/>
              </w:rPr>
              <w:t>相互混装或存在非正常一致</w:t>
            </w:r>
            <w:r>
              <w:rPr>
                <w:rFonts w:hint="eastAsia" w:ascii="宋体" w:hAnsi="宋体" w:eastAsia="宋体" w:cs="宋体"/>
                <w:color w:val="FF0000"/>
                <w:kern w:val="2"/>
                <w:sz w:val="21"/>
                <w:szCs w:val="21"/>
                <w:lang w:val="en-US" w:eastAsia="zh-CN" w:bidi="ar"/>
              </w:rPr>
              <w:t>。</w:t>
            </w:r>
          </w:p>
        </w:tc>
      </w:tr>
      <w:tr w14:paraId="649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A7512C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D96A80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与其他投标供应商的投标文件由</w:t>
            </w:r>
            <w:r>
              <w:rPr>
                <w:rFonts w:hint="eastAsia" w:ascii="宋体" w:hAnsi="宋体" w:eastAsia="宋体" w:cs="宋体"/>
                <w:b/>
                <w:bCs/>
                <w:color w:val="FF0000"/>
                <w:kern w:val="2"/>
                <w:sz w:val="21"/>
                <w:szCs w:val="21"/>
                <w:lang w:val="en-US" w:eastAsia="zh-CN" w:bidi="ar"/>
              </w:rPr>
              <w:t>同一单位或者同一人编制</w:t>
            </w:r>
            <w:r>
              <w:rPr>
                <w:rFonts w:hint="eastAsia" w:ascii="宋体" w:hAnsi="宋体" w:eastAsia="宋体" w:cs="宋体"/>
                <w:color w:val="FF0000"/>
                <w:kern w:val="2"/>
                <w:sz w:val="21"/>
                <w:szCs w:val="21"/>
                <w:lang w:val="en-US" w:eastAsia="zh-CN" w:bidi="ar"/>
              </w:rPr>
              <w:t>，或者使用</w:t>
            </w:r>
            <w:r>
              <w:rPr>
                <w:rFonts w:hint="eastAsia" w:ascii="宋体" w:hAnsi="宋体" w:eastAsia="宋体" w:cs="宋体"/>
                <w:b/>
                <w:bCs/>
                <w:color w:val="FF0000"/>
                <w:kern w:val="2"/>
                <w:sz w:val="21"/>
                <w:szCs w:val="21"/>
                <w:lang w:val="en-US" w:eastAsia="zh-CN" w:bidi="ar"/>
              </w:rPr>
              <w:t>同一设备编制</w:t>
            </w:r>
            <w:r>
              <w:rPr>
                <w:rFonts w:hint="eastAsia" w:ascii="宋体" w:hAnsi="宋体" w:eastAsia="宋体" w:cs="宋体"/>
                <w:color w:val="FF0000"/>
                <w:kern w:val="2"/>
                <w:sz w:val="21"/>
                <w:szCs w:val="21"/>
                <w:lang w:val="en-US" w:eastAsia="zh-CN" w:bidi="ar"/>
              </w:rPr>
              <w:t>。</w:t>
            </w:r>
          </w:p>
        </w:tc>
      </w:tr>
      <w:tr w14:paraId="58D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23816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AA72ED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提供</w:t>
            </w:r>
            <w:r>
              <w:rPr>
                <w:rFonts w:hint="eastAsia" w:ascii="宋体" w:hAnsi="宋体" w:eastAsia="宋体" w:cs="宋体"/>
                <w:b/>
                <w:bCs/>
                <w:color w:val="FF0000"/>
                <w:kern w:val="2"/>
                <w:sz w:val="21"/>
                <w:szCs w:val="21"/>
                <w:lang w:val="en-US" w:eastAsia="zh-CN" w:bidi="ar"/>
              </w:rPr>
              <w:t>未经出具机构核实</w:t>
            </w:r>
            <w:r>
              <w:rPr>
                <w:rFonts w:hint="eastAsia" w:ascii="宋体" w:hAnsi="宋体" w:eastAsia="宋体" w:cs="宋体"/>
                <w:color w:val="FF0000"/>
                <w:kern w:val="2"/>
                <w:sz w:val="21"/>
                <w:szCs w:val="21"/>
                <w:lang w:val="en-US" w:eastAsia="zh-CN" w:bidi="ar"/>
              </w:rPr>
              <w:t>的虚假的检验检测报告、业绩材料、社保缴纳证明、学历学位证书、职称认证证书等材料。</w:t>
            </w:r>
          </w:p>
        </w:tc>
      </w:tr>
      <w:tr w14:paraId="11C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CA87CD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74CA5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2886DD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p>
    <w:p w14:paraId="1CD7EA4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w:t>
      </w:r>
      <w:r>
        <w:rPr>
          <w:rFonts w:hint="eastAsia" w:ascii="宋体" w:hAnsi="宋体" w:eastAsia="宋体" w:cs="宋体"/>
          <w:b/>
          <w:bCs/>
          <w:color w:val="FF0000"/>
          <w:kern w:val="2"/>
          <w:sz w:val="21"/>
          <w:szCs w:val="21"/>
          <w:lang w:val="en-US" w:eastAsia="zh-CN" w:bidi="ar"/>
        </w:rPr>
        <w:t>《深圳经济特区政府采购条例》第五十七条</w:t>
      </w:r>
      <w:r>
        <w:rPr>
          <w:rFonts w:hint="eastAsia" w:ascii="宋体" w:hAnsi="宋体" w:eastAsia="宋体" w:cs="宋体"/>
          <w:color w:val="FF0000"/>
          <w:kern w:val="2"/>
          <w:sz w:val="21"/>
          <w:szCs w:val="21"/>
          <w:lang w:val="en-US"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CCFFE9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（一）在采购活动中应当回避而未回避的；</w:t>
      </w:r>
    </w:p>
    <w:p w14:paraId="3B49402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（二）未按本条例规定签订、履行采购合同，造成严重后果的；</w:t>
      </w:r>
    </w:p>
    <w:p w14:paraId="6FC930E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（三）隐瞒真实情况，提供虚假资料的；</w:t>
      </w:r>
    </w:p>
    <w:p w14:paraId="5723C8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（四）以非法手段排斥其他供应商参与竞争的；</w:t>
      </w:r>
    </w:p>
    <w:p w14:paraId="6CDAC8E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（五）与其他采购参加人串通投标的；</w:t>
      </w:r>
    </w:p>
    <w:p w14:paraId="0CD5FCB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（六）恶意投诉的；</w:t>
      </w:r>
    </w:p>
    <w:p w14:paraId="11B47E0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（七）向采购项目相关人行贿或者提供其他不当利益的；</w:t>
      </w:r>
    </w:p>
    <w:p w14:paraId="7D8AA79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（八）阻碍、抗拒主管部门监督检查的；</w:t>
      </w:r>
    </w:p>
    <w:p w14:paraId="45B5854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（九）其他违反本条例规定的行为。</w:t>
      </w:r>
    </w:p>
    <w:p w14:paraId="513D0D5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二、《深圳经济特区政府采购条例实施细则》第七十五条 </w:t>
      </w:r>
      <w:r>
        <w:rPr>
          <w:rFonts w:hint="eastAsia" w:ascii="宋体" w:hAnsi="宋体" w:eastAsia="宋体" w:cs="宋体"/>
          <w:color w:val="FF0000"/>
          <w:kern w:val="2"/>
          <w:sz w:val="21"/>
          <w:szCs w:val="21"/>
          <w:lang w:val="en-US"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1C889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三、《深圳经济特区政府采购条例实施细则》第七十七条 </w:t>
      </w:r>
      <w:r>
        <w:rPr>
          <w:rFonts w:hint="eastAsia" w:ascii="宋体" w:hAnsi="宋体" w:eastAsia="宋体" w:cs="宋体"/>
          <w:color w:val="FF0000"/>
          <w:kern w:val="2"/>
          <w:sz w:val="21"/>
          <w:szCs w:val="21"/>
          <w:lang w:val="en-US"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D93975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投标供应商不能提供项目负责人或者主要技术人员的劳动合同、社会保险等劳动关系证明材料的，视为存在前款第（三）项规定的情形。</w:t>
      </w:r>
    </w:p>
    <w:p w14:paraId="4D7B4E3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bCs/>
          <w:color w:val="FF0000"/>
          <w:sz w:val="21"/>
          <w:szCs w:val="21"/>
          <w:lang w:val="en-US"/>
        </w:rPr>
      </w:pPr>
      <w:r>
        <w:rPr>
          <w:rFonts w:hint="eastAsia" w:ascii="Times New Roman" w:hAnsi="Times New Roman" w:eastAsia="宋体" w:cs="宋体"/>
          <w:b/>
          <w:bCs w:val="0"/>
          <w:color w:val="FF0000"/>
          <w:kern w:val="2"/>
          <w:sz w:val="21"/>
          <w:szCs w:val="21"/>
          <w:lang w:val="en-US" w:eastAsia="zh-CN" w:bidi="ar"/>
        </w:rPr>
        <w:t>四、根据《深圳经济特区政府采购条例实施细则》第七十五条规定</w:t>
      </w:r>
      <w:r>
        <w:rPr>
          <w:rFonts w:hint="eastAsia" w:ascii="Times New Roman" w:hAnsi="Times New Roman" w:eastAsia="宋体" w:cs="宋体"/>
          <w:bCs/>
          <w:color w:val="FF0000"/>
          <w:kern w:val="2"/>
          <w:sz w:val="21"/>
          <w:szCs w:val="21"/>
          <w:lang w:val="en-US"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val="en-US" w:eastAsia="zh-CN" w:bidi="ar"/>
        </w:rPr>
        <w:t>取消参与本市政府采购资格</w:t>
      </w:r>
      <w:r>
        <w:rPr>
          <w:rFonts w:hint="eastAsia" w:ascii="Times New Roman" w:hAnsi="宋体" w:eastAsia="宋体" w:cs="宋体"/>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依法吊销其营业</w:t>
      </w:r>
      <w:r>
        <w:rPr>
          <w:rFonts w:hint="eastAsia" w:ascii="Times New Roman" w:hAnsi="宋体" w:eastAsia="宋体" w:cs="宋体"/>
          <w:color w:val="FF0000"/>
          <w:kern w:val="2"/>
          <w:sz w:val="21"/>
          <w:szCs w:val="21"/>
          <w:lang w:val="en-US" w:eastAsia="zh-CN" w:bidi="ar"/>
        </w:rPr>
        <w:t>执照等行政处罚，</w:t>
      </w:r>
      <w:r>
        <w:rPr>
          <w:rFonts w:hint="eastAsia" w:ascii="宋体" w:hAnsi="宋体" w:eastAsia="宋体" w:cs="宋体"/>
          <w:color w:val="FF0000"/>
          <w:kern w:val="2"/>
          <w:sz w:val="21"/>
          <w:szCs w:val="21"/>
          <w:lang w:val="en-US" w:eastAsia="zh-CN" w:bidi="ar"/>
        </w:rPr>
        <w:t>构成犯罪的，依法追究刑事责任</w:t>
      </w:r>
      <w:r>
        <w:rPr>
          <w:rFonts w:hint="eastAsia" w:ascii="Times New Roman" w:hAnsi="Times New Roman" w:eastAsia="宋体" w:cs="宋体"/>
          <w:bCs/>
          <w:color w:val="FF0000"/>
          <w:kern w:val="2"/>
          <w:sz w:val="21"/>
          <w:szCs w:val="21"/>
          <w:lang w:val="en-US" w:eastAsia="zh-CN" w:bidi="ar"/>
        </w:rPr>
        <w:t>，请各供应商独立编制、上传投标文件，妥善保管和使用电子秘钥。</w:t>
      </w:r>
    </w:p>
    <w:p w14:paraId="2DAC962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sz w:val="21"/>
          <w:szCs w:val="21"/>
          <w:lang w:val="en-US"/>
        </w:rPr>
      </w:pPr>
      <w:r>
        <w:rPr>
          <w:rFonts w:hint="eastAsia" w:ascii="Times New Roman" w:hAnsi="Times New Roman" w:eastAsia="宋体" w:cs="宋体"/>
          <w:b/>
          <w:bCs w:val="0"/>
          <w:color w:val="FF0000"/>
          <w:kern w:val="2"/>
          <w:sz w:val="21"/>
          <w:szCs w:val="21"/>
          <w:lang w:val="en-US"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5B1838B">
      <w:pPr>
        <w:keepNext w:val="0"/>
        <w:keepLines w:val="0"/>
        <w:widowControl/>
        <w:suppressLineNumbers w:val="0"/>
        <w:spacing w:before="0" w:beforeAutospacing="1" w:after="0" w:afterAutospacing="1"/>
        <w:ind w:left="0" w:right="0"/>
        <w:jc w:val="left"/>
        <w:outlineLvl w:val="1"/>
        <w:rPr>
          <w:rFonts w:hint="eastAsia" w:ascii="黑体" w:hAnsi="宋体" w:eastAsia="黑体" w:cs="黑体"/>
          <w:kern w:val="0"/>
          <w:sz w:val="21"/>
          <w:szCs w:val="21"/>
          <w:lang w:val="en-US"/>
        </w:rPr>
      </w:pPr>
      <w:r>
        <w:rPr>
          <w:rFonts w:hint="eastAsia" w:ascii="Times New Roman" w:hAnsi="Times New Roman" w:eastAsia="宋体" w:cs="宋体"/>
          <w:b/>
          <w:bCs w:val="0"/>
          <w:color w:val="FF0000"/>
          <w:kern w:val="2"/>
          <w:sz w:val="21"/>
          <w:szCs w:val="21"/>
          <w:lang w:val="en-US" w:eastAsia="zh-CN" w:bidi="ar"/>
        </w:rPr>
        <w:t>注：“特别警示条款”和《采购违法行为风险知悉确认书》用于对供应商违法行为的提醒，不作为供应商资格性审查及符合性审查条件。</w:t>
      </w:r>
    </w:p>
    <w:p w14:paraId="07CA7F96">
      <w:pPr>
        <w:rPr>
          <w:rFonts w:hint="eastAsia" w:ascii="方正小标宋简体" w:hAnsi="方正小标宋简体" w:eastAsia="方正小标宋简体" w:cs="方正小标宋简体"/>
          <w:bCs/>
          <w:color w:val="000000"/>
          <w:sz w:val="21"/>
          <w:szCs w:val="21"/>
        </w:rPr>
      </w:pPr>
      <w:r>
        <w:rPr>
          <w:rFonts w:hint="eastAsia" w:ascii="方正小标宋简体" w:hAnsi="方正小标宋简体" w:eastAsia="方正小标宋简体" w:cs="方正小标宋简体"/>
          <w:bCs/>
          <w:color w:val="000000"/>
          <w:sz w:val="21"/>
          <w:szCs w:val="21"/>
        </w:rPr>
        <w:br w:type="page"/>
      </w:r>
    </w:p>
    <w:p w14:paraId="6B1156CA">
      <w:pPr>
        <w:widowControl/>
        <w:spacing w:before="100" w:beforeAutospacing="1" w:after="100" w:afterAutospacing="1"/>
        <w:jc w:val="center"/>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5374EC0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C72480E">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项目编号：</w:t>
            </w:r>
          </w:p>
        </w:tc>
        <w:tc>
          <w:tcPr>
            <w:tcW w:w="5220" w:type="dxa"/>
            <w:shd w:val="clear" w:color="auto" w:fill="auto"/>
            <w:vAlign w:val="center"/>
          </w:tcPr>
          <w:p w14:paraId="3A26D3A5">
            <w:pPr>
              <w:keepNext w:val="0"/>
              <w:keepLines w:val="0"/>
              <w:widowControl/>
              <w:suppressLineNumbers w:val="0"/>
              <w:spacing w:before="0" w:beforeAutospacing="0" w:after="0" w:afterAutospacing="0"/>
              <w:ind w:left="0" w:right="0"/>
              <w:jc w:val="left"/>
              <w:rPr>
                <w:rFonts w:hint="default"/>
                <w:sz w:val="30"/>
                <w:szCs w:val="30"/>
              </w:rPr>
            </w:pPr>
            <w:r>
              <w:rPr>
                <w:rFonts w:hint="default"/>
                <w:sz w:val="30"/>
                <w:szCs w:val="30"/>
              </w:rPr>
              <w:t>SZZXCG-2025-00312</w:t>
            </w:r>
          </w:p>
        </w:tc>
      </w:tr>
      <w:tr w14:paraId="7728C16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5BDF20">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项目名称：</w:t>
            </w:r>
          </w:p>
        </w:tc>
        <w:tc>
          <w:tcPr>
            <w:tcW w:w="5220" w:type="dxa"/>
            <w:shd w:val="clear" w:color="auto" w:fill="auto"/>
            <w:vAlign w:val="center"/>
          </w:tcPr>
          <w:p w14:paraId="7AF9766E">
            <w:pPr>
              <w:keepNext w:val="0"/>
              <w:keepLines w:val="0"/>
              <w:widowControl/>
              <w:suppressLineNumbers w:val="0"/>
              <w:spacing w:before="0" w:beforeAutospacing="0" w:after="0" w:afterAutospacing="0"/>
              <w:ind w:left="0" w:right="0"/>
              <w:jc w:val="left"/>
              <w:rPr>
                <w:rFonts w:hint="default"/>
                <w:sz w:val="30"/>
                <w:szCs w:val="30"/>
              </w:rPr>
            </w:pPr>
            <w:r>
              <w:rPr>
                <w:rFonts w:hint="default"/>
                <w:sz w:val="30"/>
                <w:szCs w:val="30"/>
              </w:rPr>
              <w:t>深圳市第三人民院输尿管硬镜采购</w:t>
            </w:r>
          </w:p>
        </w:tc>
      </w:tr>
      <w:tr w14:paraId="3E6B37F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68FD2C5">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包 号：</w:t>
            </w:r>
          </w:p>
        </w:tc>
        <w:tc>
          <w:tcPr>
            <w:tcW w:w="5220" w:type="dxa"/>
            <w:shd w:val="clear" w:color="auto" w:fill="auto"/>
            <w:vAlign w:val="center"/>
          </w:tcPr>
          <w:p w14:paraId="596A80D1">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A</w:t>
            </w:r>
          </w:p>
        </w:tc>
      </w:tr>
      <w:tr w14:paraId="54AC97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CD6938F">
            <w:pPr>
              <w:keepNext w:val="0"/>
              <w:keepLines w:val="0"/>
              <w:widowControl/>
              <w:suppressLineNumbers w:val="0"/>
              <w:spacing w:before="0" w:beforeAutospacing="0" w:after="0" w:afterAutospacing="0"/>
              <w:ind w:left="0" w:right="0"/>
              <w:jc w:val="right"/>
              <w:rPr>
                <w:rFonts w:hint="default"/>
                <w:sz w:val="30"/>
                <w:szCs w:val="30"/>
                <w:highlight w:val="none"/>
              </w:rPr>
            </w:pPr>
            <w:r>
              <w:rPr>
                <w:rFonts w:hint="default" w:ascii="宋体" w:hAnsi="宋体" w:cs="宋体"/>
                <w:kern w:val="0"/>
                <w:sz w:val="30"/>
                <w:szCs w:val="30"/>
                <w:highlight w:val="none"/>
              </w:rPr>
              <w:t>项目类型：</w:t>
            </w:r>
          </w:p>
        </w:tc>
        <w:tc>
          <w:tcPr>
            <w:tcW w:w="5220" w:type="dxa"/>
            <w:shd w:val="clear" w:color="auto" w:fill="auto"/>
            <w:vAlign w:val="center"/>
          </w:tcPr>
          <w:p w14:paraId="4DD33C41">
            <w:pPr>
              <w:keepNext w:val="0"/>
              <w:keepLines w:val="0"/>
              <w:widowControl/>
              <w:suppressLineNumbers w:val="0"/>
              <w:spacing w:before="0" w:beforeAutospacing="0" w:after="0" w:afterAutospacing="0"/>
              <w:ind w:left="0" w:right="0"/>
              <w:jc w:val="left"/>
              <w:rPr>
                <w:rFonts w:hint="default"/>
                <w:sz w:val="30"/>
                <w:szCs w:val="30"/>
                <w:highlight w:val="none"/>
              </w:rPr>
            </w:pPr>
            <w:r>
              <w:rPr>
                <w:rFonts w:hint="default"/>
                <w:sz w:val="30"/>
                <w:szCs w:val="30"/>
                <w:highlight w:val="none"/>
              </w:rPr>
              <w:t>货物类</w:t>
            </w:r>
          </w:p>
        </w:tc>
      </w:tr>
      <w:tr w14:paraId="1462399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ADC35C">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采购方式：</w:t>
            </w:r>
          </w:p>
        </w:tc>
        <w:tc>
          <w:tcPr>
            <w:tcW w:w="5220" w:type="dxa"/>
            <w:shd w:val="clear" w:color="auto" w:fill="auto"/>
            <w:vAlign w:val="center"/>
          </w:tcPr>
          <w:p w14:paraId="060EF927">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公开</w:t>
            </w:r>
            <w:r>
              <w:rPr>
                <w:rFonts w:hint="eastAsia" w:ascii="宋体" w:hAnsi="宋体" w:cs="宋体"/>
                <w:kern w:val="0"/>
                <w:sz w:val="30"/>
                <w:szCs w:val="30"/>
              </w:rPr>
              <w:t>招标</w:t>
            </w:r>
          </w:p>
        </w:tc>
      </w:tr>
      <w:tr w14:paraId="5A295F0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966ED8">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货币类型：</w:t>
            </w:r>
          </w:p>
        </w:tc>
        <w:tc>
          <w:tcPr>
            <w:tcW w:w="5220" w:type="dxa"/>
            <w:shd w:val="clear" w:color="auto" w:fill="auto"/>
            <w:vAlign w:val="center"/>
          </w:tcPr>
          <w:p w14:paraId="65532C93">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人民币</w:t>
            </w:r>
          </w:p>
        </w:tc>
      </w:tr>
      <w:tr w14:paraId="0A8C4BB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230D7B">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评标方法：</w:t>
            </w:r>
          </w:p>
        </w:tc>
        <w:tc>
          <w:tcPr>
            <w:tcW w:w="5220" w:type="dxa"/>
            <w:shd w:val="clear" w:color="auto" w:fill="auto"/>
            <w:vAlign w:val="center"/>
          </w:tcPr>
          <w:p w14:paraId="50D38784">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综合评分法</w:t>
            </w:r>
          </w:p>
        </w:tc>
      </w:tr>
    </w:tbl>
    <w:p w14:paraId="498FFE10">
      <w:pPr>
        <w:pStyle w:val="37"/>
        <w:jc w:val="center"/>
        <w:outlineLvl w:val="1"/>
        <w:rPr>
          <w:rFonts w:ascii="黑体" w:hAnsi="黑体" w:eastAsia="黑体"/>
          <w:sz w:val="40"/>
          <w:szCs w:val="40"/>
        </w:rPr>
      </w:pPr>
    </w:p>
    <w:p w14:paraId="40594077">
      <w:pPr>
        <w:pStyle w:val="18"/>
      </w:pPr>
      <w:r>
        <w:br w:type="page"/>
      </w:r>
    </w:p>
    <w:p w14:paraId="5907D210">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7"/>
        <w:gridCol w:w="8424"/>
      </w:tblGrid>
      <w:tr w14:paraId="1B3AB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tcPr>
          <w:p w14:paraId="4057868C">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8B1549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内容</w:t>
            </w:r>
          </w:p>
        </w:tc>
      </w:tr>
      <w:tr w14:paraId="5E77F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tcPr>
          <w:p w14:paraId="05890EC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0" w:type="auto"/>
            <w:tcBorders>
              <w:top w:val="single" w:color="000000" w:sz="8" w:space="0"/>
              <w:left w:val="single" w:color="000000" w:sz="8" w:space="0"/>
              <w:bottom w:val="single" w:color="000000" w:sz="8" w:space="0"/>
              <w:right w:val="single" w:color="000000" w:sz="8" w:space="0"/>
            </w:tcBorders>
          </w:tcPr>
          <w:p w14:paraId="678F5714">
            <w:pPr>
              <w:keepNext w:val="0"/>
              <w:keepLines w:val="0"/>
              <w:suppressLineNumbers w:val="0"/>
              <w:spacing w:before="0" w:beforeAutospacing="0" w:after="0" w:afterAutospacing="0"/>
              <w:ind w:left="0" w:right="0"/>
              <w:rPr>
                <w:rFonts w:hint="default" w:cs="宋体" w:asciiTheme="minorEastAsia" w:hAnsiTheme="minorEastAsia" w:eastAsiaTheme="minorEastAsia"/>
                <w:szCs w:val="21"/>
              </w:rPr>
            </w:pPr>
            <w:r>
              <w:rPr>
                <w:rFonts w:hint="default"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hint="default"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hint="default"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hint="default" w:cs="宋体" w:asciiTheme="minorEastAsia" w:hAnsiTheme="minorEastAsia" w:eastAsiaTheme="minorEastAsia"/>
                <w:kern w:val="0"/>
                <w:szCs w:val="21"/>
              </w:rPr>
              <w:t>）</w:t>
            </w:r>
          </w:p>
        </w:tc>
      </w:tr>
    </w:tbl>
    <w:p w14:paraId="0BC99A87">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5"/>
        <w:gridCol w:w="8386"/>
      </w:tblGrid>
      <w:tr w14:paraId="2CD1B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4B7B27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default"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D8152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cs="宋体" w:asciiTheme="minorEastAsia" w:hAnsiTheme="minorEastAsia" w:eastAsiaTheme="minorEastAsia"/>
                <w:kern w:val="0"/>
                <w:szCs w:val="21"/>
              </w:rPr>
              <w:t>内容</w:t>
            </w:r>
          </w:p>
        </w:tc>
      </w:tr>
      <w:tr w14:paraId="11DCC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22ED6E7">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6585B5A">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14:paraId="30BAC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AB9FE39">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FA93B8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14:paraId="75F89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77AE4B1">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CAF056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分项报价或投标总价不得高于相应预算金额（或设定的预算金额下的最高限价）；</w:t>
            </w:r>
          </w:p>
        </w:tc>
      </w:tr>
      <w:tr w14:paraId="5C4D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3E0DE44">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12D0D05">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458B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E3BC570">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636732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3C40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A7C66EA">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szCs w:val="21"/>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4A319F7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7FA9C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40B80186">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2E435B3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highlight w:val="yellow"/>
                <w:lang w:val="en-US" w:eastAsia="zh-CN"/>
              </w:rPr>
              <w:t>采购标的/所投产品/货物清单/报价等任意一类有缺漏项或响应不全，</w:t>
            </w:r>
            <w:r>
              <w:rPr>
                <w:rFonts w:hint="eastAsia"/>
                <w:highlight w:val="yellow"/>
              </w:rPr>
              <w:t>或者对招标文件规定的项目需求内容或者需求数量进行修改，评审委员会判定投标响应不满足采购需求；</w:t>
            </w:r>
          </w:p>
        </w:tc>
      </w:tr>
      <w:tr w14:paraId="7A976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AB2D8FD">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DF21BD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14:paraId="55953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F732DCC">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BED39F0">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14:paraId="784D7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5AB23B0">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2F4BD9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14:paraId="6D04AD9C">
      <w:pPr>
        <w:pStyle w:val="37"/>
        <w:jc w:val="center"/>
        <w:outlineLvl w:val="1"/>
        <w:rPr>
          <w:rFonts w:ascii="黑体" w:hAnsi="黑体" w:eastAsia="黑体"/>
          <w:sz w:val="40"/>
          <w:szCs w:val="40"/>
        </w:rPr>
      </w:pPr>
    </w:p>
    <w:p w14:paraId="77C7D8E6">
      <w:pPr>
        <w:pStyle w:val="18"/>
      </w:pPr>
      <w:r>
        <w:br w:type="page"/>
      </w:r>
    </w:p>
    <w:p w14:paraId="5EC88375">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9072"/>
      </w:tblGrid>
      <w:tr w14:paraId="6A1E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14:paraId="66A3D8B2">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bCs/>
                <w:sz w:val="24"/>
              </w:rPr>
            </w:pPr>
            <w:r>
              <w:rPr>
                <w:rFonts w:hint="default" w:asciiTheme="minorEastAsia" w:hAnsiTheme="minorEastAsia" w:eastAsiaTheme="minorEastAsia"/>
                <w:b/>
                <w:bCs/>
              </w:rPr>
              <w:t>评标方法：综合评分法</w:t>
            </w:r>
          </w:p>
        </w:tc>
      </w:tr>
      <w:tr w14:paraId="0728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14:paraId="23DDA576">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r>
              <w:rPr>
                <w:rFonts w:hint="default" w:asciiTheme="minorEastAsia" w:hAnsiTheme="minorEastAsia" w:eastAsiaTheme="minorEastAsia"/>
                <w:szCs w:val="21"/>
              </w:rPr>
              <w:t>综合评分法，是指</w:t>
            </w:r>
            <w:r>
              <w:rPr>
                <w:rFonts w:hint="eastAsia" w:asciiTheme="minorEastAsia" w:hAnsiTheme="minorEastAsia" w:eastAsiaTheme="minorEastAsia"/>
                <w:kern w:val="0"/>
                <w:szCs w:val="21"/>
              </w:rPr>
              <w:t>投标文件满足招标文件全部实质性要求</w:t>
            </w:r>
            <w:r>
              <w:rPr>
                <w:rFonts w:hint="default" w:asciiTheme="minorEastAsia" w:hAnsiTheme="minorEastAsia" w:eastAsiaTheme="minorEastAsia"/>
                <w:szCs w:val="21"/>
              </w:rPr>
              <w:t>，且按照</w:t>
            </w:r>
            <w:r>
              <w:rPr>
                <w:rFonts w:hint="eastAsia" w:asciiTheme="minorEastAsia" w:hAnsiTheme="minorEastAsia" w:eastAsiaTheme="minorEastAsia"/>
                <w:szCs w:val="21"/>
              </w:rPr>
              <w:t>招标文件规定的各项因素进行综合评审，评标总得分排名前列</w:t>
            </w:r>
            <w:r>
              <w:rPr>
                <w:rFonts w:hint="default" w:asciiTheme="minorEastAsia" w:hAnsiTheme="minorEastAsia" w:eastAsiaTheme="minorEastAsia"/>
                <w:szCs w:val="21"/>
              </w:rPr>
              <w:t>的投标人为中标候选人的评标方法。</w:t>
            </w:r>
            <w:r>
              <w:rPr>
                <w:rFonts w:hint="eastAsia" w:asciiTheme="minorEastAsia" w:hAnsiTheme="minorEastAsia" w:eastAsiaTheme="minorEastAsia"/>
                <w:szCs w:val="21"/>
              </w:rPr>
              <w:t>（适用于中标候选人为2家或以上的情形）</w:t>
            </w:r>
          </w:p>
          <w:p w14:paraId="21898553">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p>
          <w:p w14:paraId="2957557C">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r>
              <w:rPr>
                <w:rFonts w:hint="default" w:asciiTheme="minorEastAsia" w:hAnsiTheme="minorEastAsia" w:eastAsiaTheme="minorEastAsia"/>
                <w:szCs w:val="21"/>
              </w:rPr>
              <w:t>价格分计算方法：</w:t>
            </w:r>
          </w:p>
          <w:p w14:paraId="3D604D7B">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szCs w:val="21"/>
              </w:rPr>
            </w:pPr>
            <w:r>
              <w:rPr>
                <w:rFonts w:hint="default" w:asciiTheme="minorEastAsia" w:hAnsiTheme="minorEastAsia" w:eastAsiaTheme="minorEastAsia"/>
                <w:szCs w:val="21"/>
              </w:rPr>
              <w:t xml:space="preserve">采用低价优先法计算，即满足招标文件要求且投标价格最低的投标报价为评标基准价，其价格分为满分。其他投标人的价格分统一按照下列公式计算：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投标报价得分=(评标基准价／投标报价)×100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评标总得分＝F1×A1＋F2×A2＋……＋Fn×An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F1、F2……Fn分别为各项评审因素的得分；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A1、A2、……An 分别为各项评审因素所占的权重(A1＋A2＋……＋An＝1)。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评标过程中，不得去掉报价中的最高报价和最低报价。</w:t>
            </w:r>
          </w:p>
          <w:p w14:paraId="6A82B2B9">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szCs w:val="21"/>
              </w:rPr>
            </w:pPr>
            <w:r>
              <w:rPr>
                <w:rFonts w:hint="eastAsia" w:asciiTheme="minorEastAsia" w:hAnsiTheme="minorEastAsia" w:eastAsiaTheme="minorEastAsia"/>
                <w:szCs w:val="21"/>
              </w:rPr>
              <w:t>因落实政府采购政策进行价格调整的，以调整后的价格计算评标基准价和投标报价。</w:t>
            </w:r>
          </w:p>
          <w:p w14:paraId="4085AFB4">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kern w:val="0"/>
                <w:sz w:val="24"/>
              </w:rPr>
            </w:pPr>
          </w:p>
          <w:p w14:paraId="4D86AD8D">
            <w:pPr>
              <w:pStyle w:val="18"/>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sz w:val="22"/>
              </w:rPr>
              <w:t>注：投标人的“投标技术响应”“技术要求偏离表中偏离情况”等必须与客观实际保持一致，响应不实且情节严重的，经查实，将依法记入供应商诚信档案或受到行政处罚。</w:t>
            </w:r>
          </w:p>
        </w:tc>
      </w:tr>
    </w:tbl>
    <w:tbl>
      <w:tblPr>
        <w:tblStyle w:val="42"/>
        <w:tblpPr w:leftFromText="180" w:rightFromText="180" w:vertAnchor="text" w:tblpXSpec="center" w:tblpY="1"/>
        <w:tblOverlap w:val="never"/>
        <w:tblW w:w="9051" w:type="dxa"/>
        <w:tblCellSpacing w:w="0"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416"/>
        <w:gridCol w:w="1814"/>
        <w:gridCol w:w="720"/>
        <w:gridCol w:w="755"/>
        <w:gridCol w:w="4618"/>
      </w:tblGrid>
      <w:tr w14:paraId="115C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Align w:val="center"/>
          </w:tcPr>
          <w:p w14:paraId="323DCB34">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b/>
                <w:bCs/>
                <w:sz w:val="21"/>
                <w:szCs w:val="21"/>
                <w:highlight w:val="none"/>
              </w:rPr>
            </w:pPr>
            <w:r>
              <w:rPr>
                <w:rFonts w:hint="eastAsia" w:ascii="宋体" w:hAnsi="宋体" w:eastAsia="宋体" w:cs="Times New Roman"/>
                <w:b/>
                <w:bCs/>
                <w:sz w:val="21"/>
                <w:szCs w:val="21"/>
                <w:highlight w:val="none"/>
              </w:rPr>
              <w:t>序号</w:t>
            </w:r>
          </w:p>
        </w:tc>
        <w:tc>
          <w:tcPr>
            <w:tcW w:w="3705" w:type="dxa"/>
            <w:gridSpan w:val="4"/>
            <w:vAlign w:val="center"/>
          </w:tcPr>
          <w:p w14:paraId="1E2893AD">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b/>
                <w:bCs/>
                <w:sz w:val="21"/>
                <w:szCs w:val="21"/>
                <w:highlight w:val="none"/>
              </w:rPr>
            </w:pPr>
            <w:r>
              <w:rPr>
                <w:rFonts w:hint="eastAsia" w:ascii="宋体" w:hAnsi="宋体" w:eastAsia="宋体" w:cs="Times New Roman"/>
                <w:b/>
                <w:bCs/>
                <w:sz w:val="21"/>
                <w:szCs w:val="21"/>
                <w:highlight w:val="none"/>
              </w:rPr>
              <w:t>评分项</w:t>
            </w:r>
          </w:p>
        </w:tc>
        <w:tc>
          <w:tcPr>
            <w:tcW w:w="4618" w:type="dxa"/>
            <w:vAlign w:val="center"/>
          </w:tcPr>
          <w:p w14:paraId="6B0D9957">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eastAsia" w:ascii="宋体" w:hAnsi="宋体" w:eastAsia="宋体" w:cs="Times New Roman"/>
                <w:b/>
                <w:bCs/>
                <w:sz w:val="21"/>
                <w:szCs w:val="21"/>
                <w:highlight w:val="none"/>
                <w:lang w:eastAsia="zh-CN"/>
              </w:rPr>
            </w:pPr>
            <w:r>
              <w:rPr>
                <w:rFonts w:hint="eastAsia" w:ascii="宋体" w:hAnsi="宋体" w:eastAsia="宋体" w:cs="Times New Roman"/>
                <w:b/>
                <w:bCs/>
                <w:sz w:val="21"/>
                <w:szCs w:val="21"/>
                <w:highlight w:val="none"/>
              </w:rPr>
              <w:t>权重</w:t>
            </w:r>
            <w:r>
              <w:rPr>
                <w:rFonts w:hint="eastAsia" w:ascii="宋体" w:hAnsi="宋体" w:cs="Times New Roman"/>
                <w:b/>
                <w:bCs/>
                <w:sz w:val="21"/>
                <w:szCs w:val="21"/>
                <w:highlight w:val="none"/>
                <w:lang w:eastAsia="zh-CN"/>
              </w:rPr>
              <w:t>（</w:t>
            </w:r>
            <w:r>
              <w:rPr>
                <w:rFonts w:hint="eastAsia" w:ascii="宋体" w:hAnsi="宋体" w:cs="Times New Roman"/>
                <w:b/>
                <w:bCs/>
                <w:sz w:val="21"/>
                <w:szCs w:val="21"/>
                <w:highlight w:val="none"/>
                <w:lang w:val="en-US" w:eastAsia="zh-CN"/>
              </w:rPr>
              <w:t>%</w:t>
            </w:r>
            <w:r>
              <w:rPr>
                <w:rFonts w:hint="eastAsia" w:ascii="宋体" w:hAnsi="宋体" w:cs="Times New Roman"/>
                <w:b/>
                <w:bCs/>
                <w:sz w:val="21"/>
                <w:szCs w:val="21"/>
                <w:highlight w:val="none"/>
                <w:lang w:eastAsia="zh-CN"/>
              </w:rPr>
              <w:t>）</w:t>
            </w:r>
          </w:p>
        </w:tc>
      </w:tr>
      <w:tr w14:paraId="67AC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Align w:val="center"/>
          </w:tcPr>
          <w:p w14:paraId="123E74AB">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b/>
                <w:bCs/>
                <w:sz w:val="21"/>
                <w:szCs w:val="21"/>
                <w:highlight w:val="none"/>
              </w:rPr>
            </w:pPr>
            <w:r>
              <w:rPr>
                <w:rFonts w:hint="default" w:ascii="宋体" w:hAnsi="宋体" w:eastAsia="宋体" w:cs="Times New Roman"/>
                <w:b/>
                <w:bCs/>
                <w:sz w:val="21"/>
                <w:szCs w:val="21"/>
                <w:highlight w:val="none"/>
              </w:rPr>
              <w:t>1</w:t>
            </w:r>
          </w:p>
        </w:tc>
        <w:tc>
          <w:tcPr>
            <w:tcW w:w="3705" w:type="dxa"/>
            <w:gridSpan w:val="4"/>
            <w:vAlign w:val="center"/>
          </w:tcPr>
          <w:p w14:paraId="2754C0DF">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b/>
                <w:bCs/>
                <w:sz w:val="21"/>
                <w:szCs w:val="21"/>
                <w:highlight w:val="none"/>
              </w:rPr>
            </w:pPr>
            <w:r>
              <w:rPr>
                <w:rFonts w:hint="eastAsia" w:ascii="宋体" w:hAnsi="宋体" w:eastAsia="宋体" w:cs="Times New Roman"/>
                <w:b/>
                <w:bCs/>
                <w:sz w:val="21"/>
                <w:szCs w:val="21"/>
                <w:highlight w:val="none"/>
              </w:rPr>
              <w:t>价格</w:t>
            </w:r>
          </w:p>
        </w:tc>
        <w:tc>
          <w:tcPr>
            <w:tcW w:w="4618" w:type="dxa"/>
            <w:vAlign w:val="center"/>
          </w:tcPr>
          <w:p w14:paraId="734D6E03">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b/>
                <w:bCs/>
                <w:sz w:val="21"/>
                <w:szCs w:val="21"/>
                <w:highlight w:val="none"/>
                <w:lang w:val="en-US" w:eastAsia="zh-CN"/>
              </w:rPr>
            </w:pPr>
            <w:r>
              <w:rPr>
                <w:rFonts w:hint="eastAsia" w:ascii="宋体" w:hAnsi="宋体" w:cs="Times New Roman"/>
                <w:b/>
                <w:bCs/>
                <w:sz w:val="21"/>
                <w:szCs w:val="21"/>
                <w:highlight w:val="none"/>
                <w:lang w:val="en-US" w:eastAsia="zh-CN"/>
              </w:rPr>
              <w:t>30</w:t>
            </w:r>
          </w:p>
        </w:tc>
      </w:tr>
      <w:tr w14:paraId="160A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Align w:val="center"/>
          </w:tcPr>
          <w:p w14:paraId="572E37DF">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b/>
                <w:bCs/>
                <w:sz w:val="21"/>
                <w:szCs w:val="21"/>
                <w:highlight w:val="none"/>
              </w:rPr>
            </w:pPr>
            <w:r>
              <w:rPr>
                <w:rFonts w:hint="default" w:ascii="宋体" w:hAnsi="宋体" w:eastAsia="宋体" w:cs="Times New Roman"/>
                <w:b/>
                <w:bCs/>
                <w:sz w:val="21"/>
                <w:szCs w:val="21"/>
                <w:highlight w:val="none"/>
              </w:rPr>
              <w:t>2</w:t>
            </w:r>
          </w:p>
        </w:tc>
        <w:tc>
          <w:tcPr>
            <w:tcW w:w="3705" w:type="dxa"/>
            <w:gridSpan w:val="4"/>
            <w:vAlign w:val="center"/>
          </w:tcPr>
          <w:p w14:paraId="539B5AE6">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b/>
                <w:bCs/>
                <w:sz w:val="21"/>
                <w:szCs w:val="21"/>
                <w:highlight w:val="none"/>
              </w:rPr>
            </w:pPr>
            <w:r>
              <w:rPr>
                <w:rFonts w:hint="eastAsia" w:ascii="宋体" w:hAnsi="宋体" w:eastAsia="宋体" w:cs="Times New Roman"/>
                <w:b/>
                <w:bCs/>
                <w:sz w:val="21"/>
                <w:szCs w:val="21"/>
                <w:highlight w:val="none"/>
              </w:rPr>
              <w:t>技术部分</w:t>
            </w:r>
          </w:p>
        </w:tc>
        <w:tc>
          <w:tcPr>
            <w:tcW w:w="4618" w:type="dxa"/>
            <w:vAlign w:val="center"/>
          </w:tcPr>
          <w:p w14:paraId="1A87B77C">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b/>
                <w:bCs/>
                <w:sz w:val="21"/>
                <w:szCs w:val="21"/>
                <w:highlight w:val="none"/>
                <w:lang w:val="en-US" w:eastAsia="zh-CN"/>
              </w:rPr>
            </w:pPr>
            <w:r>
              <w:rPr>
                <w:rFonts w:hint="eastAsia" w:ascii="宋体" w:hAnsi="宋体" w:cs="Times New Roman"/>
                <w:b/>
                <w:bCs/>
                <w:sz w:val="21"/>
                <w:szCs w:val="21"/>
                <w:highlight w:val="none"/>
                <w:lang w:val="en-US" w:eastAsia="zh-CN"/>
              </w:rPr>
              <w:t>53</w:t>
            </w:r>
          </w:p>
        </w:tc>
      </w:tr>
      <w:tr w14:paraId="1A6D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Merge w:val="restart"/>
            <w:vAlign w:val="center"/>
          </w:tcPr>
          <w:p w14:paraId="0E3EB20D">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p>
        </w:tc>
        <w:tc>
          <w:tcPr>
            <w:tcW w:w="416" w:type="dxa"/>
            <w:vAlign w:val="center"/>
          </w:tcPr>
          <w:p w14:paraId="636BBDE2">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序号</w:t>
            </w:r>
          </w:p>
        </w:tc>
        <w:tc>
          <w:tcPr>
            <w:tcW w:w="1814" w:type="dxa"/>
            <w:vAlign w:val="center"/>
          </w:tcPr>
          <w:p w14:paraId="4A4DD777">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评审因素</w:t>
            </w:r>
          </w:p>
        </w:tc>
        <w:tc>
          <w:tcPr>
            <w:tcW w:w="720" w:type="dxa"/>
            <w:vAlign w:val="center"/>
          </w:tcPr>
          <w:p w14:paraId="040A8B65">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权重（%）</w:t>
            </w:r>
          </w:p>
        </w:tc>
        <w:tc>
          <w:tcPr>
            <w:tcW w:w="755" w:type="dxa"/>
            <w:vAlign w:val="center"/>
          </w:tcPr>
          <w:p w14:paraId="624F71E5">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评分方式</w:t>
            </w:r>
          </w:p>
        </w:tc>
        <w:tc>
          <w:tcPr>
            <w:tcW w:w="4618" w:type="dxa"/>
            <w:vAlign w:val="center"/>
          </w:tcPr>
          <w:p w14:paraId="23F5F427">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评分准则</w:t>
            </w:r>
          </w:p>
        </w:tc>
      </w:tr>
      <w:tr w14:paraId="1500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Merge w:val="continue"/>
            <w:vAlign w:val="center"/>
          </w:tcPr>
          <w:p w14:paraId="0330BDCA">
            <w:pPr>
              <w:keepNext/>
              <w:keepLines/>
              <w:pageBreakBefore w:val="0"/>
              <w:suppressLineNumbers w:val="0"/>
              <w:kinsoku/>
              <w:overflowPunct/>
              <w:topLinePunct w:val="0"/>
              <w:autoSpaceDE/>
              <w:autoSpaceDN/>
              <w:bidi w:val="0"/>
              <w:adjustRightInd/>
              <w:spacing w:before="340" w:beforeAutospacing="0" w:after="330" w:afterAutospacing="0" w:line="240" w:lineRule="exact"/>
              <w:ind w:left="0" w:right="0" w:firstLine="0" w:firstLineChars="0"/>
              <w:jc w:val="center"/>
              <w:outlineLvl w:val="0"/>
              <w:rPr>
                <w:rFonts w:hint="default" w:ascii="宋体" w:hAnsi="宋体" w:eastAsia="宋体" w:cs="Times New Roman"/>
                <w:sz w:val="21"/>
                <w:szCs w:val="21"/>
                <w:highlight w:val="none"/>
              </w:rPr>
            </w:pPr>
          </w:p>
        </w:tc>
        <w:tc>
          <w:tcPr>
            <w:tcW w:w="416" w:type="dxa"/>
            <w:vAlign w:val="center"/>
          </w:tcPr>
          <w:p w14:paraId="72996B0A">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default" w:ascii="宋体" w:hAnsi="宋体" w:eastAsia="宋体" w:cs="Times New Roman"/>
                <w:sz w:val="21"/>
                <w:szCs w:val="21"/>
                <w:highlight w:val="none"/>
              </w:rPr>
              <w:t>1</w:t>
            </w:r>
          </w:p>
        </w:tc>
        <w:tc>
          <w:tcPr>
            <w:tcW w:w="1814" w:type="dxa"/>
            <w:vAlign w:val="center"/>
          </w:tcPr>
          <w:p w14:paraId="340CF4B7">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b/>
                <w:color w:val="FF0000"/>
                <w:sz w:val="21"/>
                <w:szCs w:val="21"/>
                <w:highlight w:val="none"/>
              </w:rPr>
            </w:pPr>
            <w:r>
              <w:rPr>
                <w:rFonts w:hint="eastAsia" w:ascii="宋体" w:hAnsi="宋体" w:cs="宋体"/>
                <w:szCs w:val="21"/>
              </w:rPr>
              <w:t>售后服务方案</w:t>
            </w:r>
          </w:p>
        </w:tc>
        <w:tc>
          <w:tcPr>
            <w:tcW w:w="720" w:type="dxa"/>
            <w:vAlign w:val="center"/>
          </w:tcPr>
          <w:p w14:paraId="7DF924FE">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eastAsia" w:ascii="宋体" w:hAnsi="宋体" w:eastAsia="宋体" w:cs="Times New Roman"/>
                <w:sz w:val="21"/>
                <w:szCs w:val="21"/>
                <w:highlight w:val="none"/>
                <w:lang w:eastAsia="zh-CN"/>
              </w:rPr>
            </w:pPr>
            <w:r>
              <w:rPr>
                <w:rFonts w:hint="eastAsia" w:ascii="宋体" w:hAnsi="宋体" w:cs="Times New Roman"/>
                <w:sz w:val="21"/>
                <w:szCs w:val="21"/>
                <w:highlight w:val="none"/>
                <w:lang w:val="en-US" w:eastAsia="zh-CN"/>
              </w:rPr>
              <w:t>3</w:t>
            </w:r>
          </w:p>
        </w:tc>
        <w:tc>
          <w:tcPr>
            <w:tcW w:w="755" w:type="dxa"/>
            <w:vAlign w:val="center"/>
          </w:tcPr>
          <w:p w14:paraId="5094A4EE">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专家打分</w:t>
            </w:r>
          </w:p>
        </w:tc>
        <w:tc>
          <w:tcPr>
            <w:tcW w:w="4618" w:type="dxa"/>
            <w:vAlign w:val="center"/>
          </w:tcPr>
          <w:p w14:paraId="67E5B553">
            <w:pPr>
              <w:keepNext w:val="0"/>
              <w:keepLines w:val="0"/>
              <w:pageBreakBefore w:val="0"/>
              <w:suppressLineNumbers w:val="0"/>
              <w:kinsoku/>
              <w:overflowPunct/>
              <w:topLinePunct w:val="0"/>
              <w:autoSpaceDE/>
              <w:autoSpaceDN/>
              <w:bidi w:val="0"/>
              <w:adjustRightInd/>
              <w:spacing w:before="0" w:beforeAutospacing="0" w:after="0" w:afterAutospacing="0"/>
              <w:ind w:left="0" w:right="0" w:firstLine="0" w:firstLineChars="0"/>
              <w:jc w:val="left"/>
              <w:rPr>
                <w:rFonts w:hint="default" w:ascii="宋体" w:hAnsi="宋体" w:eastAsia="宋体" w:cs="Times New Roman"/>
                <w:sz w:val="21"/>
                <w:szCs w:val="21"/>
                <w:highlight w:val="none"/>
              </w:rPr>
            </w:pPr>
            <w:r>
              <w:rPr>
                <w:rFonts w:hint="default" w:ascii="宋体" w:hAnsi="宋体" w:eastAsia="宋体" w:cs="Times New Roman"/>
                <w:sz w:val="21"/>
                <w:szCs w:val="21"/>
                <w:highlight w:val="none"/>
              </w:rPr>
              <w:t>（一）评审内容：</w:t>
            </w:r>
          </w:p>
          <w:p w14:paraId="06848CB0">
            <w:pPr>
              <w:keepNext w:val="0"/>
              <w:keepLines w:val="0"/>
              <w:pageBreakBefore w:val="0"/>
              <w:suppressLineNumbers w:val="0"/>
              <w:kinsoku/>
              <w:overflowPunct/>
              <w:topLinePunct w:val="0"/>
              <w:autoSpaceDE/>
              <w:autoSpaceDN/>
              <w:bidi w:val="0"/>
              <w:adjustRightInd/>
              <w:spacing w:before="0" w:beforeAutospacing="0" w:after="0" w:afterAutospacing="0"/>
              <w:ind w:left="0" w:right="0" w:firstLine="0" w:firstLineChars="0"/>
              <w:jc w:val="left"/>
              <w:rPr>
                <w:rFonts w:hint="default" w:ascii="宋体" w:hAnsi="宋体" w:eastAsia="宋体" w:cs="Times New Roman"/>
                <w:sz w:val="21"/>
                <w:szCs w:val="21"/>
                <w:highlight w:val="none"/>
              </w:rPr>
            </w:pPr>
            <w:r>
              <w:rPr>
                <w:rFonts w:hint="default" w:ascii="宋体" w:hAnsi="宋体" w:eastAsia="宋体" w:cs="Times New Roman"/>
                <w:sz w:val="21"/>
                <w:szCs w:val="21"/>
                <w:highlight w:val="none"/>
              </w:rPr>
              <w:t>投标文件中提供售后服务方案，包括以下内容：</w:t>
            </w:r>
          </w:p>
          <w:p w14:paraId="28EBC309">
            <w:pPr>
              <w:keepNext w:val="0"/>
              <w:keepLines w:val="0"/>
              <w:pageBreakBefore w:val="0"/>
              <w:suppressLineNumbers w:val="0"/>
              <w:kinsoku/>
              <w:overflowPunct/>
              <w:topLinePunct w:val="0"/>
              <w:autoSpaceDE/>
              <w:autoSpaceDN/>
              <w:bidi w:val="0"/>
              <w:adjustRightInd/>
              <w:spacing w:before="0" w:beforeAutospacing="0" w:after="0" w:afterAutospacing="0"/>
              <w:ind w:left="0" w:right="0" w:firstLine="0" w:firstLineChars="0"/>
              <w:jc w:val="left"/>
              <w:rPr>
                <w:rFonts w:hint="default" w:ascii="宋体" w:hAnsi="宋体" w:eastAsia="宋体" w:cs="Times New Roman"/>
                <w:sz w:val="21"/>
                <w:szCs w:val="21"/>
                <w:highlight w:val="none"/>
              </w:rPr>
            </w:pPr>
            <w:r>
              <w:rPr>
                <w:rFonts w:hint="default" w:ascii="宋体" w:hAnsi="宋体" w:eastAsia="宋体" w:cs="Times New Roman"/>
                <w:sz w:val="21"/>
                <w:szCs w:val="21"/>
                <w:highlight w:val="none"/>
              </w:rPr>
              <w:t>1.售后服务机构及维护人员配置；</w:t>
            </w:r>
          </w:p>
          <w:p w14:paraId="29501199">
            <w:pPr>
              <w:keepNext w:val="0"/>
              <w:keepLines w:val="0"/>
              <w:pageBreakBefore w:val="0"/>
              <w:suppressLineNumbers w:val="0"/>
              <w:kinsoku/>
              <w:overflowPunct/>
              <w:topLinePunct w:val="0"/>
              <w:autoSpaceDE/>
              <w:autoSpaceDN/>
              <w:bidi w:val="0"/>
              <w:adjustRightInd/>
              <w:spacing w:before="0" w:beforeAutospacing="0" w:after="0" w:afterAutospacing="0"/>
              <w:ind w:left="0" w:right="0" w:firstLine="0" w:firstLineChars="0"/>
              <w:jc w:val="left"/>
              <w:rPr>
                <w:rFonts w:hint="default" w:ascii="宋体" w:hAnsi="宋体" w:eastAsia="宋体" w:cs="Times New Roman"/>
                <w:sz w:val="21"/>
                <w:szCs w:val="21"/>
                <w:highlight w:val="none"/>
              </w:rPr>
            </w:pPr>
            <w:r>
              <w:rPr>
                <w:rFonts w:hint="default" w:ascii="宋体" w:hAnsi="宋体" w:eastAsia="宋体" w:cs="Times New Roman"/>
                <w:sz w:val="21"/>
                <w:szCs w:val="21"/>
                <w:highlight w:val="none"/>
              </w:rPr>
              <w:t>2.保修期内的保修方案；</w:t>
            </w:r>
          </w:p>
          <w:p w14:paraId="60AF4923">
            <w:pPr>
              <w:keepNext w:val="0"/>
              <w:keepLines w:val="0"/>
              <w:pageBreakBefore w:val="0"/>
              <w:suppressLineNumbers w:val="0"/>
              <w:kinsoku/>
              <w:overflowPunct/>
              <w:topLinePunct w:val="0"/>
              <w:autoSpaceDE/>
              <w:autoSpaceDN/>
              <w:bidi w:val="0"/>
              <w:adjustRightInd/>
              <w:spacing w:before="0" w:beforeAutospacing="0" w:after="0" w:afterAutospacing="0"/>
              <w:ind w:left="0" w:right="0" w:firstLine="0" w:firstLineChars="0"/>
              <w:jc w:val="left"/>
              <w:rPr>
                <w:rFonts w:hint="default" w:ascii="宋体" w:hAnsi="宋体" w:eastAsia="宋体" w:cs="Times New Roman"/>
                <w:sz w:val="21"/>
                <w:szCs w:val="21"/>
                <w:highlight w:val="none"/>
              </w:rPr>
            </w:pPr>
            <w:r>
              <w:rPr>
                <w:rFonts w:hint="default" w:ascii="宋体" w:hAnsi="宋体" w:eastAsia="宋体" w:cs="Times New Roman"/>
                <w:sz w:val="21"/>
                <w:szCs w:val="21"/>
                <w:highlight w:val="none"/>
              </w:rPr>
              <w:t>3.保修期外的维保方案。</w:t>
            </w:r>
          </w:p>
          <w:p w14:paraId="006C853D">
            <w:pPr>
              <w:keepNext w:val="0"/>
              <w:keepLines w:val="0"/>
              <w:pageBreakBefore w:val="0"/>
              <w:suppressLineNumbers w:val="0"/>
              <w:kinsoku/>
              <w:overflowPunct/>
              <w:topLinePunct w:val="0"/>
              <w:autoSpaceDE/>
              <w:autoSpaceDN/>
              <w:bidi w:val="0"/>
              <w:adjustRightInd/>
              <w:spacing w:before="0" w:beforeAutospacing="0" w:after="0" w:afterAutospacing="0"/>
              <w:ind w:left="0" w:right="0" w:firstLine="0" w:firstLineChars="0"/>
              <w:jc w:val="left"/>
              <w:rPr>
                <w:rFonts w:hint="default" w:ascii="宋体" w:hAnsi="宋体" w:eastAsia="宋体" w:cs="Times New Roman"/>
                <w:sz w:val="21"/>
                <w:szCs w:val="21"/>
                <w:highlight w:val="none"/>
              </w:rPr>
            </w:pPr>
            <w:r>
              <w:rPr>
                <w:rFonts w:hint="default" w:ascii="宋体" w:hAnsi="宋体" w:eastAsia="宋体" w:cs="Times New Roman"/>
                <w:sz w:val="21"/>
                <w:szCs w:val="21"/>
                <w:highlight w:val="none"/>
              </w:rPr>
              <w:t>（二）评分内容：</w:t>
            </w:r>
          </w:p>
          <w:p w14:paraId="696BF4B9">
            <w:pPr>
              <w:keepNext w:val="0"/>
              <w:keepLines w:val="0"/>
              <w:pageBreakBefore w:val="0"/>
              <w:suppressLineNumbers w:val="0"/>
              <w:kinsoku/>
              <w:overflowPunct/>
              <w:topLinePunct w:val="0"/>
              <w:autoSpaceDE/>
              <w:autoSpaceDN/>
              <w:bidi w:val="0"/>
              <w:adjustRightInd/>
              <w:spacing w:before="0" w:beforeAutospacing="0" w:after="0" w:afterAutospacing="0"/>
              <w:ind w:left="0" w:right="0" w:firstLine="0" w:firstLineChars="0"/>
              <w:jc w:val="left"/>
              <w:rPr>
                <w:rFonts w:hint="default" w:ascii="宋体" w:hAnsi="宋体" w:eastAsia="宋体" w:cs="Times New Roman"/>
                <w:sz w:val="21"/>
                <w:szCs w:val="21"/>
                <w:highlight w:val="none"/>
              </w:rPr>
            </w:pPr>
            <w:r>
              <w:rPr>
                <w:rFonts w:hint="default" w:ascii="宋体" w:hAnsi="宋体" w:eastAsia="宋体" w:cs="Times New Roman"/>
                <w:sz w:val="21"/>
                <w:szCs w:val="21"/>
                <w:highlight w:val="none"/>
              </w:rPr>
              <w:t>满足以上任意一点内容得20分，最高得60分。在此基础上，专家根据供应商响应内容进一步评审：</w:t>
            </w:r>
          </w:p>
          <w:p w14:paraId="0033A2A6">
            <w:pPr>
              <w:keepNext w:val="0"/>
              <w:keepLines w:val="0"/>
              <w:pageBreakBefore w:val="0"/>
              <w:suppressLineNumbers w:val="0"/>
              <w:kinsoku/>
              <w:overflowPunct/>
              <w:topLinePunct w:val="0"/>
              <w:autoSpaceDE/>
              <w:autoSpaceDN/>
              <w:bidi w:val="0"/>
              <w:adjustRightInd/>
              <w:spacing w:before="0" w:beforeAutospacing="0" w:after="0" w:afterAutospacing="0"/>
              <w:ind w:left="0" w:right="0" w:firstLine="0" w:firstLineChars="0"/>
              <w:jc w:val="left"/>
              <w:rPr>
                <w:rFonts w:hint="default" w:ascii="宋体" w:hAnsi="宋体" w:eastAsia="宋体" w:cs="Times New Roman"/>
                <w:sz w:val="21"/>
                <w:szCs w:val="21"/>
                <w:highlight w:val="none"/>
              </w:rPr>
            </w:pPr>
            <w:r>
              <w:rPr>
                <w:rFonts w:hint="default" w:ascii="宋体" w:hAnsi="宋体" w:eastAsia="宋体" w:cs="Times New Roman"/>
                <w:sz w:val="21"/>
                <w:szCs w:val="21"/>
                <w:highlight w:val="none"/>
              </w:rPr>
              <w:t>（1）有服务热线、专业的维修人员、量化的响应时间；</w:t>
            </w:r>
          </w:p>
          <w:p w14:paraId="709AFAF3">
            <w:pPr>
              <w:keepNext w:val="0"/>
              <w:keepLines w:val="0"/>
              <w:pageBreakBefore w:val="0"/>
              <w:suppressLineNumbers w:val="0"/>
              <w:kinsoku/>
              <w:overflowPunct/>
              <w:topLinePunct w:val="0"/>
              <w:autoSpaceDE/>
              <w:autoSpaceDN/>
              <w:bidi w:val="0"/>
              <w:adjustRightInd/>
              <w:spacing w:before="0" w:beforeAutospacing="0" w:after="0" w:afterAutospacing="0"/>
              <w:ind w:left="0" w:right="0" w:firstLine="0" w:firstLineChars="0"/>
              <w:jc w:val="left"/>
              <w:rPr>
                <w:rFonts w:hint="default" w:ascii="宋体" w:hAnsi="宋体" w:eastAsia="宋体" w:cs="Times New Roman"/>
                <w:sz w:val="21"/>
                <w:szCs w:val="21"/>
                <w:highlight w:val="none"/>
              </w:rPr>
            </w:pPr>
            <w:r>
              <w:rPr>
                <w:rFonts w:hint="default" w:ascii="宋体" w:hAnsi="宋体" w:eastAsia="宋体" w:cs="Times New Roman"/>
                <w:sz w:val="21"/>
                <w:szCs w:val="21"/>
                <w:highlight w:val="none"/>
              </w:rPr>
              <w:t>（2）对未能达到的要求有相关的处罚机制；</w:t>
            </w:r>
          </w:p>
          <w:p w14:paraId="04C9B8D9">
            <w:pPr>
              <w:keepNext w:val="0"/>
              <w:keepLines w:val="0"/>
              <w:pageBreakBefore w:val="0"/>
              <w:suppressLineNumbers w:val="0"/>
              <w:kinsoku/>
              <w:overflowPunct/>
              <w:topLinePunct w:val="0"/>
              <w:autoSpaceDE/>
              <w:autoSpaceDN/>
              <w:bidi w:val="0"/>
              <w:adjustRightInd/>
              <w:spacing w:before="0" w:beforeAutospacing="0" w:after="0" w:afterAutospacing="0"/>
              <w:ind w:left="0" w:right="0" w:firstLine="0" w:firstLineChars="0"/>
              <w:jc w:val="left"/>
              <w:rPr>
                <w:rFonts w:hint="default" w:ascii="宋体" w:hAnsi="宋体" w:eastAsia="宋体" w:cs="Times New Roman"/>
                <w:sz w:val="21"/>
                <w:szCs w:val="21"/>
                <w:highlight w:val="none"/>
              </w:rPr>
            </w:pPr>
            <w:r>
              <w:rPr>
                <w:rFonts w:hint="default" w:ascii="宋体" w:hAnsi="宋体" w:eastAsia="宋体" w:cs="Times New Roman"/>
                <w:sz w:val="21"/>
                <w:szCs w:val="21"/>
                <w:highlight w:val="none"/>
              </w:rPr>
              <w:t>满足以上2项要求的评价为优，加40分。</w:t>
            </w:r>
          </w:p>
          <w:p w14:paraId="12D2B52C">
            <w:pPr>
              <w:keepNext w:val="0"/>
              <w:keepLines w:val="0"/>
              <w:pageBreakBefore w:val="0"/>
              <w:suppressLineNumbers w:val="0"/>
              <w:kinsoku/>
              <w:overflowPunct/>
              <w:topLinePunct w:val="0"/>
              <w:autoSpaceDE/>
              <w:autoSpaceDN/>
              <w:bidi w:val="0"/>
              <w:adjustRightInd/>
              <w:spacing w:before="0" w:beforeAutospacing="0" w:after="0" w:afterAutospacing="0"/>
              <w:ind w:left="0" w:right="0" w:firstLine="0" w:firstLineChars="0"/>
              <w:jc w:val="left"/>
              <w:rPr>
                <w:rFonts w:hint="default" w:ascii="宋体" w:hAnsi="宋体" w:eastAsia="宋体" w:cs="Times New Roman"/>
                <w:sz w:val="21"/>
                <w:szCs w:val="21"/>
                <w:highlight w:val="none"/>
              </w:rPr>
            </w:pPr>
            <w:r>
              <w:rPr>
                <w:rFonts w:hint="default" w:ascii="宋体" w:hAnsi="宋体" w:eastAsia="宋体" w:cs="Times New Roman"/>
                <w:sz w:val="21"/>
                <w:szCs w:val="21"/>
                <w:highlight w:val="none"/>
              </w:rPr>
              <w:t>满足以上任意1项要求的评价为良，加20分。</w:t>
            </w:r>
          </w:p>
          <w:p w14:paraId="5E4DFEB4">
            <w:pPr>
              <w:keepNext w:val="0"/>
              <w:keepLines w:val="0"/>
              <w:pageBreakBefore w:val="0"/>
              <w:suppressLineNumbers w:val="0"/>
              <w:kinsoku/>
              <w:overflowPunct/>
              <w:topLinePunct w:val="0"/>
              <w:autoSpaceDE/>
              <w:autoSpaceDN/>
              <w:bidi w:val="0"/>
              <w:adjustRightInd/>
              <w:spacing w:before="0" w:beforeAutospacing="0" w:after="0" w:afterAutospacing="0"/>
              <w:ind w:left="0" w:right="0" w:firstLine="0" w:firstLineChars="0"/>
              <w:jc w:val="left"/>
              <w:rPr>
                <w:rFonts w:hint="default" w:ascii="宋体" w:hAnsi="宋体" w:eastAsia="宋体" w:cs="宋体"/>
                <w:sz w:val="21"/>
                <w:szCs w:val="21"/>
                <w:highlight w:val="none"/>
              </w:rPr>
            </w:pPr>
            <w:r>
              <w:rPr>
                <w:rFonts w:hint="default" w:ascii="宋体" w:hAnsi="宋体" w:eastAsia="宋体" w:cs="Times New Roman"/>
                <w:sz w:val="21"/>
                <w:szCs w:val="21"/>
                <w:highlight w:val="none"/>
              </w:rPr>
              <w:t>若评审为差，专家应当书面说明理由并记录在档。</w:t>
            </w:r>
          </w:p>
        </w:tc>
      </w:tr>
      <w:tr w14:paraId="7462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Merge w:val="continue"/>
            <w:vAlign w:val="center"/>
          </w:tcPr>
          <w:p w14:paraId="1E00F5C3">
            <w:pPr>
              <w:keepNext/>
              <w:keepLines/>
              <w:pageBreakBefore w:val="0"/>
              <w:suppressLineNumbers w:val="0"/>
              <w:kinsoku/>
              <w:overflowPunct/>
              <w:topLinePunct w:val="0"/>
              <w:autoSpaceDE/>
              <w:autoSpaceDN/>
              <w:bidi w:val="0"/>
              <w:adjustRightInd/>
              <w:spacing w:before="260" w:beforeAutospacing="0" w:after="260" w:afterAutospacing="0" w:line="240" w:lineRule="exact"/>
              <w:ind w:left="0" w:right="0" w:firstLine="0" w:firstLineChars="0"/>
              <w:jc w:val="center"/>
              <w:outlineLvl w:val="2"/>
              <w:rPr>
                <w:rFonts w:hint="default" w:ascii="宋体" w:hAnsi="宋体" w:eastAsia="宋体" w:cs="Times New Roman"/>
                <w:sz w:val="21"/>
                <w:szCs w:val="21"/>
                <w:highlight w:val="none"/>
              </w:rPr>
            </w:pPr>
          </w:p>
        </w:tc>
        <w:tc>
          <w:tcPr>
            <w:tcW w:w="416" w:type="dxa"/>
            <w:vAlign w:val="center"/>
          </w:tcPr>
          <w:p w14:paraId="65A4389D">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default" w:ascii="宋体" w:hAnsi="宋体" w:eastAsia="宋体" w:cs="Times New Roman"/>
                <w:sz w:val="21"/>
                <w:szCs w:val="21"/>
                <w:highlight w:val="none"/>
              </w:rPr>
              <w:t>2</w:t>
            </w:r>
          </w:p>
        </w:tc>
        <w:tc>
          <w:tcPr>
            <w:tcW w:w="1814" w:type="dxa"/>
            <w:vAlign w:val="center"/>
          </w:tcPr>
          <w:p w14:paraId="0428C39C">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宋体"/>
                <w:kern w:val="0"/>
                <w:sz w:val="21"/>
                <w:szCs w:val="21"/>
                <w:highlight w:val="none"/>
              </w:rPr>
              <w:t>技术要求偏离情况</w:t>
            </w:r>
          </w:p>
        </w:tc>
        <w:tc>
          <w:tcPr>
            <w:tcW w:w="720" w:type="dxa"/>
            <w:vAlign w:val="center"/>
          </w:tcPr>
          <w:p w14:paraId="73834CBA">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lang w:val="en-US" w:eastAsia="zh-CN"/>
              </w:rPr>
            </w:pPr>
            <w:r>
              <w:rPr>
                <w:rFonts w:hint="eastAsia" w:ascii="宋体" w:hAnsi="宋体" w:cs="宋体"/>
                <w:sz w:val="21"/>
                <w:szCs w:val="21"/>
                <w:highlight w:val="none"/>
                <w:lang w:val="en-US" w:eastAsia="zh-CN"/>
              </w:rPr>
              <w:t>50</w:t>
            </w:r>
          </w:p>
        </w:tc>
        <w:tc>
          <w:tcPr>
            <w:tcW w:w="755" w:type="dxa"/>
            <w:vAlign w:val="center"/>
          </w:tcPr>
          <w:p w14:paraId="30DF753C">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专家打分</w:t>
            </w:r>
          </w:p>
        </w:tc>
        <w:tc>
          <w:tcPr>
            <w:tcW w:w="4618" w:type="dxa"/>
            <w:vAlign w:val="center"/>
          </w:tcPr>
          <w:p w14:paraId="06D872BB">
            <w:pPr>
              <w:keepNext w:val="0"/>
              <w:keepLines w:val="0"/>
              <w:pageBreakBefore w:val="0"/>
              <w:widowControl/>
              <w:suppressLineNumbers w:val="0"/>
              <w:kinsoku/>
              <w:overflowPunct/>
              <w:topLinePunct w:val="0"/>
              <w:autoSpaceDE/>
              <w:autoSpaceDN/>
              <w:bidi w:val="0"/>
              <w:adjustRightInd/>
              <w:spacing w:before="0" w:beforeAutospacing="0" w:after="0" w:afterAutospacing="0"/>
              <w:ind w:left="0" w:right="0" w:firstLine="0" w:firstLineChars="0"/>
              <w:jc w:val="left"/>
              <w:rPr>
                <w:rFonts w:hint="default" w:ascii="Times New Roman" w:hAnsi="Times New Roman" w:eastAsia="宋体" w:cs="宋体"/>
                <w:sz w:val="21"/>
                <w:szCs w:val="21"/>
                <w:highlight w:val="none"/>
              </w:rPr>
            </w:pPr>
            <w:r>
              <w:rPr>
                <w:rFonts w:hint="eastAsia" w:ascii="宋体" w:hAnsi="宋体" w:eastAsia="宋体" w:cs="宋体"/>
                <w:kern w:val="0"/>
                <w:sz w:val="21"/>
                <w:szCs w:val="21"/>
                <w:highlight w:val="none"/>
                <w:lang w:eastAsia="zh-CN"/>
              </w:rPr>
              <w:t>（一）评分内容</w:t>
            </w:r>
            <w:r>
              <w:rPr>
                <w:rFonts w:hint="eastAsia" w:ascii="宋体" w:hAnsi="宋体" w:eastAsia="宋体" w:cs="宋体"/>
                <w:kern w:val="0"/>
                <w:sz w:val="21"/>
                <w:szCs w:val="21"/>
                <w:highlight w:val="none"/>
              </w:rPr>
              <w:t>：投标人应如实填写《技术要求偏离表》，评审委员会根据技术需求参数响应情况进行打分，各项技术参数指标及要求全部满足的得100分，所有标注“▲”的重要参数每项负偏离一扣</w:t>
            </w:r>
            <w:r>
              <w:rPr>
                <w:rFonts w:hint="eastAsia" w:ascii="宋体" w:hAnsi="宋体" w:eastAsia="宋体" w:cs="宋体"/>
                <w:kern w:val="0"/>
                <w:sz w:val="21"/>
                <w:szCs w:val="21"/>
                <w:highlight w:val="none"/>
                <w:lang w:val="en-US" w:eastAsia="zh-CN"/>
              </w:rPr>
              <w:t>20</w:t>
            </w:r>
            <w:r>
              <w:rPr>
                <w:rFonts w:hint="eastAsia" w:ascii="宋体" w:hAnsi="宋体" w:eastAsia="宋体" w:cs="宋体"/>
                <w:kern w:val="0"/>
                <w:sz w:val="21"/>
                <w:szCs w:val="21"/>
                <w:highlight w:val="none"/>
              </w:rPr>
              <w:t>分，一般参数每负偏离一条扣</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分，扣完为止</w:t>
            </w:r>
          </w:p>
        </w:tc>
      </w:tr>
      <w:tr w14:paraId="18C9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Align w:val="center"/>
          </w:tcPr>
          <w:p w14:paraId="086B9251">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b/>
                <w:bCs/>
                <w:sz w:val="21"/>
                <w:szCs w:val="21"/>
                <w:highlight w:val="none"/>
              </w:rPr>
            </w:pPr>
            <w:r>
              <w:rPr>
                <w:rFonts w:hint="default" w:ascii="宋体" w:hAnsi="宋体" w:eastAsia="宋体" w:cs="Times New Roman"/>
                <w:b/>
                <w:bCs/>
                <w:sz w:val="21"/>
                <w:szCs w:val="21"/>
                <w:highlight w:val="none"/>
              </w:rPr>
              <w:t>3</w:t>
            </w:r>
          </w:p>
        </w:tc>
        <w:tc>
          <w:tcPr>
            <w:tcW w:w="3705" w:type="dxa"/>
            <w:gridSpan w:val="4"/>
            <w:vAlign w:val="center"/>
          </w:tcPr>
          <w:p w14:paraId="589FA97B">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b/>
                <w:bCs/>
                <w:sz w:val="21"/>
                <w:szCs w:val="21"/>
                <w:highlight w:val="none"/>
              </w:rPr>
            </w:pPr>
            <w:r>
              <w:rPr>
                <w:rFonts w:hint="eastAsia" w:ascii="宋体" w:hAnsi="宋体" w:eastAsia="宋体" w:cs="Times New Roman"/>
                <w:b/>
                <w:bCs/>
                <w:sz w:val="21"/>
                <w:szCs w:val="21"/>
                <w:highlight w:val="none"/>
              </w:rPr>
              <w:t>商务部分</w:t>
            </w:r>
          </w:p>
        </w:tc>
        <w:tc>
          <w:tcPr>
            <w:tcW w:w="4618" w:type="dxa"/>
            <w:vAlign w:val="center"/>
          </w:tcPr>
          <w:p w14:paraId="6A74663E">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b/>
                <w:bCs/>
                <w:sz w:val="21"/>
                <w:szCs w:val="21"/>
                <w:highlight w:val="none"/>
                <w:lang w:val="en-US" w:eastAsia="zh-CN"/>
              </w:rPr>
            </w:pPr>
            <w:r>
              <w:rPr>
                <w:rFonts w:hint="eastAsia" w:ascii="宋体" w:hAnsi="宋体" w:cs="Times New Roman"/>
                <w:b/>
                <w:bCs/>
                <w:sz w:val="21"/>
                <w:szCs w:val="21"/>
                <w:highlight w:val="none"/>
                <w:lang w:val="en-US" w:eastAsia="zh-CN"/>
              </w:rPr>
              <w:t>12</w:t>
            </w:r>
          </w:p>
        </w:tc>
      </w:tr>
      <w:tr w14:paraId="6DDA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Merge w:val="restart"/>
            <w:vAlign w:val="center"/>
          </w:tcPr>
          <w:p w14:paraId="1F0BDE27">
            <w:pPr>
              <w:keepNext/>
              <w:keepLines/>
              <w:pageBreakBefore w:val="0"/>
              <w:suppressLineNumbers w:val="0"/>
              <w:kinsoku/>
              <w:overflowPunct/>
              <w:topLinePunct w:val="0"/>
              <w:autoSpaceDE/>
              <w:autoSpaceDN/>
              <w:bidi w:val="0"/>
              <w:adjustRightInd/>
              <w:spacing w:before="340" w:beforeAutospacing="0" w:after="330" w:afterAutospacing="0" w:line="240" w:lineRule="exact"/>
              <w:ind w:left="0" w:right="0" w:firstLine="0" w:firstLineChars="0"/>
              <w:jc w:val="center"/>
              <w:outlineLvl w:val="0"/>
              <w:rPr>
                <w:rFonts w:hint="default" w:ascii="宋体" w:hAnsi="宋体" w:eastAsia="宋体" w:cs="Times New Roman"/>
                <w:sz w:val="21"/>
                <w:szCs w:val="21"/>
                <w:highlight w:val="none"/>
              </w:rPr>
            </w:pPr>
          </w:p>
        </w:tc>
        <w:tc>
          <w:tcPr>
            <w:tcW w:w="416" w:type="dxa"/>
            <w:vAlign w:val="center"/>
          </w:tcPr>
          <w:p w14:paraId="28A438A1">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序号</w:t>
            </w:r>
          </w:p>
        </w:tc>
        <w:tc>
          <w:tcPr>
            <w:tcW w:w="1814" w:type="dxa"/>
            <w:vAlign w:val="center"/>
          </w:tcPr>
          <w:p w14:paraId="092D6CE3">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评审因素</w:t>
            </w:r>
          </w:p>
        </w:tc>
        <w:tc>
          <w:tcPr>
            <w:tcW w:w="720" w:type="dxa"/>
            <w:vAlign w:val="center"/>
          </w:tcPr>
          <w:p w14:paraId="0B676BD3">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权重（%）</w:t>
            </w:r>
          </w:p>
        </w:tc>
        <w:tc>
          <w:tcPr>
            <w:tcW w:w="755" w:type="dxa"/>
            <w:vAlign w:val="center"/>
          </w:tcPr>
          <w:p w14:paraId="2837409D">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评分方式</w:t>
            </w:r>
          </w:p>
        </w:tc>
        <w:tc>
          <w:tcPr>
            <w:tcW w:w="4618" w:type="dxa"/>
            <w:vAlign w:val="center"/>
          </w:tcPr>
          <w:p w14:paraId="22A54F05">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评分准则</w:t>
            </w:r>
          </w:p>
        </w:tc>
      </w:tr>
      <w:tr w14:paraId="34C7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Merge w:val="continue"/>
            <w:vAlign w:val="center"/>
          </w:tcPr>
          <w:p w14:paraId="41B3941E">
            <w:pPr>
              <w:keepNext/>
              <w:keepLines/>
              <w:pageBreakBefore w:val="0"/>
              <w:suppressLineNumbers w:val="0"/>
              <w:kinsoku/>
              <w:overflowPunct/>
              <w:topLinePunct w:val="0"/>
              <w:autoSpaceDE/>
              <w:autoSpaceDN/>
              <w:bidi w:val="0"/>
              <w:adjustRightInd/>
              <w:spacing w:before="340" w:beforeAutospacing="0" w:after="330" w:afterAutospacing="0" w:line="240" w:lineRule="exact"/>
              <w:ind w:left="0" w:right="0" w:firstLine="0" w:firstLineChars="0"/>
              <w:jc w:val="center"/>
              <w:outlineLvl w:val="0"/>
              <w:rPr>
                <w:rFonts w:hint="default" w:ascii="宋体" w:hAnsi="宋体" w:eastAsia="宋体" w:cs="Times New Roman"/>
                <w:sz w:val="21"/>
                <w:szCs w:val="21"/>
                <w:highlight w:val="none"/>
              </w:rPr>
            </w:pPr>
          </w:p>
        </w:tc>
        <w:tc>
          <w:tcPr>
            <w:tcW w:w="416" w:type="dxa"/>
            <w:vAlign w:val="center"/>
          </w:tcPr>
          <w:p w14:paraId="05981F9A">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default" w:ascii="宋体" w:hAnsi="宋体" w:eastAsia="宋体" w:cs="Times New Roman"/>
                <w:sz w:val="21"/>
                <w:szCs w:val="21"/>
                <w:highlight w:val="none"/>
              </w:rPr>
              <w:t>1</w:t>
            </w:r>
          </w:p>
        </w:tc>
        <w:tc>
          <w:tcPr>
            <w:tcW w:w="1814" w:type="dxa"/>
            <w:vAlign w:val="center"/>
          </w:tcPr>
          <w:p w14:paraId="49D2ABB3">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免费保修期内售后服务条款偏离情况</w:t>
            </w:r>
          </w:p>
        </w:tc>
        <w:tc>
          <w:tcPr>
            <w:tcW w:w="720" w:type="dxa"/>
            <w:vAlign w:val="center"/>
          </w:tcPr>
          <w:p w14:paraId="56156043">
            <w:pPr>
              <w:keepNext w:val="0"/>
              <w:keepLines w:val="0"/>
              <w:suppressLineNumbers w:val="0"/>
              <w:spacing w:before="0" w:beforeAutospacing="0" w:after="0" w:afterAutospacing="0"/>
              <w:ind w:left="-78" w:leftChars="-37" w:right="-73" w:rightChars="-35"/>
              <w:jc w:val="center"/>
              <w:rPr>
                <w:rFonts w:hint="default" w:ascii="宋体" w:hAnsi="宋体" w:eastAsia="宋体" w:cs="Times New Roman"/>
                <w:sz w:val="21"/>
                <w:szCs w:val="21"/>
                <w:highlight w:val="none"/>
              </w:rPr>
            </w:pPr>
            <w:r>
              <w:rPr>
                <w:rFonts w:hint="eastAsia"/>
                <w:lang w:val="en-US" w:eastAsia="zh-CN"/>
              </w:rPr>
              <w:t>6</w:t>
            </w:r>
          </w:p>
        </w:tc>
        <w:tc>
          <w:tcPr>
            <w:tcW w:w="755" w:type="dxa"/>
            <w:vAlign w:val="center"/>
          </w:tcPr>
          <w:p w14:paraId="641E70F9">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专家评分</w:t>
            </w:r>
          </w:p>
        </w:tc>
        <w:tc>
          <w:tcPr>
            <w:tcW w:w="4618" w:type="dxa"/>
            <w:vAlign w:val="center"/>
          </w:tcPr>
          <w:p w14:paraId="62639327">
            <w:pPr>
              <w:keepNext w:val="0"/>
              <w:keepLines w:val="0"/>
              <w:suppressLineNumbers w:val="0"/>
              <w:spacing w:before="0" w:beforeAutospacing="0" w:after="0" w:afterAutospacing="0"/>
              <w:ind w:left="0" w:right="0"/>
              <w:rPr>
                <w:rFonts w:hint="default" w:ascii="Times New Roman" w:hAnsi="Times New Roman" w:eastAsia="宋体" w:cs="宋体"/>
                <w:sz w:val="21"/>
                <w:szCs w:val="21"/>
                <w:highlight w:val="none"/>
              </w:rPr>
            </w:pPr>
            <w:r>
              <w:rPr>
                <w:rFonts w:hint="eastAsia" w:ascii="Times New Roman" w:hAnsi="Times New Roman" w:eastAsia="宋体" w:cs="宋体"/>
                <w:sz w:val="20"/>
                <w:szCs w:val="20"/>
                <w:highlight w:val="none"/>
                <w:lang w:eastAsia="zh-CN"/>
              </w:rPr>
              <w:t>（一）评分内容</w:t>
            </w:r>
            <w:r>
              <w:rPr>
                <w:rFonts w:hint="eastAsia" w:ascii="Times New Roman" w:hAnsi="Times New Roman" w:eastAsia="宋体" w:cs="宋体"/>
                <w:sz w:val="20"/>
                <w:szCs w:val="20"/>
                <w:highlight w:val="none"/>
              </w:rPr>
              <w:t>：投标人应如实填写《商务要求偏离表（免费保修期内售后服务要求）》，评审委员会根据响应情况进行打分，全部满足要求的得</w:t>
            </w:r>
            <w:r>
              <w:rPr>
                <w:rFonts w:hint="default" w:ascii="Times New Roman" w:hAnsi="Times New Roman" w:eastAsia="宋体" w:cs="Times New Roman"/>
                <w:sz w:val="20"/>
                <w:szCs w:val="20"/>
                <w:highlight w:val="none"/>
              </w:rPr>
              <w:t>100</w:t>
            </w:r>
            <w:r>
              <w:rPr>
                <w:rFonts w:hint="eastAsia" w:ascii="Times New Roman" w:hAnsi="Times New Roman" w:eastAsia="宋体" w:cs="宋体"/>
                <w:sz w:val="20"/>
                <w:szCs w:val="20"/>
                <w:highlight w:val="none"/>
              </w:rPr>
              <w:t>分，每负偏离一项扣</w:t>
            </w:r>
            <w:r>
              <w:rPr>
                <w:rFonts w:hint="eastAsia" w:ascii="Times New Roman" w:hAnsi="Times New Roman" w:eastAsia="宋体" w:cs="Times New Roman"/>
                <w:sz w:val="20"/>
                <w:szCs w:val="20"/>
                <w:highlight w:val="none"/>
                <w:lang w:val="en-US" w:eastAsia="zh-CN"/>
              </w:rPr>
              <w:t>17</w:t>
            </w:r>
            <w:r>
              <w:rPr>
                <w:rFonts w:hint="eastAsia" w:ascii="Times New Roman" w:hAnsi="Times New Roman" w:eastAsia="宋体" w:cs="宋体"/>
                <w:sz w:val="20"/>
                <w:szCs w:val="20"/>
                <w:highlight w:val="none"/>
              </w:rPr>
              <w:t>分，扣完为止。</w:t>
            </w:r>
          </w:p>
        </w:tc>
      </w:tr>
      <w:tr w14:paraId="10FD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Merge w:val="continue"/>
            <w:vAlign w:val="center"/>
          </w:tcPr>
          <w:p w14:paraId="22867EF0">
            <w:pPr>
              <w:keepNext/>
              <w:keepLines/>
              <w:pageBreakBefore w:val="0"/>
              <w:suppressLineNumbers w:val="0"/>
              <w:kinsoku/>
              <w:overflowPunct/>
              <w:topLinePunct w:val="0"/>
              <w:autoSpaceDE/>
              <w:autoSpaceDN/>
              <w:bidi w:val="0"/>
              <w:adjustRightInd/>
              <w:spacing w:before="260" w:beforeAutospacing="0" w:after="260" w:afterAutospacing="0" w:line="240" w:lineRule="exact"/>
              <w:ind w:left="0" w:right="0" w:firstLine="0" w:firstLineChars="0"/>
              <w:jc w:val="center"/>
              <w:outlineLvl w:val="2"/>
              <w:rPr>
                <w:rFonts w:hint="default" w:ascii="宋体" w:hAnsi="宋体" w:eastAsia="宋体" w:cs="Times New Roman"/>
                <w:sz w:val="21"/>
                <w:szCs w:val="21"/>
                <w:highlight w:val="none"/>
              </w:rPr>
            </w:pPr>
          </w:p>
        </w:tc>
        <w:tc>
          <w:tcPr>
            <w:tcW w:w="416" w:type="dxa"/>
            <w:vAlign w:val="center"/>
          </w:tcPr>
          <w:p w14:paraId="5CE67FAA">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default" w:ascii="宋体" w:hAnsi="宋体" w:eastAsia="宋体" w:cs="Times New Roman"/>
                <w:sz w:val="21"/>
                <w:szCs w:val="21"/>
                <w:highlight w:val="none"/>
              </w:rPr>
              <w:t>2</w:t>
            </w:r>
          </w:p>
        </w:tc>
        <w:tc>
          <w:tcPr>
            <w:tcW w:w="1814" w:type="dxa"/>
            <w:vAlign w:val="center"/>
          </w:tcPr>
          <w:p w14:paraId="159BE6B8">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color w:val="FF0000"/>
                <w:sz w:val="21"/>
                <w:szCs w:val="21"/>
                <w:highlight w:val="none"/>
              </w:rPr>
            </w:pPr>
            <w:r>
              <w:rPr>
                <w:rFonts w:hint="eastAsia" w:ascii="宋体" w:hAnsi="宋体" w:eastAsia="宋体" w:cs="宋体"/>
                <w:sz w:val="21"/>
                <w:szCs w:val="21"/>
                <w:highlight w:val="none"/>
              </w:rPr>
              <w:t>免费保修期外售后服务条款偏离情况</w:t>
            </w:r>
          </w:p>
        </w:tc>
        <w:tc>
          <w:tcPr>
            <w:tcW w:w="720" w:type="dxa"/>
            <w:vAlign w:val="center"/>
          </w:tcPr>
          <w:p w14:paraId="415BC187">
            <w:pPr>
              <w:keepNext w:val="0"/>
              <w:keepLines w:val="0"/>
              <w:suppressLineNumbers w:val="0"/>
              <w:spacing w:before="0" w:beforeAutospacing="0" w:after="0" w:afterAutospacing="0"/>
              <w:ind w:left="-78" w:leftChars="-37" w:right="-73" w:rightChars="-35"/>
              <w:jc w:val="center"/>
              <w:rPr>
                <w:rFonts w:hint="default" w:ascii="宋体" w:hAnsi="宋体" w:eastAsia="宋体" w:cs="Times New Roman"/>
                <w:sz w:val="21"/>
                <w:szCs w:val="21"/>
                <w:highlight w:val="none"/>
              </w:rPr>
            </w:pPr>
            <w:r>
              <w:rPr>
                <w:rFonts w:hint="eastAsia" w:ascii="宋体" w:hAnsi="宋体" w:cs="宋体"/>
                <w:szCs w:val="21"/>
                <w:lang w:val="en-US" w:eastAsia="zh-CN"/>
              </w:rPr>
              <w:t>1</w:t>
            </w:r>
          </w:p>
        </w:tc>
        <w:tc>
          <w:tcPr>
            <w:tcW w:w="755" w:type="dxa"/>
            <w:vAlign w:val="center"/>
          </w:tcPr>
          <w:p w14:paraId="18DD728D">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专家评分</w:t>
            </w:r>
          </w:p>
        </w:tc>
        <w:tc>
          <w:tcPr>
            <w:tcW w:w="4618" w:type="dxa"/>
            <w:vAlign w:val="center"/>
          </w:tcPr>
          <w:p w14:paraId="5B758D57">
            <w:pPr>
              <w:keepNext w:val="0"/>
              <w:keepLines w:val="0"/>
              <w:suppressLineNumbers w:val="0"/>
              <w:spacing w:before="0" w:beforeAutospacing="0" w:after="0" w:afterAutospacing="0"/>
              <w:ind w:left="0" w:right="0"/>
              <w:rPr>
                <w:rFonts w:hint="default" w:ascii="Times New Roman" w:hAnsi="Times New Roman" w:eastAsia="宋体" w:cs="宋体"/>
                <w:sz w:val="21"/>
                <w:szCs w:val="21"/>
                <w:highlight w:val="none"/>
              </w:rPr>
            </w:pPr>
            <w:r>
              <w:rPr>
                <w:rFonts w:hint="eastAsia" w:ascii="Times New Roman" w:hAnsi="Times New Roman" w:eastAsia="宋体" w:cs="宋体"/>
                <w:sz w:val="20"/>
                <w:szCs w:val="20"/>
                <w:highlight w:val="none"/>
                <w:lang w:eastAsia="zh-CN"/>
              </w:rPr>
              <w:t>（一）评分内容</w:t>
            </w:r>
            <w:r>
              <w:rPr>
                <w:rFonts w:hint="eastAsia" w:ascii="Times New Roman" w:hAnsi="Times New Roman" w:eastAsia="宋体" w:cs="宋体"/>
                <w:sz w:val="20"/>
                <w:szCs w:val="20"/>
                <w:highlight w:val="none"/>
              </w:rPr>
              <w:t>：投标人应如实填写《商务要求偏离表（免费保修期外售后服务要求）》，评审委员会根据响应情况进行打分，全部满足要求的得</w:t>
            </w:r>
            <w:r>
              <w:rPr>
                <w:rFonts w:hint="default" w:ascii="Times New Roman" w:hAnsi="Times New Roman" w:eastAsia="宋体" w:cs="Times New Roman"/>
                <w:sz w:val="20"/>
                <w:szCs w:val="20"/>
                <w:highlight w:val="none"/>
              </w:rPr>
              <w:t>100</w:t>
            </w:r>
            <w:r>
              <w:rPr>
                <w:rFonts w:hint="eastAsia" w:ascii="Times New Roman" w:hAnsi="Times New Roman" w:eastAsia="宋体" w:cs="宋体"/>
                <w:sz w:val="20"/>
                <w:szCs w:val="20"/>
                <w:highlight w:val="none"/>
              </w:rPr>
              <w:t>分，每负偏离一项扣</w:t>
            </w:r>
            <w:r>
              <w:rPr>
                <w:rFonts w:hint="eastAsia" w:ascii="Times New Roman" w:hAnsi="Times New Roman" w:eastAsia="宋体" w:cs="Times New Roman"/>
                <w:sz w:val="20"/>
                <w:szCs w:val="20"/>
                <w:highlight w:val="none"/>
                <w:lang w:val="en-US" w:eastAsia="zh-CN"/>
              </w:rPr>
              <w:t>100</w:t>
            </w:r>
            <w:r>
              <w:rPr>
                <w:rFonts w:hint="eastAsia" w:ascii="Times New Roman" w:hAnsi="Times New Roman" w:eastAsia="宋体" w:cs="宋体"/>
                <w:sz w:val="20"/>
                <w:szCs w:val="20"/>
                <w:highlight w:val="none"/>
              </w:rPr>
              <w:t>分，扣完为止。</w:t>
            </w:r>
          </w:p>
        </w:tc>
      </w:tr>
      <w:tr w14:paraId="471C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Merge w:val="continue"/>
            <w:vAlign w:val="center"/>
          </w:tcPr>
          <w:p w14:paraId="6835FEA8">
            <w:pPr>
              <w:keepNext/>
              <w:keepLines/>
              <w:pageBreakBefore w:val="0"/>
              <w:suppressLineNumbers w:val="0"/>
              <w:kinsoku/>
              <w:overflowPunct/>
              <w:topLinePunct w:val="0"/>
              <w:autoSpaceDE/>
              <w:autoSpaceDN/>
              <w:bidi w:val="0"/>
              <w:adjustRightInd/>
              <w:spacing w:before="260" w:beforeAutospacing="0" w:after="260" w:afterAutospacing="0" w:line="240" w:lineRule="exact"/>
              <w:ind w:left="0" w:right="0" w:firstLine="0" w:firstLineChars="0"/>
              <w:jc w:val="center"/>
              <w:outlineLvl w:val="2"/>
              <w:rPr>
                <w:rFonts w:hint="default" w:ascii="宋体" w:hAnsi="宋体" w:eastAsia="宋体" w:cs="Times New Roman"/>
                <w:sz w:val="21"/>
                <w:szCs w:val="21"/>
                <w:highlight w:val="none"/>
              </w:rPr>
            </w:pPr>
          </w:p>
        </w:tc>
        <w:tc>
          <w:tcPr>
            <w:tcW w:w="416" w:type="dxa"/>
            <w:vAlign w:val="center"/>
          </w:tcPr>
          <w:p w14:paraId="044F6234">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default" w:ascii="宋体" w:hAnsi="宋体" w:eastAsia="宋体" w:cs="Times New Roman"/>
                <w:sz w:val="21"/>
                <w:szCs w:val="21"/>
                <w:highlight w:val="none"/>
              </w:rPr>
              <w:t>3</w:t>
            </w:r>
          </w:p>
        </w:tc>
        <w:tc>
          <w:tcPr>
            <w:tcW w:w="1814" w:type="dxa"/>
            <w:vAlign w:val="center"/>
          </w:tcPr>
          <w:p w14:paraId="0D20EE0F">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其他商务条款偏离情况</w:t>
            </w:r>
          </w:p>
        </w:tc>
        <w:tc>
          <w:tcPr>
            <w:tcW w:w="720" w:type="dxa"/>
            <w:vAlign w:val="center"/>
          </w:tcPr>
          <w:p w14:paraId="0FA063C4">
            <w:pPr>
              <w:keepNext w:val="0"/>
              <w:keepLines w:val="0"/>
              <w:suppressLineNumbers w:val="0"/>
              <w:spacing w:before="0" w:beforeAutospacing="0" w:after="0" w:afterAutospacing="0"/>
              <w:ind w:left="-78" w:leftChars="-37" w:right="-73" w:rightChars="-35"/>
              <w:jc w:val="center"/>
              <w:rPr>
                <w:rFonts w:hint="default" w:ascii="宋体" w:hAnsi="宋体" w:eastAsia="宋体" w:cs="Times New Roman"/>
                <w:sz w:val="21"/>
                <w:szCs w:val="21"/>
                <w:highlight w:val="none"/>
              </w:rPr>
            </w:pPr>
            <w:r>
              <w:rPr>
                <w:rFonts w:hint="eastAsia" w:ascii="宋体" w:hAnsi="宋体" w:cs="宋体"/>
                <w:szCs w:val="21"/>
                <w:lang w:val="en-US" w:eastAsia="zh-CN"/>
              </w:rPr>
              <w:t>5</w:t>
            </w:r>
          </w:p>
        </w:tc>
        <w:tc>
          <w:tcPr>
            <w:tcW w:w="755" w:type="dxa"/>
            <w:vAlign w:val="center"/>
          </w:tcPr>
          <w:p w14:paraId="543205C8">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专家评分</w:t>
            </w:r>
          </w:p>
        </w:tc>
        <w:tc>
          <w:tcPr>
            <w:tcW w:w="4618" w:type="dxa"/>
            <w:vAlign w:val="center"/>
          </w:tcPr>
          <w:p w14:paraId="3F378482">
            <w:pPr>
              <w:keepNext w:val="0"/>
              <w:keepLines w:val="0"/>
              <w:suppressLineNumbers w:val="0"/>
              <w:spacing w:before="0" w:beforeAutospacing="0" w:after="0" w:afterAutospacing="0"/>
              <w:ind w:left="0" w:right="0"/>
              <w:rPr>
                <w:rFonts w:hint="default" w:ascii="Times New Roman" w:hAnsi="Times New Roman" w:eastAsia="宋体" w:cs="宋体"/>
                <w:sz w:val="21"/>
                <w:szCs w:val="21"/>
                <w:highlight w:val="none"/>
              </w:rPr>
            </w:pPr>
            <w:r>
              <w:rPr>
                <w:rFonts w:hint="eastAsia" w:ascii="Times New Roman" w:hAnsi="Times New Roman" w:eastAsia="宋体" w:cs="宋体"/>
                <w:sz w:val="20"/>
                <w:szCs w:val="20"/>
                <w:highlight w:val="none"/>
                <w:lang w:eastAsia="zh-CN"/>
              </w:rPr>
              <w:t>（一）评分内容</w:t>
            </w:r>
            <w:r>
              <w:rPr>
                <w:rFonts w:hint="eastAsia" w:ascii="Times New Roman" w:hAnsi="Times New Roman" w:eastAsia="宋体" w:cs="宋体"/>
                <w:sz w:val="20"/>
                <w:szCs w:val="20"/>
                <w:highlight w:val="none"/>
              </w:rPr>
              <w:t>：投标人应如实填写《商务要求偏离表（其他商务要求）》，评审委员会根据响应情况进行打分，全部满足要求的得</w:t>
            </w:r>
            <w:r>
              <w:rPr>
                <w:rFonts w:hint="default" w:ascii="Times New Roman" w:hAnsi="Times New Roman" w:eastAsia="宋体" w:cs="Times New Roman"/>
                <w:sz w:val="20"/>
                <w:szCs w:val="20"/>
                <w:highlight w:val="none"/>
              </w:rPr>
              <w:t>100</w:t>
            </w:r>
            <w:r>
              <w:rPr>
                <w:rFonts w:hint="eastAsia" w:ascii="Times New Roman" w:hAnsi="Times New Roman" w:eastAsia="宋体" w:cs="宋体"/>
                <w:sz w:val="20"/>
                <w:szCs w:val="20"/>
                <w:highlight w:val="none"/>
              </w:rPr>
              <w:t>分，每负偏离一项扣</w:t>
            </w:r>
            <w:r>
              <w:rPr>
                <w:rFonts w:hint="eastAsia" w:ascii="Times New Roman" w:hAnsi="Times New Roman" w:eastAsia="宋体" w:cs="Times New Roman"/>
                <w:sz w:val="20"/>
                <w:szCs w:val="20"/>
                <w:highlight w:val="none"/>
                <w:lang w:val="en-US" w:eastAsia="zh-CN"/>
              </w:rPr>
              <w:t>20</w:t>
            </w:r>
            <w:r>
              <w:rPr>
                <w:rFonts w:hint="eastAsia" w:ascii="Times New Roman" w:hAnsi="Times New Roman" w:eastAsia="宋体" w:cs="宋体"/>
                <w:sz w:val="20"/>
                <w:szCs w:val="20"/>
                <w:highlight w:val="none"/>
              </w:rPr>
              <w:t>分，扣完为止。</w:t>
            </w:r>
          </w:p>
        </w:tc>
      </w:tr>
      <w:tr w14:paraId="43DD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Align w:val="center"/>
          </w:tcPr>
          <w:p w14:paraId="47076A70">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4</w:t>
            </w:r>
          </w:p>
        </w:tc>
        <w:tc>
          <w:tcPr>
            <w:tcW w:w="3705" w:type="dxa"/>
            <w:gridSpan w:val="4"/>
            <w:vAlign w:val="center"/>
          </w:tcPr>
          <w:p w14:paraId="0994A727">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诚信情况</w:t>
            </w:r>
          </w:p>
        </w:tc>
        <w:tc>
          <w:tcPr>
            <w:tcW w:w="4618" w:type="dxa"/>
            <w:vAlign w:val="center"/>
          </w:tcPr>
          <w:p w14:paraId="3F1047EC">
            <w:pPr>
              <w:keepNext w:val="0"/>
              <w:keepLines w:val="0"/>
              <w:pageBreakBefore w:val="0"/>
              <w:widowControl w:val="0"/>
              <w:suppressLineNumbers w:val="0"/>
              <w:pBdr>
                <w:bottom w:val="none" w:color="auto" w:sz="0" w:space="0"/>
              </w:pBdr>
              <w:kinsoku/>
              <w:overflowPunct/>
              <w:topLinePunct w:val="0"/>
              <w:autoSpaceDE/>
              <w:autoSpaceDN/>
              <w:bidi w:val="0"/>
              <w:adjustRightInd/>
              <w:snapToGrid w:val="0"/>
              <w:spacing w:before="0" w:beforeAutospacing="0" w:after="0" w:afterAutospacing="0" w:line="300" w:lineRule="auto"/>
              <w:ind w:left="0" w:right="0" w:firstLine="0" w:firstLineChars="0"/>
              <w:jc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w:t>
            </w:r>
          </w:p>
        </w:tc>
      </w:tr>
      <w:tr w14:paraId="0C7B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Merge w:val="restart"/>
            <w:vAlign w:val="center"/>
          </w:tcPr>
          <w:p w14:paraId="59BDED16">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p>
        </w:tc>
        <w:tc>
          <w:tcPr>
            <w:tcW w:w="416" w:type="dxa"/>
            <w:vAlign w:val="center"/>
          </w:tcPr>
          <w:p w14:paraId="0940E532">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序号</w:t>
            </w:r>
          </w:p>
        </w:tc>
        <w:tc>
          <w:tcPr>
            <w:tcW w:w="1814" w:type="dxa"/>
            <w:vAlign w:val="center"/>
          </w:tcPr>
          <w:p w14:paraId="2B344AEA">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评审因素</w:t>
            </w:r>
          </w:p>
        </w:tc>
        <w:tc>
          <w:tcPr>
            <w:tcW w:w="720" w:type="dxa"/>
            <w:vAlign w:val="center"/>
          </w:tcPr>
          <w:p w14:paraId="30F2BF89">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权重（%）</w:t>
            </w:r>
          </w:p>
        </w:tc>
        <w:tc>
          <w:tcPr>
            <w:tcW w:w="755" w:type="dxa"/>
            <w:vAlign w:val="center"/>
          </w:tcPr>
          <w:p w14:paraId="73DE6D27">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评分方式</w:t>
            </w:r>
          </w:p>
        </w:tc>
        <w:tc>
          <w:tcPr>
            <w:tcW w:w="4618" w:type="dxa"/>
            <w:vAlign w:val="center"/>
          </w:tcPr>
          <w:p w14:paraId="0A203693">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评分准则</w:t>
            </w:r>
          </w:p>
        </w:tc>
      </w:tr>
      <w:tr w14:paraId="35CE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CellSpacing w:w="0" w:type="dxa"/>
        </w:trPr>
        <w:tc>
          <w:tcPr>
            <w:tcW w:w="728" w:type="dxa"/>
            <w:vMerge w:val="continue"/>
            <w:vAlign w:val="center"/>
          </w:tcPr>
          <w:p w14:paraId="280566D4">
            <w:pPr>
              <w:keepNext/>
              <w:keepLines/>
              <w:pageBreakBefore w:val="0"/>
              <w:suppressLineNumbers w:val="0"/>
              <w:kinsoku/>
              <w:overflowPunct/>
              <w:topLinePunct w:val="0"/>
              <w:autoSpaceDE/>
              <w:autoSpaceDN/>
              <w:bidi w:val="0"/>
              <w:adjustRightInd/>
              <w:spacing w:before="340" w:beforeAutospacing="0" w:after="330" w:afterAutospacing="0" w:line="240" w:lineRule="exact"/>
              <w:ind w:left="0" w:right="0" w:firstLine="0" w:firstLineChars="0"/>
              <w:jc w:val="center"/>
              <w:outlineLvl w:val="0"/>
              <w:rPr>
                <w:rFonts w:hint="default" w:ascii="宋体" w:hAnsi="宋体" w:eastAsia="宋体" w:cs="Times New Roman"/>
                <w:sz w:val="21"/>
                <w:szCs w:val="21"/>
                <w:highlight w:val="none"/>
              </w:rPr>
            </w:pPr>
          </w:p>
        </w:tc>
        <w:tc>
          <w:tcPr>
            <w:tcW w:w="416" w:type="dxa"/>
            <w:vAlign w:val="center"/>
          </w:tcPr>
          <w:p w14:paraId="3FC94130">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default" w:ascii="宋体" w:hAnsi="宋体" w:eastAsia="宋体" w:cs="Times New Roman"/>
                <w:sz w:val="21"/>
                <w:szCs w:val="21"/>
                <w:highlight w:val="none"/>
              </w:rPr>
              <w:t>1</w:t>
            </w:r>
          </w:p>
        </w:tc>
        <w:tc>
          <w:tcPr>
            <w:tcW w:w="1814" w:type="dxa"/>
            <w:vAlign w:val="center"/>
          </w:tcPr>
          <w:p w14:paraId="214ADCF2">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诚信</w:t>
            </w:r>
          </w:p>
        </w:tc>
        <w:tc>
          <w:tcPr>
            <w:tcW w:w="720" w:type="dxa"/>
            <w:vAlign w:val="center"/>
          </w:tcPr>
          <w:p w14:paraId="12476A2A">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eastAsia" w:ascii="宋体" w:hAnsi="宋体" w:eastAsia="宋体" w:cs="Times New Roman"/>
                <w:sz w:val="21"/>
                <w:szCs w:val="21"/>
                <w:highlight w:val="none"/>
                <w:lang w:eastAsia="zh-CN"/>
              </w:rPr>
            </w:pPr>
            <w:r>
              <w:rPr>
                <w:rFonts w:hint="eastAsia" w:ascii="宋体" w:hAnsi="宋体" w:cs="Times New Roman"/>
                <w:sz w:val="21"/>
                <w:szCs w:val="21"/>
                <w:highlight w:val="none"/>
                <w:lang w:val="en-US" w:eastAsia="zh-CN"/>
              </w:rPr>
              <w:t>2</w:t>
            </w:r>
          </w:p>
        </w:tc>
        <w:tc>
          <w:tcPr>
            <w:tcW w:w="755" w:type="dxa"/>
            <w:vAlign w:val="center"/>
          </w:tcPr>
          <w:p w14:paraId="3BEAD0D8">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专家评分</w:t>
            </w:r>
          </w:p>
        </w:tc>
        <w:tc>
          <w:tcPr>
            <w:tcW w:w="4618" w:type="dxa"/>
          </w:tcPr>
          <w:p w14:paraId="18C6849A">
            <w:pPr>
              <w:keepNext w:val="0"/>
              <w:keepLines w:val="0"/>
              <w:suppressLineNumbers w:val="0"/>
              <w:wordWrap w:val="0"/>
              <w:spacing w:before="0" w:beforeAutospacing="0" w:after="0" w:afterAutospacing="0"/>
              <w:ind w:left="0" w:right="0"/>
              <w:textAlignment w:val="top"/>
              <w:rPr>
                <w:rFonts w:hint="eastAsia" w:cs="宋体"/>
                <w:sz w:val="21"/>
                <w:szCs w:val="21"/>
                <w:highlight w:val="none"/>
                <w:lang w:val="en-US" w:eastAsia="zh-CN"/>
              </w:rPr>
            </w:pPr>
            <w:r>
              <w:rPr>
                <w:rFonts w:hint="eastAsia" w:cs="宋体"/>
                <w:sz w:val="21"/>
                <w:szCs w:val="21"/>
                <w:highlight w:val="none"/>
                <w:lang w:val="en-US" w:eastAsia="zh-CN"/>
              </w:rPr>
              <w:t>（一）评分内容：</w:t>
            </w:r>
          </w:p>
          <w:p w14:paraId="6C2AD9A1">
            <w:pPr>
              <w:keepNext w:val="0"/>
              <w:keepLines w:val="0"/>
              <w:suppressLineNumbers w:val="0"/>
              <w:wordWrap w:val="0"/>
              <w:spacing w:before="0" w:beforeAutospacing="0" w:after="0" w:afterAutospacing="0"/>
              <w:ind w:left="0" w:right="0"/>
              <w:textAlignment w:val="top"/>
              <w:rPr>
                <w:rFonts w:hint="eastAsia" w:cs="宋体"/>
                <w:sz w:val="21"/>
                <w:szCs w:val="21"/>
                <w:highlight w:val="none"/>
              </w:rPr>
            </w:pPr>
            <w:r>
              <w:rPr>
                <w:rFonts w:hint="eastAsia" w:cs="宋体"/>
                <w:sz w:val="21"/>
                <w:szCs w:val="21"/>
                <w:highlight w:val="none"/>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w:t>
            </w:r>
            <w:bookmarkStart w:id="104" w:name="_GoBack"/>
            <w:bookmarkEnd w:id="104"/>
            <w:r>
              <w:rPr>
                <w:rFonts w:hint="eastAsia" w:cs="宋体"/>
                <w:sz w:val="21"/>
                <w:szCs w:val="21"/>
                <w:highlight w:val="none"/>
              </w:rPr>
              <w:t>委员会提供有关供应商诚信查询结果。</w:t>
            </w:r>
          </w:p>
          <w:p w14:paraId="15406989">
            <w:pPr>
              <w:keepNext w:val="0"/>
              <w:keepLines w:val="0"/>
              <w:suppressLineNumbers w:val="0"/>
              <w:wordWrap w:val="0"/>
              <w:spacing w:before="0" w:beforeAutospacing="0" w:after="0" w:afterAutospacing="0"/>
              <w:ind w:left="0" w:right="0"/>
              <w:textAlignment w:val="top"/>
              <w:rPr>
                <w:rFonts w:hint="eastAsia" w:cs="宋体"/>
                <w:sz w:val="21"/>
                <w:szCs w:val="21"/>
                <w:highlight w:val="none"/>
                <w:lang w:val="en-US" w:eastAsia="zh-CN"/>
              </w:rPr>
            </w:pPr>
            <w:r>
              <w:rPr>
                <w:rFonts w:hint="eastAsia" w:cs="宋体"/>
                <w:sz w:val="21"/>
                <w:szCs w:val="21"/>
                <w:highlight w:val="none"/>
                <w:lang w:val="en-US" w:eastAsia="zh-CN"/>
              </w:rPr>
              <w:t>（二）评分依据：</w:t>
            </w:r>
          </w:p>
          <w:p w14:paraId="2D498546">
            <w:pPr>
              <w:keepNext w:val="0"/>
              <w:keepLines w:val="0"/>
              <w:pageBreakBefore w:val="0"/>
              <w:suppressLineNumbers w:val="0"/>
              <w:kinsoku/>
              <w:overflowPunct/>
              <w:topLinePunct w:val="0"/>
              <w:autoSpaceDE/>
              <w:autoSpaceDN/>
              <w:bidi w:val="0"/>
              <w:adjustRightInd/>
              <w:spacing w:before="0" w:beforeAutospacing="0" w:after="0" w:afterAutospacing="0"/>
              <w:ind w:left="0" w:right="0" w:firstLine="0" w:firstLineChars="0"/>
              <w:rPr>
                <w:rFonts w:hint="default" w:ascii="宋体" w:hAnsi="宋体" w:eastAsia="宋体" w:cs="Times New Roman"/>
                <w:sz w:val="21"/>
                <w:szCs w:val="21"/>
                <w:highlight w:val="none"/>
              </w:rPr>
            </w:pPr>
            <w:r>
              <w:rPr>
                <w:rFonts w:hint="eastAsia" w:cs="宋体"/>
                <w:sz w:val="21"/>
                <w:szCs w:val="21"/>
                <w:highlight w:val="none"/>
              </w:rPr>
              <w:t>查询渠道：通过“信用中国”（www.creditchina.gov.cn，下载信用信息报告）、“中国政府采购网”（www.ccgp.gov.cn）以及“深圳市政府采购监管网”（http://zfcg.sz.gov.cn）查询供应商信用信息，信用信息以开标当日的查询结果为准。</w:t>
            </w:r>
          </w:p>
        </w:tc>
      </w:tr>
      <w:tr w14:paraId="2798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Align w:val="center"/>
          </w:tcPr>
          <w:p w14:paraId="3E16508F">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b/>
                <w:bCs/>
                <w:sz w:val="21"/>
                <w:szCs w:val="21"/>
                <w:highlight w:val="none"/>
              </w:rPr>
            </w:pPr>
            <w:r>
              <w:rPr>
                <w:rFonts w:hint="eastAsia" w:ascii="宋体" w:hAnsi="宋体" w:eastAsia="宋体" w:cs="Times New Roman"/>
                <w:b/>
                <w:bCs/>
                <w:sz w:val="21"/>
                <w:szCs w:val="21"/>
                <w:highlight w:val="none"/>
              </w:rPr>
              <w:t>5</w:t>
            </w:r>
          </w:p>
        </w:tc>
        <w:tc>
          <w:tcPr>
            <w:tcW w:w="3705" w:type="dxa"/>
            <w:gridSpan w:val="4"/>
            <w:vAlign w:val="center"/>
          </w:tcPr>
          <w:p w14:paraId="12105CB6">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b/>
                <w:bCs/>
                <w:sz w:val="21"/>
                <w:szCs w:val="21"/>
                <w:highlight w:val="none"/>
              </w:rPr>
            </w:pPr>
            <w:r>
              <w:rPr>
                <w:rFonts w:hint="eastAsia" w:ascii="宋体" w:hAnsi="宋体" w:eastAsia="宋体" w:cs="Times New Roman"/>
                <w:b/>
                <w:bCs/>
                <w:sz w:val="21"/>
                <w:szCs w:val="21"/>
                <w:highlight w:val="none"/>
              </w:rPr>
              <w:t>综合实力</w:t>
            </w:r>
          </w:p>
        </w:tc>
        <w:tc>
          <w:tcPr>
            <w:tcW w:w="4618" w:type="dxa"/>
            <w:vAlign w:val="center"/>
          </w:tcPr>
          <w:p w14:paraId="628ADDCA">
            <w:pPr>
              <w:keepNext w:val="0"/>
              <w:keepLines w:val="0"/>
              <w:pageBreakBefore w:val="0"/>
              <w:widowControl w:val="0"/>
              <w:suppressLineNumbers w:val="0"/>
              <w:pBdr>
                <w:bottom w:val="none" w:color="auto" w:sz="0" w:space="0"/>
              </w:pBdr>
              <w:kinsoku/>
              <w:overflowPunct/>
              <w:topLinePunct w:val="0"/>
              <w:autoSpaceDE/>
              <w:autoSpaceDN/>
              <w:bidi w:val="0"/>
              <w:adjustRightInd/>
              <w:snapToGrid w:val="0"/>
              <w:spacing w:before="0" w:beforeAutospacing="0" w:after="0" w:afterAutospacing="0" w:line="300" w:lineRule="auto"/>
              <w:ind w:left="0" w:right="0" w:firstLine="0" w:firstLineChars="0"/>
              <w:jc w:val="center"/>
              <w:rPr>
                <w:rFonts w:hint="default" w:ascii="宋体" w:hAnsi="宋体" w:eastAsia="宋体" w:cs="Times New Roman"/>
                <w:b/>
                <w:bCs/>
                <w:kern w:val="2"/>
                <w:sz w:val="21"/>
                <w:szCs w:val="21"/>
                <w:highlight w:val="none"/>
                <w:lang w:val="en-US" w:eastAsia="zh-CN" w:bidi="ar-SA"/>
              </w:rPr>
            </w:pPr>
            <w:r>
              <w:rPr>
                <w:rFonts w:hint="eastAsia" w:ascii="宋体" w:hAnsi="宋体" w:cs="Times New Roman"/>
                <w:b/>
                <w:bCs/>
                <w:kern w:val="2"/>
                <w:sz w:val="21"/>
                <w:szCs w:val="21"/>
                <w:highlight w:val="none"/>
                <w:lang w:val="en-US" w:eastAsia="zh-CN" w:bidi="ar-SA"/>
              </w:rPr>
              <w:t>3</w:t>
            </w:r>
          </w:p>
        </w:tc>
      </w:tr>
      <w:tr w14:paraId="51B0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Merge w:val="restart"/>
            <w:vAlign w:val="center"/>
          </w:tcPr>
          <w:p w14:paraId="31C0C6D1">
            <w:pPr>
              <w:keepNext/>
              <w:keepLines/>
              <w:pageBreakBefore w:val="0"/>
              <w:suppressLineNumbers w:val="0"/>
              <w:kinsoku/>
              <w:overflowPunct/>
              <w:topLinePunct w:val="0"/>
              <w:autoSpaceDE/>
              <w:autoSpaceDN/>
              <w:bidi w:val="0"/>
              <w:adjustRightInd/>
              <w:spacing w:before="260" w:beforeAutospacing="0" w:after="260" w:afterAutospacing="0" w:line="240" w:lineRule="exact"/>
              <w:ind w:left="0" w:right="0" w:firstLine="0" w:firstLineChars="0"/>
              <w:jc w:val="center"/>
              <w:outlineLvl w:val="2"/>
              <w:rPr>
                <w:rFonts w:hint="default" w:ascii="宋体" w:hAnsi="宋体" w:eastAsia="宋体" w:cs="Times New Roman"/>
                <w:sz w:val="21"/>
                <w:szCs w:val="21"/>
                <w:highlight w:val="none"/>
              </w:rPr>
            </w:pPr>
          </w:p>
        </w:tc>
        <w:tc>
          <w:tcPr>
            <w:tcW w:w="416" w:type="dxa"/>
            <w:vAlign w:val="center"/>
          </w:tcPr>
          <w:p w14:paraId="56F766B5">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序号</w:t>
            </w:r>
          </w:p>
        </w:tc>
        <w:tc>
          <w:tcPr>
            <w:tcW w:w="1814" w:type="dxa"/>
            <w:vAlign w:val="center"/>
          </w:tcPr>
          <w:p w14:paraId="378B0860">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评审因素</w:t>
            </w:r>
          </w:p>
        </w:tc>
        <w:tc>
          <w:tcPr>
            <w:tcW w:w="720" w:type="dxa"/>
            <w:vAlign w:val="center"/>
          </w:tcPr>
          <w:p w14:paraId="6CB9445E">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宋体"/>
                <w:sz w:val="21"/>
                <w:szCs w:val="21"/>
                <w:highlight w:val="none"/>
              </w:rPr>
            </w:pPr>
            <w:r>
              <w:rPr>
                <w:rFonts w:hint="eastAsia" w:ascii="宋体" w:hAnsi="宋体" w:eastAsia="宋体" w:cs="Times New Roman"/>
                <w:sz w:val="21"/>
                <w:szCs w:val="21"/>
                <w:highlight w:val="none"/>
              </w:rPr>
              <w:t>权重（%）</w:t>
            </w:r>
          </w:p>
        </w:tc>
        <w:tc>
          <w:tcPr>
            <w:tcW w:w="755" w:type="dxa"/>
            <w:vAlign w:val="center"/>
          </w:tcPr>
          <w:p w14:paraId="402544C8">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评分方式</w:t>
            </w:r>
          </w:p>
        </w:tc>
        <w:tc>
          <w:tcPr>
            <w:tcW w:w="4618" w:type="dxa"/>
            <w:vAlign w:val="center"/>
          </w:tcPr>
          <w:p w14:paraId="0F46E766">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评分准则</w:t>
            </w:r>
          </w:p>
        </w:tc>
      </w:tr>
      <w:tr w14:paraId="40F1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blCellSpacing w:w="0" w:type="dxa"/>
        </w:trPr>
        <w:tc>
          <w:tcPr>
            <w:tcW w:w="728" w:type="dxa"/>
            <w:vMerge w:val="continue"/>
            <w:vAlign w:val="center"/>
          </w:tcPr>
          <w:p w14:paraId="622BFB64">
            <w:pPr>
              <w:keepNext/>
              <w:keepLines/>
              <w:pageBreakBefore w:val="0"/>
              <w:suppressLineNumbers w:val="0"/>
              <w:kinsoku/>
              <w:overflowPunct/>
              <w:topLinePunct w:val="0"/>
              <w:autoSpaceDE/>
              <w:autoSpaceDN/>
              <w:bidi w:val="0"/>
              <w:adjustRightInd/>
              <w:spacing w:before="260" w:beforeAutospacing="0" w:after="260" w:afterAutospacing="0" w:line="240" w:lineRule="exact"/>
              <w:ind w:left="0" w:right="0" w:firstLine="0" w:firstLineChars="0"/>
              <w:jc w:val="center"/>
              <w:outlineLvl w:val="2"/>
              <w:rPr>
                <w:rFonts w:hint="default" w:ascii="宋体" w:hAnsi="宋体" w:eastAsia="宋体" w:cs="Times New Roman"/>
                <w:sz w:val="21"/>
                <w:szCs w:val="21"/>
                <w:highlight w:val="none"/>
              </w:rPr>
            </w:pPr>
          </w:p>
        </w:tc>
        <w:tc>
          <w:tcPr>
            <w:tcW w:w="416" w:type="dxa"/>
            <w:vAlign w:val="center"/>
          </w:tcPr>
          <w:p w14:paraId="15C7CF6A">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eastAsia" w:ascii="宋体" w:hAnsi="宋体" w:eastAsia="宋体" w:cs="Times New Roman"/>
                <w:sz w:val="21"/>
                <w:szCs w:val="21"/>
                <w:highlight w:val="none"/>
                <w:lang w:eastAsia="zh-CN"/>
              </w:rPr>
            </w:pPr>
            <w:r>
              <w:rPr>
                <w:rFonts w:hint="eastAsia" w:ascii="宋体" w:hAnsi="宋体" w:cs="Times New Roman"/>
                <w:sz w:val="21"/>
                <w:szCs w:val="21"/>
                <w:highlight w:val="none"/>
                <w:lang w:val="en-US" w:eastAsia="zh-CN"/>
              </w:rPr>
              <w:t>1</w:t>
            </w:r>
          </w:p>
        </w:tc>
        <w:tc>
          <w:tcPr>
            <w:tcW w:w="1814" w:type="dxa"/>
            <w:vAlign w:val="center"/>
          </w:tcPr>
          <w:p w14:paraId="5D070CDA">
            <w:pPr>
              <w:keepNext w:val="0"/>
              <w:keepLines w:val="0"/>
              <w:pageBreakBefore w:val="0"/>
              <w:widowControl w:val="0"/>
              <w:suppressLineNumbers w:val="0"/>
              <w:pBdr>
                <w:bottom w:val="none" w:color="auto" w:sz="0" w:space="0"/>
              </w:pBdr>
              <w:kinsoku/>
              <w:overflowPunct/>
              <w:topLinePunct w:val="0"/>
              <w:autoSpaceDE/>
              <w:autoSpaceDN/>
              <w:bidi w:val="0"/>
              <w:adjustRightInd/>
              <w:snapToGrid w:val="0"/>
              <w:spacing w:before="0" w:beforeAutospacing="0" w:after="0" w:afterAutospacing="0" w:line="300" w:lineRule="auto"/>
              <w:ind w:left="0" w:right="0" w:firstLine="0" w:firstLineChars="0"/>
              <w:jc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同类业绩</w:t>
            </w:r>
          </w:p>
        </w:tc>
        <w:tc>
          <w:tcPr>
            <w:tcW w:w="720" w:type="dxa"/>
            <w:vAlign w:val="center"/>
          </w:tcPr>
          <w:p w14:paraId="34DD8A53">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eastAsia" w:ascii="宋体" w:hAnsi="宋体" w:eastAsia="宋体" w:cs="Times New Roman"/>
                <w:sz w:val="21"/>
                <w:szCs w:val="21"/>
                <w:highlight w:val="none"/>
                <w:lang w:eastAsia="zh-CN"/>
              </w:rPr>
            </w:pPr>
            <w:r>
              <w:rPr>
                <w:rFonts w:hint="eastAsia" w:ascii="宋体" w:hAnsi="宋体" w:cs="Times New Roman"/>
                <w:sz w:val="21"/>
                <w:szCs w:val="21"/>
                <w:highlight w:val="none"/>
                <w:lang w:val="en-US" w:eastAsia="zh-CN"/>
              </w:rPr>
              <w:t>3</w:t>
            </w:r>
          </w:p>
        </w:tc>
        <w:tc>
          <w:tcPr>
            <w:tcW w:w="755" w:type="dxa"/>
            <w:vAlign w:val="center"/>
          </w:tcPr>
          <w:p w14:paraId="15E05D46">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default" w:ascii="宋体" w:hAnsi="宋体" w:eastAsia="宋体" w:cs="Times New Roman"/>
                <w:sz w:val="21"/>
                <w:szCs w:val="21"/>
                <w:highlight w:val="none"/>
              </w:rPr>
            </w:pPr>
            <w:r>
              <w:rPr>
                <w:rFonts w:hint="eastAsia" w:ascii="宋体" w:hAnsi="宋体" w:eastAsia="宋体" w:cs="Times New Roman"/>
                <w:sz w:val="21"/>
                <w:szCs w:val="21"/>
                <w:highlight w:val="none"/>
              </w:rPr>
              <w:t>专家打分</w:t>
            </w:r>
          </w:p>
        </w:tc>
        <w:tc>
          <w:tcPr>
            <w:tcW w:w="4618" w:type="dxa"/>
          </w:tcPr>
          <w:p w14:paraId="73D15837">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（一）评分内容</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考察</w:t>
            </w:r>
            <w:r>
              <w:rPr>
                <w:rFonts w:hint="eastAsia" w:ascii="宋体" w:hAnsi="宋体" w:eastAsia="宋体" w:cs="宋体"/>
                <w:b/>
                <w:bCs/>
                <w:sz w:val="21"/>
                <w:szCs w:val="21"/>
                <w:highlight w:val="yellow"/>
              </w:rPr>
              <w:t>投标人</w:t>
            </w:r>
            <w:r>
              <w:rPr>
                <w:rFonts w:hint="eastAsia" w:ascii="宋体" w:hAnsi="宋体" w:cs="宋体"/>
                <w:b/>
                <w:bCs/>
                <w:sz w:val="21"/>
                <w:szCs w:val="21"/>
                <w:highlight w:val="yellow"/>
                <w:lang w:val="en-US" w:eastAsia="zh-CN"/>
              </w:rPr>
              <w:t>或所投产品制造商</w:t>
            </w:r>
            <w:r>
              <w:rPr>
                <w:rFonts w:hint="eastAsia" w:ascii="宋体" w:hAnsi="宋体" w:eastAsia="宋体" w:cs="宋体"/>
                <w:sz w:val="21"/>
                <w:szCs w:val="21"/>
                <w:highlight w:val="none"/>
              </w:rPr>
              <w:t>2022年1月1日至投标截止时间前具备同</w:t>
            </w:r>
            <w:r>
              <w:rPr>
                <w:rFonts w:hint="eastAsia" w:ascii="宋体" w:hAnsi="宋体" w:eastAsia="宋体" w:cs="宋体"/>
                <w:sz w:val="21"/>
                <w:szCs w:val="21"/>
                <w:highlight w:val="none"/>
                <w:lang w:eastAsia="zh-CN"/>
              </w:rPr>
              <w:t>产品同型号</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CN"/>
              </w:rPr>
              <w:t>业绩</w:t>
            </w:r>
            <w:r>
              <w:rPr>
                <w:rFonts w:hint="eastAsia" w:ascii="宋体" w:hAnsi="宋体" w:eastAsia="宋体" w:cs="宋体"/>
                <w:sz w:val="21"/>
                <w:szCs w:val="21"/>
                <w:highlight w:val="none"/>
              </w:rPr>
              <w:t>（以合同签订时间为准），每提供1项得1分，本项最高得3分，不提供不得分。</w:t>
            </w:r>
          </w:p>
          <w:p w14:paraId="299C0DC8">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（二）评分依据</w:t>
            </w:r>
            <w:r>
              <w:rPr>
                <w:rFonts w:hint="eastAsia" w:ascii="宋体" w:hAnsi="宋体" w:eastAsia="宋体" w:cs="宋体"/>
                <w:sz w:val="21"/>
                <w:szCs w:val="21"/>
                <w:highlight w:val="none"/>
              </w:rPr>
              <w:t>：1.提供合同关键信息页证明文件（含签订合同双方的单位名称、合同项目名称与含签订合同双方的落款盖章、签订日期的关键页）作为得分依据。</w:t>
            </w:r>
          </w:p>
          <w:p w14:paraId="5664E877">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2.提供合同、发票以及验收合格证明文件（履约评价证明文件）</w:t>
            </w:r>
            <w:r>
              <w:rPr>
                <w:rFonts w:hint="eastAsia" w:ascii="宋体" w:hAnsi="宋体" w:eastAsia="宋体" w:cs="宋体"/>
                <w:sz w:val="21"/>
                <w:szCs w:val="21"/>
                <w:highlight w:val="none"/>
                <w:lang w:eastAsia="zh-CN"/>
              </w:rPr>
              <w:t>。</w:t>
            </w:r>
          </w:p>
          <w:p w14:paraId="4B52537F">
            <w:pPr>
              <w:keepNext w:val="0"/>
              <w:keepLines w:val="0"/>
              <w:pageBreakBefore w:val="0"/>
              <w:suppressLineNumbers w:val="0"/>
              <w:kinsoku/>
              <w:overflowPunct/>
              <w:topLinePunct w:val="0"/>
              <w:autoSpaceDE/>
              <w:autoSpaceDN/>
              <w:bidi w:val="0"/>
              <w:adjustRightInd/>
              <w:spacing w:before="0" w:beforeAutospacing="0" w:after="0" w:afterAutospacing="0" w:line="240" w:lineRule="exact"/>
              <w:ind w:left="0" w:right="0" w:firstLine="0" w:firstLineChars="0"/>
              <w:jc w:val="left"/>
              <w:rPr>
                <w:rFonts w:hint="default" w:ascii="宋体" w:hAnsi="宋体" w:eastAsia="宋体" w:cs="宋体"/>
                <w:sz w:val="21"/>
                <w:szCs w:val="21"/>
                <w:highlight w:val="none"/>
              </w:rPr>
            </w:pPr>
            <w:r>
              <w:rPr>
                <w:rFonts w:hint="eastAsia" w:ascii="宋体" w:hAnsi="宋体" w:eastAsia="宋体" w:cs="宋体"/>
                <w:sz w:val="21"/>
                <w:szCs w:val="21"/>
                <w:highlight w:val="none"/>
              </w:rPr>
              <w:t>3.以上资料均要求提供</w:t>
            </w:r>
            <w:r>
              <w:rPr>
                <w:rFonts w:hint="eastAsia" w:ascii="宋体" w:hAnsi="宋体" w:cs="宋体"/>
                <w:sz w:val="21"/>
                <w:szCs w:val="21"/>
                <w:highlight w:val="none"/>
                <w:lang w:val="en-US" w:eastAsia="zh-CN"/>
              </w:rPr>
              <w:t>扫描件</w:t>
            </w:r>
            <w:r>
              <w:rPr>
                <w:rFonts w:hint="eastAsia" w:ascii="宋体" w:hAnsi="宋体" w:eastAsia="宋体" w:cs="宋体"/>
                <w:sz w:val="21"/>
                <w:szCs w:val="21"/>
                <w:highlight w:val="none"/>
              </w:rPr>
              <w:t>。评分中出现无证明资料或专家无法凭所提供资料判断是否得分的情况，一律作不得分处理。</w:t>
            </w:r>
          </w:p>
        </w:tc>
      </w:tr>
    </w:tbl>
    <w:p w14:paraId="493FDC5B">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32741D31">
      <w:pPr>
        <w:jc w:val="center"/>
        <w:rPr>
          <w:b/>
          <w:sz w:val="120"/>
          <w:szCs w:val="120"/>
        </w:rPr>
      </w:pPr>
    </w:p>
    <w:p w14:paraId="11C33B92">
      <w:pPr>
        <w:jc w:val="center"/>
        <w:rPr>
          <w:b/>
          <w:sz w:val="120"/>
          <w:szCs w:val="120"/>
        </w:rPr>
      </w:pPr>
    </w:p>
    <w:p w14:paraId="1FB6C70D">
      <w:pPr>
        <w:jc w:val="center"/>
        <w:rPr>
          <w:b/>
          <w:sz w:val="120"/>
          <w:szCs w:val="120"/>
        </w:rPr>
      </w:pPr>
      <w:r>
        <w:rPr>
          <w:rFonts w:hint="eastAsia"/>
          <w:b/>
          <w:sz w:val="120"/>
          <w:szCs w:val="120"/>
        </w:rPr>
        <w:t>自行采购</w:t>
      </w:r>
    </w:p>
    <w:p w14:paraId="1461E0EF">
      <w:pPr>
        <w:jc w:val="center"/>
        <w:rPr>
          <w:b/>
          <w:sz w:val="120"/>
          <w:szCs w:val="120"/>
        </w:rPr>
      </w:pPr>
      <w:r>
        <w:rPr>
          <w:rFonts w:hint="eastAsia"/>
          <w:b/>
          <w:sz w:val="120"/>
          <w:szCs w:val="120"/>
        </w:rPr>
        <w:t>招标文件</w:t>
      </w:r>
    </w:p>
    <w:p w14:paraId="22702C22">
      <w:pPr>
        <w:jc w:val="center"/>
        <w:rPr>
          <w:b/>
          <w:sz w:val="52"/>
          <w:szCs w:val="52"/>
          <w:highlight w:val="yellow"/>
        </w:rPr>
      </w:pPr>
      <w:r>
        <w:rPr>
          <w:rFonts w:hint="eastAsia"/>
          <w:b/>
          <w:sz w:val="52"/>
          <w:szCs w:val="52"/>
          <w:highlight w:val="yellow"/>
        </w:rPr>
        <w:t>（</w:t>
      </w:r>
      <w:r>
        <w:rPr>
          <w:rFonts w:hint="eastAsia"/>
          <w:b/>
          <w:sz w:val="52"/>
          <w:szCs w:val="52"/>
          <w:highlight w:val="yellow"/>
          <w:lang w:val="en-US" w:eastAsia="zh-CN"/>
        </w:rPr>
        <w:t>货物</w:t>
      </w:r>
      <w:r>
        <w:rPr>
          <w:rFonts w:hint="eastAsia"/>
          <w:b/>
          <w:sz w:val="52"/>
          <w:szCs w:val="52"/>
          <w:highlight w:val="yellow"/>
        </w:rPr>
        <w:t>类）</w:t>
      </w:r>
    </w:p>
    <w:p w14:paraId="624A3FF8">
      <w:pPr>
        <w:jc w:val="center"/>
        <w:rPr>
          <w:highlight w:val="yellow"/>
        </w:rPr>
      </w:pPr>
    </w:p>
    <w:p w14:paraId="2EA9DBD4">
      <w:pPr>
        <w:jc w:val="center"/>
      </w:pPr>
    </w:p>
    <w:p w14:paraId="785222B2">
      <w:pPr>
        <w:jc w:val="center"/>
      </w:pPr>
    </w:p>
    <w:p w14:paraId="454B17D7">
      <w:pPr>
        <w:jc w:val="center"/>
      </w:pPr>
    </w:p>
    <w:p w14:paraId="15CDE25B">
      <w:pPr>
        <w:pStyle w:val="19"/>
      </w:pPr>
    </w:p>
    <w:p w14:paraId="462C60FC">
      <w:pPr>
        <w:pStyle w:val="19"/>
      </w:pPr>
    </w:p>
    <w:p w14:paraId="39F2936B">
      <w:pPr>
        <w:pStyle w:val="19"/>
      </w:pPr>
    </w:p>
    <w:p w14:paraId="1D81D587">
      <w:pPr>
        <w:pStyle w:val="19"/>
      </w:pPr>
    </w:p>
    <w:p w14:paraId="5344C81E">
      <w:pPr>
        <w:pStyle w:val="19"/>
      </w:pPr>
    </w:p>
    <w:p w14:paraId="258160E8">
      <w:pPr>
        <w:jc w:val="center"/>
        <w:rPr>
          <w:b/>
          <w:sz w:val="44"/>
          <w:szCs w:val="44"/>
        </w:rPr>
      </w:pPr>
    </w:p>
    <w:p w14:paraId="3B37AE2E">
      <w:pPr>
        <w:jc w:val="center"/>
        <w:rPr>
          <w:b/>
          <w:sz w:val="44"/>
          <w:szCs w:val="44"/>
        </w:rPr>
      </w:pPr>
      <w:bookmarkStart w:id="0" w:name="_Hlk71465316"/>
      <w:r>
        <w:rPr>
          <w:rFonts w:hint="eastAsia"/>
          <w:b/>
          <w:sz w:val="44"/>
          <w:szCs w:val="44"/>
        </w:rPr>
        <w:t>深圳公共资源交易中心</w:t>
      </w:r>
    </w:p>
    <w:p w14:paraId="40A8EFD7">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524F5E3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color w:val="FF0000"/>
          <w:szCs w:val="21"/>
        </w:rPr>
      </w:pPr>
      <w:r>
        <w:rPr>
          <w:rFonts w:hint="eastAsia"/>
        </w:rPr>
        <w:br w:type="page"/>
      </w:r>
      <w:bookmarkStart w:id="1" w:name="_Hlk137453387"/>
    </w:p>
    <w:bookmarkEnd w:id="1"/>
    <w:p w14:paraId="22DC135A">
      <w:pPr>
        <w:pStyle w:val="2"/>
      </w:pPr>
      <w:r>
        <w:rPr>
          <w:rFonts w:hint="eastAsia"/>
        </w:rPr>
        <w:t>目   录</w:t>
      </w:r>
    </w:p>
    <w:p w14:paraId="37478AE7">
      <w:pPr>
        <w:outlineLvl w:val="0"/>
        <w:rPr>
          <w:b/>
          <w:sz w:val="24"/>
        </w:rPr>
      </w:pPr>
      <w:r>
        <w:rPr>
          <w:rFonts w:hint="eastAsia"/>
          <w:b/>
          <w:sz w:val="24"/>
        </w:rPr>
        <w:t>第一册  专用条款</w:t>
      </w:r>
    </w:p>
    <w:p w14:paraId="732C7CE2">
      <w:pPr>
        <w:rPr>
          <w:sz w:val="24"/>
        </w:rPr>
      </w:pPr>
      <w:r>
        <w:rPr>
          <w:rFonts w:hint="eastAsia"/>
          <w:sz w:val="24"/>
        </w:rPr>
        <w:t xml:space="preserve">          关键信息</w:t>
      </w:r>
    </w:p>
    <w:p w14:paraId="7E500881">
      <w:pPr>
        <w:ind w:left="630" w:leftChars="300" w:firstLine="630" w:firstLineChars="300"/>
        <w:rPr>
          <w:rFonts w:ascii="宋体" w:hAnsi="宋体"/>
          <w:szCs w:val="21"/>
        </w:rPr>
      </w:pPr>
      <w:r>
        <w:rPr>
          <w:rFonts w:hint="eastAsia" w:ascii="宋体" w:hAnsi="宋体"/>
          <w:szCs w:val="21"/>
        </w:rPr>
        <w:t>第一章  招标公告</w:t>
      </w:r>
    </w:p>
    <w:p w14:paraId="4753A9C0">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48142190">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8867456">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91FD8F6">
      <w:pPr>
        <w:ind w:left="630" w:leftChars="300" w:firstLine="630" w:firstLineChars="300"/>
        <w:rPr>
          <w:rFonts w:hint="eastAsia"/>
          <w:b/>
          <w:sz w:val="24"/>
        </w:rPr>
      </w:pPr>
      <w:r>
        <w:rPr>
          <w:rFonts w:hint="eastAsia" w:ascii="宋体" w:hAnsi="宋体"/>
          <w:szCs w:val="21"/>
        </w:rPr>
        <w:t>第五章  合同条款及格式</w:t>
      </w:r>
    </w:p>
    <w:p w14:paraId="4934E001">
      <w:pPr>
        <w:outlineLvl w:val="0"/>
        <w:rPr>
          <w:b/>
          <w:sz w:val="24"/>
        </w:rPr>
      </w:pPr>
      <w:r>
        <w:rPr>
          <w:rFonts w:hint="eastAsia"/>
          <w:b/>
          <w:sz w:val="24"/>
        </w:rPr>
        <w:t>第二册  通用条款</w:t>
      </w:r>
    </w:p>
    <w:p w14:paraId="245476E7">
      <w:pPr>
        <w:ind w:left="630" w:leftChars="300" w:firstLine="630" w:firstLineChars="300"/>
        <w:rPr>
          <w:rFonts w:ascii="宋体" w:hAnsi="宋体"/>
          <w:szCs w:val="21"/>
        </w:rPr>
      </w:pPr>
      <w:r>
        <w:rPr>
          <w:rFonts w:hint="eastAsia" w:ascii="宋体" w:hAnsi="宋体"/>
          <w:szCs w:val="21"/>
        </w:rPr>
        <w:t>第一章  总则</w:t>
      </w:r>
    </w:p>
    <w:p w14:paraId="75DDDB69">
      <w:pPr>
        <w:ind w:left="630" w:leftChars="300" w:firstLine="630" w:firstLineChars="300"/>
        <w:rPr>
          <w:rFonts w:ascii="宋体" w:hAnsi="宋体"/>
          <w:szCs w:val="21"/>
        </w:rPr>
      </w:pPr>
      <w:r>
        <w:rPr>
          <w:rFonts w:hint="eastAsia" w:ascii="宋体" w:hAnsi="宋体"/>
          <w:szCs w:val="21"/>
        </w:rPr>
        <w:t>第二章  招标文件</w:t>
      </w:r>
    </w:p>
    <w:p w14:paraId="5294456D">
      <w:pPr>
        <w:ind w:left="630" w:leftChars="300" w:firstLine="630" w:firstLineChars="300"/>
        <w:rPr>
          <w:rFonts w:ascii="宋体" w:hAnsi="宋体"/>
          <w:szCs w:val="21"/>
        </w:rPr>
      </w:pPr>
      <w:r>
        <w:rPr>
          <w:rFonts w:hint="eastAsia" w:ascii="宋体" w:hAnsi="宋体"/>
          <w:szCs w:val="21"/>
        </w:rPr>
        <w:t>第三章  投标文件的编制</w:t>
      </w:r>
    </w:p>
    <w:p w14:paraId="05A3CC88">
      <w:pPr>
        <w:ind w:left="630" w:leftChars="300" w:firstLine="630" w:firstLineChars="300"/>
        <w:rPr>
          <w:rFonts w:ascii="宋体" w:hAnsi="宋体"/>
          <w:szCs w:val="21"/>
        </w:rPr>
      </w:pPr>
      <w:r>
        <w:rPr>
          <w:rFonts w:hint="eastAsia" w:ascii="宋体" w:hAnsi="宋体"/>
          <w:szCs w:val="21"/>
        </w:rPr>
        <w:t>第四章  投标文件的递交</w:t>
      </w:r>
    </w:p>
    <w:p w14:paraId="1DA4DB6F">
      <w:pPr>
        <w:ind w:left="630" w:leftChars="300" w:firstLine="630" w:firstLineChars="300"/>
        <w:rPr>
          <w:rFonts w:ascii="宋体" w:hAnsi="宋体"/>
          <w:szCs w:val="21"/>
        </w:rPr>
      </w:pPr>
      <w:r>
        <w:rPr>
          <w:rFonts w:hint="eastAsia" w:ascii="宋体" w:hAnsi="宋体"/>
          <w:szCs w:val="21"/>
        </w:rPr>
        <w:t>第五章  开标</w:t>
      </w:r>
    </w:p>
    <w:p w14:paraId="6061367F">
      <w:pPr>
        <w:ind w:left="630" w:leftChars="300" w:firstLine="630" w:firstLineChars="300"/>
        <w:rPr>
          <w:rFonts w:ascii="宋体" w:hAnsi="宋体"/>
          <w:szCs w:val="21"/>
        </w:rPr>
      </w:pPr>
      <w:r>
        <w:rPr>
          <w:rFonts w:hint="eastAsia" w:ascii="宋体" w:hAnsi="宋体"/>
          <w:szCs w:val="21"/>
        </w:rPr>
        <w:t>第六章  评审要求</w:t>
      </w:r>
    </w:p>
    <w:p w14:paraId="105BF3E0">
      <w:pPr>
        <w:ind w:left="630" w:leftChars="300" w:firstLine="630" w:firstLineChars="300"/>
        <w:rPr>
          <w:rFonts w:ascii="宋体" w:hAnsi="宋体"/>
          <w:szCs w:val="21"/>
        </w:rPr>
      </w:pPr>
      <w:r>
        <w:rPr>
          <w:rFonts w:hint="eastAsia" w:ascii="宋体" w:hAnsi="宋体"/>
          <w:szCs w:val="21"/>
        </w:rPr>
        <w:t>第七章  评审程序及评审方法</w:t>
      </w:r>
    </w:p>
    <w:p w14:paraId="5B6A4110">
      <w:pPr>
        <w:ind w:left="630" w:leftChars="300" w:firstLine="630" w:firstLineChars="300"/>
        <w:rPr>
          <w:rFonts w:ascii="宋体" w:hAnsi="宋体"/>
          <w:szCs w:val="21"/>
        </w:rPr>
      </w:pPr>
      <w:r>
        <w:rPr>
          <w:rFonts w:hint="eastAsia" w:ascii="宋体" w:hAnsi="宋体"/>
          <w:szCs w:val="21"/>
        </w:rPr>
        <w:t>第八章  定标及公示</w:t>
      </w:r>
    </w:p>
    <w:p w14:paraId="0DB7DB6E">
      <w:pPr>
        <w:ind w:left="630" w:leftChars="300" w:firstLine="630" w:firstLineChars="300"/>
        <w:rPr>
          <w:rFonts w:ascii="宋体" w:hAnsi="宋体"/>
          <w:szCs w:val="21"/>
        </w:rPr>
      </w:pPr>
      <w:r>
        <w:rPr>
          <w:rFonts w:hint="eastAsia" w:ascii="宋体" w:hAnsi="宋体"/>
          <w:szCs w:val="21"/>
        </w:rPr>
        <w:t>第九章  公开招标失败的后续处理</w:t>
      </w:r>
    </w:p>
    <w:p w14:paraId="526556BB">
      <w:pPr>
        <w:ind w:left="630" w:leftChars="300" w:firstLine="630" w:firstLineChars="300"/>
        <w:rPr>
          <w:rFonts w:ascii="宋体" w:hAnsi="宋体"/>
          <w:szCs w:val="21"/>
        </w:rPr>
      </w:pPr>
      <w:r>
        <w:rPr>
          <w:rFonts w:hint="eastAsia" w:ascii="宋体" w:hAnsi="宋体"/>
          <w:szCs w:val="21"/>
        </w:rPr>
        <w:t>第十章  合同的授予与备案</w:t>
      </w:r>
    </w:p>
    <w:p w14:paraId="153BBCEA">
      <w:pPr>
        <w:ind w:left="630" w:leftChars="300" w:firstLine="630" w:firstLineChars="300"/>
        <w:rPr>
          <w:rFonts w:ascii="宋体" w:hAnsi="宋体"/>
          <w:szCs w:val="21"/>
        </w:rPr>
      </w:pPr>
      <w:r>
        <w:rPr>
          <w:rFonts w:hint="eastAsia" w:ascii="宋体" w:hAnsi="宋体"/>
          <w:szCs w:val="21"/>
        </w:rPr>
        <w:t>第十一章  质疑处理</w:t>
      </w:r>
    </w:p>
    <w:p w14:paraId="03B4388A">
      <w:pPr>
        <w:rPr>
          <w:b/>
          <w:sz w:val="24"/>
        </w:rPr>
      </w:pPr>
    </w:p>
    <w:p w14:paraId="436D3976">
      <w:pPr>
        <w:rPr>
          <w:rFonts w:hint="eastAsia"/>
          <w:sz w:val="28"/>
          <w:szCs w:val="28"/>
        </w:rPr>
      </w:pPr>
      <w:r>
        <w:rPr>
          <w:rFonts w:hint="eastAsia"/>
          <w:sz w:val="28"/>
          <w:szCs w:val="28"/>
        </w:rPr>
        <w:br w:type="page"/>
      </w:r>
    </w:p>
    <w:p w14:paraId="78597686">
      <w:pPr>
        <w:pStyle w:val="5"/>
        <w:spacing w:before="0" w:after="0"/>
        <w:rPr>
          <w:rFonts w:hint="eastAsia"/>
          <w:sz w:val="28"/>
          <w:szCs w:val="28"/>
        </w:rPr>
      </w:pPr>
      <w:r>
        <w:rPr>
          <w:rFonts w:hint="eastAsia"/>
          <w:sz w:val="28"/>
          <w:szCs w:val="28"/>
        </w:rPr>
        <w:t>第一册专用条款</w:t>
      </w:r>
    </w:p>
    <w:p w14:paraId="3BF4023F">
      <w:pPr>
        <w:pStyle w:val="5"/>
        <w:spacing w:before="0" w:after="0"/>
        <w:rPr>
          <w:sz w:val="28"/>
          <w:szCs w:val="28"/>
        </w:rPr>
      </w:pPr>
      <w:r>
        <w:rPr>
          <w:rFonts w:hint="eastAsia"/>
          <w:sz w:val="28"/>
          <w:szCs w:val="28"/>
        </w:rPr>
        <w:t>第一章  招标公告</w:t>
      </w:r>
    </w:p>
    <w:p w14:paraId="08306463">
      <w:pPr>
        <w:rPr>
          <w:rFonts w:ascii="宋体" w:hAnsi="宋体" w:cs="宋体"/>
          <w:b/>
          <w:bCs/>
          <w:kern w:val="0"/>
          <w:szCs w:val="21"/>
        </w:rPr>
      </w:pPr>
      <w:r>
        <w:rPr>
          <w:rFonts w:hint="eastAsia" w:ascii="宋体" w:hAnsi="宋体" w:cs="宋体"/>
          <w:b/>
          <w:bCs/>
          <w:kern w:val="0"/>
          <w:szCs w:val="21"/>
        </w:rPr>
        <w:t>投标人的资格要求：</w:t>
      </w:r>
    </w:p>
    <w:p w14:paraId="2AEE874E">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B4F068F">
      <w:pPr>
        <w:ind w:firstLine="630" w:firstLineChars="300"/>
        <w:rPr>
          <w:rFonts w:ascii="宋体" w:hAnsi="宋体" w:cs="宋体"/>
          <w:kern w:val="0"/>
          <w:szCs w:val="21"/>
          <w:highlight w:val="yellow"/>
        </w:rPr>
      </w:pPr>
      <w:r>
        <w:rPr>
          <w:rFonts w:hint="eastAsia" w:ascii="宋体" w:hAnsi="宋体" w:cs="宋体"/>
          <w:kern w:val="0"/>
          <w:szCs w:val="21"/>
          <w:highlight w:val="yellow"/>
        </w:rPr>
        <w:t>2.本项目不接受联合体投标，</w:t>
      </w:r>
      <w:r>
        <w:rPr>
          <w:rFonts w:hint="eastAsia" w:ascii="宋体" w:hAnsi="宋体" w:cs="宋体"/>
          <w:kern w:val="0"/>
          <w:szCs w:val="21"/>
          <w:highlight w:val="yellow"/>
          <w:lang w:val="en-US" w:eastAsia="zh-CN"/>
        </w:rPr>
        <w:t>是否</w:t>
      </w:r>
      <w:r>
        <w:rPr>
          <w:rFonts w:hint="eastAsia" w:ascii="宋体" w:hAnsi="宋体" w:cs="宋体"/>
          <w:kern w:val="0"/>
          <w:szCs w:val="21"/>
          <w:highlight w:val="yellow"/>
        </w:rPr>
        <w:t>接受投标人选用进口产品参与投标</w:t>
      </w:r>
      <w:r>
        <w:rPr>
          <w:rFonts w:hint="eastAsia" w:ascii="宋体" w:hAnsi="宋体" w:cs="宋体"/>
          <w:kern w:val="0"/>
          <w:szCs w:val="21"/>
          <w:highlight w:val="yellow"/>
          <w:lang w:eastAsia="zh-CN"/>
        </w:rPr>
        <w:t>，</w:t>
      </w:r>
      <w:r>
        <w:rPr>
          <w:rFonts w:hint="eastAsia" w:ascii="宋体" w:hAnsi="宋体" w:cs="宋体"/>
          <w:kern w:val="0"/>
          <w:szCs w:val="21"/>
          <w:highlight w:val="yellow"/>
          <w:lang w:val="en-US" w:eastAsia="zh-CN"/>
        </w:rPr>
        <w:t>详见招标文件“第三章 用户需求书”</w:t>
      </w:r>
      <w:r>
        <w:rPr>
          <w:rFonts w:hint="eastAsia" w:ascii="宋体" w:hAnsi="宋体" w:cs="宋体"/>
          <w:kern w:val="0"/>
          <w:szCs w:val="21"/>
          <w:highlight w:val="yellow"/>
        </w:rPr>
        <w:t>（由供应商在《采购投标及履约承诺函》中作出声明）；</w:t>
      </w:r>
    </w:p>
    <w:p w14:paraId="51651820">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742D3AB6">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1CDDD134">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5847BBB7">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FBD728B">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29E46C37">
      <w:pPr>
        <w:ind w:firstLine="630" w:firstLineChars="300"/>
        <w:rPr>
          <w:rFonts w:ascii="宋体" w:hAnsi="宋体" w:cs="宋体"/>
          <w:color w:val="FF0000"/>
          <w:kern w:val="0"/>
          <w:szCs w:val="21"/>
        </w:rPr>
      </w:pPr>
      <w:r>
        <w:rPr>
          <w:rFonts w:hint="eastAsia" w:ascii="宋体" w:hAnsi="宋体" w:cs="宋体"/>
          <w:color w:val="FF0000"/>
          <w:kern w:val="0"/>
          <w:szCs w:val="21"/>
        </w:rPr>
        <w:t>8.</w:t>
      </w:r>
      <w:r>
        <w:rPr>
          <w:rFonts w:hint="eastAsia" w:ascii="宋体" w:hAnsi="宋体" w:eastAsia="宋体" w:cs="宋体"/>
          <w:color w:val="FF0000"/>
          <w:kern w:val="0"/>
          <w:sz w:val="21"/>
          <w:szCs w:val="21"/>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cs="宋体"/>
          <w:b/>
          <w:color w:val="FF0000"/>
          <w:kern w:val="0"/>
          <w:szCs w:val="21"/>
        </w:rPr>
        <w:t>（由供应商提供《供应商基本情况表》并加盖公章扫描件）</w:t>
      </w:r>
      <w:r>
        <w:rPr>
          <w:rFonts w:hint="eastAsia" w:ascii="宋体" w:hAnsi="宋体" w:cs="宋体"/>
          <w:b/>
          <w:color w:val="FF0000"/>
          <w:kern w:val="0"/>
          <w:szCs w:val="21"/>
          <w:lang w:eastAsia="zh-CN"/>
        </w:rPr>
        <w:t>；</w:t>
      </w:r>
    </w:p>
    <w:p w14:paraId="6E4364D7">
      <w:pPr>
        <w:ind w:firstLine="630" w:firstLineChars="300"/>
        <w:rPr>
          <w:rFonts w:hint="eastAsia" w:ascii="宋体" w:hAnsi="宋体" w:cs="宋体"/>
          <w:kern w:val="0"/>
          <w:szCs w:val="21"/>
          <w:lang w:eastAsia="zh-CN"/>
        </w:rPr>
      </w:pPr>
      <w:r>
        <w:rPr>
          <w:rFonts w:hint="eastAsia" w:ascii="宋体" w:hAnsi="宋体" w:cs="宋体"/>
          <w:kern w:val="0"/>
          <w:szCs w:val="21"/>
          <w:lang w:val="en-US" w:eastAsia="zh-CN"/>
        </w:rPr>
        <w:t>9</w:t>
      </w:r>
      <w:r>
        <w:rPr>
          <w:rFonts w:hint="eastAsia" w:ascii="宋体" w:hAnsi="宋体" w:cs="宋体"/>
          <w:kern w:val="0"/>
          <w:szCs w:val="21"/>
        </w:rPr>
        <w:t>.</w:t>
      </w:r>
      <w:r>
        <w:rPr>
          <w:rFonts w:hint="eastAsia"/>
          <w:color w:val="FF0000"/>
        </w:rPr>
        <w:t>投标人若为生产企业：所投产品为第二、三类医疗器械的，提供监督管理部门签发的涵盖所投报医疗器械的《医疗器械生产许可证》(有效期内)扫描件；投标人若为经营企业：所投产品为第二类医疗器械的，提供监督管理部门签发的涵盖所投报医疗器械的《医疗器械经营备案凭证》扫描件；所投产品为第三类医疗器械的，提供监督管理部门签发的涵盖所投报医疗器械的《医疗器械经营许可证》(有效期内)扫描件</w:t>
      </w:r>
      <w:r>
        <w:rPr>
          <w:rFonts w:hint="eastAsia" w:ascii="宋体" w:hAnsi="宋体" w:cs="宋体"/>
          <w:kern w:val="0"/>
          <w:szCs w:val="21"/>
          <w:lang w:eastAsia="zh-CN"/>
        </w:rPr>
        <w:t>。</w:t>
      </w:r>
    </w:p>
    <w:p w14:paraId="31EBF2EE">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10.本项目为非专门面向中小企业采购项目。</w:t>
      </w:r>
    </w:p>
    <w:p w14:paraId="4293F2C0">
      <w:pPr>
        <w:rPr>
          <w:rFonts w:hint="eastAsia" w:ascii="宋体" w:hAnsi="宋体" w:eastAsia="宋体" w:cs="宋体"/>
          <w:kern w:val="0"/>
          <w:szCs w:val="21"/>
          <w:lang w:val="en-US" w:eastAsia="zh-CN"/>
        </w:rPr>
      </w:pPr>
      <w:r>
        <w:rPr>
          <w:rFonts w:hint="eastAsia" w:ascii="宋体" w:hAnsi="宋体" w:cs="宋体"/>
          <w:kern w:val="0"/>
          <w:szCs w:val="21"/>
          <w:lang w:val="en-US" w:eastAsia="zh-CN"/>
        </w:rPr>
        <w:t xml:space="preserve"> </w:t>
      </w:r>
    </w:p>
    <w:p w14:paraId="3FED9B3A">
      <w:pPr>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6D82D6">
      <w:pPr>
        <w:numPr>
          <w:ilvl w:val="0"/>
          <w:numId w:val="0"/>
        </w:numPr>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供应商投标（上传投标文件）必须先行办理注册手续，具体操作指引请按照深圳公共资源交易网/交易服务指南/资料下载/深圳自行采购系统用户操作指引（供应商）相关内容指引办理。</w:t>
      </w:r>
    </w:p>
    <w:p w14:paraId="6418FFB7">
      <w:pPr>
        <w:pStyle w:val="18"/>
        <w:numPr>
          <w:ilvl w:val="0"/>
          <w:numId w:val="0"/>
        </w:numPr>
      </w:pPr>
    </w:p>
    <w:p w14:paraId="7A2BDEB3">
      <w:pPr>
        <w:jc w:val="left"/>
        <w:rPr>
          <w:b/>
          <w:sz w:val="22"/>
          <w:szCs w:val="18"/>
        </w:rPr>
      </w:pPr>
      <w:r>
        <w:rPr>
          <w:rFonts w:hint="eastAsia"/>
          <w:b/>
          <w:sz w:val="22"/>
          <w:szCs w:val="18"/>
        </w:rPr>
        <w:t>完整公告内容详见：深圳交易集团（深圳公共资源交易中心）官网https://www.szexgrp.com/jyfw/zfcg-view.html?id=zfcg</w:t>
      </w:r>
    </w:p>
    <w:p w14:paraId="7045790D">
      <w:pPr>
        <w:rPr>
          <w:rFonts w:hint="eastAsia"/>
          <w:sz w:val="28"/>
          <w:szCs w:val="28"/>
        </w:rPr>
      </w:pPr>
      <w:bookmarkStart w:id="3" w:name="bt项目管理班子配备情况"/>
      <w:bookmarkEnd w:id="3"/>
      <w:bookmarkStart w:id="4" w:name="bt其他资料由投标人自定"/>
      <w:bookmarkEnd w:id="4"/>
      <w:bookmarkStart w:id="5" w:name="bt投标人情况介绍"/>
      <w:bookmarkEnd w:id="5"/>
      <w:bookmarkStart w:id="6" w:name="bt开标一览表"/>
      <w:bookmarkEnd w:id="6"/>
      <w:bookmarkStart w:id="7" w:name="bt其他资料2"/>
      <w:bookmarkEnd w:id="7"/>
      <w:bookmarkStart w:id="8" w:name="bt合同格式"/>
      <w:bookmarkEnd w:id="8"/>
      <w:bookmarkStart w:id="9" w:name="合同格式"/>
      <w:bookmarkEnd w:id="9"/>
      <w:bookmarkStart w:id="10" w:name="bt技术标投标文件格式"/>
      <w:bookmarkEnd w:id="10"/>
      <w:bookmarkStart w:id="11" w:name="bt合同条款"/>
      <w:bookmarkEnd w:id="11"/>
      <w:bookmarkStart w:id="12" w:name="bt说明"/>
      <w:bookmarkEnd w:id="12"/>
      <w:bookmarkStart w:id="13" w:name="bt投标报价汇总表"/>
      <w:bookmarkEnd w:id="13"/>
      <w:bookmarkStart w:id="14" w:name="bt商务标投标文件格式"/>
      <w:bookmarkEnd w:id="14"/>
      <w:bookmarkStart w:id="15" w:name="bt投标人须知"/>
      <w:bookmarkEnd w:id="15"/>
      <w:bookmarkStart w:id="16" w:name="bt本工程承诺书"/>
      <w:bookmarkEnd w:id="16"/>
      <w:bookmarkStart w:id="17" w:name="bt投标文件签署授权委托书"/>
      <w:bookmarkEnd w:id="17"/>
      <w:bookmarkStart w:id="18" w:name="bt投标函"/>
      <w:bookmarkEnd w:id="18"/>
      <w:bookmarkStart w:id="19" w:name="bt合同条款及格式"/>
      <w:bookmarkEnd w:id="19"/>
      <w:r>
        <w:rPr>
          <w:rFonts w:hint="eastAsia"/>
          <w:sz w:val="28"/>
          <w:szCs w:val="28"/>
        </w:rPr>
        <w:br w:type="page"/>
      </w:r>
    </w:p>
    <w:p w14:paraId="1BDAF229">
      <w:pPr>
        <w:pStyle w:val="5"/>
        <w:jc w:val="center"/>
        <w:rPr>
          <w:sz w:val="28"/>
          <w:szCs w:val="28"/>
        </w:rPr>
      </w:pPr>
      <w:r>
        <w:rPr>
          <w:rFonts w:hint="eastAsia"/>
          <w:sz w:val="28"/>
          <w:szCs w:val="28"/>
        </w:rPr>
        <w:t>第二章 对通用条款的补充内容及其他关键信息</w:t>
      </w:r>
    </w:p>
    <w:p w14:paraId="28867BEE">
      <w:pPr>
        <w:pStyle w:val="5"/>
        <w:spacing w:before="156" w:beforeLines="50" w:after="156" w:afterLines="50"/>
        <w:rPr>
          <w:sz w:val="28"/>
          <w:szCs w:val="28"/>
        </w:rPr>
      </w:pPr>
      <w:bookmarkStart w:id="20" w:name="_Toc60631620"/>
      <w:bookmarkStart w:id="21" w:name="_Toc60560625"/>
      <w:bookmarkStart w:id="22" w:name="_Toc101074876"/>
      <w:bookmarkStart w:id="23" w:name="_Toc100052364"/>
      <w:bookmarkStart w:id="24" w:name="_Toc73517639"/>
      <w:bookmarkStart w:id="25" w:name="_Toc73518117"/>
      <w:bookmarkStart w:id="26" w:name="_Toc73521635"/>
      <w:bookmarkStart w:id="27" w:name="_Toc73521547"/>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946"/>
        <w:gridCol w:w="5881"/>
      </w:tblGrid>
      <w:tr w14:paraId="716D9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1803C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14:paraId="5C40CF9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14:paraId="3FC3B245">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 xml:space="preserve">具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hint="default" w:asciiTheme="minorEastAsia" w:hAnsiTheme="minorEastAsia" w:eastAsiaTheme="minorEastAsia"/>
                <w:b/>
                <w:bCs/>
              </w:rPr>
              <w:t xml:space="preserve"> </w:t>
            </w:r>
            <w:r>
              <w:rPr>
                <w:rFonts w:hint="eastAsia" w:asciiTheme="minorEastAsia" w:hAnsiTheme="minorEastAsia" w:eastAsiaTheme="minorEastAsia"/>
                <w:b/>
                <w:bCs/>
              </w:rPr>
              <w:t>容</w:t>
            </w:r>
          </w:p>
        </w:tc>
      </w:tr>
      <w:tr w14:paraId="0CD6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45B6511F">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14:paraId="724FF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0B82CB">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.1</w:t>
            </w:r>
          </w:p>
        </w:tc>
        <w:tc>
          <w:tcPr>
            <w:tcW w:w="1946" w:type="dxa"/>
            <w:vAlign w:val="center"/>
          </w:tcPr>
          <w:p w14:paraId="3F3CEB8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14:paraId="1FEE1425">
            <w:pPr>
              <w:keepNext w:val="0"/>
              <w:keepLines w:val="0"/>
              <w:suppressLineNumbers w:val="0"/>
              <w:spacing w:before="0" w:beforeAutospacing="0" w:after="0" w:afterAutospacing="0"/>
              <w:ind w:left="0" w:right="0"/>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深圳市第三人民医院</w:t>
            </w:r>
          </w:p>
        </w:tc>
      </w:tr>
      <w:tr w14:paraId="5EC58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21872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.2</w:t>
            </w:r>
          </w:p>
        </w:tc>
        <w:tc>
          <w:tcPr>
            <w:tcW w:w="1946" w:type="dxa"/>
            <w:vAlign w:val="center"/>
          </w:tcPr>
          <w:p w14:paraId="3B56DC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采购代理机构</w:t>
            </w:r>
          </w:p>
        </w:tc>
        <w:tc>
          <w:tcPr>
            <w:tcW w:w="5881" w:type="dxa"/>
            <w:vAlign w:val="center"/>
          </w:tcPr>
          <w:p w14:paraId="2A9E4D06">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深圳公共资源交易中心</w:t>
            </w:r>
          </w:p>
          <w:p w14:paraId="2075A061">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（深圳交易集团有限公司政府采购业务分公司）</w:t>
            </w:r>
          </w:p>
        </w:tc>
      </w:tr>
      <w:tr w14:paraId="00A2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E000EE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9</w:t>
            </w:r>
          </w:p>
        </w:tc>
        <w:tc>
          <w:tcPr>
            <w:tcW w:w="1946" w:type="dxa"/>
            <w:vAlign w:val="center"/>
          </w:tcPr>
          <w:p w14:paraId="18B1697B">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踏勘现场</w:t>
            </w:r>
          </w:p>
        </w:tc>
        <w:tc>
          <w:tcPr>
            <w:tcW w:w="5881" w:type="dxa"/>
            <w:vAlign w:val="center"/>
          </w:tcPr>
          <w:p w14:paraId="6700637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不组织</w:t>
            </w:r>
          </w:p>
        </w:tc>
      </w:tr>
      <w:tr w14:paraId="45DCC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145CB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0</w:t>
            </w:r>
          </w:p>
        </w:tc>
        <w:tc>
          <w:tcPr>
            <w:tcW w:w="1946" w:type="dxa"/>
            <w:vAlign w:val="center"/>
          </w:tcPr>
          <w:p w14:paraId="2D0AF43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14:paraId="1DFFB8D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不组织</w:t>
            </w:r>
          </w:p>
        </w:tc>
      </w:tr>
      <w:tr w14:paraId="33A34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B25258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2</w:t>
            </w:r>
            <w:r>
              <w:rPr>
                <w:rFonts w:hint="eastAsia" w:asciiTheme="minorEastAsia" w:hAnsiTheme="minorEastAsia" w:eastAsiaTheme="minorEastAsia"/>
              </w:rPr>
              <w:t>/1</w:t>
            </w:r>
            <w:r>
              <w:rPr>
                <w:rFonts w:hint="default" w:asciiTheme="minorEastAsia" w:hAnsiTheme="minorEastAsia" w:eastAsiaTheme="minorEastAsia"/>
              </w:rPr>
              <w:t>3</w:t>
            </w:r>
          </w:p>
        </w:tc>
        <w:tc>
          <w:tcPr>
            <w:tcW w:w="1946" w:type="dxa"/>
            <w:vAlign w:val="center"/>
          </w:tcPr>
          <w:p w14:paraId="648510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招标文件的澄清和修改</w:t>
            </w:r>
          </w:p>
        </w:tc>
        <w:tc>
          <w:tcPr>
            <w:tcW w:w="5881" w:type="dxa"/>
            <w:vAlign w:val="center"/>
          </w:tcPr>
          <w:p w14:paraId="325AE533">
            <w:pPr>
              <w:keepNext w:val="0"/>
              <w:keepLines w:val="0"/>
              <w:suppressLineNumbers w:val="0"/>
              <w:spacing w:before="0" w:beforeAutospacing="0" w:after="0" w:afterAutospacing="0"/>
              <w:ind w:left="0" w:right="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投标截止日三日前，投标人有义务在招标期间在深圳交易集团（深圳公共资源交易中心）网站浏览与本项目有关的澄清和修改信息</w:t>
            </w:r>
          </w:p>
        </w:tc>
      </w:tr>
      <w:tr w14:paraId="167DED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99EC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0</w:t>
            </w:r>
          </w:p>
        </w:tc>
        <w:tc>
          <w:tcPr>
            <w:tcW w:w="1946" w:type="dxa"/>
            <w:vAlign w:val="center"/>
          </w:tcPr>
          <w:p w14:paraId="59279F2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14:paraId="3F9CD96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120个日历日</w:t>
            </w:r>
          </w:p>
        </w:tc>
      </w:tr>
      <w:tr w14:paraId="34D68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8B996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2</w:t>
            </w:r>
          </w:p>
        </w:tc>
        <w:tc>
          <w:tcPr>
            <w:tcW w:w="1946" w:type="dxa"/>
            <w:vAlign w:val="center"/>
          </w:tcPr>
          <w:p w14:paraId="1C5FDDC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14:paraId="7B4ED4EC">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不接受</w:t>
            </w:r>
          </w:p>
        </w:tc>
      </w:tr>
      <w:tr w14:paraId="630D0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D1195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5</w:t>
            </w:r>
          </w:p>
        </w:tc>
        <w:tc>
          <w:tcPr>
            <w:tcW w:w="1946" w:type="dxa"/>
            <w:vAlign w:val="center"/>
          </w:tcPr>
          <w:p w14:paraId="0B1ED4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14:paraId="5D0E7F6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投标文件大小不得超过</w:t>
            </w:r>
            <w:r>
              <w:rPr>
                <w:rFonts w:hint="default" w:asciiTheme="minorEastAsia" w:hAnsiTheme="minorEastAsia" w:eastAsiaTheme="minorEastAsia"/>
              </w:rPr>
              <w:t>1</w:t>
            </w:r>
            <w:r>
              <w:rPr>
                <w:rFonts w:hint="eastAsia" w:asciiTheme="minorEastAsia" w:hAnsiTheme="minorEastAsia" w:eastAsiaTheme="minorEastAsia"/>
              </w:rPr>
              <w:t>00MB</w:t>
            </w:r>
          </w:p>
        </w:tc>
      </w:tr>
      <w:tr w14:paraId="31431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D2A1690">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6</w:t>
            </w:r>
          </w:p>
        </w:tc>
        <w:tc>
          <w:tcPr>
            <w:tcW w:w="1946" w:type="dxa"/>
            <w:vAlign w:val="center"/>
          </w:tcPr>
          <w:p w14:paraId="19FD1A4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bookmarkStart w:id="28" w:name="_Hlk71664860"/>
            <w:r>
              <w:rPr>
                <w:rFonts w:hint="eastAsia" w:asciiTheme="minorEastAsia" w:hAnsiTheme="minorEastAsia" w:eastAsiaTheme="minorEastAsia"/>
              </w:rPr>
              <w:t>样品、演示、方案讲解</w:t>
            </w:r>
            <w:bookmarkEnd w:id="28"/>
          </w:p>
        </w:tc>
        <w:tc>
          <w:tcPr>
            <w:tcW w:w="5881" w:type="dxa"/>
            <w:vAlign w:val="center"/>
          </w:tcPr>
          <w:p w14:paraId="527B778B">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如有样品、演示、方案讲解，具体安排见第三章 用户需求书相关要求</w:t>
            </w:r>
          </w:p>
        </w:tc>
      </w:tr>
      <w:tr w14:paraId="3256D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B2B7B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7</w:t>
            </w:r>
          </w:p>
        </w:tc>
        <w:tc>
          <w:tcPr>
            <w:tcW w:w="1946" w:type="dxa"/>
            <w:vAlign w:val="center"/>
          </w:tcPr>
          <w:p w14:paraId="7775A5B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14:paraId="71FA239C">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综合评分法</w:t>
            </w:r>
          </w:p>
        </w:tc>
      </w:tr>
      <w:tr w14:paraId="2F632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F8ABE1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8</w:t>
            </w:r>
          </w:p>
        </w:tc>
        <w:tc>
          <w:tcPr>
            <w:tcW w:w="1946" w:type="dxa"/>
            <w:vAlign w:val="center"/>
          </w:tcPr>
          <w:p w14:paraId="3328087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14:paraId="3F91B2CC">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非评定分离</w:t>
            </w:r>
          </w:p>
        </w:tc>
      </w:tr>
      <w:tr w14:paraId="41A79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6298C4">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w:t>
            </w:r>
            <w:r>
              <w:rPr>
                <w:rFonts w:hint="default" w:asciiTheme="minorEastAsia" w:hAnsiTheme="minorEastAsia" w:eastAsiaTheme="minorEastAsia"/>
              </w:rPr>
              <w:t>6</w:t>
            </w:r>
          </w:p>
        </w:tc>
        <w:tc>
          <w:tcPr>
            <w:tcW w:w="1946" w:type="dxa"/>
            <w:vAlign w:val="center"/>
          </w:tcPr>
          <w:p w14:paraId="2B8A086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14:paraId="2D7B5682">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需要，合同金额的5%，投标供应商自主选择以支票、汇票、本票、保函等非现金形式缴纳或提交。中标人供货完成调试、验收、培训且提供了厂家（或厂家授权）的售后服务承诺书后向甲方申请退回该履约保证金。因</w:t>
            </w:r>
            <w:r>
              <w:rPr>
                <w:rFonts w:hint="eastAsia"/>
                <w:lang w:val="en-US" w:eastAsia="zh-CN"/>
              </w:rPr>
              <w:t>中标人</w:t>
            </w:r>
            <w:r>
              <w:rPr>
                <w:rFonts w:hint="eastAsia" w:asciiTheme="minorEastAsia" w:hAnsiTheme="minorEastAsia" w:eastAsiaTheme="minorEastAsia"/>
              </w:rPr>
              <w:t>原因而未能达到本项目验收标准或验收不通过的，履约保证金不予退还。采购人逾期退还履约保证金的，除应当退还履约保证金本金外，还应当每日按合同总价的1‰向中标人偿付违约金，但因投标人自身原因导致无法及时退还的除外。中标人违反合同及其附件约定的任何义务，采购人有权在履约保证金中直接扣除投标人应向采购人支付的违约金或损失赔偿额，如有不足的，中标人应对超过的部分予以赔偿。</w:t>
            </w:r>
          </w:p>
        </w:tc>
      </w:tr>
      <w:tr w14:paraId="19E9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12175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14:paraId="18ADD7F1">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14:paraId="1003C2A5">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6600EFE8">
      <w:pPr>
        <w:rPr>
          <w:b/>
        </w:rPr>
      </w:pPr>
      <w:r>
        <w:rPr>
          <w:rFonts w:hint="eastAsia"/>
          <w:szCs w:val="21"/>
        </w:rPr>
        <w:t>备注：本表是通用条款相关条款的补充和明确，如与通用条款内容相冲突的，以本表为准。</w:t>
      </w:r>
    </w:p>
    <w:p w14:paraId="3851E8F2">
      <w:pPr>
        <w:rPr>
          <w:b/>
        </w:rPr>
      </w:pPr>
    </w:p>
    <w:p w14:paraId="45194F1A">
      <w:pPr>
        <w:pStyle w:val="5"/>
        <w:spacing w:before="156" w:beforeLines="50" w:after="156" w:afterLines="50"/>
        <w:rPr>
          <w:szCs w:val="24"/>
        </w:rPr>
      </w:pPr>
      <w:r>
        <w:rPr>
          <w:rFonts w:hint="eastAsia"/>
          <w:szCs w:val="24"/>
        </w:rPr>
        <w:t>二、其他关键信息</w:t>
      </w:r>
    </w:p>
    <w:p w14:paraId="4D76662A">
      <w:pPr>
        <w:ind w:firstLine="422" w:firstLineChars="200"/>
        <w:rPr>
          <w:b/>
          <w:bCs/>
        </w:rPr>
      </w:pPr>
      <w:r>
        <w:rPr>
          <w:rFonts w:hint="eastAsia"/>
          <w:b/>
          <w:bCs/>
        </w:rPr>
        <w:t>（一）与“对通用条款的补充内容”章节相关的事项</w:t>
      </w:r>
    </w:p>
    <w:p w14:paraId="47CB8E03">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1AEC7592">
      <w:pPr>
        <w:jc w:val="center"/>
      </w:pPr>
      <w:r>
        <w:rPr>
          <w:rFonts w:hint="eastAsia"/>
          <w:b/>
        </w:rPr>
        <w:t>非评定分离项目</w:t>
      </w:r>
    </w:p>
    <w:tbl>
      <w:tblPr>
        <w:tblStyle w:val="43"/>
        <w:tblW w:w="7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1"/>
        <w:gridCol w:w="4118"/>
      </w:tblGrid>
      <w:tr w14:paraId="4097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621" w:type="dxa"/>
          </w:tcPr>
          <w:p w14:paraId="71AAADF0">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118" w:type="dxa"/>
          </w:tcPr>
          <w:p w14:paraId="7E73900B">
            <w:pPr>
              <w:keepNext w:val="0"/>
              <w:keepLines w:val="0"/>
              <w:suppressLineNumbers w:val="0"/>
              <w:spacing w:before="0" w:beforeAutospacing="0" w:after="0" w:afterAutospacing="0"/>
              <w:ind w:left="0" w:right="0"/>
              <w:jc w:val="center"/>
              <w:rPr>
                <w:rFonts w:hint="default"/>
              </w:rPr>
            </w:pPr>
            <w:r>
              <w:rPr>
                <w:rFonts w:hint="eastAsia"/>
              </w:rPr>
              <w:t>综合评分法</w:t>
            </w:r>
          </w:p>
        </w:tc>
      </w:tr>
      <w:tr w14:paraId="1EC6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621" w:type="dxa"/>
          </w:tcPr>
          <w:p w14:paraId="3A4C67F3">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4118" w:type="dxa"/>
          </w:tcPr>
          <w:p w14:paraId="0C8D6974">
            <w:pPr>
              <w:keepNext w:val="0"/>
              <w:keepLines w:val="0"/>
              <w:suppressLineNumbers w:val="0"/>
              <w:spacing w:before="0" w:beforeAutospacing="0" w:after="0" w:afterAutospacing="0"/>
              <w:ind w:left="0" w:right="0"/>
              <w:jc w:val="center"/>
              <w:rPr>
                <w:rFonts w:hint="default"/>
              </w:rPr>
            </w:pPr>
            <w:r>
              <w:rPr>
                <w:rFonts w:hint="eastAsia"/>
              </w:rPr>
              <w:t>3</w:t>
            </w:r>
          </w:p>
        </w:tc>
      </w:tr>
      <w:tr w14:paraId="0B5C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3621" w:type="dxa"/>
          </w:tcPr>
          <w:p w14:paraId="37B88F5D">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118" w:type="dxa"/>
          </w:tcPr>
          <w:p w14:paraId="1C4B7174">
            <w:pPr>
              <w:keepNext w:val="0"/>
              <w:keepLines w:val="0"/>
              <w:suppressLineNumbers w:val="0"/>
              <w:spacing w:before="0" w:beforeAutospacing="0" w:after="0" w:afterAutospacing="0"/>
              <w:ind w:left="0" w:right="0"/>
              <w:jc w:val="center"/>
              <w:rPr>
                <w:rFonts w:hint="default"/>
              </w:rPr>
            </w:pPr>
            <w:r>
              <w:rPr>
                <w:rFonts w:hint="eastAsia"/>
              </w:rPr>
              <w:t>1</w:t>
            </w:r>
          </w:p>
        </w:tc>
      </w:tr>
      <w:bookmarkEnd w:id="29"/>
    </w:tbl>
    <w:p w14:paraId="1AC9E4E1">
      <w:pPr>
        <w:ind w:firstLine="422" w:firstLineChars="200"/>
        <w:rPr>
          <w:b/>
        </w:rPr>
      </w:pPr>
      <w:r>
        <w:rPr>
          <w:rFonts w:hint="eastAsia"/>
          <w:b/>
        </w:rPr>
        <w:t>（二）其他事项</w:t>
      </w:r>
    </w:p>
    <w:p w14:paraId="370DB56A">
      <w:pPr>
        <w:ind w:firstLine="422" w:firstLineChars="200"/>
        <w:rPr>
          <w:b/>
          <w:bCs/>
        </w:rPr>
      </w:pPr>
      <w:r>
        <w:rPr>
          <w:b/>
          <w:bCs/>
        </w:rPr>
        <w:t>1</w:t>
      </w:r>
      <w:r>
        <w:rPr>
          <w:rFonts w:hint="eastAsia"/>
          <w:b/>
          <w:bCs/>
        </w:rPr>
        <w:t>、关于享受优惠政策的主体及价格扣除比例及采购标的所属行业的说明</w:t>
      </w:r>
    </w:p>
    <w:p w14:paraId="7B4EB8E3">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14:paraId="740F0060">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rFonts w:hint="eastAsia"/>
          <w:color w:val="FF0000"/>
          <w:u w:val="single"/>
          <w:lang w:val="en-US" w:eastAsia="zh-CN"/>
        </w:rPr>
        <w:t>10</w:t>
      </w:r>
      <w:r>
        <w:rPr>
          <w:rFonts w:hint="eastAsia"/>
          <w:color w:val="FF0000"/>
          <w:u w:val="none"/>
          <w:lang w:val="en-US" w:eastAsia="zh-CN"/>
        </w:rPr>
        <w:t xml:space="preserve"> </w:t>
      </w:r>
      <w:r>
        <w:rPr>
          <w:color w:val="FF0000"/>
          <w:u w:val="none"/>
        </w:rPr>
        <w:t>%</w:t>
      </w:r>
      <w:r>
        <w:rPr>
          <w:rFonts w:hint="eastAsia"/>
          <w:color w:val="000000" w:themeColor="text1"/>
          <w:u w:val="none"/>
          <w:lang w:eastAsia="zh-CN"/>
          <w14:textFill>
            <w14:solidFill>
              <w14:schemeClr w14:val="tx1"/>
            </w14:solidFill>
          </w14:textFill>
        </w:rPr>
        <w:t>（</w:t>
      </w:r>
      <w:r>
        <w:rPr>
          <w:rFonts w:hint="eastAsia"/>
          <w:color w:val="000000" w:themeColor="text1"/>
          <w:u w:val="none"/>
          <w:lang w:val="en-US" w:eastAsia="zh-CN"/>
          <w14:textFill>
            <w14:solidFill>
              <w14:schemeClr w14:val="tx1"/>
            </w14:solidFill>
          </w14:textFill>
        </w:rPr>
        <w:t>10%~20%</w:t>
      </w:r>
      <w:r>
        <w:rPr>
          <w:rFonts w:hint="eastAsia"/>
          <w:color w:val="000000" w:themeColor="text1"/>
          <w:u w:val="none"/>
          <w:lang w:eastAsia="zh-CN"/>
          <w14:textFill>
            <w14:solidFill>
              <w14:schemeClr w14:val="tx1"/>
            </w14:solidFill>
          </w14:textFill>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14:paraId="1CA9D720">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32BBBE9C">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0" w:name="_Hlk71970739"/>
      <w:r>
        <w:rPr>
          <w:rFonts w:hint="eastAsia" w:asciiTheme="minorEastAsia" w:hAnsiTheme="minorEastAsia" w:eastAsiaTheme="minorEastAsia" w:cstheme="minorEastAsia"/>
          <w:sz w:val="21"/>
          <w:szCs w:val="21"/>
        </w:rPr>
        <w:t>中小企业参加采购活动，应当按照国务院批准的《中小企业划型标准规定》（工信部联企业〔2011〕300号）、《金融业企业划型标准规定》（银发〔2015〕309号）和《财政部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以招标文件第一册第三章用户需求书“货物清单明细”的“标的所属行业”一栏为准</w:t>
      </w:r>
      <w:r>
        <w:rPr>
          <w:rFonts w:hint="eastAsia" w:asciiTheme="minorEastAsia" w:hAnsiTheme="minorEastAsia" w:eastAsiaTheme="minorEastAsia" w:cstheme="minorEastAsia"/>
          <w:b/>
          <w:bCs/>
          <w:color w:val="FF0000"/>
          <w:sz w:val="21"/>
          <w:szCs w:val="21"/>
        </w:rPr>
        <w:t>。</w:t>
      </w:r>
      <w:bookmarkEnd w:id="30"/>
    </w:p>
    <w:p w14:paraId="65B7732C">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lang w:val="en-US" w:eastAsia="zh-CN"/>
        </w:rPr>
        <w:t>四</w:t>
      </w:r>
      <w:r>
        <w:rPr>
          <w:rFonts w:hint="eastAsia"/>
        </w:rPr>
        <w:t>章“投标文件组成要求及格式”中“</w:t>
      </w:r>
      <w:r>
        <w:rPr>
          <w:rFonts w:hint="eastAsia"/>
          <w:lang w:val="en-US" w:eastAsia="zh-CN"/>
        </w:rPr>
        <w:t>三</w:t>
      </w:r>
      <w:r>
        <w:rPr>
          <w:rFonts w:hint="eastAsia"/>
        </w:rPr>
        <w:t>、投标人情况及资格证明文件”章节提供的格式）。</w:t>
      </w:r>
    </w:p>
    <w:p w14:paraId="6304BF71">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14:paraId="4D47038D">
      <w:pPr>
        <w:ind w:firstLine="422" w:firstLineChars="200"/>
        <w:rPr>
          <w:b/>
        </w:rPr>
      </w:pPr>
      <w:r>
        <w:rPr>
          <w:rFonts w:hint="eastAsia"/>
          <w:b/>
        </w:rPr>
        <w:t>2、</w:t>
      </w:r>
      <w:bookmarkStart w:id="31" w:name="_Hlk76855768"/>
      <w:bookmarkStart w:id="32" w:name="_Hlk72594729"/>
      <w:r>
        <w:rPr>
          <w:rFonts w:hint="eastAsia"/>
          <w:b/>
        </w:rPr>
        <w:t>本项目为代理服务项目，将向中标（成交）供应商收取代理服务费。</w:t>
      </w:r>
    </w:p>
    <w:bookmarkEnd w:id="31"/>
    <w:bookmarkEnd w:id="32"/>
    <w:p w14:paraId="752E69D1">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eastAsia="zh-CN"/>
        </w:rPr>
        <w:t>政府采购业务分公司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w:t>
      </w:r>
      <w:r>
        <w:rPr>
          <w:rFonts w:hint="eastAsia"/>
          <w:lang w:val="en-US" w:eastAsia="zh-CN"/>
        </w:rPr>
        <w:t>下浮20%</w:t>
      </w:r>
      <w:r>
        <w:rPr>
          <w:rFonts w:hint="eastAsia"/>
        </w:rPr>
        <w:t>收取。</w:t>
      </w:r>
      <w:r>
        <w:rPr>
          <w:rFonts w:hint="eastAsia"/>
          <w:b/>
          <w:color w:val="FF0000"/>
        </w:rPr>
        <w:t>本项目类型为货物采购：</w:t>
      </w:r>
    </w:p>
    <w:p w14:paraId="4D1A699E">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14:paraId="366157EC">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25E3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6127DA91">
            <w:pPr>
              <w:keepNext w:val="0"/>
              <w:keepLines w:val="0"/>
              <w:widowControl/>
              <w:suppressLineNumbers w:val="0"/>
              <w:spacing w:before="0" w:beforeAutospacing="0" w:after="0" w:afterAutospacing="0" w:line="360" w:lineRule="auto"/>
              <w:ind w:left="0" w:right="0"/>
              <w:jc w:val="center"/>
              <w:rPr>
                <w:rFonts w:hint="default"/>
              </w:rP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14:paraId="321BE0A1">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14:paraId="68145E99">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14:paraId="3A9A93CD">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14:paraId="785B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1813984">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14:paraId="0FADAACA">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3E2A38B5">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669C4388">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14:paraId="1441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C4A5FF9">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14:paraId="37F08D81">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14:paraId="03CF042C">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44F95334">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14:paraId="6A63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217A911">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14:paraId="6480A6CC">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06BA8C7F">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14:paraId="31974CA6">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14:paraId="6F1A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895A7DA">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14:paraId="3EFE3D4C">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14:paraId="741BF004">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6AC347AD">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14:paraId="4E9B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5DD679">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14:paraId="0930C021">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626F32C9">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14:paraId="7F768044">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14:paraId="18B0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F5D1746">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14:paraId="7752449D">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73BEBE28">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77D5EC7B">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14:paraId="2BF1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926B778">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14:paraId="3DC0F9C9">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18287C8A">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47E2F4E7">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14:paraId="48B4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43BE4A0E">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14:paraId="1B6C7F7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07EB735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476A0078">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14:paraId="0350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419C178">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14:paraId="13DA2BD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7D3E8D96">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3582BF4B">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14:paraId="2517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6495020">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14:paraId="534C06BA">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0F6AEE9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09327BA1">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14:paraId="411D953E">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14:paraId="451204EE">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14:paraId="6470EE22">
      <w:pPr>
        <w:ind w:firstLine="420" w:firstLineChars="200"/>
      </w:pPr>
    </w:p>
    <w:p w14:paraId="36CB22CE">
      <w:pPr>
        <w:ind w:firstLine="420" w:firstLineChars="200"/>
      </w:pPr>
      <w:r>
        <w:rPr>
          <w:rFonts w:hint="eastAsia"/>
        </w:rPr>
        <w:t>如某货物采购项目，中标（成交）金额为600万元，总共交纳的代理服务费的具体计算过程如下：</w:t>
      </w:r>
    </w:p>
    <w:p w14:paraId="2489DE0B">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7E86E9DC">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14:paraId="1A73B912">
      <w:pPr>
        <w:ind w:firstLine="422" w:firstLineChars="200"/>
        <w:rPr>
          <w:rFonts w:ascii="宋体" w:hAnsi="宋体" w:eastAsia="宋体" w:cs="宋体"/>
          <w:bCs/>
          <w:color w:val="FF0000"/>
          <w:szCs w:val="21"/>
          <w:highlight w:val="none"/>
        </w:rPr>
      </w:pPr>
      <w:r>
        <w:rPr>
          <w:rFonts w:hint="eastAsia" w:ascii="宋体" w:hAnsi="宋体" w:eastAsia="宋体" w:cs="宋体"/>
          <w:b/>
          <w:bCs/>
          <w:color w:val="FF0000"/>
          <w:szCs w:val="21"/>
          <w:highlight w:val="none"/>
        </w:rPr>
        <w:t>基本户信息：</w:t>
      </w:r>
    </w:p>
    <w:p w14:paraId="73AB9789">
      <w:pPr>
        <w:ind w:firstLine="420" w:firstLineChars="200"/>
        <w:rPr>
          <w:rFonts w:ascii="宋体" w:hAnsi="宋体" w:eastAsia="宋体" w:cs="宋体"/>
          <w:color w:val="FF0000"/>
          <w:szCs w:val="21"/>
          <w:highlight w:val="none"/>
        </w:rPr>
      </w:pPr>
      <w:r>
        <w:rPr>
          <w:rFonts w:hint="eastAsia" w:ascii="宋体" w:hAnsi="宋体" w:eastAsia="宋体" w:cs="宋体"/>
          <w:color w:val="FF0000"/>
          <w:szCs w:val="21"/>
          <w:highlight w:val="none"/>
        </w:rPr>
        <w:t>账户名：深圳交易集团有限公司</w:t>
      </w:r>
    </w:p>
    <w:p w14:paraId="6A4FA5E2">
      <w:pPr>
        <w:ind w:firstLine="420" w:firstLineChars="200"/>
        <w:rPr>
          <w:rFonts w:ascii="宋体" w:hAnsi="宋体" w:eastAsia="宋体" w:cs="宋体"/>
          <w:color w:val="FF0000"/>
          <w:szCs w:val="21"/>
          <w:highlight w:val="none"/>
        </w:rPr>
      </w:pPr>
      <w:r>
        <w:rPr>
          <w:rFonts w:hint="eastAsia" w:ascii="宋体" w:hAnsi="宋体" w:eastAsia="宋体" w:cs="宋体"/>
          <w:color w:val="FF0000"/>
          <w:szCs w:val="21"/>
          <w:highlight w:val="none"/>
        </w:rPr>
        <w:t>账号：632765883</w:t>
      </w:r>
    </w:p>
    <w:p w14:paraId="4EA7B706">
      <w:pPr>
        <w:ind w:firstLine="420" w:firstLineChars="200"/>
        <w:rPr>
          <w:rFonts w:ascii="宋体" w:hAnsi="宋体" w:eastAsia="宋体" w:cs="宋体"/>
          <w:color w:val="FF0000"/>
          <w:szCs w:val="21"/>
          <w:highlight w:val="none"/>
        </w:rPr>
      </w:pPr>
      <w:r>
        <w:rPr>
          <w:rFonts w:hint="eastAsia" w:ascii="宋体" w:hAnsi="宋体" w:eastAsia="宋体" w:cs="宋体"/>
          <w:color w:val="FF0000"/>
          <w:szCs w:val="21"/>
          <w:highlight w:val="none"/>
        </w:rPr>
        <w:t>开户行：民生银行深圳五洲支行</w:t>
      </w:r>
    </w:p>
    <w:p w14:paraId="39E3BA59">
      <w:pPr>
        <w:ind w:firstLine="422" w:firstLineChars="200"/>
        <w:rPr>
          <w:rFonts w:ascii="宋体" w:hAnsi="宋体" w:eastAsia="宋体" w:cs="宋体"/>
          <w:bCs/>
          <w:color w:val="FF0000"/>
          <w:szCs w:val="21"/>
          <w:highlight w:val="none"/>
        </w:rPr>
      </w:pPr>
      <w:r>
        <w:rPr>
          <w:rFonts w:hint="eastAsia" w:ascii="宋体" w:hAnsi="宋体" w:eastAsia="宋体" w:cs="宋体"/>
          <w:b/>
          <w:bCs/>
          <w:color w:val="FF0000"/>
          <w:szCs w:val="21"/>
          <w:highlight w:val="none"/>
        </w:rPr>
        <w:t>转账备注：</w:t>
      </w:r>
    </w:p>
    <w:p w14:paraId="6B49B9C7">
      <w:pPr>
        <w:ind w:firstLine="420" w:firstLineChars="200"/>
        <w:rPr>
          <w:rFonts w:hint="eastAsia" w:ascii="宋体" w:hAnsi="宋体" w:eastAsia="宋体" w:cs="宋体"/>
          <w:bCs/>
          <w:color w:val="FF0000"/>
          <w:szCs w:val="21"/>
          <w:highlight w:val="none"/>
        </w:rPr>
      </w:pPr>
      <w:r>
        <w:rPr>
          <w:rFonts w:hint="eastAsia" w:ascii="宋体" w:hAnsi="宋体" w:eastAsia="宋体" w:cs="宋体"/>
          <w:bCs/>
          <w:color w:val="FF0000"/>
          <w:szCs w:val="21"/>
          <w:highlight w:val="none"/>
        </w:rPr>
        <w:t>项目编号+项目名称</w:t>
      </w:r>
    </w:p>
    <w:p w14:paraId="28D432F0">
      <w:pPr>
        <w:ind w:firstLine="420" w:firstLineChars="200"/>
        <w:jc w:val="left"/>
      </w:pPr>
    </w:p>
    <w:p w14:paraId="53D45526">
      <w:pPr>
        <w:rPr>
          <w:rFonts w:hint="eastAsia"/>
          <w:sz w:val="28"/>
          <w:szCs w:val="28"/>
        </w:rPr>
      </w:pPr>
      <w:bookmarkStart w:id="33" w:name="_Toc128884461"/>
      <w:r>
        <w:rPr>
          <w:rFonts w:hint="eastAsia"/>
          <w:sz w:val="28"/>
          <w:szCs w:val="28"/>
        </w:rPr>
        <w:br w:type="page"/>
      </w:r>
    </w:p>
    <w:p w14:paraId="35162155">
      <w:pPr>
        <w:pStyle w:val="5"/>
        <w:rPr>
          <w:sz w:val="28"/>
          <w:szCs w:val="28"/>
        </w:rPr>
      </w:pPr>
      <w:r>
        <w:rPr>
          <w:rFonts w:hint="eastAsia"/>
          <w:sz w:val="28"/>
          <w:szCs w:val="28"/>
        </w:rPr>
        <w:t>第三章 用户需求书</w:t>
      </w:r>
    </w:p>
    <w:p w14:paraId="1984CB1D">
      <w:pPr>
        <w:pStyle w:val="5"/>
        <w:spacing w:before="156" w:beforeLines="50" w:after="156" w:afterLines="50"/>
        <w:rPr>
          <w:szCs w:val="24"/>
        </w:rPr>
      </w:pPr>
      <w:r>
        <w:rPr>
          <w:rFonts w:hint="eastAsia"/>
          <w:szCs w:val="24"/>
        </w:rPr>
        <w:t>一、项目基本信息</w:t>
      </w:r>
    </w:p>
    <w:tbl>
      <w:tblPr>
        <w:tblStyle w:val="42"/>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4914"/>
        <w:gridCol w:w="1580"/>
        <w:gridCol w:w="1740"/>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4" w:type="dxa"/>
            <w:vAlign w:val="center"/>
          </w:tcPr>
          <w:p w14:paraId="5F159951">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4914" w:type="dxa"/>
            <w:vAlign w:val="center"/>
          </w:tcPr>
          <w:p w14:paraId="0A5B9AE6">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1580" w:type="dxa"/>
            <w:vAlign w:val="center"/>
          </w:tcPr>
          <w:p w14:paraId="020E8EEF">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预算金额（元）</w:t>
            </w:r>
          </w:p>
        </w:tc>
        <w:tc>
          <w:tcPr>
            <w:tcW w:w="1740" w:type="dxa"/>
            <w:vAlign w:val="center"/>
          </w:tcPr>
          <w:p w14:paraId="5F7CFEC3">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lang w:bidi="ar"/>
              </w:rPr>
              <w:t>最高限价（元）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14" w:type="dxa"/>
            <w:vAlign w:val="center"/>
          </w:tcPr>
          <w:p w14:paraId="72F80D9E">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4914" w:type="dxa"/>
            <w:vAlign w:val="center"/>
          </w:tcPr>
          <w:p w14:paraId="5C9F6EBE">
            <w:pPr>
              <w:keepNext w:val="0"/>
              <w:keepLines w:val="0"/>
              <w:suppressLineNumbers w:val="0"/>
              <w:spacing w:before="0" w:beforeAutospacing="0" w:after="0" w:afterAutospacing="0"/>
              <w:ind w:left="0" w:right="0"/>
              <w:jc w:val="center"/>
              <w:rPr>
                <w:rFonts w:hint="default"/>
                <w:bCs/>
                <w:szCs w:val="21"/>
              </w:rPr>
            </w:pPr>
            <w:r>
              <w:rPr>
                <w:rFonts w:hint="default"/>
                <w:bCs/>
                <w:szCs w:val="21"/>
              </w:rPr>
              <w:t>深圳市第三人民院输尿管硬镜采购</w:t>
            </w:r>
          </w:p>
        </w:tc>
        <w:tc>
          <w:tcPr>
            <w:tcW w:w="1580" w:type="dxa"/>
            <w:vAlign w:val="center"/>
          </w:tcPr>
          <w:p w14:paraId="470817FE">
            <w:pPr>
              <w:keepNext w:val="0"/>
              <w:keepLines w:val="0"/>
              <w:suppressLineNumbers w:val="0"/>
              <w:spacing w:before="0" w:beforeAutospacing="0" w:after="0" w:afterAutospacing="0"/>
              <w:ind w:left="0" w:right="0"/>
              <w:jc w:val="center"/>
              <w:rPr>
                <w:rFonts w:hint="default"/>
                <w:bCs/>
                <w:color w:val="FF0000"/>
                <w:szCs w:val="21"/>
                <w:lang w:val="en-US"/>
              </w:rPr>
            </w:pPr>
            <w:r>
              <w:rPr>
                <w:rFonts w:hint="eastAsia" w:asciiTheme="minorEastAsia" w:hAnsiTheme="minorEastAsia" w:eastAsiaTheme="minorEastAsia"/>
                <w:color w:val="auto"/>
                <w:szCs w:val="21"/>
                <w:highlight w:val="yellow"/>
                <w:lang w:val="en-US" w:eastAsia="zh-CN"/>
              </w:rPr>
              <w:t>405000.00</w:t>
            </w:r>
          </w:p>
        </w:tc>
        <w:tc>
          <w:tcPr>
            <w:tcW w:w="1740" w:type="dxa"/>
            <w:vAlign w:val="center"/>
          </w:tcPr>
          <w:p w14:paraId="48F93B54">
            <w:pPr>
              <w:keepNext w:val="0"/>
              <w:keepLines w:val="0"/>
              <w:suppressLineNumbers w:val="0"/>
              <w:spacing w:before="0" w:beforeAutospacing="0" w:after="0" w:afterAutospacing="0"/>
              <w:ind w:left="0" w:right="0"/>
              <w:jc w:val="center"/>
              <w:rPr>
                <w:rFonts w:hint="default" w:eastAsia="宋体"/>
                <w:bCs/>
                <w:color w:val="FF0000"/>
                <w:szCs w:val="21"/>
                <w:lang w:val="en-US" w:eastAsia="zh-CN"/>
              </w:rPr>
            </w:pPr>
            <w:r>
              <w:rPr>
                <w:rFonts w:hint="default"/>
                <w:bCs/>
                <w:color w:val="FF0000"/>
                <w:szCs w:val="21"/>
              </w:rPr>
              <w:t>39</w:t>
            </w:r>
            <w:r>
              <w:rPr>
                <w:rFonts w:hint="eastAsia"/>
                <w:bCs/>
                <w:color w:val="FF0000"/>
                <w:szCs w:val="21"/>
                <w:lang w:val="en-US" w:eastAsia="zh-CN"/>
              </w:rPr>
              <w:t>0000.00</w:t>
            </w:r>
          </w:p>
        </w:tc>
      </w:tr>
    </w:tbl>
    <w:p w14:paraId="36FF25F4">
      <w:pPr>
        <w:keepNext w:val="0"/>
        <w:keepLines w:val="0"/>
        <w:suppressLineNumbers w:val="0"/>
        <w:spacing w:before="0" w:beforeAutospacing="0" w:after="0" w:afterAutospacing="0"/>
        <w:ind w:left="0" w:right="0"/>
        <w:jc w:val="center"/>
        <w:rPr>
          <w:rFonts w:hint="eastAsia" w:eastAsia="宋体"/>
          <w:bCs/>
          <w:szCs w:val="21"/>
        </w:rPr>
      </w:pPr>
      <w:bookmarkStart w:id="34" w:name="_Hlk72258617"/>
      <w:r>
        <w:rPr>
          <w:rFonts w:hint="eastAsia" w:eastAsia="宋体"/>
          <w:bCs/>
          <w:szCs w:val="21"/>
        </w:rPr>
        <w:t>本项目在预算金额下设定最高限价，如投标人的投标报价超过最高限价，将按照符合性审查要求作投标无效处理</w:t>
      </w:r>
    </w:p>
    <w:p w14:paraId="758D30BF">
      <w:pPr>
        <w:pStyle w:val="5"/>
        <w:spacing w:before="120" w:beforeLines="50" w:after="120" w:afterLines="50"/>
        <w:rPr>
          <w:rFonts w:hint="eastAsia" w:eastAsia="宋体"/>
          <w:szCs w:val="24"/>
          <w:lang w:eastAsia="zh-CN"/>
        </w:rPr>
      </w:pPr>
      <w:r>
        <w:rPr>
          <w:rFonts w:hint="eastAsia"/>
          <w:szCs w:val="24"/>
        </w:rPr>
        <w:t>二、</w:t>
      </w:r>
      <w:r>
        <w:rPr>
          <w:rFonts w:hint="eastAsia"/>
          <w:szCs w:val="24"/>
          <w:lang w:eastAsia="zh-CN"/>
        </w:rPr>
        <w:t>货物清单明细</w:t>
      </w:r>
    </w:p>
    <w:tbl>
      <w:tblPr>
        <w:tblStyle w:val="42"/>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767"/>
        <w:gridCol w:w="712"/>
        <w:gridCol w:w="855"/>
        <w:gridCol w:w="2672"/>
        <w:gridCol w:w="2218"/>
      </w:tblGrid>
      <w:tr w14:paraId="2D5D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2" w:type="pct"/>
            <w:vAlign w:val="center"/>
          </w:tcPr>
          <w:p w14:paraId="30411941">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983" w:type="pct"/>
            <w:vAlign w:val="center"/>
          </w:tcPr>
          <w:p w14:paraId="0A573339">
            <w:pPr>
              <w:keepNext w:val="0"/>
              <w:keepLines w:val="0"/>
              <w:suppressLineNumbers w:val="0"/>
              <w:spacing w:before="0" w:beforeAutospacing="0" w:after="0" w:afterAutospacing="0"/>
              <w:ind w:left="0" w:right="0"/>
              <w:jc w:val="center"/>
              <w:rPr>
                <w:rFonts w:hint="default"/>
                <w:bCs/>
                <w:szCs w:val="21"/>
              </w:rPr>
            </w:pPr>
            <w:r>
              <w:rPr>
                <w:rFonts w:hint="eastAsia"/>
                <w:bCs/>
                <w:szCs w:val="21"/>
              </w:rPr>
              <w:t>货物名称（标的名称）</w:t>
            </w:r>
          </w:p>
        </w:tc>
        <w:tc>
          <w:tcPr>
            <w:tcW w:w="396" w:type="pct"/>
            <w:vAlign w:val="center"/>
          </w:tcPr>
          <w:p w14:paraId="771CDA6C">
            <w:pPr>
              <w:keepNext w:val="0"/>
              <w:keepLines w:val="0"/>
              <w:suppressLineNumbers w:val="0"/>
              <w:spacing w:before="0" w:beforeAutospacing="0" w:after="0" w:afterAutospacing="0"/>
              <w:ind w:left="0" w:right="0"/>
              <w:jc w:val="center"/>
              <w:rPr>
                <w:rFonts w:hint="default"/>
                <w:bCs/>
                <w:szCs w:val="21"/>
              </w:rPr>
            </w:pPr>
            <w:r>
              <w:rPr>
                <w:rFonts w:hint="eastAsia"/>
                <w:bCs/>
                <w:szCs w:val="21"/>
              </w:rPr>
              <w:t>数量</w:t>
            </w:r>
          </w:p>
        </w:tc>
        <w:tc>
          <w:tcPr>
            <w:tcW w:w="476" w:type="pct"/>
            <w:vAlign w:val="center"/>
          </w:tcPr>
          <w:p w14:paraId="080596E2">
            <w:pPr>
              <w:keepNext w:val="0"/>
              <w:keepLines w:val="0"/>
              <w:suppressLineNumbers w:val="0"/>
              <w:spacing w:before="0" w:beforeAutospacing="0" w:after="0" w:afterAutospacing="0"/>
              <w:ind w:left="0" w:right="0"/>
              <w:jc w:val="center"/>
              <w:rPr>
                <w:rFonts w:hint="default"/>
                <w:bCs/>
                <w:szCs w:val="21"/>
              </w:rPr>
            </w:pPr>
            <w:r>
              <w:rPr>
                <w:rFonts w:hint="eastAsia"/>
                <w:bCs/>
                <w:szCs w:val="21"/>
              </w:rPr>
              <w:t>单位</w:t>
            </w:r>
          </w:p>
        </w:tc>
        <w:tc>
          <w:tcPr>
            <w:tcW w:w="1487" w:type="pct"/>
            <w:vAlign w:val="center"/>
          </w:tcPr>
          <w:p w14:paraId="36DF2F3D">
            <w:pPr>
              <w:keepNext w:val="0"/>
              <w:keepLines w:val="0"/>
              <w:suppressLineNumbers w:val="0"/>
              <w:spacing w:before="0" w:beforeAutospacing="0" w:after="0" w:afterAutospacing="0"/>
              <w:ind w:left="0" w:right="0"/>
              <w:jc w:val="center"/>
              <w:rPr>
                <w:rFonts w:hint="default" w:eastAsia="宋体"/>
                <w:b/>
                <w:bCs/>
                <w:color w:val="FF0000"/>
                <w:szCs w:val="21"/>
                <w:lang w:val="en-US" w:eastAsia="zh-CN"/>
              </w:rPr>
            </w:pPr>
            <w:r>
              <w:rPr>
                <w:rFonts w:hint="eastAsia"/>
                <w:b/>
                <w:bCs/>
                <w:color w:val="FF0000"/>
                <w:szCs w:val="21"/>
                <w:lang w:val="en-US" w:eastAsia="zh-CN"/>
              </w:rPr>
              <w:t>是否接受进口</w:t>
            </w:r>
          </w:p>
        </w:tc>
        <w:tc>
          <w:tcPr>
            <w:tcW w:w="1234" w:type="pct"/>
            <w:vAlign w:val="center"/>
          </w:tcPr>
          <w:p w14:paraId="7B6273C0">
            <w:pPr>
              <w:keepNext w:val="0"/>
              <w:keepLines w:val="0"/>
              <w:suppressLineNumbers w:val="0"/>
              <w:spacing w:before="0" w:beforeAutospacing="0" w:after="0" w:afterAutospacing="0"/>
              <w:ind w:left="0" w:right="0"/>
              <w:jc w:val="center"/>
              <w:rPr>
                <w:rFonts w:hint="default"/>
                <w:b/>
                <w:bCs/>
                <w:color w:val="FF0000"/>
                <w:szCs w:val="21"/>
                <w:lang w:val="en-US" w:eastAsia="zh-CN"/>
              </w:rPr>
            </w:pPr>
            <w:r>
              <w:rPr>
                <w:rFonts w:hint="eastAsia"/>
                <w:b/>
                <w:bCs/>
                <w:color w:val="FF0000"/>
                <w:szCs w:val="21"/>
                <w:lang w:val="en-US" w:eastAsia="zh-CN"/>
              </w:rPr>
              <w:t>标的所属行业</w:t>
            </w:r>
          </w:p>
        </w:tc>
      </w:tr>
      <w:tr w14:paraId="0120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2" w:type="pct"/>
            <w:vAlign w:val="center"/>
          </w:tcPr>
          <w:p w14:paraId="4823249A">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983" w:type="pct"/>
            <w:vAlign w:val="center"/>
          </w:tcPr>
          <w:p w14:paraId="6659EC73">
            <w:pPr>
              <w:keepNext w:val="0"/>
              <w:keepLines w:val="0"/>
              <w:suppressLineNumbers w:val="0"/>
              <w:spacing w:before="0" w:beforeAutospacing="0" w:after="0" w:afterAutospacing="0"/>
              <w:ind w:left="0" w:right="0"/>
              <w:jc w:val="center"/>
              <w:rPr>
                <w:rFonts w:hint="default"/>
                <w:bCs/>
                <w:szCs w:val="21"/>
              </w:rPr>
            </w:pPr>
            <w:r>
              <w:rPr>
                <w:rFonts w:hint="default"/>
                <w:bCs/>
                <w:szCs w:val="21"/>
              </w:rPr>
              <w:t>输尿管硬镜</w:t>
            </w:r>
          </w:p>
        </w:tc>
        <w:tc>
          <w:tcPr>
            <w:tcW w:w="396" w:type="pct"/>
            <w:vAlign w:val="center"/>
          </w:tcPr>
          <w:p w14:paraId="1E32A25C">
            <w:pPr>
              <w:keepNext w:val="0"/>
              <w:keepLines w:val="0"/>
              <w:suppressLineNumbers w:val="0"/>
              <w:spacing w:before="0" w:beforeAutospacing="0" w:after="0" w:afterAutospacing="0"/>
              <w:ind w:left="0" w:right="0"/>
              <w:jc w:val="center"/>
              <w:rPr>
                <w:rFonts w:hint="eastAsia" w:eastAsia="宋体"/>
                <w:bCs/>
                <w:szCs w:val="21"/>
                <w:lang w:eastAsia="zh-CN"/>
              </w:rPr>
            </w:pPr>
            <w:r>
              <w:rPr>
                <w:rFonts w:hint="eastAsia"/>
                <w:lang w:val="en-US" w:eastAsia="zh-CN"/>
              </w:rPr>
              <w:t>1</w:t>
            </w:r>
          </w:p>
        </w:tc>
        <w:tc>
          <w:tcPr>
            <w:tcW w:w="476" w:type="pct"/>
            <w:vAlign w:val="center"/>
          </w:tcPr>
          <w:p w14:paraId="617F9D19">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套</w:t>
            </w:r>
          </w:p>
        </w:tc>
        <w:tc>
          <w:tcPr>
            <w:tcW w:w="1487" w:type="pct"/>
            <w:vAlign w:val="center"/>
          </w:tcPr>
          <w:p w14:paraId="61E44712">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接受进口</w:t>
            </w:r>
          </w:p>
        </w:tc>
        <w:tc>
          <w:tcPr>
            <w:tcW w:w="1234" w:type="pct"/>
            <w:vAlign w:val="center"/>
          </w:tcPr>
          <w:p w14:paraId="5DB6A2EF">
            <w:pPr>
              <w:keepNext w:val="0"/>
              <w:keepLines w:val="0"/>
              <w:suppressLineNumbers w:val="0"/>
              <w:spacing w:before="0" w:beforeAutospacing="0" w:after="0" w:afterAutospacing="0"/>
              <w:ind w:left="0" w:right="0"/>
              <w:jc w:val="center"/>
              <w:rPr>
                <w:rFonts w:hint="eastAsia" w:eastAsia="宋体"/>
                <w:b/>
                <w:bCs/>
                <w:color w:val="FF0000"/>
                <w:szCs w:val="21"/>
                <w:lang w:val="en-US" w:eastAsia="zh-CN"/>
              </w:rPr>
            </w:pPr>
            <w:r>
              <w:rPr>
                <w:rFonts w:hint="eastAsia"/>
                <w:b/>
                <w:bCs/>
                <w:color w:val="FF0000"/>
                <w:szCs w:val="21"/>
                <w:lang w:val="en-US" w:eastAsia="zh-CN"/>
              </w:rPr>
              <w:t>工业</w:t>
            </w:r>
          </w:p>
        </w:tc>
      </w:tr>
    </w:tbl>
    <w:p w14:paraId="278CE215">
      <w:pPr>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14:paraId="63367F03">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5822440A">
      <w:pPr>
        <w:ind w:firstLine="422" w:firstLineChars="200"/>
      </w:pPr>
      <w:r>
        <w:rPr>
          <w:rFonts w:hint="eastAsia" w:ascii="宋体" w:hAnsi="宋体"/>
          <w:b/>
          <w:color w:val="FF0000"/>
          <w:szCs w:val="21"/>
        </w:rPr>
        <w:t>3、本项目核心产品为：本项目为单一产品采购，不设置核心产品。</w:t>
      </w:r>
      <w:bookmarkEnd w:id="34"/>
    </w:p>
    <w:p w14:paraId="58FFE2FE">
      <w:pPr>
        <w:pStyle w:val="5"/>
        <w:spacing w:before="156" w:beforeLines="50" w:after="156" w:afterLines="50"/>
        <w:rPr>
          <w:szCs w:val="24"/>
        </w:rPr>
      </w:pPr>
      <w:r>
        <w:rPr>
          <w:rFonts w:hint="eastAsia"/>
          <w:szCs w:val="24"/>
          <w:lang w:val="en-US" w:eastAsia="zh-CN"/>
        </w:rPr>
        <w:t>三</w:t>
      </w:r>
      <w:r>
        <w:rPr>
          <w:rFonts w:hint="eastAsia"/>
          <w:szCs w:val="24"/>
        </w:rPr>
        <w:t>、实质性条款</w:t>
      </w:r>
    </w:p>
    <w:tbl>
      <w:tblPr>
        <w:tblStyle w:val="42"/>
        <w:tblW w:w="888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074"/>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E4D84F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序号</w:t>
            </w:r>
          </w:p>
        </w:tc>
        <w:tc>
          <w:tcPr>
            <w:tcW w:w="8074" w:type="dxa"/>
            <w:vAlign w:val="center"/>
          </w:tcPr>
          <w:p w14:paraId="7B26E74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szCs w:val="21"/>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B1583F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1</w:t>
            </w:r>
          </w:p>
        </w:tc>
        <w:tc>
          <w:tcPr>
            <w:tcW w:w="8074" w:type="dxa"/>
          </w:tcPr>
          <w:p w14:paraId="157CDA47">
            <w:pPr>
              <w:keepNext w:val="0"/>
              <w:keepLines w:val="0"/>
              <w:suppressLineNumbers w:val="0"/>
              <w:spacing w:before="0" w:beforeAutospacing="0" w:after="0" w:afterAutospacing="0"/>
              <w:ind w:left="0" w:right="0"/>
              <w:rPr>
                <w:rFonts w:hint="default" w:hAnsi="宋体" w:eastAsiaTheme="minorEastAsia"/>
                <w:kern w:val="0"/>
                <w:szCs w:val="21"/>
              </w:rPr>
            </w:pPr>
            <w:r>
              <w:rPr>
                <w:rFonts w:hint="eastAsia" w:hAnsi="宋体"/>
                <w:kern w:val="0"/>
                <w:szCs w:val="21"/>
              </w:rPr>
              <w:t>满足本项目标★的条款要求。</w:t>
            </w:r>
          </w:p>
        </w:tc>
      </w:tr>
      <w:bookmarkEnd w:id="33"/>
    </w:tbl>
    <w:p w14:paraId="3349EE76">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5FF9C413">
      <w:pPr>
        <w:pStyle w:val="18"/>
        <w:rPr>
          <w:rFonts w:ascii="宋体"/>
          <w:b/>
          <w:kern w:val="0"/>
          <w:sz w:val="24"/>
          <w:szCs w:val="20"/>
        </w:rPr>
      </w:pPr>
    </w:p>
    <w:p w14:paraId="75067357">
      <w:pPr>
        <w:pStyle w:val="19"/>
      </w:pPr>
    </w:p>
    <w:p w14:paraId="3C7A4CD0">
      <w:pPr>
        <w:pStyle w:val="5"/>
        <w:spacing w:before="120" w:beforeLines="50" w:after="120" w:afterLines="50"/>
        <w:rPr>
          <w:sz w:val="28"/>
          <w:szCs w:val="28"/>
        </w:rPr>
      </w:pPr>
      <w:r>
        <w:rPr>
          <w:rFonts w:hint="eastAsia"/>
          <w:sz w:val="28"/>
          <w:szCs w:val="28"/>
        </w:rPr>
        <w:t>四、技术要求</w:t>
      </w:r>
    </w:p>
    <w:p w14:paraId="7669CA25">
      <w:pPr>
        <w:ind w:firstLine="422" w:firstLineChars="200"/>
        <w:rPr>
          <w:b/>
        </w:rPr>
      </w:pPr>
      <w:r>
        <w:rPr>
          <w:rFonts w:hint="eastAsia"/>
          <w:b/>
          <w:szCs w:val="21"/>
        </w:rPr>
        <w:t>说明：</w:t>
      </w:r>
      <w:r>
        <w:rPr>
          <w:b/>
        </w:rPr>
        <w:t>1</w:t>
      </w:r>
      <w:r>
        <w:rPr>
          <w:rFonts w:hint="eastAsia"/>
          <w:b/>
        </w:rPr>
        <w:t>、评分时，如对一项招标技术要求（以划分框为准）中的内容存在两处（或以上）负偏离的，在评分时只作一项负偏离扣分。</w:t>
      </w:r>
    </w:p>
    <w:p w14:paraId="7912BC71">
      <w:pPr>
        <w:ind w:firstLine="422" w:firstLineChars="200"/>
        <w:rPr>
          <w:b/>
          <w:szCs w:val="21"/>
        </w:rPr>
      </w:pPr>
      <w:r>
        <w:rPr>
          <w:b/>
          <w:szCs w:val="21"/>
        </w:rPr>
        <w:t>2</w:t>
      </w:r>
      <w:r>
        <w:rPr>
          <w:rFonts w:hint="eastAsia"/>
          <w:b/>
          <w:szCs w:val="21"/>
        </w:rPr>
        <w:t>、带★号条款为不可</w:t>
      </w:r>
      <w:r>
        <w:rPr>
          <w:rFonts w:hint="eastAsia"/>
          <w:b/>
          <w:szCs w:val="21"/>
          <w:lang w:val="en-US" w:eastAsia="zh-CN"/>
        </w:rPr>
        <w:t>负</w:t>
      </w:r>
      <w:r>
        <w:rPr>
          <w:rFonts w:hint="eastAsia"/>
          <w:b/>
          <w:szCs w:val="21"/>
        </w:rPr>
        <w:t>偏离条款，不作为评分准则中的评分内容</w:t>
      </w:r>
      <w:r>
        <w:rPr>
          <w:rFonts w:hint="eastAsia"/>
          <w:b/>
          <w:szCs w:val="21"/>
          <w:lang w:eastAsia="zh-CN"/>
        </w:rPr>
        <w:t>，</w:t>
      </w:r>
      <w:r>
        <w:rPr>
          <w:rFonts w:hint="eastAsia"/>
          <w:b/>
          <w:szCs w:val="21"/>
        </w:rPr>
        <w:t>如未响应或出现负偏离的，将作投标无效处理；带“</w:t>
      </w:r>
      <w:r>
        <w:t>▲</w:t>
      </w:r>
      <w:r>
        <w:rPr>
          <w:rFonts w:hint="eastAsia"/>
          <w:b/>
          <w:szCs w:val="21"/>
        </w:rPr>
        <w:t>”指标项为重要参数条款，负偏离时依相关评分准则内容作重点扣分处理。</w:t>
      </w:r>
    </w:p>
    <w:p w14:paraId="6C701C4F">
      <w:pPr>
        <w:ind w:firstLine="422" w:firstLineChars="200"/>
        <w:rPr>
          <w:rFonts w:hint="eastAsia"/>
          <w:b/>
          <w:szCs w:val="21"/>
        </w:rPr>
      </w:pPr>
      <w:r>
        <w:rPr>
          <w:b/>
          <w:szCs w:val="21"/>
        </w:rPr>
        <w:t>3</w:t>
      </w:r>
      <w:r>
        <w:rPr>
          <w:rFonts w:hint="eastAsia"/>
          <w:b/>
          <w:szCs w:val="21"/>
        </w:rPr>
        <w:t>、</w:t>
      </w:r>
      <w:bookmarkStart w:id="35" w:name="_Hlk72585069"/>
      <w:r>
        <w:rPr>
          <w:rFonts w:hint="eastAsia"/>
          <w:b/>
          <w:szCs w:val="21"/>
        </w:rPr>
        <w:t>招标技术要求中，用</w:t>
      </w:r>
      <w:r>
        <w:rPr>
          <w:rFonts w:hint="eastAsia"/>
          <w:b/>
          <w:color w:val="FF0000"/>
          <w:szCs w:val="21"/>
        </w:rPr>
        <w:t>红色加粗字体标注</w:t>
      </w:r>
      <w:r>
        <w:rPr>
          <w:rFonts w:hint="eastAsia"/>
          <w:b/>
          <w:szCs w:val="21"/>
        </w:rPr>
        <w:t>的指标项均要求提供证明资料；其余指标项未要求提供证明资料，无需提供相关证明资料。</w:t>
      </w:r>
    </w:p>
    <w:p w14:paraId="6497F7A0">
      <w:pPr>
        <w:ind w:firstLine="422" w:firstLineChars="200"/>
        <w:rPr>
          <w:rFonts w:hint="eastAsia" w:ascii="Times New Roman" w:hAnsi="Times New Roman" w:eastAsia="宋体" w:cs="Times New Roman"/>
          <w:b/>
          <w:szCs w:val="21"/>
        </w:rPr>
      </w:pPr>
      <w:r>
        <w:rPr>
          <w:rFonts w:hint="eastAsia" w:ascii="Times New Roman" w:hAnsi="Times New Roman" w:eastAsia="宋体" w:cs="Times New Roman"/>
          <w:b/>
          <w:color w:val="FF0000"/>
          <w:szCs w:val="21"/>
        </w:rPr>
        <w:t>4、涉及区间的参数，除特别注明以外，</w:t>
      </w:r>
      <w:bookmarkStart w:id="36" w:name="_Hlk75447406"/>
      <w:r>
        <w:rPr>
          <w:rFonts w:hint="eastAsia" w:ascii="Times New Roman" w:hAnsi="Times New Roman" w:eastAsia="宋体" w:cs="Times New Roman"/>
          <w:b/>
          <w:color w:val="FF0000"/>
          <w:szCs w:val="21"/>
        </w:rPr>
        <w:t>产品参数区间与招标要求不一致的均视为负偏离。</w:t>
      </w:r>
      <w:bookmarkEnd w:id="36"/>
      <w:r>
        <w:rPr>
          <w:rFonts w:hint="eastAsia" w:ascii="Times New Roman" w:hAnsi="Times New Roman" w:eastAsia="宋体" w:cs="Times New Roman"/>
          <w:b/>
          <w:color w:val="FF0000"/>
          <w:szCs w:val="21"/>
        </w:rPr>
        <w:t>例：区间要求为0-20ML,只要响应的不是“0-20ML”，如投标文件响应为 0-15ML 、0-21ML 、1-12ML 、 9-20ML 、6-21ML 、9ML等情形均视为负偏离。</w:t>
      </w:r>
    </w:p>
    <w:bookmarkEnd w:id="35"/>
    <w:tbl>
      <w:tblPr>
        <w:tblStyle w:val="42"/>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134"/>
        <w:gridCol w:w="6485"/>
      </w:tblGrid>
      <w:tr w14:paraId="110A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1" w:type="dxa"/>
            <w:vAlign w:val="center"/>
          </w:tcPr>
          <w:p w14:paraId="7392B10C">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bookmarkStart w:id="37" w:name="_Hlk70236148"/>
            <w:r>
              <w:rPr>
                <w:rFonts w:hint="default"/>
                <w:color w:val="000000" w:themeColor="text1"/>
                <w:szCs w:val="21"/>
                <w14:textFill>
                  <w14:solidFill>
                    <w14:schemeClr w14:val="tx1"/>
                  </w14:solidFill>
                </w14:textFill>
              </w:rPr>
              <w:t>序号</w:t>
            </w:r>
          </w:p>
        </w:tc>
        <w:tc>
          <w:tcPr>
            <w:tcW w:w="1134" w:type="dxa"/>
            <w:vAlign w:val="center"/>
          </w:tcPr>
          <w:p w14:paraId="2086CDCF">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货物名称</w:t>
            </w:r>
          </w:p>
        </w:tc>
        <w:tc>
          <w:tcPr>
            <w:tcW w:w="6485" w:type="dxa"/>
            <w:vAlign w:val="center"/>
          </w:tcPr>
          <w:p w14:paraId="5CF987B5">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招标</w:t>
            </w:r>
            <w:r>
              <w:rPr>
                <w:rFonts w:hint="default"/>
                <w:color w:val="000000" w:themeColor="text1"/>
                <w:szCs w:val="21"/>
                <w14:textFill>
                  <w14:solidFill>
                    <w14:schemeClr w14:val="tx1"/>
                  </w14:solidFill>
                </w14:textFill>
              </w:rPr>
              <w:t>技术要求</w:t>
            </w:r>
          </w:p>
        </w:tc>
      </w:tr>
      <w:tr w14:paraId="1AF2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2BD3B527">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w:t>
            </w:r>
          </w:p>
        </w:tc>
        <w:tc>
          <w:tcPr>
            <w:tcW w:w="1134" w:type="dxa"/>
            <w:vMerge w:val="restart"/>
            <w:vAlign w:val="center"/>
          </w:tcPr>
          <w:p w14:paraId="6E5E8F78">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bCs/>
                <w:szCs w:val="21"/>
              </w:rPr>
              <w:t>输尿管硬镜</w:t>
            </w:r>
          </w:p>
        </w:tc>
        <w:tc>
          <w:tcPr>
            <w:tcW w:w="6485" w:type="dxa"/>
            <w:vAlign w:val="top"/>
          </w:tcPr>
          <w:p w14:paraId="33F816A1">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color w:val="000000" w:themeColor="text1"/>
                <w:szCs w:val="21"/>
                <w14:textFill>
                  <w14:solidFill>
                    <w14:schemeClr w14:val="tx1"/>
                  </w14:solidFill>
                </w14:textFill>
              </w:rPr>
            </w:pPr>
            <w:r>
              <w:rPr>
                <w:rFonts w:hint="eastAsia" w:ascii="宋体" w:hAnsi="宋体" w:eastAsia="宋体" w:cs="宋体"/>
                <w:b/>
                <w:bCs w:val="0"/>
                <w:color w:val="FF0000"/>
                <w:sz w:val="21"/>
                <w:szCs w:val="21"/>
                <w:lang w:val="en-US" w:eastAsia="zh-CN"/>
              </w:rPr>
              <w:t>1、▲镜身一体式设计，前端≥8.0Fr，后端≤9.8 Fr；</w:t>
            </w:r>
            <w:r>
              <w:rPr>
                <w:rFonts w:hint="eastAsia" w:ascii="宋体" w:hAnsi="宋体" w:cs="宋体"/>
                <w:b/>
                <w:bCs w:val="0"/>
                <w:color w:val="FF0000"/>
                <w:sz w:val="21"/>
                <w:szCs w:val="21"/>
                <w:lang w:val="en-US" w:eastAsia="zh-CN"/>
              </w:rPr>
              <w:t>（提供产品彩页或技术白皮书或产品说明书或厂家参数确认函作为证明材料，可证明前述参数</w:t>
            </w:r>
            <w:r>
              <w:rPr>
                <w:rFonts w:hint="eastAsia" w:ascii="宋体" w:hAnsi="宋体" w:eastAsia="宋体" w:cs="宋体"/>
                <w:b/>
                <w:bCs w:val="0"/>
                <w:color w:val="FF0000"/>
                <w:sz w:val="21"/>
                <w:szCs w:val="21"/>
                <w:lang w:val="en-US" w:eastAsia="zh-CN"/>
              </w:rPr>
              <w:t>）</w:t>
            </w:r>
          </w:p>
        </w:tc>
      </w:tr>
      <w:tr w14:paraId="3D18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2DF3DC99">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vAlign w:val="center"/>
          </w:tcPr>
          <w:p w14:paraId="70CCFDE3">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485" w:type="dxa"/>
            <w:vAlign w:val="top"/>
          </w:tcPr>
          <w:p w14:paraId="14EE681B">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color w:val="000000" w:themeColor="text1"/>
                <w:szCs w:val="21"/>
                <w14:textFill>
                  <w14:solidFill>
                    <w14:schemeClr w14:val="tx1"/>
                  </w14:solidFill>
                </w14:textFill>
              </w:rPr>
            </w:pPr>
            <w:r>
              <w:rPr>
                <w:rFonts w:hint="eastAsia" w:ascii="宋体" w:hAnsi="宋体" w:eastAsia="宋体" w:cs="宋体"/>
                <w:b/>
                <w:bCs w:val="0"/>
                <w:color w:val="FF0000"/>
                <w:sz w:val="21"/>
                <w:szCs w:val="21"/>
                <w:lang w:val="en-US" w:eastAsia="zh-CN"/>
              </w:rPr>
              <w:t>2、▲视野角度: 12 度</w:t>
            </w:r>
            <w:r>
              <w:rPr>
                <w:rFonts w:hint="eastAsia" w:ascii="宋体" w:hAnsi="宋体" w:cs="宋体"/>
                <w:b/>
                <w:bCs w:val="0"/>
                <w:color w:val="FF0000"/>
                <w:sz w:val="21"/>
                <w:szCs w:val="21"/>
                <w:lang w:val="en-US" w:eastAsia="zh-CN"/>
              </w:rPr>
              <w:t>±1度</w:t>
            </w:r>
            <w:r>
              <w:rPr>
                <w:rFonts w:hint="eastAsia" w:ascii="宋体" w:hAnsi="宋体" w:eastAsia="宋体" w:cs="宋体"/>
                <w:b/>
                <w:bCs w:val="0"/>
                <w:color w:val="FF0000"/>
                <w:sz w:val="21"/>
                <w:szCs w:val="21"/>
                <w:lang w:val="en-US" w:eastAsia="zh-CN"/>
              </w:rPr>
              <w:t>；</w:t>
            </w:r>
            <w:r>
              <w:rPr>
                <w:rFonts w:hint="eastAsia" w:ascii="宋体" w:hAnsi="宋体" w:cs="宋体"/>
                <w:b/>
                <w:bCs w:val="0"/>
                <w:color w:val="FF0000"/>
                <w:sz w:val="21"/>
                <w:szCs w:val="21"/>
                <w:lang w:val="en-US" w:eastAsia="zh-CN"/>
              </w:rPr>
              <w:t>（提供产品彩页或技术白皮书或产品说明书或厂家参数确认函作为证明材料，可证明前述参数</w:t>
            </w:r>
            <w:r>
              <w:rPr>
                <w:rFonts w:hint="eastAsia" w:ascii="宋体" w:hAnsi="宋体" w:eastAsia="宋体" w:cs="宋体"/>
                <w:b/>
                <w:bCs w:val="0"/>
                <w:color w:val="FF0000"/>
                <w:sz w:val="21"/>
                <w:szCs w:val="21"/>
                <w:lang w:val="en-US" w:eastAsia="zh-CN"/>
              </w:rPr>
              <w:t>）</w:t>
            </w:r>
          </w:p>
        </w:tc>
      </w:tr>
      <w:tr w14:paraId="6B15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099E49E3">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vAlign w:val="center"/>
          </w:tcPr>
          <w:p w14:paraId="17F5D999">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485" w:type="dxa"/>
            <w:vAlign w:val="top"/>
          </w:tcPr>
          <w:p w14:paraId="15C5F607">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eastAsia="宋体"/>
                <w:lang w:val="en-US" w:eastAsia="zh-CN"/>
              </w:rPr>
            </w:pPr>
            <w:r>
              <w:rPr>
                <w:rFonts w:hint="eastAsia" w:ascii="宋体" w:hAnsi="宋体" w:eastAsia="宋体" w:cs="宋体"/>
                <w:b w:val="0"/>
                <w:bCs/>
                <w:sz w:val="21"/>
                <w:szCs w:val="21"/>
                <w:lang w:val="en-US" w:eastAsia="zh-CN"/>
              </w:rPr>
              <w:t>3、可配合≥5Fr器械使用；</w:t>
            </w:r>
          </w:p>
        </w:tc>
      </w:tr>
      <w:tr w14:paraId="42D1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3142312C">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vAlign w:val="center"/>
          </w:tcPr>
          <w:p w14:paraId="6356BE49">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485" w:type="dxa"/>
            <w:vAlign w:val="top"/>
          </w:tcPr>
          <w:p w14:paraId="7B7EA2A9">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color w:val="000000" w:themeColor="text1"/>
                <w:szCs w:val="21"/>
                <w14:textFill>
                  <w14:solidFill>
                    <w14:schemeClr w14:val="tx1"/>
                  </w14:solidFill>
                </w14:textFill>
              </w:rPr>
            </w:pPr>
            <w:r>
              <w:rPr>
                <w:rFonts w:hint="eastAsia" w:ascii="宋体" w:hAnsi="宋体" w:eastAsia="宋体" w:cs="宋体"/>
                <w:b w:val="0"/>
                <w:bCs/>
                <w:sz w:val="21"/>
                <w:szCs w:val="21"/>
                <w:lang w:val="en-US" w:eastAsia="zh-CN"/>
              </w:rPr>
              <w:t>4、镜体工作长度≥430mm；</w:t>
            </w:r>
          </w:p>
        </w:tc>
      </w:tr>
      <w:tr w14:paraId="6FC0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14:paraId="53E37D0B">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tcPr>
          <w:p w14:paraId="334FE40C">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6485" w:type="dxa"/>
            <w:vAlign w:val="top"/>
          </w:tcPr>
          <w:p w14:paraId="5F71D007">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color w:val="000000" w:themeColor="text1"/>
                <w:szCs w:val="21"/>
                <w14:textFill>
                  <w14:solidFill>
                    <w14:schemeClr w14:val="tx1"/>
                  </w14:solidFill>
                </w14:textFill>
              </w:rPr>
            </w:pPr>
            <w:r>
              <w:rPr>
                <w:rFonts w:hint="eastAsia" w:ascii="宋体" w:hAnsi="宋体" w:eastAsia="宋体" w:cs="宋体"/>
                <w:b w:val="0"/>
                <w:bCs/>
                <w:sz w:val="21"/>
                <w:szCs w:val="21"/>
                <w:lang w:val="en-US" w:eastAsia="zh-CN"/>
              </w:rPr>
              <w:t>5、特殊金属记忆，镜管自动复位；</w:t>
            </w:r>
          </w:p>
        </w:tc>
      </w:tr>
      <w:tr w14:paraId="724A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14:paraId="702C4A0D">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tcPr>
          <w:p w14:paraId="522C0FDE">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6485" w:type="dxa"/>
            <w:vAlign w:val="top"/>
          </w:tcPr>
          <w:p w14:paraId="11056B9F">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color w:val="000000" w:themeColor="text1"/>
                <w:szCs w:val="21"/>
                <w14:textFill>
                  <w14:solidFill>
                    <w14:schemeClr w14:val="tx1"/>
                  </w14:solidFill>
                </w14:textFill>
              </w:rPr>
            </w:pPr>
            <w:r>
              <w:rPr>
                <w:rFonts w:hint="eastAsia" w:ascii="宋体" w:hAnsi="宋体" w:eastAsia="宋体" w:cs="宋体"/>
                <w:b/>
                <w:bCs w:val="0"/>
                <w:color w:val="FF0000"/>
                <w:sz w:val="21"/>
                <w:szCs w:val="21"/>
              </w:rPr>
              <w:t>6、▲图像</w:t>
            </w:r>
            <w:r>
              <w:rPr>
                <w:rFonts w:hint="eastAsia" w:ascii="宋体" w:hAnsi="宋体" w:eastAsia="宋体" w:cs="宋体"/>
                <w:b/>
                <w:bCs w:val="0"/>
                <w:color w:val="FF0000"/>
                <w:sz w:val="21"/>
                <w:szCs w:val="21"/>
                <w:lang w:val="en-US" w:eastAsia="zh-CN"/>
              </w:rPr>
              <w:t>≥</w:t>
            </w:r>
            <w:r>
              <w:rPr>
                <w:rFonts w:hint="eastAsia" w:ascii="宋体" w:hAnsi="宋体" w:eastAsia="宋体" w:cs="宋体"/>
                <w:b/>
                <w:bCs w:val="0"/>
                <w:color w:val="FF0000"/>
                <w:sz w:val="21"/>
                <w:szCs w:val="21"/>
              </w:rPr>
              <w:t>50000像素；</w:t>
            </w:r>
            <w:r>
              <w:rPr>
                <w:rFonts w:hint="eastAsia" w:ascii="宋体" w:hAnsi="宋体" w:cs="宋体"/>
                <w:b/>
                <w:bCs w:val="0"/>
                <w:color w:val="FF0000"/>
                <w:sz w:val="21"/>
                <w:szCs w:val="21"/>
                <w:lang w:val="en-US" w:eastAsia="zh-CN"/>
              </w:rPr>
              <w:t>（提供产品彩页或技术白皮书或产品说明书或厂家参数确认函作为证明材料，可证明前述参数</w:t>
            </w:r>
            <w:r>
              <w:rPr>
                <w:rFonts w:hint="eastAsia" w:ascii="宋体" w:hAnsi="宋体" w:eastAsia="宋体" w:cs="宋体"/>
                <w:b/>
                <w:bCs w:val="0"/>
                <w:color w:val="FF0000"/>
                <w:sz w:val="21"/>
                <w:szCs w:val="21"/>
                <w:lang w:val="en-US" w:eastAsia="zh-CN"/>
              </w:rPr>
              <w:t>）</w:t>
            </w:r>
          </w:p>
        </w:tc>
      </w:tr>
      <w:tr w14:paraId="240F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14:paraId="4EE9EA02">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tcPr>
          <w:p w14:paraId="7085CA87">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6485" w:type="dxa"/>
            <w:vAlign w:val="top"/>
          </w:tcPr>
          <w:p w14:paraId="4051564E">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b/>
                <w:bCs/>
                <w:color w:val="000000" w:themeColor="text1"/>
                <w:szCs w:val="21"/>
                <w14:textFill>
                  <w14:solidFill>
                    <w14:schemeClr w14:val="tx1"/>
                  </w14:solidFill>
                </w14:textFill>
              </w:rPr>
            </w:pPr>
            <w:r>
              <w:rPr>
                <w:rFonts w:hint="eastAsia" w:ascii="宋体" w:hAnsi="宋体" w:eastAsia="宋体" w:cs="宋体"/>
                <w:b w:val="0"/>
                <w:bCs/>
                <w:sz w:val="21"/>
                <w:szCs w:val="21"/>
                <w:lang w:val="en-US" w:eastAsia="zh-CN"/>
              </w:rPr>
              <w:t>7、防损伤插入前端，尾端器械通道有内置密封圈机构；</w:t>
            </w:r>
          </w:p>
        </w:tc>
      </w:tr>
      <w:tr w14:paraId="10BC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14:paraId="00ED829B">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tcPr>
          <w:p w14:paraId="1F076572">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6485" w:type="dxa"/>
            <w:vAlign w:val="top"/>
          </w:tcPr>
          <w:p w14:paraId="0958AE74">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color w:val="000000" w:themeColor="text1"/>
                <w:szCs w:val="21"/>
                <w:lang w:val="en-US" w:eastAsia="zh-CN"/>
                <w14:textFill>
                  <w14:solidFill>
                    <w14:schemeClr w14:val="tx1"/>
                  </w14:solidFill>
                </w14:textFill>
              </w:rPr>
            </w:pPr>
            <w:r>
              <w:rPr>
                <w:rFonts w:hint="eastAsia" w:ascii="宋体" w:hAnsi="宋体" w:eastAsia="宋体" w:cs="宋体"/>
                <w:b w:val="0"/>
                <w:bCs/>
                <w:color w:val="auto"/>
                <w:sz w:val="21"/>
                <w:szCs w:val="21"/>
                <w:lang w:val="en-US" w:eastAsia="zh-CN"/>
              </w:rPr>
              <w:t>8、器械入口</w:t>
            </w:r>
            <w:r>
              <w:rPr>
                <w:rFonts w:hint="eastAsia" w:ascii="宋体" w:hAnsi="宋体" w:cs="宋体"/>
                <w:b w:val="0"/>
                <w:bCs/>
                <w:color w:val="auto"/>
                <w:sz w:val="21"/>
                <w:szCs w:val="21"/>
                <w:lang w:val="en-US" w:eastAsia="zh-CN"/>
              </w:rPr>
              <w:t>具备</w:t>
            </w:r>
            <w:r>
              <w:rPr>
                <w:rFonts w:hint="eastAsia" w:ascii="宋体" w:hAnsi="宋体" w:eastAsia="宋体" w:cs="宋体"/>
                <w:b w:val="0"/>
                <w:bCs/>
                <w:color w:val="auto"/>
                <w:sz w:val="21"/>
                <w:szCs w:val="21"/>
                <w:lang w:val="en-US" w:eastAsia="zh-CN"/>
              </w:rPr>
              <w:t>喇叭状工作通道口</w:t>
            </w:r>
            <w:r>
              <w:rPr>
                <w:rFonts w:hint="eastAsia" w:ascii="宋体" w:hAnsi="宋体" w:cs="宋体"/>
                <w:b w:val="0"/>
                <w:bCs/>
                <w:color w:val="auto"/>
                <w:sz w:val="21"/>
                <w:szCs w:val="21"/>
                <w:lang w:val="en-US" w:eastAsia="zh-CN"/>
              </w:rPr>
              <w:t>.</w:t>
            </w:r>
          </w:p>
        </w:tc>
      </w:tr>
      <w:bookmarkEnd w:id="37"/>
      <w:tr w14:paraId="3772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3D6C878C">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vAlign w:val="center"/>
          </w:tcPr>
          <w:p w14:paraId="65703309">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485" w:type="dxa"/>
            <w:vAlign w:val="top"/>
          </w:tcPr>
          <w:p w14:paraId="1E2B970F">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color w:val="000000" w:themeColor="text1"/>
                <w:szCs w:val="21"/>
                <w14:textFill>
                  <w14:solidFill>
                    <w14:schemeClr w14:val="tx1"/>
                  </w14:solidFill>
                </w14:textFill>
              </w:rPr>
            </w:pPr>
            <w:r>
              <w:rPr>
                <w:rFonts w:hint="eastAsia" w:ascii="宋体" w:hAnsi="宋体" w:eastAsia="宋体" w:cs="宋体"/>
                <w:b w:val="0"/>
                <w:bCs/>
                <w:color w:val="auto"/>
                <w:sz w:val="21"/>
                <w:szCs w:val="21"/>
                <w:lang w:val="en-US" w:eastAsia="zh-CN"/>
              </w:rPr>
              <w:t>9、可</w:t>
            </w:r>
            <w:r>
              <w:rPr>
                <w:rFonts w:hint="eastAsia" w:ascii="宋体" w:hAnsi="宋体" w:cs="宋体"/>
                <w:b w:val="0"/>
                <w:bCs/>
                <w:color w:val="auto"/>
                <w:sz w:val="21"/>
                <w:szCs w:val="21"/>
                <w:lang w:val="en-US" w:eastAsia="zh-CN"/>
              </w:rPr>
              <w:t>配合</w:t>
            </w:r>
            <w:r>
              <w:rPr>
                <w:rFonts w:hint="eastAsia" w:ascii="宋体" w:hAnsi="宋体" w:eastAsia="宋体" w:cs="宋体"/>
                <w:b w:val="0"/>
                <w:bCs/>
                <w:color w:val="auto"/>
                <w:sz w:val="21"/>
                <w:szCs w:val="21"/>
                <w:lang w:val="en-US" w:eastAsia="zh-CN"/>
              </w:rPr>
              <w:t>碎石杆辅助器</w:t>
            </w:r>
            <w:r>
              <w:rPr>
                <w:rFonts w:hint="eastAsia" w:ascii="宋体" w:hAnsi="宋体" w:cs="宋体"/>
                <w:b w:val="0"/>
                <w:bCs/>
                <w:color w:val="auto"/>
                <w:sz w:val="21"/>
                <w:szCs w:val="21"/>
                <w:lang w:val="en-US" w:eastAsia="zh-CN"/>
              </w:rPr>
              <w:t>使用.</w:t>
            </w:r>
          </w:p>
        </w:tc>
      </w:tr>
      <w:tr w14:paraId="4176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14:paraId="64442F36">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tcPr>
          <w:p w14:paraId="61C7926C">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6485" w:type="dxa"/>
            <w:vAlign w:val="top"/>
          </w:tcPr>
          <w:p w14:paraId="6621F62D">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color w:val="000000" w:themeColor="text1"/>
                <w:szCs w:val="21"/>
                <w14:textFill>
                  <w14:solidFill>
                    <w14:schemeClr w14:val="tx1"/>
                  </w14:solidFill>
                </w14:textFill>
              </w:rPr>
            </w:pPr>
            <w:r>
              <w:rPr>
                <w:rFonts w:hint="eastAsia" w:ascii="宋体" w:hAnsi="宋体" w:eastAsia="宋体" w:cs="宋体"/>
                <w:b w:val="0"/>
                <w:bCs/>
                <w:sz w:val="21"/>
                <w:szCs w:val="21"/>
                <w:lang w:val="en-US" w:eastAsia="zh-CN"/>
              </w:rPr>
              <w:t>10、器械通道具有反渗水功能；</w:t>
            </w:r>
          </w:p>
        </w:tc>
      </w:tr>
      <w:tr w14:paraId="17DC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14:paraId="49C6ACA3">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tcPr>
          <w:p w14:paraId="148371D4">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6485" w:type="dxa"/>
            <w:vAlign w:val="top"/>
          </w:tcPr>
          <w:p w14:paraId="0B6BDEDF">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color w:val="000000" w:themeColor="text1"/>
                <w:szCs w:val="21"/>
                <w14:textFill>
                  <w14:solidFill>
                    <w14:schemeClr w14:val="tx1"/>
                  </w14:solidFill>
                </w14:textFill>
              </w:rPr>
            </w:pPr>
            <w:r>
              <w:rPr>
                <w:rFonts w:hint="eastAsia" w:ascii="宋体" w:hAnsi="宋体" w:eastAsia="宋体" w:cs="宋体"/>
                <w:b/>
                <w:bCs w:val="0"/>
                <w:color w:val="FF0000"/>
                <w:sz w:val="21"/>
                <w:szCs w:val="21"/>
                <w:lang w:val="en-US" w:eastAsia="zh-CN"/>
              </w:rPr>
              <w:t>11、可浸泡、熏蒸、高温高压消毒；</w:t>
            </w:r>
            <w:r>
              <w:rPr>
                <w:rFonts w:hint="eastAsia" w:ascii="宋体" w:hAnsi="宋体" w:cs="宋体"/>
                <w:b/>
                <w:bCs w:val="0"/>
                <w:color w:val="FF0000"/>
                <w:sz w:val="21"/>
                <w:szCs w:val="21"/>
                <w:lang w:val="en-US" w:eastAsia="zh-CN"/>
              </w:rPr>
              <w:t>（提供产品彩页或技术白皮书或产品说明书或厂家参数确认函作为证明材料，可证明前述参数</w:t>
            </w:r>
            <w:r>
              <w:rPr>
                <w:rFonts w:hint="eastAsia" w:ascii="宋体" w:hAnsi="宋体" w:eastAsia="宋体" w:cs="宋体"/>
                <w:b/>
                <w:bCs w:val="0"/>
                <w:color w:val="FF0000"/>
                <w:sz w:val="21"/>
                <w:szCs w:val="21"/>
                <w:lang w:val="en-US" w:eastAsia="zh-CN"/>
              </w:rPr>
              <w:t>）</w:t>
            </w:r>
          </w:p>
        </w:tc>
      </w:tr>
      <w:tr w14:paraId="21B2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14:paraId="4BD6B302">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tcPr>
          <w:p w14:paraId="0FDB227E">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6485" w:type="dxa"/>
            <w:vAlign w:val="top"/>
          </w:tcPr>
          <w:p w14:paraId="2BA2EE09">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b/>
                <w:bCs/>
                <w:color w:val="000000" w:themeColor="text1"/>
                <w:szCs w:val="21"/>
                <w14:textFill>
                  <w14:solidFill>
                    <w14:schemeClr w14:val="tx1"/>
                  </w14:solidFill>
                </w14:textFill>
              </w:rPr>
            </w:pPr>
            <w:r>
              <w:rPr>
                <w:rFonts w:hint="eastAsia" w:ascii="宋体" w:hAnsi="宋体" w:eastAsia="宋体" w:cs="宋体"/>
                <w:b w:val="0"/>
                <w:bCs/>
                <w:sz w:val="21"/>
                <w:szCs w:val="21"/>
                <w:lang w:val="en-US" w:eastAsia="zh-CN"/>
              </w:rPr>
              <w:t>12、钛合金材质外壳；</w:t>
            </w:r>
          </w:p>
        </w:tc>
      </w:tr>
      <w:tr w14:paraId="415A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14:paraId="1E710B63">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tcPr>
          <w:p w14:paraId="3F51401F">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6485" w:type="dxa"/>
            <w:vAlign w:val="top"/>
          </w:tcPr>
          <w:p w14:paraId="6D3D2F12">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color w:val="000000" w:themeColor="text1"/>
                <w:szCs w:val="21"/>
                <w:lang w:val="en-US" w:eastAsia="zh-CN"/>
                <w14:textFill>
                  <w14:solidFill>
                    <w14:schemeClr w14:val="tx1"/>
                  </w14:solidFill>
                </w14:textFill>
              </w:rPr>
            </w:pPr>
            <w:r>
              <w:rPr>
                <w:rFonts w:hint="eastAsia" w:ascii="宋体" w:hAnsi="宋体" w:eastAsia="宋体" w:cs="宋体"/>
                <w:b w:val="0"/>
                <w:bCs/>
                <w:sz w:val="21"/>
                <w:szCs w:val="21"/>
                <w:lang w:val="en-US" w:eastAsia="zh-CN"/>
              </w:rPr>
              <w:t>13、蓝宝石镜面；</w:t>
            </w:r>
          </w:p>
        </w:tc>
      </w:tr>
      <w:tr w14:paraId="5D9E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4093B7ED">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vAlign w:val="center"/>
          </w:tcPr>
          <w:p w14:paraId="146B1690">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6485" w:type="dxa"/>
            <w:vAlign w:val="top"/>
          </w:tcPr>
          <w:p w14:paraId="371DD8E7">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★配置清单</w:t>
            </w:r>
          </w:p>
          <w:tbl>
            <w:tblPr>
              <w:tblStyle w:val="42"/>
              <w:tblpPr w:leftFromText="180" w:rightFromText="180" w:vertAnchor="text" w:horzAnchor="margin" w:tblpY="1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864"/>
              <w:gridCol w:w="874"/>
              <w:gridCol w:w="1581"/>
            </w:tblGrid>
            <w:tr w14:paraId="1A02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99" w:type="dxa"/>
                  <w:noWrap w:val="0"/>
                  <w:vAlign w:val="center"/>
                </w:tcPr>
                <w:p w14:paraId="421FA32F">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序号</w:t>
                  </w:r>
                </w:p>
              </w:tc>
              <w:tc>
                <w:tcPr>
                  <w:tcW w:w="2864" w:type="dxa"/>
                  <w:noWrap w:val="0"/>
                  <w:vAlign w:val="center"/>
                </w:tcPr>
                <w:p w14:paraId="485DE900">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货物名称</w:t>
                  </w:r>
                </w:p>
              </w:tc>
              <w:tc>
                <w:tcPr>
                  <w:tcW w:w="874" w:type="dxa"/>
                  <w:noWrap w:val="0"/>
                  <w:vAlign w:val="center"/>
                </w:tcPr>
                <w:p w14:paraId="32492071">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数量</w:t>
                  </w:r>
                </w:p>
              </w:tc>
              <w:tc>
                <w:tcPr>
                  <w:tcW w:w="1581" w:type="dxa"/>
                  <w:noWrap w:val="0"/>
                  <w:vAlign w:val="center"/>
                </w:tcPr>
                <w:p w14:paraId="3AF9FCCA">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单位</w:t>
                  </w:r>
                </w:p>
              </w:tc>
            </w:tr>
            <w:tr w14:paraId="375F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99" w:type="dxa"/>
                  <w:noWrap w:val="0"/>
                  <w:vAlign w:val="center"/>
                </w:tcPr>
                <w:p w14:paraId="76C2C2C6">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p>
              </w:tc>
              <w:tc>
                <w:tcPr>
                  <w:tcW w:w="2864" w:type="dxa"/>
                  <w:noWrap w:val="0"/>
                  <w:vAlign w:val="center"/>
                </w:tcPr>
                <w:p w14:paraId="202CB837">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输尿管硬镜</w:t>
                  </w:r>
                </w:p>
              </w:tc>
              <w:tc>
                <w:tcPr>
                  <w:tcW w:w="874" w:type="dxa"/>
                  <w:noWrap w:val="0"/>
                  <w:vAlign w:val="center"/>
                </w:tcPr>
                <w:p w14:paraId="174B01D4">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1581" w:type="dxa"/>
                  <w:noWrap w:val="0"/>
                  <w:vAlign w:val="center"/>
                </w:tcPr>
                <w:p w14:paraId="61D93315">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条</w:t>
                  </w:r>
                </w:p>
              </w:tc>
            </w:tr>
            <w:tr w14:paraId="6540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99" w:type="dxa"/>
                  <w:noWrap w:val="0"/>
                  <w:vAlign w:val="center"/>
                </w:tcPr>
                <w:p w14:paraId="29A326B1">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tc>
              <w:tc>
                <w:tcPr>
                  <w:tcW w:w="2864" w:type="dxa"/>
                  <w:noWrap w:val="0"/>
                  <w:vAlign w:val="center"/>
                </w:tcPr>
                <w:p w14:paraId="1AF70C86">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薄膜阀</w:t>
                  </w:r>
                </w:p>
              </w:tc>
              <w:tc>
                <w:tcPr>
                  <w:tcW w:w="874" w:type="dxa"/>
                  <w:noWrap w:val="0"/>
                  <w:vAlign w:val="center"/>
                </w:tcPr>
                <w:p w14:paraId="37DBEBF6">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w:t>
                  </w:r>
                </w:p>
              </w:tc>
              <w:tc>
                <w:tcPr>
                  <w:tcW w:w="1581" w:type="dxa"/>
                  <w:noWrap w:val="0"/>
                  <w:vAlign w:val="center"/>
                </w:tcPr>
                <w:p w14:paraId="5DBF236D">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包</w:t>
                  </w:r>
                </w:p>
              </w:tc>
            </w:tr>
            <w:tr w14:paraId="2C85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99" w:type="dxa"/>
                  <w:noWrap w:val="0"/>
                  <w:vAlign w:val="center"/>
                </w:tcPr>
                <w:p w14:paraId="2A513238">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2864" w:type="dxa"/>
                  <w:noWrap w:val="0"/>
                  <w:vAlign w:val="center"/>
                </w:tcPr>
                <w:p w14:paraId="1CDEA96C">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堵水封帽</w:t>
                  </w:r>
                </w:p>
              </w:tc>
              <w:tc>
                <w:tcPr>
                  <w:tcW w:w="874" w:type="dxa"/>
                  <w:noWrap w:val="0"/>
                  <w:vAlign w:val="center"/>
                </w:tcPr>
                <w:p w14:paraId="69C476FE">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w:t>
                  </w:r>
                </w:p>
              </w:tc>
              <w:tc>
                <w:tcPr>
                  <w:tcW w:w="1581" w:type="dxa"/>
                  <w:noWrap w:val="0"/>
                  <w:vAlign w:val="center"/>
                </w:tcPr>
                <w:p w14:paraId="7D71AC38">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个</w:t>
                  </w:r>
                </w:p>
              </w:tc>
            </w:tr>
            <w:tr w14:paraId="4FF3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99" w:type="dxa"/>
                  <w:noWrap w:val="0"/>
                  <w:vAlign w:val="center"/>
                </w:tcPr>
                <w:p w14:paraId="509F6A69">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tc>
              <w:tc>
                <w:tcPr>
                  <w:tcW w:w="2864" w:type="dxa"/>
                  <w:noWrap w:val="0"/>
                  <w:vAlign w:val="center"/>
                </w:tcPr>
                <w:p w14:paraId="2F51FC63">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进出水接头</w:t>
                  </w:r>
                </w:p>
              </w:tc>
              <w:tc>
                <w:tcPr>
                  <w:tcW w:w="874" w:type="dxa"/>
                  <w:noWrap w:val="0"/>
                  <w:vAlign w:val="center"/>
                </w:tcPr>
                <w:p w14:paraId="764277EE">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w:t>
                  </w:r>
                </w:p>
              </w:tc>
              <w:tc>
                <w:tcPr>
                  <w:tcW w:w="1581" w:type="dxa"/>
                  <w:noWrap w:val="0"/>
                  <w:vAlign w:val="center"/>
                </w:tcPr>
                <w:p w14:paraId="24CDB4C5">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个</w:t>
                  </w:r>
                </w:p>
              </w:tc>
            </w:tr>
            <w:tr w14:paraId="0C8B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99" w:type="dxa"/>
                  <w:noWrap w:val="0"/>
                  <w:vAlign w:val="center"/>
                </w:tcPr>
                <w:p w14:paraId="632EFD1F">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2864" w:type="dxa"/>
                  <w:noWrap w:val="0"/>
                  <w:vAlign w:val="center"/>
                </w:tcPr>
                <w:p w14:paraId="583BAFEA">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清洗刷</w:t>
                  </w:r>
                </w:p>
              </w:tc>
              <w:tc>
                <w:tcPr>
                  <w:tcW w:w="874" w:type="dxa"/>
                  <w:noWrap w:val="0"/>
                  <w:vAlign w:val="center"/>
                </w:tcPr>
                <w:p w14:paraId="487C374D">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1581" w:type="dxa"/>
                  <w:noWrap w:val="0"/>
                  <w:vAlign w:val="center"/>
                </w:tcPr>
                <w:p w14:paraId="4D3C14E1">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个</w:t>
                  </w:r>
                </w:p>
              </w:tc>
            </w:tr>
            <w:tr w14:paraId="7C62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99" w:type="dxa"/>
                  <w:noWrap w:val="0"/>
                  <w:vAlign w:val="center"/>
                </w:tcPr>
                <w:p w14:paraId="73997EA1">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w:t>
                  </w:r>
                </w:p>
              </w:tc>
              <w:tc>
                <w:tcPr>
                  <w:tcW w:w="2864" w:type="dxa"/>
                  <w:noWrap w:val="0"/>
                  <w:vAlign w:val="center"/>
                </w:tcPr>
                <w:p w14:paraId="144E9CF6">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抓钳</w:t>
                  </w:r>
                </w:p>
              </w:tc>
              <w:tc>
                <w:tcPr>
                  <w:tcW w:w="874" w:type="dxa"/>
                  <w:noWrap w:val="0"/>
                  <w:vAlign w:val="center"/>
                </w:tcPr>
                <w:p w14:paraId="043B8ED2">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w:t>
                  </w:r>
                </w:p>
              </w:tc>
              <w:tc>
                <w:tcPr>
                  <w:tcW w:w="1581" w:type="dxa"/>
                  <w:noWrap w:val="0"/>
                  <w:vAlign w:val="center"/>
                </w:tcPr>
                <w:p w14:paraId="7AD40BB1">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把</w:t>
                  </w:r>
                </w:p>
              </w:tc>
            </w:tr>
            <w:tr w14:paraId="284E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99" w:type="dxa"/>
                  <w:noWrap w:val="0"/>
                  <w:vAlign w:val="center"/>
                </w:tcPr>
                <w:p w14:paraId="61C38108">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w:t>
                  </w:r>
                </w:p>
              </w:tc>
              <w:tc>
                <w:tcPr>
                  <w:tcW w:w="2864" w:type="dxa"/>
                  <w:noWrap w:val="0"/>
                  <w:vAlign w:val="center"/>
                </w:tcPr>
                <w:p w14:paraId="1BE78BAE">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输尿管硬镜内切开刀</w:t>
                  </w:r>
                </w:p>
              </w:tc>
              <w:tc>
                <w:tcPr>
                  <w:tcW w:w="874" w:type="dxa"/>
                  <w:noWrap w:val="0"/>
                  <w:vAlign w:val="center"/>
                </w:tcPr>
                <w:p w14:paraId="58803FFA">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1581" w:type="dxa"/>
                  <w:noWrap w:val="0"/>
                  <w:vAlign w:val="center"/>
                </w:tcPr>
                <w:p w14:paraId="65B91609">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把</w:t>
                  </w:r>
                </w:p>
              </w:tc>
            </w:tr>
            <w:tr w14:paraId="402C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99" w:type="dxa"/>
                  <w:noWrap w:val="0"/>
                  <w:vAlign w:val="center"/>
                </w:tcPr>
                <w:p w14:paraId="0A8AB673">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w:t>
                  </w:r>
                </w:p>
              </w:tc>
              <w:tc>
                <w:tcPr>
                  <w:tcW w:w="2864" w:type="dxa"/>
                  <w:noWrap w:val="0"/>
                  <w:vAlign w:val="center"/>
                </w:tcPr>
                <w:p w14:paraId="3FB1CAEF">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消毒盒</w:t>
                  </w:r>
                </w:p>
              </w:tc>
              <w:tc>
                <w:tcPr>
                  <w:tcW w:w="874" w:type="dxa"/>
                  <w:noWrap w:val="0"/>
                  <w:vAlign w:val="center"/>
                </w:tcPr>
                <w:p w14:paraId="656874B6">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1581" w:type="dxa"/>
                  <w:noWrap w:val="0"/>
                  <w:vAlign w:val="center"/>
                </w:tcPr>
                <w:p w14:paraId="15090CBF">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个</w:t>
                  </w:r>
                </w:p>
              </w:tc>
            </w:tr>
          </w:tbl>
          <w:p w14:paraId="0F877921">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ascii="宋体" w:hAnsi="宋体" w:eastAsia="宋体" w:cs="宋体"/>
                <w:b w:val="0"/>
                <w:bCs/>
                <w:sz w:val="21"/>
                <w:szCs w:val="21"/>
                <w:lang w:val="en-US" w:eastAsia="zh-CN"/>
              </w:rPr>
            </w:pPr>
          </w:p>
        </w:tc>
      </w:tr>
    </w:tbl>
    <w:p w14:paraId="0262D6F7">
      <w:pPr>
        <w:rPr>
          <w:b/>
          <w:szCs w:val="21"/>
        </w:rPr>
      </w:pPr>
    </w:p>
    <w:p w14:paraId="705681B4">
      <w:pPr>
        <w:rPr>
          <w:b/>
          <w:szCs w:val="21"/>
        </w:rPr>
      </w:pPr>
    </w:p>
    <w:p w14:paraId="50C03752">
      <w:pPr>
        <w:pStyle w:val="5"/>
        <w:spacing w:before="120" w:beforeLines="50" w:after="120" w:afterLines="50"/>
        <w:rPr>
          <w:sz w:val="28"/>
          <w:szCs w:val="28"/>
        </w:rPr>
      </w:pPr>
      <w:r>
        <w:rPr>
          <w:rFonts w:hint="eastAsia"/>
          <w:sz w:val="28"/>
          <w:szCs w:val="28"/>
        </w:rPr>
        <w:t>五、商务要求</w:t>
      </w:r>
    </w:p>
    <w:p w14:paraId="0A6B0F89">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34342D27">
      <w:pPr>
        <w:ind w:firstLine="422" w:firstLineChars="200"/>
        <w:rPr>
          <w:b/>
          <w:szCs w:val="21"/>
        </w:rPr>
      </w:pPr>
      <w:r>
        <w:rPr>
          <w:b/>
          <w:szCs w:val="21"/>
        </w:rPr>
        <w:t>2</w:t>
      </w:r>
      <w:r>
        <w:rPr>
          <w:rFonts w:hint="eastAsia"/>
          <w:b/>
          <w:szCs w:val="21"/>
        </w:rPr>
        <w:t>、带★号条款为不可偏离条款，不作为评分准则中的评分内容</w:t>
      </w:r>
      <w:r>
        <w:rPr>
          <w:rFonts w:hint="eastAsia"/>
          <w:b/>
          <w:szCs w:val="21"/>
          <w:lang w:eastAsia="zh-CN"/>
        </w:rPr>
        <w:t>，</w:t>
      </w:r>
      <w:r>
        <w:rPr>
          <w:rFonts w:hint="eastAsia"/>
          <w:b/>
          <w:szCs w:val="21"/>
        </w:rPr>
        <w:t>如未响应或出现负偏离的，将作投标无效处理；带“</w:t>
      </w:r>
      <w:r>
        <w:t>▲</w:t>
      </w:r>
      <w:r>
        <w:rPr>
          <w:rFonts w:hint="eastAsia"/>
          <w:b/>
          <w:szCs w:val="21"/>
        </w:rPr>
        <w:t>”指标项为重要参数，负偏离时依相关评分准则内容作重点扣分处理。</w:t>
      </w:r>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649"/>
        <w:gridCol w:w="6531"/>
      </w:tblGrid>
      <w:tr w14:paraId="06B1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Align w:val="center"/>
          </w:tcPr>
          <w:p w14:paraId="6C098BF4">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rPr>
            </w:pPr>
            <w:r>
              <w:rPr>
                <w:rFonts w:hint="eastAsia" w:asciiTheme="minorEastAsia" w:hAnsiTheme="minorEastAsia" w:eastAsiaTheme="minorEastAsia"/>
                <w:b/>
                <w:color w:val="auto"/>
                <w:szCs w:val="21"/>
              </w:rPr>
              <w:t>序号</w:t>
            </w:r>
          </w:p>
        </w:tc>
        <w:tc>
          <w:tcPr>
            <w:tcW w:w="916" w:type="pct"/>
            <w:vAlign w:val="center"/>
          </w:tcPr>
          <w:p w14:paraId="147F7083">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rPr>
            </w:pPr>
            <w:r>
              <w:rPr>
                <w:rFonts w:hint="eastAsia" w:asciiTheme="minorEastAsia" w:hAnsiTheme="minorEastAsia" w:eastAsiaTheme="minorEastAsia"/>
                <w:b/>
                <w:color w:val="auto"/>
                <w:szCs w:val="21"/>
              </w:rPr>
              <w:t>目录</w:t>
            </w:r>
          </w:p>
        </w:tc>
        <w:tc>
          <w:tcPr>
            <w:tcW w:w="3628" w:type="pct"/>
            <w:vAlign w:val="center"/>
          </w:tcPr>
          <w:p w14:paraId="56056148">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rPr>
            </w:pPr>
            <w:r>
              <w:rPr>
                <w:rFonts w:hint="eastAsia" w:asciiTheme="minorEastAsia" w:hAnsiTheme="minorEastAsia" w:eastAsiaTheme="minorEastAsia"/>
                <w:b/>
                <w:color w:val="auto"/>
                <w:szCs w:val="21"/>
              </w:rPr>
              <w:t>招标商务需求</w:t>
            </w:r>
          </w:p>
        </w:tc>
      </w:tr>
      <w:tr w14:paraId="7311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3B98222D">
            <w:pPr>
              <w:keepNext w:val="0"/>
              <w:keepLines w:val="0"/>
              <w:suppressLineNumbers w:val="0"/>
              <w:spacing w:before="0" w:beforeAutospacing="0" w:after="0" w:afterAutospacing="0"/>
              <w:ind w:left="0" w:right="0"/>
              <w:jc w:val="both"/>
              <w:rPr>
                <w:rFonts w:hint="default" w:asciiTheme="minorEastAsia" w:hAnsiTheme="minorEastAsia" w:eastAsiaTheme="minorEastAsia"/>
                <w:b/>
                <w:color w:val="auto"/>
                <w:szCs w:val="21"/>
              </w:rPr>
            </w:pPr>
            <w:r>
              <w:rPr>
                <w:rFonts w:hint="eastAsia" w:asciiTheme="minorEastAsia" w:hAnsiTheme="minorEastAsia" w:eastAsiaTheme="minorEastAsia"/>
                <w:b/>
                <w:color w:val="auto"/>
                <w:szCs w:val="21"/>
              </w:rPr>
              <w:t>（一）免费保修期内售后服务要求</w:t>
            </w:r>
          </w:p>
        </w:tc>
      </w:tr>
      <w:tr w14:paraId="2DBC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Align w:val="center"/>
          </w:tcPr>
          <w:p w14:paraId="5D6F6652">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c>
          <w:tcPr>
            <w:tcW w:w="916" w:type="pct"/>
            <w:vAlign w:val="center"/>
          </w:tcPr>
          <w:p w14:paraId="006A7178">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维修响应及故障解决时间</w:t>
            </w:r>
          </w:p>
        </w:tc>
        <w:tc>
          <w:tcPr>
            <w:tcW w:w="3628" w:type="pct"/>
            <w:vAlign w:val="center"/>
          </w:tcPr>
          <w:p w14:paraId="322E41B2">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由设备制造商</w:t>
            </w:r>
            <w:r>
              <w:rPr>
                <w:rFonts w:hint="eastAsia" w:asciiTheme="minorEastAsia" w:hAnsiTheme="minorEastAsia" w:eastAsiaTheme="minorEastAsia"/>
                <w:bCs/>
                <w:color w:val="auto"/>
                <w:szCs w:val="21"/>
                <w:lang w:eastAsia="zh-CN"/>
              </w:rPr>
              <w:t>或制造商授权认可的代理商</w:t>
            </w:r>
            <w:r>
              <w:rPr>
                <w:rFonts w:hint="eastAsia" w:asciiTheme="minorEastAsia" w:hAnsiTheme="minorEastAsia" w:eastAsiaTheme="minorEastAsia"/>
                <w:bCs/>
                <w:color w:val="auto"/>
                <w:szCs w:val="21"/>
              </w:rPr>
              <w:t>提供售后服务</w:t>
            </w:r>
            <w:r>
              <w:rPr>
                <w:rFonts w:hint="eastAsia" w:asciiTheme="minorEastAsia" w:hAnsiTheme="minorEastAsia" w:eastAsiaTheme="minorEastAsia"/>
                <w:bCs/>
                <w:color w:val="auto"/>
                <w:szCs w:val="21"/>
                <w:lang w:eastAsia="zh-CN"/>
              </w:rPr>
              <w:t>，</w:t>
            </w:r>
            <w:r>
              <w:rPr>
                <w:rFonts w:hint="eastAsia" w:asciiTheme="minorEastAsia" w:hAnsiTheme="minorEastAsia" w:eastAsiaTheme="minorEastAsia"/>
                <w:bCs/>
                <w:color w:val="auto"/>
                <w:szCs w:val="21"/>
              </w:rPr>
              <w:t>在保修期内，一旦发生质量问题，投标人保证在接到通知</w:t>
            </w:r>
            <w:r>
              <w:rPr>
                <w:rFonts w:hint="eastAsia" w:asciiTheme="minorEastAsia" w:hAnsiTheme="minorEastAsia" w:eastAsiaTheme="minorEastAsia"/>
                <w:bCs/>
                <w:color w:val="auto"/>
                <w:szCs w:val="21"/>
                <w:lang w:val="en-US" w:eastAsia="zh-CN"/>
              </w:rPr>
              <w:t>2</w:t>
            </w:r>
            <w:r>
              <w:rPr>
                <w:rFonts w:hint="eastAsia" w:asciiTheme="minorEastAsia" w:hAnsiTheme="minorEastAsia" w:eastAsiaTheme="minorEastAsia"/>
                <w:bCs/>
                <w:color w:val="auto"/>
                <w:szCs w:val="21"/>
              </w:rPr>
              <w:t xml:space="preserve"> 小时内响应， 24 小时维修到位（不可抗力情况除外）。消耗品和零配件供应及时。</w:t>
            </w:r>
          </w:p>
        </w:tc>
      </w:tr>
      <w:tr w14:paraId="1D5E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Align w:val="center"/>
          </w:tcPr>
          <w:p w14:paraId="09B4ABDD">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w:t>
            </w:r>
          </w:p>
        </w:tc>
        <w:tc>
          <w:tcPr>
            <w:tcW w:w="916" w:type="pct"/>
            <w:vAlign w:val="center"/>
          </w:tcPr>
          <w:p w14:paraId="79D8DB5C">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关于保修期</w:t>
            </w:r>
          </w:p>
        </w:tc>
        <w:tc>
          <w:tcPr>
            <w:tcW w:w="3628" w:type="pct"/>
            <w:vAlign w:val="center"/>
          </w:tcPr>
          <w:p w14:paraId="7FD7CE10">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 xml:space="preserve">★货物免费保修期  </w:t>
            </w:r>
            <w:r>
              <w:rPr>
                <w:rFonts w:hint="eastAsia" w:asciiTheme="minorEastAsia" w:hAnsiTheme="minorEastAsia" w:eastAsiaTheme="minorEastAsia"/>
                <w:bCs/>
                <w:color w:val="auto"/>
                <w:szCs w:val="21"/>
                <w:lang w:val="en-US" w:eastAsia="zh-CN"/>
              </w:rPr>
              <w:t>3</w:t>
            </w:r>
            <w:r>
              <w:rPr>
                <w:rFonts w:hint="eastAsia" w:asciiTheme="minorEastAsia" w:hAnsiTheme="minorEastAsia" w:eastAsiaTheme="minorEastAsia"/>
                <w:bCs/>
                <w:color w:val="auto"/>
                <w:szCs w:val="21"/>
              </w:rPr>
              <w:t xml:space="preserve">  年，时间自最终验收合格并交付使用之日起计算。</w:t>
            </w:r>
          </w:p>
        </w:tc>
      </w:tr>
      <w:tr w14:paraId="1998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Align w:val="center"/>
          </w:tcPr>
          <w:p w14:paraId="15347EA9">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w:t>
            </w:r>
          </w:p>
        </w:tc>
        <w:tc>
          <w:tcPr>
            <w:tcW w:w="916" w:type="pct"/>
            <w:vAlign w:val="center"/>
          </w:tcPr>
          <w:p w14:paraId="69EED207">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关于保修期</w:t>
            </w:r>
            <w:r>
              <w:rPr>
                <w:rFonts w:hint="eastAsia" w:asciiTheme="minorEastAsia" w:hAnsiTheme="minorEastAsia" w:eastAsiaTheme="minorEastAsia" w:cstheme="minorEastAsia"/>
                <w:b w:val="0"/>
                <w:bCs w:val="0"/>
                <w:color w:val="auto"/>
                <w:sz w:val="21"/>
                <w:szCs w:val="21"/>
                <w:lang w:eastAsia="zh-CN"/>
              </w:rPr>
              <w:t>内服务</w:t>
            </w:r>
          </w:p>
        </w:tc>
        <w:tc>
          <w:tcPr>
            <w:tcW w:w="3628" w:type="pct"/>
            <w:vAlign w:val="center"/>
          </w:tcPr>
          <w:p w14:paraId="1F9B85F1">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 xml:space="preserve">保修期内,年度定期预防性维护保养次数应不少于 </w:t>
            </w:r>
            <w:r>
              <w:rPr>
                <w:rFonts w:hint="eastAsia" w:asciiTheme="minorEastAsia" w:hAnsiTheme="minorEastAsia" w:eastAsiaTheme="minorEastAsia"/>
                <w:bCs/>
                <w:color w:val="auto"/>
                <w:szCs w:val="21"/>
                <w:lang w:val="en-US" w:eastAsia="zh-CN"/>
              </w:rPr>
              <w:t>4</w:t>
            </w:r>
            <w:r>
              <w:rPr>
                <w:rFonts w:hint="eastAsia" w:asciiTheme="minorEastAsia" w:hAnsiTheme="minorEastAsia" w:eastAsiaTheme="minorEastAsia"/>
                <w:bCs/>
                <w:color w:val="auto"/>
                <w:szCs w:val="21"/>
              </w:rPr>
              <w:t xml:space="preserve"> 次。保修期内免费更换零配件、免工时费。</w:t>
            </w:r>
          </w:p>
        </w:tc>
      </w:tr>
      <w:tr w14:paraId="0A7C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Align w:val="center"/>
          </w:tcPr>
          <w:p w14:paraId="2CB6AB50">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w:t>
            </w:r>
          </w:p>
        </w:tc>
        <w:tc>
          <w:tcPr>
            <w:tcW w:w="916" w:type="pct"/>
            <w:vAlign w:val="center"/>
          </w:tcPr>
          <w:p w14:paraId="51467D47">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关于维修配件及软件升级</w:t>
            </w:r>
          </w:p>
        </w:tc>
        <w:tc>
          <w:tcPr>
            <w:tcW w:w="3628" w:type="pct"/>
            <w:vAlign w:val="center"/>
          </w:tcPr>
          <w:p w14:paraId="216B9557">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 xml:space="preserve">投标人负责货物的终身维修，保证 </w:t>
            </w:r>
            <w:r>
              <w:rPr>
                <w:rFonts w:hint="eastAsia" w:asciiTheme="minorEastAsia" w:hAnsiTheme="minorEastAsia" w:eastAsiaTheme="minorEastAsia"/>
                <w:bCs/>
                <w:color w:val="auto"/>
                <w:szCs w:val="21"/>
                <w:lang w:val="en-US" w:eastAsia="zh-CN"/>
              </w:rPr>
              <w:t>8</w:t>
            </w:r>
            <w:r>
              <w:rPr>
                <w:rFonts w:hint="eastAsia" w:asciiTheme="minorEastAsia" w:hAnsiTheme="minorEastAsia" w:eastAsiaTheme="minorEastAsia"/>
                <w:bCs/>
                <w:color w:val="auto"/>
                <w:szCs w:val="21"/>
              </w:rPr>
              <w:t xml:space="preserve"> 年以上供应维修配件， 5 年内免费提供软件升级服务。</w:t>
            </w:r>
          </w:p>
        </w:tc>
      </w:tr>
      <w:tr w14:paraId="3FA9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Align w:val="center"/>
          </w:tcPr>
          <w:p w14:paraId="78584C1D">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w:t>
            </w:r>
          </w:p>
        </w:tc>
        <w:tc>
          <w:tcPr>
            <w:tcW w:w="916" w:type="pct"/>
            <w:vAlign w:val="center"/>
          </w:tcPr>
          <w:p w14:paraId="0BE7A819">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关于设备生产日期</w:t>
            </w:r>
          </w:p>
        </w:tc>
        <w:tc>
          <w:tcPr>
            <w:tcW w:w="3628" w:type="pct"/>
            <w:vAlign w:val="center"/>
          </w:tcPr>
          <w:p w14:paraId="5C7C09B2">
            <w:pPr>
              <w:keepNext w:val="0"/>
              <w:keepLines w:val="0"/>
              <w:suppressLineNumbers w:val="0"/>
              <w:spacing w:before="0" w:beforeAutospacing="0" w:after="0" w:afterAutospacing="0"/>
              <w:ind w:left="0" w:right="0"/>
              <w:jc w:val="both"/>
              <w:rPr>
                <w:rFonts w:hint="eastAsia" w:ascii="宋体" w:hAnsi="宋体" w:cs="宋体"/>
                <w:b/>
                <w:bCs w:val="0"/>
                <w:color w:val="FF0000"/>
                <w:szCs w:val="21"/>
              </w:rPr>
            </w:pPr>
            <w:r>
              <w:rPr>
                <w:rFonts w:hint="eastAsia" w:cs="宋体" w:asciiTheme="minorEastAsia" w:hAnsiTheme="minorEastAsia" w:eastAsiaTheme="minorEastAsia"/>
                <w:b/>
                <w:bCs w:val="0"/>
                <w:color w:val="FF0000"/>
                <w:szCs w:val="21"/>
              </w:rPr>
              <w:t>★</w:t>
            </w:r>
            <w:r>
              <w:rPr>
                <w:rFonts w:hint="eastAsia" w:ascii="宋体" w:hAnsi="宋体" w:cs="宋体"/>
                <w:b/>
                <w:bCs w:val="0"/>
                <w:color w:val="FF0000"/>
                <w:szCs w:val="21"/>
              </w:rPr>
              <w:t>投标人提供的仪器设备的生产日期必须在一年内生产【生产日期需提供承诺书（格式自拟）】</w:t>
            </w:r>
          </w:p>
        </w:tc>
      </w:tr>
      <w:tr w14:paraId="1B08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Align w:val="center"/>
          </w:tcPr>
          <w:p w14:paraId="7483ACAD">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w:t>
            </w:r>
          </w:p>
        </w:tc>
        <w:tc>
          <w:tcPr>
            <w:tcW w:w="916" w:type="pct"/>
            <w:vAlign w:val="center"/>
          </w:tcPr>
          <w:p w14:paraId="1920294E">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关于配套试剂及耗材</w:t>
            </w:r>
          </w:p>
        </w:tc>
        <w:tc>
          <w:tcPr>
            <w:tcW w:w="3628" w:type="pct"/>
            <w:vAlign w:val="center"/>
          </w:tcPr>
          <w:p w14:paraId="4B5589FC">
            <w:pPr>
              <w:keepNext w:val="0"/>
              <w:keepLines w:val="0"/>
              <w:suppressLineNumbers w:val="0"/>
              <w:spacing w:before="0" w:beforeAutospacing="0" w:after="0" w:afterAutospacing="0"/>
              <w:ind w:left="0" w:right="0"/>
              <w:jc w:val="both"/>
              <w:rPr>
                <w:rFonts w:hint="eastAsia" w:ascii="宋体" w:hAnsi="宋体" w:cs="宋体"/>
                <w:b/>
                <w:bCs w:val="0"/>
                <w:color w:val="FF0000"/>
                <w:szCs w:val="21"/>
              </w:rPr>
            </w:pPr>
            <w:r>
              <w:rPr>
                <w:rFonts w:hint="eastAsia" w:cs="宋体" w:asciiTheme="minorEastAsia" w:hAnsiTheme="minorEastAsia" w:eastAsiaTheme="minorEastAsia"/>
                <w:b/>
                <w:bCs w:val="0"/>
                <w:color w:val="FF0000"/>
                <w:szCs w:val="21"/>
                <w:highlight w:val="none"/>
              </w:rPr>
              <w:t>★</w:t>
            </w:r>
            <w:r>
              <w:rPr>
                <w:rFonts w:hint="eastAsia" w:ascii="宋体" w:hAnsi="宋体" w:cs="宋体"/>
                <w:b/>
                <w:bCs w:val="0"/>
                <w:color w:val="FF0000"/>
                <w:highlight w:val="none"/>
              </w:rPr>
              <w:t>承诺</w:t>
            </w:r>
            <w:r>
              <w:rPr>
                <w:rFonts w:hint="eastAsia" w:ascii="宋体" w:hAnsi="宋体" w:cs="宋体"/>
                <w:b/>
                <w:bCs w:val="0"/>
                <w:color w:val="FF0000"/>
                <w:highlight w:val="none"/>
                <w:lang w:eastAsia="zh-CN"/>
              </w:rPr>
              <w:t>可</w:t>
            </w:r>
            <w:r>
              <w:rPr>
                <w:rFonts w:hint="eastAsia" w:ascii="宋体" w:hAnsi="宋体" w:cs="宋体"/>
                <w:b/>
                <w:bCs w:val="0"/>
                <w:color w:val="FF0000"/>
                <w:highlight w:val="none"/>
              </w:rPr>
              <w:t>在</w:t>
            </w:r>
            <w:r>
              <w:rPr>
                <w:rFonts w:hint="default" w:ascii="宋体" w:hAnsi="宋体" w:eastAsia="宋体" w:cs="宋体"/>
                <w:b/>
                <w:bCs w:val="0"/>
                <w:color w:val="FF0000"/>
                <w:sz w:val="21"/>
                <w:szCs w:val="21"/>
                <w:highlight w:val="none"/>
              </w:rPr>
              <w:t>深圳医用耗材阳光交易和监管平台</w:t>
            </w:r>
            <w:r>
              <w:rPr>
                <w:rFonts w:hint="eastAsia" w:ascii="宋体" w:hAnsi="宋体" w:cs="宋体"/>
                <w:b/>
                <w:bCs w:val="0"/>
                <w:color w:val="FF0000"/>
                <w:sz w:val="21"/>
                <w:szCs w:val="21"/>
                <w:highlight w:val="none"/>
              </w:rPr>
              <w:t>上</w:t>
            </w:r>
            <w:r>
              <w:rPr>
                <w:rFonts w:hint="eastAsia" w:ascii="宋体" w:hAnsi="宋体" w:cs="宋体"/>
                <w:b/>
                <w:bCs w:val="0"/>
                <w:color w:val="FF0000"/>
                <w:highlight w:val="none"/>
              </w:rPr>
              <w:t>采购仪器配套封闭试剂及耗材，并承诺提供</w:t>
            </w:r>
            <w:r>
              <w:rPr>
                <w:rFonts w:hint="eastAsia" w:ascii="宋体" w:hAnsi="宋体" w:cs="宋体"/>
                <w:b/>
                <w:bCs w:val="0"/>
                <w:color w:val="FF0000"/>
                <w:highlight w:val="yellow"/>
              </w:rPr>
              <w:t>平台最低供货价</w:t>
            </w:r>
            <w:r>
              <w:rPr>
                <w:rFonts w:hint="eastAsia" w:ascii="宋体" w:hAnsi="宋体" w:cs="宋体"/>
                <w:b/>
                <w:bCs w:val="0"/>
                <w:color w:val="FF0000"/>
                <w:highlight w:val="none"/>
              </w:rPr>
              <w:t>（提供承诺函，承诺函格式自定）。</w:t>
            </w:r>
          </w:p>
        </w:tc>
      </w:tr>
      <w:tr w14:paraId="628B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Align w:val="center"/>
          </w:tcPr>
          <w:p w14:paraId="37B1FA0A">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w:t>
            </w:r>
          </w:p>
        </w:tc>
        <w:tc>
          <w:tcPr>
            <w:tcW w:w="916" w:type="pct"/>
            <w:vAlign w:val="center"/>
          </w:tcPr>
          <w:p w14:paraId="2FD123B2">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关于</w:t>
            </w:r>
            <w:r>
              <w:rPr>
                <w:rFonts w:hint="eastAsia" w:asciiTheme="minorEastAsia" w:hAnsiTheme="minorEastAsia" w:eastAsiaTheme="minorEastAsia" w:cstheme="minorEastAsia"/>
                <w:b w:val="0"/>
                <w:bCs w:val="0"/>
                <w:color w:val="auto"/>
                <w:sz w:val="21"/>
                <w:szCs w:val="21"/>
              </w:rPr>
              <w:t>零配件、消耗品和延续保修</w:t>
            </w:r>
          </w:p>
        </w:tc>
        <w:tc>
          <w:tcPr>
            <w:tcW w:w="3628" w:type="pct"/>
            <w:vAlign w:val="center"/>
          </w:tcPr>
          <w:p w14:paraId="58A5C5F8">
            <w:pPr>
              <w:keepNext w:val="0"/>
              <w:keepLines w:val="0"/>
              <w:suppressLineNumbers w:val="0"/>
              <w:spacing w:before="0" w:beforeAutospacing="0" w:after="0" w:afterAutospacing="0"/>
              <w:ind w:left="0" w:right="0"/>
              <w:jc w:val="both"/>
              <w:rPr>
                <w:rFonts w:hint="eastAsia" w:ascii="宋体" w:hAnsi="宋体" w:cs="宋体"/>
                <w:b/>
                <w:bCs/>
                <w:color w:val="auto"/>
                <w:highlight w:val="none"/>
              </w:rPr>
            </w:pPr>
            <w:r>
              <w:rPr>
                <w:rFonts w:hint="eastAsia" w:ascii="宋体" w:hAnsi="宋体" w:cs="宋体"/>
                <w:b/>
                <w:bCs w:val="0"/>
                <w:color w:val="FF0000"/>
                <w:szCs w:val="21"/>
                <w:highlight w:val="none"/>
              </w:rPr>
              <w:t>投标人应</w:t>
            </w:r>
            <w:r>
              <w:rPr>
                <w:rFonts w:hint="eastAsia" w:ascii="宋体" w:hAnsi="宋体" w:cs="宋体"/>
                <w:b/>
                <w:bCs w:val="0"/>
                <w:color w:val="FF0000"/>
                <w:szCs w:val="21"/>
                <w:highlight w:val="none"/>
                <w:lang w:eastAsia="zh-CN"/>
              </w:rPr>
              <w:t>提供</w:t>
            </w:r>
            <w:r>
              <w:rPr>
                <w:rFonts w:hint="eastAsia" w:ascii="宋体" w:hAnsi="宋体" w:cs="宋体"/>
                <w:b/>
                <w:bCs w:val="0"/>
                <w:color w:val="FF0000"/>
                <w:szCs w:val="21"/>
                <w:highlight w:val="none"/>
              </w:rPr>
              <w:t>维修零配件、消耗品和延续保修</w:t>
            </w:r>
            <w:r>
              <w:rPr>
                <w:rFonts w:hint="eastAsia" w:ascii="宋体" w:hAnsi="宋体" w:cs="宋体"/>
                <w:b/>
                <w:bCs w:val="0"/>
                <w:color w:val="FF0000"/>
                <w:szCs w:val="21"/>
                <w:highlight w:val="none"/>
                <w:lang w:eastAsia="zh-CN"/>
              </w:rPr>
              <w:t>的报价单</w:t>
            </w:r>
            <w:r>
              <w:rPr>
                <w:rFonts w:hint="eastAsia" w:ascii="宋体" w:hAnsi="宋体" w:cs="宋体"/>
                <w:b/>
                <w:bCs w:val="0"/>
                <w:color w:val="FF0000"/>
                <w:szCs w:val="21"/>
                <w:highlight w:val="none"/>
              </w:rPr>
              <w:t>。价格最高的前</w:t>
            </w:r>
            <w:r>
              <w:rPr>
                <w:rFonts w:hint="eastAsia" w:ascii="宋体" w:hAnsi="宋体" w:cs="宋体"/>
                <w:b/>
                <w:bCs w:val="0"/>
                <w:color w:val="FF0000"/>
                <w:szCs w:val="21"/>
                <w:highlight w:val="none"/>
                <w:u w:val="single"/>
              </w:rPr>
              <w:t xml:space="preserve"> 5</w:t>
            </w:r>
            <w:r>
              <w:rPr>
                <w:rFonts w:hint="eastAsia" w:ascii="宋体" w:hAnsi="宋体" w:cs="宋体"/>
                <w:b/>
                <w:bCs w:val="0"/>
                <w:color w:val="FF0000"/>
                <w:szCs w:val="21"/>
                <w:highlight w:val="none"/>
              </w:rPr>
              <w:t>项零配件、消耗品和延续保修的报价明细必须填写于《零配件、消耗品和延续保修报价明细清单》中</w:t>
            </w:r>
            <w:r>
              <w:rPr>
                <w:rFonts w:hint="eastAsia" w:ascii="宋体" w:hAnsi="宋体" w:cs="宋体"/>
                <w:b/>
                <w:bCs w:val="0"/>
                <w:color w:val="FF0000"/>
                <w:szCs w:val="21"/>
                <w:highlight w:val="none"/>
                <w:lang w:eastAsia="zh-CN"/>
              </w:rPr>
              <w:t>（清单格式自拟）</w:t>
            </w:r>
            <w:r>
              <w:rPr>
                <w:rFonts w:hint="eastAsia" w:ascii="宋体" w:hAnsi="宋体" w:cs="宋体"/>
                <w:b/>
                <w:bCs w:val="0"/>
                <w:color w:val="FF0000"/>
                <w:szCs w:val="21"/>
                <w:highlight w:val="none"/>
              </w:rPr>
              <w:t>。</w:t>
            </w:r>
          </w:p>
        </w:tc>
      </w:tr>
      <w:tr w14:paraId="0040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Align w:val="center"/>
          </w:tcPr>
          <w:p w14:paraId="65BAAF99">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w:t>
            </w:r>
          </w:p>
        </w:tc>
        <w:tc>
          <w:tcPr>
            <w:tcW w:w="916" w:type="pct"/>
            <w:vAlign w:val="center"/>
          </w:tcPr>
          <w:p w14:paraId="2FA1C8C7">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关于设备开机率</w:t>
            </w:r>
          </w:p>
        </w:tc>
        <w:tc>
          <w:tcPr>
            <w:tcW w:w="3628" w:type="pct"/>
          </w:tcPr>
          <w:p w14:paraId="3E09EE2D">
            <w:pPr>
              <w:keepNext w:val="0"/>
              <w:keepLines w:val="0"/>
              <w:suppressLineNumbers w:val="0"/>
              <w:spacing w:before="0" w:beforeAutospacing="0" w:after="0" w:afterAutospacing="0"/>
              <w:ind w:left="0" w:right="0"/>
              <w:jc w:val="both"/>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在保修期内, 投标人应确保年开机率在95%</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含</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以上, 若不能达到此开机率，将作以下处理：</w:t>
            </w:r>
          </w:p>
          <w:p w14:paraId="71E35FCA">
            <w:pPr>
              <w:keepNext w:val="0"/>
              <w:keepLines w:val="0"/>
              <w:suppressLineNumbers w:val="0"/>
              <w:spacing w:before="0" w:beforeAutospacing="0" w:after="0" w:afterAutospacing="0"/>
              <w:ind w:left="0" w:right="0"/>
              <w:jc w:val="both"/>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A</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rPr>
              <w:t>年开机率在90（含）-95%（不含）之间按一赔 二 延长保修期.</w:t>
            </w:r>
          </w:p>
          <w:p w14:paraId="4F798086">
            <w:pPr>
              <w:keepNext w:val="0"/>
              <w:keepLines w:val="0"/>
              <w:suppressLineNumbers w:val="0"/>
              <w:spacing w:before="0" w:beforeAutospacing="0" w:after="0" w:afterAutospacing="0"/>
              <w:ind w:left="0" w:right="0"/>
              <w:jc w:val="both"/>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B</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rPr>
              <w:t>年开机率在85（含）-90%（不含）之间按一赔 五 延长保修期</w:t>
            </w:r>
          </w:p>
          <w:p w14:paraId="06FBD6EC">
            <w:pPr>
              <w:keepNext w:val="0"/>
              <w:keepLines w:val="0"/>
              <w:suppressLineNumbers w:val="0"/>
              <w:spacing w:before="0" w:beforeAutospacing="0" w:after="0" w:afterAutospacing="0"/>
              <w:ind w:left="0" w:right="0"/>
              <w:jc w:val="both"/>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C</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rPr>
              <w:t>年开机率低于85%（</w:t>
            </w:r>
            <w:r>
              <w:rPr>
                <w:rFonts w:hint="eastAsia" w:ascii="宋体" w:hAnsi="宋体" w:eastAsia="宋体" w:cs="宋体"/>
                <w:b w:val="0"/>
                <w:bCs/>
                <w:color w:val="auto"/>
                <w:szCs w:val="21"/>
                <w:highlight w:val="none"/>
                <w:lang w:val="en-US" w:eastAsia="zh-CN"/>
              </w:rPr>
              <w:t>不</w:t>
            </w:r>
            <w:r>
              <w:rPr>
                <w:rFonts w:hint="eastAsia" w:ascii="宋体" w:hAnsi="宋体" w:eastAsia="宋体" w:cs="宋体"/>
                <w:b w:val="0"/>
                <w:bCs/>
                <w:color w:val="auto"/>
                <w:szCs w:val="21"/>
                <w:highlight w:val="none"/>
              </w:rPr>
              <w:t>含），投标人须无条件更换新机，并重新计算保修期，以及赔偿用户的直接经济损失和间接经济损失。</w:t>
            </w:r>
          </w:p>
          <w:p w14:paraId="7B4287E5">
            <w:pPr>
              <w:keepNext w:val="0"/>
              <w:keepLines w:val="0"/>
              <w:suppressLineNumbers w:val="0"/>
              <w:spacing w:before="0" w:beforeAutospacing="0" w:after="0" w:afterAutospacing="0"/>
              <w:ind w:left="0" w:right="0"/>
              <w:jc w:val="both"/>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注：年开机率</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rPr>
              <w:t>（实际开机天数/</w:t>
            </w:r>
            <w:r>
              <w:rPr>
                <w:rFonts w:hint="eastAsia" w:ascii="宋体" w:hAnsi="宋体" w:eastAsia="宋体" w:cs="宋体"/>
                <w:b w:val="0"/>
                <w:bCs/>
                <w:color w:val="auto"/>
                <w:szCs w:val="21"/>
                <w:highlight w:val="none"/>
                <w:lang w:val="en-US" w:eastAsia="zh-CN"/>
              </w:rPr>
              <w:t>365天</w:t>
            </w:r>
            <w:r>
              <w:rPr>
                <w:rFonts w:hint="eastAsia" w:ascii="宋体" w:hAnsi="宋体" w:eastAsia="宋体" w:cs="宋体"/>
                <w:b w:val="0"/>
                <w:bCs/>
                <w:color w:val="auto"/>
                <w:szCs w:val="21"/>
                <w:highlight w:val="none"/>
              </w:rPr>
              <w:t>*100%）</w:t>
            </w:r>
          </w:p>
        </w:tc>
      </w:tr>
      <w:tr w14:paraId="2E2C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Align w:val="center"/>
          </w:tcPr>
          <w:p w14:paraId="053B8114">
            <w:pPr>
              <w:keepNext w:val="0"/>
              <w:keepLines w:val="0"/>
              <w:suppressLineNumbers w:val="0"/>
              <w:spacing w:before="0" w:beforeAutospacing="0" w:after="0" w:afterAutospacing="0"/>
              <w:ind w:left="0" w:right="0"/>
              <w:jc w:val="center"/>
              <w:rPr>
                <w:rFonts w:hint="default" w:asciiTheme="minorEastAsia" w:hAnsiTheme="minorEastAsia" w:eastAsiaTheme="minorEastAsia"/>
                <w:b w:val="0"/>
                <w:bCs w:val="0"/>
                <w:color w:val="auto"/>
                <w:szCs w:val="21"/>
                <w:lang w:val="en-US" w:eastAsia="zh-CN"/>
              </w:rPr>
            </w:pPr>
            <w:r>
              <w:rPr>
                <w:rFonts w:hint="eastAsia" w:asciiTheme="minorEastAsia" w:hAnsiTheme="minorEastAsia" w:eastAsiaTheme="minorEastAsia"/>
                <w:b w:val="0"/>
                <w:bCs w:val="0"/>
                <w:color w:val="auto"/>
                <w:szCs w:val="21"/>
                <w:lang w:val="en-US" w:eastAsia="zh-CN"/>
              </w:rPr>
              <w:t>9</w:t>
            </w:r>
          </w:p>
        </w:tc>
        <w:tc>
          <w:tcPr>
            <w:tcW w:w="916" w:type="pct"/>
            <w:vAlign w:val="center"/>
          </w:tcPr>
          <w:p w14:paraId="6A047880">
            <w:pPr>
              <w:keepNext w:val="0"/>
              <w:keepLines w:val="0"/>
              <w:suppressLineNumbers w:val="0"/>
              <w:spacing w:before="0" w:beforeAutospacing="0" w:after="0" w:afterAutospacing="0"/>
              <w:ind w:left="0" w:right="0"/>
              <w:rPr>
                <w:rFonts w:hint="default"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其他</w:t>
            </w:r>
          </w:p>
        </w:tc>
        <w:tc>
          <w:tcPr>
            <w:tcW w:w="3628" w:type="pct"/>
            <w:vAlign w:val="center"/>
          </w:tcPr>
          <w:p w14:paraId="1ACD1E89">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投标人应按其投标文件中的承诺，进行其他售后服务工作。</w:t>
            </w:r>
          </w:p>
        </w:tc>
      </w:tr>
      <w:tr w14:paraId="7F01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035220C1">
            <w:pPr>
              <w:keepNext w:val="0"/>
              <w:keepLines w:val="0"/>
              <w:suppressLineNumbers w:val="0"/>
              <w:spacing w:before="0" w:beforeAutospacing="0" w:after="0" w:afterAutospacing="0"/>
              <w:ind w:left="0" w:right="0"/>
              <w:jc w:val="left"/>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（二）免费保修期外售后服务要求</w:t>
            </w:r>
          </w:p>
        </w:tc>
      </w:tr>
      <w:tr w14:paraId="6536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Align w:val="center"/>
          </w:tcPr>
          <w:p w14:paraId="016E798B">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w:t>
            </w:r>
          </w:p>
        </w:tc>
        <w:tc>
          <w:tcPr>
            <w:tcW w:w="916" w:type="pct"/>
          </w:tcPr>
          <w:p w14:paraId="34A18E89">
            <w:pPr>
              <w:keepNext w:val="0"/>
              <w:keepLines w:val="0"/>
              <w:suppressLineNumbers w:val="0"/>
              <w:spacing w:before="0" w:beforeAutospacing="0" w:after="0" w:afterAutospacing="0"/>
              <w:ind w:left="0" w:right="0"/>
              <w:rPr>
                <w:rFonts w:hint="eastAsia" w:eastAsia="宋体" w:asciiTheme="minorEastAsia" w:hAnsiTheme="minorEastAsia"/>
                <w:b/>
                <w:color w:val="auto"/>
                <w:szCs w:val="21"/>
                <w:highlight w:val="none"/>
                <w:lang w:eastAsia="zh-CN"/>
              </w:rPr>
            </w:pPr>
            <w:r>
              <w:rPr>
                <w:rFonts w:hint="eastAsia" w:asciiTheme="minorEastAsia" w:hAnsiTheme="minorEastAsia" w:eastAsiaTheme="minorEastAsia" w:cstheme="minorEastAsia"/>
                <w:b w:val="0"/>
                <w:bCs w:val="0"/>
                <w:color w:val="auto"/>
                <w:sz w:val="21"/>
                <w:szCs w:val="21"/>
                <w:lang w:eastAsia="zh-CN"/>
              </w:rPr>
              <w:t>关于</w:t>
            </w:r>
            <w:r>
              <w:rPr>
                <w:rFonts w:hint="eastAsia"/>
                <w:lang w:eastAsia="zh-CN"/>
              </w:rPr>
              <w:t>保修期外售后</w:t>
            </w:r>
          </w:p>
        </w:tc>
        <w:tc>
          <w:tcPr>
            <w:tcW w:w="3628" w:type="pct"/>
            <w:vAlign w:val="center"/>
          </w:tcPr>
          <w:p w14:paraId="760231AF">
            <w:pPr>
              <w:keepNext w:val="0"/>
              <w:keepLines w:val="0"/>
              <w:suppressLineNumbers w:val="0"/>
              <w:spacing w:before="0" w:beforeAutospacing="0" w:after="0" w:afterAutospacing="0"/>
              <w:ind w:left="0" w:right="0"/>
              <w:jc w:val="left"/>
              <w:rPr>
                <w:rFonts w:hint="eastAsia" w:asciiTheme="minorEastAsia" w:hAnsiTheme="minorEastAsia" w:eastAsiaTheme="minorEastAsia"/>
                <w:bCs/>
                <w:color w:val="auto"/>
                <w:szCs w:val="21"/>
                <w:lang w:eastAsia="zh-CN"/>
              </w:rPr>
            </w:pPr>
            <w:r>
              <w:rPr>
                <w:rFonts w:hint="eastAsia" w:asciiTheme="minorEastAsia" w:hAnsiTheme="minorEastAsia" w:eastAsiaTheme="minorEastAsia"/>
                <w:bCs/>
                <w:color w:val="auto"/>
                <w:szCs w:val="21"/>
              </w:rPr>
              <w:t>由设备制造商</w:t>
            </w:r>
            <w:r>
              <w:rPr>
                <w:rFonts w:hint="eastAsia" w:asciiTheme="minorEastAsia" w:hAnsiTheme="minorEastAsia" w:eastAsiaTheme="minorEastAsia"/>
                <w:bCs/>
                <w:color w:val="auto"/>
                <w:szCs w:val="21"/>
                <w:lang w:eastAsia="zh-CN"/>
              </w:rPr>
              <w:t>或制造商授权认可的代理商</w:t>
            </w:r>
            <w:r>
              <w:rPr>
                <w:rFonts w:hint="eastAsia" w:asciiTheme="minorEastAsia" w:hAnsiTheme="minorEastAsia" w:eastAsiaTheme="minorEastAsia"/>
                <w:bCs/>
                <w:color w:val="auto"/>
                <w:szCs w:val="21"/>
              </w:rPr>
              <w:t>提供售后服务</w:t>
            </w:r>
            <w:r>
              <w:rPr>
                <w:rFonts w:hint="eastAsia" w:asciiTheme="minorEastAsia" w:hAnsiTheme="minorEastAsia" w:eastAsiaTheme="minorEastAsia"/>
                <w:bCs/>
                <w:color w:val="auto"/>
                <w:szCs w:val="21"/>
                <w:lang w:eastAsia="zh-CN"/>
              </w:rPr>
              <w:t>。</w:t>
            </w:r>
          </w:p>
        </w:tc>
      </w:tr>
      <w:tr w14:paraId="1416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1212128B">
            <w:pPr>
              <w:keepNext w:val="0"/>
              <w:keepLines w:val="0"/>
              <w:suppressLineNumbers w:val="0"/>
              <w:spacing w:before="0" w:beforeAutospacing="0" w:after="0" w:afterAutospacing="0"/>
              <w:ind w:left="0" w:right="0"/>
              <w:jc w:val="both"/>
              <w:rPr>
                <w:rFonts w:hint="default" w:asciiTheme="minorEastAsia" w:hAnsiTheme="minorEastAsia" w:eastAsiaTheme="minorEastAsia"/>
                <w:b/>
                <w:color w:val="auto"/>
                <w:szCs w:val="21"/>
              </w:rPr>
            </w:pPr>
            <w:r>
              <w:rPr>
                <w:rFonts w:hint="eastAsia" w:asciiTheme="minorEastAsia" w:hAnsiTheme="minorEastAsia" w:eastAsiaTheme="minorEastAsia"/>
                <w:b/>
                <w:color w:val="auto"/>
                <w:szCs w:val="21"/>
              </w:rPr>
              <w:t>（三）其他商务要求</w:t>
            </w:r>
          </w:p>
        </w:tc>
      </w:tr>
      <w:tr w14:paraId="0E27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restart"/>
            <w:vAlign w:val="center"/>
          </w:tcPr>
          <w:p w14:paraId="277E619F">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c>
          <w:tcPr>
            <w:tcW w:w="916" w:type="pct"/>
            <w:vMerge w:val="restart"/>
            <w:vAlign w:val="center"/>
          </w:tcPr>
          <w:p w14:paraId="3EAC4917">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关于交货</w:t>
            </w:r>
          </w:p>
        </w:tc>
        <w:tc>
          <w:tcPr>
            <w:tcW w:w="3628" w:type="pct"/>
            <w:vAlign w:val="center"/>
          </w:tcPr>
          <w:p w14:paraId="523C3F03">
            <w:pPr>
              <w:keepNext w:val="0"/>
              <w:keepLines w:val="0"/>
              <w:suppressLineNumbers w:val="0"/>
              <w:spacing w:before="0" w:beforeAutospacing="0" w:after="0" w:afterAutospacing="0"/>
              <w:ind w:left="0" w:right="0"/>
              <w:jc w:val="both"/>
              <w:rPr>
                <w:rFonts w:hint="default" w:asciiTheme="minorEastAsia" w:hAnsiTheme="minorEastAsia" w:eastAsiaTheme="minorEastAsia"/>
                <w:bCs/>
                <w:color w:val="auto"/>
                <w:szCs w:val="21"/>
              </w:rPr>
            </w:pPr>
            <w:r>
              <w:rPr>
                <w:rFonts w:hint="eastAsia" w:cs="宋体" w:asciiTheme="minorEastAsia" w:hAnsiTheme="minorEastAsia" w:eastAsiaTheme="minorEastAsia"/>
                <w:b/>
                <w:color w:val="auto"/>
                <w:szCs w:val="21"/>
              </w:rPr>
              <w:t>★</w:t>
            </w:r>
            <w:r>
              <w:rPr>
                <w:rFonts w:hint="eastAsia" w:asciiTheme="minorEastAsia" w:hAnsiTheme="minorEastAsia" w:eastAsiaTheme="minorEastAsia"/>
                <w:bCs/>
                <w:color w:val="auto"/>
                <w:szCs w:val="21"/>
              </w:rPr>
              <w:t>1.1</w:t>
            </w:r>
            <w:r>
              <w:rPr>
                <w:rFonts w:hint="eastAsia"/>
                <w:color w:val="auto"/>
              </w:rPr>
              <w:t xml:space="preserve">签订合同后  </w:t>
            </w:r>
            <w:r>
              <w:rPr>
                <w:rFonts w:hint="eastAsia"/>
                <w:color w:val="auto"/>
                <w:u w:val="single"/>
              </w:rPr>
              <w:t xml:space="preserve"> </w:t>
            </w:r>
            <w:r>
              <w:rPr>
                <w:rFonts w:hint="eastAsia"/>
                <w:color w:val="auto"/>
                <w:highlight w:val="yellow"/>
                <w:u w:val="single"/>
                <w:lang w:val="en-US" w:eastAsia="zh-CN"/>
              </w:rPr>
              <w:t>30</w:t>
            </w:r>
            <w:r>
              <w:rPr>
                <w:rFonts w:hint="eastAsia"/>
                <w:color w:val="auto"/>
                <w:u w:val="single"/>
              </w:rPr>
              <w:t xml:space="preserve"> </w:t>
            </w:r>
            <w:r>
              <w:rPr>
                <w:rFonts w:hint="eastAsia"/>
                <w:color w:val="auto"/>
              </w:rPr>
              <w:t xml:space="preserve"> 天（日历日）内交货。</w:t>
            </w:r>
          </w:p>
        </w:tc>
      </w:tr>
      <w:tr w14:paraId="1C9A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14:paraId="5CA029D6">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16" w:type="pct"/>
            <w:vMerge w:val="continue"/>
            <w:vAlign w:val="center"/>
          </w:tcPr>
          <w:p w14:paraId="108D83CD">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3628" w:type="pct"/>
            <w:vAlign w:val="center"/>
          </w:tcPr>
          <w:p w14:paraId="66686D12">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lang w:val="en-US" w:eastAsia="zh-CN"/>
              </w:rPr>
              <w:t>1.2</w:t>
            </w:r>
            <w:r>
              <w:rPr>
                <w:rFonts w:hint="eastAsia" w:asciiTheme="minorEastAsia" w:hAnsiTheme="minorEastAsia" w:eastAsiaTheme="minorEastAsia"/>
                <w:bCs/>
                <w:color w:val="auto"/>
                <w:szCs w:val="21"/>
              </w:rPr>
              <w:t>交货地点：</w:t>
            </w:r>
            <w:r>
              <w:rPr>
                <w:rFonts w:hint="eastAsia" w:ascii="宋体" w:hAnsi="宋体"/>
                <w:color w:val="auto"/>
                <w:szCs w:val="21"/>
              </w:rPr>
              <w:t>中标人</w:t>
            </w:r>
            <w:r>
              <w:rPr>
                <w:rFonts w:hint="eastAsia" w:ascii="宋体" w:hAnsi="宋体" w:cs="宋体"/>
                <w:bCs/>
                <w:color w:val="auto"/>
                <w:szCs w:val="21"/>
                <w:highlight w:val="none"/>
              </w:rPr>
              <w:t>负责将</w:t>
            </w:r>
            <w:r>
              <w:rPr>
                <w:rFonts w:hint="eastAsia" w:ascii="宋体" w:hAnsi="宋体" w:cs="宋体"/>
                <w:color w:val="auto"/>
                <w:szCs w:val="21"/>
                <w:highlight w:val="none"/>
              </w:rPr>
              <w:t>货物</w:t>
            </w:r>
            <w:r>
              <w:rPr>
                <w:rFonts w:hint="eastAsia" w:ascii="宋体" w:hAnsi="宋体" w:cs="宋体"/>
                <w:bCs/>
                <w:color w:val="auto"/>
                <w:szCs w:val="21"/>
                <w:highlight w:val="none"/>
              </w:rPr>
              <w:t>安全无损运抵采购人指定地点,并承担设备的包装、运输、保险、装卸、安装调试、培训、商检及计量检测、关税、增值税和进口代理等费用</w:t>
            </w:r>
            <w:r>
              <w:rPr>
                <w:rFonts w:hint="eastAsia" w:ascii="宋体" w:hAnsi="宋体" w:cs="宋体"/>
                <w:color w:val="auto"/>
                <w:szCs w:val="21"/>
                <w:highlight w:val="none"/>
              </w:rPr>
              <w:t>。</w:t>
            </w:r>
          </w:p>
        </w:tc>
      </w:tr>
      <w:tr w14:paraId="4E89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14:paraId="08EBC033">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16" w:type="pct"/>
            <w:vMerge w:val="continue"/>
            <w:vAlign w:val="center"/>
          </w:tcPr>
          <w:p w14:paraId="774133B2">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3628" w:type="pct"/>
            <w:vAlign w:val="center"/>
          </w:tcPr>
          <w:p w14:paraId="282C085D">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1.3中标人应提供货物的技术文件，包括但不限于设备配置清单、产品说明书、图纸、操作手册等，所有外文资料须提供中文译本。文件应随货物一并交付至采购人指定地点。</w:t>
            </w:r>
          </w:p>
        </w:tc>
      </w:tr>
      <w:tr w14:paraId="3689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14:paraId="6620A55B">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16" w:type="pct"/>
            <w:vMerge w:val="continue"/>
            <w:vAlign w:val="center"/>
          </w:tcPr>
          <w:p w14:paraId="564BDF8F">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3628" w:type="pct"/>
            <w:vAlign w:val="center"/>
          </w:tcPr>
          <w:p w14:paraId="6CCE1933">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1.4中标人提供的货物必须为全新、经检验合格的产品。产品如需要计量检定的应提供相关计量检定部门出具的合法检定报告。其中，进口设备必须具有报关证明文件和商检证明文件（免检设备提供免检证明）。</w:t>
            </w:r>
          </w:p>
        </w:tc>
      </w:tr>
      <w:tr w14:paraId="0F96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14:paraId="78860FC4">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16" w:type="pct"/>
            <w:vMerge w:val="continue"/>
            <w:vAlign w:val="center"/>
          </w:tcPr>
          <w:p w14:paraId="453810C2">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3628" w:type="pct"/>
            <w:vAlign w:val="center"/>
          </w:tcPr>
          <w:p w14:paraId="4868ED88">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1.5采购人有权检验或测试货物，以确认货物是否符合合同规格的要求。如果发现所交货物与投标文件中所承诺的不符或存在质量、技术缺陷等,采购人可以拒绝接收该货物。</w:t>
            </w:r>
          </w:p>
        </w:tc>
      </w:tr>
      <w:tr w14:paraId="037F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14:paraId="3EF02977">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16" w:type="pct"/>
            <w:vMerge w:val="continue"/>
            <w:vAlign w:val="center"/>
          </w:tcPr>
          <w:p w14:paraId="264CF45E">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3628" w:type="pct"/>
            <w:vAlign w:val="center"/>
          </w:tcPr>
          <w:p w14:paraId="12C7B1E0">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1.6中标人负责货物的现场安装和调试,提供货物安装、调试和维修所需的专用工具和辅助材料。中标人应在货物运至指定地点后 5 天内开始安装调试,并在 5 天内安装调试完毕。</w:t>
            </w:r>
          </w:p>
        </w:tc>
      </w:tr>
      <w:tr w14:paraId="7C66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restart"/>
            <w:vAlign w:val="center"/>
          </w:tcPr>
          <w:p w14:paraId="0BB4D379">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w:t>
            </w:r>
          </w:p>
        </w:tc>
        <w:tc>
          <w:tcPr>
            <w:tcW w:w="916" w:type="pct"/>
            <w:vMerge w:val="restart"/>
            <w:vAlign w:val="center"/>
          </w:tcPr>
          <w:p w14:paraId="617E1E49">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关于验收</w:t>
            </w:r>
          </w:p>
        </w:tc>
        <w:tc>
          <w:tcPr>
            <w:tcW w:w="3628" w:type="pct"/>
            <w:vAlign w:val="center"/>
          </w:tcPr>
          <w:p w14:paraId="43E215CB">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2.1中标人货物经过双方检验认可后，签署验收报告，产品保修期自验收合格之日起算，由投标人提供产品保修文件。</w:t>
            </w:r>
          </w:p>
        </w:tc>
      </w:tr>
      <w:tr w14:paraId="05B2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14:paraId="71C1DEF8">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16" w:type="pct"/>
            <w:vMerge w:val="continue"/>
            <w:vAlign w:val="center"/>
          </w:tcPr>
          <w:p w14:paraId="10FB8B89">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3628" w:type="pct"/>
            <w:vAlign w:val="center"/>
          </w:tcPr>
          <w:p w14:paraId="04CE0C0D">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2.2当满足以下条件时，采购人才向中标人签发货物验收报告：</w:t>
            </w:r>
          </w:p>
          <w:p w14:paraId="30CB801C">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a、中标人已按照合同规定提供了全部产品及完整的技术资料。</w:t>
            </w:r>
          </w:p>
          <w:p w14:paraId="04FBBBF0">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b、货物符合招标文件技术规格书的要求，性能满足要求。</w:t>
            </w:r>
          </w:p>
        </w:tc>
      </w:tr>
      <w:tr w14:paraId="1038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14:paraId="665E6096">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16" w:type="pct"/>
            <w:vMerge w:val="continue"/>
            <w:vAlign w:val="center"/>
          </w:tcPr>
          <w:p w14:paraId="29BBDD7E">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3628" w:type="pct"/>
            <w:vAlign w:val="center"/>
          </w:tcPr>
          <w:p w14:paraId="5C87E4EF">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2.3由中标人代表和采购人组成验收小组对产品进行验收。验收标准按照国家规定标准执行。经检验设备正常运作后签署验收报告,产品保修期自验收合格之日起算。</w:t>
            </w:r>
          </w:p>
        </w:tc>
      </w:tr>
      <w:tr w14:paraId="575F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restart"/>
            <w:vAlign w:val="center"/>
          </w:tcPr>
          <w:p w14:paraId="62CB93B5">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w:t>
            </w:r>
          </w:p>
        </w:tc>
        <w:tc>
          <w:tcPr>
            <w:tcW w:w="916" w:type="pct"/>
            <w:vMerge w:val="restart"/>
            <w:vAlign w:val="center"/>
          </w:tcPr>
          <w:p w14:paraId="31FD53DE">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关于违约</w:t>
            </w:r>
          </w:p>
        </w:tc>
        <w:tc>
          <w:tcPr>
            <w:tcW w:w="3628" w:type="pct"/>
            <w:vAlign w:val="center"/>
          </w:tcPr>
          <w:p w14:paraId="50A3C96E">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3.1中标人未按照投标文件中承诺的时间交货或提供服务，投标人应承担延期交货和延期服务的违约责任，并赔偿采购人因此造成的实际经济损失。实际经济损失超出履约保证金额，采购人有权终止合同。</w:t>
            </w:r>
          </w:p>
        </w:tc>
      </w:tr>
      <w:tr w14:paraId="1168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14:paraId="1BA5E60A">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16" w:type="pct"/>
            <w:vMerge w:val="continue"/>
            <w:vAlign w:val="center"/>
          </w:tcPr>
          <w:p w14:paraId="26F544BD">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3628" w:type="pct"/>
            <w:vAlign w:val="center"/>
          </w:tcPr>
          <w:p w14:paraId="6B73557A">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3.2中标人所交设备的品种、型号、规格、质量、功能、技术参数等方面不能实质性满足招标文件要求的，采购人有权拒绝收货，中标人向采购人偿付项目采购金额千分之 10 的违约金；造成严重后果的，根据《深圳经济特区政府采购条例》第五十七条第（二）款规定，由主管部门对投标人进行处罚。</w:t>
            </w:r>
          </w:p>
        </w:tc>
      </w:tr>
      <w:tr w14:paraId="399F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14:paraId="4EE30C87">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16" w:type="pct"/>
            <w:vMerge w:val="continue"/>
            <w:vAlign w:val="center"/>
          </w:tcPr>
          <w:p w14:paraId="37B1BF45">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3628" w:type="pct"/>
            <w:vAlign w:val="center"/>
          </w:tcPr>
          <w:p w14:paraId="2D33B7EE">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3.3中标人不能交付设备的，投标人向采购人偿付项目采购金额百分之 5 的违约金；造成严重后果的，根据《深圳经济特区政府采购条例》第五十七条第（二）款规定，由主管部门对投标人进行处罚。</w:t>
            </w:r>
          </w:p>
        </w:tc>
      </w:tr>
      <w:tr w14:paraId="6416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14:paraId="4A1F601A">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16" w:type="pct"/>
            <w:vMerge w:val="continue"/>
            <w:vAlign w:val="center"/>
          </w:tcPr>
          <w:p w14:paraId="34D010CD">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3628" w:type="pct"/>
            <w:vAlign w:val="center"/>
          </w:tcPr>
          <w:p w14:paraId="2987165C">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3.4中标人逾期未交设备的，中标人向采购人每日偿付设备款千分之 1的违约金。中标人超过交货期限 10 日仍未交货，采购人有权解除合同</w:t>
            </w:r>
          </w:p>
        </w:tc>
      </w:tr>
      <w:tr w14:paraId="24C1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14:paraId="5EA7BDD1">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16" w:type="pct"/>
            <w:vMerge w:val="continue"/>
            <w:vAlign w:val="center"/>
          </w:tcPr>
          <w:p w14:paraId="55A542DC">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3628" w:type="pct"/>
            <w:vAlign w:val="center"/>
          </w:tcPr>
          <w:p w14:paraId="7A93F25F">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3.5中标人逾期交货的，将被没收履约保证金并按主管部门相关规定处理，违约金先从由投标人履约保证金中扣除，若有不足部分则由中标人补齐。</w:t>
            </w:r>
          </w:p>
        </w:tc>
      </w:tr>
      <w:tr w14:paraId="4EE8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14:paraId="5D4B1C09">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16" w:type="pct"/>
            <w:vMerge w:val="continue"/>
            <w:vAlign w:val="center"/>
          </w:tcPr>
          <w:p w14:paraId="45AF50B1">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3628" w:type="pct"/>
            <w:vAlign w:val="center"/>
          </w:tcPr>
          <w:p w14:paraId="6BD4F301">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3.6中标人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r>
      <w:tr w14:paraId="2D8D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14:paraId="1C9755C0">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16" w:type="pct"/>
            <w:vMerge w:val="continue"/>
            <w:vAlign w:val="center"/>
          </w:tcPr>
          <w:p w14:paraId="35BB1F47">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3628" w:type="pct"/>
            <w:vAlign w:val="center"/>
          </w:tcPr>
          <w:p w14:paraId="31C4414D">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highlight w:val="yellow"/>
              </w:rPr>
              <w:t>★</w:t>
            </w:r>
            <w:r>
              <w:rPr>
                <w:rFonts w:hint="eastAsia" w:asciiTheme="minorEastAsia" w:hAnsiTheme="minorEastAsia" w:eastAsiaTheme="minorEastAsia"/>
                <w:bCs/>
                <w:color w:val="auto"/>
                <w:szCs w:val="21"/>
                <w:highlight w:val="yellow"/>
                <w:lang w:val="en-US" w:eastAsia="zh-CN"/>
              </w:rPr>
              <w:t>3.7</w:t>
            </w:r>
            <w:r>
              <w:rPr>
                <w:rFonts w:hint="eastAsia" w:asciiTheme="minorEastAsia" w:hAnsiTheme="minorEastAsia" w:eastAsiaTheme="minorEastAsia"/>
                <w:bCs/>
                <w:color w:val="auto"/>
                <w:szCs w:val="21"/>
                <w:highlight w:val="yellow"/>
                <w:lang w:val="en-US" w:eastAsia="zh-TW"/>
              </w:rPr>
              <w:t>采购人逾期</w:t>
            </w:r>
            <w:r>
              <w:rPr>
                <w:rFonts w:hint="eastAsia" w:asciiTheme="minorEastAsia" w:hAnsiTheme="minorEastAsia" w:eastAsiaTheme="minorEastAsia"/>
                <w:bCs/>
                <w:color w:val="auto"/>
                <w:szCs w:val="21"/>
                <w:highlight w:val="yellow"/>
                <w:lang w:val="en-US" w:eastAsia="zh-CN"/>
              </w:rPr>
              <w:t>支付合同款项</w:t>
            </w:r>
            <w:r>
              <w:rPr>
                <w:rFonts w:hint="eastAsia" w:asciiTheme="minorEastAsia" w:hAnsiTheme="minorEastAsia" w:eastAsiaTheme="minorEastAsia"/>
                <w:bCs/>
                <w:color w:val="auto"/>
                <w:szCs w:val="21"/>
                <w:highlight w:val="yellow"/>
                <w:lang w:val="en-US" w:eastAsia="zh-TW"/>
              </w:rPr>
              <w:t>的，除应当</w:t>
            </w:r>
            <w:r>
              <w:rPr>
                <w:rFonts w:hint="eastAsia" w:asciiTheme="minorEastAsia" w:hAnsiTheme="minorEastAsia" w:eastAsiaTheme="minorEastAsia"/>
                <w:bCs/>
                <w:color w:val="auto"/>
                <w:szCs w:val="21"/>
                <w:highlight w:val="yellow"/>
                <w:lang w:val="en-US" w:eastAsia="zh-CN"/>
              </w:rPr>
              <w:t>支付合同款项</w:t>
            </w:r>
            <w:r>
              <w:rPr>
                <w:rFonts w:hint="eastAsia" w:asciiTheme="minorEastAsia" w:hAnsiTheme="minorEastAsia" w:eastAsiaTheme="minorEastAsia"/>
                <w:bCs/>
                <w:color w:val="auto"/>
                <w:szCs w:val="21"/>
                <w:highlight w:val="yellow"/>
                <w:lang w:val="en-US" w:eastAsia="zh-TW"/>
              </w:rPr>
              <w:t>外，还应当每日按合同总价的</w:t>
            </w:r>
            <w:r>
              <w:rPr>
                <w:rFonts w:hint="eastAsia" w:asciiTheme="minorEastAsia" w:hAnsiTheme="minorEastAsia" w:eastAsiaTheme="minorEastAsia"/>
                <w:bCs/>
                <w:color w:val="auto"/>
                <w:szCs w:val="21"/>
                <w:highlight w:val="yellow"/>
                <w:lang w:val="en-US" w:eastAsia="zh-CN"/>
              </w:rPr>
              <w:t>1</w:t>
            </w:r>
            <w:r>
              <w:rPr>
                <w:rFonts w:hint="eastAsia" w:asciiTheme="minorEastAsia" w:hAnsiTheme="minorEastAsia" w:eastAsiaTheme="minorEastAsia"/>
                <w:bCs/>
                <w:color w:val="auto"/>
                <w:szCs w:val="21"/>
                <w:highlight w:val="yellow"/>
                <w:lang w:val="en-US" w:eastAsia="zh-TW"/>
              </w:rPr>
              <w:t>‰向</w:t>
            </w:r>
            <w:r>
              <w:rPr>
                <w:rFonts w:hint="eastAsia" w:asciiTheme="minorEastAsia" w:hAnsiTheme="minorEastAsia" w:eastAsiaTheme="minorEastAsia"/>
                <w:bCs/>
                <w:color w:val="auto"/>
                <w:szCs w:val="21"/>
                <w:highlight w:val="yellow"/>
                <w:lang w:val="en-US" w:eastAsia="zh-CN"/>
              </w:rPr>
              <w:t>中标人</w:t>
            </w:r>
            <w:r>
              <w:rPr>
                <w:rFonts w:hint="eastAsia" w:asciiTheme="minorEastAsia" w:hAnsiTheme="minorEastAsia" w:eastAsiaTheme="minorEastAsia"/>
                <w:bCs/>
                <w:color w:val="auto"/>
                <w:szCs w:val="21"/>
                <w:highlight w:val="yellow"/>
                <w:lang w:val="en-US" w:eastAsia="zh-TW"/>
              </w:rPr>
              <w:t>偿付违约金，但因</w:t>
            </w:r>
            <w:r>
              <w:rPr>
                <w:rFonts w:hint="eastAsia" w:asciiTheme="minorEastAsia" w:hAnsiTheme="minorEastAsia" w:eastAsiaTheme="minorEastAsia"/>
                <w:bCs/>
                <w:color w:val="auto"/>
                <w:szCs w:val="21"/>
                <w:highlight w:val="yellow"/>
                <w:lang w:val="en-US" w:eastAsia="zh-CN"/>
              </w:rPr>
              <w:t>中标人</w:t>
            </w:r>
            <w:r>
              <w:rPr>
                <w:rFonts w:hint="eastAsia" w:asciiTheme="minorEastAsia" w:hAnsiTheme="minorEastAsia" w:eastAsiaTheme="minorEastAsia"/>
                <w:bCs/>
                <w:color w:val="auto"/>
                <w:szCs w:val="21"/>
                <w:highlight w:val="yellow"/>
                <w:lang w:val="en-US" w:eastAsia="zh-TW"/>
              </w:rPr>
              <w:t>自身原因导致无法及时</w:t>
            </w:r>
            <w:r>
              <w:rPr>
                <w:rFonts w:hint="eastAsia" w:asciiTheme="minorEastAsia" w:hAnsiTheme="minorEastAsia" w:eastAsiaTheme="minorEastAsia"/>
                <w:bCs/>
                <w:color w:val="auto"/>
                <w:szCs w:val="21"/>
                <w:highlight w:val="yellow"/>
                <w:lang w:val="en-US" w:eastAsia="zh-CN"/>
              </w:rPr>
              <w:t>支付</w:t>
            </w:r>
            <w:r>
              <w:rPr>
                <w:rFonts w:hint="eastAsia" w:asciiTheme="minorEastAsia" w:hAnsiTheme="minorEastAsia" w:eastAsiaTheme="minorEastAsia"/>
                <w:bCs/>
                <w:color w:val="auto"/>
                <w:szCs w:val="21"/>
                <w:highlight w:val="yellow"/>
                <w:lang w:val="en-US" w:eastAsia="zh-TW"/>
              </w:rPr>
              <w:t>的除外</w:t>
            </w:r>
          </w:p>
        </w:tc>
      </w:tr>
      <w:tr w14:paraId="54D3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Align w:val="center"/>
          </w:tcPr>
          <w:p w14:paraId="51A5B45E">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w:t>
            </w:r>
          </w:p>
        </w:tc>
        <w:tc>
          <w:tcPr>
            <w:tcW w:w="916" w:type="pct"/>
            <w:vAlign w:val="center"/>
          </w:tcPr>
          <w:p w14:paraId="300D7D37">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关于付款</w:t>
            </w:r>
          </w:p>
        </w:tc>
        <w:tc>
          <w:tcPr>
            <w:tcW w:w="3628" w:type="pct"/>
            <w:vAlign w:val="center"/>
          </w:tcPr>
          <w:p w14:paraId="18CC5EDA">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4.1全部合同货物到达交货地点，并安装调试且验收合格后，提交验收资料，采购人在收到验收资料和发票后向中标人支付合同总价的  100   %。</w:t>
            </w:r>
          </w:p>
          <w:p w14:paraId="05FEA383">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4.2每次</w:t>
            </w:r>
            <w:r>
              <w:rPr>
                <w:rFonts w:hint="eastAsia" w:asciiTheme="minorEastAsia" w:hAnsiTheme="minorEastAsia" w:eastAsiaTheme="minorEastAsia"/>
                <w:bCs/>
                <w:color w:val="auto"/>
                <w:szCs w:val="21"/>
                <w:lang w:val="en-US" w:eastAsia="zh-TW"/>
              </w:rPr>
              <w:t>按合同支付款项前，</w:t>
            </w:r>
            <w:r>
              <w:rPr>
                <w:rFonts w:hint="eastAsia" w:asciiTheme="minorEastAsia" w:hAnsiTheme="minorEastAsia" w:eastAsiaTheme="minorEastAsia"/>
                <w:bCs/>
                <w:color w:val="auto"/>
                <w:szCs w:val="21"/>
                <w:lang w:val="en-US" w:eastAsia="zh-CN"/>
              </w:rPr>
              <w:t>中标人应</w:t>
            </w:r>
            <w:r>
              <w:rPr>
                <w:rFonts w:hint="eastAsia" w:asciiTheme="minorEastAsia" w:hAnsiTheme="minorEastAsia" w:eastAsiaTheme="minorEastAsia"/>
                <w:bCs/>
                <w:color w:val="auto"/>
                <w:szCs w:val="21"/>
                <w:lang w:val="en-US" w:eastAsia="zh-TW"/>
              </w:rPr>
              <w:t>向采购人提供与支付金额相符的有效发票，且收款方、出具发票方、合同乙方均必须与</w:t>
            </w:r>
            <w:r>
              <w:rPr>
                <w:rFonts w:hint="eastAsia" w:asciiTheme="minorEastAsia" w:hAnsiTheme="minorEastAsia" w:eastAsiaTheme="minorEastAsia"/>
                <w:bCs/>
                <w:color w:val="auto"/>
                <w:szCs w:val="21"/>
                <w:lang w:val="en-US" w:eastAsia="zh-CN"/>
              </w:rPr>
              <w:t>中标人</w:t>
            </w:r>
            <w:r>
              <w:rPr>
                <w:rFonts w:hint="eastAsia" w:asciiTheme="minorEastAsia" w:hAnsiTheme="minorEastAsia" w:eastAsiaTheme="minorEastAsia"/>
                <w:bCs/>
                <w:color w:val="auto"/>
                <w:szCs w:val="21"/>
                <w:lang w:val="en-US" w:eastAsia="zh-TW"/>
              </w:rPr>
              <w:t>名称一致；</w:t>
            </w:r>
          </w:p>
        </w:tc>
      </w:tr>
      <w:tr w14:paraId="3A59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Align w:val="center"/>
          </w:tcPr>
          <w:p w14:paraId="3C353B0B">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w:t>
            </w:r>
          </w:p>
        </w:tc>
        <w:tc>
          <w:tcPr>
            <w:tcW w:w="916" w:type="pct"/>
            <w:vAlign w:val="center"/>
          </w:tcPr>
          <w:p w14:paraId="536D906D">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知识产权合规承诺</w:t>
            </w:r>
          </w:p>
        </w:tc>
        <w:tc>
          <w:tcPr>
            <w:tcW w:w="3628" w:type="pct"/>
            <w:vAlign w:val="center"/>
          </w:tcPr>
          <w:p w14:paraId="39526E16">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6.1投标人在履行合同的过程中不得侵犯他人知识产权，不得提供虚假知识产权申请材料或者违背知识产权合规性承诺，否则依法追究其违约等责任，并将其失信违法信息依法纳入公共信用信息系统。</w:t>
            </w:r>
          </w:p>
          <w:p w14:paraId="5E3D39DE">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6.2投标人应保证采购人在使用该货物或其任何一部分时免受第三方提出侵犯其专利、商标、版权等知识产权或商品名称及其他权利的起诉及索赔。若采购人因此被第三方起诉或以其它方式追究责任，投标人应赔偿因采购人被第三方索赔所引起的一切损失，包括但不限于采购人所支付的侵权损害赔偿费、律师费、诉讼费、仲裁费、办案差旅费等因应诉、沟通协调所发的一切费用。</w:t>
            </w:r>
          </w:p>
          <w:p w14:paraId="1DFE6C42">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6.3投标人实施本项目所形成成果的知识产权归采购人所有，未经采购人许可，投标人不得随意使用。</w:t>
            </w:r>
          </w:p>
        </w:tc>
      </w:tr>
      <w:tr w14:paraId="152F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restart"/>
            <w:vAlign w:val="center"/>
          </w:tcPr>
          <w:p w14:paraId="724A8452">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w:t>
            </w:r>
          </w:p>
        </w:tc>
        <w:tc>
          <w:tcPr>
            <w:tcW w:w="916" w:type="pct"/>
            <w:vMerge w:val="restart"/>
            <w:vAlign w:val="center"/>
          </w:tcPr>
          <w:p w14:paraId="704BE1E0">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项目（产品）要求</w:t>
            </w:r>
          </w:p>
        </w:tc>
        <w:tc>
          <w:tcPr>
            <w:tcW w:w="3628" w:type="pct"/>
            <w:vAlign w:val="center"/>
          </w:tcPr>
          <w:p w14:paraId="2B75C2D3">
            <w:pPr>
              <w:keepNext w:val="0"/>
              <w:keepLines w:val="0"/>
              <w:suppressLineNumbers w:val="0"/>
              <w:spacing w:before="0" w:beforeAutospacing="0" w:after="0" w:afterAutospacing="0"/>
              <w:ind w:left="0" w:right="0"/>
              <w:jc w:val="both"/>
              <w:rPr>
                <w:rFonts w:hint="eastAsia" w:asciiTheme="minorEastAsia" w:hAnsiTheme="minorEastAsia" w:eastAsiaTheme="minorEastAsia"/>
                <w:b/>
                <w:bCs w:val="0"/>
                <w:color w:val="FF0000"/>
                <w:szCs w:val="21"/>
                <w:lang w:val="en-US" w:eastAsia="zh-CN"/>
              </w:rPr>
            </w:pPr>
            <w:r>
              <w:rPr>
                <w:rFonts w:hint="eastAsia" w:asciiTheme="minorEastAsia" w:hAnsiTheme="minorEastAsia" w:eastAsiaTheme="minorEastAsia"/>
                <w:b/>
                <w:bCs w:val="0"/>
                <w:color w:val="FF0000"/>
                <w:szCs w:val="21"/>
                <w:lang w:val="en-US" w:eastAsia="zh-CN"/>
              </w:rPr>
              <w:t>★7.1若所投产品为进口，则投标人需提供由设备制造商或授权的中国代理签署的合法有效的保修、维修承诺函（免费保修期满足招标文件要求）扫描件；若所投产品为国产产品，则无需提供。</w:t>
            </w:r>
          </w:p>
        </w:tc>
      </w:tr>
      <w:tr w14:paraId="28DD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vMerge w:val="continue"/>
            <w:vAlign w:val="center"/>
          </w:tcPr>
          <w:p w14:paraId="38A1660B">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val="en-US" w:eastAsia="zh-CN"/>
              </w:rPr>
            </w:pPr>
          </w:p>
        </w:tc>
        <w:tc>
          <w:tcPr>
            <w:tcW w:w="916" w:type="pct"/>
            <w:vMerge w:val="continue"/>
            <w:vAlign w:val="center"/>
          </w:tcPr>
          <w:p w14:paraId="1B825C78">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val="en-US" w:eastAsia="zh-CN"/>
              </w:rPr>
            </w:pPr>
          </w:p>
        </w:tc>
        <w:tc>
          <w:tcPr>
            <w:tcW w:w="3628" w:type="pct"/>
            <w:vAlign w:val="center"/>
          </w:tcPr>
          <w:p w14:paraId="352409BD">
            <w:pPr>
              <w:keepNext w:val="0"/>
              <w:keepLines w:val="0"/>
              <w:suppressLineNumbers w:val="0"/>
              <w:spacing w:before="0" w:beforeAutospacing="0" w:after="0" w:afterAutospacing="0"/>
              <w:ind w:left="0" w:right="0"/>
              <w:jc w:val="both"/>
              <w:rPr>
                <w:rFonts w:hint="eastAsia" w:asciiTheme="minorEastAsia" w:hAnsiTheme="minorEastAsia" w:eastAsiaTheme="minorEastAsia"/>
                <w:b/>
                <w:bCs w:val="0"/>
                <w:color w:val="FF0000"/>
                <w:szCs w:val="21"/>
                <w:lang w:val="en-US" w:eastAsia="zh-CN"/>
              </w:rPr>
            </w:pPr>
            <w:r>
              <w:rPr>
                <w:rFonts w:hint="eastAsia" w:asciiTheme="minorEastAsia" w:hAnsiTheme="minorEastAsia" w:eastAsiaTheme="minorEastAsia"/>
                <w:b/>
                <w:bCs w:val="0"/>
                <w:color w:val="FF0000"/>
                <w:szCs w:val="21"/>
                <w:lang w:val="en-US" w:eastAsia="zh-CN"/>
              </w:rPr>
              <w:t>★7.2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r>
    </w:tbl>
    <w:p w14:paraId="59B68033">
      <w:pPr>
        <w:pStyle w:val="18"/>
      </w:pPr>
    </w:p>
    <w:p w14:paraId="2095C2B7">
      <w:pPr>
        <w:pStyle w:val="5"/>
        <w:spacing w:before="156" w:beforeLines="50" w:after="156" w:afterLines="50"/>
        <w:rPr>
          <w:szCs w:val="24"/>
        </w:rPr>
      </w:pPr>
      <w:r>
        <w:rPr>
          <w:rFonts w:hint="eastAsia"/>
          <w:szCs w:val="24"/>
          <w:lang w:val="en-US" w:eastAsia="zh-CN"/>
        </w:rPr>
        <w:t>六</w:t>
      </w:r>
      <w:r>
        <w:rPr>
          <w:rFonts w:hint="eastAsia"/>
          <w:szCs w:val="24"/>
        </w:rPr>
        <w:t>、其他重要条款</w:t>
      </w:r>
    </w:p>
    <w:p w14:paraId="0B34EEC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A27625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2.投标人应充分了解项目的位置、情况、道路及任何其它足以影响投标报价的情况，任何因忽视或误解项目情况而导致的索赔或服务期限延长申请将不获批准。</w:t>
      </w:r>
    </w:p>
    <w:p w14:paraId="5CDBDDA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0C96E65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4.除采购合同继续履行将损害国家利益和社会公共利益外，双方当事人不得擅自变更、中止或者终止合同。</w:t>
      </w:r>
    </w:p>
    <w:p w14:paraId="1298B8B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076F25A3">
      <w:pPr>
        <w:rPr>
          <w:rFonts w:hint="eastAsia"/>
          <w:sz w:val="28"/>
          <w:szCs w:val="28"/>
        </w:rPr>
      </w:pPr>
      <w:r>
        <w:rPr>
          <w:rFonts w:hint="eastAsia"/>
          <w:sz w:val="28"/>
          <w:szCs w:val="28"/>
        </w:rPr>
        <w:br w:type="page"/>
      </w:r>
    </w:p>
    <w:p w14:paraId="54484D2C">
      <w:pPr>
        <w:pStyle w:val="5"/>
        <w:rPr>
          <w:sz w:val="28"/>
          <w:szCs w:val="28"/>
        </w:rPr>
      </w:pPr>
      <w:r>
        <w:rPr>
          <w:rFonts w:hint="eastAsia"/>
          <w:sz w:val="28"/>
          <w:szCs w:val="28"/>
        </w:rPr>
        <w:t>第四章 投标文件组成要求及格式</w:t>
      </w:r>
    </w:p>
    <w:p w14:paraId="5338D64C">
      <w:pPr>
        <w:rPr>
          <w:rStyle w:val="65"/>
          <w:sz w:val="24"/>
        </w:rPr>
      </w:pPr>
      <w:r>
        <w:rPr>
          <w:rStyle w:val="65"/>
          <w:rFonts w:hint="eastAsia"/>
          <w:sz w:val="24"/>
        </w:rPr>
        <w:t>特别提醒：</w:t>
      </w:r>
    </w:p>
    <w:p w14:paraId="580D22C1">
      <w:pPr>
        <w:tabs>
          <w:tab w:val="left" w:pos="1470"/>
        </w:tabs>
        <w:snapToGrid w:val="0"/>
        <w:spacing w:line="320" w:lineRule="atLeast"/>
        <w:ind w:firstLine="482" w:firstLineChars="200"/>
        <w:rPr>
          <w:rFonts w:ascii="宋体" w:hAnsi="宋体" w:cs="宋体"/>
          <w:b/>
          <w:color w:val="FF0000"/>
          <w:sz w:val="24"/>
          <w:highlight w:val="cyan"/>
        </w:rPr>
      </w:pPr>
      <w:r>
        <w:rPr>
          <w:rFonts w:hint="eastAsia" w:ascii="宋体" w:hAnsi="宋体" w:cs="宋体"/>
          <w:b/>
          <w:color w:val="FF0000"/>
          <w:sz w:val="24"/>
          <w:highlight w:val="cyan"/>
        </w:rPr>
        <w:t>1</w:t>
      </w:r>
      <w:r>
        <w:rPr>
          <w:rFonts w:hint="eastAsia" w:ascii="宋体" w:hAnsi="宋体" w:cs="宋体"/>
          <w:b/>
          <w:color w:val="FF0000"/>
          <w:sz w:val="24"/>
          <w:highlight w:val="cyan"/>
          <w:lang w:val="en-US" w:eastAsia="zh-CN"/>
        </w:rPr>
        <w:t>.</w:t>
      </w:r>
      <w:r>
        <w:rPr>
          <w:rFonts w:hint="eastAsia" w:ascii="宋体" w:hAnsi="宋体" w:cs="宋体"/>
          <w:b/>
          <w:color w:val="FF0000"/>
          <w:sz w:val="24"/>
          <w:highlight w:val="cyan"/>
        </w:rPr>
        <w:t>投标人在编辑投标文件时，在投标文件目录中属于本节点内容的</w:t>
      </w:r>
      <w:r>
        <w:rPr>
          <w:rFonts w:hint="eastAsia" w:ascii="宋体" w:hAnsi="宋体" w:cs="宋体"/>
          <w:b/>
          <w:color w:val="FF0000"/>
          <w:sz w:val="24"/>
          <w:highlight w:val="cyan"/>
          <w:lang w:val="en-US" w:eastAsia="zh-CN"/>
        </w:rPr>
        <w:t>需</w:t>
      </w:r>
      <w:r>
        <w:rPr>
          <w:rFonts w:hint="eastAsia" w:ascii="宋体" w:hAnsi="宋体" w:cs="宋体"/>
          <w:b/>
          <w:color w:val="FF0000"/>
          <w:sz w:val="24"/>
          <w:highlight w:val="cyan"/>
        </w:rPr>
        <w:t>在</w:t>
      </w:r>
      <w:r>
        <w:rPr>
          <w:rFonts w:hint="eastAsia" w:ascii="宋体" w:hAnsi="宋体" w:cs="宋体"/>
          <w:b/>
          <w:color w:val="FF0000"/>
          <w:sz w:val="24"/>
          <w:highlight w:val="cyan"/>
          <w:lang w:val="en-US" w:eastAsia="zh-CN"/>
        </w:rPr>
        <w:t>对应</w:t>
      </w:r>
      <w:r>
        <w:rPr>
          <w:rFonts w:hint="eastAsia" w:ascii="宋体" w:hAnsi="宋体" w:cs="宋体"/>
          <w:b/>
          <w:color w:val="FF0000"/>
          <w:sz w:val="24"/>
          <w:highlight w:val="cyan"/>
        </w:rPr>
        <w:t>节点中填写，填写到其他节点后果由供应商自行承担。</w:t>
      </w:r>
    </w:p>
    <w:p w14:paraId="4F5D28FA">
      <w:pPr>
        <w:tabs>
          <w:tab w:val="left" w:pos="1470"/>
        </w:tabs>
        <w:snapToGrid w:val="0"/>
        <w:spacing w:line="320" w:lineRule="atLeast"/>
        <w:ind w:firstLine="482" w:firstLineChars="200"/>
        <w:rPr>
          <w:rFonts w:hint="default" w:ascii="宋体" w:hAnsi="宋体" w:eastAsia="宋体" w:cs="宋体"/>
          <w:b/>
          <w:color w:val="FF0000"/>
          <w:sz w:val="24"/>
          <w:highlight w:val="cyan"/>
          <w:lang w:val="en-US" w:eastAsia="zh-CN"/>
        </w:rPr>
      </w:pPr>
      <w:r>
        <w:rPr>
          <w:rFonts w:hint="eastAsia" w:ascii="宋体" w:hAnsi="宋体" w:cs="宋体"/>
          <w:b/>
          <w:color w:val="FF0000"/>
          <w:sz w:val="24"/>
          <w:highlight w:val="cyan"/>
        </w:rPr>
        <w:t>2</w:t>
      </w:r>
      <w:r>
        <w:rPr>
          <w:rFonts w:hint="eastAsia" w:ascii="宋体" w:hAnsi="宋体" w:cs="宋体"/>
          <w:b/>
          <w:color w:val="FF0000"/>
          <w:sz w:val="24"/>
          <w:highlight w:val="cyan"/>
          <w:lang w:val="en-US" w:eastAsia="zh-CN"/>
        </w:rPr>
        <w:t>.投标文件均不对外公开。</w:t>
      </w:r>
    </w:p>
    <w:p w14:paraId="4488388D">
      <w:pPr>
        <w:tabs>
          <w:tab w:val="left" w:pos="1470"/>
        </w:tabs>
        <w:snapToGrid w:val="0"/>
        <w:spacing w:line="320" w:lineRule="atLeast"/>
        <w:ind w:firstLine="482" w:firstLineChars="200"/>
        <w:rPr>
          <w:rFonts w:hint="eastAsia" w:ascii="宋体" w:hAnsi="宋体" w:cs="宋体"/>
          <w:b/>
          <w:color w:val="FF0000"/>
          <w:sz w:val="24"/>
        </w:rPr>
      </w:pPr>
    </w:p>
    <w:p w14:paraId="15BF34F0">
      <w:pPr>
        <w:rPr>
          <w:rFonts w:ascii="宋体" w:hAnsi="宋体"/>
          <w:b/>
          <w:bCs/>
          <w:sz w:val="24"/>
        </w:rPr>
      </w:pPr>
      <w:r>
        <w:rPr>
          <w:rFonts w:hint="eastAsia" w:ascii="宋体" w:hAnsi="宋体"/>
          <w:b/>
          <w:bCs/>
          <w:sz w:val="24"/>
        </w:rPr>
        <w:t>投标文件组成：</w:t>
      </w:r>
    </w:p>
    <w:p w14:paraId="3A757679">
      <w:pPr>
        <w:ind w:firstLine="480" w:firstLineChars="200"/>
        <w:outlineLvl w:val="0"/>
        <w:rPr>
          <w:rFonts w:ascii="宋体" w:hAnsi="宋体"/>
          <w:sz w:val="24"/>
        </w:rPr>
      </w:pPr>
      <w:r>
        <w:rPr>
          <w:rFonts w:hint="eastAsia" w:ascii="宋体" w:hAnsi="宋体"/>
          <w:sz w:val="24"/>
        </w:rPr>
        <w:t>投标文件主要包括以下内容：</w:t>
      </w:r>
    </w:p>
    <w:p w14:paraId="73962B6E">
      <w:pPr>
        <w:ind w:firstLine="840" w:firstLineChars="400"/>
        <w:rPr>
          <w:rFonts w:hint="eastAsia"/>
          <w:szCs w:val="21"/>
          <w:highlight w:val="none"/>
        </w:rPr>
      </w:pPr>
      <w:r>
        <w:rPr>
          <w:rFonts w:hint="eastAsia"/>
          <w:szCs w:val="21"/>
          <w:highlight w:val="none"/>
        </w:rPr>
        <w:t>（1）投标函</w:t>
      </w:r>
    </w:p>
    <w:p w14:paraId="7AD3AD11">
      <w:pPr>
        <w:ind w:firstLine="840" w:firstLineChars="400"/>
        <w:rPr>
          <w:rFonts w:hint="eastAsia"/>
          <w:szCs w:val="21"/>
          <w:highlight w:val="none"/>
        </w:rPr>
      </w:pPr>
      <w:r>
        <w:rPr>
          <w:rFonts w:hint="eastAsia"/>
          <w:szCs w:val="21"/>
          <w:highlight w:val="none"/>
        </w:rPr>
        <w:t>（2）采购投标及履约承诺函</w:t>
      </w:r>
    </w:p>
    <w:p w14:paraId="292E857A">
      <w:pPr>
        <w:ind w:firstLine="840" w:firstLineChars="400"/>
        <w:rPr>
          <w:rFonts w:hint="eastAsia"/>
          <w:szCs w:val="21"/>
          <w:highlight w:val="none"/>
        </w:rPr>
      </w:pPr>
      <w:r>
        <w:rPr>
          <w:rFonts w:hint="eastAsia"/>
          <w:szCs w:val="21"/>
          <w:highlight w:val="none"/>
        </w:rPr>
        <w:t>（3）投标人情况及资格证明文件</w:t>
      </w:r>
    </w:p>
    <w:p w14:paraId="49500B2D">
      <w:pPr>
        <w:ind w:firstLine="840" w:firstLineChars="400"/>
        <w:rPr>
          <w:rFonts w:hint="eastAsia"/>
          <w:szCs w:val="21"/>
          <w:highlight w:val="none"/>
        </w:rPr>
      </w:pPr>
      <w:r>
        <w:rPr>
          <w:rFonts w:hint="eastAsia"/>
          <w:szCs w:val="21"/>
          <w:highlight w:val="none"/>
        </w:rPr>
        <w:t>（4）项目详细报价</w:t>
      </w:r>
    </w:p>
    <w:p w14:paraId="3BB6234E">
      <w:pPr>
        <w:ind w:firstLine="840" w:firstLineChars="400"/>
        <w:rPr>
          <w:rFonts w:hint="eastAsia"/>
          <w:szCs w:val="21"/>
          <w:highlight w:val="none"/>
        </w:rPr>
      </w:pPr>
      <w:r>
        <w:rPr>
          <w:rFonts w:hint="eastAsia"/>
          <w:szCs w:val="21"/>
          <w:highlight w:val="none"/>
          <w:lang w:eastAsia="zh-CN"/>
        </w:rPr>
        <w:t>（</w:t>
      </w:r>
      <w:r>
        <w:rPr>
          <w:rFonts w:hint="eastAsia"/>
          <w:szCs w:val="21"/>
          <w:highlight w:val="none"/>
          <w:lang w:val="en-US" w:eastAsia="zh-CN"/>
        </w:rPr>
        <w:t>5</w:t>
      </w:r>
      <w:r>
        <w:rPr>
          <w:rFonts w:hint="eastAsia"/>
          <w:szCs w:val="21"/>
          <w:highlight w:val="none"/>
          <w:lang w:eastAsia="zh-CN"/>
        </w:rPr>
        <w:t>）</w:t>
      </w:r>
      <w:r>
        <w:rPr>
          <w:rFonts w:hint="eastAsia"/>
          <w:szCs w:val="21"/>
          <w:highlight w:val="none"/>
        </w:rPr>
        <w:t>供应商基本情况表</w:t>
      </w:r>
      <w:r>
        <w:rPr>
          <w:rFonts w:hint="eastAsia"/>
          <w:i w:val="0"/>
          <w:iCs w:val="0"/>
          <w:color w:val="FF0000"/>
          <w:szCs w:val="21"/>
          <w:highlight w:val="none"/>
        </w:rPr>
        <w:t>（须加盖投标单位公章）</w:t>
      </w:r>
    </w:p>
    <w:p w14:paraId="44DA7533">
      <w:pPr>
        <w:ind w:firstLine="840" w:firstLineChars="400"/>
        <w:rPr>
          <w:rFonts w:hint="eastAsia"/>
          <w:szCs w:val="21"/>
          <w:highlight w:val="none"/>
        </w:rPr>
      </w:pPr>
      <w:r>
        <w:rPr>
          <w:rFonts w:hint="eastAsia"/>
          <w:szCs w:val="21"/>
          <w:highlight w:val="none"/>
        </w:rPr>
        <w:t>（</w:t>
      </w:r>
      <w:r>
        <w:rPr>
          <w:rFonts w:hint="eastAsia"/>
          <w:szCs w:val="21"/>
          <w:highlight w:val="none"/>
          <w:lang w:val="en-US" w:eastAsia="zh-CN"/>
        </w:rPr>
        <w:t>6</w:t>
      </w:r>
      <w:r>
        <w:rPr>
          <w:rFonts w:hint="eastAsia"/>
          <w:szCs w:val="21"/>
          <w:highlight w:val="none"/>
        </w:rPr>
        <w:t>）法定代表人（负责人）证明书</w:t>
      </w:r>
    </w:p>
    <w:p w14:paraId="607A416A">
      <w:pPr>
        <w:ind w:firstLine="840" w:firstLineChars="400"/>
        <w:rPr>
          <w:rFonts w:hint="eastAsia"/>
          <w:szCs w:val="21"/>
          <w:highlight w:val="none"/>
        </w:rPr>
      </w:pPr>
      <w:r>
        <w:rPr>
          <w:rFonts w:hint="eastAsia"/>
          <w:szCs w:val="21"/>
          <w:highlight w:val="none"/>
        </w:rPr>
        <w:t>（</w:t>
      </w:r>
      <w:r>
        <w:rPr>
          <w:rFonts w:hint="eastAsia"/>
          <w:szCs w:val="21"/>
          <w:highlight w:val="none"/>
          <w:lang w:val="en-US" w:eastAsia="zh-CN"/>
        </w:rPr>
        <w:t>7</w:t>
      </w:r>
      <w:r>
        <w:rPr>
          <w:rFonts w:hint="eastAsia"/>
          <w:szCs w:val="21"/>
          <w:highlight w:val="none"/>
        </w:rPr>
        <w:t>）投标文件签署授权委托书</w:t>
      </w:r>
    </w:p>
    <w:p w14:paraId="4E02664F">
      <w:pPr>
        <w:ind w:firstLine="840" w:firstLineChars="400"/>
        <w:rPr>
          <w:rFonts w:hint="eastAsia"/>
          <w:szCs w:val="21"/>
          <w:highlight w:val="none"/>
        </w:rPr>
      </w:pPr>
      <w:r>
        <w:rPr>
          <w:rFonts w:hint="eastAsia"/>
          <w:szCs w:val="21"/>
          <w:highlight w:val="none"/>
        </w:rPr>
        <w:t>（</w:t>
      </w:r>
      <w:r>
        <w:rPr>
          <w:rFonts w:hint="eastAsia"/>
          <w:szCs w:val="21"/>
          <w:highlight w:val="none"/>
          <w:lang w:val="en-US" w:eastAsia="zh-CN"/>
        </w:rPr>
        <w:t>8</w:t>
      </w:r>
      <w:r>
        <w:rPr>
          <w:rFonts w:hint="eastAsia"/>
          <w:szCs w:val="21"/>
          <w:highlight w:val="none"/>
        </w:rPr>
        <w:t>）实质性条款响应情况表</w:t>
      </w:r>
    </w:p>
    <w:p w14:paraId="57D22098">
      <w:pPr>
        <w:ind w:firstLine="840" w:firstLineChars="400"/>
        <w:rPr>
          <w:rFonts w:hint="eastAsia"/>
          <w:szCs w:val="21"/>
          <w:highlight w:val="none"/>
        </w:rPr>
      </w:pPr>
      <w:r>
        <w:rPr>
          <w:rFonts w:hint="eastAsia"/>
          <w:szCs w:val="21"/>
          <w:highlight w:val="none"/>
        </w:rPr>
        <w:t>（</w:t>
      </w:r>
      <w:r>
        <w:rPr>
          <w:rFonts w:hint="eastAsia"/>
          <w:szCs w:val="21"/>
          <w:highlight w:val="none"/>
          <w:lang w:val="en-US" w:eastAsia="zh-CN"/>
        </w:rPr>
        <w:t>9</w:t>
      </w:r>
      <w:r>
        <w:rPr>
          <w:rFonts w:hint="eastAsia"/>
          <w:szCs w:val="21"/>
          <w:highlight w:val="none"/>
        </w:rPr>
        <w:t>）技术要求偏离表</w:t>
      </w:r>
    </w:p>
    <w:p w14:paraId="5DE8A037">
      <w:pPr>
        <w:ind w:firstLine="840" w:firstLineChars="400"/>
        <w:rPr>
          <w:rFonts w:hint="eastAsia"/>
          <w:szCs w:val="21"/>
          <w:highlight w:val="none"/>
        </w:rPr>
      </w:pPr>
      <w:r>
        <w:rPr>
          <w:rFonts w:hint="eastAsia"/>
          <w:szCs w:val="21"/>
          <w:highlight w:val="none"/>
        </w:rPr>
        <w:t>（</w:t>
      </w:r>
      <w:r>
        <w:rPr>
          <w:rFonts w:hint="eastAsia"/>
          <w:szCs w:val="21"/>
          <w:highlight w:val="none"/>
          <w:lang w:val="en-US" w:eastAsia="zh-CN"/>
        </w:rPr>
        <w:t>10</w:t>
      </w:r>
      <w:r>
        <w:rPr>
          <w:rFonts w:hint="eastAsia"/>
          <w:szCs w:val="21"/>
          <w:highlight w:val="none"/>
        </w:rPr>
        <w:t>）商务要求偏离表</w:t>
      </w:r>
    </w:p>
    <w:p w14:paraId="2453021E">
      <w:pPr>
        <w:ind w:firstLine="840" w:firstLineChars="400"/>
        <w:rPr>
          <w:rFonts w:hint="eastAsia"/>
          <w:szCs w:val="21"/>
          <w:highlight w:val="none"/>
        </w:rPr>
      </w:pPr>
      <w:r>
        <w:rPr>
          <w:rFonts w:hint="eastAsia"/>
          <w:szCs w:val="21"/>
          <w:highlight w:val="none"/>
        </w:rPr>
        <w:t>（</w:t>
      </w:r>
      <w:r>
        <w:rPr>
          <w:rFonts w:hint="eastAsia"/>
          <w:szCs w:val="21"/>
          <w:highlight w:val="none"/>
          <w:lang w:val="en-US" w:eastAsia="zh-CN"/>
        </w:rPr>
        <w:t>11</w:t>
      </w:r>
      <w:r>
        <w:rPr>
          <w:rFonts w:hint="eastAsia"/>
          <w:szCs w:val="21"/>
          <w:highlight w:val="none"/>
        </w:rPr>
        <w:t>）</w:t>
      </w:r>
      <w:r>
        <w:rPr>
          <w:rFonts w:hint="eastAsia" w:ascii="宋体" w:hAnsi="宋体" w:cs="宋体"/>
          <w:szCs w:val="21"/>
        </w:rPr>
        <w:t>售后服务方案</w:t>
      </w:r>
      <w:r>
        <w:rPr>
          <w:rFonts w:hint="eastAsia"/>
          <w:szCs w:val="21"/>
          <w:highlight w:val="none"/>
        </w:rPr>
        <w:t>（格式自定）</w:t>
      </w:r>
    </w:p>
    <w:p w14:paraId="75B4831F">
      <w:pPr>
        <w:ind w:firstLine="840" w:firstLineChars="400"/>
        <w:rPr>
          <w:rFonts w:hint="eastAsia"/>
        </w:rPr>
      </w:pPr>
      <w:r>
        <w:rPr>
          <w:rFonts w:hint="eastAsia"/>
          <w:szCs w:val="21"/>
          <w:highlight w:val="none"/>
        </w:rPr>
        <w:t>（</w:t>
      </w:r>
      <w:r>
        <w:rPr>
          <w:rFonts w:hint="eastAsia"/>
          <w:szCs w:val="21"/>
          <w:highlight w:val="none"/>
          <w:lang w:val="en-US" w:eastAsia="zh-CN"/>
        </w:rPr>
        <w:t>12</w:t>
      </w:r>
      <w:r>
        <w:rPr>
          <w:rFonts w:hint="eastAsia"/>
          <w:szCs w:val="21"/>
          <w:highlight w:val="none"/>
        </w:rPr>
        <w:t>）同类业绩</w:t>
      </w:r>
    </w:p>
    <w:p w14:paraId="3ED00CC5">
      <w:pPr>
        <w:ind w:firstLine="840" w:firstLineChars="400"/>
        <w:rPr>
          <w:rFonts w:hint="eastAsia"/>
          <w:szCs w:val="21"/>
          <w:highlight w:val="none"/>
        </w:rPr>
      </w:pPr>
      <w:r>
        <w:rPr>
          <w:rFonts w:hint="eastAsia"/>
          <w:szCs w:val="21"/>
          <w:highlight w:val="none"/>
        </w:rPr>
        <w:t>（1</w:t>
      </w:r>
      <w:r>
        <w:rPr>
          <w:rFonts w:hint="eastAsia"/>
          <w:szCs w:val="21"/>
          <w:highlight w:val="none"/>
          <w:lang w:val="en-US" w:eastAsia="zh-CN"/>
        </w:rPr>
        <w:t>3</w:t>
      </w:r>
      <w:r>
        <w:rPr>
          <w:rFonts w:hint="eastAsia"/>
          <w:szCs w:val="21"/>
          <w:highlight w:val="none"/>
        </w:rPr>
        <w:t>）投标人认为需要加以说明的其他内容</w:t>
      </w:r>
    </w:p>
    <w:p w14:paraId="69501B04">
      <w:pPr>
        <w:ind w:firstLine="426" w:firstLineChars="202"/>
        <w:rPr>
          <w:rFonts w:hint="eastAsia" w:ascii="宋体" w:hAnsi="宋体"/>
          <w:b/>
          <w:szCs w:val="21"/>
        </w:rPr>
      </w:pPr>
    </w:p>
    <w:p w14:paraId="7EA51B8C">
      <w:pPr>
        <w:ind w:firstLine="426" w:firstLineChars="202"/>
        <w:rPr>
          <w:rFonts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14:paraId="10FDC47E">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2465464C">
      <w:pPr>
        <w:jc w:val="left"/>
        <w:rPr>
          <w:rFonts w:ascii="宋体" w:hAnsi="宋体"/>
          <w:b/>
          <w:color w:val="FF0000"/>
          <w:sz w:val="36"/>
          <w:szCs w:val="36"/>
        </w:rPr>
      </w:pPr>
      <w:r>
        <w:rPr>
          <w:rFonts w:hint="eastAsia" w:ascii="宋体" w:hAnsi="宋体"/>
          <w:b/>
          <w:color w:val="FF0000"/>
          <w:sz w:val="36"/>
          <w:szCs w:val="36"/>
        </w:rPr>
        <w:br w:type="page"/>
      </w:r>
    </w:p>
    <w:p w14:paraId="3C016FAF">
      <w:pPr>
        <w:outlineLvl w:val="1"/>
        <w:rPr>
          <w:rFonts w:ascii="宋体" w:hAnsi="宋体"/>
          <w:b/>
          <w:color w:val="FF0000"/>
          <w:sz w:val="28"/>
          <w:szCs w:val="28"/>
        </w:rPr>
      </w:pPr>
      <w:r>
        <w:rPr>
          <w:rFonts w:hint="eastAsia" w:ascii="宋体" w:hAnsi="宋体"/>
          <w:b/>
          <w:color w:val="FF0000"/>
          <w:sz w:val="28"/>
          <w:szCs w:val="28"/>
        </w:rPr>
        <w:t>投标文件</w:t>
      </w:r>
    </w:p>
    <w:p w14:paraId="1E085B11">
      <w:pPr>
        <w:pStyle w:val="3"/>
        <w:jc w:val="center"/>
        <w:rPr>
          <w:rFonts w:ascii="黑体" w:eastAsia="黑体"/>
          <w:b w:val="0"/>
          <w:kern w:val="0"/>
          <w:sz w:val="24"/>
        </w:rPr>
      </w:pPr>
      <w:r>
        <w:rPr>
          <w:rFonts w:hint="eastAsia" w:ascii="黑体" w:eastAsia="黑体"/>
          <w:b w:val="0"/>
          <w:kern w:val="0"/>
          <w:sz w:val="24"/>
        </w:rPr>
        <w:t>一、投标函</w:t>
      </w:r>
    </w:p>
    <w:p w14:paraId="030B99D3">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color w:val="000000" w:themeColor="text1"/>
          <w:szCs w:val="21"/>
          <w:highlight w:val="cyan"/>
          <w:u w:val="single"/>
          <w14:textFill>
            <w14:solidFill>
              <w14:schemeClr w14:val="tx1"/>
            </w14:solidFill>
          </w14:textFill>
        </w:rPr>
        <w:t>深圳公共资源交易中心（深圳交易集团有限公司政府采购业务分公司）</w:t>
      </w:r>
    </w:p>
    <w:p w14:paraId="75469F48">
      <w:pPr>
        <w:ind w:firstLine="420" w:firstLineChars="200"/>
        <w:rPr>
          <w:rFonts w:ascii="宋体" w:hAnsi="宋体"/>
          <w:szCs w:val="21"/>
        </w:rPr>
      </w:pPr>
      <w:bookmarkStart w:id="38"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u w:val="single"/>
          <w:lang w:bidi="ar"/>
        </w:rPr>
        <w:t xml:space="preserve">      （项目名称）</w:t>
      </w:r>
      <w:r>
        <w:rPr>
          <w:szCs w:val="21"/>
          <w:u w:val="single"/>
          <w:lang w:bidi="ar"/>
        </w:rPr>
        <w:t xml:space="preserve"> </w:t>
      </w:r>
      <w:r>
        <w:rPr>
          <w:rFonts w:hint="eastAsia"/>
          <w:szCs w:val="21"/>
          <w:u w:val="single"/>
          <w:lang w:bidi="ar"/>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9" w:name="_Hlk72263588"/>
      <w:r>
        <w:rPr>
          <w:rFonts w:hint="eastAsia"/>
          <w:szCs w:val="21"/>
        </w:rPr>
        <w:t>愿意按照招标文件要求承包上述项目并修补其任何缺陷。</w:t>
      </w:r>
      <w:bookmarkEnd w:id="39"/>
    </w:p>
    <w:p w14:paraId="26524553">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9159054">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25750B6D">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7FABDB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0C688C16">
      <w:pPr>
        <w:ind w:left="525" w:leftChars="200" w:hanging="105" w:hangingChars="50"/>
        <w:rPr>
          <w:rFonts w:ascii="宋体" w:hAnsi="宋体"/>
          <w:szCs w:val="21"/>
        </w:rPr>
      </w:pPr>
      <w:r>
        <w:rPr>
          <w:rFonts w:hint="eastAsia" w:ascii="宋体" w:hAnsi="宋体"/>
          <w:szCs w:val="21"/>
        </w:rPr>
        <w:t>6、我单位理解贵单位将不受必须接受所收到的最低报价或其它任何投标文件的约束。</w:t>
      </w:r>
      <w:bookmarkEnd w:id="38"/>
    </w:p>
    <w:p w14:paraId="05539E83">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14:paraId="0447190E">
      <w:pPr>
        <w:pStyle w:val="18"/>
      </w:pPr>
    </w:p>
    <w:p w14:paraId="4514BF29">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14:paraId="5B02077D">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14:paraId="1703B939">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14:paraId="47C2C966">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7DF28D54">
      <w:pPr>
        <w:rPr>
          <w:rFonts w:ascii="黑体" w:hAnsi="宋体" w:eastAsia="黑体"/>
        </w:rPr>
      </w:pPr>
    </w:p>
    <w:p w14:paraId="3531CA9D">
      <w:pPr>
        <w:rPr>
          <w:rFonts w:ascii="黑体" w:hAnsi="宋体" w:eastAsia="黑体"/>
        </w:rPr>
      </w:pPr>
    </w:p>
    <w:p w14:paraId="293B9F5C">
      <w:pPr>
        <w:widowControl/>
        <w:jc w:val="left"/>
        <w:rPr>
          <w:rFonts w:ascii="黑体" w:hAnsi="宋体" w:eastAsia="黑体"/>
          <w:bCs/>
          <w:kern w:val="0"/>
          <w:sz w:val="24"/>
          <w:szCs w:val="32"/>
        </w:rPr>
      </w:pPr>
      <w:r>
        <w:rPr>
          <w:rFonts w:ascii="黑体" w:eastAsia="黑体"/>
          <w:b/>
          <w:kern w:val="0"/>
          <w:sz w:val="24"/>
        </w:rPr>
        <w:br w:type="page"/>
      </w:r>
    </w:p>
    <w:p w14:paraId="60A5885F">
      <w:pPr>
        <w:pStyle w:val="3"/>
        <w:jc w:val="center"/>
        <w:rPr>
          <w:rFonts w:ascii="黑体" w:eastAsia="黑体"/>
          <w:b w:val="0"/>
          <w:kern w:val="0"/>
          <w:sz w:val="24"/>
        </w:rPr>
      </w:pPr>
      <w:r>
        <w:rPr>
          <w:rFonts w:hint="eastAsia" w:ascii="黑体" w:eastAsia="黑体"/>
          <w:b w:val="0"/>
          <w:kern w:val="0"/>
          <w:sz w:val="24"/>
        </w:rPr>
        <w:t>二、采购投标及履约承诺函</w:t>
      </w:r>
    </w:p>
    <w:p w14:paraId="5EA5809E">
      <w:pPr>
        <w:rPr>
          <w:rFonts w:ascii="宋体" w:hAnsi="宋体" w:cs="宋体"/>
          <w:color w:val="FF0000"/>
          <w:szCs w:val="21"/>
        </w:rPr>
      </w:pPr>
      <w:r>
        <w:rPr>
          <w:rFonts w:hint="eastAsia" w:ascii="宋体" w:hAnsi="宋体" w:cs="宋体"/>
          <w:color w:val="FF0000"/>
          <w:szCs w:val="21"/>
          <w:lang w:bidi="ar"/>
        </w:rPr>
        <w:t>致：</w:t>
      </w:r>
      <w:r>
        <w:rPr>
          <w:rFonts w:hint="eastAsia" w:ascii="宋体" w:hAnsi="宋体" w:cs="宋体"/>
          <w:color w:val="FF0000"/>
          <w:szCs w:val="21"/>
          <w:highlight w:val="cyan"/>
          <w:lang w:bidi="ar"/>
        </w:rPr>
        <w:t>深圳公共资源交易中心（深圳交易集团有限公司政府采购业务分公司）</w:t>
      </w:r>
    </w:p>
    <w:p w14:paraId="6F840A70">
      <w:pPr>
        <w:ind w:right="-815" w:firstLine="420" w:firstLineChars="200"/>
        <w:rPr>
          <w:rFonts w:ascii="宋体" w:hAnsi="宋体" w:cs="宋体"/>
          <w:szCs w:val="21"/>
        </w:rPr>
      </w:pPr>
      <w:r>
        <w:rPr>
          <w:rFonts w:hint="eastAsia" w:ascii="宋体" w:hAnsi="宋体" w:cs="宋体"/>
          <w:szCs w:val="21"/>
          <w:lang w:bidi="ar"/>
        </w:rPr>
        <w:t>我单位承诺：</w:t>
      </w:r>
    </w:p>
    <w:p w14:paraId="5C2773A7">
      <w:pPr>
        <w:ind w:firstLine="420" w:firstLineChars="200"/>
        <w:rPr>
          <w:rFonts w:ascii="宋体" w:hAnsi="宋体" w:cs="宋体"/>
          <w:szCs w:val="21"/>
        </w:rPr>
      </w:pPr>
      <w:r>
        <w:rPr>
          <w:rFonts w:hint="eastAsia" w:ascii="宋体" w:hAnsi="宋体" w:cs="宋体"/>
          <w:szCs w:val="21"/>
          <w:lang w:bidi="ar"/>
        </w:rPr>
        <w:t>1.我单位参与本项目</w:t>
      </w:r>
      <w:r>
        <w:rPr>
          <w:rFonts w:hint="eastAsia" w:ascii="宋体" w:hAnsi="宋体" w:cs="宋体"/>
          <w:lang w:bidi="ar"/>
        </w:rPr>
        <w:t>所投标（响应）的货物、工程或服务，不存在侵犯知识产权的情况。</w:t>
      </w:r>
    </w:p>
    <w:p w14:paraId="7FF623BE">
      <w:pPr>
        <w:ind w:firstLine="420" w:firstLineChars="200"/>
        <w:rPr>
          <w:rFonts w:ascii="宋体" w:hAnsi="宋体" w:cs="宋体"/>
          <w:szCs w:val="21"/>
        </w:rPr>
      </w:pPr>
      <w:r>
        <w:rPr>
          <w:rFonts w:hint="eastAsia" w:ascii="宋体" w:hAnsi="宋体" w:cs="宋体"/>
          <w:szCs w:val="21"/>
          <w:lang w:bidi="ar"/>
        </w:rPr>
        <w:t>2.我单位</w:t>
      </w:r>
      <w:r>
        <w:rPr>
          <w:rFonts w:hint="eastAsia" w:ascii="宋体" w:hAnsi="宋体" w:cs="宋体"/>
          <w:kern w:val="0"/>
          <w:szCs w:val="21"/>
        </w:rPr>
        <w:t>参与本项目采购活动时</w:t>
      </w:r>
      <w:r>
        <w:rPr>
          <w:rFonts w:hint="eastAsia" w:cs="宋体"/>
          <w:lang w:bidi="ar"/>
        </w:rPr>
        <w:t>不存在被有关部门禁止参与政府采购活动且在有效期内的情况。</w:t>
      </w:r>
      <w:r>
        <w:rPr>
          <w:rFonts w:hint="eastAsia"/>
          <w:highlight w:val="cyan"/>
        </w:rPr>
        <w:t>符合招标文件关于联合体及进口产品的相关资格要求。</w:t>
      </w:r>
    </w:p>
    <w:p w14:paraId="556D22B9">
      <w:pPr>
        <w:ind w:firstLine="420" w:firstLineChars="200"/>
        <w:rPr>
          <w:rFonts w:ascii="宋体" w:hAnsi="宋体" w:cs="宋体"/>
          <w:szCs w:val="21"/>
        </w:rPr>
      </w:pPr>
      <w:r>
        <w:rPr>
          <w:rFonts w:hint="eastAsia" w:ascii="宋体" w:hAnsi="宋体" w:cs="宋体"/>
          <w:szCs w:val="21"/>
          <w:lang w:bidi="ar"/>
        </w:rPr>
        <w:t>3.我单位具备《中华人民共和国政府采购法》第二十二条第一款规定的六项条件。</w:t>
      </w:r>
    </w:p>
    <w:p w14:paraId="51FA628E">
      <w:pPr>
        <w:ind w:firstLine="420" w:firstLineChars="200"/>
      </w:pPr>
      <w:r>
        <w:rPr>
          <w:rFonts w:hint="eastAsia" w:ascii="宋体" w:hAnsi="宋体" w:cs="宋体"/>
          <w:szCs w:val="21"/>
          <w:lang w:bidi="ar"/>
        </w:rPr>
        <w:t>4.我单位</w:t>
      </w:r>
      <w:r>
        <w:rPr>
          <w:rFonts w:hint="eastAsia" w:cs="宋体"/>
          <w:lang w:bidi="ar"/>
        </w:rPr>
        <w:t>未被列入失信被执行人、重大税收违法案件当事人名单、政府采购严重违法失信行为记录名单。</w:t>
      </w:r>
    </w:p>
    <w:p w14:paraId="4612342B">
      <w:pPr>
        <w:ind w:firstLine="420" w:firstLineChars="200"/>
      </w:pPr>
      <w:r>
        <w:rPr>
          <w:color w:val="FF0000"/>
          <w:lang w:bidi="ar"/>
        </w:rPr>
        <w:t>5.</w:t>
      </w:r>
      <w:r>
        <w:rPr>
          <w:rFonts w:hint="eastAsia" w:cs="宋体"/>
          <w:color w:val="FF0000"/>
          <w:lang w:bidi="ar"/>
        </w:rPr>
        <w:t>我单位不存在《深圳市财政局政府采购供应商信用信息管理办法》（深财规〔</w:t>
      </w:r>
      <w:r>
        <w:rPr>
          <w:color w:val="FF0000"/>
          <w:lang w:bidi="ar"/>
        </w:rPr>
        <w:t>2023</w:t>
      </w:r>
      <w:r>
        <w:rPr>
          <w:rFonts w:hint="eastAsia" w:cs="宋体"/>
          <w:color w:val="FF0000"/>
          <w:lang w:bidi="ar"/>
        </w:rPr>
        <w:t>〕</w:t>
      </w:r>
      <w:r>
        <w:rPr>
          <w:color w:val="FF0000"/>
          <w:lang w:bidi="ar"/>
        </w:rPr>
        <w:t>3</w:t>
      </w:r>
      <w:r>
        <w:rPr>
          <w:rFonts w:hint="eastAsia" w:cs="宋体"/>
          <w:color w:val="FF0000"/>
          <w:lang w:bidi="ar"/>
        </w:rPr>
        <w:t>号）列明的严重违法失信行为。</w:t>
      </w:r>
    </w:p>
    <w:p w14:paraId="412D65E5">
      <w:pPr>
        <w:ind w:firstLine="420" w:firstLineChars="200"/>
        <w:rPr>
          <w:rFonts w:ascii="宋体" w:hAnsi="宋体" w:cs="宋体"/>
          <w:szCs w:val="21"/>
        </w:rPr>
      </w:pPr>
      <w:r>
        <w:rPr>
          <w:rFonts w:hint="eastAsia" w:ascii="宋体" w:hAnsi="宋体" w:cs="宋体"/>
          <w:szCs w:val="21"/>
          <w:lang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F5C121B">
      <w:pPr>
        <w:ind w:firstLine="420" w:firstLineChars="200"/>
        <w:rPr>
          <w:rFonts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E64EB56">
      <w:pPr>
        <w:ind w:firstLine="420" w:firstLineChars="200"/>
        <w:rPr>
          <w:rFonts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1BB66E">
      <w:pPr>
        <w:ind w:firstLine="420" w:firstLineChars="200"/>
        <w:rPr>
          <w:rFonts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3E74BF">
      <w:pPr>
        <w:ind w:firstLine="420" w:firstLineChars="200"/>
        <w:rPr>
          <w:rFonts w:ascii="宋体" w:hAnsi="宋体" w:cs="宋体"/>
          <w:szCs w:val="21"/>
        </w:rPr>
      </w:pPr>
      <w:r>
        <w:rPr>
          <w:rFonts w:hint="eastAsia" w:ascii="宋体" w:hAnsi="宋体" w:cs="宋体"/>
          <w:szCs w:val="21"/>
          <w:lang w:bidi="ar"/>
        </w:rPr>
        <w:t>9.我单位承诺中标后项目不转包，未经采购人同意不进行分包。</w:t>
      </w:r>
    </w:p>
    <w:p w14:paraId="38739D4F">
      <w:pPr>
        <w:ind w:firstLine="420" w:firstLineChars="200"/>
        <w:rPr>
          <w:rFonts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A52C3A">
      <w:pPr>
        <w:ind w:firstLine="420" w:firstLineChars="200"/>
        <w:rPr>
          <w:rFonts w:ascii="宋体" w:hAnsi="宋体" w:cs="宋体"/>
          <w:b/>
          <w:kern w:val="0"/>
          <w:szCs w:val="21"/>
        </w:rPr>
      </w:pPr>
      <w:r>
        <w:rPr>
          <w:rFonts w:hint="eastAsia" w:ascii="宋体" w:hAnsi="宋体" w:cs="宋体"/>
          <w:lang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14:paraId="3FF303F1">
      <w:pPr>
        <w:ind w:firstLine="420" w:firstLineChars="200"/>
        <w:rPr>
          <w:rFonts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14:paraId="332D9FDD">
      <w:pPr>
        <w:ind w:firstLine="420" w:firstLineChars="200"/>
        <w:rPr>
          <w:rFonts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EF32C03">
      <w:pPr>
        <w:ind w:firstLine="422" w:firstLineChars="200"/>
        <w:rPr>
          <w:rFonts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14:paraId="43D93721">
      <w:pPr>
        <w:ind w:firstLine="420" w:firstLineChars="200"/>
        <w:rPr>
          <w:rFonts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F030DD1">
      <w:pPr>
        <w:ind w:firstLine="420" w:firstLineChars="200"/>
        <w:rPr>
          <w:rFonts w:ascii="宋体" w:hAnsi="宋体" w:cs="宋体"/>
          <w:szCs w:val="21"/>
        </w:rPr>
      </w:pPr>
      <w:r>
        <w:rPr>
          <w:rFonts w:hint="eastAsia" w:ascii="宋体" w:hAnsi="宋体" w:cs="宋体"/>
          <w:szCs w:val="21"/>
          <w:lang w:bidi="ar"/>
        </w:rPr>
        <w:t>以上承诺，如有违反，愿依照国家相关法律法规处理，并承担由此给采购人带来的损失。</w:t>
      </w:r>
    </w:p>
    <w:p w14:paraId="4F5AA768">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14:paraId="3EC5E7B1">
      <w:pPr>
        <w:spacing w:before="78" w:beforeLines="25" w:after="78" w:afterLines="25"/>
        <w:ind w:firstLine="5460" w:firstLineChars="2600"/>
        <w:rPr>
          <w:rFonts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14:paraId="401285D4"/>
    <w:p w14:paraId="780A5D7E">
      <w:pPr>
        <w:rPr>
          <w:rFonts w:hint="eastAsia" w:ascii="黑体" w:eastAsia="黑体"/>
          <w:b w:val="0"/>
          <w:kern w:val="0"/>
          <w:sz w:val="24"/>
        </w:rPr>
      </w:pPr>
      <w:r>
        <w:rPr>
          <w:rFonts w:hint="eastAsia" w:ascii="黑体" w:eastAsia="黑体"/>
          <w:b w:val="0"/>
          <w:kern w:val="0"/>
          <w:sz w:val="24"/>
        </w:rPr>
        <w:br w:type="page"/>
      </w:r>
    </w:p>
    <w:p w14:paraId="6C6B9F13">
      <w:pPr>
        <w:pStyle w:val="3"/>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204E4F1B">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5E0F26B">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A470E8E">
      <w:pPr>
        <w:widowControl/>
        <w:jc w:val="left"/>
      </w:pPr>
      <w:r>
        <w:br w:type="page"/>
      </w:r>
    </w:p>
    <w:p w14:paraId="4980E3A4">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F0C67D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1C92B4C7">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375F43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6FDA22F1">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91AF3C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14:paraId="70642BE4">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14:paraId="3832CCFB">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14:paraId="1B24F099">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7D4557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3F399E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0C69920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71E57C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69DD413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6938B8F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388FF72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联合体部分采购标的涉及的货物制造商本身的所属行业保持一致；</w:t>
      </w:r>
    </w:p>
    <w:p w14:paraId="6AFBA40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33AED2C2">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1F7876EB">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14:paraId="3B48E83B">
      <w:pPr>
        <w:pStyle w:val="59"/>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95CAB2B">
      <w:pPr>
        <w:numPr>
          <w:ilvl w:val="0"/>
          <w:numId w:val="0"/>
        </w:num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14:paraId="6FCFA09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62713F1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4CCCC52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D0A5262">
      <w:pPr>
        <w:pStyle w:val="59"/>
        <w:ind w:firstLine="420" w:firstLineChars="200"/>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4F9C925C">
      <w:pPr>
        <w:pStyle w:val="18"/>
      </w:pPr>
    </w:p>
    <w:p w14:paraId="4793BDCA">
      <w:pPr>
        <w:numPr>
          <w:ilvl w:val="0"/>
          <w:numId w:val="7"/>
        </w:numPr>
        <w:jc w:val="center"/>
        <w:outlineLvl w:val="3"/>
        <w:rPr>
          <w:b/>
          <w:sz w:val="24"/>
        </w:rPr>
      </w:pPr>
      <w:r>
        <w:rPr>
          <w:b/>
          <w:sz w:val="24"/>
        </w:rPr>
        <w:t>中小企业声明函（货物）</w:t>
      </w:r>
    </w:p>
    <w:p w14:paraId="5CF8F099">
      <w:pPr>
        <w:pStyle w:val="18"/>
        <w:widowControl w:val="0"/>
        <w:numPr>
          <w:ilvl w:val="0"/>
          <w:numId w:val="0"/>
        </w:numPr>
        <w:spacing w:line="360" w:lineRule="auto"/>
        <w:jc w:val="both"/>
      </w:pPr>
    </w:p>
    <w:p w14:paraId="2EBA25EF">
      <w:pPr>
        <w:pStyle w:val="19"/>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14:paraId="3E6E6936">
      <w:pPr>
        <w:pStyle w:val="19"/>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14:paraId="54D3ACE9">
      <w:pPr>
        <w:pStyle w:val="19"/>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14:paraId="16C2EEF2">
      <w:pPr>
        <w:pStyle w:val="19"/>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14:paraId="0C3A6C5D">
      <w:pPr>
        <w:pStyle w:val="19"/>
        <w:ind w:firstLine="420" w:firstLineChars="200"/>
        <w:rPr>
          <w:rFonts w:hint="eastAsia" w:asciiTheme="minorEastAsia" w:hAnsiTheme="minorEastAsia" w:eastAsiaTheme="minorEastAsia" w:cstheme="minorEastAsia"/>
          <w:sz w:val="21"/>
          <w:szCs w:val="21"/>
          <w:lang w:val="en-US" w:eastAsia="zh-CN"/>
        </w:rPr>
      </w:pPr>
    </w:p>
    <w:p w14:paraId="7F9B38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14:paraId="4DB9F1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40"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14:paraId="6E19BB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0"/>
    </w:p>
    <w:p w14:paraId="6E19BD65"/>
    <w:p w14:paraId="7D0FB529">
      <w:pPr>
        <w:jc w:val="center"/>
        <w:outlineLvl w:val="3"/>
        <w:rPr>
          <w:b/>
          <w:sz w:val="24"/>
        </w:rPr>
      </w:pPr>
      <w:r>
        <w:rPr>
          <w:rFonts w:hint="eastAsia"/>
          <w:b/>
          <w:sz w:val="24"/>
        </w:rPr>
        <w:t>2、残疾人福利性单位声明函（货物类）</w:t>
      </w:r>
    </w:p>
    <w:p w14:paraId="59995540">
      <w:pPr>
        <w:rPr>
          <w:b/>
          <w:bCs/>
        </w:rPr>
      </w:pPr>
    </w:p>
    <w:p w14:paraId="20EF70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41" w:name="_Hlk73562331"/>
      <w:bookmarkStart w:id="42"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14:paraId="34CE57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14:paraId="74D7B1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41"/>
    </w:p>
    <w:bookmarkEnd w:id="42"/>
    <w:p w14:paraId="5D9B6FF1">
      <w:pPr>
        <w:rPr>
          <w:rFonts w:ascii="宋体" w:hAnsi="宋体"/>
          <w:szCs w:val="21"/>
        </w:rPr>
      </w:pPr>
    </w:p>
    <w:p w14:paraId="03A588C4">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35C76D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14:paraId="1313E0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14:paraId="1A9E46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14:paraId="7A0F5D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hAnsi="宋体"/>
          <w:sz w:val="21"/>
          <w:szCs w:val="21"/>
        </w:rPr>
      </w:pPr>
      <w:r>
        <w:rPr>
          <w:rFonts w:ascii="宋体" w:hAnsi="宋体"/>
          <w:sz w:val="21"/>
          <w:szCs w:val="21"/>
        </w:rPr>
        <w:t xml:space="preserve">…… </w:t>
      </w:r>
    </w:p>
    <w:p w14:paraId="56C4ED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14:paraId="4585F3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b/>
          <w:bCs/>
          <w:color w:val="FF0000"/>
          <w:sz w:val="21"/>
          <w:szCs w:val="21"/>
        </w:rPr>
      </w:pPr>
      <w:r>
        <w:rPr>
          <w:rFonts w:hint="eastAsia" w:ascii="宋体" w:hAnsi="宋体"/>
          <w:sz w:val="21"/>
          <w:szCs w:val="21"/>
        </w:rPr>
        <w:t>附：省级以上监狱管理局、戒毒管理局（含新疆生产建设兵团）出具的监狱企业证明文件。</w:t>
      </w:r>
    </w:p>
    <w:p w14:paraId="121049CC">
      <w:pPr>
        <w:pStyle w:val="3"/>
        <w:jc w:val="center"/>
        <w:rPr>
          <w:rFonts w:ascii="黑体" w:eastAsia="黑体"/>
          <w:b w:val="0"/>
          <w:sz w:val="24"/>
          <w:szCs w:val="24"/>
        </w:rPr>
      </w:pPr>
      <w:r>
        <w:rPr>
          <w:rFonts w:hint="eastAsia" w:ascii="黑体" w:eastAsia="黑体"/>
          <w:b w:val="0"/>
          <w:sz w:val="24"/>
          <w:szCs w:val="24"/>
        </w:rPr>
        <w:t>四、项目详细报价</w:t>
      </w:r>
    </w:p>
    <w:p w14:paraId="497F0A0B">
      <w:pPr>
        <w:tabs>
          <w:tab w:val="left" w:pos="720"/>
        </w:tabs>
        <w:ind w:firstLine="3132" w:firstLineChars="1300"/>
        <w:rPr>
          <w:b/>
          <w:sz w:val="24"/>
        </w:rPr>
      </w:pPr>
      <w:r>
        <w:rPr>
          <w:rFonts w:hint="eastAsia"/>
          <w:b/>
          <w:sz w:val="24"/>
        </w:rPr>
        <w:t>（一）分项报价表</w:t>
      </w:r>
    </w:p>
    <w:tbl>
      <w:tblPr>
        <w:tblStyle w:val="42"/>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501"/>
        <w:gridCol w:w="703"/>
        <w:gridCol w:w="703"/>
        <w:gridCol w:w="612"/>
        <w:gridCol w:w="726"/>
        <w:gridCol w:w="462"/>
        <w:gridCol w:w="427"/>
        <w:gridCol w:w="571"/>
        <w:gridCol w:w="563"/>
        <w:gridCol w:w="1666"/>
      </w:tblGrid>
      <w:tr w14:paraId="5AAD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Align w:val="center"/>
          </w:tcPr>
          <w:p w14:paraId="0A855E54">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序号</w:t>
            </w:r>
          </w:p>
        </w:tc>
        <w:tc>
          <w:tcPr>
            <w:tcW w:w="1501" w:type="dxa"/>
            <w:vAlign w:val="center"/>
          </w:tcPr>
          <w:p w14:paraId="34BBF99B">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货物名称</w:t>
            </w:r>
          </w:p>
        </w:tc>
        <w:tc>
          <w:tcPr>
            <w:tcW w:w="703" w:type="dxa"/>
            <w:vAlign w:val="center"/>
          </w:tcPr>
          <w:p w14:paraId="609708B2">
            <w:pPr>
              <w:keepNext w:val="0"/>
              <w:keepLines w:val="0"/>
              <w:suppressLineNumbers w:val="0"/>
              <w:spacing w:before="0" w:beforeAutospacing="0" w:after="0" w:afterAutospacing="0"/>
              <w:ind w:left="0" w:right="0"/>
              <w:jc w:val="center"/>
              <w:rPr>
                <w:rFonts w:hint="eastAsia" w:ascii="Times New Roman" w:hAnsi="Times New Roman" w:eastAsia="宋体" w:cs="Times New Roman"/>
                <w:bCs/>
                <w:szCs w:val="21"/>
              </w:rPr>
            </w:pPr>
            <w:r>
              <w:rPr>
                <w:rFonts w:hint="eastAsia" w:ascii="Times New Roman" w:hAnsi="Times New Roman" w:eastAsia="宋体" w:cs="Times New Roman"/>
                <w:szCs w:val="21"/>
              </w:rPr>
              <w:t>品牌</w:t>
            </w:r>
          </w:p>
        </w:tc>
        <w:tc>
          <w:tcPr>
            <w:tcW w:w="703" w:type="dxa"/>
            <w:vAlign w:val="center"/>
          </w:tcPr>
          <w:p w14:paraId="7A418E7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szCs w:val="21"/>
              </w:rPr>
              <w:t>规格/型号</w:t>
            </w:r>
          </w:p>
        </w:tc>
        <w:tc>
          <w:tcPr>
            <w:tcW w:w="612" w:type="dxa"/>
            <w:vAlign w:val="center"/>
          </w:tcPr>
          <w:p w14:paraId="0E2E6249">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
                <w:color w:val="FF0000"/>
                <w:szCs w:val="21"/>
              </w:rPr>
              <w:t>原产地</w:t>
            </w:r>
          </w:p>
        </w:tc>
        <w:tc>
          <w:tcPr>
            <w:tcW w:w="726" w:type="dxa"/>
            <w:vAlign w:val="center"/>
          </w:tcPr>
          <w:p w14:paraId="042D7EE3">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szCs w:val="21"/>
              </w:rPr>
              <w:t>制造商名称</w:t>
            </w:r>
          </w:p>
        </w:tc>
        <w:tc>
          <w:tcPr>
            <w:tcW w:w="462" w:type="dxa"/>
            <w:vAlign w:val="center"/>
          </w:tcPr>
          <w:p w14:paraId="7F501D32">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数量</w:t>
            </w:r>
          </w:p>
        </w:tc>
        <w:tc>
          <w:tcPr>
            <w:tcW w:w="427" w:type="dxa"/>
            <w:vAlign w:val="center"/>
          </w:tcPr>
          <w:p w14:paraId="23E5DAE1">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单位</w:t>
            </w:r>
          </w:p>
        </w:tc>
        <w:tc>
          <w:tcPr>
            <w:tcW w:w="571" w:type="dxa"/>
            <w:vAlign w:val="center"/>
          </w:tcPr>
          <w:p w14:paraId="4636ABE8">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szCs w:val="21"/>
              </w:rPr>
              <w:t>单价(元)</w:t>
            </w:r>
          </w:p>
        </w:tc>
        <w:tc>
          <w:tcPr>
            <w:tcW w:w="563" w:type="dxa"/>
            <w:vAlign w:val="center"/>
          </w:tcPr>
          <w:p w14:paraId="58A64F8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szCs w:val="21"/>
              </w:rPr>
              <w:t>合价(元)</w:t>
            </w:r>
          </w:p>
        </w:tc>
        <w:tc>
          <w:tcPr>
            <w:tcW w:w="1666" w:type="dxa"/>
            <w:vAlign w:val="center"/>
          </w:tcPr>
          <w:p w14:paraId="63B17DC1">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1"/>
              </w:rPr>
            </w:pPr>
            <w:r>
              <w:rPr>
                <w:rFonts w:hint="eastAsia" w:cs="Times New Roman"/>
                <w:szCs w:val="21"/>
                <w:lang w:val="en-US" w:eastAsia="zh-CN"/>
              </w:rPr>
              <w:t>最高限价</w:t>
            </w:r>
            <w:r>
              <w:rPr>
                <w:rFonts w:hint="eastAsia" w:ascii="Times New Roman" w:hAnsi="Times New Roman" w:eastAsia="宋体" w:cs="Times New Roman"/>
                <w:szCs w:val="21"/>
              </w:rPr>
              <w:t>（元）</w:t>
            </w:r>
          </w:p>
        </w:tc>
      </w:tr>
      <w:tr w14:paraId="500E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Align w:val="center"/>
          </w:tcPr>
          <w:p w14:paraId="48EE4130">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eastAsia" w:ascii="Times New Roman" w:hAnsi="Times New Roman" w:eastAsia="宋体" w:cs="Times New Roman"/>
                <w:bCs/>
                <w:szCs w:val="21"/>
              </w:rPr>
              <w:t>1</w:t>
            </w:r>
          </w:p>
        </w:tc>
        <w:tc>
          <w:tcPr>
            <w:tcW w:w="1501" w:type="dxa"/>
            <w:vAlign w:val="center"/>
          </w:tcPr>
          <w:p w14:paraId="07A65FA5">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输尿管硬镜</w:t>
            </w:r>
          </w:p>
        </w:tc>
        <w:tc>
          <w:tcPr>
            <w:tcW w:w="703" w:type="dxa"/>
            <w:vAlign w:val="center"/>
          </w:tcPr>
          <w:p w14:paraId="38CAC5A0">
            <w:pPr>
              <w:keepNext w:val="0"/>
              <w:keepLines w:val="0"/>
              <w:suppressLineNumbers w:val="0"/>
              <w:spacing w:before="0" w:beforeAutospacing="0" w:after="0" w:afterAutospacing="0"/>
              <w:ind w:left="0" w:right="0"/>
              <w:jc w:val="center"/>
              <w:rPr>
                <w:rFonts w:hint="eastAsia" w:ascii="Times New Roman" w:hAnsi="Times New Roman" w:eastAsia="宋体" w:cs="Times New Roman"/>
                <w:bCs/>
                <w:szCs w:val="21"/>
              </w:rPr>
            </w:pPr>
          </w:p>
        </w:tc>
        <w:tc>
          <w:tcPr>
            <w:tcW w:w="703" w:type="dxa"/>
            <w:vAlign w:val="center"/>
          </w:tcPr>
          <w:p w14:paraId="39FF423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612" w:type="dxa"/>
            <w:vAlign w:val="center"/>
          </w:tcPr>
          <w:p w14:paraId="59092BFF">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726" w:type="dxa"/>
            <w:vAlign w:val="center"/>
          </w:tcPr>
          <w:p w14:paraId="18D8C33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462" w:type="dxa"/>
            <w:vAlign w:val="center"/>
          </w:tcPr>
          <w:p w14:paraId="797B5F56">
            <w:pPr>
              <w:keepNext w:val="0"/>
              <w:keepLines w:val="0"/>
              <w:suppressLineNumbers w:val="0"/>
              <w:spacing w:before="0" w:beforeAutospacing="0" w:after="0" w:afterAutospacing="0"/>
              <w:ind w:left="0" w:right="0"/>
              <w:jc w:val="center"/>
              <w:rPr>
                <w:rFonts w:hint="eastAsia" w:ascii="Times New Roman" w:hAnsi="Times New Roman" w:eastAsia="宋体" w:cs="Times New Roman"/>
                <w:bCs/>
                <w:szCs w:val="21"/>
                <w:lang w:eastAsia="zh-CN"/>
              </w:rPr>
            </w:pPr>
            <w:r>
              <w:rPr>
                <w:rFonts w:hint="eastAsia" w:cs="Times New Roman"/>
                <w:bCs/>
                <w:szCs w:val="21"/>
                <w:lang w:val="en-US" w:eastAsia="zh-CN"/>
              </w:rPr>
              <w:t>1</w:t>
            </w:r>
          </w:p>
        </w:tc>
        <w:tc>
          <w:tcPr>
            <w:tcW w:w="427" w:type="dxa"/>
            <w:vAlign w:val="center"/>
          </w:tcPr>
          <w:p w14:paraId="2998FB84">
            <w:pPr>
              <w:keepNext w:val="0"/>
              <w:keepLines w:val="0"/>
              <w:suppressLineNumbers w:val="0"/>
              <w:spacing w:before="0" w:beforeAutospacing="0" w:after="0" w:afterAutospacing="0"/>
              <w:ind w:left="0" w:right="0"/>
              <w:jc w:val="center"/>
              <w:rPr>
                <w:rFonts w:hint="eastAsia" w:ascii="Times New Roman" w:hAnsi="Times New Roman" w:eastAsia="宋体" w:cs="Times New Roman"/>
                <w:bCs/>
                <w:szCs w:val="21"/>
                <w:lang w:eastAsia="zh-CN"/>
              </w:rPr>
            </w:pPr>
            <w:r>
              <w:rPr>
                <w:rFonts w:hint="eastAsia" w:cs="Times New Roman"/>
                <w:bCs/>
                <w:szCs w:val="21"/>
                <w:lang w:val="en-US" w:eastAsia="zh-CN"/>
              </w:rPr>
              <w:t>套</w:t>
            </w:r>
          </w:p>
        </w:tc>
        <w:tc>
          <w:tcPr>
            <w:tcW w:w="571" w:type="dxa"/>
            <w:vAlign w:val="center"/>
          </w:tcPr>
          <w:p w14:paraId="41CD934A">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563" w:type="dxa"/>
            <w:vAlign w:val="center"/>
          </w:tcPr>
          <w:p w14:paraId="5B376D3D">
            <w:pPr>
              <w:keepNext w:val="0"/>
              <w:keepLines w:val="0"/>
              <w:suppressLineNumbers w:val="0"/>
              <w:spacing w:before="0" w:beforeAutospacing="0" w:after="0" w:afterAutospacing="0"/>
              <w:ind w:left="0" w:right="0"/>
              <w:jc w:val="center"/>
              <w:rPr>
                <w:rFonts w:hint="default" w:ascii="Times New Roman" w:hAnsi="Times New Roman" w:eastAsia="宋体" w:cs="Times New Roman"/>
                <w:bCs/>
                <w:szCs w:val="21"/>
              </w:rPr>
            </w:pPr>
          </w:p>
        </w:tc>
        <w:tc>
          <w:tcPr>
            <w:tcW w:w="1666" w:type="dxa"/>
            <w:vAlign w:val="center"/>
          </w:tcPr>
          <w:p w14:paraId="4B0392A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szCs w:val="21"/>
              </w:rPr>
            </w:pPr>
            <w:r>
              <w:rPr>
                <w:rFonts w:hint="default"/>
                <w:bCs/>
                <w:color w:val="FF0000"/>
                <w:szCs w:val="21"/>
              </w:rPr>
              <w:t>39</w:t>
            </w:r>
            <w:r>
              <w:rPr>
                <w:rFonts w:hint="eastAsia"/>
                <w:bCs/>
                <w:color w:val="FF0000"/>
                <w:szCs w:val="21"/>
                <w:lang w:val="en-US" w:eastAsia="zh-CN"/>
              </w:rPr>
              <w:t>0000.00</w:t>
            </w:r>
          </w:p>
        </w:tc>
      </w:tr>
      <w:tr w14:paraId="4A15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8" w:type="dxa"/>
            <w:gridSpan w:val="11"/>
            <w:vAlign w:val="center"/>
          </w:tcPr>
          <w:p w14:paraId="03D1FF0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FF0000"/>
                <w:szCs w:val="21"/>
              </w:rPr>
            </w:pPr>
            <w:r>
              <w:rPr>
                <w:rFonts w:hint="eastAsia" w:ascii="Times New Roman" w:hAnsi="Times New Roman" w:eastAsia="宋体" w:cs="Times New Roman"/>
                <w:b/>
                <w:bCs/>
                <w:color w:val="FF0000"/>
                <w:szCs w:val="21"/>
              </w:rPr>
              <w:t>合计（即投标总价；币种：人民币；单位：元） 小写：            大写：</w:t>
            </w:r>
          </w:p>
        </w:tc>
      </w:tr>
    </w:tbl>
    <w:p w14:paraId="07F29456">
      <w:pPr>
        <w:rPr>
          <w:rFonts w:ascii="宋体" w:hAnsi="宋体"/>
          <w:b/>
          <w:sz w:val="24"/>
        </w:rPr>
      </w:pPr>
      <w:r>
        <w:rPr>
          <w:rFonts w:hint="eastAsia" w:ascii="宋体" w:hAnsi="宋体"/>
          <w:b/>
          <w:sz w:val="24"/>
        </w:rPr>
        <w:t>注：1.本表可按同样格式扩展。</w:t>
      </w:r>
    </w:p>
    <w:p w14:paraId="4E176051">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14:paraId="13AC09C9">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43"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43"/>
    </w:p>
    <w:p w14:paraId="6B6B9D83">
      <w:pPr>
        <w:ind w:firstLine="472" w:firstLineChars="196"/>
        <w:rPr>
          <w:rFonts w:ascii="宋体" w:hAnsi="宋体"/>
          <w:b/>
          <w:sz w:val="21"/>
          <w:szCs w:val="21"/>
        </w:rPr>
      </w:pPr>
      <w:r>
        <w:rPr>
          <w:rFonts w:ascii="宋体" w:hAnsi="宋体"/>
          <w:b/>
          <w:sz w:val="24"/>
        </w:rPr>
        <w:t>3</w:t>
      </w:r>
      <w:r>
        <w:rPr>
          <w:rFonts w:hint="eastAsia" w:ascii="宋体" w:hAnsi="宋体"/>
          <w:b/>
          <w:sz w:val="24"/>
        </w:rPr>
        <w:t>.“原产地”是指货物的实际生产加工地，非品牌所在地</w:t>
      </w:r>
    </w:p>
    <w:p w14:paraId="1107D0A7">
      <w:pPr>
        <w:ind w:firstLine="413" w:firstLineChars="196"/>
        <w:rPr>
          <w:rFonts w:ascii="宋体" w:hAnsi="宋体"/>
          <w:b/>
          <w:sz w:val="24"/>
        </w:rPr>
      </w:pPr>
      <w:r>
        <w:rPr>
          <w:rFonts w:ascii="宋体" w:hAnsi="宋体"/>
          <w:b/>
          <w:sz w:val="21"/>
          <w:szCs w:val="21"/>
        </w:rPr>
        <w:t>4</w:t>
      </w:r>
      <w:r>
        <w:rPr>
          <w:rFonts w:hint="eastAsia" w:ascii="宋体" w:hAnsi="宋体"/>
          <w:b/>
          <w:sz w:val="21"/>
          <w:szCs w:val="21"/>
        </w:rPr>
        <w:t>.所投货物均应填写制造商名称</w:t>
      </w:r>
      <w:r>
        <w:rPr>
          <w:rFonts w:hint="eastAsia" w:ascii="宋体" w:hAnsi="宋体"/>
          <w:b/>
          <w:sz w:val="21"/>
          <w:szCs w:val="21"/>
          <w:lang w:eastAsia="zh-CN"/>
        </w:rPr>
        <w:t>，</w:t>
      </w:r>
      <w:r>
        <w:rPr>
          <w:rFonts w:hint="eastAsia" w:ascii="宋体" w:hAnsi="宋体"/>
          <w:b/>
          <w:sz w:val="21"/>
          <w:szCs w:val="21"/>
        </w:rPr>
        <w:t>“制造商”是指产品品牌厂商，产品代工制造</w:t>
      </w:r>
      <w:r>
        <w:rPr>
          <w:rFonts w:hint="eastAsia" w:ascii="宋体" w:hAnsi="宋体"/>
          <w:b/>
          <w:sz w:val="24"/>
        </w:rPr>
        <w:t>的，应填写接受委托生产制造的制造商。</w:t>
      </w:r>
    </w:p>
    <w:p w14:paraId="09542B3C">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29808264">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692D4732">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14:paraId="5DF224C3">
      <w:pPr>
        <w:ind w:firstLine="482" w:firstLineChars="200"/>
        <w:rPr>
          <w:rFonts w:ascii="宋体" w:hAnsi="宋体"/>
          <w:b/>
          <w:color w:val="FF0000"/>
          <w:sz w:val="24"/>
        </w:rPr>
      </w:pPr>
    </w:p>
    <w:p w14:paraId="14FD30A0">
      <w:pPr>
        <w:ind w:firstLine="482" w:firstLineChars="200"/>
        <w:rPr>
          <w:rFonts w:ascii="宋体" w:hAnsi="宋体"/>
          <w:b/>
          <w:color w:val="FF0000"/>
          <w:sz w:val="24"/>
        </w:rPr>
      </w:pPr>
    </w:p>
    <w:p w14:paraId="38967ABE">
      <w:pPr>
        <w:tabs>
          <w:tab w:val="left" w:pos="720"/>
        </w:tabs>
        <w:jc w:val="center"/>
        <w:rPr>
          <w:b/>
          <w:sz w:val="24"/>
        </w:rPr>
      </w:pPr>
      <w:r>
        <w:rPr>
          <w:rFonts w:hint="eastAsia"/>
          <w:b/>
          <w:sz w:val="24"/>
        </w:rPr>
        <w:t>（二）核心产品品牌</w:t>
      </w:r>
    </w:p>
    <w:p w14:paraId="4034F482">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14:paraId="42B3BE2C">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14:paraId="7A1D9DFF">
      <w:pPr>
        <w:rPr>
          <w:b/>
          <w:sz w:val="24"/>
        </w:rPr>
      </w:pPr>
    </w:p>
    <w:p w14:paraId="3B50E7D8">
      <w:pPr>
        <w:tabs>
          <w:tab w:val="left" w:pos="720"/>
        </w:tabs>
        <w:ind w:firstLine="1928" w:firstLineChars="800"/>
        <w:rPr>
          <w:rFonts w:hint="eastAsia"/>
          <w:b/>
          <w:sz w:val="24"/>
        </w:rPr>
      </w:pPr>
    </w:p>
    <w:p w14:paraId="617FDA4B">
      <w:pPr>
        <w:tabs>
          <w:tab w:val="left" w:pos="720"/>
        </w:tabs>
        <w:ind w:firstLine="1928" w:firstLineChars="800"/>
        <w:rPr>
          <w:rFonts w:hint="eastAsia"/>
          <w:b/>
          <w:sz w:val="24"/>
        </w:rPr>
      </w:pPr>
    </w:p>
    <w:p w14:paraId="1A9B6843">
      <w:pPr>
        <w:tabs>
          <w:tab w:val="left" w:pos="720"/>
        </w:tabs>
        <w:ind w:firstLine="1928" w:firstLineChars="800"/>
        <w:rPr>
          <w:b/>
          <w:sz w:val="24"/>
        </w:rPr>
      </w:pPr>
      <w:r>
        <w:rPr>
          <w:rFonts w:hint="eastAsia"/>
          <w:b/>
          <w:sz w:val="24"/>
        </w:rPr>
        <w:t>（三）可选配件报价清单（不包括在总报价内）</w:t>
      </w:r>
    </w:p>
    <w:p w14:paraId="067E1E3C">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14:paraId="148BEE1D">
      <w:pPr>
        <w:ind w:firstLine="482" w:firstLineChars="200"/>
        <w:rPr>
          <w:rFonts w:hAnsi="宋体"/>
          <w:b/>
          <w:bCs/>
          <w:sz w:val="24"/>
        </w:rPr>
      </w:pPr>
    </w:p>
    <w:p w14:paraId="425D8787">
      <w:pPr>
        <w:ind w:firstLine="482" w:firstLineChars="200"/>
        <w:rPr>
          <w:rFonts w:hAnsi="宋体"/>
          <w:b/>
          <w:bCs/>
          <w:sz w:val="24"/>
        </w:rPr>
      </w:pPr>
    </w:p>
    <w:p w14:paraId="53BE6BA1">
      <w:pPr>
        <w:ind w:firstLine="482" w:firstLineChars="200"/>
        <w:rPr>
          <w:rFonts w:hAnsi="宋体"/>
          <w:b/>
          <w:bCs/>
          <w:sz w:val="24"/>
        </w:rPr>
      </w:pPr>
    </w:p>
    <w:p w14:paraId="3792DD9B">
      <w:pPr>
        <w:ind w:firstLine="482" w:firstLineChars="200"/>
        <w:rPr>
          <w:rFonts w:hAnsi="宋体"/>
          <w:b/>
          <w:bCs/>
          <w:sz w:val="24"/>
        </w:rPr>
      </w:pPr>
    </w:p>
    <w:p w14:paraId="695E08C7">
      <w:pPr>
        <w:ind w:firstLine="482" w:firstLineChars="200"/>
        <w:rPr>
          <w:rFonts w:hAnsi="宋体"/>
          <w:b/>
          <w:bCs/>
        </w:rPr>
      </w:pPr>
      <w:r>
        <w:rPr>
          <w:rFonts w:hint="eastAsia" w:ascii="宋体" w:hAnsi="宋体"/>
          <w:b/>
          <w:bCs/>
          <w:sz w:val="24"/>
        </w:rPr>
        <w:t>（三）零配件、消耗品和延续保修合同报价</w:t>
      </w:r>
      <w:r>
        <w:rPr>
          <w:rFonts w:hint="eastAsia" w:ascii="宋体" w:hAnsi="宋体"/>
          <w:b/>
          <w:bCs/>
          <w:sz w:val="24"/>
          <w:lang w:val="en-US" w:eastAsia="zh-CN"/>
        </w:rPr>
        <w:t>明细</w:t>
      </w:r>
      <w:r>
        <w:rPr>
          <w:rFonts w:hint="eastAsia" w:ascii="宋体" w:hAnsi="宋体"/>
          <w:b/>
          <w:bCs/>
          <w:sz w:val="24"/>
        </w:rPr>
        <w:t>清单（不包括在投标总价内）</w:t>
      </w:r>
    </w:p>
    <w:p w14:paraId="533B4B4C">
      <w:pPr>
        <w:ind w:firstLine="422" w:firstLineChars="200"/>
        <w:rPr>
          <w:rFonts w:hAnsi="宋体"/>
          <w:b/>
          <w:bCs/>
          <w:szCs w:val="21"/>
        </w:rPr>
      </w:pPr>
      <w:r>
        <w:rPr>
          <w:rFonts w:hint="eastAsia" w:ascii="宋体" w:hAnsi="宋体"/>
          <w:b/>
          <w:bCs/>
        </w:rPr>
        <w:t>注：价格最高的前</w:t>
      </w:r>
      <w:r>
        <w:rPr>
          <w:rFonts w:hint="eastAsia"/>
          <w:b/>
          <w:bCs/>
        </w:rPr>
        <w:t>5</w:t>
      </w:r>
      <w:r>
        <w:rPr>
          <w:rFonts w:hint="eastAsia" w:ascii="宋体" w:hAnsi="宋体"/>
          <w:b/>
          <w:bCs/>
        </w:rPr>
        <w:t>项零配件、消耗品和延续保修合同的报价明细必须填写于此清单中。</w:t>
      </w:r>
    </w:p>
    <w:tbl>
      <w:tblPr>
        <w:tblStyle w:val="42"/>
        <w:tblW w:w="7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401"/>
        <w:gridCol w:w="709"/>
        <w:gridCol w:w="992"/>
      </w:tblGrid>
      <w:tr w14:paraId="469A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11ECB15B">
            <w:pPr>
              <w:keepNext w:val="0"/>
              <w:keepLines w:val="0"/>
              <w:suppressLineNumbers w:val="0"/>
              <w:spacing w:before="0" w:beforeAutospacing="0" w:after="0" w:afterAutospacing="0"/>
              <w:ind w:left="0" w:right="-69" w:rightChars="-33"/>
              <w:jc w:val="center"/>
              <w:rPr>
                <w:rFonts w:hint="default"/>
              </w:rPr>
            </w:pPr>
            <w:r>
              <w:rPr>
                <w:rFonts w:hint="eastAsia"/>
              </w:rPr>
              <w:t>序号</w:t>
            </w:r>
          </w:p>
        </w:tc>
        <w:tc>
          <w:tcPr>
            <w:tcW w:w="1228" w:type="dxa"/>
            <w:tcBorders>
              <w:top w:val="single" w:color="auto" w:sz="4" w:space="0"/>
              <w:left w:val="nil"/>
              <w:bottom w:val="single" w:color="auto" w:sz="4" w:space="0"/>
              <w:right w:val="single" w:color="auto" w:sz="4" w:space="0"/>
            </w:tcBorders>
            <w:vAlign w:val="center"/>
          </w:tcPr>
          <w:p w14:paraId="42786A35">
            <w:pPr>
              <w:keepNext w:val="0"/>
              <w:keepLines w:val="0"/>
              <w:suppressLineNumbers w:val="0"/>
              <w:spacing w:before="0" w:beforeAutospacing="0" w:after="0" w:afterAutospacing="0"/>
              <w:ind w:left="0" w:right="0"/>
              <w:jc w:val="center"/>
              <w:rPr>
                <w:rFonts w:hint="default"/>
              </w:rPr>
            </w:pPr>
            <w:r>
              <w:rPr>
                <w:rFonts w:hint="eastAsia"/>
              </w:rPr>
              <w:t>货物名称</w:t>
            </w:r>
          </w:p>
        </w:tc>
        <w:tc>
          <w:tcPr>
            <w:tcW w:w="1694" w:type="dxa"/>
            <w:tcBorders>
              <w:top w:val="single" w:color="auto" w:sz="4" w:space="0"/>
              <w:left w:val="nil"/>
              <w:bottom w:val="single" w:color="auto" w:sz="4" w:space="0"/>
              <w:right w:val="single" w:color="auto" w:sz="4" w:space="0"/>
            </w:tcBorders>
            <w:vAlign w:val="center"/>
          </w:tcPr>
          <w:p w14:paraId="3A486D20">
            <w:pPr>
              <w:keepNext w:val="0"/>
              <w:keepLines w:val="0"/>
              <w:suppressLineNumbers w:val="0"/>
              <w:spacing w:before="0" w:beforeAutospacing="0" w:after="0" w:afterAutospacing="0"/>
              <w:ind w:left="0" w:right="0"/>
              <w:jc w:val="center"/>
              <w:rPr>
                <w:rFonts w:hint="default"/>
              </w:rPr>
            </w:pPr>
            <w:r>
              <w:rPr>
                <w:rFonts w:hint="eastAsia"/>
              </w:rPr>
              <w:t>规格/</w:t>
            </w:r>
            <w:r>
              <w:rPr>
                <w:rFonts w:hint="eastAsia" w:ascii="宋体" w:hAnsi="宋体"/>
              </w:rPr>
              <w:t>型号</w:t>
            </w:r>
          </w:p>
        </w:tc>
        <w:tc>
          <w:tcPr>
            <w:tcW w:w="900" w:type="dxa"/>
            <w:tcBorders>
              <w:top w:val="single" w:color="auto" w:sz="4" w:space="0"/>
              <w:left w:val="nil"/>
              <w:bottom w:val="single" w:color="auto" w:sz="4" w:space="0"/>
              <w:right w:val="single" w:color="auto" w:sz="4" w:space="0"/>
            </w:tcBorders>
            <w:vAlign w:val="center"/>
          </w:tcPr>
          <w:p w14:paraId="4D776FC8">
            <w:pPr>
              <w:keepNext w:val="0"/>
              <w:keepLines w:val="0"/>
              <w:suppressLineNumbers w:val="0"/>
              <w:spacing w:before="0" w:beforeAutospacing="0" w:after="0" w:afterAutospacing="0"/>
              <w:ind w:left="0" w:right="0"/>
              <w:jc w:val="center"/>
              <w:rPr>
                <w:rFonts w:hint="default"/>
              </w:rPr>
            </w:pPr>
            <w:r>
              <w:rPr>
                <w:rFonts w:hint="eastAsia"/>
              </w:rPr>
              <w:t>原产地</w:t>
            </w:r>
          </w:p>
        </w:tc>
        <w:tc>
          <w:tcPr>
            <w:tcW w:w="1401" w:type="dxa"/>
            <w:tcBorders>
              <w:top w:val="single" w:color="auto" w:sz="4" w:space="0"/>
              <w:left w:val="nil"/>
              <w:bottom w:val="single" w:color="auto" w:sz="4" w:space="0"/>
              <w:right w:val="single" w:color="auto" w:sz="4" w:space="0"/>
            </w:tcBorders>
            <w:vAlign w:val="center"/>
          </w:tcPr>
          <w:p w14:paraId="05C106FF">
            <w:pPr>
              <w:keepNext w:val="0"/>
              <w:keepLines w:val="0"/>
              <w:suppressLineNumbers w:val="0"/>
              <w:spacing w:before="0" w:beforeAutospacing="0" w:after="0" w:afterAutospacing="0"/>
              <w:ind w:left="0" w:right="0"/>
              <w:jc w:val="center"/>
              <w:rPr>
                <w:rFonts w:hint="default"/>
              </w:rPr>
            </w:pPr>
            <w:r>
              <w:rPr>
                <w:rFonts w:hint="eastAsia"/>
              </w:rPr>
              <w:t>制造商名称</w:t>
            </w:r>
          </w:p>
        </w:tc>
        <w:tc>
          <w:tcPr>
            <w:tcW w:w="709" w:type="dxa"/>
            <w:tcBorders>
              <w:top w:val="single" w:color="auto" w:sz="4" w:space="0"/>
              <w:left w:val="nil"/>
              <w:bottom w:val="single" w:color="auto" w:sz="4" w:space="0"/>
              <w:right w:val="single" w:color="auto" w:sz="4" w:space="0"/>
            </w:tcBorders>
            <w:vAlign w:val="center"/>
          </w:tcPr>
          <w:p w14:paraId="6A11D546">
            <w:pPr>
              <w:keepNext w:val="0"/>
              <w:keepLines w:val="0"/>
              <w:suppressLineNumbers w:val="0"/>
              <w:spacing w:before="0" w:beforeAutospacing="0" w:after="0" w:afterAutospacing="0"/>
              <w:ind w:left="0" w:right="0"/>
              <w:jc w:val="center"/>
              <w:rPr>
                <w:rFonts w:hint="default"/>
              </w:rPr>
            </w:pPr>
            <w:r>
              <w:rPr>
                <w:rFonts w:hint="eastAsia"/>
              </w:rPr>
              <w:t>数量</w:t>
            </w:r>
          </w:p>
        </w:tc>
        <w:tc>
          <w:tcPr>
            <w:tcW w:w="992" w:type="dxa"/>
            <w:tcBorders>
              <w:top w:val="single" w:color="auto" w:sz="4" w:space="0"/>
              <w:left w:val="nil"/>
              <w:bottom w:val="single" w:color="auto" w:sz="4" w:space="0"/>
              <w:right w:val="single" w:color="auto" w:sz="4" w:space="0"/>
            </w:tcBorders>
            <w:vAlign w:val="center"/>
          </w:tcPr>
          <w:p w14:paraId="523F8B4A">
            <w:pPr>
              <w:keepNext w:val="0"/>
              <w:keepLines w:val="0"/>
              <w:suppressLineNumbers w:val="0"/>
              <w:spacing w:before="0" w:beforeAutospacing="0" w:after="0" w:afterAutospacing="0"/>
              <w:ind w:left="0" w:right="0"/>
              <w:jc w:val="center"/>
              <w:rPr>
                <w:rFonts w:hint="default"/>
              </w:rPr>
            </w:pPr>
            <w:r>
              <w:rPr>
                <w:rFonts w:hint="eastAsia"/>
              </w:rPr>
              <w:t>单价(</w:t>
            </w:r>
            <w:r>
              <w:rPr>
                <w:rFonts w:hint="eastAsia" w:ascii="宋体" w:hAnsi="宋体"/>
              </w:rPr>
              <w:t>元</w:t>
            </w:r>
            <w:r>
              <w:rPr>
                <w:rFonts w:hint="eastAsia"/>
              </w:rPr>
              <w:t>)</w:t>
            </w:r>
          </w:p>
        </w:tc>
      </w:tr>
      <w:tr w14:paraId="4A15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1E77A00E">
            <w:pPr>
              <w:keepNext w:val="0"/>
              <w:keepLines w:val="0"/>
              <w:suppressLineNumbers w:val="0"/>
              <w:spacing w:before="0" w:beforeAutospacing="0" w:after="0" w:afterAutospacing="0"/>
              <w:ind w:left="0" w:right="-69" w:rightChars="-33"/>
              <w:jc w:val="center"/>
              <w:rPr>
                <w:rFonts w:hint="default"/>
              </w:rPr>
            </w:pPr>
            <w:r>
              <w:rPr>
                <w:rFonts w:hint="eastAsia"/>
              </w:rPr>
              <w:t>1</w:t>
            </w:r>
          </w:p>
        </w:tc>
        <w:tc>
          <w:tcPr>
            <w:tcW w:w="1228" w:type="dxa"/>
            <w:tcBorders>
              <w:top w:val="single" w:color="auto" w:sz="4" w:space="0"/>
              <w:left w:val="nil"/>
              <w:bottom w:val="single" w:color="auto" w:sz="4" w:space="0"/>
              <w:right w:val="single" w:color="auto" w:sz="4" w:space="0"/>
            </w:tcBorders>
          </w:tcPr>
          <w:p w14:paraId="0000257B">
            <w:pPr>
              <w:keepNext w:val="0"/>
              <w:keepLines w:val="0"/>
              <w:suppressLineNumbers w:val="0"/>
              <w:spacing w:before="0" w:beforeAutospacing="0" w:after="0" w:afterAutospacing="0"/>
              <w:ind w:left="0" w:right="0"/>
              <w:rPr>
                <w:rFonts w:hint="default"/>
              </w:rPr>
            </w:pPr>
          </w:p>
        </w:tc>
        <w:tc>
          <w:tcPr>
            <w:tcW w:w="1694" w:type="dxa"/>
            <w:tcBorders>
              <w:top w:val="single" w:color="auto" w:sz="4" w:space="0"/>
              <w:left w:val="nil"/>
              <w:bottom w:val="single" w:color="auto" w:sz="4" w:space="0"/>
              <w:right w:val="single" w:color="auto" w:sz="4" w:space="0"/>
            </w:tcBorders>
          </w:tcPr>
          <w:p w14:paraId="18B54D38">
            <w:pPr>
              <w:keepNext w:val="0"/>
              <w:keepLines w:val="0"/>
              <w:suppressLineNumbers w:val="0"/>
              <w:spacing w:before="0" w:beforeAutospacing="0" w:after="0" w:afterAutospacing="0"/>
              <w:ind w:left="0" w:right="0"/>
              <w:rPr>
                <w:rFonts w:hint="default"/>
              </w:rPr>
            </w:pPr>
          </w:p>
        </w:tc>
        <w:tc>
          <w:tcPr>
            <w:tcW w:w="900" w:type="dxa"/>
            <w:tcBorders>
              <w:top w:val="single" w:color="auto" w:sz="4" w:space="0"/>
              <w:left w:val="nil"/>
              <w:bottom w:val="single" w:color="auto" w:sz="4" w:space="0"/>
              <w:right w:val="single" w:color="auto" w:sz="4" w:space="0"/>
            </w:tcBorders>
          </w:tcPr>
          <w:p w14:paraId="3AF9DE63">
            <w:pPr>
              <w:keepNext w:val="0"/>
              <w:keepLines w:val="0"/>
              <w:suppressLineNumbers w:val="0"/>
              <w:spacing w:before="0" w:beforeAutospacing="0" w:after="0" w:afterAutospacing="0"/>
              <w:ind w:left="0" w:right="0"/>
              <w:rPr>
                <w:rFonts w:hint="default"/>
              </w:rPr>
            </w:pPr>
          </w:p>
        </w:tc>
        <w:tc>
          <w:tcPr>
            <w:tcW w:w="1401" w:type="dxa"/>
            <w:tcBorders>
              <w:top w:val="single" w:color="auto" w:sz="4" w:space="0"/>
              <w:left w:val="nil"/>
              <w:bottom w:val="single" w:color="auto" w:sz="4" w:space="0"/>
              <w:right w:val="single" w:color="auto" w:sz="4" w:space="0"/>
            </w:tcBorders>
          </w:tcPr>
          <w:p w14:paraId="35D5F40A">
            <w:pPr>
              <w:keepNext w:val="0"/>
              <w:keepLines w:val="0"/>
              <w:suppressLineNumbers w:val="0"/>
              <w:spacing w:before="0" w:beforeAutospacing="0" w:after="0" w:afterAutospacing="0"/>
              <w:ind w:left="0" w:right="0"/>
              <w:rPr>
                <w:rFonts w:hint="default"/>
              </w:rPr>
            </w:pPr>
          </w:p>
        </w:tc>
        <w:tc>
          <w:tcPr>
            <w:tcW w:w="709" w:type="dxa"/>
            <w:tcBorders>
              <w:top w:val="single" w:color="auto" w:sz="4" w:space="0"/>
              <w:left w:val="nil"/>
              <w:bottom w:val="single" w:color="auto" w:sz="4" w:space="0"/>
              <w:right w:val="single" w:color="auto" w:sz="4" w:space="0"/>
            </w:tcBorders>
          </w:tcPr>
          <w:p w14:paraId="60EF77FE">
            <w:pPr>
              <w:keepNext w:val="0"/>
              <w:keepLines w:val="0"/>
              <w:suppressLineNumbers w:val="0"/>
              <w:spacing w:before="0" w:beforeAutospacing="0" w:after="0" w:afterAutospacing="0"/>
              <w:ind w:left="0" w:right="0"/>
              <w:rPr>
                <w:rFonts w:hint="default"/>
              </w:rPr>
            </w:pPr>
          </w:p>
        </w:tc>
        <w:tc>
          <w:tcPr>
            <w:tcW w:w="992" w:type="dxa"/>
            <w:tcBorders>
              <w:top w:val="single" w:color="auto" w:sz="4" w:space="0"/>
              <w:left w:val="nil"/>
              <w:bottom w:val="single" w:color="auto" w:sz="4" w:space="0"/>
              <w:right w:val="single" w:color="auto" w:sz="4" w:space="0"/>
            </w:tcBorders>
          </w:tcPr>
          <w:p w14:paraId="66158406">
            <w:pPr>
              <w:keepNext w:val="0"/>
              <w:keepLines w:val="0"/>
              <w:suppressLineNumbers w:val="0"/>
              <w:spacing w:before="0" w:beforeAutospacing="0" w:after="0" w:afterAutospacing="0"/>
              <w:ind w:left="0" w:right="0"/>
              <w:rPr>
                <w:rFonts w:hint="default"/>
              </w:rPr>
            </w:pPr>
          </w:p>
        </w:tc>
      </w:tr>
      <w:tr w14:paraId="56FE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4BAC06A4">
            <w:pPr>
              <w:keepNext w:val="0"/>
              <w:keepLines w:val="0"/>
              <w:suppressLineNumbers w:val="0"/>
              <w:spacing w:before="0" w:beforeAutospacing="0" w:after="0" w:afterAutospacing="0"/>
              <w:ind w:left="0" w:right="-69" w:rightChars="-33"/>
              <w:jc w:val="center"/>
              <w:rPr>
                <w:rFonts w:hint="default"/>
                <w:szCs w:val="21"/>
              </w:rPr>
            </w:pPr>
            <w:r>
              <w:rPr>
                <w:rFonts w:hint="eastAsia"/>
              </w:rPr>
              <w:t>2</w:t>
            </w:r>
          </w:p>
        </w:tc>
        <w:tc>
          <w:tcPr>
            <w:tcW w:w="1228" w:type="dxa"/>
            <w:tcBorders>
              <w:top w:val="single" w:color="auto" w:sz="4" w:space="0"/>
              <w:left w:val="nil"/>
              <w:bottom w:val="single" w:color="auto" w:sz="4" w:space="0"/>
              <w:right w:val="single" w:color="auto" w:sz="4" w:space="0"/>
            </w:tcBorders>
          </w:tcPr>
          <w:p w14:paraId="28256B4A">
            <w:pPr>
              <w:keepNext w:val="0"/>
              <w:keepLines w:val="0"/>
              <w:suppressLineNumbers w:val="0"/>
              <w:spacing w:before="0" w:beforeAutospacing="0" w:after="0" w:afterAutospacing="0"/>
              <w:ind w:left="0" w:right="0"/>
              <w:rPr>
                <w:rFonts w:hint="default"/>
              </w:rPr>
            </w:pPr>
          </w:p>
        </w:tc>
        <w:tc>
          <w:tcPr>
            <w:tcW w:w="1694" w:type="dxa"/>
            <w:tcBorders>
              <w:top w:val="single" w:color="auto" w:sz="4" w:space="0"/>
              <w:left w:val="nil"/>
              <w:bottom w:val="single" w:color="auto" w:sz="4" w:space="0"/>
              <w:right w:val="single" w:color="auto" w:sz="4" w:space="0"/>
            </w:tcBorders>
          </w:tcPr>
          <w:p w14:paraId="02444151">
            <w:pPr>
              <w:keepNext w:val="0"/>
              <w:keepLines w:val="0"/>
              <w:suppressLineNumbers w:val="0"/>
              <w:spacing w:before="0" w:beforeAutospacing="0" w:after="0" w:afterAutospacing="0"/>
              <w:ind w:left="0" w:right="0"/>
              <w:rPr>
                <w:rFonts w:hint="default"/>
              </w:rPr>
            </w:pPr>
          </w:p>
        </w:tc>
        <w:tc>
          <w:tcPr>
            <w:tcW w:w="900" w:type="dxa"/>
            <w:tcBorders>
              <w:top w:val="single" w:color="auto" w:sz="4" w:space="0"/>
              <w:left w:val="nil"/>
              <w:bottom w:val="single" w:color="auto" w:sz="4" w:space="0"/>
              <w:right w:val="single" w:color="auto" w:sz="4" w:space="0"/>
            </w:tcBorders>
          </w:tcPr>
          <w:p w14:paraId="7FA6CD6B">
            <w:pPr>
              <w:keepNext w:val="0"/>
              <w:keepLines w:val="0"/>
              <w:suppressLineNumbers w:val="0"/>
              <w:spacing w:before="0" w:beforeAutospacing="0" w:after="0" w:afterAutospacing="0"/>
              <w:ind w:left="0" w:right="0"/>
              <w:rPr>
                <w:rFonts w:hint="default"/>
              </w:rPr>
            </w:pPr>
          </w:p>
        </w:tc>
        <w:tc>
          <w:tcPr>
            <w:tcW w:w="1401" w:type="dxa"/>
            <w:tcBorders>
              <w:top w:val="single" w:color="auto" w:sz="4" w:space="0"/>
              <w:left w:val="nil"/>
              <w:bottom w:val="single" w:color="auto" w:sz="4" w:space="0"/>
              <w:right w:val="single" w:color="auto" w:sz="4" w:space="0"/>
            </w:tcBorders>
          </w:tcPr>
          <w:p w14:paraId="6FB041AC">
            <w:pPr>
              <w:keepNext w:val="0"/>
              <w:keepLines w:val="0"/>
              <w:suppressLineNumbers w:val="0"/>
              <w:spacing w:before="0" w:beforeAutospacing="0" w:after="0" w:afterAutospacing="0"/>
              <w:ind w:left="0" w:right="0"/>
              <w:rPr>
                <w:rFonts w:hint="default"/>
              </w:rPr>
            </w:pPr>
          </w:p>
        </w:tc>
        <w:tc>
          <w:tcPr>
            <w:tcW w:w="709" w:type="dxa"/>
            <w:tcBorders>
              <w:top w:val="single" w:color="auto" w:sz="4" w:space="0"/>
              <w:left w:val="nil"/>
              <w:bottom w:val="single" w:color="auto" w:sz="4" w:space="0"/>
              <w:right w:val="single" w:color="auto" w:sz="4" w:space="0"/>
            </w:tcBorders>
          </w:tcPr>
          <w:p w14:paraId="53BC3068">
            <w:pPr>
              <w:keepNext w:val="0"/>
              <w:keepLines w:val="0"/>
              <w:suppressLineNumbers w:val="0"/>
              <w:spacing w:before="0" w:beforeAutospacing="0" w:after="0" w:afterAutospacing="0"/>
              <w:ind w:left="0" w:right="0"/>
              <w:rPr>
                <w:rFonts w:hint="default"/>
              </w:rPr>
            </w:pPr>
          </w:p>
        </w:tc>
        <w:tc>
          <w:tcPr>
            <w:tcW w:w="992" w:type="dxa"/>
            <w:tcBorders>
              <w:top w:val="single" w:color="auto" w:sz="4" w:space="0"/>
              <w:left w:val="nil"/>
              <w:bottom w:val="single" w:color="auto" w:sz="4" w:space="0"/>
              <w:right w:val="single" w:color="auto" w:sz="4" w:space="0"/>
            </w:tcBorders>
          </w:tcPr>
          <w:p w14:paraId="5CCD2181">
            <w:pPr>
              <w:keepNext w:val="0"/>
              <w:keepLines w:val="0"/>
              <w:suppressLineNumbers w:val="0"/>
              <w:spacing w:before="0" w:beforeAutospacing="0" w:after="0" w:afterAutospacing="0"/>
              <w:ind w:left="0" w:right="0"/>
              <w:rPr>
                <w:rFonts w:hint="default"/>
              </w:rPr>
            </w:pPr>
          </w:p>
        </w:tc>
      </w:tr>
      <w:tr w14:paraId="1CC5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6778B5F9">
            <w:pPr>
              <w:keepNext w:val="0"/>
              <w:keepLines w:val="0"/>
              <w:suppressLineNumbers w:val="0"/>
              <w:spacing w:before="0" w:beforeAutospacing="0" w:after="0" w:afterAutospacing="0"/>
              <w:ind w:left="0" w:right="-69" w:rightChars="-33"/>
              <w:jc w:val="center"/>
              <w:rPr>
                <w:rFonts w:hint="default"/>
                <w:szCs w:val="21"/>
              </w:rPr>
            </w:pPr>
          </w:p>
        </w:tc>
        <w:tc>
          <w:tcPr>
            <w:tcW w:w="1228" w:type="dxa"/>
            <w:tcBorders>
              <w:top w:val="single" w:color="auto" w:sz="4" w:space="0"/>
              <w:left w:val="nil"/>
              <w:bottom w:val="single" w:color="auto" w:sz="4" w:space="0"/>
              <w:right w:val="single" w:color="auto" w:sz="4" w:space="0"/>
            </w:tcBorders>
          </w:tcPr>
          <w:p w14:paraId="7E3D5CAE">
            <w:pPr>
              <w:keepNext w:val="0"/>
              <w:keepLines w:val="0"/>
              <w:suppressLineNumbers w:val="0"/>
              <w:spacing w:before="0" w:beforeAutospacing="0" w:after="0" w:afterAutospacing="0"/>
              <w:ind w:left="0" w:right="0"/>
              <w:rPr>
                <w:rFonts w:hint="default"/>
              </w:rPr>
            </w:pPr>
          </w:p>
        </w:tc>
        <w:tc>
          <w:tcPr>
            <w:tcW w:w="1694" w:type="dxa"/>
            <w:tcBorders>
              <w:top w:val="single" w:color="auto" w:sz="4" w:space="0"/>
              <w:left w:val="nil"/>
              <w:bottom w:val="single" w:color="auto" w:sz="4" w:space="0"/>
              <w:right w:val="single" w:color="auto" w:sz="4" w:space="0"/>
            </w:tcBorders>
          </w:tcPr>
          <w:p w14:paraId="49EF5093">
            <w:pPr>
              <w:keepNext w:val="0"/>
              <w:keepLines w:val="0"/>
              <w:suppressLineNumbers w:val="0"/>
              <w:spacing w:before="0" w:beforeAutospacing="0" w:after="0" w:afterAutospacing="0"/>
              <w:ind w:left="0" w:right="0"/>
              <w:rPr>
                <w:rFonts w:hint="default"/>
              </w:rPr>
            </w:pPr>
          </w:p>
        </w:tc>
        <w:tc>
          <w:tcPr>
            <w:tcW w:w="900" w:type="dxa"/>
            <w:tcBorders>
              <w:top w:val="single" w:color="auto" w:sz="4" w:space="0"/>
              <w:left w:val="nil"/>
              <w:bottom w:val="single" w:color="auto" w:sz="4" w:space="0"/>
              <w:right w:val="single" w:color="auto" w:sz="4" w:space="0"/>
            </w:tcBorders>
          </w:tcPr>
          <w:p w14:paraId="273E3F2D">
            <w:pPr>
              <w:keepNext w:val="0"/>
              <w:keepLines w:val="0"/>
              <w:suppressLineNumbers w:val="0"/>
              <w:spacing w:before="0" w:beforeAutospacing="0" w:after="0" w:afterAutospacing="0"/>
              <w:ind w:left="0" w:right="0"/>
              <w:rPr>
                <w:rFonts w:hint="default"/>
              </w:rPr>
            </w:pPr>
          </w:p>
        </w:tc>
        <w:tc>
          <w:tcPr>
            <w:tcW w:w="1401" w:type="dxa"/>
            <w:tcBorders>
              <w:top w:val="single" w:color="auto" w:sz="4" w:space="0"/>
              <w:left w:val="nil"/>
              <w:bottom w:val="single" w:color="auto" w:sz="4" w:space="0"/>
              <w:right w:val="single" w:color="auto" w:sz="4" w:space="0"/>
            </w:tcBorders>
          </w:tcPr>
          <w:p w14:paraId="1FE7B3DD">
            <w:pPr>
              <w:keepNext w:val="0"/>
              <w:keepLines w:val="0"/>
              <w:suppressLineNumbers w:val="0"/>
              <w:spacing w:before="0" w:beforeAutospacing="0" w:after="0" w:afterAutospacing="0"/>
              <w:ind w:left="0" w:right="0"/>
              <w:rPr>
                <w:rFonts w:hint="default"/>
              </w:rPr>
            </w:pPr>
          </w:p>
        </w:tc>
        <w:tc>
          <w:tcPr>
            <w:tcW w:w="709" w:type="dxa"/>
            <w:tcBorders>
              <w:top w:val="single" w:color="auto" w:sz="4" w:space="0"/>
              <w:left w:val="nil"/>
              <w:bottom w:val="single" w:color="auto" w:sz="4" w:space="0"/>
              <w:right w:val="single" w:color="auto" w:sz="4" w:space="0"/>
            </w:tcBorders>
          </w:tcPr>
          <w:p w14:paraId="26FA97E8">
            <w:pPr>
              <w:keepNext w:val="0"/>
              <w:keepLines w:val="0"/>
              <w:suppressLineNumbers w:val="0"/>
              <w:spacing w:before="0" w:beforeAutospacing="0" w:after="0" w:afterAutospacing="0"/>
              <w:ind w:left="0" w:right="0"/>
              <w:rPr>
                <w:rFonts w:hint="default"/>
              </w:rPr>
            </w:pPr>
          </w:p>
        </w:tc>
        <w:tc>
          <w:tcPr>
            <w:tcW w:w="992" w:type="dxa"/>
            <w:tcBorders>
              <w:top w:val="single" w:color="auto" w:sz="4" w:space="0"/>
              <w:left w:val="nil"/>
              <w:bottom w:val="single" w:color="auto" w:sz="4" w:space="0"/>
              <w:right w:val="single" w:color="auto" w:sz="4" w:space="0"/>
            </w:tcBorders>
          </w:tcPr>
          <w:p w14:paraId="5B947BFE">
            <w:pPr>
              <w:keepNext w:val="0"/>
              <w:keepLines w:val="0"/>
              <w:suppressLineNumbers w:val="0"/>
              <w:spacing w:before="0" w:beforeAutospacing="0" w:after="0" w:afterAutospacing="0"/>
              <w:ind w:left="0" w:right="0"/>
              <w:rPr>
                <w:rFonts w:hint="default"/>
              </w:rPr>
            </w:pPr>
          </w:p>
        </w:tc>
      </w:tr>
      <w:tr w14:paraId="6D01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2991C703">
            <w:pPr>
              <w:keepNext w:val="0"/>
              <w:keepLines w:val="0"/>
              <w:suppressLineNumbers w:val="0"/>
              <w:spacing w:before="0" w:beforeAutospacing="0" w:after="0" w:afterAutospacing="0"/>
              <w:ind w:left="0" w:right="-69" w:rightChars="-33"/>
              <w:jc w:val="center"/>
              <w:rPr>
                <w:rFonts w:hint="default"/>
                <w:szCs w:val="21"/>
              </w:rPr>
            </w:pPr>
          </w:p>
        </w:tc>
        <w:tc>
          <w:tcPr>
            <w:tcW w:w="1228" w:type="dxa"/>
            <w:tcBorders>
              <w:top w:val="single" w:color="auto" w:sz="4" w:space="0"/>
              <w:left w:val="nil"/>
              <w:bottom w:val="single" w:color="auto" w:sz="4" w:space="0"/>
              <w:right w:val="single" w:color="auto" w:sz="4" w:space="0"/>
            </w:tcBorders>
          </w:tcPr>
          <w:p w14:paraId="1E9F8450">
            <w:pPr>
              <w:keepNext w:val="0"/>
              <w:keepLines w:val="0"/>
              <w:suppressLineNumbers w:val="0"/>
              <w:spacing w:before="0" w:beforeAutospacing="0" w:after="0" w:afterAutospacing="0"/>
              <w:ind w:left="0" w:right="0"/>
              <w:rPr>
                <w:rFonts w:hint="default"/>
              </w:rPr>
            </w:pPr>
          </w:p>
        </w:tc>
        <w:tc>
          <w:tcPr>
            <w:tcW w:w="1694" w:type="dxa"/>
            <w:tcBorders>
              <w:top w:val="single" w:color="auto" w:sz="4" w:space="0"/>
              <w:left w:val="nil"/>
              <w:bottom w:val="single" w:color="auto" w:sz="4" w:space="0"/>
              <w:right w:val="single" w:color="auto" w:sz="4" w:space="0"/>
            </w:tcBorders>
          </w:tcPr>
          <w:p w14:paraId="65956C61">
            <w:pPr>
              <w:keepNext w:val="0"/>
              <w:keepLines w:val="0"/>
              <w:suppressLineNumbers w:val="0"/>
              <w:spacing w:before="0" w:beforeAutospacing="0" w:after="0" w:afterAutospacing="0"/>
              <w:ind w:left="0" w:right="0"/>
              <w:rPr>
                <w:rFonts w:hint="default"/>
              </w:rPr>
            </w:pPr>
          </w:p>
        </w:tc>
        <w:tc>
          <w:tcPr>
            <w:tcW w:w="900" w:type="dxa"/>
            <w:tcBorders>
              <w:top w:val="single" w:color="auto" w:sz="4" w:space="0"/>
              <w:left w:val="nil"/>
              <w:bottom w:val="single" w:color="auto" w:sz="4" w:space="0"/>
              <w:right w:val="single" w:color="auto" w:sz="4" w:space="0"/>
            </w:tcBorders>
          </w:tcPr>
          <w:p w14:paraId="2CA444D6">
            <w:pPr>
              <w:keepNext w:val="0"/>
              <w:keepLines w:val="0"/>
              <w:suppressLineNumbers w:val="0"/>
              <w:spacing w:before="0" w:beforeAutospacing="0" w:after="0" w:afterAutospacing="0"/>
              <w:ind w:left="0" w:right="0"/>
              <w:rPr>
                <w:rFonts w:hint="default"/>
              </w:rPr>
            </w:pPr>
          </w:p>
        </w:tc>
        <w:tc>
          <w:tcPr>
            <w:tcW w:w="1401" w:type="dxa"/>
            <w:tcBorders>
              <w:top w:val="single" w:color="auto" w:sz="4" w:space="0"/>
              <w:left w:val="nil"/>
              <w:bottom w:val="single" w:color="auto" w:sz="4" w:space="0"/>
              <w:right w:val="single" w:color="auto" w:sz="4" w:space="0"/>
            </w:tcBorders>
          </w:tcPr>
          <w:p w14:paraId="222C92A4">
            <w:pPr>
              <w:keepNext w:val="0"/>
              <w:keepLines w:val="0"/>
              <w:suppressLineNumbers w:val="0"/>
              <w:spacing w:before="0" w:beforeAutospacing="0" w:after="0" w:afterAutospacing="0"/>
              <w:ind w:left="0" w:right="0"/>
              <w:rPr>
                <w:rFonts w:hint="default"/>
              </w:rPr>
            </w:pPr>
          </w:p>
        </w:tc>
        <w:tc>
          <w:tcPr>
            <w:tcW w:w="709" w:type="dxa"/>
            <w:tcBorders>
              <w:top w:val="single" w:color="auto" w:sz="4" w:space="0"/>
              <w:left w:val="nil"/>
              <w:bottom w:val="single" w:color="auto" w:sz="4" w:space="0"/>
              <w:right w:val="single" w:color="auto" w:sz="4" w:space="0"/>
            </w:tcBorders>
          </w:tcPr>
          <w:p w14:paraId="3ADACAB5">
            <w:pPr>
              <w:keepNext w:val="0"/>
              <w:keepLines w:val="0"/>
              <w:suppressLineNumbers w:val="0"/>
              <w:spacing w:before="0" w:beforeAutospacing="0" w:after="0" w:afterAutospacing="0"/>
              <w:ind w:left="0" w:right="0"/>
              <w:rPr>
                <w:rFonts w:hint="default"/>
              </w:rPr>
            </w:pPr>
          </w:p>
        </w:tc>
        <w:tc>
          <w:tcPr>
            <w:tcW w:w="992" w:type="dxa"/>
            <w:tcBorders>
              <w:top w:val="single" w:color="auto" w:sz="4" w:space="0"/>
              <w:left w:val="nil"/>
              <w:bottom w:val="single" w:color="auto" w:sz="4" w:space="0"/>
              <w:right w:val="single" w:color="auto" w:sz="4" w:space="0"/>
            </w:tcBorders>
          </w:tcPr>
          <w:p w14:paraId="3A192FEB">
            <w:pPr>
              <w:keepNext w:val="0"/>
              <w:keepLines w:val="0"/>
              <w:suppressLineNumbers w:val="0"/>
              <w:spacing w:before="0" w:beforeAutospacing="0" w:after="0" w:afterAutospacing="0"/>
              <w:ind w:left="0" w:right="0"/>
              <w:rPr>
                <w:rFonts w:hint="default"/>
              </w:rPr>
            </w:pPr>
          </w:p>
        </w:tc>
      </w:tr>
      <w:tr w14:paraId="2FA6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2A91EA0F">
            <w:pPr>
              <w:keepNext w:val="0"/>
              <w:keepLines w:val="0"/>
              <w:suppressLineNumbers w:val="0"/>
              <w:spacing w:before="0" w:beforeAutospacing="0" w:after="0" w:afterAutospacing="0"/>
              <w:ind w:left="0" w:right="0"/>
              <w:rPr>
                <w:rFonts w:hint="default"/>
              </w:rPr>
            </w:pPr>
          </w:p>
        </w:tc>
        <w:tc>
          <w:tcPr>
            <w:tcW w:w="1228" w:type="dxa"/>
            <w:tcBorders>
              <w:top w:val="single" w:color="auto" w:sz="4" w:space="0"/>
              <w:left w:val="nil"/>
              <w:bottom w:val="single" w:color="auto" w:sz="4" w:space="0"/>
              <w:right w:val="single" w:color="auto" w:sz="4" w:space="0"/>
            </w:tcBorders>
          </w:tcPr>
          <w:p w14:paraId="155CC6F9">
            <w:pPr>
              <w:keepNext w:val="0"/>
              <w:keepLines w:val="0"/>
              <w:suppressLineNumbers w:val="0"/>
              <w:spacing w:before="0" w:beforeAutospacing="0" w:after="0" w:afterAutospacing="0"/>
              <w:ind w:left="0" w:right="0"/>
              <w:rPr>
                <w:rFonts w:hint="default"/>
              </w:rPr>
            </w:pPr>
          </w:p>
        </w:tc>
        <w:tc>
          <w:tcPr>
            <w:tcW w:w="1694" w:type="dxa"/>
            <w:tcBorders>
              <w:top w:val="single" w:color="auto" w:sz="4" w:space="0"/>
              <w:left w:val="nil"/>
              <w:bottom w:val="single" w:color="auto" w:sz="4" w:space="0"/>
              <w:right w:val="single" w:color="auto" w:sz="4" w:space="0"/>
            </w:tcBorders>
          </w:tcPr>
          <w:p w14:paraId="759D1833">
            <w:pPr>
              <w:keepNext w:val="0"/>
              <w:keepLines w:val="0"/>
              <w:suppressLineNumbers w:val="0"/>
              <w:spacing w:before="0" w:beforeAutospacing="0" w:after="0" w:afterAutospacing="0"/>
              <w:ind w:left="0" w:right="0"/>
              <w:rPr>
                <w:rFonts w:hint="default"/>
              </w:rPr>
            </w:pPr>
          </w:p>
        </w:tc>
        <w:tc>
          <w:tcPr>
            <w:tcW w:w="900" w:type="dxa"/>
            <w:tcBorders>
              <w:top w:val="single" w:color="auto" w:sz="4" w:space="0"/>
              <w:left w:val="nil"/>
              <w:bottom w:val="single" w:color="auto" w:sz="4" w:space="0"/>
              <w:right w:val="single" w:color="auto" w:sz="4" w:space="0"/>
            </w:tcBorders>
          </w:tcPr>
          <w:p w14:paraId="33C18368">
            <w:pPr>
              <w:keepNext w:val="0"/>
              <w:keepLines w:val="0"/>
              <w:suppressLineNumbers w:val="0"/>
              <w:spacing w:before="0" w:beforeAutospacing="0" w:after="0" w:afterAutospacing="0"/>
              <w:ind w:left="0" w:right="0"/>
              <w:rPr>
                <w:rFonts w:hint="default"/>
              </w:rPr>
            </w:pPr>
          </w:p>
        </w:tc>
        <w:tc>
          <w:tcPr>
            <w:tcW w:w="1401" w:type="dxa"/>
            <w:tcBorders>
              <w:top w:val="single" w:color="auto" w:sz="4" w:space="0"/>
              <w:left w:val="nil"/>
              <w:bottom w:val="single" w:color="auto" w:sz="4" w:space="0"/>
              <w:right w:val="single" w:color="auto" w:sz="4" w:space="0"/>
            </w:tcBorders>
          </w:tcPr>
          <w:p w14:paraId="596B51BD">
            <w:pPr>
              <w:keepNext w:val="0"/>
              <w:keepLines w:val="0"/>
              <w:suppressLineNumbers w:val="0"/>
              <w:spacing w:before="0" w:beforeAutospacing="0" w:after="0" w:afterAutospacing="0"/>
              <w:ind w:left="0" w:right="0"/>
              <w:rPr>
                <w:rFonts w:hint="default"/>
              </w:rPr>
            </w:pPr>
          </w:p>
        </w:tc>
        <w:tc>
          <w:tcPr>
            <w:tcW w:w="709" w:type="dxa"/>
            <w:tcBorders>
              <w:top w:val="single" w:color="auto" w:sz="4" w:space="0"/>
              <w:left w:val="nil"/>
              <w:bottom w:val="single" w:color="auto" w:sz="4" w:space="0"/>
              <w:right w:val="single" w:color="auto" w:sz="4" w:space="0"/>
            </w:tcBorders>
          </w:tcPr>
          <w:p w14:paraId="0FA6BD1E">
            <w:pPr>
              <w:keepNext w:val="0"/>
              <w:keepLines w:val="0"/>
              <w:suppressLineNumbers w:val="0"/>
              <w:spacing w:before="0" w:beforeAutospacing="0" w:after="0" w:afterAutospacing="0"/>
              <w:ind w:left="0" w:right="0"/>
              <w:rPr>
                <w:rFonts w:hint="default"/>
              </w:rPr>
            </w:pPr>
          </w:p>
        </w:tc>
        <w:tc>
          <w:tcPr>
            <w:tcW w:w="992" w:type="dxa"/>
            <w:tcBorders>
              <w:top w:val="single" w:color="auto" w:sz="4" w:space="0"/>
              <w:left w:val="nil"/>
              <w:bottom w:val="single" w:color="auto" w:sz="4" w:space="0"/>
              <w:right w:val="single" w:color="auto" w:sz="4" w:space="0"/>
            </w:tcBorders>
          </w:tcPr>
          <w:p w14:paraId="5CA50221">
            <w:pPr>
              <w:keepNext w:val="0"/>
              <w:keepLines w:val="0"/>
              <w:suppressLineNumbers w:val="0"/>
              <w:spacing w:before="0" w:beforeAutospacing="0" w:after="0" w:afterAutospacing="0"/>
              <w:ind w:left="0" w:right="0"/>
              <w:rPr>
                <w:rFonts w:hint="default"/>
              </w:rPr>
            </w:pPr>
          </w:p>
        </w:tc>
      </w:tr>
      <w:tr w14:paraId="400F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3894E737">
            <w:pPr>
              <w:keepNext w:val="0"/>
              <w:keepLines w:val="0"/>
              <w:suppressLineNumbers w:val="0"/>
              <w:spacing w:before="0" w:beforeAutospacing="0" w:after="0" w:afterAutospacing="0"/>
              <w:ind w:left="0" w:right="0"/>
              <w:rPr>
                <w:rFonts w:hint="default"/>
              </w:rPr>
            </w:pPr>
          </w:p>
        </w:tc>
        <w:tc>
          <w:tcPr>
            <w:tcW w:w="1228" w:type="dxa"/>
            <w:tcBorders>
              <w:top w:val="single" w:color="auto" w:sz="4" w:space="0"/>
              <w:left w:val="nil"/>
              <w:bottom w:val="single" w:color="auto" w:sz="4" w:space="0"/>
              <w:right w:val="single" w:color="auto" w:sz="4" w:space="0"/>
            </w:tcBorders>
          </w:tcPr>
          <w:p w14:paraId="1A3BA4FB">
            <w:pPr>
              <w:keepNext w:val="0"/>
              <w:keepLines w:val="0"/>
              <w:suppressLineNumbers w:val="0"/>
              <w:spacing w:before="0" w:beforeAutospacing="0" w:after="0" w:afterAutospacing="0"/>
              <w:ind w:left="0" w:right="0"/>
              <w:rPr>
                <w:rFonts w:hint="default"/>
              </w:rPr>
            </w:pPr>
          </w:p>
        </w:tc>
        <w:tc>
          <w:tcPr>
            <w:tcW w:w="1694" w:type="dxa"/>
            <w:tcBorders>
              <w:top w:val="single" w:color="auto" w:sz="4" w:space="0"/>
              <w:left w:val="nil"/>
              <w:bottom w:val="single" w:color="auto" w:sz="4" w:space="0"/>
              <w:right w:val="single" w:color="auto" w:sz="4" w:space="0"/>
            </w:tcBorders>
          </w:tcPr>
          <w:p w14:paraId="7BBC9E0A">
            <w:pPr>
              <w:keepNext w:val="0"/>
              <w:keepLines w:val="0"/>
              <w:suppressLineNumbers w:val="0"/>
              <w:spacing w:before="0" w:beforeAutospacing="0" w:after="0" w:afterAutospacing="0"/>
              <w:ind w:left="0" w:right="0"/>
              <w:rPr>
                <w:rFonts w:hint="default"/>
              </w:rPr>
            </w:pPr>
          </w:p>
        </w:tc>
        <w:tc>
          <w:tcPr>
            <w:tcW w:w="900" w:type="dxa"/>
            <w:tcBorders>
              <w:top w:val="single" w:color="auto" w:sz="4" w:space="0"/>
              <w:left w:val="nil"/>
              <w:bottom w:val="single" w:color="auto" w:sz="4" w:space="0"/>
              <w:right w:val="single" w:color="auto" w:sz="4" w:space="0"/>
            </w:tcBorders>
          </w:tcPr>
          <w:p w14:paraId="38FAF82A">
            <w:pPr>
              <w:keepNext w:val="0"/>
              <w:keepLines w:val="0"/>
              <w:suppressLineNumbers w:val="0"/>
              <w:spacing w:before="0" w:beforeAutospacing="0" w:after="0" w:afterAutospacing="0"/>
              <w:ind w:left="0" w:right="0"/>
              <w:rPr>
                <w:rFonts w:hint="default"/>
              </w:rPr>
            </w:pPr>
          </w:p>
        </w:tc>
        <w:tc>
          <w:tcPr>
            <w:tcW w:w="1401" w:type="dxa"/>
            <w:tcBorders>
              <w:top w:val="single" w:color="auto" w:sz="4" w:space="0"/>
              <w:left w:val="nil"/>
              <w:bottom w:val="single" w:color="auto" w:sz="4" w:space="0"/>
              <w:right w:val="single" w:color="auto" w:sz="4" w:space="0"/>
            </w:tcBorders>
          </w:tcPr>
          <w:p w14:paraId="6B7FE0E2">
            <w:pPr>
              <w:keepNext w:val="0"/>
              <w:keepLines w:val="0"/>
              <w:suppressLineNumbers w:val="0"/>
              <w:spacing w:before="0" w:beforeAutospacing="0" w:after="0" w:afterAutospacing="0"/>
              <w:ind w:left="0" w:right="0"/>
              <w:rPr>
                <w:rFonts w:hint="default"/>
              </w:rPr>
            </w:pPr>
          </w:p>
        </w:tc>
        <w:tc>
          <w:tcPr>
            <w:tcW w:w="709" w:type="dxa"/>
            <w:tcBorders>
              <w:top w:val="single" w:color="auto" w:sz="4" w:space="0"/>
              <w:left w:val="nil"/>
              <w:bottom w:val="single" w:color="auto" w:sz="4" w:space="0"/>
              <w:right w:val="single" w:color="auto" w:sz="4" w:space="0"/>
            </w:tcBorders>
          </w:tcPr>
          <w:p w14:paraId="3F82AE3D">
            <w:pPr>
              <w:keepNext w:val="0"/>
              <w:keepLines w:val="0"/>
              <w:suppressLineNumbers w:val="0"/>
              <w:spacing w:before="0" w:beforeAutospacing="0" w:after="0" w:afterAutospacing="0"/>
              <w:ind w:left="0" w:right="0"/>
              <w:rPr>
                <w:rFonts w:hint="default"/>
              </w:rPr>
            </w:pPr>
          </w:p>
        </w:tc>
        <w:tc>
          <w:tcPr>
            <w:tcW w:w="992" w:type="dxa"/>
            <w:tcBorders>
              <w:top w:val="single" w:color="auto" w:sz="4" w:space="0"/>
              <w:left w:val="nil"/>
              <w:bottom w:val="single" w:color="auto" w:sz="4" w:space="0"/>
              <w:right w:val="single" w:color="auto" w:sz="4" w:space="0"/>
            </w:tcBorders>
          </w:tcPr>
          <w:p w14:paraId="77B2825A">
            <w:pPr>
              <w:keepNext w:val="0"/>
              <w:keepLines w:val="0"/>
              <w:suppressLineNumbers w:val="0"/>
              <w:spacing w:before="0" w:beforeAutospacing="0" w:after="0" w:afterAutospacing="0"/>
              <w:ind w:left="0" w:right="0"/>
              <w:rPr>
                <w:rFonts w:hint="default"/>
              </w:rPr>
            </w:pPr>
          </w:p>
        </w:tc>
      </w:tr>
    </w:tbl>
    <w:p w14:paraId="3350E282">
      <w:pPr>
        <w:ind w:firstLine="482" w:firstLineChars="200"/>
        <w:rPr>
          <w:rFonts w:hAnsi="宋体"/>
          <w:b/>
          <w:bCs/>
        </w:rPr>
      </w:pPr>
      <w:r>
        <w:rPr>
          <w:rFonts w:hAnsi="宋体"/>
          <w:b/>
          <w:bCs/>
          <w:sz w:val="24"/>
        </w:rPr>
        <w:t xml:space="preserve"> </w:t>
      </w:r>
    </w:p>
    <w:tbl>
      <w:tblPr>
        <w:tblStyle w:val="42"/>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262"/>
        <w:gridCol w:w="2604"/>
        <w:gridCol w:w="1705"/>
      </w:tblGrid>
      <w:tr w14:paraId="49D5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D5545FA">
            <w:pPr>
              <w:keepNext w:val="0"/>
              <w:keepLines w:val="0"/>
              <w:suppressLineNumbers w:val="0"/>
              <w:spacing w:before="0" w:beforeAutospacing="0" w:after="0" w:afterAutospacing="0"/>
              <w:ind w:left="0" w:right="0"/>
              <w:jc w:val="center"/>
              <w:rPr>
                <w:rFonts w:hint="default"/>
                <w:szCs w:val="21"/>
              </w:rPr>
            </w:pPr>
            <w:r>
              <w:rPr>
                <w:rFonts w:hint="eastAsia"/>
              </w:rPr>
              <w:t>序号</w:t>
            </w:r>
          </w:p>
        </w:tc>
        <w:tc>
          <w:tcPr>
            <w:tcW w:w="2262" w:type="dxa"/>
            <w:tcBorders>
              <w:top w:val="single" w:color="auto" w:sz="4" w:space="0"/>
              <w:left w:val="nil"/>
              <w:bottom w:val="single" w:color="auto" w:sz="4" w:space="0"/>
              <w:right w:val="single" w:color="auto" w:sz="4" w:space="0"/>
            </w:tcBorders>
          </w:tcPr>
          <w:p w14:paraId="55CE7AD3">
            <w:pPr>
              <w:keepNext w:val="0"/>
              <w:keepLines w:val="0"/>
              <w:suppressLineNumbers w:val="0"/>
              <w:spacing w:before="0" w:beforeAutospacing="0" w:after="0" w:afterAutospacing="0"/>
              <w:ind w:left="0" w:right="0"/>
              <w:jc w:val="center"/>
              <w:rPr>
                <w:rFonts w:hint="default"/>
              </w:rPr>
            </w:pPr>
            <w:r>
              <w:rPr>
                <w:rFonts w:hint="eastAsia"/>
              </w:rPr>
              <w:t>服务名称</w:t>
            </w:r>
          </w:p>
        </w:tc>
        <w:tc>
          <w:tcPr>
            <w:tcW w:w="2604" w:type="dxa"/>
            <w:tcBorders>
              <w:top w:val="single" w:color="auto" w:sz="4" w:space="0"/>
              <w:left w:val="nil"/>
              <w:bottom w:val="single" w:color="auto" w:sz="4" w:space="0"/>
              <w:right w:val="single" w:color="auto" w:sz="4" w:space="0"/>
            </w:tcBorders>
          </w:tcPr>
          <w:p w14:paraId="473F630C">
            <w:pPr>
              <w:keepNext w:val="0"/>
              <w:keepLines w:val="0"/>
              <w:suppressLineNumbers w:val="0"/>
              <w:spacing w:before="0" w:beforeAutospacing="0" w:after="0" w:afterAutospacing="0"/>
              <w:ind w:left="0" w:right="0"/>
              <w:jc w:val="center"/>
              <w:rPr>
                <w:rFonts w:hint="default"/>
              </w:rPr>
            </w:pPr>
            <w:r>
              <w:rPr>
                <w:rFonts w:hint="eastAsia"/>
              </w:rPr>
              <w:t>服务内容</w:t>
            </w:r>
          </w:p>
        </w:tc>
        <w:tc>
          <w:tcPr>
            <w:tcW w:w="1705" w:type="dxa"/>
            <w:tcBorders>
              <w:top w:val="single" w:color="auto" w:sz="4" w:space="0"/>
              <w:left w:val="nil"/>
              <w:bottom w:val="single" w:color="auto" w:sz="4" w:space="0"/>
              <w:right w:val="single" w:color="auto" w:sz="4" w:space="0"/>
            </w:tcBorders>
          </w:tcPr>
          <w:p w14:paraId="5D14344D">
            <w:pPr>
              <w:keepNext w:val="0"/>
              <w:keepLines w:val="0"/>
              <w:suppressLineNumbers w:val="0"/>
              <w:spacing w:before="0" w:beforeAutospacing="0" w:after="0" w:afterAutospacing="0"/>
              <w:ind w:left="0" w:right="0"/>
              <w:jc w:val="center"/>
              <w:rPr>
                <w:rFonts w:hint="default"/>
              </w:rPr>
            </w:pPr>
            <w:r>
              <w:rPr>
                <w:rFonts w:hint="eastAsia"/>
              </w:rPr>
              <w:t>价格（元）</w:t>
            </w:r>
          </w:p>
        </w:tc>
      </w:tr>
      <w:tr w14:paraId="76CF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7C91B3A">
            <w:pPr>
              <w:keepNext w:val="0"/>
              <w:keepLines w:val="0"/>
              <w:suppressLineNumbers w:val="0"/>
              <w:spacing w:before="0" w:beforeAutospacing="0" w:after="0" w:afterAutospacing="0"/>
              <w:ind w:left="0" w:right="-69" w:rightChars="-33"/>
              <w:jc w:val="center"/>
              <w:rPr>
                <w:rFonts w:hint="default"/>
              </w:rPr>
            </w:pPr>
            <w:r>
              <w:rPr>
                <w:rFonts w:hint="eastAsia"/>
              </w:rPr>
              <w:t>1</w:t>
            </w:r>
          </w:p>
        </w:tc>
        <w:tc>
          <w:tcPr>
            <w:tcW w:w="2262" w:type="dxa"/>
            <w:tcBorders>
              <w:top w:val="single" w:color="auto" w:sz="4" w:space="0"/>
              <w:left w:val="nil"/>
              <w:bottom w:val="single" w:color="auto" w:sz="4" w:space="0"/>
              <w:right w:val="single" w:color="auto" w:sz="4" w:space="0"/>
            </w:tcBorders>
          </w:tcPr>
          <w:p w14:paraId="24001C6B">
            <w:pPr>
              <w:keepNext w:val="0"/>
              <w:keepLines w:val="0"/>
              <w:suppressLineNumbers w:val="0"/>
              <w:spacing w:before="0" w:beforeAutospacing="0" w:after="0" w:afterAutospacing="0"/>
              <w:ind w:left="0" w:right="0"/>
              <w:jc w:val="center"/>
              <w:rPr>
                <w:rFonts w:hint="default"/>
              </w:rPr>
            </w:pPr>
            <w:r>
              <w:rPr>
                <w:rFonts w:hint="eastAsia"/>
              </w:rPr>
              <w:t>延续保修合同</w:t>
            </w:r>
          </w:p>
        </w:tc>
        <w:tc>
          <w:tcPr>
            <w:tcW w:w="2604" w:type="dxa"/>
            <w:tcBorders>
              <w:top w:val="single" w:color="auto" w:sz="4" w:space="0"/>
              <w:left w:val="nil"/>
              <w:bottom w:val="single" w:color="auto" w:sz="4" w:space="0"/>
              <w:right w:val="single" w:color="auto" w:sz="4" w:space="0"/>
            </w:tcBorders>
          </w:tcPr>
          <w:p w14:paraId="6A1B59DF">
            <w:pPr>
              <w:keepNext w:val="0"/>
              <w:keepLines w:val="0"/>
              <w:suppressLineNumbers w:val="0"/>
              <w:spacing w:before="0" w:beforeAutospacing="0" w:after="0" w:afterAutospacing="0"/>
              <w:ind w:left="0" w:right="0"/>
              <w:jc w:val="center"/>
              <w:rPr>
                <w:rFonts w:hint="default" w:hAnsi="宋体"/>
                <w:b/>
                <w:bCs/>
              </w:rPr>
            </w:pPr>
          </w:p>
        </w:tc>
        <w:tc>
          <w:tcPr>
            <w:tcW w:w="1705" w:type="dxa"/>
            <w:tcBorders>
              <w:top w:val="single" w:color="auto" w:sz="4" w:space="0"/>
              <w:left w:val="nil"/>
              <w:bottom w:val="single" w:color="auto" w:sz="4" w:space="0"/>
              <w:right w:val="single" w:color="auto" w:sz="4" w:space="0"/>
            </w:tcBorders>
          </w:tcPr>
          <w:p w14:paraId="5CA1850A">
            <w:pPr>
              <w:keepNext w:val="0"/>
              <w:keepLines w:val="0"/>
              <w:suppressLineNumbers w:val="0"/>
              <w:spacing w:before="0" w:beforeAutospacing="0" w:after="0" w:afterAutospacing="0"/>
              <w:ind w:left="0" w:right="0"/>
              <w:jc w:val="center"/>
              <w:rPr>
                <w:rFonts w:hint="default" w:hAnsi="宋体"/>
                <w:b/>
                <w:bCs/>
              </w:rPr>
            </w:pPr>
          </w:p>
        </w:tc>
      </w:tr>
      <w:tr w14:paraId="7CDE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2E05D7A6">
            <w:pPr>
              <w:keepNext w:val="0"/>
              <w:keepLines w:val="0"/>
              <w:suppressLineNumbers w:val="0"/>
              <w:spacing w:before="0" w:beforeAutospacing="0" w:after="0" w:afterAutospacing="0"/>
              <w:ind w:left="0" w:right="-69" w:rightChars="-33"/>
              <w:jc w:val="center"/>
              <w:rPr>
                <w:rFonts w:hint="default"/>
                <w:szCs w:val="21"/>
              </w:rPr>
            </w:pPr>
          </w:p>
        </w:tc>
        <w:tc>
          <w:tcPr>
            <w:tcW w:w="2262" w:type="dxa"/>
            <w:tcBorders>
              <w:top w:val="single" w:color="auto" w:sz="4" w:space="0"/>
              <w:left w:val="nil"/>
              <w:bottom w:val="single" w:color="auto" w:sz="4" w:space="0"/>
              <w:right w:val="single" w:color="auto" w:sz="4" w:space="0"/>
            </w:tcBorders>
          </w:tcPr>
          <w:p w14:paraId="354AA9A9">
            <w:pPr>
              <w:keepNext w:val="0"/>
              <w:keepLines w:val="0"/>
              <w:suppressLineNumbers w:val="0"/>
              <w:spacing w:before="0" w:beforeAutospacing="0" w:after="0" w:afterAutospacing="0"/>
              <w:ind w:left="0" w:right="0"/>
              <w:jc w:val="center"/>
              <w:rPr>
                <w:rFonts w:hint="default"/>
              </w:rPr>
            </w:pPr>
          </w:p>
        </w:tc>
        <w:tc>
          <w:tcPr>
            <w:tcW w:w="2604" w:type="dxa"/>
            <w:tcBorders>
              <w:top w:val="single" w:color="auto" w:sz="4" w:space="0"/>
              <w:left w:val="nil"/>
              <w:bottom w:val="single" w:color="auto" w:sz="4" w:space="0"/>
              <w:right w:val="single" w:color="auto" w:sz="4" w:space="0"/>
            </w:tcBorders>
          </w:tcPr>
          <w:p w14:paraId="62606053">
            <w:pPr>
              <w:keepNext w:val="0"/>
              <w:keepLines w:val="0"/>
              <w:suppressLineNumbers w:val="0"/>
              <w:spacing w:before="0" w:beforeAutospacing="0" w:after="0" w:afterAutospacing="0"/>
              <w:ind w:left="0" w:right="0"/>
              <w:jc w:val="center"/>
              <w:rPr>
                <w:rFonts w:hint="default" w:hAnsi="宋体"/>
                <w:b/>
                <w:bCs/>
              </w:rPr>
            </w:pPr>
          </w:p>
        </w:tc>
        <w:tc>
          <w:tcPr>
            <w:tcW w:w="1705" w:type="dxa"/>
            <w:tcBorders>
              <w:top w:val="single" w:color="auto" w:sz="4" w:space="0"/>
              <w:left w:val="nil"/>
              <w:bottom w:val="single" w:color="auto" w:sz="4" w:space="0"/>
              <w:right w:val="single" w:color="auto" w:sz="4" w:space="0"/>
            </w:tcBorders>
          </w:tcPr>
          <w:p w14:paraId="2B06ED26">
            <w:pPr>
              <w:keepNext w:val="0"/>
              <w:keepLines w:val="0"/>
              <w:suppressLineNumbers w:val="0"/>
              <w:spacing w:before="0" w:beforeAutospacing="0" w:after="0" w:afterAutospacing="0"/>
              <w:ind w:left="0" w:right="0"/>
              <w:jc w:val="center"/>
              <w:rPr>
                <w:rFonts w:hint="default" w:hAnsi="宋体"/>
                <w:b/>
                <w:bCs/>
              </w:rPr>
            </w:pPr>
          </w:p>
        </w:tc>
      </w:tr>
    </w:tbl>
    <w:p w14:paraId="11447EAF">
      <w:pPr>
        <w:ind w:firstLine="482" w:firstLineChars="200"/>
        <w:rPr>
          <w:rFonts w:hAnsi="宋体"/>
          <w:b/>
          <w:bCs/>
        </w:rPr>
      </w:pPr>
      <w:r>
        <w:rPr>
          <w:rFonts w:hAnsi="宋体"/>
          <w:b/>
          <w:bCs/>
          <w:sz w:val="24"/>
        </w:rPr>
        <w:t xml:space="preserve"> </w:t>
      </w:r>
    </w:p>
    <w:p w14:paraId="0DAEC6BB">
      <w:pPr>
        <w:tabs>
          <w:tab w:val="left" w:pos="720"/>
        </w:tabs>
        <w:jc w:val="center"/>
        <w:rPr>
          <w:b/>
          <w:sz w:val="24"/>
        </w:rPr>
      </w:pPr>
    </w:p>
    <w:p w14:paraId="77BFDD33">
      <w:pPr>
        <w:tabs>
          <w:tab w:val="left" w:pos="720"/>
        </w:tabs>
        <w:jc w:val="center"/>
        <w:rPr>
          <w:b/>
          <w:sz w:val="24"/>
        </w:rPr>
      </w:pPr>
    </w:p>
    <w:p w14:paraId="09A0C7E0">
      <w:pPr>
        <w:tabs>
          <w:tab w:val="left" w:pos="720"/>
        </w:tabs>
        <w:jc w:val="center"/>
        <w:rPr>
          <w:b/>
          <w:sz w:val="24"/>
        </w:rPr>
      </w:pPr>
    </w:p>
    <w:p w14:paraId="146F0543">
      <w:pPr>
        <w:pStyle w:val="18"/>
        <w:rPr>
          <w:rFonts w:hAnsi="宋体"/>
          <w:b/>
          <w:bCs/>
          <w:sz w:val="24"/>
        </w:rPr>
      </w:pPr>
    </w:p>
    <w:p w14:paraId="513523A7">
      <w:pPr>
        <w:pStyle w:val="19"/>
        <w:rPr>
          <w:rFonts w:hAnsi="宋体"/>
          <w:b/>
          <w:bCs/>
          <w:sz w:val="24"/>
        </w:rPr>
      </w:pPr>
    </w:p>
    <w:p w14:paraId="360976F9">
      <w:pPr>
        <w:pStyle w:val="19"/>
        <w:rPr>
          <w:rFonts w:hAnsi="宋体"/>
          <w:b/>
          <w:bCs/>
          <w:sz w:val="24"/>
        </w:rPr>
      </w:pPr>
    </w:p>
    <w:p w14:paraId="13962C3C">
      <w:pPr>
        <w:tabs>
          <w:tab w:val="left" w:pos="720"/>
        </w:tabs>
        <w:jc w:val="center"/>
        <w:rPr>
          <w:b/>
          <w:sz w:val="24"/>
        </w:rPr>
      </w:pPr>
      <w:r>
        <w:rPr>
          <w:rFonts w:hint="eastAsia"/>
          <w:b/>
          <w:sz w:val="24"/>
        </w:rPr>
        <w:t>（四）</w:t>
      </w:r>
      <w:bookmarkStart w:id="44" w:name="_Hlk72073235"/>
      <w:r>
        <w:rPr>
          <w:rFonts w:hint="eastAsia"/>
          <w:b/>
          <w:sz w:val="24"/>
        </w:rPr>
        <w:t>投标人认为需要涉及的其他内容报价清单</w:t>
      </w:r>
      <w:bookmarkEnd w:id="44"/>
    </w:p>
    <w:p w14:paraId="74F4AA37">
      <w:pPr>
        <w:rPr>
          <w:b/>
          <w:bCs/>
        </w:rPr>
      </w:pPr>
    </w:p>
    <w:p w14:paraId="2C2CBA3D">
      <w:pPr>
        <w:rPr>
          <w:rFonts w:hint="eastAsia" w:ascii="黑体" w:hAnsi="黑体" w:eastAsia="黑体" w:cs="黑体"/>
          <w:b w:val="0"/>
          <w:bCs w:val="0"/>
          <w:sz w:val="24"/>
          <w:szCs w:val="28"/>
        </w:rPr>
      </w:pPr>
      <w:r>
        <w:rPr>
          <w:rFonts w:hint="eastAsia" w:ascii="黑体" w:hAnsi="黑体" w:eastAsia="黑体" w:cs="黑体"/>
          <w:b w:val="0"/>
          <w:bCs w:val="0"/>
          <w:sz w:val="24"/>
          <w:szCs w:val="28"/>
        </w:rPr>
        <w:br w:type="page"/>
      </w:r>
    </w:p>
    <w:p w14:paraId="7E513FFD">
      <w:pPr>
        <w:pStyle w:val="3"/>
        <w:spacing w:before="0" w:after="0"/>
        <w:jc w:val="center"/>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五</w:t>
      </w:r>
      <w:r>
        <w:rPr>
          <w:rFonts w:hint="eastAsia" w:ascii="黑体" w:hAnsi="黑体" w:eastAsia="黑体" w:cs="黑体"/>
          <w:b w:val="0"/>
          <w:bCs w:val="0"/>
          <w:sz w:val="24"/>
          <w:szCs w:val="28"/>
        </w:rPr>
        <w:t>、供应商基本情况表</w:t>
      </w:r>
    </w:p>
    <w:p w14:paraId="51FB1305"/>
    <w:p w14:paraId="63AA5225">
      <w:pPr>
        <w:rPr>
          <w:rFonts w:ascii="宋体" w:hAnsi="宋体" w:cs="宋体"/>
          <w:sz w:val="24"/>
        </w:rPr>
      </w:pPr>
      <w:r>
        <w:rPr>
          <w:rFonts w:hint="eastAsia" w:ascii="宋体" w:hAnsi="宋体" w:cs="宋体"/>
          <w:sz w:val="24"/>
        </w:rPr>
        <w:t>填表单位：</w:t>
      </w:r>
      <w:r>
        <w:rPr>
          <w:rFonts w:hint="eastAsia" w:ascii="宋体" w:hAnsi="宋体" w:cs="宋体"/>
          <w:b/>
          <w:color w:val="FF0000"/>
          <w:sz w:val="24"/>
          <w:highlight w:val="yellow"/>
        </w:rPr>
        <w:t>（加盖单位公章）</w:t>
      </w:r>
      <w:r>
        <w:rPr>
          <w:rFonts w:hint="eastAsia" w:ascii="宋体" w:hAnsi="宋体" w:cs="宋体"/>
          <w:sz w:val="24"/>
        </w:rPr>
        <w:tab/>
      </w:r>
      <w:r>
        <w:rPr>
          <w:rFonts w:hint="eastAsia" w:ascii="宋体" w:hAnsi="宋体" w:cs="宋体"/>
          <w:sz w:val="24"/>
        </w:rPr>
        <w:t xml:space="preserve">                   填表日期：    年   月   日</w:t>
      </w:r>
    </w:p>
    <w:tbl>
      <w:tblPr>
        <w:tblStyle w:val="43"/>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315"/>
        <w:gridCol w:w="1238"/>
        <w:gridCol w:w="791"/>
        <w:gridCol w:w="912"/>
        <w:gridCol w:w="1972"/>
        <w:gridCol w:w="1928"/>
      </w:tblGrid>
      <w:tr w14:paraId="4433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4AFB5CA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06C7A87D">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B785A5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53BE91ED">
            <w:pPr>
              <w:keepNext w:val="0"/>
              <w:keepLines w:val="0"/>
              <w:suppressLineNumbers w:val="0"/>
              <w:spacing w:before="0" w:beforeAutospacing="0" w:after="0" w:afterAutospacing="0" w:line="400" w:lineRule="exact"/>
              <w:ind w:left="0" w:right="0"/>
              <w:rPr>
                <w:rFonts w:hint="default" w:ascii="宋体" w:hAnsi="宋体" w:cs="宋体"/>
                <w:sz w:val="22"/>
                <w:szCs w:val="22"/>
              </w:rPr>
            </w:pPr>
          </w:p>
        </w:tc>
      </w:tr>
      <w:tr w14:paraId="71D6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4D349EE7">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5AFEB10A">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542252E2">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4C46FFE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7A8E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20DE98E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b/>
                <w:bCs/>
                <w:sz w:val="22"/>
                <w:szCs w:val="22"/>
              </w:rPr>
              <w:t>投标（响应）供应商相关人员情况</w:t>
            </w:r>
          </w:p>
        </w:tc>
      </w:tr>
      <w:tr w14:paraId="71DB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E21C7B7">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序号</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01ED149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职务</w:t>
            </w:r>
          </w:p>
        </w:tc>
        <w:tc>
          <w:tcPr>
            <w:tcW w:w="1238" w:type="dxa"/>
            <w:tcBorders>
              <w:top w:val="single" w:color="auto" w:sz="4" w:space="0"/>
              <w:left w:val="single" w:color="auto" w:sz="4" w:space="0"/>
              <w:bottom w:val="single" w:color="auto" w:sz="4" w:space="0"/>
              <w:right w:val="single" w:color="auto" w:sz="4" w:space="0"/>
            </w:tcBorders>
            <w:vAlign w:val="center"/>
          </w:tcPr>
          <w:p w14:paraId="044CCB5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F4D347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1B6CB9EE">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劳动合同</w:t>
            </w:r>
          </w:p>
          <w:p w14:paraId="5B9D037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D1ED972">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缴纳社会</w:t>
            </w:r>
          </w:p>
          <w:p w14:paraId="1C294169">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保险单位</w:t>
            </w:r>
          </w:p>
        </w:tc>
      </w:tr>
      <w:tr w14:paraId="3827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223D98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1</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6F4AE6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法定代表人/单位负责人/主要经营负责人</w:t>
            </w:r>
          </w:p>
        </w:tc>
        <w:tc>
          <w:tcPr>
            <w:tcW w:w="1238" w:type="dxa"/>
            <w:tcBorders>
              <w:top w:val="single" w:color="auto" w:sz="4" w:space="0"/>
              <w:left w:val="single" w:color="auto" w:sz="4" w:space="0"/>
              <w:bottom w:val="single" w:color="auto" w:sz="4" w:space="0"/>
              <w:right w:val="single" w:color="auto" w:sz="4" w:space="0"/>
            </w:tcBorders>
            <w:vAlign w:val="center"/>
          </w:tcPr>
          <w:p w14:paraId="531347EA">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A4CD2C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4BA8EE4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6CDB0BA2">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1859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C6B448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2</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670BA2E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项目投标授权代表人</w:t>
            </w:r>
          </w:p>
        </w:tc>
        <w:tc>
          <w:tcPr>
            <w:tcW w:w="1238" w:type="dxa"/>
            <w:tcBorders>
              <w:top w:val="single" w:color="auto" w:sz="4" w:space="0"/>
              <w:left w:val="single" w:color="auto" w:sz="4" w:space="0"/>
              <w:bottom w:val="single" w:color="auto" w:sz="4" w:space="0"/>
              <w:right w:val="single" w:color="auto" w:sz="4" w:space="0"/>
            </w:tcBorders>
            <w:vAlign w:val="center"/>
          </w:tcPr>
          <w:p w14:paraId="0F0A2C2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3369E3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6CD98EC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0806AD3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0714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73454E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3</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16721C4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项目负责人</w:t>
            </w:r>
          </w:p>
        </w:tc>
        <w:tc>
          <w:tcPr>
            <w:tcW w:w="1238" w:type="dxa"/>
            <w:tcBorders>
              <w:top w:val="single" w:color="auto" w:sz="4" w:space="0"/>
              <w:left w:val="single" w:color="auto" w:sz="4" w:space="0"/>
              <w:bottom w:val="single" w:color="auto" w:sz="4" w:space="0"/>
              <w:right w:val="single" w:color="auto" w:sz="4" w:space="0"/>
            </w:tcBorders>
            <w:vAlign w:val="center"/>
          </w:tcPr>
          <w:p w14:paraId="704366D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85B752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087D7E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0792207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5002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50D886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4</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2ED640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主要技术人员</w:t>
            </w:r>
          </w:p>
        </w:tc>
        <w:tc>
          <w:tcPr>
            <w:tcW w:w="1238" w:type="dxa"/>
            <w:tcBorders>
              <w:top w:val="single" w:color="auto" w:sz="4" w:space="0"/>
              <w:left w:val="single" w:color="auto" w:sz="4" w:space="0"/>
              <w:bottom w:val="single" w:color="auto" w:sz="4" w:space="0"/>
              <w:right w:val="single" w:color="auto" w:sz="4" w:space="0"/>
            </w:tcBorders>
            <w:vAlign w:val="center"/>
          </w:tcPr>
          <w:p w14:paraId="67F61CD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481BB4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410A125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7B85B6F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2B81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DF9F30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5</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0066245">
            <w:pPr>
              <w:pStyle w:val="7"/>
              <w:keepNext w:val="0"/>
              <w:keepLines w:val="0"/>
              <w:suppressLineNumbers w:val="0"/>
              <w:snapToGrid w:val="0"/>
              <w:spacing w:before="0" w:beforeAutospacing="0" w:after="0" w:afterAutospacing="0" w:line="400" w:lineRule="exact"/>
              <w:ind w:left="0" w:right="0" w:firstLine="0"/>
              <w:jc w:val="center"/>
              <w:rPr>
                <w:rFonts w:hint="default" w:ascii="宋体" w:hAnsi="宋体" w:cs="宋体"/>
                <w:sz w:val="22"/>
                <w:szCs w:val="22"/>
              </w:rPr>
            </w:pPr>
            <w:r>
              <w:rPr>
                <w:rFonts w:hint="eastAsia" w:ascii="宋体" w:hAnsi="宋体" w:cs="宋体"/>
                <w:sz w:val="22"/>
                <w:szCs w:val="22"/>
              </w:rPr>
              <w:t>投标文件编制人员</w:t>
            </w:r>
          </w:p>
        </w:tc>
        <w:tc>
          <w:tcPr>
            <w:tcW w:w="1238" w:type="dxa"/>
            <w:tcBorders>
              <w:top w:val="single" w:color="auto" w:sz="4" w:space="0"/>
              <w:left w:val="single" w:color="auto" w:sz="4" w:space="0"/>
              <w:bottom w:val="single" w:color="auto" w:sz="4" w:space="0"/>
              <w:right w:val="single" w:color="auto" w:sz="4" w:space="0"/>
            </w:tcBorders>
            <w:vAlign w:val="center"/>
          </w:tcPr>
          <w:p w14:paraId="3A6CB1F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337B6B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78FE9E1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4FFF4A2A">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961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E3E2DEC">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说明：同一职务有多人担任（如主要技术人员），应分行填写。</w:t>
            </w:r>
          </w:p>
        </w:tc>
      </w:tr>
      <w:tr w14:paraId="2298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8C7C2D6">
            <w:pPr>
              <w:keepNext w:val="0"/>
              <w:keepLines w:val="0"/>
              <w:suppressLineNumbers w:val="0"/>
              <w:spacing w:before="0" w:beforeAutospacing="0" w:after="0" w:afterAutospacing="0" w:line="400" w:lineRule="exact"/>
              <w:ind w:left="0" w:right="0"/>
              <w:jc w:val="center"/>
              <w:rPr>
                <w:rFonts w:hint="default" w:ascii="宋体" w:hAnsi="宋体" w:cs="宋体"/>
                <w:b/>
                <w:bCs/>
                <w:sz w:val="22"/>
                <w:szCs w:val="22"/>
              </w:rPr>
            </w:pPr>
            <w:r>
              <w:rPr>
                <w:rFonts w:hint="eastAsia" w:ascii="宋体" w:hAnsi="宋体" w:cs="宋体"/>
                <w:b/>
                <w:bCs/>
                <w:sz w:val="22"/>
                <w:szCs w:val="22"/>
              </w:rPr>
              <w:t>投标（响应）供应商关联关系情况</w:t>
            </w:r>
          </w:p>
        </w:tc>
      </w:tr>
      <w:tr w14:paraId="0471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B0803BC">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序号</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B4051F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关联关系类型</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7824EE7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74D62E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备注</w:t>
            </w:r>
          </w:p>
        </w:tc>
      </w:tr>
      <w:tr w14:paraId="305A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EBA9575">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1</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65E3919A">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控股股东</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17C7EAC2">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9AC8108">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0D5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0C8DFD5">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2</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25E82C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管理关系</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333080B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00022484">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14:paraId="6B3F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B7A5335">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说明：同一关联关系类型有多个主体的，应分行填写。</w:t>
            </w:r>
          </w:p>
        </w:tc>
      </w:tr>
    </w:tbl>
    <w:p w14:paraId="025C5D50">
      <w:pPr>
        <w:widowControl/>
        <w:jc w:val="left"/>
        <w:rPr>
          <w:rFonts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14:paraId="6CBABBC3">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、法定代表人（负责人）证明书</w:t>
      </w:r>
    </w:p>
    <w:p w14:paraId="0DC7F087">
      <w:pPr>
        <w:rPr>
          <w:sz w:val="24"/>
        </w:rPr>
      </w:pPr>
    </w:p>
    <w:p w14:paraId="7B9A3573">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14:paraId="78E4B5E5">
      <w:pPr>
        <w:spacing w:line="360" w:lineRule="auto"/>
        <w:ind w:firstLine="422" w:firstLineChars="200"/>
        <w:rPr>
          <w:b/>
          <w:bCs/>
          <w:color w:val="FF0000"/>
          <w:szCs w:val="21"/>
        </w:rPr>
      </w:pPr>
      <w:r>
        <w:rPr>
          <w:rFonts w:hint="eastAsia" w:cs="宋体"/>
          <w:b/>
          <w:bCs/>
          <w:color w:val="FF0000"/>
          <w:szCs w:val="21"/>
          <w:lang w:bidi="ar"/>
        </w:rPr>
        <w:t>特此证明。</w:t>
      </w:r>
    </w:p>
    <w:p w14:paraId="4E945537">
      <w:pPr>
        <w:spacing w:line="360" w:lineRule="auto"/>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14:paraId="29B44A20">
      <w:pPr>
        <w:numPr>
          <w:ilvl w:val="0"/>
          <w:numId w:val="8"/>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14:paraId="7F43CD1E">
      <w:pPr>
        <w:numPr>
          <w:ilvl w:val="0"/>
          <w:numId w:val="8"/>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14:paraId="1F8B19C6">
      <w:pPr>
        <w:numPr>
          <w:ilvl w:val="0"/>
          <w:numId w:val="8"/>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3C40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2463B554">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04011B9C">
            <w:pPr>
              <w:pStyle w:val="37"/>
              <w:keepNext w:val="0"/>
              <w:keepLines w:val="0"/>
              <w:suppressLineNumbers w:val="0"/>
              <w:spacing w:before="0" w:beforeAutospacing="0" w:after="120" w:afterAutospacing="0"/>
              <w:ind w:left="0" w:right="0"/>
              <w:rPr>
                <w:rFonts w:hint="default"/>
              </w:rPr>
            </w:pPr>
          </w:p>
          <w:p w14:paraId="1AD0C4E9">
            <w:pPr>
              <w:pStyle w:val="37"/>
              <w:keepNext w:val="0"/>
              <w:keepLines w:val="0"/>
              <w:suppressLineNumbers w:val="0"/>
              <w:spacing w:before="0" w:beforeAutospacing="0" w:after="0" w:afterAutospacing="0" w:line="360" w:lineRule="auto"/>
              <w:ind w:left="0" w:right="0"/>
              <w:rPr>
                <w:rFonts w:hint="default"/>
              </w:rPr>
            </w:pPr>
          </w:p>
          <w:p w14:paraId="12B61507">
            <w:pPr>
              <w:pStyle w:val="37"/>
              <w:keepNext w:val="0"/>
              <w:keepLines w:val="0"/>
              <w:suppressLineNumbers w:val="0"/>
              <w:spacing w:before="0" w:beforeAutospacing="0" w:after="0" w:afterAutospacing="0" w:line="360" w:lineRule="auto"/>
              <w:ind w:left="0" w:right="0"/>
              <w:rPr>
                <w:rFonts w:hint="default"/>
              </w:rPr>
            </w:pPr>
          </w:p>
          <w:p w14:paraId="72C6E946">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7CF506FE">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708ECB27">
            <w:pPr>
              <w:pStyle w:val="37"/>
              <w:keepNext w:val="0"/>
              <w:keepLines w:val="0"/>
              <w:suppressLineNumbers w:val="0"/>
              <w:spacing w:before="0" w:beforeAutospacing="0" w:after="120" w:afterAutospacing="0"/>
              <w:ind w:left="0" w:right="0"/>
              <w:jc w:val="center"/>
              <w:rPr>
                <w:rFonts w:hint="default"/>
              </w:rPr>
            </w:pPr>
          </w:p>
          <w:p w14:paraId="7123BFF2">
            <w:pPr>
              <w:pStyle w:val="37"/>
              <w:keepNext w:val="0"/>
              <w:keepLines w:val="0"/>
              <w:suppressLineNumbers w:val="0"/>
              <w:spacing w:before="0" w:beforeAutospacing="0" w:after="0" w:afterAutospacing="0" w:line="360" w:lineRule="auto"/>
              <w:ind w:left="0" w:right="0"/>
              <w:jc w:val="center"/>
              <w:rPr>
                <w:rFonts w:hint="default"/>
              </w:rPr>
            </w:pPr>
          </w:p>
        </w:tc>
      </w:tr>
    </w:tbl>
    <w:p w14:paraId="6108F00E">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3C173B1">
      <w:pPr>
        <w:rPr>
          <w:sz w:val="24"/>
        </w:rPr>
      </w:pPr>
    </w:p>
    <w:p w14:paraId="1311D098">
      <w:pPr>
        <w:rPr>
          <w:rFonts w:ascii="黑体" w:hAnsi="宋体" w:eastAsia="黑体" w:cs="黑体"/>
          <w:bCs/>
          <w:sz w:val="24"/>
          <w:szCs w:val="32"/>
        </w:rPr>
      </w:pPr>
      <w:r>
        <w:rPr>
          <w:rFonts w:hint="eastAsia" w:ascii="黑体" w:hAnsi="宋体" w:eastAsia="黑体" w:cs="黑体"/>
          <w:bCs/>
          <w:sz w:val="24"/>
          <w:szCs w:val="32"/>
        </w:rPr>
        <w:br w:type="page"/>
      </w:r>
    </w:p>
    <w:p w14:paraId="61780375">
      <w:pPr>
        <w:pStyle w:val="3"/>
        <w:widowControl/>
        <w:spacing w:before="120" w:after="120"/>
        <w:jc w:val="center"/>
        <w:rPr>
          <w:rFonts w:ascii="黑体" w:eastAsia="黑体" w:cs="黑体"/>
          <w:b w:val="0"/>
          <w:sz w:val="24"/>
        </w:rPr>
      </w:pPr>
      <w:r>
        <w:rPr>
          <w:rFonts w:hint="eastAsia" w:ascii="黑体" w:eastAsia="黑体" w:cs="黑体"/>
          <w:b w:val="0"/>
          <w:sz w:val="24"/>
          <w:lang w:val="en-US" w:eastAsia="zh-CN"/>
        </w:rPr>
        <w:t>七</w:t>
      </w:r>
      <w:r>
        <w:rPr>
          <w:rFonts w:hint="eastAsia" w:ascii="黑体" w:eastAsia="黑体" w:cs="黑体"/>
          <w:b w:val="0"/>
          <w:sz w:val="24"/>
        </w:rPr>
        <w:t>、投标文件签署授权委托书</w:t>
      </w:r>
    </w:p>
    <w:p w14:paraId="0508BA07">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14:paraId="1B7C177D">
      <w:pPr>
        <w:spacing w:line="360" w:lineRule="auto"/>
        <w:ind w:firstLine="420" w:firstLineChars="200"/>
        <w:rPr>
          <w:szCs w:val="21"/>
        </w:rPr>
      </w:pPr>
      <w:r>
        <w:rPr>
          <w:rFonts w:hint="eastAsia" w:cs="宋体"/>
          <w:szCs w:val="21"/>
          <w:lang w:bidi="ar"/>
        </w:rPr>
        <w:t>代理人无转委托权，特此委托。</w:t>
      </w:r>
    </w:p>
    <w:p w14:paraId="6270186B">
      <w:pPr>
        <w:spacing w:line="360" w:lineRule="auto"/>
        <w:ind w:firstLine="420" w:firstLineChars="200"/>
        <w:rPr>
          <w:szCs w:val="21"/>
        </w:rPr>
      </w:pPr>
    </w:p>
    <w:p w14:paraId="7EA592EF">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14:paraId="1A8A4EF2">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14:paraId="004CAE75">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14:paraId="1479DBC3">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14:paraId="4BE9E8DD">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3"/>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1EA3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70CF3B76">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0D454275">
            <w:pPr>
              <w:pStyle w:val="37"/>
              <w:keepNext w:val="0"/>
              <w:keepLines w:val="0"/>
              <w:suppressLineNumbers w:val="0"/>
              <w:spacing w:before="0" w:beforeAutospacing="0" w:after="120" w:afterAutospacing="0"/>
              <w:ind w:left="0" w:right="0"/>
              <w:rPr>
                <w:rFonts w:hint="default"/>
              </w:rPr>
            </w:pPr>
          </w:p>
          <w:p w14:paraId="2175E06B">
            <w:pPr>
              <w:pStyle w:val="37"/>
              <w:keepNext w:val="0"/>
              <w:keepLines w:val="0"/>
              <w:suppressLineNumbers w:val="0"/>
              <w:spacing w:before="0" w:beforeAutospacing="0" w:after="0" w:afterAutospacing="0" w:line="360" w:lineRule="auto"/>
              <w:ind w:left="0" w:right="0"/>
              <w:rPr>
                <w:rFonts w:hint="default"/>
              </w:rPr>
            </w:pPr>
          </w:p>
          <w:p w14:paraId="3D543594">
            <w:pPr>
              <w:pStyle w:val="37"/>
              <w:keepNext w:val="0"/>
              <w:keepLines w:val="0"/>
              <w:suppressLineNumbers w:val="0"/>
              <w:spacing w:before="0" w:beforeAutospacing="0" w:after="0" w:afterAutospacing="0" w:line="360" w:lineRule="auto"/>
              <w:ind w:left="0" w:right="0"/>
              <w:rPr>
                <w:rFonts w:hint="default"/>
              </w:rPr>
            </w:pPr>
          </w:p>
          <w:p w14:paraId="6958EF15">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26961288">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3D3F1466">
            <w:pPr>
              <w:pStyle w:val="37"/>
              <w:keepNext w:val="0"/>
              <w:keepLines w:val="0"/>
              <w:suppressLineNumbers w:val="0"/>
              <w:spacing w:before="0" w:beforeAutospacing="0" w:after="120" w:afterAutospacing="0"/>
              <w:ind w:left="0" w:right="0"/>
              <w:jc w:val="center"/>
              <w:rPr>
                <w:rFonts w:hint="default"/>
              </w:rPr>
            </w:pPr>
          </w:p>
          <w:p w14:paraId="5A7C8F3F">
            <w:pPr>
              <w:pStyle w:val="37"/>
              <w:keepNext w:val="0"/>
              <w:keepLines w:val="0"/>
              <w:suppressLineNumbers w:val="0"/>
              <w:spacing w:before="0" w:beforeAutospacing="0" w:after="0" w:afterAutospacing="0" w:line="360" w:lineRule="auto"/>
              <w:ind w:left="0" w:right="0"/>
              <w:jc w:val="center"/>
              <w:rPr>
                <w:rFonts w:hint="default"/>
              </w:rPr>
            </w:pPr>
          </w:p>
        </w:tc>
      </w:tr>
    </w:tbl>
    <w:p w14:paraId="163D8765">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99DE79B"/>
    <w:p w14:paraId="5609BAF8">
      <w:pPr>
        <w:pStyle w:val="18"/>
        <w:rPr>
          <w:rFonts w:hAnsi="宋体"/>
        </w:rPr>
      </w:pPr>
      <w:r>
        <w:br w:type="page"/>
      </w:r>
    </w:p>
    <w:p w14:paraId="330AF8F6">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、实质性条款响应情况表</w:t>
      </w:r>
    </w:p>
    <w:tbl>
      <w:tblPr>
        <w:tblStyle w:val="42"/>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0"/>
        <w:gridCol w:w="2700"/>
        <w:gridCol w:w="1256"/>
        <w:gridCol w:w="847"/>
      </w:tblGrid>
      <w:tr w14:paraId="3A87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3CE810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3D640F1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5E9F69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F5825E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1F4B470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说明</w:t>
            </w:r>
          </w:p>
        </w:tc>
      </w:tr>
      <w:tr w14:paraId="27C0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2C0BB30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60DF9460">
            <w:pPr>
              <w:keepNext w:val="0"/>
              <w:keepLines w:val="0"/>
              <w:suppressLineNumbers w:val="0"/>
              <w:adjustRightInd w:val="0"/>
              <w:snapToGrid w:val="0"/>
              <w:spacing w:before="0" w:beforeAutospacing="0" w:after="0" w:afterAutospacing="0" w:line="360" w:lineRule="auto"/>
              <w:ind w:left="0" w:right="0"/>
              <w:jc w:val="center"/>
              <w:rPr>
                <w:rFonts w:hint="default" w:hAnsi="宋体"/>
                <w:kern w:val="0"/>
                <w:szCs w:val="21"/>
              </w:rPr>
            </w:pPr>
            <w:r>
              <w:rPr>
                <w:rFonts w:hint="default" w:hAnsi="宋体"/>
                <w:kern w:val="0"/>
                <w:szCs w:val="21"/>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7576DDC9">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08039DF1">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274EC9FC">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bl>
    <w:p w14:paraId="74FC3AA4">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14:paraId="39748B18">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14:paraId="143AA747">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14:paraId="698B6981">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14:paraId="3475FDEB">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14:paraId="3228ED19">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14:paraId="4668A936"/>
    <w:p w14:paraId="04FB38D4">
      <w:pPr>
        <w:rPr>
          <w:b/>
          <w:bCs/>
          <w:sz w:val="24"/>
        </w:rPr>
      </w:pPr>
    </w:p>
    <w:p w14:paraId="74CCF25B">
      <w:pPr>
        <w:widowControl/>
        <w:jc w:val="left"/>
        <w:rPr>
          <w:rFonts w:ascii="黑体" w:hAnsi="宋体" w:eastAsia="黑体"/>
          <w:sz w:val="24"/>
          <w:szCs w:val="20"/>
          <w:highlight w:val="yellow"/>
        </w:rPr>
      </w:pPr>
      <w:r>
        <w:rPr>
          <w:rFonts w:ascii="黑体" w:hAnsi="宋体" w:eastAsia="黑体"/>
          <w:sz w:val="24"/>
          <w:szCs w:val="20"/>
          <w:highlight w:val="yellow"/>
        </w:rPr>
        <w:br w:type="page"/>
      </w:r>
    </w:p>
    <w:p w14:paraId="1FA6BD5E">
      <w:pPr>
        <w:pStyle w:val="3"/>
        <w:jc w:val="center"/>
        <w:rPr>
          <w:rFonts w:ascii="黑体" w:hAnsi="黑体" w:eastAsia="黑体" w:cs="黑体"/>
          <w:b w:val="0"/>
          <w:bCs w:val="0"/>
          <w:sz w:val="24"/>
          <w:szCs w:val="28"/>
          <w:highlight w:val="none"/>
        </w:rPr>
      </w:pPr>
      <w:r>
        <w:rPr>
          <w:rFonts w:hint="eastAsia" w:ascii="黑体" w:hAnsi="黑体" w:eastAsia="黑体" w:cs="黑体"/>
          <w:b w:val="0"/>
          <w:bCs w:val="0"/>
          <w:sz w:val="24"/>
          <w:szCs w:val="28"/>
          <w:highlight w:val="none"/>
          <w:lang w:val="en-US" w:eastAsia="zh-CN"/>
        </w:rPr>
        <w:t>九</w:t>
      </w:r>
      <w:r>
        <w:rPr>
          <w:rFonts w:hint="eastAsia" w:ascii="黑体" w:hAnsi="黑体" w:eastAsia="黑体" w:cs="黑体"/>
          <w:b w:val="0"/>
          <w:bCs w:val="0"/>
          <w:sz w:val="24"/>
          <w:szCs w:val="28"/>
          <w:highlight w:val="none"/>
        </w:rPr>
        <w:t>、技术要求偏离表</w:t>
      </w:r>
    </w:p>
    <w:tbl>
      <w:tblPr>
        <w:tblStyle w:val="42"/>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134"/>
        <w:gridCol w:w="4588"/>
        <w:gridCol w:w="944"/>
        <w:gridCol w:w="789"/>
        <w:gridCol w:w="563"/>
      </w:tblGrid>
      <w:tr w14:paraId="1790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1" w:type="dxa"/>
            <w:vAlign w:val="center"/>
          </w:tcPr>
          <w:p w14:paraId="081B3515">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序号</w:t>
            </w:r>
          </w:p>
        </w:tc>
        <w:tc>
          <w:tcPr>
            <w:tcW w:w="1134" w:type="dxa"/>
            <w:vAlign w:val="center"/>
          </w:tcPr>
          <w:p w14:paraId="0B671D68">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货物名称</w:t>
            </w:r>
          </w:p>
        </w:tc>
        <w:tc>
          <w:tcPr>
            <w:tcW w:w="4588" w:type="dxa"/>
            <w:vAlign w:val="center"/>
          </w:tcPr>
          <w:p w14:paraId="62CE8601">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招标</w:t>
            </w:r>
            <w:r>
              <w:rPr>
                <w:rFonts w:hint="default"/>
                <w:color w:val="000000" w:themeColor="text1"/>
                <w:szCs w:val="21"/>
                <w14:textFill>
                  <w14:solidFill>
                    <w14:schemeClr w14:val="tx1"/>
                  </w14:solidFill>
                </w14:textFill>
              </w:rPr>
              <w:t>技术要求</w:t>
            </w:r>
          </w:p>
        </w:tc>
        <w:tc>
          <w:tcPr>
            <w:tcW w:w="944" w:type="dxa"/>
            <w:vAlign w:val="center"/>
          </w:tcPr>
          <w:p w14:paraId="054C6EBC">
            <w:pPr>
              <w:keepNext w:val="0"/>
              <w:keepLines w:val="0"/>
              <w:suppressLineNumbers w:val="0"/>
              <w:spacing w:before="0" w:beforeAutospacing="0" w:after="0" w:afterAutospacing="0"/>
              <w:ind w:left="0" w:right="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投标技术响应</w:t>
            </w:r>
          </w:p>
        </w:tc>
        <w:tc>
          <w:tcPr>
            <w:tcW w:w="789" w:type="dxa"/>
            <w:vAlign w:val="center"/>
          </w:tcPr>
          <w:p w14:paraId="1106523D">
            <w:pPr>
              <w:keepNext w:val="0"/>
              <w:keepLines w:val="0"/>
              <w:suppressLineNumbers w:val="0"/>
              <w:spacing w:before="0" w:beforeAutospacing="0" w:after="0" w:afterAutospacing="0"/>
              <w:ind w:left="0" w:right="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偏离情况</w:t>
            </w:r>
          </w:p>
        </w:tc>
        <w:tc>
          <w:tcPr>
            <w:tcW w:w="563" w:type="dxa"/>
            <w:vAlign w:val="center"/>
          </w:tcPr>
          <w:p w14:paraId="7BD93C3D">
            <w:pPr>
              <w:keepNext w:val="0"/>
              <w:keepLines w:val="0"/>
              <w:suppressLineNumbers w:val="0"/>
              <w:spacing w:before="0" w:beforeAutospacing="0" w:after="0" w:afterAutospacing="0"/>
              <w:ind w:left="0" w:right="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说明</w:t>
            </w:r>
          </w:p>
        </w:tc>
      </w:tr>
      <w:tr w14:paraId="4304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14:paraId="78D1FB02">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w:t>
            </w:r>
          </w:p>
        </w:tc>
        <w:tc>
          <w:tcPr>
            <w:tcW w:w="1134" w:type="dxa"/>
            <w:vMerge w:val="restart"/>
            <w:vAlign w:val="center"/>
          </w:tcPr>
          <w:p w14:paraId="65DC8E33">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bCs/>
                <w:szCs w:val="21"/>
              </w:rPr>
              <w:t>输尿管硬镜</w:t>
            </w:r>
          </w:p>
        </w:tc>
        <w:tc>
          <w:tcPr>
            <w:tcW w:w="4588" w:type="dxa"/>
            <w:vAlign w:val="top"/>
          </w:tcPr>
          <w:p w14:paraId="19E6B3AE">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color w:val="000000" w:themeColor="text1"/>
                <w:szCs w:val="21"/>
                <w14:textFill>
                  <w14:solidFill>
                    <w14:schemeClr w14:val="tx1"/>
                  </w14:solidFill>
                </w14:textFill>
              </w:rPr>
            </w:pPr>
            <w:r>
              <w:rPr>
                <w:rFonts w:hint="eastAsia" w:ascii="宋体" w:hAnsi="宋体" w:eastAsia="宋体" w:cs="宋体"/>
                <w:b/>
                <w:bCs w:val="0"/>
                <w:color w:val="FF0000"/>
                <w:sz w:val="21"/>
                <w:szCs w:val="21"/>
                <w:lang w:val="en-US" w:eastAsia="zh-CN"/>
              </w:rPr>
              <w:t>1、▲镜身一体式设计，前端≥8.0Fr，后端≤9.8 Fr；</w:t>
            </w:r>
            <w:r>
              <w:rPr>
                <w:rFonts w:hint="eastAsia" w:ascii="宋体" w:hAnsi="宋体" w:cs="宋体"/>
                <w:b/>
                <w:bCs w:val="0"/>
                <w:color w:val="FF0000"/>
                <w:sz w:val="21"/>
                <w:szCs w:val="21"/>
                <w:lang w:val="en-US" w:eastAsia="zh-CN"/>
              </w:rPr>
              <w:t>（提供产品彩页或技术白皮书或产品说明书或厂家参数确认函作为证明材料，可证明前述参数</w:t>
            </w:r>
            <w:r>
              <w:rPr>
                <w:rFonts w:hint="eastAsia" w:ascii="宋体" w:hAnsi="宋体" w:eastAsia="宋体" w:cs="宋体"/>
                <w:b/>
                <w:bCs w:val="0"/>
                <w:color w:val="FF0000"/>
                <w:sz w:val="21"/>
                <w:szCs w:val="21"/>
                <w:lang w:val="en-US" w:eastAsia="zh-CN"/>
              </w:rPr>
              <w:t>）</w:t>
            </w:r>
          </w:p>
        </w:tc>
        <w:tc>
          <w:tcPr>
            <w:tcW w:w="944" w:type="dxa"/>
            <w:vAlign w:val="top"/>
          </w:tcPr>
          <w:p w14:paraId="77386DC0">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bCs w:val="0"/>
                <w:color w:val="FF0000"/>
                <w:sz w:val="21"/>
                <w:szCs w:val="21"/>
                <w:lang w:val="en-US" w:eastAsia="zh-CN"/>
              </w:rPr>
            </w:pPr>
          </w:p>
        </w:tc>
        <w:tc>
          <w:tcPr>
            <w:tcW w:w="789" w:type="dxa"/>
            <w:vAlign w:val="top"/>
          </w:tcPr>
          <w:p w14:paraId="09BB34D1">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bCs w:val="0"/>
                <w:color w:val="FF0000"/>
                <w:sz w:val="21"/>
                <w:szCs w:val="21"/>
                <w:lang w:val="en-US" w:eastAsia="zh-CN"/>
              </w:rPr>
            </w:pPr>
          </w:p>
        </w:tc>
        <w:tc>
          <w:tcPr>
            <w:tcW w:w="563" w:type="dxa"/>
            <w:vAlign w:val="top"/>
          </w:tcPr>
          <w:p w14:paraId="2E3E1C22">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bCs w:val="0"/>
                <w:color w:val="FF0000"/>
                <w:sz w:val="21"/>
                <w:szCs w:val="21"/>
                <w:lang w:val="en-US" w:eastAsia="zh-CN"/>
              </w:rPr>
            </w:pPr>
          </w:p>
        </w:tc>
      </w:tr>
      <w:tr w14:paraId="5A95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33AF781A">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vAlign w:val="center"/>
          </w:tcPr>
          <w:p w14:paraId="09E4C464">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4588" w:type="dxa"/>
            <w:vAlign w:val="top"/>
          </w:tcPr>
          <w:p w14:paraId="238CE565">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color w:val="000000" w:themeColor="text1"/>
                <w:szCs w:val="21"/>
                <w14:textFill>
                  <w14:solidFill>
                    <w14:schemeClr w14:val="tx1"/>
                  </w14:solidFill>
                </w14:textFill>
              </w:rPr>
            </w:pPr>
            <w:r>
              <w:rPr>
                <w:rFonts w:hint="eastAsia" w:ascii="宋体" w:hAnsi="宋体" w:eastAsia="宋体" w:cs="宋体"/>
                <w:b/>
                <w:bCs w:val="0"/>
                <w:color w:val="FF0000"/>
                <w:sz w:val="21"/>
                <w:szCs w:val="21"/>
                <w:lang w:val="en-US" w:eastAsia="zh-CN"/>
              </w:rPr>
              <w:t>2、▲视野角度: 12 度</w:t>
            </w:r>
            <w:r>
              <w:rPr>
                <w:rFonts w:hint="eastAsia" w:ascii="宋体" w:hAnsi="宋体" w:cs="宋体"/>
                <w:b/>
                <w:bCs w:val="0"/>
                <w:color w:val="FF0000"/>
                <w:sz w:val="21"/>
                <w:szCs w:val="21"/>
                <w:lang w:val="en-US" w:eastAsia="zh-CN"/>
              </w:rPr>
              <w:t>±1度</w:t>
            </w:r>
            <w:r>
              <w:rPr>
                <w:rFonts w:hint="eastAsia" w:ascii="宋体" w:hAnsi="宋体" w:eastAsia="宋体" w:cs="宋体"/>
                <w:b/>
                <w:bCs w:val="0"/>
                <w:color w:val="FF0000"/>
                <w:sz w:val="21"/>
                <w:szCs w:val="21"/>
                <w:lang w:val="en-US" w:eastAsia="zh-CN"/>
              </w:rPr>
              <w:t>；</w:t>
            </w:r>
            <w:r>
              <w:rPr>
                <w:rFonts w:hint="eastAsia" w:ascii="宋体" w:hAnsi="宋体" w:cs="宋体"/>
                <w:b/>
                <w:bCs w:val="0"/>
                <w:color w:val="FF0000"/>
                <w:sz w:val="21"/>
                <w:szCs w:val="21"/>
                <w:lang w:val="en-US" w:eastAsia="zh-CN"/>
              </w:rPr>
              <w:t>（提供产品彩页或技术白皮书或产品说明书或厂家参数确认函作为证明材料，可证明前述参数</w:t>
            </w:r>
            <w:r>
              <w:rPr>
                <w:rFonts w:hint="eastAsia" w:ascii="宋体" w:hAnsi="宋体" w:eastAsia="宋体" w:cs="宋体"/>
                <w:b/>
                <w:bCs w:val="0"/>
                <w:color w:val="FF0000"/>
                <w:sz w:val="21"/>
                <w:szCs w:val="21"/>
                <w:lang w:val="en-US" w:eastAsia="zh-CN"/>
              </w:rPr>
              <w:t>）</w:t>
            </w:r>
          </w:p>
        </w:tc>
        <w:tc>
          <w:tcPr>
            <w:tcW w:w="944" w:type="dxa"/>
            <w:vAlign w:val="top"/>
          </w:tcPr>
          <w:p w14:paraId="0C11E45C">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bCs w:val="0"/>
                <w:color w:val="FF0000"/>
                <w:sz w:val="21"/>
                <w:szCs w:val="21"/>
                <w:lang w:val="en-US" w:eastAsia="zh-CN"/>
              </w:rPr>
            </w:pPr>
          </w:p>
        </w:tc>
        <w:tc>
          <w:tcPr>
            <w:tcW w:w="789" w:type="dxa"/>
            <w:vAlign w:val="top"/>
          </w:tcPr>
          <w:p w14:paraId="37395801">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bCs w:val="0"/>
                <w:color w:val="FF0000"/>
                <w:sz w:val="21"/>
                <w:szCs w:val="21"/>
                <w:lang w:val="en-US" w:eastAsia="zh-CN"/>
              </w:rPr>
            </w:pPr>
          </w:p>
        </w:tc>
        <w:tc>
          <w:tcPr>
            <w:tcW w:w="563" w:type="dxa"/>
            <w:vAlign w:val="top"/>
          </w:tcPr>
          <w:p w14:paraId="0D5BA508">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bCs w:val="0"/>
                <w:color w:val="FF0000"/>
                <w:sz w:val="21"/>
                <w:szCs w:val="21"/>
                <w:lang w:val="en-US" w:eastAsia="zh-CN"/>
              </w:rPr>
            </w:pPr>
          </w:p>
        </w:tc>
      </w:tr>
      <w:tr w14:paraId="107B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2BF2AE51">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vAlign w:val="center"/>
          </w:tcPr>
          <w:p w14:paraId="781BD5C5">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4588" w:type="dxa"/>
            <w:vAlign w:val="top"/>
          </w:tcPr>
          <w:p w14:paraId="486CB44D">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eastAsia="宋体"/>
                <w:lang w:val="en-US" w:eastAsia="zh-CN"/>
              </w:rPr>
            </w:pPr>
            <w:r>
              <w:rPr>
                <w:rFonts w:hint="eastAsia" w:ascii="宋体" w:hAnsi="宋体" w:eastAsia="宋体" w:cs="宋体"/>
                <w:b w:val="0"/>
                <w:bCs/>
                <w:sz w:val="21"/>
                <w:szCs w:val="21"/>
                <w:lang w:val="en-US" w:eastAsia="zh-CN"/>
              </w:rPr>
              <w:t>3、可配合≥5Fr器械使用；</w:t>
            </w:r>
          </w:p>
        </w:tc>
        <w:tc>
          <w:tcPr>
            <w:tcW w:w="944" w:type="dxa"/>
            <w:vAlign w:val="top"/>
          </w:tcPr>
          <w:p w14:paraId="4321F265">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c>
          <w:tcPr>
            <w:tcW w:w="789" w:type="dxa"/>
            <w:vAlign w:val="top"/>
          </w:tcPr>
          <w:p w14:paraId="54F1F286">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c>
          <w:tcPr>
            <w:tcW w:w="563" w:type="dxa"/>
            <w:vAlign w:val="top"/>
          </w:tcPr>
          <w:p w14:paraId="087A0A83">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r>
      <w:tr w14:paraId="6809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4FEEBAC8">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vAlign w:val="center"/>
          </w:tcPr>
          <w:p w14:paraId="0D08EC9C">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4588" w:type="dxa"/>
            <w:vAlign w:val="top"/>
          </w:tcPr>
          <w:p w14:paraId="20AA41B0">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color w:val="000000" w:themeColor="text1"/>
                <w:szCs w:val="21"/>
                <w14:textFill>
                  <w14:solidFill>
                    <w14:schemeClr w14:val="tx1"/>
                  </w14:solidFill>
                </w14:textFill>
              </w:rPr>
            </w:pPr>
            <w:r>
              <w:rPr>
                <w:rFonts w:hint="eastAsia" w:ascii="宋体" w:hAnsi="宋体" w:eastAsia="宋体" w:cs="宋体"/>
                <w:b w:val="0"/>
                <w:bCs/>
                <w:sz w:val="21"/>
                <w:szCs w:val="21"/>
                <w:lang w:val="en-US" w:eastAsia="zh-CN"/>
              </w:rPr>
              <w:t>4、镜体工作长度≥430mm；</w:t>
            </w:r>
          </w:p>
        </w:tc>
        <w:tc>
          <w:tcPr>
            <w:tcW w:w="944" w:type="dxa"/>
            <w:vAlign w:val="top"/>
          </w:tcPr>
          <w:p w14:paraId="0EB056AF">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c>
          <w:tcPr>
            <w:tcW w:w="789" w:type="dxa"/>
            <w:vAlign w:val="top"/>
          </w:tcPr>
          <w:p w14:paraId="1C0E499B">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c>
          <w:tcPr>
            <w:tcW w:w="563" w:type="dxa"/>
            <w:vAlign w:val="top"/>
          </w:tcPr>
          <w:p w14:paraId="2B8C3614">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r>
      <w:tr w14:paraId="398E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1" w:type="dxa"/>
            <w:vMerge w:val="continue"/>
          </w:tcPr>
          <w:p w14:paraId="050AA4CE">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tcPr>
          <w:p w14:paraId="50CEE71C">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588" w:type="dxa"/>
            <w:vAlign w:val="top"/>
          </w:tcPr>
          <w:p w14:paraId="6482E770">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color w:val="000000" w:themeColor="text1"/>
                <w:szCs w:val="21"/>
                <w14:textFill>
                  <w14:solidFill>
                    <w14:schemeClr w14:val="tx1"/>
                  </w14:solidFill>
                </w14:textFill>
              </w:rPr>
            </w:pPr>
            <w:r>
              <w:rPr>
                <w:rFonts w:hint="eastAsia" w:ascii="宋体" w:hAnsi="宋体" w:eastAsia="宋体" w:cs="宋体"/>
                <w:b w:val="0"/>
                <w:bCs/>
                <w:sz w:val="21"/>
                <w:szCs w:val="21"/>
                <w:lang w:val="en-US" w:eastAsia="zh-CN"/>
              </w:rPr>
              <w:t>5、特殊金属记忆，镜管自动复位；</w:t>
            </w:r>
          </w:p>
        </w:tc>
        <w:tc>
          <w:tcPr>
            <w:tcW w:w="944" w:type="dxa"/>
            <w:vAlign w:val="top"/>
          </w:tcPr>
          <w:p w14:paraId="4837E7F2">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c>
          <w:tcPr>
            <w:tcW w:w="789" w:type="dxa"/>
            <w:vAlign w:val="top"/>
          </w:tcPr>
          <w:p w14:paraId="70AA9CD4">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c>
          <w:tcPr>
            <w:tcW w:w="563" w:type="dxa"/>
            <w:vAlign w:val="top"/>
          </w:tcPr>
          <w:p w14:paraId="32C12F0D">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r>
      <w:tr w14:paraId="76B6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14:paraId="2DB33FC8">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tcPr>
          <w:p w14:paraId="78C0086B">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588" w:type="dxa"/>
            <w:vAlign w:val="top"/>
          </w:tcPr>
          <w:p w14:paraId="5C9512C0">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color w:val="000000" w:themeColor="text1"/>
                <w:szCs w:val="21"/>
                <w14:textFill>
                  <w14:solidFill>
                    <w14:schemeClr w14:val="tx1"/>
                  </w14:solidFill>
                </w14:textFill>
              </w:rPr>
            </w:pPr>
            <w:r>
              <w:rPr>
                <w:rFonts w:hint="eastAsia" w:ascii="宋体" w:hAnsi="宋体" w:eastAsia="宋体" w:cs="宋体"/>
                <w:b/>
                <w:bCs w:val="0"/>
                <w:color w:val="FF0000"/>
                <w:sz w:val="21"/>
                <w:szCs w:val="21"/>
              </w:rPr>
              <w:t>6、▲图像</w:t>
            </w:r>
            <w:r>
              <w:rPr>
                <w:rFonts w:hint="eastAsia" w:ascii="宋体" w:hAnsi="宋体" w:eastAsia="宋体" w:cs="宋体"/>
                <w:b/>
                <w:bCs w:val="0"/>
                <w:color w:val="FF0000"/>
                <w:sz w:val="21"/>
                <w:szCs w:val="21"/>
                <w:lang w:val="en-US" w:eastAsia="zh-CN"/>
              </w:rPr>
              <w:t>≥</w:t>
            </w:r>
            <w:r>
              <w:rPr>
                <w:rFonts w:hint="eastAsia" w:ascii="宋体" w:hAnsi="宋体" w:eastAsia="宋体" w:cs="宋体"/>
                <w:b/>
                <w:bCs w:val="0"/>
                <w:color w:val="FF0000"/>
                <w:sz w:val="21"/>
                <w:szCs w:val="21"/>
              </w:rPr>
              <w:t>50000像素；</w:t>
            </w:r>
            <w:r>
              <w:rPr>
                <w:rFonts w:hint="eastAsia" w:ascii="宋体" w:hAnsi="宋体" w:cs="宋体"/>
                <w:b/>
                <w:bCs w:val="0"/>
                <w:color w:val="FF0000"/>
                <w:sz w:val="21"/>
                <w:szCs w:val="21"/>
                <w:lang w:val="en-US" w:eastAsia="zh-CN"/>
              </w:rPr>
              <w:t>（提供产品彩页或技术白皮书或产品说明书或厂家参数确认函作为证明材料，可证明前述参数</w:t>
            </w:r>
            <w:r>
              <w:rPr>
                <w:rFonts w:hint="eastAsia" w:ascii="宋体" w:hAnsi="宋体" w:eastAsia="宋体" w:cs="宋体"/>
                <w:b/>
                <w:bCs w:val="0"/>
                <w:color w:val="FF0000"/>
                <w:sz w:val="21"/>
                <w:szCs w:val="21"/>
                <w:lang w:val="en-US" w:eastAsia="zh-CN"/>
              </w:rPr>
              <w:t>）</w:t>
            </w:r>
          </w:p>
        </w:tc>
        <w:tc>
          <w:tcPr>
            <w:tcW w:w="944" w:type="dxa"/>
            <w:vAlign w:val="top"/>
          </w:tcPr>
          <w:p w14:paraId="07DE1E95">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bCs w:val="0"/>
                <w:color w:val="FF0000"/>
                <w:sz w:val="21"/>
                <w:szCs w:val="21"/>
              </w:rPr>
            </w:pPr>
          </w:p>
        </w:tc>
        <w:tc>
          <w:tcPr>
            <w:tcW w:w="789" w:type="dxa"/>
            <w:vAlign w:val="top"/>
          </w:tcPr>
          <w:p w14:paraId="22C58975">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bCs w:val="0"/>
                <w:color w:val="FF0000"/>
                <w:sz w:val="21"/>
                <w:szCs w:val="21"/>
              </w:rPr>
            </w:pPr>
          </w:p>
        </w:tc>
        <w:tc>
          <w:tcPr>
            <w:tcW w:w="563" w:type="dxa"/>
            <w:vAlign w:val="top"/>
          </w:tcPr>
          <w:p w14:paraId="2C11E700">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bCs w:val="0"/>
                <w:color w:val="FF0000"/>
                <w:sz w:val="21"/>
                <w:szCs w:val="21"/>
              </w:rPr>
            </w:pPr>
          </w:p>
        </w:tc>
      </w:tr>
      <w:tr w14:paraId="2664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14:paraId="5134E3EB">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tcPr>
          <w:p w14:paraId="26148A83">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588" w:type="dxa"/>
            <w:vAlign w:val="top"/>
          </w:tcPr>
          <w:p w14:paraId="5AB50C53">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b/>
                <w:bCs/>
                <w:color w:val="000000" w:themeColor="text1"/>
                <w:szCs w:val="21"/>
                <w14:textFill>
                  <w14:solidFill>
                    <w14:schemeClr w14:val="tx1"/>
                  </w14:solidFill>
                </w14:textFill>
              </w:rPr>
            </w:pPr>
            <w:r>
              <w:rPr>
                <w:rFonts w:hint="eastAsia" w:ascii="宋体" w:hAnsi="宋体" w:eastAsia="宋体" w:cs="宋体"/>
                <w:b w:val="0"/>
                <w:bCs/>
                <w:sz w:val="21"/>
                <w:szCs w:val="21"/>
                <w:lang w:val="en-US" w:eastAsia="zh-CN"/>
              </w:rPr>
              <w:t>7、防损伤插入前端，尾端器械通道有内置密封圈机构；</w:t>
            </w:r>
          </w:p>
        </w:tc>
        <w:tc>
          <w:tcPr>
            <w:tcW w:w="944" w:type="dxa"/>
            <w:vAlign w:val="top"/>
          </w:tcPr>
          <w:p w14:paraId="6CBF2831">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c>
          <w:tcPr>
            <w:tcW w:w="789" w:type="dxa"/>
            <w:vAlign w:val="top"/>
          </w:tcPr>
          <w:p w14:paraId="620B9062">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c>
          <w:tcPr>
            <w:tcW w:w="563" w:type="dxa"/>
            <w:vAlign w:val="top"/>
          </w:tcPr>
          <w:p w14:paraId="53579143">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r>
      <w:tr w14:paraId="3277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14:paraId="4979F7D5">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tcPr>
          <w:p w14:paraId="29B7E95E">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588" w:type="dxa"/>
            <w:vAlign w:val="top"/>
          </w:tcPr>
          <w:p w14:paraId="2D80ECD5">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color w:val="000000" w:themeColor="text1"/>
                <w:szCs w:val="21"/>
                <w:lang w:val="en-US" w:eastAsia="zh-CN"/>
                <w14:textFill>
                  <w14:solidFill>
                    <w14:schemeClr w14:val="tx1"/>
                  </w14:solidFill>
                </w14:textFill>
              </w:rPr>
            </w:pPr>
            <w:r>
              <w:rPr>
                <w:rFonts w:hint="eastAsia" w:ascii="宋体" w:hAnsi="宋体" w:eastAsia="宋体" w:cs="宋体"/>
                <w:b w:val="0"/>
                <w:bCs/>
                <w:color w:val="auto"/>
                <w:sz w:val="21"/>
                <w:szCs w:val="21"/>
                <w:lang w:val="en-US" w:eastAsia="zh-CN"/>
              </w:rPr>
              <w:t>8、器械入口</w:t>
            </w:r>
            <w:r>
              <w:rPr>
                <w:rFonts w:hint="eastAsia" w:ascii="宋体" w:hAnsi="宋体" w:cs="宋体"/>
                <w:b w:val="0"/>
                <w:bCs/>
                <w:color w:val="auto"/>
                <w:sz w:val="21"/>
                <w:szCs w:val="21"/>
                <w:lang w:val="en-US" w:eastAsia="zh-CN"/>
              </w:rPr>
              <w:t>具备</w:t>
            </w:r>
            <w:r>
              <w:rPr>
                <w:rFonts w:hint="eastAsia" w:ascii="宋体" w:hAnsi="宋体" w:eastAsia="宋体" w:cs="宋体"/>
                <w:b w:val="0"/>
                <w:bCs/>
                <w:color w:val="auto"/>
                <w:sz w:val="21"/>
                <w:szCs w:val="21"/>
                <w:lang w:val="en-US" w:eastAsia="zh-CN"/>
              </w:rPr>
              <w:t>喇叭状工作通道口</w:t>
            </w:r>
            <w:r>
              <w:rPr>
                <w:rFonts w:hint="eastAsia" w:ascii="宋体" w:hAnsi="宋体" w:cs="宋体"/>
                <w:b w:val="0"/>
                <w:bCs/>
                <w:color w:val="auto"/>
                <w:sz w:val="21"/>
                <w:szCs w:val="21"/>
                <w:lang w:val="en-US" w:eastAsia="zh-CN"/>
              </w:rPr>
              <w:t>.</w:t>
            </w:r>
          </w:p>
        </w:tc>
        <w:tc>
          <w:tcPr>
            <w:tcW w:w="944" w:type="dxa"/>
            <w:vAlign w:val="top"/>
          </w:tcPr>
          <w:p w14:paraId="0ACDDD17">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color w:val="auto"/>
                <w:sz w:val="21"/>
                <w:szCs w:val="21"/>
                <w:lang w:val="en-US" w:eastAsia="zh-CN"/>
              </w:rPr>
            </w:pPr>
          </w:p>
        </w:tc>
        <w:tc>
          <w:tcPr>
            <w:tcW w:w="789" w:type="dxa"/>
            <w:vAlign w:val="top"/>
          </w:tcPr>
          <w:p w14:paraId="2111E042">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color w:val="auto"/>
                <w:sz w:val="21"/>
                <w:szCs w:val="21"/>
                <w:lang w:val="en-US" w:eastAsia="zh-CN"/>
              </w:rPr>
            </w:pPr>
          </w:p>
        </w:tc>
        <w:tc>
          <w:tcPr>
            <w:tcW w:w="563" w:type="dxa"/>
            <w:vAlign w:val="top"/>
          </w:tcPr>
          <w:p w14:paraId="7657004C">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color w:val="auto"/>
                <w:sz w:val="21"/>
                <w:szCs w:val="21"/>
                <w:lang w:val="en-US" w:eastAsia="zh-CN"/>
              </w:rPr>
            </w:pPr>
          </w:p>
        </w:tc>
      </w:tr>
      <w:tr w14:paraId="3EBC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6DF507A5">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vAlign w:val="center"/>
          </w:tcPr>
          <w:p w14:paraId="0299E391">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4588" w:type="dxa"/>
            <w:vAlign w:val="top"/>
          </w:tcPr>
          <w:p w14:paraId="4A76641D">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color w:val="000000" w:themeColor="text1"/>
                <w:szCs w:val="21"/>
                <w14:textFill>
                  <w14:solidFill>
                    <w14:schemeClr w14:val="tx1"/>
                  </w14:solidFill>
                </w14:textFill>
              </w:rPr>
            </w:pPr>
            <w:r>
              <w:rPr>
                <w:rFonts w:hint="eastAsia" w:ascii="宋体" w:hAnsi="宋体" w:eastAsia="宋体" w:cs="宋体"/>
                <w:b w:val="0"/>
                <w:bCs/>
                <w:color w:val="auto"/>
                <w:sz w:val="21"/>
                <w:szCs w:val="21"/>
                <w:lang w:val="en-US" w:eastAsia="zh-CN"/>
              </w:rPr>
              <w:t>9、可</w:t>
            </w:r>
            <w:r>
              <w:rPr>
                <w:rFonts w:hint="eastAsia" w:ascii="宋体" w:hAnsi="宋体" w:cs="宋体"/>
                <w:b w:val="0"/>
                <w:bCs/>
                <w:color w:val="auto"/>
                <w:sz w:val="21"/>
                <w:szCs w:val="21"/>
                <w:lang w:val="en-US" w:eastAsia="zh-CN"/>
              </w:rPr>
              <w:t>配合</w:t>
            </w:r>
            <w:r>
              <w:rPr>
                <w:rFonts w:hint="eastAsia" w:ascii="宋体" w:hAnsi="宋体" w:eastAsia="宋体" w:cs="宋体"/>
                <w:b w:val="0"/>
                <w:bCs/>
                <w:color w:val="auto"/>
                <w:sz w:val="21"/>
                <w:szCs w:val="21"/>
                <w:lang w:val="en-US" w:eastAsia="zh-CN"/>
              </w:rPr>
              <w:t>碎石杆辅助器</w:t>
            </w:r>
            <w:r>
              <w:rPr>
                <w:rFonts w:hint="eastAsia" w:ascii="宋体" w:hAnsi="宋体" w:cs="宋体"/>
                <w:b w:val="0"/>
                <w:bCs/>
                <w:color w:val="auto"/>
                <w:sz w:val="21"/>
                <w:szCs w:val="21"/>
                <w:lang w:val="en-US" w:eastAsia="zh-CN"/>
              </w:rPr>
              <w:t>使用.</w:t>
            </w:r>
          </w:p>
        </w:tc>
        <w:tc>
          <w:tcPr>
            <w:tcW w:w="944" w:type="dxa"/>
            <w:vAlign w:val="top"/>
          </w:tcPr>
          <w:p w14:paraId="6F714A4E">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color w:val="auto"/>
                <w:sz w:val="21"/>
                <w:szCs w:val="21"/>
                <w:lang w:val="en-US" w:eastAsia="zh-CN"/>
              </w:rPr>
            </w:pPr>
          </w:p>
        </w:tc>
        <w:tc>
          <w:tcPr>
            <w:tcW w:w="789" w:type="dxa"/>
            <w:vAlign w:val="top"/>
          </w:tcPr>
          <w:p w14:paraId="1DCE63F4">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color w:val="auto"/>
                <w:sz w:val="21"/>
                <w:szCs w:val="21"/>
                <w:lang w:val="en-US" w:eastAsia="zh-CN"/>
              </w:rPr>
            </w:pPr>
          </w:p>
        </w:tc>
        <w:tc>
          <w:tcPr>
            <w:tcW w:w="563" w:type="dxa"/>
            <w:vAlign w:val="top"/>
          </w:tcPr>
          <w:p w14:paraId="6F66143B">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color w:val="auto"/>
                <w:sz w:val="21"/>
                <w:szCs w:val="21"/>
                <w:lang w:val="en-US" w:eastAsia="zh-CN"/>
              </w:rPr>
            </w:pPr>
          </w:p>
        </w:tc>
      </w:tr>
      <w:tr w14:paraId="2674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14:paraId="48702496">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tcPr>
          <w:p w14:paraId="2DB09D31">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588" w:type="dxa"/>
            <w:vAlign w:val="top"/>
          </w:tcPr>
          <w:p w14:paraId="0E7B03BE">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color w:val="000000" w:themeColor="text1"/>
                <w:szCs w:val="21"/>
                <w14:textFill>
                  <w14:solidFill>
                    <w14:schemeClr w14:val="tx1"/>
                  </w14:solidFill>
                </w14:textFill>
              </w:rPr>
            </w:pPr>
            <w:r>
              <w:rPr>
                <w:rFonts w:hint="eastAsia" w:ascii="宋体" w:hAnsi="宋体" w:eastAsia="宋体" w:cs="宋体"/>
                <w:b w:val="0"/>
                <w:bCs/>
                <w:sz w:val="21"/>
                <w:szCs w:val="21"/>
                <w:lang w:val="en-US" w:eastAsia="zh-CN"/>
              </w:rPr>
              <w:t>10、器械通道具有反渗水功能；</w:t>
            </w:r>
          </w:p>
        </w:tc>
        <w:tc>
          <w:tcPr>
            <w:tcW w:w="944" w:type="dxa"/>
            <w:vAlign w:val="top"/>
          </w:tcPr>
          <w:p w14:paraId="232CEAE1">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c>
          <w:tcPr>
            <w:tcW w:w="789" w:type="dxa"/>
            <w:vAlign w:val="top"/>
          </w:tcPr>
          <w:p w14:paraId="2A5A083E">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c>
          <w:tcPr>
            <w:tcW w:w="563" w:type="dxa"/>
            <w:vAlign w:val="top"/>
          </w:tcPr>
          <w:p w14:paraId="1EEADF43">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r>
      <w:tr w14:paraId="6941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14:paraId="5514EFC4">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tcPr>
          <w:p w14:paraId="03E7D953">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588" w:type="dxa"/>
            <w:vAlign w:val="top"/>
          </w:tcPr>
          <w:p w14:paraId="69383CD6">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color w:val="000000" w:themeColor="text1"/>
                <w:szCs w:val="21"/>
                <w14:textFill>
                  <w14:solidFill>
                    <w14:schemeClr w14:val="tx1"/>
                  </w14:solidFill>
                </w14:textFill>
              </w:rPr>
            </w:pPr>
            <w:r>
              <w:rPr>
                <w:rFonts w:hint="eastAsia" w:ascii="宋体" w:hAnsi="宋体" w:eastAsia="宋体" w:cs="宋体"/>
                <w:b/>
                <w:bCs w:val="0"/>
                <w:color w:val="FF0000"/>
                <w:sz w:val="21"/>
                <w:szCs w:val="21"/>
                <w:lang w:val="en-US" w:eastAsia="zh-CN"/>
              </w:rPr>
              <w:t>11、可浸泡、熏蒸、高温高压消毒；</w:t>
            </w:r>
            <w:r>
              <w:rPr>
                <w:rFonts w:hint="eastAsia" w:ascii="宋体" w:hAnsi="宋体" w:cs="宋体"/>
                <w:b/>
                <w:bCs w:val="0"/>
                <w:color w:val="FF0000"/>
                <w:sz w:val="21"/>
                <w:szCs w:val="21"/>
                <w:lang w:val="en-US" w:eastAsia="zh-CN"/>
              </w:rPr>
              <w:t>（提供产品彩页或技术白皮书或产品说明书或厂家参数确认函作为证明材料，可证明前述参数</w:t>
            </w:r>
            <w:r>
              <w:rPr>
                <w:rFonts w:hint="eastAsia" w:ascii="宋体" w:hAnsi="宋体" w:eastAsia="宋体" w:cs="宋体"/>
                <w:b/>
                <w:bCs w:val="0"/>
                <w:color w:val="FF0000"/>
                <w:sz w:val="21"/>
                <w:szCs w:val="21"/>
                <w:lang w:val="en-US" w:eastAsia="zh-CN"/>
              </w:rPr>
              <w:t>）</w:t>
            </w:r>
          </w:p>
        </w:tc>
        <w:tc>
          <w:tcPr>
            <w:tcW w:w="944" w:type="dxa"/>
            <w:vAlign w:val="top"/>
          </w:tcPr>
          <w:p w14:paraId="36915B66">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bCs w:val="0"/>
                <w:color w:val="FF0000"/>
                <w:sz w:val="21"/>
                <w:szCs w:val="21"/>
                <w:lang w:val="en-US" w:eastAsia="zh-CN"/>
              </w:rPr>
            </w:pPr>
          </w:p>
        </w:tc>
        <w:tc>
          <w:tcPr>
            <w:tcW w:w="789" w:type="dxa"/>
            <w:vAlign w:val="top"/>
          </w:tcPr>
          <w:p w14:paraId="504035D0">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bCs w:val="0"/>
                <w:color w:val="FF0000"/>
                <w:sz w:val="21"/>
                <w:szCs w:val="21"/>
                <w:lang w:val="en-US" w:eastAsia="zh-CN"/>
              </w:rPr>
            </w:pPr>
          </w:p>
        </w:tc>
        <w:tc>
          <w:tcPr>
            <w:tcW w:w="563" w:type="dxa"/>
            <w:vAlign w:val="top"/>
          </w:tcPr>
          <w:p w14:paraId="54B149F5">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bCs w:val="0"/>
                <w:color w:val="FF0000"/>
                <w:sz w:val="21"/>
                <w:szCs w:val="21"/>
                <w:lang w:val="en-US" w:eastAsia="zh-CN"/>
              </w:rPr>
            </w:pPr>
          </w:p>
        </w:tc>
      </w:tr>
      <w:tr w14:paraId="2BEA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14:paraId="2E34AEB3">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tcPr>
          <w:p w14:paraId="6002D0EB">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588" w:type="dxa"/>
            <w:vAlign w:val="top"/>
          </w:tcPr>
          <w:p w14:paraId="7B4692BA">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b/>
                <w:bCs/>
                <w:color w:val="000000" w:themeColor="text1"/>
                <w:szCs w:val="21"/>
                <w14:textFill>
                  <w14:solidFill>
                    <w14:schemeClr w14:val="tx1"/>
                  </w14:solidFill>
                </w14:textFill>
              </w:rPr>
            </w:pPr>
            <w:r>
              <w:rPr>
                <w:rFonts w:hint="eastAsia" w:ascii="宋体" w:hAnsi="宋体" w:eastAsia="宋体" w:cs="宋体"/>
                <w:b w:val="0"/>
                <w:bCs/>
                <w:sz w:val="21"/>
                <w:szCs w:val="21"/>
                <w:lang w:val="en-US" w:eastAsia="zh-CN"/>
              </w:rPr>
              <w:t>12、钛合金材质外壳；</w:t>
            </w:r>
          </w:p>
        </w:tc>
        <w:tc>
          <w:tcPr>
            <w:tcW w:w="944" w:type="dxa"/>
            <w:vAlign w:val="top"/>
          </w:tcPr>
          <w:p w14:paraId="3A2BD1CC">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c>
          <w:tcPr>
            <w:tcW w:w="789" w:type="dxa"/>
            <w:vAlign w:val="top"/>
          </w:tcPr>
          <w:p w14:paraId="111E51AA">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c>
          <w:tcPr>
            <w:tcW w:w="563" w:type="dxa"/>
            <w:vAlign w:val="top"/>
          </w:tcPr>
          <w:p w14:paraId="35E7D35F">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r>
      <w:tr w14:paraId="3BCD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14:paraId="65FC50E2">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tcPr>
          <w:p w14:paraId="5560188A">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588" w:type="dxa"/>
            <w:vAlign w:val="top"/>
          </w:tcPr>
          <w:p w14:paraId="4BEF8636">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color w:val="000000" w:themeColor="text1"/>
                <w:szCs w:val="21"/>
                <w:lang w:val="en-US" w:eastAsia="zh-CN"/>
                <w14:textFill>
                  <w14:solidFill>
                    <w14:schemeClr w14:val="tx1"/>
                  </w14:solidFill>
                </w14:textFill>
              </w:rPr>
            </w:pPr>
            <w:r>
              <w:rPr>
                <w:rFonts w:hint="eastAsia" w:ascii="宋体" w:hAnsi="宋体" w:eastAsia="宋体" w:cs="宋体"/>
                <w:b w:val="0"/>
                <w:bCs/>
                <w:sz w:val="21"/>
                <w:szCs w:val="21"/>
                <w:lang w:val="en-US" w:eastAsia="zh-CN"/>
              </w:rPr>
              <w:t>13、蓝宝石镜面；</w:t>
            </w:r>
          </w:p>
        </w:tc>
        <w:tc>
          <w:tcPr>
            <w:tcW w:w="944" w:type="dxa"/>
            <w:vAlign w:val="top"/>
          </w:tcPr>
          <w:p w14:paraId="2262C73C">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c>
          <w:tcPr>
            <w:tcW w:w="789" w:type="dxa"/>
            <w:vAlign w:val="top"/>
          </w:tcPr>
          <w:p w14:paraId="7C1A6EAD">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c>
          <w:tcPr>
            <w:tcW w:w="563" w:type="dxa"/>
            <w:vAlign w:val="top"/>
          </w:tcPr>
          <w:p w14:paraId="769F348C">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eastAsia" w:ascii="宋体" w:hAnsi="宋体" w:eastAsia="宋体" w:cs="宋体"/>
                <w:b w:val="0"/>
                <w:bCs/>
                <w:sz w:val="21"/>
                <w:szCs w:val="21"/>
                <w:lang w:val="en-US" w:eastAsia="zh-CN"/>
              </w:rPr>
            </w:pPr>
          </w:p>
        </w:tc>
      </w:tr>
      <w:tr w14:paraId="43EA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14:paraId="5179900C">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134" w:type="dxa"/>
            <w:vMerge w:val="continue"/>
            <w:vAlign w:val="center"/>
          </w:tcPr>
          <w:p w14:paraId="07949350">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4588" w:type="dxa"/>
            <w:vAlign w:val="top"/>
          </w:tcPr>
          <w:p w14:paraId="0B24A3FC">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★配置清单</w:t>
            </w:r>
          </w:p>
          <w:tbl>
            <w:tblPr>
              <w:tblStyle w:val="42"/>
              <w:tblpPr w:leftFromText="180" w:rightFromText="180" w:vertAnchor="text" w:horzAnchor="margin" w:tblpY="1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888"/>
              <w:gridCol w:w="576"/>
              <w:gridCol w:w="1042"/>
            </w:tblGrid>
            <w:tr w14:paraId="45F8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92" w:type="dxa"/>
                  <w:noWrap w:val="0"/>
                  <w:vAlign w:val="center"/>
                </w:tcPr>
                <w:p w14:paraId="05B6AD00">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序号</w:t>
                  </w:r>
                </w:p>
              </w:tc>
              <w:tc>
                <w:tcPr>
                  <w:tcW w:w="1888" w:type="dxa"/>
                  <w:noWrap w:val="0"/>
                  <w:vAlign w:val="center"/>
                </w:tcPr>
                <w:p w14:paraId="2332B23B">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货物名称</w:t>
                  </w:r>
                </w:p>
              </w:tc>
              <w:tc>
                <w:tcPr>
                  <w:tcW w:w="576" w:type="dxa"/>
                  <w:noWrap w:val="0"/>
                  <w:vAlign w:val="center"/>
                </w:tcPr>
                <w:p w14:paraId="2DACD2C5">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数量</w:t>
                  </w:r>
                </w:p>
              </w:tc>
              <w:tc>
                <w:tcPr>
                  <w:tcW w:w="1042" w:type="dxa"/>
                  <w:noWrap w:val="0"/>
                  <w:vAlign w:val="center"/>
                </w:tcPr>
                <w:p w14:paraId="776CB331">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单位</w:t>
                  </w:r>
                </w:p>
              </w:tc>
            </w:tr>
            <w:tr w14:paraId="2AFC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92" w:type="dxa"/>
                  <w:noWrap w:val="0"/>
                  <w:vAlign w:val="center"/>
                </w:tcPr>
                <w:p w14:paraId="72BC6879">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p>
              </w:tc>
              <w:tc>
                <w:tcPr>
                  <w:tcW w:w="1888" w:type="dxa"/>
                  <w:noWrap w:val="0"/>
                  <w:vAlign w:val="center"/>
                </w:tcPr>
                <w:p w14:paraId="4169E889">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输尿管硬镜</w:t>
                  </w:r>
                </w:p>
              </w:tc>
              <w:tc>
                <w:tcPr>
                  <w:tcW w:w="576" w:type="dxa"/>
                  <w:noWrap w:val="0"/>
                  <w:vAlign w:val="center"/>
                </w:tcPr>
                <w:p w14:paraId="15B7C0CE">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1042" w:type="dxa"/>
                  <w:noWrap w:val="0"/>
                  <w:vAlign w:val="center"/>
                </w:tcPr>
                <w:p w14:paraId="67D77612">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条</w:t>
                  </w:r>
                </w:p>
              </w:tc>
            </w:tr>
            <w:tr w14:paraId="6465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92" w:type="dxa"/>
                  <w:noWrap w:val="0"/>
                  <w:vAlign w:val="center"/>
                </w:tcPr>
                <w:p w14:paraId="2E1A6942">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tc>
              <w:tc>
                <w:tcPr>
                  <w:tcW w:w="1888" w:type="dxa"/>
                  <w:noWrap w:val="0"/>
                  <w:vAlign w:val="center"/>
                </w:tcPr>
                <w:p w14:paraId="266398E4">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薄膜阀</w:t>
                  </w:r>
                </w:p>
              </w:tc>
              <w:tc>
                <w:tcPr>
                  <w:tcW w:w="576" w:type="dxa"/>
                  <w:noWrap w:val="0"/>
                  <w:vAlign w:val="center"/>
                </w:tcPr>
                <w:p w14:paraId="216E1F6F">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w:t>
                  </w:r>
                </w:p>
              </w:tc>
              <w:tc>
                <w:tcPr>
                  <w:tcW w:w="1042" w:type="dxa"/>
                  <w:noWrap w:val="0"/>
                  <w:vAlign w:val="center"/>
                </w:tcPr>
                <w:p w14:paraId="48BC30D7">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包</w:t>
                  </w:r>
                </w:p>
              </w:tc>
            </w:tr>
            <w:tr w14:paraId="71CD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92" w:type="dxa"/>
                  <w:noWrap w:val="0"/>
                  <w:vAlign w:val="center"/>
                </w:tcPr>
                <w:p w14:paraId="7DE15E99">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1888" w:type="dxa"/>
                  <w:noWrap w:val="0"/>
                  <w:vAlign w:val="center"/>
                </w:tcPr>
                <w:p w14:paraId="6F8E31FC">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堵水封帽</w:t>
                  </w:r>
                </w:p>
              </w:tc>
              <w:tc>
                <w:tcPr>
                  <w:tcW w:w="576" w:type="dxa"/>
                  <w:noWrap w:val="0"/>
                  <w:vAlign w:val="center"/>
                </w:tcPr>
                <w:p w14:paraId="21C16251">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w:t>
                  </w:r>
                </w:p>
              </w:tc>
              <w:tc>
                <w:tcPr>
                  <w:tcW w:w="1042" w:type="dxa"/>
                  <w:noWrap w:val="0"/>
                  <w:vAlign w:val="center"/>
                </w:tcPr>
                <w:p w14:paraId="1C6D805C">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个</w:t>
                  </w:r>
                </w:p>
              </w:tc>
            </w:tr>
            <w:tr w14:paraId="219E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92" w:type="dxa"/>
                  <w:noWrap w:val="0"/>
                  <w:vAlign w:val="center"/>
                </w:tcPr>
                <w:p w14:paraId="4AB9778A">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tc>
              <w:tc>
                <w:tcPr>
                  <w:tcW w:w="1888" w:type="dxa"/>
                  <w:noWrap w:val="0"/>
                  <w:vAlign w:val="center"/>
                </w:tcPr>
                <w:p w14:paraId="0F54BD83">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进出水接头</w:t>
                  </w:r>
                </w:p>
              </w:tc>
              <w:tc>
                <w:tcPr>
                  <w:tcW w:w="576" w:type="dxa"/>
                  <w:noWrap w:val="0"/>
                  <w:vAlign w:val="center"/>
                </w:tcPr>
                <w:p w14:paraId="107D50EA">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w:t>
                  </w:r>
                </w:p>
              </w:tc>
              <w:tc>
                <w:tcPr>
                  <w:tcW w:w="1042" w:type="dxa"/>
                  <w:noWrap w:val="0"/>
                  <w:vAlign w:val="center"/>
                </w:tcPr>
                <w:p w14:paraId="2E398F99">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个</w:t>
                  </w:r>
                </w:p>
              </w:tc>
            </w:tr>
            <w:tr w14:paraId="6881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92" w:type="dxa"/>
                  <w:noWrap w:val="0"/>
                  <w:vAlign w:val="center"/>
                </w:tcPr>
                <w:p w14:paraId="253398D9">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1888" w:type="dxa"/>
                  <w:noWrap w:val="0"/>
                  <w:vAlign w:val="center"/>
                </w:tcPr>
                <w:p w14:paraId="26DE8EE1">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清洗刷</w:t>
                  </w:r>
                </w:p>
              </w:tc>
              <w:tc>
                <w:tcPr>
                  <w:tcW w:w="576" w:type="dxa"/>
                  <w:noWrap w:val="0"/>
                  <w:vAlign w:val="center"/>
                </w:tcPr>
                <w:p w14:paraId="16A8FC80">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1042" w:type="dxa"/>
                  <w:noWrap w:val="0"/>
                  <w:vAlign w:val="center"/>
                </w:tcPr>
                <w:p w14:paraId="4B4368C5">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个</w:t>
                  </w:r>
                </w:p>
              </w:tc>
            </w:tr>
            <w:tr w14:paraId="6B6C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92" w:type="dxa"/>
                  <w:noWrap w:val="0"/>
                  <w:vAlign w:val="center"/>
                </w:tcPr>
                <w:p w14:paraId="7C98BB7B">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w:t>
                  </w:r>
                </w:p>
              </w:tc>
              <w:tc>
                <w:tcPr>
                  <w:tcW w:w="1888" w:type="dxa"/>
                  <w:noWrap w:val="0"/>
                  <w:vAlign w:val="center"/>
                </w:tcPr>
                <w:p w14:paraId="3C496581">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抓钳</w:t>
                  </w:r>
                </w:p>
              </w:tc>
              <w:tc>
                <w:tcPr>
                  <w:tcW w:w="576" w:type="dxa"/>
                  <w:noWrap w:val="0"/>
                  <w:vAlign w:val="center"/>
                </w:tcPr>
                <w:p w14:paraId="4A164A0D">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w:t>
                  </w:r>
                </w:p>
              </w:tc>
              <w:tc>
                <w:tcPr>
                  <w:tcW w:w="1042" w:type="dxa"/>
                  <w:noWrap w:val="0"/>
                  <w:vAlign w:val="center"/>
                </w:tcPr>
                <w:p w14:paraId="0EEEAB4C">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把</w:t>
                  </w:r>
                </w:p>
              </w:tc>
            </w:tr>
            <w:tr w14:paraId="5FCF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92" w:type="dxa"/>
                  <w:noWrap w:val="0"/>
                  <w:vAlign w:val="center"/>
                </w:tcPr>
                <w:p w14:paraId="4667154A">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w:t>
                  </w:r>
                </w:p>
              </w:tc>
              <w:tc>
                <w:tcPr>
                  <w:tcW w:w="1888" w:type="dxa"/>
                  <w:noWrap w:val="0"/>
                  <w:vAlign w:val="center"/>
                </w:tcPr>
                <w:p w14:paraId="2F0596FF">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输尿管硬镜内切开刀</w:t>
                  </w:r>
                </w:p>
              </w:tc>
              <w:tc>
                <w:tcPr>
                  <w:tcW w:w="576" w:type="dxa"/>
                  <w:noWrap w:val="0"/>
                  <w:vAlign w:val="center"/>
                </w:tcPr>
                <w:p w14:paraId="0ADC63B6">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1042" w:type="dxa"/>
                  <w:noWrap w:val="0"/>
                  <w:vAlign w:val="center"/>
                </w:tcPr>
                <w:p w14:paraId="2377FB31">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把</w:t>
                  </w:r>
                </w:p>
              </w:tc>
            </w:tr>
            <w:tr w14:paraId="093D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92" w:type="dxa"/>
                  <w:noWrap w:val="0"/>
                  <w:vAlign w:val="center"/>
                </w:tcPr>
                <w:p w14:paraId="43860D08">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w:t>
                  </w:r>
                </w:p>
              </w:tc>
              <w:tc>
                <w:tcPr>
                  <w:tcW w:w="1888" w:type="dxa"/>
                  <w:noWrap w:val="0"/>
                  <w:vAlign w:val="center"/>
                </w:tcPr>
                <w:p w14:paraId="3BC10DE2">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消毒盒</w:t>
                  </w:r>
                </w:p>
              </w:tc>
              <w:tc>
                <w:tcPr>
                  <w:tcW w:w="576" w:type="dxa"/>
                  <w:noWrap w:val="0"/>
                  <w:vAlign w:val="center"/>
                </w:tcPr>
                <w:p w14:paraId="273FF6EA">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1042" w:type="dxa"/>
                  <w:noWrap w:val="0"/>
                  <w:vAlign w:val="center"/>
                </w:tcPr>
                <w:p w14:paraId="3398389C">
                  <w:pPr>
                    <w:keepNext w:val="0"/>
                    <w:keepLines w:val="0"/>
                    <w:numPr>
                      <w:ilvl w:val="0"/>
                      <w:numId w:val="0"/>
                    </w:numPr>
                    <w:suppressLineNumbers w:val="0"/>
                    <w:autoSpaceDN w:val="0"/>
                    <w:spacing w:before="0" w:beforeAutospacing="0" w:after="0" w:afterAutospacing="0" w:line="360" w:lineRule="auto"/>
                    <w:ind w:left="0" w:leftChars="0" w:right="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个</w:t>
                  </w:r>
                </w:p>
              </w:tc>
            </w:tr>
          </w:tbl>
          <w:p w14:paraId="6D8AD03A">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ascii="宋体" w:hAnsi="宋体" w:eastAsia="宋体" w:cs="宋体"/>
                <w:b w:val="0"/>
                <w:bCs/>
                <w:sz w:val="21"/>
                <w:szCs w:val="21"/>
                <w:lang w:val="en-US" w:eastAsia="zh-CN"/>
              </w:rPr>
            </w:pPr>
          </w:p>
        </w:tc>
        <w:tc>
          <w:tcPr>
            <w:tcW w:w="944" w:type="dxa"/>
            <w:vAlign w:val="top"/>
          </w:tcPr>
          <w:p w14:paraId="7DF46288">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ascii="宋体" w:hAnsi="宋体" w:eastAsia="宋体" w:cs="宋体"/>
                <w:b w:val="0"/>
                <w:bCs/>
                <w:sz w:val="21"/>
                <w:szCs w:val="21"/>
                <w:lang w:val="en-US" w:eastAsia="zh-CN"/>
              </w:rPr>
            </w:pPr>
          </w:p>
        </w:tc>
        <w:tc>
          <w:tcPr>
            <w:tcW w:w="789" w:type="dxa"/>
            <w:vAlign w:val="top"/>
          </w:tcPr>
          <w:p w14:paraId="4CC9A7A7">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ascii="宋体" w:hAnsi="宋体" w:eastAsia="宋体" w:cs="宋体"/>
                <w:b w:val="0"/>
                <w:bCs/>
                <w:sz w:val="21"/>
                <w:szCs w:val="21"/>
                <w:lang w:val="en-US" w:eastAsia="zh-CN"/>
              </w:rPr>
            </w:pPr>
          </w:p>
        </w:tc>
        <w:tc>
          <w:tcPr>
            <w:tcW w:w="563" w:type="dxa"/>
            <w:vAlign w:val="top"/>
          </w:tcPr>
          <w:p w14:paraId="60E3375B">
            <w:pPr>
              <w:keepNext w:val="0"/>
              <w:keepLines w:val="0"/>
              <w:numPr>
                <w:ilvl w:val="0"/>
                <w:numId w:val="0"/>
              </w:numPr>
              <w:suppressLineNumbers w:val="0"/>
              <w:autoSpaceDN w:val="0"/>
              <w:spacing w:before="0" w:beforeAutospacing="0" w:after="0" w:afterAutospacing="0" w:line="360" w:lineRule="auto"/>
              <w:ind w:left="0" w:leftChars="0" w:right="0" w:firstLine="0" w:firstLineChars="0"/>
              <w:rPr>
                <w:rFonts w:hint="default" w:ascii="宋体" w:hAnsi="宋体" w:eastAsia="宋体" w:cs="宋体"/>
                <w:b w:val="0"/>
                <w:bCs/>
                <w:sz w:val="21"/>
                <w:szCs w:val="21"/>
                <w:lang w:val="en-US" w:eastAsia="zh-CN"/>
              </w:rPr>
            </w:pPr>
          </w:p>
        </w:tc>
      </w:tr>
    </w:tbl>
    <w:p w14:paraId="4E7B12F8">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证明资料【如有的话，提供的证明资料应统一编号（排序），格式自定】：</w:t>
      </w:r>
    </w:p>
    <w:p w14:paraId="4A19640C">
      <w:pPr>
        <w:keepNext w:val="0"/>
        <w:keepLines w:val="0"/>
        <w:pageBreakBefore w:val="0"/>
        <w:widowControl w:val="0"/>
        <w:kinsoku/>
        <w:wordWrap/>
        <w:overflowPunct/>
        <w:topLinePunct w:val="0"/>
        <w:autoSpaceDE/>
        <w:autoSpaceDN/>
        <w:bidi w:val="0"/>
        <w:adjustRightInd/>
        <w:snapToGrid/>
        <w:ind w:firstLine="420" w:firstLineChars="200"/>
        <w:textAlignment w:val="auto"/>
      </w:pPr>
    </w:p>
    <w:p w14:paraId="28E4C9B9">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《技术要求偏离表》编制指引：</w:t>
      </w:r>
    </w:p>
    <w:p w14:paraId="66FFCDBB">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1、技术要求偏离表的序号、货物名称、招标技术要求等栏目对应“用户需求书”中的“技术要求”章节相关内容。</w:t>
      </w:r>
    </w:p>
    <w:p w14:paraId="5B254B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FF0000"/>
          <w:lang w:val="en-US" w:eastAsia="zh-CN"/>
        </w:rPr>
      </w:pPr>
      <w:r>
        <w:t>2</w:t>
      </w:r>
      <w:r>
        <w:rPr>
          <w:rFonts w:hint="eastAsia"/>
        </w:rPr>
        <w:t>、“投标技术响应”一栏必须一一对照“招标技术要求”，详细填写投标人自身投标货物的具体参数，而不能不合理照搬照抄招标文件的技术要求，以体现具体响应情况。</w:t>
      </w:r>
      <w:r>
        <w:rPr>
          <w:rFonts w:hint="eastAsia"/>
          <w:color w:val="FF0000"/>
          <w:lang w:val="en-US" w:eastAsia="zh-CN"/>
        </w:rPr>
        <w:t>“投标技术响应”必须与所投产品客观实际保持一致，响应不实且情节严重的，经查实，将依法记入供应商诚信档案或受到行政处罚。</w:t>
      </w:r>
    </w:p>
    <w:p w14:paraId="625E793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FF0000"/>
          <w:lang w:val="en-US" w:eastAsia="zh-CN"/>
        </w:rPr>
      </w:pPr>
      <w:r>
        <w:t>3</w:t>
      </w:r>
      <w:r>
        <w:rPr>
          <w:rFonts w:hint="eastAsia"/>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w:t>
      </w:r>
      <w:r>
        <w:rPr>
          <w:rFonts w:hint="eastAsia"/>
          <w:lang w:val="en-US" w:eastAsia="zh-CN"/>
        </w:rPr>
        <w:t>负</w:t>
      </w:r>
      <w:r>
        <w:rPr>
          <w:rFonts w:hint="eastAsia"/>
        </w:rPr>
        <w:t>偏离条款，不作为评分准则中的评分内容</w:t>
      </w:r>
      <w:r>
        <w:rPr>
          <w:rFonts w:hint="eastAsia"/>
          <w:lang w:eastAsia="zh-CN"/>
        </w:rPr>
        <w:t>，</w:t>
      </w:r>
      <w:r>
        <w:rPr>
          <w:rFonts w:hint="eastAsia"/>
        </w:rPr>
        <w:t>如未响应或出现负偏离的，将</w:t>
      </w:r>
      <w:r>
        <w:rPr>
          <w:rFonts w:hint="eastAsia"/>
          <w:lang w:val="en-US" w:eastAsia="zh-CN"/>
        </w:rPr>
        <w:t>做</w:t>
      </w:r>
      <w:r>
        <w:rPr>
          <w:rFonts w:hint="eastAsia"/>
        </w:rPr>
        <w:t>投标无效处理</w:t>
      </w:r>
      <w:r>
        <w:rPr>
          <w:rFonts w:hint="eastAsia"/>
          <w:lang w:val="en-US" w:eastAsia="zh-CN"/>
        </w:rPr>
        <w:t>。</w:t>
      </w:r>
      <w:r>
        <w:rPr>
          <w:rFonts w:hint="eastAsia"/>
          <w:color w:val="FF0000"/>
          <w:lang w:val="en-US" w:eastAsia="zh-CN"/>
        </w:rPr>
        <w:t>“偏离情况”必须与所投产品客观实际保持一致，响应不实且情节严重的，经查实，将依法记入供应商诚信档案或受到行政处罚。</w:t>
      </w:r>
    </w:p>
    <w:p w14:paraId="268A6691">
      <w:pPr>
        <w:keepNext w:val="0"/>
        <w:keepLines w:val="0"/>
        <w:pageBreakBefore w:val="0"/>
        <w:widowControl w:val="0"/>
        <w:kinsoku/>
        <w:wordWrap/>
        <w:overflowPunct/>
        <w:topLinePunct w:val="0"/>
        <w:autoSpaceDE/>
        <w:autoSpaceDN/>
        <w:bidi w:val="0"/>
        <w:adjustRightInd/>
        <w:snapToGrid/>
        <w:ind w:firstLine="420" w:firstLineChars="200"/>
        <w:textAlignment w:val="auto"/>
      </w:pPr>
      <w:r>
        <w:t>4</w:t>
      </w:r>
      <w:r>
        <w:rPr>
          <w:rFonts w:hint="eastAsia"/>
        </w:rPr>
        <w:t>、未要求提供证明资料的招标技术要求，可以不提供证明资料（如实响应即可）。</w:t>
      </w:r>
    </w:p>
    <w:p w14:paraId="3279CA32">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2DC5E4FA">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14:paraId="05877877">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7、证明资料的形式及其它具体要求：</w:t>
      </w:r>
    </w:p>
    <w:p w14:paraId="621185C8">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（1）除照片、图片（截图）及不需加盖公章的文字说明（技术说明）外，其它证明资料均要求为原件扫描件；</w:t>
      </w:r>
    </w:p>
    <w:p w14:paraId="5542CFE1">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251A03D7">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41728DCB">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我国政府机构出具的产品检验和核准证件应为证件正面、背面和附件标注的全部具体内容；产品检验和核准证件的尺寸和清晰度应该能够在电脑上被阅读、识别和判断；</w:t>
      </w:r>
    </w:p>
    <w:p w14:paraId="3731D21F">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07C56561">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其它证明资料的形式要求参照以上要求执行；</w:t>
      </w:r>
    </w:p>
    <w:p w14:paraId="6583F5F3">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8、其它注意事项：</w:t>
      </w:r>
    </w:p>
    <w:p w14:paraId="30C80B59">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（1）评审委员会有权对投标人的响应情况作出判断（评审结论）；</w:t>
      </w:r>
    </w:p>
    <w:p w14:paraId="0F2D27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lang w:eastAsia="zh-CN"/>
        </w:rPr>
      </w:pPr>
      <w:r>
        <w:rPr>
          <w:rFonts w:hint="eastAsia"/>
        </w:rPr>
        <w:t>（2）评审委员会有权对以谋取中标为目的的技术规格模糊响应（如有意不合理照搬照抄招标文件的技术要求）或虚假响应予以认定</w:t>
      </w:r>
      <w:r>
        <w:rPr>
          <w:rFonts w:hint="eastAsia"/>
          <w:lang w:eastAsia="zh-CN"/>
        </w:rPr>
        <w:t>。</w:t>
      </w:r>
    </w:p>
    <w:p w14:paraId="42D780DE">
      <w:pPr>
        <w:keepNext w:val="0"/>
        <w:keepLines w:val="0"/>
        <w:pageBreakBefore w:val="0"/>
        <w:widowControl w:val="0"/>
        <w:kinsoku/>
        <w:wordWrap/>
        <w:overflowPunct/>
        <w:topLinePunct w:val="0"/>
        <w:autoSpaceDE/>
        <w:autoSpaceDN/>
        <w:bidi w:val="0"/>
        <w:adjustRightInd/>
        <w:snapToGrid/>
        <w:ind w:firstLine="420" w:firstLineChars="200"/>
        <w:textAlignment w:val="auto"/>
      </w:pPr>
    </w:p>
    <w:p w14:paraId="5B287F5D">
      <w:pPr>
        <w:keepNext w:val="0"/>
        <w:keepLines w:val="0"/>
        <w:pageBreakBefore w:val="0"/>
        <w:widowControl w:val="0"/>
        <w:kinsoku/>
        <w:wordWrap/>
        <w:overflowPunct/>
        <w:topLinePunct w:val="0"/>
        <w:autoSpaceDE/>
        <w:autoSpaceDN/>
        <w:bidi w:val="0"/>
        <w:adjustRightInd/>
        <w:snapToGrid/>
        <w:ind w:firstLine="420" w:firstLineChars="200"/>
        <w:textAlignment w:val="auto"/>
      </w:pPr>
    </w:p>
    <w:p w14:paraId="43FCB436">
      <w:pPr>
        <w:rPr>
          <w:rFonts w:hint="eastAsia" w:ascii="黑体" w:hAnsi="黑体" w:eastAsia="黑体" w:cs="黑体"/>
          <w:b w:val="0"/>
          <w:bCs w:val="0"/>
          <w:sz w:val="24"/>
          <w:szCs w:val="28"/>
          <w:highlight w:val="none"/>
          <w:lang w:val="en-US" w:eastAsia="zh-CN"/>
        </w:rPr>
      </w:pPr>
      <w:r>
        <w:rPr>
          <w:rFonts w:hint="eastAsia" w:ascii="黑体" w:hAnsi="黑体" w:eastAsia="黑体" w:cs="黑体"/>
          <w:b w:val="0"/>
          <w:bCs w:val="0"/>
          <w:sz w:val="24"/>
          <w:szCs w:val="28"/>
          <w:highlight w:val="none"/>
          <w:lang w:val="en-US" w:eastAsia="zh-CN"/>
        </w:rPr>
        <w:br w:type="page"/>
      </w:r>
    </w:p>
    <w:p w14:paraId="03D79E55">
      <w:pPr>
        <w:pStyle w:val="3"/>
        <w:jc w:val="center"/>
        <w:rPr>
          <w:rFonts w:ascii="黑体" w:hAnsi="黑体" w:eastAsia="黑体" w:cs="黑体"/>
          <w:b w:val="0"/>
          <w:bCs w:val="0"/>
          <w:sz w:val="24"/>
          <w:szCs w:val="28"/>
          <w:highlight w:val="none"/>
        </w:rPr>
      </w:pPr>
      <w:r>
        <w:rPr>
          <w:rFonts w:hint="eastAsia" w:ascii="黑体" w:hAnsi="黑体" w:eastAsia="黑体" w:cs="黑体"/>
          <w:b w:val="0"/>
          <w:bCs w:val="0"/>
          <w:sz w:val="24"/>
          <w:szCs w:val="28"/>
          <w:highlight w:val="none"/>
          <w:lang w:val="en-US" w:eastAsia="zh-CN"/>
        </w:rPr>
        <w:t>十</w:t>
      </w:r>
      <w:r>
        <w:rPr>
          <w:rFonts w:hint="eastAsia" w:ascii="黑体" w:hAnsi="黑体" w:eastAsia="黑体" w:cs="黑体"/>
          <w:b w:val="0"/>
          <w:bCs w:val="0"/>
          <w:sz w:val="24"/>
          <w:szCs w:val="28"/>
          <w:highlight w:val="none"/>
        </w:rPr>
        <w:t>、商务要求偏离表</w:t>
      </w:r>
    </w:p>
    <w:tbl>
      <w:tblPr>
        <w:tblStyle w:val="42"/>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556"/>
        <w:gridCol w:w="3401"/>
        <w:gridCol w:w="935"/>
        <w:gridCol w:w="876"/>
        <w:gridCol w:w="899"/>
      </w:tblGrid>
      <w:tr w14:paraId="1A5A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Align w:val="center"/>
          </w:tcPr>
          <w:p w14:paraId="2355D100">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rPr>
            </w:pPr>
            <w:r>
              <w:rPr>
                <w:rFonts w:hint="eastAsia" w:asciiTheme="minorEastAsia" w:hAnsiTheme="minorEastAsia" w:eastAsiaTheme="minorEastAsia"/>
                <w:b/>
                <w:color w:val="auto"/>
                <w:szCs w:val="21"/>
              </w:rPr>
              <w:t>序号</w:t>
            </w:r>
          </w:p>
        </w:tc>
        <w:tc>
          <w:tcPr>
            <w:tcW w:w="922" w:type="pct"/>
            <w:vAlign w:val="center"/>
          </w:tcPr>
          <w:p w14:paraId="0500791C">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rPr>
            </w:pPr>
            <w:r>
              <w:rPr>
                <w:rFonts w:hint="eastAsia" w:asciiTheme="minorEastAsia" w:hAnsiTheme="minorEastAsia" w:eastAsiaTheme="minorEastAsia"/>
                <w:b/>
                <w:color w:val="auto"/>
                <w:szCs w:val="21"/>
              </w:rPr>
              <w:t>目录</w:t>
            </w:r>
          </w:p>
        </w:tc>
        <w:tc>
          <w:tcPr>
            <w:tcW w:w="2014" w:type="pct"/>
            <w:vAlign w:val="center"/>
          </w:tcPr>
          <w:p w14:paraId="0BD5F892">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rPr>
            </w:pPr>
            <w:r>
              <w:rPr>
                <w:rFonts w:hint="eastAsia" w:asciiTheme="minorEastAsia" w:hAnsiTheme="minorEastAsia" w:eastAsiaTheme="minorEastAsia"/>
                <w:b/>
                <w:color w:val="auto"/>
                <w:szCs w:val="21"/>
              </w:rPr>
              <w:t>招标商务需求</w:t>
            </w:r>
          </w:p>
        </w:tc>
        <w:tc>
          <w:tcPr>
            <w:tcW w:w="935" w:type="dxa"/>
            <w:vAlign w:val="center"/>
          </w:tcPr>
          <w:p w14:paraId="7988CD53">
            <w:pPr>
              <w:keepNext w:val="0"/>
              <w:keepLines w:val="0"/>
              <w:suppressLineNumbers w:val="0"/>
              <w:spacing w:before="0" w:beforeAutospacing="0" w:after="0" w:afterAutospacing="0"/>
              <w:ind w:left="0" w:right="0"/>
              <w:jc w:val="center"/>
              <w:rPr>
                <w:rFonts w:hint="eastAsia" w:asciiTheme="minorEastAsia" w:hAnsiTheme="minorEastAsia" w:eastAsiaTheme="minorEastAsia"/>
                <w:b/>
                <w:color w:val="auto"/>
                <w:szCs w:val="21"/>
              </w:rPr>
            </w:pPr>
            <w:r>
              <w:rPr>
                <w:rFonts w:hint="eastAsia" w:asciiTheme="minorEastAsia" w:hAnsiTheme="minorEastAsia" w:eastAsiaTheme="minorEastAsia"/>
                <w:b/>
                <w:color w:val="auto"/>
                <w:szCs w:val="21"/>
              </w:rPr>
              <w:t>投标商务响应</w:t>
            </w:r>
          </w:p>
        </w:tc>
        <w:tc>
          <w:tcPr>
            <w:tcW w:w="876" w:type="dxa"/>
            <w:vAlign w:val="center"/>
          </w:tcPr>
          <w:p w14:paraId="10F21726">
            <w:pPr>
              <w:keepNext w:val="0"/>
              <w:keepLines w:val="0"/>
              <w:suppressLineNumbers w:val="0"/>
              <w:spacing w:before="0" w:beforeAutospacing="0" w:after="0" w:afterAutospacing="0"/>
              <w:ind w:left="0" w:right="0"/>
              <w:jc w:val="center"/>
              <w:rPr>
                <w:rFonts w:hint="eastAsia" w:asciiTheme="minorEastAsia" w:hAnsiTheme="minorEastAsia" w:eastAsiaTheme="minorEastAsia"/>
                <w:b/>
                <w:color w:val="auto"/>
                <w:szCs w:val="21"/>
              </w:rPr>
            </w:pPr>
            <w:r>
              <w:rPr>
                <w:rFonts w:hint="eastAsia" w:asciiTheme="minorEastAsia" w:hAnsiTheme="minorEastAsia" w:eastAsiaTheme="minorEastAsia"/>
                <w:b/>
                <w:color w:val="auto"/>
                <w:szCs w:val="21"/>
              </w:rPr>
              <w:t>偏离情况</w:t>
            </w:r>
          </w:p>
        </w:tc>
        <w:tc>
          <w:tcPr>
            <w:tcW w:w="899" w:type="dxa"/>
            <w:vAlign w:val="center"/>
          </w:tcPr>
          <w:p w14:paraId="17054190">
            <w:pPr>
              <w:keepNext w:val="0"/>
              <w:keepLines w:val="0"/>
              <w:suppressLineNumbers w:val="0"/>
              <w:spacing w:before="0" w:beforeAutospacing="0" w:after="0" w:afterAutospacing="0"/>
              <w:ind w:left="0" w:right="0"/>
              <w:jc w:val="center"/>
              <w:rPr>
                <w:rFonts w:hint="eastAsia" w:asciiTheme="minorEastAsia" w:hAnsiTheme="minorEastAsia" w:eastAsiaTheme="minorEastAsia"/>
                <w:b/>
                <w:color w:val="auto"/>
                <w:szCs w:val="21"/>
              </w:rPr>
            </w:pPr>
            <w:r>
              <w:rPr>
                <w:rFonts w:hint="eastAsia" w:asciiTheme="minorEastAsia" w:hAnsiTheme="minorEastAsia" w:eastAsiaTheme="minorEastAsia"/>
                <w:b/>
                <w:color w:val="auto"/>
                <w:szCs w:val="21"/>
              </w:rPr>
              <w:t>说明</w:t>
            </w:r>
          </w:p>
        </w:tc>
      </w:tr>
      <w:tr w14:paraId="1F00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3" w:type="pct"/>
            <w:gridSpan w:val="3"/>
            <w:vAlign w:val="center"/>
          </w:tcPr>
          <w:p w14:paraId="69CDCE35">
            <w:pPr>
              <w:keepNext w:val="0"/>
              <w:keepLines w:val="0"/>
              <w:suppressLineNumbers w:val="0"/>
              <w:spacing w:before="0" w:beforeAutospacing="0" w:after="0" w:afterAutospacing="0"/>
              <w:ind w:left="0" w:right="0"/>
              <w:jc w:val="both"/>
              <w:rPr>
                <w:rFonts w:hint="default" w:asciiTheme="minorEastAsia" w:hAnsiTheme="minorEastAsia" w:eastAsiaTheme="minorEastAsia"/>
                <w:b/>
                <w:color w:val="auto"/>
                <w:szCs w:val="21"/>
              </w:rPr>
            </w:pPr>
            <w:r>
              <w:rPr>
                <w:rFonts w:hint="eastAsia" w:asciiTheme="minorEastAsia" w:hAnsiTheme="minorEastAsia" w:eastAsiaTheme="minorEastAsia"/>
                <w:b/>
                <w:color w:val="auto"/>
                <w:szCs w:val="21"/>
              </w:rPr>
              <w:t>（一）免费保修期内售后服务要求</w:t>
            </w:r>
          </w:p>
        </w:tc>
        <w:tc>
          <w:tcPr>
            <w:tcW w:w="554" w:type="pct"/>
            <w:vAlign w:val="center"/>
          </w:tcPr>
          <w:p w14:paraId="66247152">
            <w:pPr>
              <w:keepNext w:val="0"/>
              <w:keepLines w:val="0"/>
              <w:suppressLineNumbers w:val="0"/>
              <w:spacing w:before="0" w:beforeAutospacing="0" w:after="0" w:afterAutospacing="0"/>
              <w:ind w:left="0" w:right="0"/>
              <w:jc w:val="both"/>
              <w:rPr>
                <w:rFonts w:hint="eastAsia" w:asciiTheme="minorEastAsia" w:hAnsiTheme="minorEastAsia" w:eastAsiaTheme="minorEastAsia"/>
                <w:b/>
                <w:color w:val="auto"/>
                <w:szCs w:val="21"/>
              </w:rPr>
            </w:pPr>
          </w:p>
        </w:tc>
        <w:tc>
          <w:tcPr>
            <w:tcW w:w="519" w:type="pct"/>
            <w:vAlign w:val="center"/>
          </w:tcPr>
          <w:p w14:paraId="58D3ABEE">
            <w:pPr>
              <w:keepNext w:val="0"/>
              <w:keepLines w:val="0"/>
              <w:suppressLineNumbers w:val="0"/>
              <w:spacing w:before="0" w:beforeAutospacing="0" w:after="0" w:afterAutospacing="0"/>
              <w:ind w:left="0" w:right="0"/>
              <w:jc w:val="both"/>
              <w:rPr>
                <w:rFonts w:hint="eastAsia" w:asciiTheme="minorEastAsia" w:hAnsiTheme="minorEastAsia" w:eastAsiaTheme="minorEastAsia"/>
                <w:b/>
                <w:color w:val="auto"/>
                <w:szCs w:val="21"/>
              </w:rPr>
            </w:pPr>
          </w:p>
        </w:tc>
        <w:tc>
          <w:tcPr>
            <w:tcW w:w="532" w:type="pct"/>
            <w:vAlign w:val="center"/>
          </w:tcPr>
          <w:p w14:paraId="2F8EA1BE">
            <w:pPr>
              <w:keepNext w:val="0"/>
              <w:keepLines w:val="0"/>
              <w:suppressLineNumbers w:val="0"/>
              <w:spacing w:before="0" w:beforeAutospacing="0" w:after="0" w:afterAutospacing="0"/>
              <w:ind w:left="0" w:right="0"/>
              <w:jc w:val="both"/>
              <w:rPr>
                <w:rFonts w:hint="eastAsia" w:asciiTheme="minorEastAsia" w:hAnsiTheme="minorEastAsia" w:eastAsiaTheme="minorEastAsia"/>
                <w:b/>
                <w:color w:val="auto"/>
                <w:szCs w:val="21"/>
              </w:rPr>
            </w:pPr>
          </w:p>
        </w:tc>
      </w:tr>
      <w:tr w14:paraId="1D0E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Align w:val="center"/>
          </w:tcPr>
          <w:p w14:paraId="103A2C25">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c>
          <w:tcPr>
            <w:tcW w:w="922" w:type="pct"/>
            <w:vAlign w:val="center"/>
          </w:tcPr>
          <w:p w14:paraId="2DA82618">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维修响应及故障解决时间</w:t>
            </w:r>
          </w:p>
        </w:tc>
        <w:tc>
          <w:tcPr>
            <w:tcW w:w="2014" w:type="pct"/>
            <w:vAlign w:val="center"/>
          </w:tcPr>
          <w:p w14:paraId="6BF6BFE1">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由设备制造商</w:t>
            </w:r>
            <w:r>
              <w:rPr>
                <w:rFonts w:hint="eastAsia" w:asciiTheme="minorEastAsia" w:hAnsiTheme="minorEastAsia" w:eastAsiaTheme="minorEastAsia"/>
                <w:bCs/>
                <w:color w:val="auto"/>
                <w:szCs w:val="21"/>
                <w:lang w:eastAsia="zh-CN"/>
              </w:rPr>
              <w:t>或制造商授权认可的代理商</w:t>
            </w:r>
            <w:r>
              <w:rPr>
                <w:rFonts w:hint="eastAsia" w:asciiTheme="minorEastAsia" w:hAnsiTheme="minorEastAsia" w:eastAsiaTheme="minorEastAsia"/>
                <w:bCs/>
                <w:color w:val="auto"/>
                <w:szCs w:val="21"/>
              </w:rPr>
              <w:t>提供售后服务</w:t>
            </w:r>
            <w:r>
              <w:rPr>
                <w:rFonts w:hint="eastAsia" w:asciiTheme="minorEastAsia" w:hAnsiTheme="minorEastAsia" w:eastAsiaTheme="minorEastAsia"/>
                <w:bCs/>
                <w:color w:val="auto"/>
                <w:szCs w:val="21"/>
                <w:lang w:eastAsia="zh-CN"/>
              </w:rPr>
              <w:t>，</w:t>
            </w:r>
            <w:r>
              <w:rPr>
                <w:rFonts w:hint="eastAsia" w:asciiTheme="minorEastAsia" w:hAnsiTheme="minorEastAsia" w:eastAsiaTheme="minorEastAsia"/>
                <w:bCs/>
                <w:color w:val="auto"/>
                <w:szCs w:val="21"/>
              </w:rPr>
              <w:t>在保修期内，一旦发生质量问题，投标人保证在接到通知</w:t>
            </w:r>
            <w:r>
              <w:rPr>
                <w:rFonts w:hint="eastAsia" w:asciiTheme="minorEastAsia" w:hAnsiTheme="minorEastAsia" w:eastAsiaTheme="minorEastAsia"/>
                <w:bCs/>
                <w:color w:val="auto"/>
                <w:szCs w:val="21"/>
                <w:lang w:val="en-US" w:eastAsia="zh-CN"/>
              </w:rPr>
              <w:t>2</w:t>
            </w:r>
            <w:r>
              <w:rPr>
                <w:rFonts w:hint="eastAsia" w:asciiTheme="minorEastAsia" w:hAnsiTheme="minorEastAsia" w:eastAsiaTheme="minorEastAsia"/>
                <w:bCs/>
                <w:color w:val="auto"/>
                <w:szCs w:val="21"/>
              </w:rPr>
              <w:t xml:space="preserve"> 小时内响应， 24 小时维修到位（不可抗力情况除外）。消耗品和零配件供应及时。</w:t>
            </w:r>
          </w:p>
        </w:tc>
        <w:tc>
          <w:tcPr>
            <w:tcW w:w="554" w:type="pct"/>
            <w:vAlign w:val="center"/>
          </w:tcPr>
          <w:p w14:paraId="6375B186">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p>
        </w:tc>
        <w:tc>
          <w:tcPr>
            <w:tcW w:w="519" w:type="pct"/>
            <w:vAlign w:val="center"/>
          </w:tcPr>
          <w:p w14:paraId="064E9C65">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p>
        </w:tc>
        <w:tc>
          <w:tcPr>
            <w:tcW w:w="532" w:type="pct"/>
            <w:vAlign w:val="center"/>
          </w:tcPr>
          <w:p w14:paraId="59E422E8">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p>
        </w:tc>
      </w:tr>
      <w:tr w14:paraId="57D5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Align w:val="center"/>
          </w:tcPr>
          <w:p w14:paraId="4F3FB9EB">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w:t>
            </w:r>
          </w:p>
        </w:tc>
        <w:tc>
          <w:tcPr>
            <w:tcW w:w="922" w:type="pct"/>
            <w:vAlign w:val="center"/>
          </w:tcPr>
          <w:p w14:paraId="0CE9BDF9">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关于保修期</w:t>
            </w:r>
          </w:p>
        </w:tc>
        <w:tc>
          <w:tcPr>
            <w:tcW w:w="2014" w:type="pct"/>
            <w:vAlign w:val="center"/>
          </w:tcPr>
          <w:p w14:paraId="7B6BE650">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 xml:space="preserve">★货物免费保修期  </w:t>
            </w:r>
            <w:r>
              <w:rPr>
                <w:rFonts w:hint="eastAsia" w:asciiTheme="minorEastAsia" w:hAnsiTheme="minorEastAsia" w:eastAsiaTheme="minorEastAsia"/>
                <w:bCs/>
                <w:color w:val="auto"/>
                <w:szCs w:val="21"/>
                <w:lang w:val="en-US" w:eastAsia="zh-CN"/>
              </w:rPr>
              <w:t>3</w:t>
            </w:r>
            <w:r>
              <w:rPr>
                <w:rFonts w:hint="eastAsia" w:asciiTheme="minorEastAsia" w:hAnsiTheme="minorEastAsia" w:eastAsiaTheme="minorEastAsia"/>
                <w:bCs/>
                <w:color w:val="auto"/>
                <w:szCs w:val="21"/>
              </w:rPr>
              <w:t xml:space="preserve">  年，时间自最终验收合格并交付使用之日起计算。</w:t>
            </w:r>
          </w:p>
        </w:tc>
        <w:tc>
          <w:tcPr>
            <w:tcW w:w="554" w:type="pct"/>
            <w:vAlign w:val="center"/>
          </w:tcPr>
          <w:p w14:paraId="17F75253">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p>
        </w:tc>
        <w:tc>
          <w:tcPr>
            <w:tcW w:w="519" w:type="pct"/>
            <w:vAlign w:val="center"/>
          </w:tcPr>
          <w:p w14:paraId="63CB0697">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p>
        </w:tc>
        <w:tc>
          <w:tcPr>
            <w:tcW w:w="532" w:type="pct"/>
            <w:vAlign w:val="center"/>
          </w:tcPr>
          <w:p w14:paraId="2C2D5A75">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p>
        </w:tc>
      </w:tr>
      <w:tr w14:paraId="49A7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Align w:val="center"/>
          </w:tcPr>
          <w:p w14:paraId="2ADFCA4B">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w:t>
            </w:r>
          </w:p>
        </w:tc>
        <w:tc>
          <w:tcPr>
            <w:tcW w:w="922" w:type="pct"/>
            <w:vAlign w:val="center"/>
          </w:tcPr>
          <w:p w14:paraId="21C1538A">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关于保修期</w:t>
            </w:r>
            <w:r>
              <w:rPr>
                <w:rFonts w:hint="eastAsia" w:asciiTheme="minorEastAsia" w:hAnsiTheme="minorEastAsia" w:eastAsiaTheme="minorEastAsia" w:cstheme="minorEastAsia"/>
                <w:b w:val="0"/>
                <w:bCs w:val="0"/>
                <w:color w:val="auto"/>
                <w:sz w:val="21"/>
                <w:szCs w:val="21"/>
                <w:lang w:eastAsia="zh-CN"/>
              </w:rPr>
              <w:t>内服务</w:t>
            </w:r>
          </w:p>
        </w:tc>
        <w:tc>
          <w:tcPr>
            <w:tcW w:w="2014" w:type="pct"/>
            <w:vAlign w:val="center"/>
          </w:tcPr>
          <w:p w14:paraId="2A2D289C">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 xml:space="preserve">保修期内,年度定期预防性维护保养次数应不少于 </w:t>
            </w:r>
            <w:r>
              <w:rPr>
                <w:rFonts w:hint="eastAsia" w:asciiTheme="minorEastAsia" w:hAnsiTheme="minorEastAsia" w:eastAsiaTheme="minorEastAsia"/>
                <w:bCs/>
                <w:color w:val="auto"/>
                <w:szCs w:val="21"/>
                <w:lang w:val="en-US" w:eastAsia="zh-CN"/>
              </w:rPr>
              <w:t>4</w:t>
            </w:r>
            <w:r>
              <w:rPr>
                <w:rFonts w:hint="eastAsia" w:asciiTheme="minorEastAsia" w:hAnsiTheme="minorEastAsia" w:eastAsiaTheme="minorEastAsia"/>
                <w:bCs/>
                <w:color w:val="auto"/>
                <w:szCs w:val="21"/>
              </w:rPr>
              <w:t xml:space="preserve"> 次。保修期内免费更换零配件、免工时费。</w:t>
            </w:r>
          </w:p>
        </w:tc>
        <w:tc>
          <w:tcPr>
            <w:tcW w:w="554" w:type="pct"/>
            <w:vAlign w:val="center"/>
          </w:tcPr>
          <w:p w14:paraId="1F5F7ACE">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p>
        </w:tc>
        <w:tc>
          <w:tcPr>
            <w:tcW w:w="519" w:type="pct"/>
            <w:vAlign w:val="center"/>
          </w:tcPr>
          <w:p w14:paraId="2AB50B13">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p>
        </w:tc>
        <w:tc>
          <w:tcPr>
            <w:tcW w:w="532" w:type="pct"/>
            <w:vAlign w:val="center"/>
          </w:tcPr>
          <w:p w14:paraId="66D9F1DA">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p>
        </w:tc>
      </w:tr>
      <w:tr w14:paraId="69F6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Align w:val="center"/>
          </w:tcPr>
          <w:p w14:paraId="5C63C5A5">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w:t>
            </w:r>
          </w:p>
        </w:tc>
        <w:tc>
          <w:tcPr>
            <w:tcW w:w="922" w:type="pct"/>
            <w:vAlign w:val="center"/>
          </w:tcPr>
          <w:p w14:paraId="22C6847E">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关于维修配件及软件升级</w:t>
            </w:r>
          </w:p>
        </w:tc>
        <w:tc>
          <w:tcPr>
            <w:tcW w:w="2014" w:type="pct"/>
            <w:vAlign w:val="center"/>
          </w:tcPr>
          <w:p w14:paraId="5078C9F9">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 xml:space="preserve">投标人负责货物的终身维修，保证 </w:t>
            </w:r>
            <w:r>
              <w:rPr>
                <w:rFonts w:hint="eastAsia" w:asciiTheme="minorEastAsia" w:hAnsiTheme="minorEastAsia" w:eastAsiaTheme="minorEastAsia"/>
                <w:bCs/>
                <w:color w:val="auto"/>
                <w:szCs w:val="21"/>
                <w:lang w:val="en-US" w:eastAsia="zh-CN"/>
              </w:rPr>
              <w:t>8</w:t>
            </w:r>
            <w:r>
              <w:rPr>
                <w:rFonts w:hint="eastAsia" w:asciiTheme="minorEastAsia" w:hAnsiTheme="minorEastAsia" w:eastAsiaTheme="minorEastAsia"/>
                <w:bCs/>
                <w:color w:val="auto"/>
                <w:szCs w:val="21"/>
              </w:rPr>
              <w:t xml:space="preserve"> 年以上供应维修配件， 5 年内免费提供软件升级服务。</w:t>
            </w:r>
          </w:p>
        </w:tc>
        <w:tc>
          <w:tcPr>
            <w:tcW w:w="554" w:type="pct"/>
            <w:vAlign w:val="center"/>
          </w:tcPr>
          <w:p w14:paraId="1270D45B">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p>
        </w:tc>
        <w:tc>
          <w:tcPr>
            <w:tcW w:w="519" w:type="pct"/>
            <w:vAlign w:val="center"/>
          </w:tcPr>
          <w:p w14:paraId="15B08FC5">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p>
        </w:tc>
        <w:tc>
          <w:tcPr>
            <w:tcW w:w="532" w:type="pct"/>
            <w:vAlign w:val="center"/>
          </w:tcPr>
          <w:p w14:paraId="66320690">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p>
        </w:tc>
      </w:tr>
      <w:tr w14:paraId="66C4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Align w:val="center"/>
          </w:tcPr>
          <w:p w14:paraId="3D9C08BB">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w:t>
            </w:r>
          </w:p>
        </w:tc>
        <w:tc>
          <w:tcPr>
            <w:tcW w:w="922" w:type="pct"/>
            <w:vAlign w:val="center"/>
          </w:tcPr>
          <w:p w14:paraId="57AF76A2">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关于设备生产日期</w:t>
            </w:r>
          </w:p>
        </w:tc>
        <w:tc>
          <w:tcPr>
            <w:tcW w:w="2014" w:type="pct"/>
            <w:vAlign w:val="center"/>
          </w:tcPr>
          <w:p w14:paraId="105D0878">
            <w:pPr>
              <w:keepNext w:val="0"/>
              <w:keepLines w:val="0"/>
              <w:suppressLineNumbers w:val="0"/>
              <w:spacing w:before="0" w:beforeAutospacing="0" w:after="0" w:afterAutospacing="0"/>
              <w:ind w:left="0" w:right="0"/>
              <w:jc w:val="both"/>
              <w:rPr>
                <w:rFonts w:hint="eastAsia" w:ascii="宋体" w:hAnsi="宋体" w:cs="宋体"/>
                <w:b/>
                <w:bCs w:val="0"/>
                <w:color w:val="FF0000"/>
                <w:szCs w:val="21"/>
              </w:rPr>
            </w:pPr>
            <w:r>
              <w:rPr>
                <w:rFonts w:hint="eastAsia" w:cs="宋体" w:asciiTheme="minorEastAsia" w:hAnsiTheme="minorEastAsia" w:eastAsiaTheme="minorEastAsia"/>
                <w:b/>
                <w:bCs w:val="0"/>
                <w:color w:val="FF0000"/>
                <w:szCs w:val="21"/>
              </w:rPr>
              <w:t>★</w:t>
            </w:r>
            <w:r>
              <w:rPr>
                <w:rFonts w:hint="eastAsia" w:ascii="宋体" w:hAnsi="宋体" w:cs="宋体"/>
                <w:b/>
                <w:bCs w:val="0"/>
                <w:color w:val="FF0000"/>
                <w:szCs w:val="21"/>
              </w:rPr>
              <w:t>投标人提供的仪器设备的生产日期必须在一年内生产【生产日期需提供承诺书（格式自拟）】</w:t>
            </w:r>
          </w:p>
        </w:tc>
        <w:tc>
          <w:tcPr>
            <w:tcW w:w="554" w:type="pct"/>
            <w:vAlign w:val="center"/>
          </w:tcPr>
          <w:p w14:paraId="745F214E">
            <w:pPr>
              <w:keepNext w:val="0"/>
              <w:keepLines w:val="0"/>
              <w:suppressLineNumbers w:val="0"/>
              <w:spacing w:before="0" w:beforeAutospacing="0" w:after="0" w:afterAutospacing="0"/>
              <w:ind w:left="0" w:right="0"/>
              <w:jc w:val="both"/>
              <w:rPr>
                <w:rFonts w:hint="eastAsia" w:cs="宋体" w:asciiTheme="minorEastAsia" w:hAnsiTheme="minorEastAsia" w:eastAsiaTheme="minorEastAsia"/>
                <w:b/>
                <w:bCs w:val="0"/>
                <w:color w:val="FF0000"/>
                <w:szCs w:val="21"/>
              </w:rPr>
            </w:pPr>
          </w:p>
        </w:tc>
        <w:tc>
          <w:tcPr>
            <w:tcW w:w="519" w:type="pct"/>
            <w:vAlign w:val="center"/>
          </w:tcPr>
          <w:p w14:paraId="6C39D88C">
            <w:pPr>
              <w:keepNext w:val="0"/>
              <w:keepLines w:val="0"/>
              <w:suppressLineNumbers w:val="0"/>
              <w:spacing w:before="0" w:beforeAutospacing="0" w:after="0" w:afterAutospacing="0"/>
              <w:ind w:left="0" w:right="0"/>
              <w:jc w:val="both"/>
              <w:rPr>
                <w:rFonts w:hint="eastAsia" w:cs="宋体" w:asciiTheme="minorEastAsia" w:hAnsiTheme="minorEastAsia" w:eastAsiaTheme="minorEastAsia"/>
                <w:b/>
                <w:bCs w:val="0"/>
                <w:color w:val="FF0000"/>
                <w:szCs w:val="21"/>
              </w:rPr>
            </w:pPr>
          </w:p>
        </w:tc>
        <w:tc>
          <w:tcPr>
            <w:tcW w:w="532" w:type="pct"/>
            <w:vAlign w:val="center"/>
          </w:tcPr>
          <w:p w14:paraId="0E8EF6FC">
            <w:pPr>
              <w:keepNext w:val="0"/>
              <w:keepLines w:val="0"/>
              <w:suppressLineNumbers w:val="0"/>
              <w:spacing w:before="0" w:beforeAutospacing="0" w:after="0" w:afterAutospacing="0"/>
              <w:ind w:left="0" w:right="0"/>
              <w:jc w:val="both"/>
              <w:rPr>
                <w:rFonts w:hint="eastAsia" w:cs="宋体" w:asciiTheme="minorEastAsia" w:hAnsiTheme="minorEastAsia" w:eastAsiaTheme="minorEastAsia"/>
                <w:b/>
                <w:bCs w:val="0"/>
                <w:color w:val="FF0000"/>
                <w:szCs w:val="21"/>
              </w:rPr>
            </w:pPr>
          </w:p>
        </w:tc>
      </w:tr>
      <w:tr w14:paraId="11E4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Align w:val="center"/>
          </w:tcPr>
          <w:p w14:paraId="4891C652">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w:t>
            </w:r>
          </w:p>
        </w:tc>
        <w:tc>
          <w:tcPr>
            <w:tcW w:w="922" w:type="pct"/>
            <w:vAlign w:val="center"/>
          </w:tcPr>
          <w:p w14:paraId="1F009D3C">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关于配套试剂及耗材</w:t>
            </w:r>
          </w:p>
        </w:tc>
        <w:tc>
          <w:tcPr>
            <w:tcW w:w="2014" w:type="pct"/>
            <w:vAlign w:val="center"/>
          </w:tcPr>
          <w:p w14:paraId="2471C0A7">
            <w:pPr>
              <w:keepNext w:val="0"/>
              <w:keepLines w:val="0"/>
              <w:suppressLineNumbers w:val="0"/>
              <w:spacing w:before="0" w:beforeAutospacing="0" w:after="0" w:afterAutospacing="0"/>
              <w:ind w:left="0" w:right="0"/>
              <w:jc w:val="both"/>
              <w:rPr>
                <w:rFonts w:hint="eastAsia" w:ascii="宋体" w:hAnsi="宋体" w:cs="宋体"/>
                <w:b/>
                <w:bCs w:val="0"/>
                <w:color w:val="FF0000"/>
                <w:szCs w:val="21"/>
              </w:rPr>
            </w:pPr>
            <w:r>
              <w:rPr>
                <w:rFonts w:hint="eastAsia" w:cs="宋体" w:asciiTheme="minorEastAsia" w:hAnsiTheme="minorEastAsia" w:eastAsiaTheme="minorEastAsia"/>
                <w:b/>
                <w:bCs w:val="0"/>
                <w:color w:val="FF0000"/>
                <w:szCs w:val="21"/>
                <w:highlight w:val="none"/>
              </w:rPr>
              <w:t>★</w:t>
            </w:r>
            <w:r>
              <w:rPr>
                <w:rFonts w:hint="eastAsia" w:ascii="宋体" w:hAnsi="宋体" w:cs="宋体"/>
                <w:b/>
                <w:bCs w:val="0"/>
                <w:color w:val="FF0000"/>
                <w:highlight w:val="none"/>
              </w:rPr>
              <w:t>承诺</w:t>
            </w:r>
            <w:r>
              <w:rPr>
                <w:rFonts w:hint="eastAsia" w:ascii="宋体" w:hAnsi="宋体" w:cs="宋体"/>
                <w:b/>
                <w:bCs w:val="0"/>
                <w:color w:val="FF0000"/>
                <w:highlight w:val="none"/>
                <w:lang w:eastAsia="zh-CN"/>
              </w:rPr>
              <w:t>可</w:t>
            </w:r>
            <w:r>
              <w:rPr>
                <w:rFonts w:hint="eastAsia" w:ascii="宋体" w:hAnsi="宋体" w:cs="宋体"/>
                <w:b/>
                <w:bCs w:val="0"/>
                <w:color w:val="FF0000"/>
                <w:highlight w:val="none"/>
              </w:rPr>
              <w:t>在</w:t>
            </w:r>
            <w:r>
              <w:rPr>
                <w:rFonts w:hint="default" w:ascii="宋体" w:hAnsi="宋体" w:eastAsia="宋体" w:cs="宋体"/>
                <w:b/>
                <w:bCs w:val="0"/>
                <w:color w:val="FF0000"/>
                <w:sz w:val="21"/>
                <w:szCs w:val="21"/>
                <w:highlight w:val="none"/>
              </w:rPr>
              <w:t>深圳医用耗材阳光交易和监管平台</w:t>
            </w:r>
            <w:r>
              <w:rPr>
                <w:rFonts w:hint="eastAsia" w:ascii="宋体" w:hAnsi="宋体" w:cs="宋体"/>
                <w:b/>
                <w:bCs w:val="0"/>
                <w:color w:val="FF0000"/>
                <w:sz w:val="21"/>
                <w:szCs w:val="21"/>
                <w:highlight w:val="none"/>
              </w:rPr>
              <w:t>上</w:t>
            </w:r>
            <w:r>
              <w:rPr>
                <w:rFonts w:hint="eastAsia" w:ascii="宋体" w:hAnsi="宋体" w:cs="宋体"/>
                <w:b/>
                <w:bCs w:val="0"/>
                <w:color w:val="FF0000"/>
                <w:highlight w:val="none"/>
              </w:rPr>
              <w:t>采购仪器配套封闭试剂及耗材，并承诺提供</w:t>
            </w:r>
            <w:r>
              <w:rPr>
                <w:rFonts w:hint="eastAsia" w:ascii="宋体" w:hAnsi="宋体" w:cs="宋体"/>
                <w:b/>
                <w:bCs w:val="0"/>
                <w:color w:val="FF0000"/>
                <w:highlight w:val="yellow"/>
              </w:rPr>
              <w:t>平台最低供货价</w:t>
            </w:r>
            <w:r>
              <w:rPr>
                <w:rFonts w:hint="eastAsia" w:ascii="宋体" w:hAnsi="宋体" w:cs="宋体"/>
                <w:b/>
                <w:bCs w:val="0"/>
                <w:color w:val="FF0000"/>
                <w:highlight w:val="none"/>
              </w:rPr>
              <w:t>（提供承诺函，承诺函格式自定）。</w:t>
            </w:r>
          </w:p>
        </w:tc>
        <w:tc>
          <w:tcPr>
            <w:tcW w:w="554" w:type="pct"/>
            <w:vAlign w:val="center"/>
          </w:tcPr>
          <w:p w14:paraId="70DAC573">
            <w:pPr>
              <w:keepNext w:val="0"/>
              <w:keepLines w:val="0"/>
              <w:suppressLineNumbers w:val="0"/>
              <w:spacing w:before="0" w:beforeAutospacing="0" w:after="0" w:afterAutospacing="0"/>
              <w:ind w:left="0" w:right="0"/>
              <w:jc w:val="both"/>
              <w:rPr>
                <w:rFonts w:hint="eastAsia" w:cs="宋体" w:asciiTheme="minorEastAsia" w:hAnsiTheme="minorEastAsia" w:eastAsiaTheme="minorEastAsia"/>
                <w:b/>
                <w:bCs w:val="0"/>
                <w:color w:val="FF0000"/>
                <w:szCs w:val="21"/>
                <w:highlight w:val="none"/>
              </w:rPr>
            </w:pPr>
          </w:p>
        </w:tc>
        <w:tc>
          <w:tcPr>
            <w:tcW w:w="519" w:type="pct"/>
            <w:vAlign w:val="center"/>
          </w:tcPr>
          <w:p w14:paraId="2D93C8DE">
            <w:pPr>
              <w:keepNext w:val="0"/>
              <w:keepLines w:val="0"/>
              <w:suppressLineNumbers w:val="0"/>
              <w:spacing w:before="0" w:beforeAutospacing="0" w:after="0" w:afterAutospacing="0"/>
              <w:ind w:left="0" w:right="0"/>
              <w:jc w:val="both"/>
              <w:rPr>
                <w:rFonts w:hint="eastAsia" w:cs="宋体" w:asciiTheme="minorEastAsia" w:hAnsiTheme="minorEastAsia" w:eastAsiaTheme="minorEastAsia"/>
                <w:b/>
                <w:bCs w:val="0"/>
                <w:color w:val="FF0000"/>
                <w:szCs w:val="21"/>
                <w:highlight w:val="none"/>
              </w:rPr>
            </w:pPr>
          </w:p>
        </w:tc>
        <w:tc>
          <w:tcPr>
            <w:tcW w:w="532" w:type="pct"/>
            <w:vAlign w:val="center"/>
          </w:tcPr>
          <w:p w14:paraId="25558A40">
            <w:pPr>
              <w:keepNext w:val="0"/>
              <w:keepLines w:val="0"/>
              <w:suppressLineNumbers w:val="0"/>
              <w:spacing w:before="0" w:beforeAutospacing="0" w:after="0" w:afterAutospacing="0"/>
              <w:ind w:left="0" w:right="0"/>
              <w:jc w:val="both"/>
              <w:rPr>
                <w:rFonts w:hint="eastAsia" w:cs="宋体" w:asciiTheme="minorEastAsia" w:hAnsiTheme="minorEastAsia" w:eastAsiaTheme="minorEastAsia"/>
                <w:b/>
                <w:bCs w:val="0"/>
                <w:color w:val="FF0000"/>
                <w:szCs w:val="21"/>
                <w:highlight w:val="none"/>
              </w:rPr>
            </w:pPr>
          </w:p>
        </w:tc>
      </w:tr>
      <w:tr w14:paraId="172C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Align w:val="center"/>
          </w:tcPr>
          <w:p w14:paraId="26EEEB92">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w:t>
            </w:r>
          </w:p>
        </w:tc>
        <w:tc>
          <w:tcPr>
            <w:tcW w:w="922" w:type="pct"/>
            <w:vAlign w:val="center"/>
          </w:tcPr>
          <w:p w14:paraId="7F2E17DF">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关于</w:t>
            </w:r>
            <w:r>
              <w:rPr>
                <w:rFonts w:hint="eastAsia" w:asciiTheme="minorEastAsia" w:hAnsiTheme="minorEastAsia" w:eastAsiaTheme="minorEastAsia" w:cstheme="minorEastAsia"/>
                <w:b w:val="0"/>
                <w:bCs w:val="0"/>
                <w:color w:val="auto"/>
                <w:sz w:val="21"/>
                <w:szCs w:val="21"/>
              </w:rPr>
              <w:t>零配件、消耗品和延续保修</w:t>
            </w:r>
          </w:p>
        </w:tc>
        <w:tc>
          <w:tcPr>
            <w:tcW w:w="2014" w:type="pct"/>
            <w:vAlign w:val="center"/>
          </w:tcPr>
          <w:p w14:paraId="7428D69D">
            <w:pPr>
              <w:keepNext w:val="0"/>
              <w:keepLines w:val="0"/>
              <w:suppressLineNumbers w:val="0"/>
              <w:spacing w:before="0" w:beforeAutospacing="0" w:after="0" w:afterAutospacing="0"/>
              <w:ind w:left="0" w:right="0"/>
              <w:jc w:val="both"/>
              <w:rPr>
                <w:rFonts w:hint="eastAsia" w:ascii="宋体" w:hAnsi="宋体" w:cs="宋体"/>
                <w:b/>
                <w:bCs/>
                <w:color w:val="auto"/>
                <w:highlight w:val="none"/>
              </w:rPr>
            </w:pPr>
            <w:r>
              <w:rPr>
                <w:rFonts w:hint="eastAsia" w:ascii="宋体" w:hAnsi="宋体" w:cs="宋体"/>
                <w:b/>
                <w:bCs w:val="0"/>
                <w:color w:val="FF0000"/>
                <w:szCs w:val="21"/>
                <w:highlight w:val="none"/>
              </w:rPr>
              <w:t>投标人应</w:t>
            </w:r>
            <w:r>
              <w:rPr>
                <w:rFonts w:hint="eastAsia" w:ascii="宋体" w:hAnsi="宋体" w:cs="宋体"/>
                <w:b/>
                <w:bCs w:val="0"/>
                <w:color w:val="FF0000"/>
                <w:szCs w:val="21"/>
                <w:highlight w:val="none"/>
                <w:lang w:eastAsia="zh-CN"/>
              </w:rPr>
              <w:t>提供</w:t>
            </w:r>
            <w:r>
              <w:rPr>
                <w:rFonts w:hint="eastAsia" w:ascii="宋体" w:hAnsi="宋体" w:cs="宋体"/>
                <w:b/>
                <w:bCs w:val="0"/>
                <w:color w:val="FF0000"/>
                <w:szCs w:val="21"/>
                <w:highlight w:val="none"/>
              </w:rPr>
              <w:t>维修零配件、消耗品和延续保修</w:t>
            </w:r>
            <w:r>
              <w:rPr>
                <w:rFonts w:hint="eastAsia" w:ascii="宋体" w:hAnsi="宋体" w:cs="宋体"/>
                <w:b/>
                <w:bCs w:val="0"/>
                <w:color w:val="FF0000"/>
                <w:szCs w:val="21"/>
                <w:highlight w:val="none"/>
                <w:lang w:eastAsia="zh-CN"/>
              </w:rPr>
              <w:t>的报价单</w:t>
            </w:r>
            <w:r>
              <w:rPr>
                <w:rFonts w:hint="eastAsia" w:ascii="宋体" w:hAnsi="宋体" w:cs="宋体"/>
                <w:b/>
                <w:bCs w:val="0"/>
                <w:color w:val="FF0000"/>
                <w:szCs w:val="21"/>
                <w:highlight w:val="none"/>
              </w:rPr>
              <w:t>。价格最高的前</w:t>
            </w:r>
            <w:r>
              <w:rPr>
                <w:rFonts w:hint="eastAsia" w:ascii="宋体" w:hAnsi="宋体" w:cs="宋体"/>
                <w:b/>
                <w:bCs w:val="0"/>
                <w:color w:val="FF0000"/>
                <w:szCs w:val="21"/>
                <w:highlight w:val="none"/>
                <w:u w:val="single"/>
              </w:rPr>
              <w:t xml:space="preserve"> 5</w:t>
            </w:r>
            <w:r>
              <w:rPr>
                <w:rFonts w:hint="eastAsia" w:ascii="宋体" w:hAnsi="宋体" w:cs="宋体"/>
                <w:b/>
                <w:bCs w:val="0"/>
                <w:color w:val="FF0000"/>
                <w:szCs w:val="21"/>
                <w:highlight w:val="none"/>
              </w:rPr>
              <w:t>项零配件、消耗品和延续保修的报价明细必须填写于《零配件、消耗品和延续保修报价明细清单》中</w:t>
            </w:r>
            <w:r>
              <w:rPr>
                <w:rFonts w:hint="eastAsia" w:ascii="宋体" w:hAnsi="宋体" w:cs="宋体"/>
                <w:b/>
                <w:bCs w:val="0"/>
                <w:color w:val="FF0000"/>
                <w:szCs w:val="21"/>
                <w:highlight w:val="none"/>
                <w:lang w:eastAsia="zh-CN"/>
              </w:rPr>
              <w:t>（清单格式自拟）</w:t>
            </w:r>
            <w:r>
              <w:rPr>
                <w:rFonts w:hint="eastAsia" w:ascii="宋体" w:hAnsi="宋体" w:cs="宋体"/>
                <w:b/>
                <w:bCs w:val="0"/>
                <w:color w:val="FF0000"/>
                <w:szCs w:val="21"/>
                <w:highlight w:val="none"/>
              </w:rPr>
              <w:t>。</w:t>
            </w:r>
          </w:p>
        </w:tc>
        <w:tc>
          <w:tcPr>
            <w:tcW w:w="554" w:type="pct"/>
            <w:vAlign w:val="center"/>
          </w:tcPr>
          <w:p w14:paraId="43F8CD9C">
            <w:pPr>
              <w:keepNext w:val="0"/>
              <w:keepLines w:val="0"/>
              <w:suppressLineNumbers w:val="0"/>
              <w:spacing w:before="0" w:beforeAutospacing="0" w:after="0" w:afterAutospacing="0"/>
              <w:ind w:left="0" w:right="0"/>
              <w:jc w:val="both"/>
              <w:rPr>
                <w:rFonts w:hint="eastAsia" w:ascii="宋体" w:hAnsi="宋体" w:cs="宋体"/>
                <w:b/>
                <w:bCs w:val="0"/>
                <w:color w:val="FF0000"/>
                <w:szCs w:val="21"/>
                <w:highlight w:val="none"/>
              </w:rPr>
            </w:pPr>
          </w:p>
        </w:tc>
        <w:tc>
          <w:tcPr>
            <w:tcW w:w="519" w:type="pct"/>
            <w:vAlign w:val="center"/>
          </w:tcPr>
          <w:p w14:paraId="33DB16C2">
            <w:pPr>
              <w:keepNext w:val="0"/>
              <w:keepLines w:val="0"/>
              <w:suppressLineNumbers w:val="0"/>
              <w:spacing w:before="0" w:beforeAutospacing="0" w:after="0" w:afterAutospacing="0"/>
              <w:ind w:left="0" w:right="0"/>
              <w:jc w:val="both"/>
              <w:rPr>
                <w:rFonts w:hint="eastAsia" w:ascii="宋体" w:hAnsi="宋体" w:cs="宋体"/>
                <w:b/>
                <w:bCs w:val="0"/>
                <w:color w:val="FF0000"/>
                <w:szCs w:val="21"/>
                <w:highlight w:val="none"/>
              </w:rPr>
            </w:pPr>
          </w:p>
        </w:tc>
        <w:tc>
          <w:tcPr>
            <w:tcW w:w="532" w:type="pct"/>
            <w:vAlign w:val="center"/>
          </w:tcPr>
          <w:p w14:paraId="74CC5D89">
            <w:pPr>
              <w:keepNext w:val="0"/>
              <w:keepLines w:val="0"/>
              <w:suppressLineNumbers w:val="0"/>
              <w:spacing w:before="0" w:beforeAutospacing="0" w:after="0" w:afterAutospacing="0"/>
              <w:ind w:left="0" w:right="0"/>
              <w:jc w:val="both"/>
              <w:rPr>
                <w:rFonts w:hint="eastAsia" w:ascii="宋体" w:hAnsi="宋体" w:cs="宋体"/>
                <w:b/>
                <w:bCs w:val="0"/>
                <w:color w:val="FF0000"/>
                <w:szCs w:val="21"/>
                <w:highlight w:val="none"/>
              </w:rPr>
            </w:pPr>
          </w:p>
        </w:tc>
      </w:tr>
      <w:tr w14:paraId="283D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Align w:val="center"/>
          </w:tcPr>
          <w:p w14:paraId="5A89D8EC">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w:t>
            </w:r>
          </w:p>
        </w:tc>
        <w:tc>
          <w:tcPr>
            <w:tcW w:w="922" w:type="pct"/>
            <w:vAlign w:val="center"/>
          </w:tcPr>
          <w:p w14:paraId="410366E7">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关于设备开机率</w:t>
            </w:r>
          </w:p>
        </w:tc>
        <w:tc>
          <w:tcPr>
            <w:tcW w:w="2014" w:type="pct"/>
          </w:tcPr>
          <w:p w14:paraId="4EB5FADB">
            <w:pPr>
              <w:keepNext w:val="0"/>
              <w:keepLines w:val="0"/>
              <w:suppressLineNumbers w:val="0"/>
              <w:spacing w:before="0" w:beforeAutospacing="0" w:after="0" w:afterAutospacing="0"/>
              <w:ind w:left="0" w:right="0"/>
              <w:jc w:val="both"/>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在保修期内, 投标人应确保年开机率在95%</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含</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以上, 若不能达到此开机率，将作以下处理：</w:t>
            </w:r>
          </w:p>
          <w:p w14:paraId="7A4003FB">
            <w:pPr>
              <w:keepNext w:val="0"/>
              <w:keepLines w:val="0"/>
              <w:suppressLineNumbers w:val="0"/>
              <w:spacing w:before="0" w:beforeAutospacing="0" w:after="0" w:afterAutospacing="0"/>
              <w:ind w:left="0" w:right="0"/>
              <w:jc w:val="both"/>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A</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rPr>
              <w:t>年开机率在90（含）-95%（不含）之间按一赔 二 延长保修期.</w:t>
            </w:r>
          </w:p>
          <w:p w14:paraId="39B3C3B3">
            <w:pPr>
              <w:keepNext w:val="0"/>
              <w:keepLines w:val="0"/>
              <w:suppressLineNumbers w:val="0"/>
              <w:spacing w:before="0" w:beforeAutospacing="0" w:after="0" w:afterAutospacing="0"/>
              <w:ind w:left="0" w:right="0"/>
              <w:jc w:val="both"/>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B</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rPr>
              <w:t>年开机率在85（含）-90%（不含）之间按一赔 五 延长保修期</w:t>
            </w:r>
          </w:p>
          <w:p w14:paraId="2BA839F0">
            <w:pPr>
              <w:keepNext w:val="0"/>
              <w:keepLines w:val="0"/>
              <w:suppressLineNumbers w:val="0"/>
              <w:spacing w:before="0" w:beforeAutospacing="0" w:after="0" w:afterAutospacing="0"/>
              <w:ind w:left="0" w:right="0"/>
              <w:jc w:val="both"/>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C</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rPr>
              <w:t>年开机率低于85%（</w:t>
            </w:r>
            <w:r>
              <w:rPr>
                <w:rFonts w:hint="eastAsia" w:ascii="宋体" w:hAnsi="宋体" w:eastAsia="宋体" w:cs="宋体"/>
                <w:b w:val="0"/>
                <w:bCs/>
                <w:color w:val="auto"/>
                <w:szCs w:val="21"/>
                <w:highlight w:val="none"/>
                <w:lang w:val="en-US" w:eastAsia="zh-CN"/>
              </w:rPr>
              <w:t>不</w:t>
            </w:r>
            <w:r>
              <w:rPr>
                <w:rFonts w:hint="eastAsia" w:ascii="宋体" w:hAnsi="宋体" w:eastAsia="宋体" w:cs="宋体"/>
                <w:b w:val="0"/>
                <w:bCs/>
                <w:color w:val="auto"/>
                <w:szCs w:val="21"/>
                <w:highlight w:val="none"/>
              </w:rPr>
              <w:t>含），投标人须无条件更换新机，并重新计算保修期，以及赔偿用户的直接经济损失和间接经济损失。</w:t>
            </w:r>
          </w:p>
          <w:p w14:paraId="43B4C1F2">
            <w:pPr>
              <w:keepNext w:val="0"/>
              <w:keepLines w:val="0"/>
              <w:suppressLineNumbers w:val="0"/>
              <w:spacing w:before="0" w:beforeAutospacing="0" w:after="0" w:afterAutospacing="0"/>
              <w:ind w:left="0" w:right="0"/>
              <w:jc w:val="both"/>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注：年开机率</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rPr>
              <w:t>（实际开机天数/</w:t>
            </w:r>
            <w:r>
              <w:rPr>
                <w:rFonts w:hint="eastAsia" w:ascii="宋体" w:hAnsi="宋体" w:eastAsia="宋体" w:cs="宋体"/>
                <w:b w:val="0"/>
                <w:bCs/>
                <w:color w:val="auto"/>
                <w:szCs w:val="21"/>
                <w:highlight w:val="none"/>
                <w:lang w:val="en-US" w:eastAsia="zh-CN"/>
              </w:rPr>
              <w:t>365天</w:t>
            </w:r>
            <w:r>
              <w:rPr>
                <w:rFonts w:hint="eastAsia" w:ascii="宋体" w:hAnsi="宋体" w:eastAsia="宋体" w:cs="宋体"/>
                <w:b w:val="0"/>
                <w:bCs/>
                <w:color w:val="auto"/>
                <w:szCs w:val="21"/>
                <w:highlight w:val="none"/>
              </w:rPr>
              <w:t>*100%）</w:t>
            </w:r>
          </w:p>
        </w:tc>
        <w:tc>
          <w:tcPr>
            <w:tcW w:w="554" w:type="pct"/>
          </w:tcPr>
          <w:p w14:paraId="2CC3D7BF">
            <w:pPr>
              <w:keepNext w:val="0"/>
              <w:keepLines w:val="0"/>
              <w:suppressLineNumbers w:val="0"/>
              <w:spacing w:before="0" w:beforeAutospacing="0" w:after="0" w:afterAutospacing="0"/>
              <w:ind w:left="0" w:right="0"/>
              <w:jc w:val="both"/>
              <w:rPr>
                <w:rFonts w:hint="eastAsia" w:ascii="宋体" w:hAnsi="宋体" w:eastAsia="宋体" w:cs="宋体"/>
                <w:b w:val="0"/>
                <w:bCs/>
                <w:color w:val="auto"/>
                <w:szCs w:val="21"/>
                <w:highlight w:val="none"/>
              </w:rPr>
            </w:pPr>
          </w:p>
        </w:tc>
        <w:tc>
          <w:tcPr>
            <w:tcW w:w="519" w:type="pct"/>
          </w:tcPr>
          <w:p w14:paraId="2BFA9DAD">
            <w:pPr>
              <w:keepNext w:val="0"/>
              <w:keepLines w:val="0"/>
              <w:suppressLineNumbers w:val="0"/>
              <w:spacing w:before="0" w:beforeAutospacing="0" w:after="0" w:afterAutospacing="0"/>
              <w:ind w:left="0" w:right="0"/>
              <w:jc w:val="both"/>
              <w:rPr>
                <w:rFonts w:hint="eastAsia" w:ascii="宋体" w:hAnsi="宋体" w:eastAsia="宋体" w:cs="宋体"/>
                <w:b w:val="0"/>
                <w:bCs/>
                <w:color w:val="auto"/>
                <w:szCs w:val="21"/>
                <w:highlight w:val="none"/>
              </w:rPr>
            </w:pPr>
          </w:p>
        </w:tc>
        <w:tc>
          <w:tcPr>
            <w:tcW w:w="532" w:type="pct"/>
          </w:tcPr>
          <w:p w14:paraId="64C7A4BE">
            <w:pPr>
              <w:keepNext w:val="0"/>
              <w:keepLines w:val="0"/>
              <w:suppressLineNumbers w:val="0"/>
              <w:spacing w:before="0" w:beforeAutospacing="0" w:after="0" w:afterAutospacing="0"/>
              <w:ind w:left="0" w:right="0"/>
              <w:jc w:val="both"/>
              <w:rPr>
                <w:rFonts w:hint="eastAsia" w:ascii="宋体" w:hAnsi="宋体" w:eastAsia="宋体" w:cs="宋体"/>
                <w:b w:val="0"/>
                <w:bCs/>
                <w:color w:val="auto"/>
                <w:szCs w:val="21"/>
                <w:highlight w:val="none"/>
              </w:rPr>
            </w:pPr>
          </w:p>
        </w:tc>
      </w:tr>
      <w:tr w14:paraId="2536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Align w:val="center"/>
          </w:tcPr>
          <w:p w14:paraId="7C37C7E6">
            <w:pPr>
              <w:keepNext w:val="0"/>
              <w:keepLines w:val="0"/>
              <w:suppressLineNumbers w:val="0"/>
              <w:spacing w:before="0" w:beforeAutospacing="0" w:after="0" w:afterAutospacing="0"/>
              <w:ind w:left="0" w:right="0"/>
              <w:jc w:val="center"/>
              <w:rPr>
                <w:rFonts w:hint="default" w:asciiTheme="minorEastAsia" w:hAnsiTheme="minorEastAsia" w:eastAsiaTheme="minorEastAsia"/>
                <w:b w:val="0"/>
                <w:bCs w:val="0"/>
                <w:color w:val="auto"/>
                <w:szCs w:val="21"/>
                <w:lang w:val="en-US" w:eastAsia="zh-CN"/>
              </w:rPr>
            </w:pPr>
            <w:r>
              <w:rPr>
                <w:rFonts w:hint="eastAsia" w:asciiTheme="minorEastAsia" w:hAnsiTheme="minorEastAsia" w:eastAsiaTheme="minorEastAsia"/>
                <w:b w:val="0"/>
                <w:bCs w:val="0"/>
                <w:color w:val="auto"/>
                <w:szCs w:val="21"/>
                <w:lang w:val="en-US" w:eastAsia="zh-CN"/>
              </w:rPr>
              <w:t>9</w:t>
            </w:r>
          </w:p>
        </w:tc>
        <w:tc>
          <w:tcPr>
            <w:tcW w:w="922" w:type="pct"/>
            <w:vAlign w:val="center"/>
          </w:tcPr>
          <w:p w14:paraId="18587A80">
            <w:pPr>
              <w:keepNext w:val="0"/>
              <w:keepLines w:val="0"/>
              <w:suppressLineNumbers w:val="0"/>
              <w:spacing w:before="0" w:beforeAutospacing="0" w:after="0" w:afterAutospacing="0"/>
              <w:ind w:left="0" w:right="0"/>
              <w:rPr>
                <w:rFonts w:hint="default"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其他</w:t>
            </w:r>
          </w:p>
        </w:tc>
        <w:tc>
          <w:tcPr>
            <w:tcW w:w="2014" w:type="pct"/>
            <w:vAlign w:val="center"/>
          </w:tcPr>
          <w:p w14:paraId="6BED439F">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投标人应按其投标文件中的承诺，进行其他售后服务工作。</w:t>
            </w:r>
          </w:p>
        </w:tc>
        <w:tc>
          <w:tcPr>
            <w:tcW w:w="554" w:type="pct"/>
            <w:vAlign w:val="center"/>
          </w:tcPr>
          <w:p w14:paraId="6640D909">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p>
        </w:tc>
        <w:tc>
          <w:tcPr>
            <w:tcW w:w="519" w:type="pct"/>
            <w:vAlign w:val="center"/>
          </w:tcPr>
          <w:p w14:paraId="53E1EFA8">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p>
        </w:tc>
        <w:tc>
          <w:tcPr>
            <w:tcW w:w="532" w:type="pct"/>
            <w:vAlign w:val="center"/>
          </w:tcPr>
          <w:p w14:paraId="03065555">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p>
        </w:tc>
      </w:tr>
      <w:tr w14:paraId="2A97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3" w:type="pct"/>
            <w:gridSpan w:val="3"/>
            <w:vAlign w:val="center"/>
          </w:tcPr>
          <w:p w14:paraId="4E28F556">
            <w:pPr>
              <w:keepNext w:val="0"/>
              <w:keepLines w:val="0"/>
              <w:suppressLineNumbers w:val="0"/>
              <w:spacing w:before="0" w:beforeAutospacing="0" w:after="0" w:afterAutospacing="0"/>
              <w:ind w:left="0" w:right="0"/>
              <w:jc w:val="left"/>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（二）免费保修期外售后服务要求</w:t>
            </w:r>
          </w:p>
        </w:tc>
        <w:tc>
          <w:tcPr>
            <w:tcW w:w="554" w:type="pct"/>
            <w:vAlign w:val="center"/>
          </w:tcPr>
          <w:p w14:paraId="3BFD8028">
            <w:pPr>
              <w:keepNext w:val="0"/>
              <w:keepLines w:val="0"/>
              <w:suppressLineNumbers w:val="0"/>
              <w:spacing w:before="0" w:beforeAutospacing="0" w:after="0" w:afterAutospacing="0"/>
              <w:ind w:left="0" w:right="0"/>
              <w:jc w:val="left"/>
              <w:rPr>
                <w:rFonts w:hint="eastAsia" w:asciiTheme="minorEastAsia" w:hAnsiTheme="minorEastAsia" w:eastAsiaTheme="minorEastAsia"/>
                <w:b/>
                <w:color w:val="auto"/>
                <w:szCs w:val="21"/>
                <w:highlight w:val="none"/>
              </w:rPr>
            </w:pPr>
          </w:p>
        </w:tc>
        <w:tc>
          <w:tcPr>
            <w:tcW w:w="519" w:type="pct"/>
            <w:vAlign w:val="center"/>
          </w:tcPr>
          <w:p w14:paraId="6F4BA7C0">
            <w:pPr>
              <w:keepNext w:val="0"/>
              <w:keepLines w:val="0"/>
              <w:suppressLineNumbers w:val="0"/>
              <w:spacing w:before="0" w:beforeAutospacing="0" w:after="0" w:afterAutospacing="0"/>
              <w:ind w:left="0" w:right="0"/>
              <w:jc w:val="left"/>
              <w:rPr>
                <w:rFonts w:hint="eastAsia" w:asciiTheme="minorEastAsia" w:hAnsiTheme="minorEastAsia" w:eastAsiaTheme="minorEastAsia"/>
                <w:b/>
                <w:color w:val="auto"/>
                <w:szCs w:val="21"/>
                <w:highlight w:val="none"/>
              </w:rPr>
            </w:pPr>
          </w:p>
        </w:tc>
        <w:tc>
          <w:tcPr>
            <w:tcW w:w="532" w:type="pct"/>
            <w:vAlign w:val="center"/>
          </w:tcPr>
          <w:p w14:paraId="02004125">
            <w:pPr>
              <w:keepNext w:val="0"/>
              <w:keepLines w:val="0"/>
              <w:suppressLineNumbers w:val="0"/>
              <w:spacing w:before="0" w:beforeAutospacing="0" w:after="0" w:afterAutospacing="0"/>
              <w:ind w:left="0" w:right="0"/>
              <w:jc w:val="left"/>
              <w:rPr>
                <w:rFonts w:hint="eastAsia" w:asciiTheme="minorEastAsia" w:hAnsiTheme="minorEastAsia" w:eastAsiaTheme="minorEastAsia"/>
                <w:b/>
                <w:color w:val="auto"/>
                <w:szCs w:val="21"/>
                <w:highlight w:val="none"/>
              </w:rPr>
            </w:pPr>
          </w:p>
        </w:tc>
      </w:tr>
      <w:tr w14:paraId="7062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Align w:val="center"/>
          </w:tcPr>
          <w:p w14:paraId="59D6AE70">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w:t>
            </w:r>
          </w:p>
        </w:tc>
        <w:tc>
          <w:tcPr>
            <w:tcW w:w="922" w:type="pct"/>
          </w:tcPr>
          <w:p w14:paraId="65E0854B">
            <w:pPr>
              <w:keepNext w:val="0"/>
              <w:keepLines w:val="0"/>
              <w:suppressLineNumbers w:val="0"/>
              <w:spacing w:before="0" w:beforeAutospacing="0" w:after="0" w:afterAutospacing="0"/>
              <w:ind w:left="0" w:right="0"/>
              <w:rPr>
                <w:rFonts w:hint="eastAsia" w:eastAsia="宋体" w:asciiTheme="minorEastAsia" w:hAnsiTheme="minorEastAsia"/>
                <w:b/>
                <w:color w:val="auto"/>
                <w:szCs w:val="21"/>
                <w:highlight w:val="none"/>
                <w:lang w:eastAsia="zh-CN"/>
              </w:rPr>
            </w:pPr>
            <w:r>
              <w:rPr>
                <w:rFonts w:hint="eastAsia" w:asciiTheme="minorEastAsia" w:hAnsiTheme="minorEastAsia" w:eastAsiaTheme="minorEastAsia" w:cstheme="minorEastAsia"/>
                <w:b w:val="0"/>
                <w:bCs w:val="0"/>
                <w:color w:val="auto"/>
                <w:sz w:val="21"/>
                <w:szCs w:val="21"/>
                <w:lang w:eastAsia="zh-CN"/>
              </w:rPr>
              <w:t>关于</w:t>
            </w:r>
            <w:r>
              <w:rPr>
                <w:rFonts w:hint="eastAsia"/>
                <w:lang w:eastAsia="zh-CN"/>
              </w:rPr>
              <w:t>保修期外售后</w:t>
            </w:r>
          </w:p>
        </w:tc>
        <w:tc>
          <w:tcPr>
            <w:tcW w:w="2014" w:type="pct"/>
            <w:vAlign w:val="center"/>
          </w:tcPr>
          <w:p w14:paraId="7F496F64">
            <w:pPr>
              <w:keepNext w:val="0"/>
              <w:keepLines w:val="0"/>
              <w:suppressLineNumbers w:val="0"/>
              <w:spacing w:before="0" w:beforeAutospacing="0" w:after="0" w:afterAutospacing="0"/>
              <w:ind w:left="0" w:right="0"/>
              <w:jc w:val="left"/>
              <w:rPr>
                <w:rFonts w:hint="eastAsia" w:asciiTheme="minorEastAsia" w:hAnsiTheme="minorEastAsia" w:eastAsiaTheme="minorEastAsia"/>
                <w:bCs/>
                <w:color w:val="auto"/>
                <w:szCs w:val="21"/>
                <w:lang w:eastAsia="zh-CN"/>
              </w:rPr>
            </w:pPr>
            <w:r>
              <w:rPr>
                <w:rFonts w:hint="eastAsia" w:asciiTheme="minorEastAsia" w:hAnsiTheme="minorEastAsia" w:eastAsiaTheme="minorEastAsia"/>
                <w:bCs/>
                <w:color w:val="auto"/>
                <w:szCs w:val="21"/>
              </w:rPr>
              <w:t>由设备制造商</w:t>
            </w:r>
            <w:r>
              <w:rPr>
                <w:rFonts w:hint="eastAsia" w:asciiTheme="minorEastAsia" w:hAnsiTheme="minorEastAsia" w:eastAsiaTheme="minorEastAsia"/>
                <w:bCs/>
                <w:color w:val="auto"/>
                <w:szCs w:val="21"/>
                <w:lang w:eastAsia="zh-CN"/>
              </w:rPr>
              <w:t>或制造商授权认可的代理商</w:t>
            </w:r>
            <w:r>
              <w:rPr>
                <w:rFonts w:hint="eastAsia" w:asciiTheme="minorEastAsia" w:hAnsiTheme="minorEastAsia" w:eastAsiaTheme="minorEastAsia"/>
                <w:bCs/>
                <w:color w:val="auto"/>
                <w:szCs w:val="21"/>
              </w:rPr>
              <w:t>提供售后服务</w:t>
            </w:r>
            <w:r>
              <w:rPr>
                <w:rFonts w:hint="eastAsia" w:asciiTheme="minorEastAsia" w:hAnsiTheme="minorEastAsia" w:eastAsiaTheme="minorEastAsia"/>
                <w:bCs/>
                <w:color w:val="auto"/>
                <w:szCs w:val="21"/>
                <w:lang w:eastAsia="zh-CN"/>
              </w:rPr>
              <w:t>。</w:t>
            </w:r>
          </w:p>
        </w:tc>
        <w:tc>
          <w:tcPr>
            <w:tcW w:w="554" w:type="pct"/>
            <w:vAlign w:val="center"/>
          </w:tcPr>
          <w:p w14:paraId="67BFD6A1">
            <w:pPr>
              <w:keepNext w:val="0"/>
              <w:keepLines w:val="0"/>
              <w:suppressLineNumbers w:val="0"/>
              <w:spacing w:before="0" w:beforeAutospacing="0" w:after="0" w:afterAutospacing="0"/>
              <w:ind w:left="0" w:right="0"/>
              <w:jc w:val="left"/>
              <w:rPr>
                <w:rFonts w:hint="eastAsia" w:asciiTheme="minorEastAsia" w:hAnsiTheme="minorEastAsia" w:eastAsiaTheme="minorEastAsia"/>
                <w:bCs/>
                <w:color w:val="auto"/>
                <w:szCs w:val="21"/>
              </w:rPr>
            </w:pPr>
          </w:p>
        </w:tc>
        <w:tc>
          <w:tcPr>
            <w:tcW w:w="519" w:type="pct"/>
            <w:vAlign w:val="center"/>
          </w:tcPr>
          <w:p w14:paraId="5CACBA17">
            <w:pPr>
              <w:keepNext w:val="0"/>
              <w:keepLines w:val="0"/>
              <w:suppressLineNumbers w:val="0"/>
              <w:spacing w:before="0" w:beforeAutospacing="0" w:after="0" w:afterAutospacing="0"/>
              <w:ind w:left="0" w:right="0"/>
              <w:jc w:val="left"/>
              <w:rPr>
                <w:rFonts w:hint="eastAsia" w:asciiTheme="minorEastAsia" w:hAnsiTheme="minorEastAsia" w:eastAsiaTheme="minorEastAsia"/>
                <w:bCs/>
                <w:color w:val="auto"/>
                <w:szCs w:val="21"/>
              </w:rPr>
            </w:pPr>
          </w:p>
        </w:tc>
        <w:tc>
          <w:tcPr>
            <w:tcW w:w="532" w:type="pct"/>
            <w:vAlign w:val="center"/>
          </w:tcPr>
          <w:p w14:paraId="2ED7F5FB">
            <w:pPr>
              <w:keepNext w:val="0"/>
              <w:keepLines w:val="0"/>
              <w:suppressLineNumbers w:val="0"/>
              <w:spacing w:before="0" w:beforeAutospacing="0" w:after="0" w:afterAutospacing="0"/>
              <w:ind w:left="0" w:right="0"/>
              <w:jc w:val="left"/>
              <w:rPr>
                <w:rFonts w:hint="eastAsia" w:asciiTheme="minorEastAsia" w:hAnsiTheme="minorEastAsia" w:eastAsiaTheme="minorEastAsia"/>
                <w:bCs/>
                <w:color w:val="auto"/>
                <w:szCs w:val="21"/>
              </w:rPr>
            </w:pPr>
          </w:p>
        </w:tc>
      </w:tr>
      <w:tr w14:paraId="0A2B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3" w:type="pct"/>
            <w:gridSpan w:val="3"/>
            <w:vAlign w:val="center"/>
          </w:tcPr>
          <w:p w14:paraId="65C102A6">
            <w:pPr>
              <w:keepNext w:val="0"/>
              <w:keepLines w:val="0"/>
              <w:suppressLineNumbers w:val="0"/>
              <w:spacing w:before="0" w:beforeAutospacing="0" w:after="0" w:afterAutospacing="0"/>
              <w:ind w:left="0" w:right="0"/>
              <w:jc w:val="both"/>
              <w:rPr>
                <w:rFonts w:hint="default" w:asciiTheme="minorEastAsia" w:hAnsiTheme="minorEastAsia" w:eastAsiaTheme="minorEastAsia"/>
                <w:b/>
                <w:color w:val="auto"/>
                <w:szCs w:val="21"/>
              </w:rPr>
            </w:pPr>
            <w:r>
              <w:rPr>
                <w:rFonts w:hint="eastAsia" w:asciiTheme="minorEastAsia" w:hAnsiTheme="minorEastAsia" w:eastAsiaTheme="minorEastAsia"/>
                <w:b/>
                <w:color w:val="auto"/>
                <w:szCs w:val="21"/>
              </w:rPr>
              <w:t>（三）其他商务要求</w:t>
            </w:r>
          </w:p>
        </w:tc>
        <w:tc>
          <w:tcPr>
            <w:tcW w:w="554" w:type="pct"/>
            <w:vAlign w:val="center"/>
          </w:tcPr>
          <w:p w14:paraId="363AF9A5">
            <w:pPr>
              <w:keepNext w:val="0"/>
              <w:keepLines w:val="0"/>
              <w:suppressLineNumbers w:val="0"/>
              <w:spacing w:before="0" w:beforeAutospacing="0" w:after="0" w:afterAutospacing="0"/>
              <w:ind w:left="0" w:right="0"/>
              <w:jc w:val="both"/>
              <w:rPr>
                <w:rFonts w:hint="eastAsia" w:asciiTheme="minorEastAsia" w:hAnsiTheme="minorEastAsia" w:eastAsiaTheme="minorEastAsia"/>
                <w:b/>
                <w:color w:val="auto"/>
                <w:szCs w:val="21"/>
              </w:rPr>
            </w:pPr>
          </w:p>
        </w:tc>
        <w:tc>
          <w:tcPr>
            <w:tcW w:w="519" w:type="pct"/>
            <w:vAlign w:val="center"/>
          </w:tcPr>
          <w:p w14:paraId="10232CEA">
            <w:pPr>
              <w:keepNext w:val="0"/>
              <w:keepLines w:val="0"/>
              <w:suppressLineNumbers w:val="0"/>
              <w:spacing w:before="0" w:beforeAutospacing="0" w:after="0" w:afterAutospacing="0"/>
              <w:ind w:left="0" w:right="0"/>
              <w:jc w:val="both"/>
              <w:rPr>
                <w:rFonts w:hint="eastAsia" w:asciiTheme="minorEastAsia" w:hAnsiTheme="minorEastAsia" w:eastAsiaTheme="minorEastAsia"/>
                <w:b/>
                <w:color w:val="auto"/>
                <w:szCs w:val="21"/>
              </w:rPr>
            </w:pPr>
          </w:p>
        </w:tc>
        <w:tc>
          <w:tcPr>
            <w:tcW w:w="532" w:type="pct"/>
            <w:vAlign w:val="center"/>
          </w:tcPr>
          <w:p w14:paraId="23B00A00">
            <w:pPr>
              <w:keepNext w:val="0"/>
              <w:keepLines w:val="0"/>
              <w:suppressLineNumbers w:val="0"/>
              <w:spacing w:before="0" w:beforeAutospacing="0" w:after="0" w:afterAutospacing="0"/>
              <w:ind w:left="0" w:right="0"/>
              <w:jc w:val="both"/>
              <w:rPr>
                <w:rFonts w:hint="eastAsia" w:asciiTheme="minorEastAsia" w:hAnsiTheme="minorEastAsia" w:eastAsiaTheme="minorEastAsia"/>
                <w:b/>
                <w:color w:val="auto"/>
                <w:szCs w:val="21"/>
              </w:rPr>
            </w:pPr>
          </w:p>
        </w:tc>
      </w:tr>
      <w:tr w14:paraId="6BD7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Merge w:val="restart"/>
            <w:vAlign w:val="center"/>
          </w:tcPr>
          <w:p w14:paraId="1140F75B">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c>
          <w:tcPr>
            <w:tcW w:w="922" w:type="pct"/>
            <w:vMerge w:val="restart"/>
            <w:vAlign w:val="center"/>
          </w:tcPr>
          <w:p w14:paraId="499E7879">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关于交货</w:t>
            </w:r>
          </w:p>
        </w:tc>
        <w:tc>
          <w:tcPr>
            <w:tcW w:w="2014" w:type="pct"/>
            <w:vAlign w:val="center"/>
          </w:tcPr>
          <w:p w14:paraId="246C48F8">
            <w:pPr>
              <w:keepNext w:val="0"/>
              <w:keepLines w:val="0"/>
              <w:suppressLineNumbers w:val="0"/>
              <w:spacing w:before="0" w:beforeAutospacing="0" w:after="0" w:afterAutospacing="0"/>
              <w:ind w:left="0" w:right="0"/>
              <w:jc w:val="both"/>
              <w:rPr>
                <w:rFonts w:hint="default" w:asciiTheme="minorEastAsia" w:hAnsiTheme="minorEastAsia" w:eastAsiaTheme="minorEastAsia"/>
                <w:bCs/>
                <w:color w:val="auto"/>
                <w:szCs w:val="21"/>
              </w:rPr>
            </w:pPr>
            <w:r>
              <w:rPr>
                <w:rFonts w:hint="eastAsia" w:cs="宋体" w:asciiTheme="minorEastAsia" w:hAnsiTheme="minorEastAsia" w:eastAsiaTheme="minorEastAsia"/>
                <w:b/>
                <w:color w:val="auto"/>
                <w:szCs w:val="21"/>
              </w:rPr>
              <w:t>★</w:t>
            </w:r>
            <w:r>
              <w:rPr>
                <w:rFonts w:hint="eastAsia" w:asciiTheme="minorEastAsia" w:hAnsiTheme="minorEastAsia" w:eastAsiaTheme="minorEastAsia"/>
                <w:bCs/>
                <w:color w:val="auto"/>
                <w:szCs w:val="21"/>
              </w:rPr>
              <w:t>1.1</w:t>
            </w:r>
            <w:r>
              <w:rPr>
                <w:rFonts w:hint="eastAsia"/>
                <w:color w:val="auto"/>
              </w:rPr>
              <w:t xml:space="preserve">签订合同后  </w:t>
            </w:r>
            <w:r>
              <w:rPr>
                <w:rFonts w:hint="eastAsia"/>
                <w:color w:val="auto"/>
                <w:u w:val="single"/>
              </w:rPr>
              <w:t xml:space="preserve"> </w:t>
            </w:r>
            <w:r>
              <w:rPr>
                <w:rFonts w:hint="eastAsia"/>
                <w:color w:val="auto"/>
                <w:highlight w:val="yellow"/>
                <w:u w:val="single"/>
                <w:lang w:val="en-US" w:eastAsia="zh-CN"/>
              </w:rPr>
              <w:t>30</w:t>
            </w:r>
            <w:r>
              <w:rPr>
                <w:rFonts w:hint="eastAsia"/>
                <w:color w:val="auto"/>
                <w:u w:val="single"/>
              </w:rPr>
              <w:t xml:space="preserve"> </w:t>
            </w:r>
            <w:r>
              <w:rPr>
                <w:rFonts w:hint="eastAsia"/>
                <w:color w:val="auto"/>
              </w:rPr>
              <w:t xml:space="preserve"> 天（日历日）内交货。</w:t>
            </w:r>
          </w:p>
        </w:tc>
        <w:tc>
          <w:tcPr>
            <w:tcW w:w="554" w:type="pct"/>
            <w:vAlign w:val="center"/>
          </w:tcPr>
          <w:p w14:paraId="10A300B0">
            <w:pPr>
              <w:keepNext w:val="0"/>
              <w:keepLines w:val="0"/>
              <w:suppressLineNumbers w:val="0"/>
              <w:spacing w:before="0" w:beforeAutospacing="0" w:after="0" w:afterAutospacing="0"/>
              <w:ind w:left="0" w:right="0"/>
              <w:jc w:val="both"/>
              <w:rPr>
                <w:rFonts w:hint="eastAsia" w:cs="宋体" w:asciiTheme="minorEastAsia" w:hAnsiTheme="minorEastAsia" w:eastAsiaTheme="minorEastAsia"/>
                <w:b/>
                <w:color w:val="auto"/>
                <w:szCs w:val="21"/>
              </w:rPr>
            </w:pPr>
          </w:p>
        </w:tc>
        <w:tc>
          <w:tcPr>
            <w:tcW w:w="519" w:type="pct"/>
            <w:vAlign w:val="center"/>
          </w:tcPr>
          <w:p w14:paraId="412928DE">
            <w:pPr>
              <w:keepNext w:val="0"/>
              <w:keepLines w:val="0"/>
              <w:suppressLineNumbers w:val="0"/>
              <w:spacing w:before="0" w:beforeAutospacing="0" w:after="0" w:afterAutospacing="0"/>
              <w:ind w:left="0" w:right="0"/>
              <w:jc w:val="both"/>
              <w:rPr>
                <w:rFonts w:hint="eastAsia" w:cs="宋体" w:asciiTheme="minorEastAsia" w:hAnsiTheme="minorEastAsia" w:eastAsiaTheme="minorEastAsia"/>
                <w:b/>
                <w:color w:val="auto"/>
                <w:szCs w:val="21"/>
              </w:rPr>
            </w:pPr>
          </w:p>
        </w:tc>
        <w:tc>
          <w:tcPr>
            <w:tcW w:w="532" w:type="pct"/>
            <w:vAlign w:val="center"/>
          </w:tcPr>
          <w:p w14:paraId="7D8989C6">
            <w:pPr>
              <w:keepNext w:val="0"/>
              <w:keepLines w:val="0"/>
              <w:suppressLineNumbers w:val="0"/>
              <w:spacing w:before="0" w:beforeAutospacing="0" w:after="0" w:afterAutospacing="0"/>
              <w:ind w:left="0" w:right="0"/>
              <w:jc w:val="both"/>
              <w:rPr>
                <w:rFonts w:hint="eastAsia" w:cs="宋体" w:asciiTheme="minorEastAsia" w:hAnsiTheme="minorEastAsia" w:eastAsiaTheme="minorEastAsia"/>
                <w:b/>
                <w:color w:val="auto"/>
                <w:szCs w:val="21"/>
              </w:rPr>
            </w:pPr>
          </w:p>
        </w:tc>
      </w:tr>
      <w:tr w14:paraId="7B4B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Merge w:val="continue"/>
            <w:vAlign w:val="center"/>
          </w:tcPr>
          <w:p w14:paraId="4939E97A">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22" w:type="pct"/>
            <w:vMerge w:val="continue"/>
            <w:vAlign w:val="center"/>
          </w:tcPr>
          <w:p w14:paraId="6B1312A5">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2014" w:type="pct"/>
            <w:vAlign w:val="center"/>
          </w:tcPr>
          <w:p w14:paraId="063E2C5E">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lang w:val="en-US" w:eastAsia="zh-CN"/>
              </w:rPr>
              <w:t>1.2</w:t>
            </w:r>
            <w:r>
              <w:rPr>
                <w:rFonts w:hint="eastAsia" w:asciiTheme="minorEastAsia" w:hAnsiTheme="minorEastAsia" w:eastAsiaTheme="minorEastAsia"/>
                <w:bCs/>
                <w:color w:val="auto"/>
                <w:szCs w:val="21"/>
              </w:rPr>
              <w:t>交货地点：</w:t>
            </w:r>
            <w:r>
              <w:rPr>
                <w:rFonts w:hint="eastAsia" w:ascii="宋体" w:hAnsi="宋体"/>
                <w:color w:val="auto"/>
                <w:szCs w:val="21"/>
              </w:rPr>
              <w:t>中标人</w:t>
            </w:r>
            <w:r>
              <w:rPr>
                <w:rFonts w:hint="eastAsia" w:ascii="宋体" w:hAnsi="宋体" w:cs="宋体"/>
                <w:bCs/>
                <w:color w:val="auto"/>
                <w:szCs w:val="21"/>
                <w:highlight w:val="none"/>
              </w:rPr>
              <w:t>负责将</w:t>
            </w:r>
            <w:r>
              <w:rPr>
                <w:rFonts w:hint="eastAsia" w:ascii="宋体" w:hAnsi="宋体" w:cs="宋体"/>
                <w:color w:val="auto"/>
                <w:szCs w:val="21"/>
                <w:highlight w:val="none"/>
              </w:rPr>
              <w:t>货物</w:t>
            </w:r>
            <w:r>
              <w:rPr>
                <w:rFonts w:hint="eastAsia" w:ascii="宋体" w:hAnsi="宋体" w:cs="宋体"/>
                <w:bCs/>
                <w:color w:val="auto"/>
                <w:szCs w:val="21"/>
                <w:highlight w:val="none"/>
              </w:rPr>
              <w:t>安全无损运抵采购人指定地点,并承担设备的包装、运输、保险、装卸、安装调试、培训、商检及计量检测、关税、增值税和进口代理等费用</w:t>
            </w:r>
            <w:r>
              <w:rPr>
                <w:rFonts w:hint="eastAsia" w:ascii="宋体" w:hAnsi="宋体" w:cs="宋体"/>
                <w:color w:val="auto"/>
                <w:szCs w:val="21"/>
                <w:highlight w:val="none"/>
              </w:rPr>
              <w:t>。</w:t>
            </w:r>
          </w:p>
        </w:tc>
        <w:tc>
          <w:tcPr>
            <w:tcW w:w="554" w:type="pct"/>
            <w:vAlign w:val="center"/>
          </w:tcPr>
          <w:p w14:paraId="5882ACA9">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p>
        </w:tc>
        <w:tc>
          <w:tcPr>
            <w:tcW w:w="519" w:type="pct"/>
            <w:vAlign w:val="center"/>
          </w:tcPr>
          <w:p w14:paraId="62B4124C">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p>
        </w:tc>
        <w:tc>
          <w:tcPr>
            <w:tcW w:w="532" w:type="pct"/>
            <w:vAlign w:val="center"/>
          </w:tcPr>
          <w:p w14:paraId="511DADD4">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p>
        </w:tc>
      </w:tr>
      <w:tr w14:paraId="3308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Merge w:val="continue"/>
            <w:vAlign w:val="center"/>
          </w:tcPr>
          <w:p w14:paraId="0295753E">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22" w:type="pct"/>
            <w:vMerge w:val="continue"/>
            <w:vAlign w:val="center"/>
          </w:tcPr>
          <w:p w14:paraId="4045269C">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2014" w:type="pct"/>
            <w:vAlign w:val="center"/>
          </w:tcPr>
          <w:p w14:paraId="4A4241AD">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1.3中标人应提供货物的技术文件，包括但不限于设备配置清单、产品说明书、图纸、操作手册等，所有外文资料须提供中文译本。文件应随货物一并交付至采购人指定地点。</w:t>
            </w:r>
          </w:p>
        </w:tc>
        <w:tc>
          <w:tcPr>
            <w:tcW w:w="554" w:type="pct"/>
            <w:vAlign w:val="center"/>
          </w:tcPr>
          <w:p w14:paraId="38F9FF67">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p>
        </w:tc>
        <w:tc>
          <w:tcPr>
            <w:tcW w:w="519" w:type="pct"/>
            <w:vAlign w:val="center"/>
          </w:tcPr>
          <w:p w14:paraId="61CB42EE">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p>
        </w:tc>
        <w:tc>
          <w:tcPr>
            <w:tcW w:w="532" w:type="pct"/>
            <w:vAlign w:val="center"/>
          </w:tcPr>
          <w:p w14:paraId="14AC4161">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p>
        </w:tc>
      </w:tr>
      <w:tr w14:paraId="095A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Merge w:val="continue"/>
            <w:vAlign w:val="center"/>
          </w:tcPr>
          <w:p w14:paraId="1B2E34D5">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22" w:type="pct"/>
            <w:vMerge w:val="continue"/>
            <w:vAlign w:val="center"/>
          </w:tcPr>
          <w:p w14:paraId="60365B87">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2014" w:type="pct"/>
            <w:vAlign w:val="center"/>
          </w:tcPr>
          <w:p w14:paraId="1918F389">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1.4中标人提供的货物必须为全新、经检验合格的产品。产品如需要计量检定的应提供相关计量检定部门出具的合法检定报告。其中，进口设备必须具有报关证明文件和商检证明文件（免检设备提供免检证明）。</w:t>
            </w:r>
          </w:p>
        </w:tc>
        <w:tc>
          <w:tcPr>
            <w:tcW w:w="554" w:type="pct"/>
            <w:vAlign w:val="center"/>
          </w:tcPr>
          <w:p w14:paraId="33D2A179">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p>
        </w:tc>
        <w:tc>
          <w:tcPr>
            <w:tcW w:w="519" w:type="pct"/>
            <w:vAlign w:val="center"/>
          </w:tcPr>
          <w:p w14:paraId="4CE44A12">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p>
        </w:tc>
        <w:tc>
          <w:tcPr>
            <w:tcW w:w="532" w:type="pct"/>
            <w:vAlign w:val="center"/>
          </w:tcPr>
          <w:p w14:paraId="60508BE3">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p>
        </w:tc>
      </w:tr>
      <w:tr w14:paraId="1E30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Merge w:val="continue"/>
            <w:vAlign w:val="center"/>
          </w:tcPr>
          <w:p w14:paraId="7D9D8085">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22" w:type="pct"/>
            <w:vMerge w:val="continue"/>
            <w:vAlign w:val="center"/>
          </w:tcPr>
          <w:p w14:paraId="4D7D92F8">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2014" w:type="pct"/>
            <w:vAlign w:val="center"/>
          </w:tcPr>
          <w:p w14:paraId="7AB8287B">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1.5采购人有权检验或测试货物，以确认货物是否符合合同规格的要求。如果发现所交货物与投标文件中所承诺的不符或存在质量、技术缺陷等,采购人可以拒绝接收该货物。</w:t>
            </w:r>
          </w:p>
        </w:tc>
        <w:tc>
          <w:tcPr>
            <w:tcW w:w="554" w:type="pct"/>
            <w:vAlign w:val="center"/>
          </w:tcPr>
          <w:p w14:paraId="1C1DBDB3">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p>
        </w:tc>
        <w:tc>
          <w:tcPr>
            <w:tcW w:w="519" w:type="pct"/>
            <w:vAlign w:val="center"/>
          </w:tcPr>
          <w:p w14:paraId="5C7DBA6E">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p>
        </w:tc>
        <w:tc>
          <w:tcPr>
            <w:tcW w:w="532" w:type="pct"/>
            <w:vAlign w:val="center"/>
          </w:tcPr>
          <w:p w14:paraId="1CD12D33">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p>
        </w:tc>
      </w:tr>
      <w:tr w14:paraId="14A1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Merge w:val="continue"/>
            <w:vAlign w:val="center"/>
          </w:tcPr>
          <w:p w14:paraId="553B77FC">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22" w:type="pct"/>
            <w:vMerge w:val="continue"/>
            <w:vAlign w:val="center"/>
          </w:tcPr>
          <w:p w14:paraId="3A8CC16C">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2014" w:type="pct"/>
            <w:vAlign w:val="center"/>
          </w:tcPr>
          <w:p w14:paraId="16315F38">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1.6中标人负责货物的现场安装和调试,提供货物安装、调试和维修所需的专用工具和辅助材料。中标人应在货物运至指定地点后 5 天内开始安装调试,并在 5 天内安装调试完毕。</w:t>
            </w:r>
          </w:p>
        </w:tc>
        <w:tc>
          <w:tcPr>
            <w:tcW w:w="554" w:type="pct"/>
            <w:vAlign w:val="center"/>
          </w:tcPr>
          <w:p w14:paraId="59351CBF">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p>
        </w:tc>
        <w:tc>
          <w:tcPr>
            <w:tcW w:w="519" w:type="pct"/>
            <w:vAlign w:val="center"/>
          </w:tcPr>
          <w:p w14:paraId="78A6F6B9">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p>
        </w:tc>
        <w:tc>
          <w:tcPr>
            <w:tcW w:w="532" w:type="pct"/>
            <w:vAlign w:val="center"/>
          </w:tcPr>
          <w:p w14:paraId="634F2598">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p>
        </w:tc>
      </w:tr>
      <w:tr w14:paraId="4345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Merge w:val="restart"/>
            <w:vAlign w:val="center"/>
          </w:tcPr>
          <w:p w14:paraId="20453149">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w:t>
            </w:r>
          </w:p>
        </w:tc>
        <w:tc>
          <w:tcPr>
            <w:tcW w:w="922" w:type="pct"/>
            <w:vMerge w:val="restart"/>
            <w:vAlign w:val="center"/>
          </w:tcPr>
          <w:p w14:paraId="5CFBD64B">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关于验收</w:t>
            </w:r>
          </w:p>
        </w:tc>
        <w:tc>
          <w:tcPr>
            <w:tcW w:w="2014" w:type="pct"/>
            <w:vAlign w:val="center"/>
          </w:tcPr>
          <w:p w14:paraId="30309DBB">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2.1中标人货物经过双方检验认可后，签署验收报告，产品保修期自验收合格之日起算，由投标人提供产品保修文件。</w:t>
            </w:r>
          </w:p>
        </w:tc>
        <w:tc>
          <w:tcPr>
            <w:tcW w:w="554" w:type="pct"/>
            <w:vAlign w:val="center"/>
          </w:tcPr>
          <w:p w14:paraId="5EFC8D9E">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c>
          <w:tcPr>
            <w:tcW w:w="519" w:type="pct"/>
            <w:vAlign w:val="center"/>
          </w:tcPr>
          <w:p w14:paraId="569E8DCF">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c>
          <w:tcPr>
            <w:tcW w:w="532" w:type="pct"/>
            <w:vAlign w:val="center"/>
          </w:tcPr>
          <w:p w14:paraId="33045E02">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r>
      <w:tr w14:paraId="1BE8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Merge w:val="continue"/>
            <w:vAlign w:val="center"/>
          </w:tcPr>
          <w:p w14:paraId="16D27774">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22" w:type="pct"/>
            <w:vMerge w:val="continue"/>
            <w:vAlign w:val="center"/>
          </w:tcPr>
          <w:p w14:paraId="1A97F85E">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2014" w:type="pct"/>
            <w:vAlign w:val="center"/>
          </w:tcPr>
          <w:p w14:paraId="780D494D">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2.2当满足以下条件时，采购人才向中标人签发货物验收报告：</w:t>
            </w:r>
          </w:p>
          <w:p w14:paraId="717FB0C3">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a、中标人已按照合同规定提供了全部产品及完整的技术资料。</w:t>
            </w:r>
          </w:p>
          <w:p w14:paraId="5E9038F3">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b、货物符合招标文件技术规格书的要求，性能满足要求。</w:t>
            </w:r>
          </w:p>
        </w:tc>
        <w:tc>
          <w:tcPr>
            <w:tcW w:w="554" w:type="pct"/>
            <w:vAlign w:val="center"/>
          </w:tcPr>
          <w:p w14:paraId="355093BE">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p>
        </w:tc>
        <w:tc>
          <w:tcPr>
            <w:tcW w:w="519" w:type="pct"/>
            <w:vAlign w:val="center"/>
          </w:tcPr>
          <w:p w14:paraId="150F434A">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p>
        </w:tc>
        <w:tc>
          <w:tcPr>
            <w:tcW w:w="532" w:type="pct"/>
            <w:vAlign w:val="center"/>
          </w:tcPr>
          <w:p w14:paraId="1C9D4E47">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p>
        </w:tc>
      </w:tr>
      <w:tr w14:paraId="10B3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Merge w:val="continue"/>
            <w:vAlign w:val="center"/>
          </w:tcPr>
          <w:p w14:paraId="2017FE03">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22" w:type="pct"/>
            <w:vMerge w:val="continue"/>
            <w:vAlign w:val="center"/>
          </w:tcPr>
          <w:p w14:paraId="03F321A2">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2014" w:type="pct"/>
            <w:vAlign w:val="center"/>
          </w:tcPr>
          <w:p w14:paraId="7721375A">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2.3由中标人代表和采购人组成验收小组对产品进行验收。验收标准按照国家规定标准执行。经检验设备正常运作后签署验收报告,产品保修期自验收合格之日起算。</w:t>
            </w:r>
          </w:p>
        </w:tc>
        <w:tc>
          <w:tcPr>
            <w:tcW w:w="554" w:type="pct"/>
            <w:vAlign w:val="center"/>
          </w:tcPr>
          <w:p w14:paraId="38B77D29">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c>
          <w:tcPr>
            <w:tcW w:w="519" w:type="pct"/>
            <w:vAlign w:val="center"/>
          </w:tcPr>
          <w:p w14:paraId="0055A7FA">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c>
          <w:tcPr>
            <w:tcW w:w="532" w:type="pct"/>
            <w:vAlign w:val="center"/>
          </w:tcPr>
          <w:p w14:paraId="795CFB1F">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r>
      <w:tr w14:paraId="497B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Merge w:val="restart"/>
            <w:vAlign w:val="center"/>
          </w:tcPr>
          <w:p w14:paraId="5E2301A6">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w:t>
            </w:r>
          </w:p>
        </w:tc>
        <w:tc>
          <w:tcPr>
            <w:tcW w:w="922" w:type="pct"/>
            <w:vMerge w:val="restart"/>
            <w:vAlign w:val="center"/>
          </w:tcPr>
          <w:p w14:paraId="6261DE8F">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关于违约</w:t>
            </w:r>
          </w:p>
        </w:tc>
        <w:tc>
          <w:tcPr>
            <w:tcW w:w="2014" w:type="pct"/>
            <w:vAlign w:val="center"/>
          </w:tcPr>
          <w:p w14:paraId="65512D28">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3.1中标人未按照投标文件中承诺的时间交货或提供服务，投标人应承担延期交货和延期服务的违约责任，并赔偿采购人因此造成的实际经济损失。实际经济损失超出履约保证金额，采购人有权终止合同。</w:t>
            </w:r>
          </w:p>
        </w:tc>
        <w:tc>
          <w:tcPr>
            <w:tcW w:w="554" w:type="pct"/>
            <w:vAlign w:val="center"/>
          </w:tcPr>
          <w:p w14:paraId="70AD9387">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c>
          <w:tcPr>
            <w:tcW w:w="519" w:type="pct"/>
            <w:vAlign w:val="center"/>
          </w:tcPr>
          <w:p w14:paraId="2C523BA9">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c>
          <w:tcPr>
            <w:tcW w:w="532" w:type="pct"/>
            <w:vAlign w:val="center"/>
          </w:tcPr>
          <w:p w14:paraId="7BC063D0">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r>
      <w:tr w14:paraId="57CF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Merge w:val="continue"/>
            <w:vAlign w:val="center"/>
          </w:tcPr>
          <w:p w14:paraId="0C121B4F">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22" w:type="pct"/>
            <w:vMerge w:val="continue"/>
            <w:vAlign w:val="center"/>
          </w:tcPr>
          <w:p w14:paraId="0208B722">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2014" w:type="pct"/>
            <w:vAlign w:val="center"/>
          </w:tcPr>
          <w:p w14:paraId="04FF5E89">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3.2中标人所交设备的品种、型号、规格、质量、功能、技术参数等方面不能实质性满足招标文件要求的，采购人有权拒绝收货，中标人向采购人偿付项目采购金额千分之 10 的违约金；造成严重后果的，根据《深圳经济特区政府采购条例》第五十七条第（二）款规定，由主管部门对投标人进行处罚。</w:t>
            </w:r>
          </w:p>
        </w:tc>
        <w:tc>
          <w:tcPr>
            <w:tcW w:w="554" w:type="pct"/>
            <w:vAlign w:val="center"/>
          </w:tcPr>
          <w:p w14:paraId="3D932CCE">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c>
          <w:tcPr>
            <w:tcW w:w="519" w:type="pct"/>
            <w:vAlign w:val="center"/>
          </w:tcPr>
          <w:p w14:paraId="3E42131D">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c>
          <w:tcPr>
            <w:tcW w:w="532" w:type="pct"/>
            <w:vAlign w:val="center"/>
          </w:tcPr>
          <w:p w14:paraId="5F1BDA62">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r>
      <w:tr w14:paraId="0CAF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Merge w:val="continue"/>
            <w:vAlign w:val="center"/>
          </w:tcPr>
          <w:p w14:paraId="552F351D">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22" w:type="pct"/>
            <w:vMerge w:val="continue"/>
            <w:vAlign w:val="center"/>
          </w:tcPr>
          <w:p w14:paraId="73578500">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2014" w:type="pct"/>
            <w:vAlign w:val="center"/>
          </w:tcPr>
          <w:p w14:paraId="3FD8F2F4">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3.3中标人不能交付设备的，投标人向采购人偿付项目采购金额百分之 5 的违约金；造成严重后果的，根据《深圳经济特区政府采购条例》第五十七条第（二）款规定，由主管部门对投标人进行处罚。</w:t>
            </w:r>
          </w:p>
        </w:tc>
        <w:tc>
          <w:tcPr>
            <w:tcW w:w="554" w:type="pct"/>
            <w:vAlign w:val="center"/>
          </w:tcPr>
          <w:p w14:paraId="62F2A420">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c>
          <w:tcPr>
            <w:tcW w:w="519" w:type="pct"/>
            <w:vAlign w:val="center"/>
          </w:tcPr>
          <w:p w14:paraId="61764A76">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c>
          <w:tcPr>
            <w:tcW w:w="532" w:type="pct"/>
            <w:vAlign w:val="center"/>
          </w:tcPr>
          <w:p w14:paraId="64147E1C">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r>
      <w:tr w14:paraId="35D9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Merge w:val="continue"/>
            <w:vAlign w:val="center"/>
          </w:tcPr>
          <w:p w14:paraId="5F1ADAEB">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22" w:type="pct"/>
            <w:vMerge w:val="continue"/>
            <w:vAlign w:val="center"/>
          </w:tcPr>
          <w:p w14:paraId="7A28ADCF">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2014" w:type="pct"/>
            <w:vAlign w:val="center"/>
          </w:tcPr>
          <w:p w14:paraId="2C82D0DE">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3.4中标人逾期未交设备的，中标人向采购人每日偿付设备款千分之 1的违约金。中标人超过交货期限 10 日仍未交货，采购人有权解除合同</w:t>
            </w:r>
          </w:p>
        </w:tc>
        <w:tc>
          <w:tcPr>
            <w:tcW w:w="554" w:type="pct"/>
            <w:vAlign w:val="center"/>
          </w:tcPr>
          <w:p w14:paraId="24B749FB">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c>
          <w:tcPr>
            <w:tcW w:w="519" w:type="pct"/>
            <w:vAlign w:val="center"/>
          </w:tcPr>
          <w:p w14:paraId="7CE77ED0">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c>
          <w:tcPr>
            <w:tcW w:w="532" w:type="pct"/>
            <w:vAlign w:val="center"/>
          </w:tcPr>
          <w:p w14:paraId="43737A98">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r>
      <w:tr w14:paraId="405E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Merge w:val="continue"/>
            <w:vAlign w:val="center"/>
          </w:tcPr>
          <w:p w14:paraId="7F65F976">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22" w:type="pct"/>
            <w:vMerge w:val="continue"/>
            <w:vAlign w:val="center"/>
          </w:tcPr>
          <w:p w14:paraId="2BFFF8A7">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2014" w:type="pct"/>
            <w:vAlign w:val="center"/>
          </w:tcPr>
          <w:p w14:paraId="21A40484">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3.5中标人逾期交货的，将被没收履约保证金并按主管部门相关规定处理，违约金先从由投标人履约保证金中扣除，若有不足部分则由中标人补齐。</w:t>
            </w:r>
          </w:p>
        </w:tc>
        <w:tc>
          <w:tcPr>
            <w:tcW w:w="554" w:type="pct"/>
            <w:vAlign w:val="center"/>
          </w:tcPr>
          <w:p w14:paraId="2F218A1F">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c>
          <w:tcPr>
            <w:tcW w:w="519" w:type="pct"/>
            <w:vAlign w:val="center"/>
          </w:tcPr>
          <w:p w14:paraId="37E5C956">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c>
          <w:tcPr>
            <w:tcW w:w="532" w:type="pct"/>
            <w:vAlign w:val="center"/>
          </w:tcPr>
          <w:p w14:paraId="7DE17EAA">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r>
      <w:tr w14:paraId="3392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Merge w:val="continue"/>
            <w:vAlign w:val="center"/>
          </w:tcPr>
          <w:p w14:paraId="0CD6CDB2">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22" w:type="pct"/>
            <w:vMerge w:val="continue"/>
            <w:vAlign w:val="center"/>
          </w:tcPr>
          <w:p w14:paraId="5CD04ED5">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2014" w:type="pct"/>
            <w:vAlign w:val="center"/>
          </w:tcPr>
          <w:p w14:paraId="272D34C6">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3.6中标人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c>
          <w:tcPr>
            <w:tcW w:w="554" w:type="pct"/>
            <w:vAlign w:val="center"/>
          </w:tcPr>
          <w:p w14:paraId="7CE8D1E0">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c>
          <w:tcPr>
            <w:tcW w:w="519" w:type="pct"/>
            <w:vAlign w:val="center"/>
          </w:tcPr>
          <w:p w14:paraId="1F6261E6">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c>
          <w:tcPr>
            <w:tcW w:w="532" w:type="pct"/>
            <w:vAlign w:val="center"/>
          </w:tcPr>
          <w:p w14:paraId="39B7DA19">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r>
      <w:tr w14:paraId="2935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Merge w:val="continue"/>
            <w:vAlign w:val="center"/>
          </w:tcPr>
          <w:p w14:paraId="69B8522F">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922" w:type="pct"/>
            <w:vMerge w:val="continue"/>
            <w:vAlign w:val="center"/>
          </w:tcPr>
          <w:p w14:paraId="17F3604C">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p>
        </w:tc>
        <w:tc>
          <w:tcPr>
            <w:tcW w:w="2014" w:type="pct"/>
            <w:vAlign w:val="center"/>
          </w:tcPr>
          <w:p w14:paraId="008F87FA">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highlight w:val="yellow"/>
              </w:rPr>
              <w:t>★</w:t>
            </w:r>
            <w:r>
              <w:rPr>
                <w:rFonts w:hint="eastAsia" w:asciiTheme="minorEastAsia" w:hAnsiTheme="minorEastAsia" w:eastAsiaTheme="minorEastAsia"/>
                <w:bCs/>
                <w:color w:val="auto"/>
                <w:szCs w:val="21"/>
                <w:highlight w:val="yellow"/>
                <w:lang w:val="en-US" w:eastAsia="zh-CN"/>
              </w:rPr>
              <w:t>3.7</w:t>
            </w:r>
            <w:r>
              <w:rPr>
                <w:rFonts w:hint="eastAsia" w:asciiTheme="minorEastAsia" w:hAnsiTheme="minorEastAsia" w:eastAsiaTheme="minorEastAsia"/>
                <w:bCs/>
                <w:color w:val="auto"/>
                <w:szCs w:val="21"/>
                <w:highlight w:val="yellow"/>
                <w:lang w:val="en-US" w:eastAsia="zh-TW"/>
              </w:rPr>
              <w:t>采购人逾期</w:t>
            </w:r>
            <w:r>
              <w:rPr>
                <w:rFonts w:hint="eastAsia" w:asciiTheme="minorEastAsia" w:hAnsiTheme="minorEastAsia" w:eastAsiaTheme="minorEastAsia"/>
                <w:bCs/>
                <w:color w:val="auto"/>
                <w:szCs w:val="21"/>
                <w:highlight w:val="yellow"/>
                <w:lang w:val="en-US" w:eastAsia="zh-CN"/>
              </w:rPr>
              <w:t>支付合同款项</w:t>
            </w:r>
            <w:r>
              <w:rPr>
                <w:rFonts w:hint="eastAsia" w:asciiTheme="minorEastAsia" w:hAnsiTheme="minorEastAsia" w:eastAsiaTheme="minorEastAsia"/>
                <w:bCs/>
                <w:color w:val="auto"/>
                <w:szCs w:val="21"/>
                <w:highlight w:val="yellow"/>
                <w:lang w:val="en-US" w:eastAsia="zh-TW"/>
              </w:rPr>
              <w:t>的，除应当</w:t>
            </w:r>
            <w:r>
              <w:rPr>
                <w:rFonts w:hint="eastAsia" w:asciiTheme="minorEastAsia" w:hAnsiTheme="minorEastAsia" w:eastAsiaTheme="minorEastAsia"/>
                <w:bCs/>
                <w:color w:val="auto"/>
                <w:szCs w:val="21"/>
                <w:highlight w:val="yellow"/>
                <w:lang w:val="en-US" w:eastAsia="zh-CN"/>
              </w:rPr>
              <w:t>支付合同款项</w:t>
            </w:r>
            <w:r>
              <w:rPr>
                <w:rFonts w:hint="eastAsia" w:asciiTheme="minorEastAsia" w:hAnsiTheme="minorEastAsia" w:eastAsiaTheme="minorEastAsia"/>
                <w:bCs/>
                <w:color w:val="auto"/>
                <w:szCs w:val="21"/>
                <w:highlight w:val="yellow"/>
                <w:lang w:val="en-US" w:eastAsia="zh-TW"/>
              </w:rPr>
              <w:t>外，还应当每日按合同总价的</w:t>
            </w:r>
            <w:r>
              <w:rPr>
                <w:rFonts w:hint="eastAsia" w:asciiTheme="minorEastAsia" w:hAnsiTheme="minorEastAsia" w:eastAsiaTheme="minorEastAsia"/>
                <w:bCs/>
                <w:color w:val="auto"/>
                <w:szCs w:val="21"/>
                <w:highlight w:val="yellow"/>
                <w:lang w:val="en-US" w:eastAsia="zh-CN"/>
              </w:rPr>
              <w:t>1</w:t>
            </w:r>
            <w:r>
              <w:rPr>
                <w:rFonts w:hint="eastAsia" w:asciiTheme="minorEastAsia" w:hAnsiTheme="minorEastAsia" w:eastAsiaTheme="minorEastAsia"/>
                <w:bCs/>
                <w:color w:val="auto"/>
                <w:szCs w:val="21"/>
                <w:highlight w:val="yellow"/>
                <w:lang w:val="en-US" w:eastAsia="zh-TW"/>
              </w:rPr>
              <w:t>‰向</w:t>
            </w:r>
            <w:r>
              <w:rPr>
                <w:rFonts w:hint="eastAsia" w:asciiTheme="minorEastAsia" w:hAnsiTheme="minorEastAsia" w:eastAsiaTheme="minorEastAsia"/>
                <w:bCs/>
                <w:color w:val="auto"/>
                <w:szCs w:val="21"/>
                <w:highlight w:val="yellow"/>
                <w:lang w:val="en-US" w:eastAsia="zh-CN"/>
              </w:rPr>
              <w:t>中标人</w:t>
            </w:r>
            <w:r>
              <w:rPr>
                <w:rFonts w:hint="eastAsia" w:asciiTheme="minorEastAsia" w:hAnsiTheme="minorEastAsia" w:eastAsiaTheme="minorEastAsia"/>
                <w:bCs/>
                <w:color w:val="auto"/>
                <w:szCs w:val="21"/>
                <w:highlight w:val="yellow"/>
                <w:lang w:val="en-US" w:eastAsia="zh-TW"/>
              </w:rPr>
              <w:t>偿付违约金，但因</w:t>
            </w:r>
            <w:r>
              <w:rPr>
                <w:rFonts w:hint="eastAsia" w:asciiTheme="minorEastAsia" w:hAnsiTheme="minorEastAsia" w:eastAsiaTheme="minorEastAsia"/>
                <w:bCs/>
                <w:color w:val="auto"/>
                <w:szCs w:val="21"/>
                <w:highlight w:val="yellow"/>
                <w:lang w:val="en-US" w:eastAsia="zh-CN"/>
              </w:rPr>
              <w:t>中标人</w:t>
            </w:r>
            <w:r>
              <w:rPr>
                <w:rFonts w:hint="eastAsia" w:asciiTheme="minorEastAsia" w:hAnsiTheme="minorEastAsia" w:eastAsiaTheme="minorEastAsia"/>
                <w:bCs/>
                <w:color w:val="auto"/>
                <w:szCs w:val="21"/>
                <w:highlight w:val="yellow"/>
                <w:lang w:val="en-US" w:eastAsia="zh-TW"/>
              </w:rPr>
              <w:t>自身原因导致无法及时</w:t>
            </w:r>
            <w:r>
              <w:rPr>
                <w:rFonts w:hint="eastAsia" w:asciiTheme="minorEastAsia" w:hAnsiTheme="minorEastAsia" w:eastAsiaTheme="minorEastAsia"/>
                <w:bCs/>
                <w:color w:val="auto"/>
                <w:szCs w:val="21"/>
                <w:highlight w:val="yellow"/>
                <w:lang w:val="en-US" w:eastAsia="zh-CN"/>
              </w:rPr>
              <w:t>支付</w:t>
            </w:r>
            <w:r>
              <w:rPr>
                <w:rFonts w:hint="eastAsia" w:asciiTheme="minorEastAsia" w:hAnsiTheme="minorEastAsia" w:eastAsiaTheme="minorEastAsia"/>
                <w:bCs/>
                <w:color w:val="auto"/>
                <w:szCs w:val="21"/>
                <w:highlight w:val="yellow"/>
                <w:lang w:val="en-US" w:eastAsia="zh-TW"/>
              </w:rPr>
              <w:t>的除外</w:t>
            </w:r>
          </w:p>
        </w:tc>
        <w:tc>
          <w:tcPr>
            <w:tcW w:w="554" w:type="pct"/>
            <w:vAlign w:val="center"/>
          </w:tcPr>
          <w:p w14:paraId="025A5A6C">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highlight w:val="yellow"/>
              </w:rPr>
            </w:pPr>
          </w:p>
        </w:tc>
        <w:tc>
          <w:tcPr>
            <w:tcW w:w="519" w:type="pct"/>
            <w:vAlign w:val="center"/>
          </w:tcPr>
          <w:p w14:paraId="19BCDEB6">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highlight w:val="yellow"/>
              </w:rPr>
            </w:pPr>
          </w:p>
        </w:tc>
        <w:tc>
          <w:tcPr>
            <w:tcW w:w="532" w:type="pct"/>
            <w:vAlign w:val="center"/>
          </w:tcPr>
          <w:p w14:paraId="663D9BFF">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highlight w:val="yellow"/>
              </w:rPr>
            </w:pPr>
          </w:p>
        </w:tc>
      </w:tr>
      <w:tr w14:paraId="23C9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Align w:val="center"/>
          </w:tcPr>
          <w:p w14:paraId="14AC3522">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w:t>
            </w:r>
          </w:p>
        </w:tc>
        <w:tc>
          <w:tcPr>
            <w:tcW w:w="922" w:type="pct"/>
            <w:vAlign w:val="center"/>
          </w:tcPr>
          <w:p w14:paraId="43DB786A">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关于付款</w:t>
            </w:r>
          </w:p>
        </w:tc>
        <w:tc>
          <w:tcPr>
            <w:tcW w:w="2014" w:type="pct"/>
            <w:vAlign w:val="center"/>
          </w:tcPr>
          <w:p w14:paraId="57F3C654">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4.1全部合同货物到达交货地点，并安装调试且验收合格后，提交验收资料，采购人在收到验收资料和发票后向中标人支付合同总价的  100   %。</w:t>
            </w:r>
          </w:p>
          <w:p w14:paraId="2983425A">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4.2每次</w:t>
            </w:r>
            <w:r>
              <w:rPr>
                <w:rFonts w:hint="eastAsia" w:asciiTheme="minorEastAsia" w:hAnsiTheme="minorEastAsia" w:eastAsiaTheme="minorEastAsia"/>
                <w:bCs/>
                <w:color w:val="auto"/>
                <w:szCs w:val="21"/>
                <w:lang w:val="en-US" w:eastAsia="zh-TW"/>
              </w:rPr>
              <w:t>按合同支付款项前，</w:t>
            </w:r>
            <w:r>
              <w:rPr>
                <w:rFonts w:hint="eastAsia" w:asciiTheme="minorEastAsia" w:hAnsiTheme="minorEastAsia" w:eastAsiaTheme="minorEastAsia"/>
                <w:bCs/>
                <w:color w:val="auto"/>
                <w:szCs w:val="21"/>
                <w:lang w:val="en-US" w:eastAsia="zh-CN"/>
              </w:rPr>
              <w:t>中标人应</w:t>
            </w:r>
            <w:r>
              <w:rPr>
                <w:rFonts w:hint="eastAsia" w:asciiTheme="minorEastAsia" w:hAnsiTheme="minorEastAsia" w:eastAsiaTheme="minorEastAsia"/>
                <w:bCs/>
                <w:color w:val="auto"/>
                <w:szCs w:val="21"/>
                <w:lang w:val="en-US" w:eastAsia="zh-TW"/>
              </w:rPr>
              <w:t>向采购人提供与支付金额相符的有效发票，且收款方、出具发票方、合同乙方均必须与</w:t>
            </w:r>
            <w:r>
              <w:rPr>
                <w:rFonts w:hint="eastAsia" w:asciiTheme="minorEastAsia" w:hAnsiTheme="minorEastAsia" w:eastAsiaTheme="minorEastAsia"/>
                <w:bCs/>
                <w:color w:val="auto"/>
                <w:szCs w:val="21"/>
                <w:lang w:val="en-US" w:eastAsia="zh-CN"/>
              </w:rPr>
              <w:t>中标人</w:t>
            </w:r>
            <w:r>
              <w:rPr>
                <w:rFonts w:hint="eastAsia" w:asciiTheme="minorEastAsia" w:hAnsiTheme="minorEastAsia" w:eastAsiaTheme="minorEastAsia"/>
                <w:bCs/>
                <w:color w:val="auto"/>
                <w:szCs w:val="21"/>
                <w:lang w:val="en-US" w:eastAsia="zh-TW"/>
              </w:rPr>
              <w:t>名称一致；</w:t>
            </w:r>
          </w:p>
        </w:tc>
        <w:tc>
          <w:tcPr>
            <w:tcW w:w="554" w:type="pct"/>
            <w:vAlign w:val="center"/>
          </w:tcPr>
          <w:p w14:paraId="0CA44A41">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c>
          <w:tcPr>
            <w:tcW w:w="519" w:type="pct"/>
            <w:vAlign w:val="center"/>
          </w:tcPr>
          <w:p w14:paraId="501689DB">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c>
          <w:tcPr>
            <w:tcW w:w="532" w:type="pct"/>
            <w:vAlign w:val="center"/>
          </w:tcPr>
          <w:p w14:paraId="52FFB40C">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r>
      <w:tr w14:paraId="56D8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Align w:val="center"/>
          </w:tcPr>
          <w:p w14:paraId="196DC57D">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w:t>
            </w:r>
          </w:p>
        </w:tc>
        <w:tc>
          <w:tcPr>
            <w:tcW w:w="922" w:type="pct"/>
            <w:vAlign w:val="center"/>
          </w:tcPr>
          <w:p w14:paraId="16622A8E">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知识产权合规承诺</w:t>
            </w:r>
          </w:p>
        </w:tc>
        <w:tc>
          <w:tcPr>
            <w:tcW w:w="2014" w:type="pct"/>
            <w:vAlign w:val="center"/>
          </w:tcPr>
          <w:p w14:paraId="3E631361">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6.1投标人在履行合同的过程中不得侵犯他人知识产权，不得提供虚假知识产权申请材料或者违背知识产权合规性承诺，否则依法追究其违约等责任，并将其失信违法信息依法纳入公共信用信息系统。</w:t>
            </w:r>
          </w:p>
          <w:p w14:paraId="1F1ACA08">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6.2投标人应保证采购人在使用该货物或其任何一部分时免受第三方提出侵犯其专利、商标、版权等知识产权或商品名称及其他权利的起诉及索赔。若采购人因此被第三方起诉或以其它方式追究责任，投标人应赔偿因采购人被第三方索赔所引起的一切损失，包括但不限于采购人所支付的侵权损害赔偿费、律师费、诉讼费、仲裁费、办案差旅费等因应诉、沟通协调所发的一切费用。</w:t>
            </w:r>
          </w:p>
          <w:p w14:paraId="3321D39F">
            <w:pPr>
              <w:keepNext w:val="0"/>
              <w:keepLines w:val="0"/>
              <w:suppressLineNumbers w:val="0"/>
              <w:spacing w:before="0" w:beforeAutospacing="0" w:after="0" w:afterAutospacing="0"/>
              <w:ind w:left="0" w:right="0"/>
              <w:jc w:val="both"/>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bCs/>
                <w:color w:val="auto"/>
                <w:szCs w:val="21"/>
                <w:lang w:val="en-US" w:eastAsia="zh-CN"/>
              </w:rPr>
              <w:t>6.3投标人实施本项目所形成成果的知识产权归采购人所有，未经采购人许可，投标人不得随意使用。</w:t>
            </w:r>
          </w:p>
        </w:tc>
        <w:tc>
          <w:tcPr>
            <w:tcW w:w="554" w:type="pct"/>
            <w:vAlign w:val="center"/>
          </w:tcPr>
          <w:p w14:paraId="30964AE0">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c>
          <w:tcPr>
            <w:tcW w:w="519" w:type="pct"/>
            <w:vAlign w:val="center"/>
          </w:tcPr>
          <w:p w14:paraId="5CC1AEEC">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c>
          <w:tcPr>
            <w:tcW w:w="532" w:type="pct"/>
            <w:vAlign w:val="center"/>
          </w:tcPr>
          <w:p w14:paraId="425DFFC9">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val="0"/>
                <w:bCs w:val="0"/>
                <w:color w:val="auto"/>
                <w:sz w:val="21"/>
                <w:szCs w:val="21"/>
              </w:rPr>
            </w:pPr>
          </w:p>
        </w:tc>
      </w:tr>
      <w:tr w14:paraId="2E60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Merge w:val="restart"/>
            <w:vAlign w:val="center"/>
          </w:tcPr>
          <w:p w14:paraId="28D05BA1">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w:t>
            </w:r>
          </w:p>
        </w:tc>
        <w:tc>
          <w:tcPr>
            <w:tcW w:w="922" w:type="pct"/>
            <w:vMerge w:val="restart"/>
            <w:vAlign w:val="center"/>
          </w:tcPr>
          <w:p w14:paraId="653E8E4B">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项目（产品）要求</w:t>
            </w:r>
          </w:p>
        </w:tc>
        <w:tc>
          <w:tcPr>
            <w:tcW w:w="2014" w:type="pct"/>
            <w:vAlign w:val="center"/>
          </w:tcPr>
          <w:p w14:paraId="72F5DA59">
            <w:pPr>
              <w:keepNext w:val="0"/>
              <w:keepLines w:val="0"/>
              <w:suppressLineNumbers w:val="0"/>
              <w:spacing w:before="0" w:beforeAutospacing="0" w:after="0" w:afterAutospacing="0"/>
              <w:ind w:left="0" w:right="0"/>
              <w:jc w:val="both"/>
              <w:rPr>
                <w:rFonts w:hint="eastAsia" w:asciiTheme="minorEastAsia" w:hAnsiTheme="minorEastAsia" w:eastAsiaTheme="minorEastAsia"/>
                <w:b/>
                <w:bCs w:val="0"/>
                <w:color w:val="FF0000"/>
                <w:szCs w:val="21"/>
                <w:lang w:val="en-US" w:eastAsia="zh-CN"/>
              </w:rPr>
            </w:pPr>
            <w:r>
              <w:rPr>
                <w:rFonts w:hint="eastAsia" w:asciiTheme="minorEastAsia" w:hAnsiTheme="minorEastAsia" w:eastAsiaTheme="minorEastAsia"/>
                <w:b/>
                <w:bCs w:val="0"/>
                <w:color w:val="FF0000"/>
                <w:szCs w:val="21"/>
                <w:lang w:val="en-US" w:eastAsia="zh-CN"/>
              </w:rPr>
              <w:t>★7.1若所投产品为进口，则投标人需提供由设备制造商或授权的中国代理签署的合法有效的保修、维修承诺函（免费保修期满足招标文件要求）扫描件；若所投产品为国产产品，则无需提供。</w:t>
            </w:r>
          </w:p>
        </w:tc>
        <w:tc>
          <w:tcPr>
            <w:tcW w:w="554" w:type="pct"/>
            <w:vAlign w:val="center"/>
          </w:tcPr>
          <w:p w14:paraId="5AA89355">
            <w:pPr>
              <w:keepNext w:val="0"/>
              <w:keepLines w:val="0"/>
              <w:suppressLineNumbers w:val="0"/>
              <w:spacing w:before="0" w:beforeAutospacing="0" w:after="0" w:afterAutospacing="0"/>
              <w:ind w:left="0" w:right="0"/>
              <w:jc w:val="both"/>
              <w:rPr>
                <w:rFonts w:hint="eastAsia" w:asciiTheme="minorEastAsia" w:hAnsiTheme="minorEastAsia" w:eastAsiaTheme="minorEastAsia"/>
                <w:b/>
                <w:bCs w:val="0"/>
                <w:color w:val="FF0000"/>
                <w:szCs w:val="21"/>
                <w:lang w:val="en-US" w:eastAsia="zh-CN"/>
              </w:rPr>
            </w:pPr>
          </w:p>
        </w:tc>
        <w:tc>
          <w:tcPr>
            <w:tcW w:w="519" w:type="pct"/>
            <w:vAlign w:val="center"/>
          </w:tcPr>
          <w:p w14:paraId="2CFEA393">
            <w:pPr>
              <w:keepNext w:val="0"/>
              <w:keepLines w:val="0"/>
              <w:suppressLineNumbers w:val="0"/>
              <w:spacing w:before="0" w:beforeAutospacing="0" w:after="0" w:afterAutospacing="0"/>
              <w:ind w:left="0" w:right="0"/>
              <w:jc w:val="both"/>
              <w:rPr>
                <w:rFonts w:hint="eastAsia" w:asciiTheme="minorEastAsia" w:hAnsiTheme="minorEastAsia" w:eastAsiaTheme="minorEastAsia"/>
                <w:b/>
                <w:bCs w:val="0"/>
                <w:color w:val="FF0000"/>
                <w:szCs w:val="21"/>
                <w:lang w:val="en-US" w:eastAsia="zh-CN"/>
              </w:rPr>
            </w:pPr>
          </w:p>
        </w:tc>
        <w:tc>
          <w:tcPr>
            <w:tcW w:w="532" w:type="pct"/>
            <w:vAlign w:val="center"/>
          </w:tcPr>
          <w:p w14:paraId="2810B01A">
            <w:pPr>
              <w:keepNext w:val="0"/>
              <w:keepLines w:val="0"/>
              <w:suppressLineNumbers w:val="0"/>
              <w:spacing w:before="0" w:beforeAutospacing="0" w:after="0" w:afterAutospacing="0"/>
              <w:ind w:left="0" w:right="0"/>
              <w:jc w:val="both"/>
              <w:rPr>
                <w:rFonts w:hint="eastAsia" w:asciiTheme="minorEastAsia" w:hAnsiTheme="minorEastAsia" w:eastAsiaTheme="minorEastAsia"/>
                <w:b/>
                <w:bCs w:val="0"/>
                <w:color w:val="FF0000"/>
                <w:szCs w:val="21"/>
                <w:lang w:val="en-US" w:eastAsia="zh-CN"/>
              </w:rPr>
            </w:pPr>
          </w:p>
        </w:tc>
      </w:tr>
      <w:tr w14:paraId="08F0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pct"/>
            <w:vMerge w:val="continue"/>
            <w:vAlign w:val="center"/>
          </w:tcPr>
          <w:p w14:paraId="1FE0A3B1">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val="en-US" w:eastAsia="zh-CN"/>
              </w:rPr>
            </w:pPr>
          </w:p>
        </w:tc>
        <w:tc>
          <w:tcPr>
            <w:tcW w:w="922" w:type="pct"/>
            <w:vMerge w:val="continue"/>
            <w:vAlign w:val="center"/>
          </w:tcPr>
          <w:p w14:paraId="383DB4D2">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eastAsia" w:asciiTheme="minorEastAsia" w:hAnsiTheme="minorEastAsia" w:eastAsiaTheme="minorEastAsia" w:cstheme="minorEastAsia"/>
                <w:b w:val="0"/>
                <w:bCs w:val="0"/>
                <w:color w:val="auto"/>
                <w:sz w:val="21"/>
                <w:szCs w:val="21"/>
                <w:lang w:val="en-US" w:eastAsia="zh-CN"/>
              </w:rPr>
            </w:pPr>
          </w:p>
        </w:tc>
        <w:tc>
          <w:tcPr>
            <w:tcW w:w="2014" w:type="pct"/>
            <w:vAlign w:val="center"/>
          </w:tcPr>
          <w:p w14:paraId="59A7084A">
            <w:pPr>
              <w:keepNext w:val="0"/>
              <w:keepLines w:val="0"/>
              <w:suppressLineNumbers w:val="0"/>
              <w:spacing w:before="0" w:beforeAutospacing="0" w:after="0" w:afterAutospacing="0"/>
              <w:ind w:left="0" w:right="0"/>
              <w:jc w:val="both"/>
              <w:rPr>
                <w:rFonts w:hint="eastAsia" w:asciiTheme="minorEastAsia" w:hAnsiTheme="minorEastAsia" w:eastAsiaTheme="minorEastAsia"/>
                <w:b/>
                <w:bCs w:val="0"/>
                <w:color w:val="FF0000"/>
                <w:szCs w:val="21"/>
                <w:lang w:val="en-US" w:eastAsia="zh-CN"/>
              </w:rPr>
            </w:pPr>
            <w:r>
              <w:rPr>
                <w:rFonts w:hint="eastAsia" w:asciiTheme="minorEastAsia" w:hAnsiTheme="minorEastAsia" w:eastAsiaTheme="minorEastAsia"/>
                <w:b/>
                <w:bCs w:val="0"/>
                <w:color w:val="FF0000"/>
                <w:szCs w:val="21"/>
                <w:lang w:val="en-US" w:eastAsia="zh-CN"/>
              </w:rPr>
              <w:t>★7.2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c>
          <w:tcPr>
            <w:tcW w:w="554" w:type="pct"/>
            <w:vAlign w:val="center"/>
          </w:tcPr>
          <w:p w14:paraId="675DF518">
            <w:pPr>
              <w:keepNext w:val="0"/>
              <w:keepLines w:val="0"/>
              <w:suppressLineNumbers w:val="0"/>
              <w:spacing w:before="0" w:beforeAutospacing="0" w:after="0" w:afterAutospacing="0"/>
              <w:ind w:left="0" w:right="0"/>
              <w:jc w:val="both"/>
              <w:rPr>
                <w:rFonts w:hint="eastAsia" w:asciiTheme="minorEastAsia" w:hAnsiTheme="minorEastAsia" w:eastAsiaTheme="minorEastAsia"/>
                <w:b/>
                <w:bCs w:val="0"/>
                <w:color w:val="FF0000"/>
                <w:szCs w:val="21"/>
                <w:lang w:val="en-US" w:eastAsia="zh-CN"/>
              </w:rPr>
            </w:pPr>
          </w:p>
        </w:tc>
        <w:tc>
          <w:tcPr>
            <w:tcW w:w="519" w:type="pct"/>
            <w:vAlign w:val="center"/>
          </w:tcPr>
          <w:p w14:paraId="2DF46195">
            <w:pPr>
              <w:keepNext w:val="0"/>
              <w:keepLines w:val="0"/>
              <w:suppressLineNumbers w:val="0"/>
              <w:spacing w:before="0" w:beforeAutospacing="0" w:after="0" w:afterAutospacing="0"/>
              <w:ind w:left="0" w:right="0"/>
              <w:jc w:val="both"/>
              <w:rPr>
                <w:rFonts w:hint="eastAsia" w:asciiTheme="minorEastAsia" w:hAnsiTheme="minorEastAsia" w:eastAsiaTheme="minorEastAsia"/>
                <w:b/>
                <w:bCs w:val="0"/>
                <w:color w:val="FF0000"/>
                <w:szCs w:val="21"/>
                <w:lang w:val="en-US" w:eastAsia="zh-CN"/>
              </w:rPr>
            </w:pPr>
          </w:p>
        </w:tc>
        <w:tc>
          <w:tcPr>
            <w:tcW w:w="532" w:type="pct"/>
            <w:vAlign w:val="center"/>
          </w:tcPr>
          <w:p w14:paraId="52D73138">
            <w:pPr>
              <w:keepNext w:val="0"/>
              <w:keepLines w:val="0"/>
              <w:suppressLineNumbers w:val="0"/>
              <w:spacing w:before="0" w:beforeAutospacing="0" w:after="0" w:afterAutospacing="0"/>
              <w:ind w:left="0" w:right="0"/>
              <w:jc w:val="both"/>
              <w:rPr>
                <w:rFonts w:hint="eastAsia" w:asciiTheme="minorEastAsia" w:hAnsiTheme="minorEastAsia" w:eastAsiaTheme="minorEastAsia"/>
                <w:b/>
                <w:bCs w:val="0"/>
                <w:color w:val="FF0000"/>
                <w:szCs w:val="21"/>
                <w:lang w:val="en-US" w:eastAsia="zh-CN"/>
              </w:rPr>
            </w:pPr>
          </w:p>
        </w:tc>
      </w:tr>
    </w:tbl>
    <w:p w14:paraId="1C77164D">
      <w:pPr>
        <w:ind w:firstLine="420" w:firstLineChars="200"/>
        <w:rPr>
          <w:b w:val="0"/>
          <w:bCs/>
          <w:sz w:val="21"/>
          <w:szCs w:val="21"/>
        </w:rPr>
      </w:pPr>
      <w:r>
        <w:rPr>
          <w:rFonts w:hint="eastAsia"/>
          <w:b w:val="0"/>
          <w:bCs/>
          <w:sz w:val="21"/>
          <w:szCs w:val="21"/>
        </w:rPr>
        <w:t>《商务要求偏离表》编制指引：</w:t>
      </w:r>
    </w:p>
    <w:p w14:paraId="18D962B7">
      <w:pPr>
        <w:ind w:firstLine="420" w:firstLineChars="200"/>
        <w:rPr>
          <w:b w:val="0"/>
          <w:bCs/>
          <w:sz w:val="21"/>
          <w:szCs w:val="21"/>
        </w:rPr>
      </w:pPr>
      <w:r>
        <w:rPr>
          <w:rFonts w:hint="eastAsia"/>
          <w:b w:val="0"/>
          <w:bCs/>
          <w:sz w:val="21"/>
          <w:szCs w:val="21"/>
        </w:rPr>
        <w:t>1、商务要求偏离表的序号、商务需求项、招标商务要求等栏目对应“用户需求书”中的“商务要求”章节相关内容。</w:t>
      </w:r>
    </w:p>
    <w:p w14:paraId="5E204327">
      <w:pPr>
        <w:ind w:firstLine="420" w:firstLineChars="200"/>
        <w:rPr>
          <w:b w:val="0"/>
          <w:bCs/>
          <w:sz w:val="21"/>
          <w:szCs w:val="21"/>
        </w:rPr>
      </w:pPr>
      <w:r>
        <w:rPr>
          <w:b w:val="0"/>
          <w:bCs/>
          <w:sz w:val="21"/>
          <w:szCs w:val="21"/>
        </w:rPr>
        <w:t>2</w:t>
      </w:r>
      <w:r>
        <w:rPr>
          <w:rFonts w:hint="eastAsia"/>
          <w:b w:val="0"/>
          <w:bCs/>
          <w:sz w:val="21"/>
          <w:szCs w:val="21"/>
        </w:rPr>
        <w:t>、“投标商务响应”一栏必须一一对照“招标商务要求”，详细填写自身响应情况，而不能不合理照搬照抄招标文件的商务要求，以体现具体响应情况。</w:t>
      </w:r>
    </w:p>
    <w:p w14:paraId="0D93279D">
      <w:pPr>
        <w:ind w:firstLine="420" w:firstLineChars="200"/>
        <w:rPr>
          <w:b w:val="0"/>
          <w:bCs/>
          <w:color w:val="FF0000"/>
          <w:sz w:val="21"/>
          <w:szCs w:val="21"/>
        </w:rPr>
      </w:pPr>
      <w:r>
        <w:rPr>
          <w:b w:val="0"/>
          <w:bCs/>
          <w:sz w:val="21"/>
          <w:szCs w:val="21"/>
        </w:rPr>
        <w:t>3</w:t>
      </w:r>
      <w:r>
        <w:rPr>
          <w:rFonts w:hint="eastAsia"/>
          <w:b w:val="0"/>
          <w:bCs/>
          <w:sz w:val="21"/>
          <w:szCs w:val="21"/>
        </w:rPr>
        <w:t>、“偏离情况”一栏填写如实填写“正偏离”、“负偏离”或“无偏离”，其中：“正偏离”表示“投标响应优于招标商务要求”，“负偏离”表示“投标响应不满足招标商务要求”，“无偏离”表示“投标响应与招标商务要求一致”。</w:t>
      </w:r>
    </w:p>
    <w:p w14:paraId="0F3E7BF5">
      <w:pPr>
        <w:rPr>
          <w:rFonts w:hint="eastAsia"/>
          <w:b w:val="0"/>
          <w:bCs/>
          <w:sz w:val="21"/>
          <w:szCs w:val="21"/>
          <w:lang w:eastAsia="zh-CN"/>
        </w:rPr>
      </w:pPr>
      <w:r>
        <w:rPr>
          <w:rFonts w:hint="eastAsia"/>
          <w:b w:val="0"/>
          <w:bCs/>
          <w:sz w:val="21"/>
          <w:szCs w:val="21"/>
        </w:rPr>
        <w:t>“投标商务响应”对比“招标商务要求”存在响应不全（包括未响应整项招标商务要求或者未响应一项招标商务要求的部分内容），均视为“负偏离”</w:t>
      </w:r>
      <w:r>
        <w:rPr>
          <w:rFonts w:hint="eastAsia"/>
          <w:b w:val="0"/>
          <w:bCs/>
          <w:sz w:val="21"/>
          <w:szCs w:val="21"/>
          <w:lang w:eastAsia="zh-CN"/>
        </w:rPr>
        <w:t>。</w:t>
      </w:r>
    </w:p>
    <w:p w14:paraId="0DEC7F40">
      <w:pPr>
        <w:ind w:firstLine="420" w:firstLineChars="200"/>
        <w:rPr>
          <w:b w:val="0"/>
          <w:bCs/>
          <w:sz w:val="21"/>
          <w:szCs w:val="21"/>
        </w:rPr>
      </w:pPr>
      <w:r>
        <w:rPr>
          <w:rFonts w:hint="eastAsia"/>
          <w:b w:val="0"/>
          <w:bCs/>
          <w:sz w:val="21"/>
          <w:szCs w:val="21"/>
        </w:rPr>
        <w:t>4、带★号条款为不可偏离条款，如未响应或出现负偏离的，将作投标无效处理。</w:t>
      </w:r>
    </w:p>
    <w:p w14:paraId="3FB31084">
      <w:pPr>
        <w:pStyle w:val="7"/>
        <w:ind w:firstLine="0"/>
        <w:rPr>
          <w:rFonts w:asciiTheme="minorEastAsia" w:hAnsiTheme="minorEastAsia" w:eastAsiaTheme="minorEastAsia" w:cstheme="minorEastAsia"/>
          <w:sz w:val="24"/>
          <w:highlight w:val="none"/>
        </w:rPr>
      </w:pPr>
    </w:p>
    <w:p w14:paraId="40A8CBCD">
      <w:pPr>
        <w:rPr>
          <w:rFonts w:hint="eastAsia" w:ascii="黑体" w:hAnsi="黑体" w:eastAsia="黑体" w:cs="黑体"/>
          <w:b w:val="0"/>
          <w:bCs w:val="0"/>
          <w:sz w:val="24"/>
          <w:szCs w:val="28"/>
          <w:highlight w:val="none"/>
          <w:lang w:val="en-US" w:eastAsia="zh-CN"/>
        </w:rPr>
      </w:pPr>
      <w:r>
        <w:rPr>
          <w:rFonts w:hint="eastAsia" w:ascii="黑体" w:hAnsi="黑体" w:eastAsia="黑体" w:cs="黑体"/>
          <w:b w:val="0"/>
          <w:bCs w:val="0"/>
          <w:sz w:val="24"/>
          <w:szCs w:val="28"/>
          <w:highlight w:val="none"/>
          <w:lang w:val="en-US" w:eastAsia="zh-CN"/>
        </w:rPr>
        <w:br w:type="page"/>
      </w:r>
    </w:p>
    <w:p w14:paraId="2CF4A53F">
      <w:pPr>
        <w:pStyle w:val="3"/>
        <w:jc w:val="center"/>
        <w:rPr>
          <w:rFonts w:hint="eastAsia" w:ascii="黑体" w:hAnsi="黑体" w:eastAsia="黑体" w:cs="黑体"/>
          <w:b w:val="0"/>
          <w:bCs w:val="0"/>
          <w:sz w:val="24"/>
          <w:szCs w:val="28"/>
          <w:highlight w:val="none"/>
          <w:lang w:eastAsia="zh-CN"/>
        </w:rPr>
      </w:pPr>
      <w:r>
        <w:rPr>
          <w:rFonts w:hint="eastAsia" w:ascii="黑体" w:hAnsi="黑体" w:eastAsia="黑体" w:cs="黑体"/>
          <w:b w:val="0"/>
          <w:bCs w:val="0"/>
          <w:sz w:val="24"/>
          <w:szCs w:val="28"/>
          <w:highlight w:val="none"/>
          <w:lang w:val="en-US" w:eastAsia="zh-CN"/>
        </w:rPr>
        <w:t>十一</w:t>
      </w:r>
      <w:r>
        <w:rPr>
          <w:rFonts w:hint="eastAsia" w:ascii="黑体" w:hAnsi="黑体" w:eastAsia="黑体" w:cs="黑体"/>
          <w:b w:val="0"/>
          <w:bCs w:val="0"/>
          <w:sz w:val="24"/>
          <w:szCs w:val="28"/>
          <w:highlight w:val="none"/>
        </w:rPr>
        <w:t>、</w:t>
      </w:r>
      <w:r>
        <w:rPr>
          <w:rFonts w:hint="eastAsia" w:ascii="黑体" w:hAnsi="黑体" w:eastAsia="黑体" w:cs="黑体"/>
          <w:b w:val="0"/>
          <w:bCs w:val="0"/>
          <w:sz w:val="24"/>
          <w:szCs w:val="28"/>
          <w:highlight w:val="none"/>
          <w:lang w:val="en-US" w:eastAsia="zh-CN"/>
        </w:rPr>
        <w:t>售后服务方案</w:t>
      </w:r>
      <w:r>
        <w:rPr>
          <w:rFonts w:hint="eastAsia" w:ascii="黑体" w:hAnsi="黑体" w:eastAsia="黑体" w:cs="黑体"/>
          <w:b w:val="0"/>
          <w:bCs w:val="0"/>
          <w:sz w:val="24"/>
          <w:szCs w:val="28"/>
          <w:highlight w:val="none"/>
        </w:rPr>
        <w:t>（格式自定</w:t>
      </w:r>
      <w:r>
        <w:rPr>
          <w:rFonts w:hint="eastAsia" w:ascii="黑体" w:hAnsi="黑体" w:eastAsia="黑体" w:cs="黑体"/>
          <w:b w:val="0"/>
          <w:bCs w:val="0"/>
          <w:sz w:val="24"/>
          <w:szCs w:val="28"/>
          <w:highlight w:val="none"/>
          <w:lang w:eastAsia="zh-CN"/>
        </w:rPr>
        <w:t>）</w:t>
      </w:r>
    </w:p>
    <w:p w14:paraId="6EDE64E1">
      <w:pPr>
        <w:pStyle w:val="7"/>
        <w:ind w:firstLine="0"/>
        <w:jc w:val="center"/>
        <w:rPr>
          <w:rFonts w:asciiTheme="minorEastAsia" w:hAnsiTheme="minorEastAsia" w:eastAsiaTheme="minorEastAsia" w:cstheme="minorEastAsia"/>
          <w:b/>
          <w:bCs/>
          <w:color w:val="FF0000"/>
          <w:sz w:val="22"/>
          <w:szCs w:val="18"/>
          <w:highlight w:val="none"/>
        </w:rPr>
      </w:pPr>
      <w:r>
        <w:rPr>
          <w:rFonts w:hint="eastAsia" w:asciiTheme="minorEastAsia" w:hAnsiTheme="minorEastAsia" w:eastAsiaTheme="minorEastAsia" w:cstheme="minorEastAsia"/>
          <w:b/>
          <w:bCs/>
          <w:color w:val="FF0000"/>
          <w:sz w:val="22"/>
          <w:szCs w:val="18"/>
          <w:highlight w:val="none"/>
        </w:rPr>
        <w:t>（特别提示：投标人须按本招标文件评标信息中这一评审因素要求，提供证明资料）</w:t>
      </w:r>
    </w:p>
    <w:p w14:paraId="74B6CE2B">
      <w:pPr>
        <w:pStyle w:val="7"/>
        <w:ind w:firstLine="0"/>
        <w:rPr>
          <w:rFonts w:asciiTheme="minorEastAsia" w:hAnsiTheme="minorEastAsia" w:eastAsiaTheme="minorEastAsia" w:cstheme="minorEastAsia"/>
          <w:sz w:val="24"/>
          <w:highlight w:val="none"/>
        </w:rPr>
      </w:pPr>
    </w:p>
    <w:p w14:paraId="20AD6827">
      <w:pPr>
        <w:pStyle w:val="3"/>
        <w:bidi w:val="0"/>
        <w:jc w:val="center"/>
        <w:rPr>
          <w:rFonts w:hint="eastAsia" w:ascii="黑体" w:hAnsi="黑体" w:eastAsia="黑体" w:cs="黑体"/>
          <w:b w:val="0"/>
          <w:bCs w:val="0"/>
          <w:sz w:val="24"/>
          <w:szCs w:val="28"/>
        </w:rPr>
      </w:pPr>
      <w:r>
        <w:rPr>
          <w:rFonts w:hint="eastAsia" w:ascii="黑体" w:hAnsi="黑体" w:eastAsia="黑体" w:cs="黑体"/>
          <w:b w:val="0"/>
          <w:bCs w:val="0"/>
          <w:sz w:val="24"/>
          <w:szCs w:val="28"/>
          <w:highlight w:val="none"/>
          <w:lang w:val="en-US" w:eastAsia="zh-CN"/>
        </w:rPr>
        <w:t>十二</w:t>
      </w:r>
      <w:r>
        <w:rPr>
          <w:rFonts w:hint="eastAsia" w:ascii="黑体" w:hAnsi="黑体" w:eastAsia="黑体" w:cs="黑体"/>
          <w:b w:val="0"/>
          <w:bCs w:val="0"/>
          <w:sz w:val="24"/>
          <w:szCs w:val="28"/>
          <w:highlight w:val="none"/>
        </w:rPr>
        <w:t>、</w:t>
      </w:r>
      <w:r>
        <w:rPr>
          <w:rFonts w:hint="eastAsia" w:ascii="黑体" w:hAnsi="黑体" w:eastAsia="黑体" w:cs="黑体"/>
          <w:b w:val="0"/>
          <w:bCs w:val="0"/>
          <w:sz w:val="24"/>
          <w:szCs w:val="28"/>
          <w:lang w:eastAsia="zh-CN"/>
        </w:rPr>
        <w:t>同类业绩</w:t>
      </w:r>
    </w:p>
    <w:tbl>
      <w:tblPr>
        <w:tblStyle w:val="42"/>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416"/>
        <w:gridCol w:w="1984"/>
        <w:gridCol w:w="849"/>
        <w:gridCol w:w="992"/>
        <w:gridCol w:w="2182"/>
      </w:tblGrid>
      <w:tr w14:paraId="36C1B4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2BF6B838">
            <w:pPr>
              <w:keepNext w:val="0"/>
              <w:keepLines w:val="0"/>
              <w:suppressLineNumbers w:val="0"/>
              <w:spacing w:before="0" w:beforeAutospacing="0" w:after="0" w:afterAutospacing="0"/>
              <w:ind w:left="0" w:right="0"/>
              <w:jc w:val="center"/>
              <w:rPr>
                <w:rFonts w:hint="default" w:ascii="宋体" w:hAnsi="宋体" w:eastAsia="宋体" w:cs="Times New Roman"/>
                <w:sz w:val="20"/>
                <w:szCs w:val="21"/>
                <w:highlight w:val="none"/>
              </w:rPr>
            </w:pPr>
            <w:r>
              <w:rPr>
                <w:rFonts w:hint="eastAsia" w:ascii="宋体" w:hAnsi="宋体" w:eastAsia="宋体" w:cs="Times New Roman"/>
                <w:sz w:val="20"/>
                <w:szCs w:val="21"/>
                <w:highlight w:val="none"/>
              </w:rPr>
              <w:t>采购人</w:t>
            </w:r>
          </w:p>
        </w:tc>
        <w:tc>
          <w:tcPr>
            <w:tcW w:w="831" w:type="pct"/>
            <w:vAlign w:val="center"/>
          </w:tcPr>
          <w:p w14:paraId="1AD227FB">
            <w:pPr>
              <w:keepNext w:val="0"/>
              <w:keepLines w:val="0"/>
              <w:suppressLineNumbers w:val="0"/>
              <w:spacing w:before="0" w:beforeAutospacing="0" w:after="0" w:afterAutospacing="0"/>
              <w:ind w:left="0" w:right="0"/>
              <w:jc w:val="center"/>
              <w:rPr>
                <w:rFonts w:hint="default" w:ascii="宋体" w:hAnsi="宋体" w:eastAsia="宋体" w:cs="Times New Roman"/>
                <w:sz w:val="20"/>
                <w:szCs w:val="21"/>
                <w:highlight w:val="none"/>
              </w:rPr>
            </w:pPr>
            <w:r>
              <w:rPr>
                <w:rFonts w:hint="eastAsia" w:ascii="宋体" w:hAnsi="宋体" w:eastAsia="宋体" w:cs="Times New Roman"/>
                <w:sz w:val="20"/>
                <w:szCs w:val="21"/>
                <w:highlight w:val="none"/>
              </w:rPr>
              <w:t>项目名称</w:t>
            </w:r>
          </w:p>
        </w:tc>
        <w:tc>
          <w:tcPr>
            <w:tcW w:w="1164" w:type="pct"/>
            <w:vAlign w:val="center"/>
          </w:tcPr>
          <w:p w14:paraId="3FDE31A3">
            <w:pPr>
              <w:keepNext w:val="0"/>
              <w:keepLines w:val="0"/>
              <w:suppressLineNumbers w:val="0"/>
              <w:spacing w:before="0" w:beforeAutospacing="0" w:after="0" w:afterAutospacing="0"/>
              <w:ind w:left="0" w:right="0"/>
              <w:jc w:val="center"/>
              <w:rPr>
                <w:rFonts w:hint="default" w:ascii="宋体" w:hAnsi="宋体" w:eastAsia="宋体" w:cs="Times New Roman"/>
                <w:sz w:val="20"/>
                <w:szCs w:val="21"/>
                <w:highlight w:val="none"/>
              </w:rPr>
            </w:pPr>
            <w:r>
              <w:rPr>
                <w:rFonts w:hint="eastAsia" w:ascii="宋体" w:hAnsi="宋体" w:eastAsia="宋体" w:cs="Times New Roman"/>
                <w:sz w:val="20"/>
                <w:szCs w:val="21"/>
                <w:highlight w:val="none"/>
              </w:rPr>
              <w:t>项目规模（金额）</w:t>
            </w:r>
          </w:p>
        </w:tc>
        <w:tc>
          <w:tcPr>
            <w:tcW w:w="498" w:type="pct"/>
            <w:vAlign w:val="center"/>
          </w:tcPr>
          <w:p w14:paraId="65112F7E">
            <w:pPr>
              <w:keepNext w:val="0"/>
              <w:keepLines w:val="0"/>
              <w:suppressLineNumbers w:val="0"/>
              <w:spacing w:before="0" w:beforeAutospacing="0" w:after="0" w:afterAutospacing="0"/>
              <w:ind w:left="0" w:right="0"/>
              <w:jc w:val="center"/>
              <w:rPr>
                <w:rFonts w:hint="default" w:ascii="宋体" w:hAnsi="宋体" w:eastAsia="宋体" w:cs="Times New Roman"/>
                <w:sz w:val="20"/>
                <w:szCs w:val="21"/>
                <w:highlight w:val="none"/>
              </w:rPr>
            </w:pPr>
            <w:r>
              <w:rPr>
                <w:rFonts w:hint="eastAsia" w:ascii="宋体" w:hAnsi="宋体" w:eastAsia="宋体" w:cs="Times New Roman"/>
                <w:sz w:val="20"/>
                <w:szCs w:val="21"/>
                <w:highlight w:val="none"/>
              </w:rPr>
              <w:t>合同签订日期</w:t>
            </w:r>
          </w:p>
        </w:tc>
        <w:tc>
          <w:tcPr>
            <w:tcW w:w="582" w:type="pct"/>
            <w:vAlign w:val="center"/>
          </w:tcPr>
          <w:p w14:paraId="7134465C">
            <w:pPr>
              <w:keepNext w:val="0"/>
              <w:keepLines w:val="0"/>
              <w:suppressLineNumbers w:val="0"/>
              <w:spacing w:before="0" w:beforeAutospacing="0" w:after="0" w:afterAutospacing="0"/>
              <w:ind w:left="0" w:right="0"/>
              <w:jc w:val="center"/>
              <w:rPr>
                <w:rFonts w:hint="default" w:ascii="宋体" w:hAnsi="宋体" w:eastAsia="宋体" w:cs="Times New Roman"/>
                <w:sz w:val="20"/>
                <w:szCs w:val="21"/>
                <w:highlight w:val="none"/>
              </w:rPr>
            </w:pPr>
            <w:r>
              <w:rPr>
                <w:rFonts w:hint="eastAsia" w:ascii="宋体" w:hAnsi="宋体" w:eastAsia="宋体" w:cs="Times New Roman"/>
                <w:sz w:val="20"/>
                <w:szCs w:val="21"/>
                <w:highlight w:val="none"/>
              </w:rPr>
              <w:t>履约验收时间</w:t>
            </w:r>
          </w:p>
        </w:tc>
        <w:tc>
          <w:tcPr>
            <w:tcW w:w="1280" w:type="pct"/>
            <w:vAlign w:val="center"/>
          </w:tcPr>
          <w:p w14:paraId="326231EF">
            <w:pPr>
              <w:keepNext w:val="0"/>
              <w:keepLines w:val="0"/>
              <w:suppressLineNumbers w:val="0"/>
              <w:spacing w:before="0" w:beforeAutospacing="0" w:after="0" w:afterAutospacing="0"/>
              <w:ind w:left="0" w:right="0"/>
              <w:jc w:val="center"/>
              <w:rPr>
                <w:rFonts w:hint="default" w:ascii="宋体" w:hAnsi="宋体" w:eastAsia="宋体" w:cs="Times New Roman"/>
                <w:sz w:val="20"/>
                <w:szCs w:val="21"/>
                <w:highlight w:val="none"/>
              </w:rPr>
            </w:pPr>
            <w:r>
              <w:rPr>
                <w:rFonts w:hint="eastAsia" w:ascii="宋体" w:hAnsi="宋体" w:eastAsia="宋体" w:cs="Times New Roman"/>
                <w:sz w:val="20"/>
                <w:szCs w:val="21"/>
                <w:highlight w:val="none"/>
              </w:rPr>
              <w:t>完成质量情况（以履约验收报告为准）</w:t>
            </w:r>
          </w:p>
        </w:tc>
      </w:tr>
      <w:tr w14:paraId="2511F1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56FE90F6">
            <w:pPr>
              <w:keepNext w:val="0"/>
              <w:keepLines w:val="0"/>
              <w:suppressLineNumbers w:val="0"/>
              <w:spacing w:before="0" w:beforeAutospacing="0" w:after="0" w:afterAutospacing="0"/>
              <w:ind w:left="0" w:right="0" w:firstLine="400" w:firstLineChars="200"/>
              <w:rPr>
                <w:rFonts w:hint="default" w:ascii="宋体" w:hAnsi="宋体" w:eastAsia="宋体" w:cs="Times New Roman"/>
                <w:sz w:val="20"/>
                <w:szCs w:val="21"/>
                <w:highlight w:val="none"/>
              </w:rPr>
            </w:pPr>
            <w:r>
              <w:rPr>
                <w:rFonts w:hint="default" w:ascii="宋体" w:hAnsi="宋体" w:eastAsia="宋体" w:cs="Times New Roman"/>
                <w:sz w:val="20"/>
                <w:szCs w:val="21"/>
                <w:highlight w:val="none"/>
              </w:rPr>
              <w:t>……</w:t>
            </w:r>
          </w:p>
        </w:tc>
        <w:tc>
          <w:tcPr>
            <w:tcW w:w="831" w:type="pct"/>
            <w:vAlign w:val="center"/>
          </w:tcPr>
          <w:p w14:paraId="258F17C8">
            <w:pPr>
              <w:keepNext w:val="0"/>
              <w:keepLines w:val="0"/>
              <w:suppressLineNumbers w:val="0"/>
              <w:spacing w:before="0" w:beforeAutospacing="0" w:after="0" w:afterAutospacing="0"/>
              <w:ind w:left="0" w:right="0" w:firstLine="400" w:firstLineChars="200"/>
              <w:rPr>
                <w:rFonts w:hint="default" w:ascii="宋体" w:hAnsi="宋体" w:eastAsia="宋体" w:cs="Times New Roman"/>
                <w:sz w:val="20"/>
                <w:szCs w:val="21"/>
                <w:highlight w:val="none"/>
              </w:rPr>
            </w:pPr>
          </w:p>
        </w:tc>
        <w:tc>
          <w:tcPr>
            <w:tcW w:w="1164" w:type="pct"/>
            <w:vAlign w:val="center"/>
          </w:tcPr>
          <w:p w14:paraId="2FCAA64D">
            <w:pPr>
              <w:keepNext w:val="0"/>
              <w:keepLines w:val="0"/>
              <w:suppressLineNumbers w:val="0"/>
              <w:spacing w:before="0" w:beforeAutospacing="0" w:after="0" w:afterAutospacing="0"/>
              <w:ind w:left="0" w:right="0" w:firstLine="400" w:firstLineChars="200"/>
              <w:rPr>
                <w:rFonts w:hint="default" w:ascii="宋体" w:hAnsi="宋体" w:eastAsia="宋体" w:cs="Times New Roman"/>
                <w:sz w:val="20"/>
                <w:szCs w:val="21"/>
                <w:highlight w:val="none"/>
              </w:rPr>
            </w:pPr>
          </w:p>
        </w:tc>
        <w:tc>
          <w:tcPr>
            <w:tcW w:w="498" w:type="pct"/>
            <w:vAlign w:val="center"/>
          </w:tcPr>
          <w:p w14:paraId="3080933B">
            <w:pPr>
              <w:keepNext w:val="0"/>
              <w:keepLines w:val="0"/>
              <w:suppressLineNumbers w:val="0"/>
              <w:spacing w:before="0" w:beforeAutospacing="0" w:after="0" w:afterAutospacing="0"/>
              <w:ind w:left="0" w:right="0" w:firstLine="400" w:firstLineChars="200"/>
              <w:rPr>
                <w:rFonts w:hint="default" w:ascii="宋体" w:hAnsi="宋体" w:eastAsia="宋体" w:cs="Times New Roman"/>
                <w:sz w:val="20"/>
                <w:szCs w:val="21"/>
                <w:highlight w:val="none"/>
              </w:rPr>
            </w:pPr>
          </w:p>
        </w:tc>
        <w:tc>
          <w:tcPr>
            <w:tcW w:w="582" w:type="pct"/>
            <w:vAlign w:val="center"/>
          </w:tcPr>
          <w:p w14:paraId="2CF07358">
            <w:pPr>
              <w:keepNext w:val="0"/>
              <w:keepLines w:val="0"/>
              <w:suppressLineNumbers w:val="0"/>
              <w:spacing w:before="0" w:beforeAutospacing="0" w:after="0" w:afterAutospacing="0"/>
              <w:ind w:left="0" w:right="0" w:firstLine="400" w:firstLineChars="200"/>
              <w:rPr>
                <w:rFonts w:hint="default" w:ascii="宋体" w:hAnsi="宋体" w:eastAsia="宋体" w:cs="Times New Roman"/>
                <w:sz w:val="20"/>
                <w:szCs w:val="21"/>
                <w:highlight w:val="none"/>
              </w:rPr>
            </w:pPr>
          </w:p>
        </w:tc>
        <w:tc>
          <w:tcPr>
            <w:tcW w:w="1280" w:type="pct"/>
            <w:vAlign w:val="center"/>
          </w:tcPr>
          <w:p w14:paraId="197BA2B4">
            <w:pPr>
              <w:keepNext w:val="0"/>
              <w:keepLines w:val="0"/>
              <w:suppressLineNumbers w:val="0"/>
              <w:spacing w:before="0" w:beforeAutospacing="0" w:after="0" w:afterAutospacing="0"/>
              <w:ind w:left="0" w:right="0" w:firstLine="400" w:firstLineChars="200"/>
              <w:rPr>
                <w:rFonts w:hint="default" w:ascii="宋体" w:hAnsi="宋体" w:eastAsia="宋体" w:cs="Times New Roman"/>
                <w:sz w:val="20"/>
                <w:szCs w:val="21"/>
                <w:highlight w:val="none"/>
              </w:rPr>
            </w:pPr>
          </w:p>
        </w:tc>
      </w:tr>
      <w:tr w14:paraId="0A0DCF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48E2A6CB">
            <w:pPr>
              <w:keepNext w:val="0"/>
              <w:keepLines w:val="0"/>
              <w:suppressLineNumbers w:val="0"/>
              <w:spacing w:before="0" w:beforeAutospacing="0" w:after="0" w:afterAutospacing="0"/>
              <w:ind w:left="0" w:right="0" w:firstLine="400" w:firstLineChars="200"/>
              <w:rPr>
                <w:rFonts w:hint="default" w:ascii="宋体" w:hAnsi="宋体" w:eastAsia="宋体" w:cs="Times New Roman"/>
                <w:sz w:val="20"/>
                <w:szCs w:val="21"/>
                <w:highlight w:val="none"/>
              </w:rPr>
            </w:pPr>
          </w:p>
        </w:tc>
        <w:tc>
          <w:tcPr>
            <w:tcW w:w="831" w:type="pct"/>
            <w:vAlign w:val="center"/>
          </w:tcPr>
          <w:p w14:paraId="4EDCB0CE">
            <w:pPr>
              <w:keepNext w:val="0"/>
              <w:keepLines w:val="0"/>
              <w:suppressLineNumbers w:val="0"/>
              <w:spacing w:before="0" w:beforeAutospacing="0" w:after="0" w:afterAutospacing="0"/>
              <w:ind w:left="0" w:right="0" w:firstLine="400" w:firstLineChars="200"/>
              <w:rPr>
                <w:rFonts w:hint="default" w:ascii="宋体" w:hAnsi="宋体" w:eastAsia="宋体" w:cs="Times New Roman"/>
                <w:sz w:val="20"/>
                <w:szCs w:val="21"/>
                <w:highlight w:val="none"/>
              </w:rPr>
            </w:pPr>
          </w:p>
        </w:tc>
        <w:tc>
          <w:tcPr>
            <w:tcW w:w="1164" w:type="pct"/>
            <w:vAlign w:val="center"/>
          </w:tcPr>
          <w:p w14:paraId="6054AF1E">
            <w:pPr>
              <w:keepNext w:val="0"/>
              <w:keepLines w:val="0"/>
              <w:suppressLineNumbers w:val="0"/>
              <w:spacing w:before="0" w:beforeAutospacing="0" w:after="0" w:afterAutospacing="0"/>
              <w:ind w:left="0" w:right="0" w:firstLine="400" w:firstLineChars="200"/>
              <w:rPr>
                <w:rFonts w:hint="default" w:ascii="宋体" w:hAnsi="宋体" w:eastAsia="宋体" w:cs="Times New Roman"/>
                <w:sz w:val="20"/>
                <w:szCs w:val="21"/>
                <w:highlight w:val="none"/>
              </w:rPr>
            </w:pPr>
          </w:p>
        </w:tc>
        <w:tc>
          <w:tcPr>
            <w:tcW w:w="498" w:type="pct"/>
            <w:vAlign w:val="center"/>
          </w:tcPr>
          <w:p w14:paraId="2B0D8FB2">
            <w:pPr>
              <w:keepNext w:val="0"/>
              <w:keepLines w:val="0"/>
              <w:suppressLineNumbers w:val="0"/>
              <w:spacing w:before="0" w:beforeAutospacing="0" w:after="0" w:afterAutospacing="0"/>
              <w:ind w:left="0" w:right="0" w:firstLine="400" w:firstLineChars="200"/>
              <w:rPr>
                <w:rFonts w:hint="default" w:ascii="宋体" w:hAnsi="宋体" w:eastAsia="宋体" w:cs="Times New Roman"/>
                <w:sz w:val="20"/>
                <w:szCs w:val="21"/>
                <w:highlight w:val="none"/>
              </w:rPr>
            </w:pPr>
          </w:p>
        </w:tc>
        <w:tc>
          <w:tcPr>
            <w:tcW w:w="582" w:type="pct"/>
            <w:vAlign w:val="center"/>
          </w:tcPr>
          <w:p w14:paraId="5730910B">
            <w:pPr>
              <w:keepNext w:val="0"/>
              <w:keepLines w:val="0"/>
              <w:suppressLineNumbers w:val="0"/>
              <w:spacing w:before="0" w:beforeAutospacing="0" w:after="0" w:afterAutospacing="0"/>
              <w:ind w:left="0" w:right="0" w:firstLine="400" w:firstLineChars="200"/>
              <w:rPr>
                <w:rFonts w:hint="default" w:ascii="宋体" w:hAnsi="宋体" w:eastAsia="宋体" w:cs="Times New Roman"/>
                <w:sz w:val="20"/>
                <w:szCs w:val="21"/>
                <w:highlight w:val="none"/>
              </w:rPr>
            </w:pPr>
          </w:p>
        </w:tc>
        <w:tc>
          <w:tcPr>
            <w:tcW w:w="1280" w:type="pct"/>
            <w:vAlign w:val="center"/>
          </w:tcPr>
          <w:p w14:paraId="4A044D2A">
            <w:pPr>
              <w:keepNext w:val="0"/>
              <w:keepLines w:val="0"/>
              <w:suppressLineNumbers w:val="0"/>
              <w:spacing w:before="0" w:beforeAutospacing="0" w:after="0" w:afterAutospacing="0"/>
              <w:ind w:left="0" w:right="0" w:firstLine="400" w:firstLineChars="200"/>
              <w:rPr>
                <w:rFonts w:hint="default" w:ascii="宋体" w:hAnsi="宋体" w:eastAsia="宋体" w:cs="Times New Roman"/>
                <w:sz w:val="20"/>
                <w:szCs w:val="21"/>
                <w:highlight w:val="none"/>
              </w:rPr>
            </w:pPr>
          </w:p>
        </w:tc>
      </w:tr>
      <w:tr w14:paraId="1EFFC4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4758A1C9">
            <w:pPr>
              <w:keepNext w:val="0"/>
              <w:keepLines w:val="0"/>
              <w:suppressLineNumbers w:val="0"/>
              <w:spacing w:before="0" w:beforeAutospacing="0" w:after="0" w:afterAutospacing="0"/>
              <w:ind w:left="0" w:right="0" w:firstLine="400" w:firstLineChars="200"/>
              <w:rPr>
                <w:rFonts w:hint="default" w:ascii="宋体" w:hAnsi="宋体" w:eastAsia="宋体" w:cs="Times New Roman"/>
                <w:sz w:val="20"/>
                <w:szCs w:val="21"/>
                <w:highlight w:val="none"/>
              </w:rPr>
            </w:pPr>
          </w:p>
        </w:tc>
        <w:tc>
          <w:tcPr>
            <w:tcW w:w="831" w:type="pct"/>
            <w:vAlign w:val="center"/>
          </w:tcPr>
          <w:p w14:paraId="05B04066">
            <w:pPr>
              <w:keepNext w:val="0"/>
              <w:keepLines w:val="0"/>
              <w:suppressLineNumbers w:val="0"/>
              <w:spacing w:before="0" w:beforeAutospacing="0" w:after="0" w:afterAutospacing="0"/>
              <w:ind w:left="0" w:right="0" w:firstLine="400" w:firstLineChars="200"/>
              <w:rPr>
                <w:rFonts w:hint="default" w:ascii="宋体" w:hAnsi="宋体" w:eastAsia="宋体" w:cs="Times New Roman"/>
                <w:sz w:val="20"/>
                <w:szCs w:val="21"/>
                <w:highlight w:val="none"/>
              </w:rPr>
            </w:pPr>
          </w:p>
        </w:tc>
        <w:tc>
          <w:tcPr>
            <w:tcW w:w="1164" w:type="pct"/>
            <w:vAlign w:val="center"/>
          </w:tcPr>
          <w:p w14:paraId="1503F05F">
            <w:pPr>
              <w:keepNext w:val="0"/>
              <w:keepLines w:val="0"/>
              <w:suppressLineNumbers w:val="0"/>
              <w:spacing w:before="0" w:beforeAutospacing="0" w:after="0" w:afterAutospacing="0"/>
              <w:ind w:left="0" w:right="0" w:firstLine="400" w:firstLineChars="200"/>
              <w:rPr>
                <w:rFonts w:hint="default" w:ascii="宋体" w:hAnsi="宋体" w:eastAsia="宋体" w:cs="Times New Roman"/>
                <w:sz w:val="20"/>
                <w:szCs w:val="21"/>
                <w:highlight w:val="none"/>
              </w:rPr>
            </w:pPr>
          </w:p>
        </w:tc>
        <w:tc>
          <w:tcPr>
            <w:tcW w:w="498" w:type="pct"/>
            <w:vAlign w:val="center"/>
          </w:tcPr>
          <w:p w14:paraId="144FB2E6">
            <w:pPr>
              <w:keepNext w:val="0"/>
              <w:keepLines w:val="0"/>
              <w:suppressLineNumbers w:val="0"/>
              <w:spacing w:before="0" w:beforeAutospacing="0" w:after="0" w:afterAutospacing="0"/>
              <w:ind w:left="0" w:right="0" w:firstLine="400" w:firstLineChars="200"/>
              <w:rPr>
                <w:rFonts w:hint="default" w:ascii="宋体" w:hAnsi="宋体" w:eastAsia="宋体" w:cs="Times New Roman"/>
                <w:sz w:val="20"/>
                <w:szCs w:val="21"/>
                <w:highlight w:val="none"/>
              </w:rPr>
            </w:pPr>
          </w:p>
        </w:tc>
        <w:tc>
          <w:tcPr>
            <w:tcW w:w="582" w:type="pct"/>
            <w:vAlign w:val="center"/>
          </w:tcPr>
          <w:p w14:paraId="3DA9D4D9">
            <w:pPr>
              <w:keepNext w:val="0"/>
              <w:keepLines w:val="0"/>
              <w:suppressLineNumbers w:val="0"/>
              <w:spacing w:before="0" w:beforeAutospacing="0" w:after="0" w:afterAutospacing="0"/>
              <w:ind w:left="0" w:right="0" w:firstLine="400" w:firstLineChars="200"/>
              <w:rPr>
                <w:rFonts w:hint="default" w:ascii="宋体" w:hAnsi="宋体" w:eastAsia="宋体" w:cs="Times New Roman"/>
                <w:sz w:val="20"/>
                <w:szCs w:val="21"/>
                <w:highlight w:val="none"/>
              </w:rPr>
            </w:pPr>
          </w:p>
          <w:p w14:paraId="6E7D54FB">
            <w:pPr>
              <w:keepNext w:val="0"/>
              <w:keepLines w:val="0"/>
              <w:suppressLineNumbers w:val="0"/>
              <w:spacing w:before="0" w:beforeAutospacing="0" w:after="0" w:afterAutospacing="0"/>
              <w:ind w:left="0" w:right="0"/>
              <w:rPr>
                <w:rFonts w:hint="default" w:ascii="Times New Roman" w:hAnsi="Times New Roman" w:eastAsia="宋体" w:cs="Times New Roman"/>
                <w:highlight w:val="none"/>
              </w:rPr>
            </w:pPr>
          </w:p>
        </w:tc>
        <w:tc>
          <w:tcPr>
            <w:tcW w:w="1280" w:type="pct"/>
            <w:vAlign w:val="center"/>
          </w:tcPr>
          <w:p w14:paraId="23EB75E0">
            <w:pPr>
              <w:keepNext w:val="0"/>
              <w:keepLines w:val="0"/>
              <w:suppressLineNumbers w:val="0"/>
              <w:spacing w:before="0" w:beforeAutospacing="0" w:after="0" w:afterAutospacing="0"/>
              <w:ind w:left="0" w:right="0" w:firstLine="400" w:firstLineChars="200"/>
              <w:rPr>
                <w:rFonts w:hint="default" w:ascii="宋体" w:hAnsi="宋体" w:eastAsia="宋体" w:cs="Times New Roman"/>
                <w:sz w:val="20"/>
                <w:szCs w:val="21"/>
                <w:highlight w:val="none"/>
              </w:rPr>
            </w:pPr>
          </w:p>
        </w:tc>
      </w:tr>
    </w:tbl>
    <w:p w14:paraId="57DF54B2">
      <w:pPr>
        <w:rPr>
          <w:rFonts w:ascii="Times New Roman" w:hAnsi="Times New Roman" w:eastAsia="宋体" w:cs="Times New Roman"/>
          <w:b/>
          <w:bCs/>
          <w:color w:val="FF0000"/>
          <w:highlight w:val="none"/>
        </w:rPr>
      </w:pPr>
      <w:r>
        <w:rPr>
          <w:rFonts w:hint="eastAsia" w:ascii="Times New Roman" w:hAnsi="Times New Roman" w:eastAsia="宋体" w:cs="Times New Roman"/>
          <w:b/>
          <w:bCs/>
          <w:color w:val="FF0000"/>
          <w:highlight w:val="none"/>
        </w:rPr>
        <w:t>（特别提示：投标人须按本招标文件评标信息中这一评审因素要求，提供详细证明资料）</w:t>
      </w:r>
    </w:p>
    <w:p w14:paraId="6A82920E">
      <w:pPr>
        <w:widowControl w:val="0"/>
        <w:spacing w:line="360" w:lineRule="auto"/>
        <w:jc w:val="both"/>
        <w:rPr>
          <w:rFonts w:hint="eastAsia" w:ascii="Times New Roman" w:hAnsi="Times New Roman" w:eastAsia="宋体" w:cs="Times New Roman"/>
          <w:b/>
          <w:bCs/>
          <w:kern w:val="2"/>
          <w:sz w:val="24"/>
          <w:szCs w:val="24"/>
          <w:highlight w:val="none"/>
          <w:lang w:val="en-US" w:eastAsia="zh-CN" w:bidi="ar-SA"/>
        </w:rPr>
      </w:pPr>
    </w:p>
    <w:p w14:paraId="3433EADC">
      <w:pPr>
        <w:pStyle w:val="19"/>
      </w:pPr>
    </w:p>
    <w:p w14:paraId="49CB2F2B">
      <w:pPr>
        <w:spacing w:line="360" w:lineRule="auto"/>
        <w:jc w:val="left"/>
        <w:rPr>
          <w:color w:val="FF0000"/>
          <w:sz w:val="24"/>
        </w:rPr>
      </w:pPr>
    </w:p>
    <w:p w14:paraId="0BD7B312"/>
    <w:p w14:paraId="024AA6F9">
      <w:pPr>
        <w:rPr>
          <w:rFonts w:ascii="黑体" w:hAnsi="黑体" w:eastAsia="黑体" w:cs="黑体"/>
          <w:sz w:val="24"/>
          <w:szCs w:val="28"/>
          <w:highlight w:val="none"/>
        </w:rPr>
      </w:pPr>
      <w:r>
        <w:rPr>
          <w:rFonts w:hint="eastAsia" w:ascii="宋体" w:hAnsi="宋体"/>
          <w:b/>
          <w:color w:val="FF0000"/>
          <w:sz w:val="28"/>
          <w:szCs w:val="28"/>
        </w:rPr>
        <w:br w:type="page"/>
      </w:r>
    </w:p>
    <w:p w14:paraId="35E8BA1E">
      <w:pPr>
        <w:pStyle w:val="3"/>
        <w:bidi w:val="0"/>
        <w:jc w:val="center"/>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十九</w:t>
      </w:r>
      <w:r>
        <w:rPr>
          <w:rFonts w:hint="eastAsia" w:ascii="黑体" w:hAnsi="黑体" w:eastAsia="黑体" w:cs="黑体"/>
          <w:b w:val="0"/>
          <w:bCs w:val="0"/>
          <w:sz w:val="24"/>
          <w:szCs w:val="28"/>
        </w:rPr>
        <w:t>、投标人认为需要加以说明的其他内容</w:t>
      </w:r>
    </w:p>
    <w:p w14:paraId="646875A5">
      <w:pPr>
        <w:widowControl/>
        <w:jc w:val="center"/>
        <w:rPr>
          <w:rFonts w:ascii="黑体" w:hAnsi="宋体" w:eastAsia="黑体"/>
          <w:kern w:val="0"/>
          <w:sz w:val="24"/>
          <w:szCs w:val="20"/>
        </w:rPr>
      </w:pPr>
      <w:r>
        <w:rPr>
          <w:rFonts w:hint="eastAsia" w:ascii="黑体" w:hAnsi="宋体" w:eastAsia="黑体"/>
          <w:kern w:val="0"/>
          <w:sz w:val="24"/>
          <w:szCs w:val="20"/>
        </w:rPr>
        <w:t>（一）采购违法行为风险知悉确认书</w:t>
      </w:r>
    </w:p>
    <w:p w14:paraId="5B0CD5BA">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我单位在投标前已充分知悉以下情形为参与</w:t>
      </w:r>
      <w:r>
        <w:rPr>
          <w:rFonts w:hint="eastAsia" w:ascii="宋体" w:hAnsi="宋体" w:cs="宋体"/>
          <w:b/>
          <w:bCs/>
          <w:kern w:val="2"/>
          <w:sz w:val="21"/>
          <w:szCs w:val="21"/>
          <w:lang w:val="en-US" w:eastAsia="zh-CN" w:bidi="ar"/>
        </w:rPr>
        <w:t>自行</w:t>
      </w:r>
      <w:r>
        <w:rPr>
          <w:rFonts w:hint="eastAsia" w:ascii="宋体" w:hAnsi="宋体" w:eastAsia="宋体" w:cs="宋体"/>
          <w:b/>
          <w:bCs/>
          <w:kern w:val="2"/>
          <w:sz w:val="21"/>
          <w:szCs w:val="21"/>
          <w:lang w:val="en-US" w:eastAsia="zh-CN" w:bidi="ar"/>
        </w:rPr>
        <w:t>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0B2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278B2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CC25B3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b/>
                <w:bCs/>
                <w:color w:val="auto"/>
                <w:kern w:val="2"/>
                <w:sz w:val="21"/>
                <w:szCs w:val="21"/>
                <w:lang w:val="en-US" w:eastAsia="zh-CN" w:bidi="ar"/>
              </w:rPr>
              <w:t>供应商参与投标禁止情形</w:t>
            </w:r>
          </w:p>
        </w:tc>
      </w:tr>
      <w:tr w14:paraId="3CE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F29B45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C67E0B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auto"/>
                <w:kern w:val="2"/>
                <w:sz w:val="21"/>
                <w:szCs w:val="21"/>
                <w:lang w:val="en-US" w:eastAsia="zh-CN" w:bidi="ar"/>
              </w:rPr>
              <w:t>同一人、属同一单位或者在同一单位缴纳社会保险</w:t>
            </w:r>
            <w:r>
              <w:rPr>
                <w:rFonts w:hint="eastAsia" w:ascii="宋体" w:hAnsi="宋体" w:eastAsia="宋体" w:cs="宋体"/>
                <w:color w:val="auto"/>
                <w:kern w:val="2"/>
                <w:sz w:val="21"/>
                <w:szCs w:val="21"/>
                <w:lang w:val="en-US" w:eastAsia="zh-CN" w:bidi="ar"/>
              </w:rPr>
              <w:t>。</w:t>
            </w:r>
          </w:p>
        </w:tc>
      </w:tr>
      <w:tr w14:paraId="4E7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2731F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AFE51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参与本项目采购活动时，与其他投标供应商存在单位负责人为</w:t>
            </w:r>
            <w:r>
              <w:rPr>
                <w:rFonts w:hint="eastAsia" w:ascii="宋体" w:hAnsi="宋体" w:eastAsia="宋体" w:cs="宋体"/>
                <w:b/>
                <w:bCs/>
                <w:color w:val="auto"/>
                <w:kern w:val="2"/>
                <w:sz w:val="21"/>
                <w:szCs w:val="21"/>
                <w:lang w:val="en-US" w:eastAsia="zh-CN" w:bidi="ar"/>
              </w:rPr>
              <w:t>同一人或直接控股、管理关系</w:t>
            </w:r>
            <w:r>
              <w:rPr>
                <w:rFonts w:hint="eastAsia" w:ascii="宋体" w:hAnsi="宋体" w:eastAsia="宋体" w:cs="宋体"/>
                <w:color w:val="auto"/>
                <w:kern w:val="2"/>
                <w:sz w:val="21"/>
                <w:szCs w:val="21"/>
                <w:lang w:val="en-US" w:eastAsia="zh-CN" w:bidi="ar"/>
              </w:rPr>
              <w:t>。</w:t>
            </w:r>
          </w:p>
        </w:tc>
      </w:tr>
      <w:tr w14:paraId="0060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A8F3AD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65D17F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与其他投标供应商的投标文件或部分投标文件</w:t>
            </w:r>
            <w:r>
              <w:rPr>
                <w:rFonts w:hint="eastAsia" w:ascii="宋体" w:hAnsi="宋体" w:eastAsia="宋体" w:cs="宋体"/>
                <w:b/>
                <w:bCs/>
                <w:color w:val="auto"/>
                <w:kern w:val="2"/>
                <w:sz w:val="21"/>
                <w:szCs w:val="21"/>
                <w:lang w:val="en-US" w:eastAsia="zh-CN" w:bidi="ar"/>
              </w:rPr>
              <w:t>相互混装或存在非正常一致</w:t>
            </w:r>
            <w:r>
              <w:rPr>
                <w:rFonts w:hint="eastAsia" w:ascii="宋体" w:hAnsi="宋体" w:eastAsia="宋体" w:cs="宋体"/>
                <w:color w:val="auto"/>
                <w:kern w:val="2"/>
                <w:sz w:val="21"/>
                <w:szCs w:val="21"/>
                <w:lang w:val="en-US" w:eastAsia="zh-CN" w:bidi="ar"/>
              </w:rPr>
              <w:t>。</w:t>
            </w:r>
          </w:p>
        </w:tc>
      </w:tr>
      <w:tr w14:paraId="782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CC528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D87F1F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与其他投标供应商的投标文件由</w:t>
            </w:r>
            <w:r>
              <w:rPr>
                <w:rFonts w:hint="eastAsia" w:ascii="宋体" w:hAnsi="宋体" w:eastAsia="宋体" w:cs="宋体"/>
                <w:b/>
                <w:bCs/>
                <w:color w:val="auto"/>
                <w:kern w:val="2"/>
                <w:sz w:val="21"/>
                <w:szCs w:val="21"/>
                <w:lang w:val="en-US" w:eastAsia="zh-CN" w:bidi="ar"/>
              </w:rPr>
              <w:t>同一单位或者同一人编制</w:t>
            </w:r>
            <w:r>
              <w:rPr>
                <w:rFonts w:hint="eastAsia" w:ascii="宋体" w:hAnsi="宋体" w:eastAsia="宋体" w:cs="宋体"/>
                <w:color w:val="auto"/>
                <w:kern w:val="2"/>
                <w:sz w:val="21"/>
                <w:szCs w:val="21"/>
                <w:lang w:val="en-US" w:eastAsia="zh-CN" w:bidi="ar"/>
              </w:rPr>
              <w:t>，或者使用</w:t>
            </w:r>
            <w:r>
              <w:rPr>
                <w:rFonts w:hint="eastAsia" w:ascii="宋体" w:hAnsi="宋体" w:eastAsia="宋体" w:cs="宋体"/>
                <w:b/>
                <w:bCs/>
                <w:color w:val="auto"/>
                <w:kern w:val="2"/>
                <w:sz w:val="21"/>
                <w:szCs w:val="21"/>
                <w:lang w:val="en-US" w:eastAsia="zh-CN" w:bidi="ar"/>
              </w:rPr>
              <w:t>同一设备编制</w:t>
            </w:r>
            <w:r>
              <w:rPr>
                <w:rFonts w:hint="eastAsia" w:ascii="宋体" w:hAnsi="宋体" w:eastAsia="宋体" w:cs="宋体"/>
                <w:color w:val="auto"/>
                <w:kern w:val="2"/>
                <w:sz w:val="21"/>
                <w:szCs w:val="21"/>
                <w:lang w:val="en-US" w:eastAsia="zh-CN" w:bidi="ar"/>
              </w:rPr>
              <w:t>。</w:t>
            </w:r>
          </w:p>
        </w:tc>
      </w:tr>
      <w:tr w14:paraId="55B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DFDE28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9DF600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提供</w:t>
            </w:r>
            <w:r>
              <w:rPr>
                <w:rFonts w:hint="eastAsia" w:ascii="宋体" w:hAnsi="宋体" w:eastAsia="宋体" w:cs="宋体"/>
                <w:b/>
                <w:bCs/>
                <w:color w:val="auto"/>
                <w:kern w:val="2"/>
                <w:sz w:val="21"/>
                <w:szCs w:val="21"/>
                <w:lang w:val="en-US" w:eastAsia="zh-CN" w:bidi="ar"/>
              </w:rPr>
              <w:t>未经出具机构核实</w:t>
            </w:r>
            <w:r>
              <w:rPr>
                <w:rFonts w:hint="eastAsia" w:ascii="宋体" w:hAnsi="宋体" w:eastAsia="宋体" w:cs="宋体"/>
                <w:color w:val="auto"/>
                <w:kern w:val="2"/>
                <w:sz w:val="21"/>
                <w:szCs w:val="21"/>
                <w:lang w:val="en-US" w:eastAsia="zh-CN" w:bidi="ar"/>
              </w:rPr>
              <w:t>的虚假的检验检测报告、业绩材料、社保缴纳证明、学历学位证书、职称认证证书等材料。</w:t>
            </w:r>
          </w:p>
        </w:tc>
      </w:tr>
      <w:tr w14:paraId="531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4AB362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D119BB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擅自将投标密钥出借他人使用或未妥善保管。</w:t>
            </w:r>
          </w:p>
        </w:tc>
      </w:tr>
    </w:tbl>
    <w:p w14:paraId="7450BD26">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一、我单位已充分知悉“隐瞒真实情况，提供虚假资料”的法定情形，包括但不限于：</w:t>
      </w:r>
    </w:p>
    <w:p w14:paraId="1B8DB6CD">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（一）通过转让或者租借等方式从其他单位获取资格或者资质证书投标的。</w:t>
      </w:r>
    </w:p>
    <w:p w14:paraId="5519F96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（二）由其他单位或者其他单位负责人在投标供应商编制的投标文件上加盖印章或者签字的。</w:t>
      </w:r>
    </w:p>
    <w:p w14:paraId="217B9B03">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（三）项目负责人或者主要技术人员不是本单位人员的。</w:t>
      </w:r>
    </w:p>
    <w:p w14:paraId="0FF2668F">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（四）投标保证金不是从投标供应商基本账户转出的。</w:t>
      </w:r>
    </w:p>
    <w:p w14:paraId="09E73CEB">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（五）其他隐瞒真实情况、提供虚假资料的行为。</w:t>
      </w:r>
    </w:p>
    <w:p w14:paraId="43549A70">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二、我单位已充分知悉“与其他采购参加人串通投标”的法定情形，包括但不限于：</w:t>
      </w:r>
    </w:p>
    <w:p w14:paraId="1625098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（一）投标供应商之间相互约定给予未中标的供应商利益补偿。</w:t>
      </w:r>
    </w:p>
    <w:p w14:paraId="52B14839">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（二）不同投标供应商的法定代表人、主要经营负责人、项目投标授权代表人、项目负责人、主要技术人员为同一人、属同一单位或者在同一单位缴纳社会保险。</w:t>
      </w:r>
    </w:p>
    <w:p w14:paraId="7DF608D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（三）不同投标供应商的投标文件由同一单位或者同一人编制，或者由同一人分阶段参与编制的。</w:t>
      </w:r>
    </w:p>
    <w:p w14:paraId="590A90E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（四）不同投标供应商的投标文件或部分投标文件相互混装。</w:t>
      </w:r>
    </w:p>
    <w:p w14:paraId="195DBFF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（五）不同投标供应商的投标文件内容存在非正常一致。</w:t>
      </w:r>
    </w:p>
    <w:p w14:paraId="1FE887B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（六）由同一单位工作人员为两家以上（含两家）供应商进行同一项投标活动的。</w:t>
      </w:r>
    </w:p>
    <w:p w14:paraId="03833BE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（七）不同投标人的投标报价呈规律性差异。</w:t>
      </w:r>
    </w:p>
    <w:p w14:paraId="00E83B2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（八）不同投标人的投标保证金从同一单位或者个人的账户转出。</w:t>
      </w:r>
    </w:p>
    <w:p w14:paraId="42829097">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（九）主管部门依照法律、法规认定的其他情形。</w:t>
      </w:r>
    </w:p>
    <w:p w14:paraId="7F7D5F90">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三、我单位已充分知悉下列情形存在法律风险，在投标前已对相关风险事项进行排查。</w:t>
      </w:r>
    </w:p>
    <w:p w14:paraId="2AAE5D8C">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（一）对于从其他主体获取的投标资料，我单位应审慎核查，确保其真实性。</w:t>
      </w:r>
      <w:r>
        <w:rPr>
          <w:rFonts w:hint="eastAsia" w:ascii="宋体" w:hAnsi="宋体" w:eastAsia="宋体" w:cs="宋体"/>
          <w:b/>
          <w:bCs w:val="0"/>
          <w:kern w:val="2"/>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786BF4B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（二）对于涉及国家机关出具的公文、证件、证明材料等文件，一旦涉嫌虚假，经查实，主管部门将依法从严处理，并移送有关部门追究法律责任；涉嫌犯罪的，移送司法机关处理。</w:t>
      </w:r>
    </w:p>
    <w:p w14:paraId="15289E4F">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（三）我单位对投标电子密钥负有妥善保管、及时变更和续期等主体责任；使用电子密钥在</w:t>
      </w:r>
      <w:r>
        <w:rPr>
          <w:rFonts w:hint="eastAsia" w:ascii="Times New Roman" w:hAnsi="Times New Roman" w:eastAsia="宋体" w:cs="Times New Roman"/>
          <w:kern w:val="2"/>
          <w:sz w:val="21"/>
          <w:szCs w:val="24"/>
          <w:lang w:val="en-US" w:eastAsia="zh-CN" w:bidi="ar"/>
        </w:rPr>
        <w:t>深圳自行采购网站</w:t>
      </w:r>
      <w:r>
        <w:rPr>
          <w:rFonts w:hint="eastAsia" w:ascii="宋体" w:hAnsi="宋体" w:eastAsia="宋体" w:cs="宋体"/>
          <w:kern w:val="2"/>
          <w:sz w:val="21"/>
          <w:szCs w:val="21"/>
          <w:lang w:val="en-US" w:eastAsia="zh-CN" w:bidi="ar"/>
        </w:rPr>
        <w:t>进行的活动，均具有法律效力，须承担相应的法律后果。若</w:t>
      </w:r>
      <w:r>
        <w:rPr>
          <w:rFonts w:hint="eastAsia" w:ascii="宋体" w:hAnsi="宋体" w:eastAsia="宋体" w:cs="宋体"/>
          <w:b/>
          <w:bCs/>
          <w:kern w:val="2"/>
          <w:sz w:val="21"/>
          <w:szCs w:val="21"/>
          <w:lang w:val="en-US" w:eastAsia="zh-CN" w:bidi="ar"/>
        </w:rPr>
        <w:t>擅自将投标密钥出借他人使用所造成的法律后果，由我单位自行承担</w:t>
      </w:r>
      <w:r>
        <w:rPr>
          <w:rFonts w:hint="eastAsia" w:ascii="宋体" w:hAnsi="宋体" w:eastAsia="宋体" w:cs="宋体"/>
          <w:kern w:val="2"/>
          <w:sz w:val="21"/>
          <w:szCs w:val="21"/>
          <w:lang w:val="en-US" w:eastAsia="zh-CN" w:bidi="ar"/>
        </w:rPr>
        <w:t>。</w:t>
      </w:r>
    </w:p>
    <w:p w14:paraId="3F8BECCD">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四、我单位已充分知悉政府采购违法、违规行为的法律后果。</w:t>
      </w:r>
    </w:p>
    <w:p w14:paraId="278B556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935729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highlight w:val="yellow"/>
          <w:lang w:val="en-US"/>
        </w:rPr>
      </w:pPr>
      <w:r>
        <w:rPr>
          <w:rFonts w:hint="eastAsia" w:ascii="宋体" w:hAnsi="宋体" w:eastAsia="宋体" w:cs="宋体"/>
          <w:kern w:val="2"/>
          <w:sz w:val="21"/>
          <w:szCs w:val="21"/>
          <w:highlight w:val="yellow"/>
          <w:lang w:val="en-US" w:eastAsia="zh-CN" w:bidi="ar"/>
        </w:rPr>
        <w:t>以下文字请投标供应商抄写并确认：“我单位已仔细阅读《采购违法行为风险知悉确认书》，充分知悉违法行为的法律后果，并承诺将严谨、诚信、依法依规参与采购活动”。</w:t>
      </w:r>
    </w:p>
    <w:tbl>
      <w:tblPr>
        <w:tblStyle w:val="203"/>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35"/>
      </w:tblGrid>
      <w:tr w14:paraId="4B83E6D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71166B9F">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46FC1C2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D116D93">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35FE9D0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5588EBE">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6DA8823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7CBB7F4">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bl>
    <w:p w14:paraId="3590A8D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lang w:val="en-US"/>
        </w:rPr>
      </w:pPr>
    </w:p>
    <w:p w14:paraId="0136D3F5">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单位负责人签名：</w:t>
      </w:r>
      <w:r>
        <w:rPr>
          <w:rFonts w:hint="eastAsia" w:ascii="宋体" w:hAnsi="宋体" w:eastAsia="宋体" w:cs="宋体"/>
          <w:spacing w:val="-4"/>
          <w:kern w:val="0"/>
          <w:sz w:val="21"/>
          <w:szCs w:val="21"/>
          <w:u w:val="single"/>
          <w:lang w:val="en-US" w:eastAsia="zh-CN" w:bidi="ar"/>
        </w:rPr>
        <w:t xml:space="preserve">              </w:t>
      </w:r>
    </w:p>
    <w:p w14:paraId="186AD564">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（加盖公章）</w:t>
      </w:r>
    </w:p>
    <w:p w14:paraId="6930E45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日期：</w:t>
      </w:r>
      <w:r>
        <w:rPr>
          <w:rFonts w:hint="eastAsia" w:ascii="宋体" w:hAnsi="宋体" w:eastAsia="宋体" w:cs="宋体"/>
          <w:spacing w:val="-4"/>
          <w:kern w:val="0"/>
          <w:sz w:val="21"/>
          <w:szCs w:val="21"/>
          <w:u w:val="single"/>
          <w:lang w:val="en-US" w:eastAsia="zh-CN" w:bidi="ar"/>
        </w:rPr>
        <w:t xml:space="preserve">              </w:t>
      </w:r>
    </w:p>
    <w:p w14:paraId="41624AD1">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kern w:val="0"/>
          <w:szCs w:val="21"/>
          <w:lang w:val="en-US"/>
        </w:rPr>
      </w:pPr>
    </w:p>
    <w:p w14:paraId="74068D23">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kern w:val="0"/>
          <w:szCs w:val="21"/>
          <w:lang w:val="en-US"/>
        </w:rPr>
      </w:pPr>
      <w:r>
        <w:rPr>
          <w:rFonts w:hint="eastAsia" w:ascii="宋体" w:hAnsi="宋体" w:eastAsia="宋体" w:cs="宋体"/>
          <w:b/>
          <w:bCs/>
          <w:color w:val="FF0000"/>
          <w:spacing w:val="-4"/>
          <w:kern w:val="0"/>
          <w:sz w:val="21"/>
          <w:szCs w:val="21"/>
          <w:lang w:val="en-US" w:eastAsia="zh-CN" w:bidi="ar"/>
        </w:rPr>
        <w:t>注：1.《采购违法行为风险知悉确认书》需由投标供应商负责人</w:t>
      </w:r>
      <w:r>
        <w:rPr>
          <w:rFonts w:hint="eastAsia" w:ascii="宋体" w:hAnsi="宋体" w:eastAsia="宋体" w:cs="宋体"/>
          <w:b/>
          <w:bCs/>
          <w:color w:val="FF0000"/>
          <w:spacing w:val="-4"/>
          <w:kern w:val="0"/>
          <w:sz w:val="21"/>
          <w:szCs w:val="21"/>
          <w:highlight w:val="yellow"/>
          <w:lang w:val="en-US" w:eastAsia="zh-CN" w:bidi="ar"/>
        </w:rPr>
        <w:t>签字并加盖单位公章</w:t>
      </w:r>
      <w:r>
        <w:rPr>
          <w:rFonts w:hint="eastAsia" w:ascii="宋体" w:hAnsi="宋体" w:eastAsia="宋体" w:cs="宋体"/>
          <w:b/>
          <w:bCs/>
          <w:color w:val="FF0000"/>
          <w:spacing w:val="-4"/>
          <w:kern w:val="0"/>
          <w:sz w:val="21"/>
          <w:szCs w:val="21"/>
          <w:lang w:val="en-US" w:eastAsia="zh-CN" w:bidi="ar"/>
        </w:rPr>
        <w:t>后，扫描上传至投标文件一并提交。</w:t>
      </w:r>
    </w:p>
    <w:p w14:paraId="568F8A7A">
      <w:pPr>
        <w:pStyle w:val="37"/>
        <w:keepNext w:val="0"/>
        <w:keepLines w:val="0"/>
        <w:widowControl w:val="0"/>
        <w:suppressLineNumbers w:val="0"/>
        <w:spacing w:before="0" w:beforeAutospacing="0" w:after="0" w:afterAutospacing="0"/>
        <w:ind w:left="0" w:right="0"/>
        <w:jc w:val="both"/>
        <w:rPr>
          <w:color w:val="FF0000"/>
          <w:lang w:val="en-US" w:bidi="ar"/>
        </w:rPr>
      </w:pPr>
      <w:r>
        <w:rPr>
          <w:rFonts w:hint="eastAsia" w:ascii="宋体" w:hAnsi="宋体" w:eastAsia="宋体" w:cs="宋体"/>
          <w:b/>
          <w:bCs/>
          <w:color w:val="FF0000"/>
          <w:spacing w:val="-4"/>
          <w:kern w:val="0"/>
          <w:sz w:val="21"/>
          <w:szCs w:val="21"/>
          <w:lang w:val="en-US"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7866D173">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kern w:val="0"/>
          <w:szCs w:val="21"/>
          <w:lang w:val="en-US"/>
        </w:rPr>
      </w:pPr>
    </w:p>
    <w:p w14:paraId="2644C127">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41515AD0">
      <w:pPr>
        <w:rPr>
          <w:rFonts w:hint="eastAsia" w:ascii="黑体" w:hAnsi="Times New Roman" w:eastAsia="黑体" w:cs="黑体"/>
          <w:kern w:val="2"/>
          <w:sz w:val="24"/>
          <w:szCs w:val="20"/>
          <w:lang w:val="en-US" w:eastAsia="zh-CN" w:bidi="ar"/>
        </w:rPr>
      </w:pPr>
      <w:r>
        <w:rPr>
          <w:rFonts w:hint="eastAsia" w:ascii="黑体" w:hAnsi="Times New Roman" w:eastAsia="黑体" w:cs="黑体"/>
          <w:kern w:val="2"/>
          <w:sz w:val="24"/>
          <w:szCs w:val="20"/>
          <w:lang w:val="en-US" w:eastAsia="zh-CN" w:bidi="ar"/>
        </w:rPr>
        <w:br w:type="page"/>
      </w:r>
    </w:p>
    <w:p w14:paraId="4729B82C">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0"/>
          <w:lang w:val="en-US"/>
        </w:rPr>
      </w:pPr>
      <w:r>
        <w:rPr>
          <w:rFonts w:hint="eastAsia" w:ascii="黑体" w:hAnsi="Times New Roman" w:eastAsia="黑体" w:cs="黑体"/>
          <w:kern w:val="2"/>
          <w:sz w:val="24"/>
          <w:szCs w:val="20"/>
          <w:lang w:val="en-US" w:eastAsia="zh-CN" w:bidi="ar"/>
        </w:rPr>
        <w:t>（二）订单融资情况</w:t>
      </w:r>
    </w:p>
    <w:p w14:paraId="39D0664A">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1、关于订单融资政策</w:t>
      </w:r>
    </w:p>
    <w:p w14:paraId="641D3080">
      <w:pPr>
        <w:pStyle w:val="37"/>
        <w:keepNext w:val="0"/>
        <w:keepLines w:val="0"/>
        <w:widowControl w:val="0"/>
        <w:suppressLineNumbers w:val="0"/>
        <w:spacing w:before="0" w:beforeAutospacing="0" w:after="120" w:afterAutospacing="0"/>
        <w:ind w:left="0" w:right="0" w:firstLine="420" w:firstLineChars="200"/>
        <w:jc w:val="both"/>
        <w:rPr>
          <w:b/>
          <w:bCs w:val="0"/>
          <w:szCs w:val="21"/>
          <w:lang w:val="en-US"/>
        </w:rPr>
      </w:pPr>
      <w:r>
        <w:rPr>
          <w:rFonts w:hint="eastAsia" w:ascii="Times New Roman" w:hAnsi="Times New Roman" w:eastAsia="宋体" w:cs="宋体"/>
          <w:bCs/>
          <w:kern w:val="2"/>
          <w:sz w:val="21"/>
          <w:szCs w:val="21"/>
          <w:lang w:val="en-US"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w:t>
      </w:r>
      <w:r>
        <w:rPr>
          <w:rFonts w:hint="eastAsia" w:cs="宋体"/>
          <w:bCs/>
          <w:kern w:val="2"/>
          <w:sz w:val="21"/>
          <w:szCs w:val="21"/>
          <w:lang w:val="en-US" w:eastAsia="zh-CN" w:bidi="ar"/>
        </w:rPr>
        <w:t>自行</w:t>
      </w:r>
      <w:r>
        <w:rPr>
          <w:rFonts w:hint="eastAsia" w:ascii="Times New Roman" w:hAnsi="Times New Roman" w:eastAsia="宋体" w:cs="宋体"/>
          <w:bCs/>
          <w:kern w:val="2"/>
          <w:sz w:val="21"/>
          <w:szCs w:val="21"/>
          <w:lang w:val="en-US" w:eastAsia="zh-CN" w:bidi="ar"/>
        </w:rPr>
        <w:t>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hint="default" w:ascii="Times New Roman" w:hAnsi="Times New Roman" w:eastAsia="宋体" w:cs="Times New Roman"/>
          <w:bCs/>
          <w:kern w:val="2"/>
          <w:sz w:val="21"/>
          <w:szCs w:val="21"/>
          <w:lang w:val="en-US" w:eastAsia="zh-CN" w:bidi="ar"/>
        </w:rPr>
        <w:t>(https://finance.szexgrp.com/gtm/web/guarantee/#/)</w:t>
      </w:r>
      <w:r>
        <w:rPr>
          <w:rFonts w:hint="eastAsia" w:ascii="Times New Roman" w:hAnsi="Times New Roman" w:eastAsia="宋体" w:cs="宋体"/>
          <w:bCs/>
          <w:kern w:val="2"/>
          <w:sz w:val="21"/>
          <w:szCs w:val="21"/>
          <w:lang w:val="en-US" w:eastAsia="zh-CN" w:bidi="ar"/>
        </w:rPr>
        <w:t>，相关政策法规参阅深圳市政府采购监管网（</w:t>
      </w:r>
      <w:r>
        <w:rPr>
          <w:rFonts w:hint="default" w:ascii="Times New Roman" w:hAnsi="Times New Roman" w:eastAsia="宋体" w:cs="Times New Roman"/>
          <w:bCs/>
          <w:kern w:val="2"/>
          <w:sz w:val="21"/>
          <w:szCs w:val="21"/>
          <w:lang w:val="en-US" w:eastAsia="zh-CN" w:bidi="ar"/>
        </w:rPr>
        <w:t>http://zfcg.sz.gov.cn/</w:t>
      </w:r>
      <w:r>
        <w:rPr>
          <w:rFonts w:hint="eastAsia" w:ascii="Times New Roman" w:hAnsi="Times New Roman" w:eastAsia="宋体" w:cs="宋体"/>
          <w:bCs/>
          <w:kern w:val="2"/>
          <w:sz w:val="21"/>
          <w:szCs w:val="21"/>
          <w:lang w:val="en-US" w:eastAsia="zh-CN" w:bidi="ar"/>
        </w:rPr>
        <w:t>）信息公开栏目。</w:t>
      </w:r>
    </w:p>
    <w:p w14:paraId="56701D3E">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2、供应商账户信息</w:t>
      </w:r>
    </w:p>
    <w:p w14:paraId="4A59B73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投标人（单位全称）：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w:t>
      </w:r>
    </w:p>
    <w:p w14:paraId="08806C9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EC4DFD8">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法定代表人（负责人）或其授权委托代理人：</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2CE4D04">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联系电话：</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8C61DFA">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开户银行名称：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7BBF3F1">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开户银行账号：</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BF733F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44D1DD5">
      <w:pPr>
        <w:keepNext w:val="0"/>
        <w:keepLines w:val="0"/>
        <w:widowControl w:val="0"/>
        <w:suppressLineNumbers w:val="0"/>
        <w:spacing w:before="0" w:beforeAutospacing="0" w:after="0" w:afterAutospacing="0"/>
        <w:ind w:right="0"/>
        <w:jc w:val="both"/>
        <w:rPr>
          <w:szCs w:val="21"/>
          <w:lang w:val="en-US"/>
        </w:rPr>
      </w:pPr>
      <w:r>
        <w:rPr>
          <w:rFonts w:hint="eastAsia" w:ascii="宋体" w:hAnsi="宋体" w:eastAsia="宋体" w:cs="宋体"/>
          <w:b/>
          <w:bCs/>
          <w:color w:val="FF0000"/>
          <w:spacing w:val="-4"/>
          <w:kern w:val="0"/>
          <w:sz w:val="21"/>
          <w:szCs w:val="21"/>
          <w:lang w:val="en-US" w:eastAsia="zh-CN" w:bidi="ar"/>
        </w:rPr>
        <w:t>注：本项填写内容作为订单融资开展的参考信息，不作为供应商资格性审查及符合性审查条件。</w:t>
      </w:r>
    </w:p>
    <w:p w14:paraId="2E8C330C">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7AE68931">
      <w:pPr>
        <w:rPr>
          <w:rFonts w:hint="eastAsia" w:ascii="黑体" w:hAnsi="宋体" w:eastAsia="黑体" w:cs="黑体"/>
          <w:kern w:val="0"/>
          <w:sz w:val="24"/>
          <w:szCs w:val="20"/>
          <w:lang w:val="en-US" w:eastAsia="zh-CN" w:bidi="ar"/>
        </w:rPr>
      </w:pPr>
      <w:r>
        <w:rPr>
          <w:rFonts w:hint="eastAsia" w:ascii="黑体" w:hAnsi="宋体" w:eastAsia="黑体" w:cs="黑体"/>
          <w:kern w:val="0"/>
          <w:sz w:val="24"/>
          <w:szCs w:val="20"/>
          <w:lang w:val="en-US" w:eastAsia="zh-CN" w:bidi="ar"/>
        </w:rPr>
        <w:br w:type="page"/>
      </w:r>
    </w:p>
    <w:p w14:paraId="7A35206B">
      <w:pPr>
        <w:keepNext w:val="0"/>
        <w:keepLines w:val="0"/>
        <w:widowControl/>
        <w:suppressLineNumbers w:val="0"/>
        <w:spacing w:before="0" w:beforeAutospacing="0" w:after="0" w:afterAutospacing="0"/>
        <w:ind w:left="0" w:right="0"/>
        <w:jc w:val="center"/>
        <w:rPr>
          <w:rFonts w:hint="eastAsia" w:ascii="黑体" w:hAnsi="宋体" w:eastAsia="黑体" w:cs="黑体"/>
          <w:kern w:val="0"/>
          <w:sz w:val="24"/>
          <w:szCs w:val="20"/>
          <w:lang w:val="en-US"/>
        </w:rPr>
      </w:pPr>
      <w:r>
        <w:rPr>
          <w:rFonts w:hint="eastAsia" w:ascii="黑体" w:hAnsi="宋体" w:eastAsia="黑体" w:cs="黑体"/>
          <w:kern w:val="0"/>
          <w:sz w:val="24"/>
          <w:szCs w:val="20"/>
          <w:lang w:val="en-US" w:eastAsia="zh-CN" w:bidi="ar"/>
        </w:rPr>
        <w:t>（三）投标人认为需要加以说明的其他内容（格式自定）</w:t>
      </w:r>
    </w:p>
    <w:p w14:paraId="23E7D541">
      <w:pPr>
        <w:widowControl/>
        <w:jc w:val="left"/>
        <w:rPr>
          <w:rFonts w:ascii="宋体" w:hAnsi="宋体"/>
          <w:b/>
          <w:bCs/>
          <w:kern w:val="0"/>
          <w:sz w:val="24"/>
          <w:szCs w:val="20"/>
        </w:rPr>
      </w:pPr>
      <w:r>
        <w:br w:type="page"/>
      </w:r>
    </w:p>
    <w:p w14:paraId="609DBF72">
      <w:pPr>
        <w:pStyle w:val="5"/>
      </w:pPr>
      <w:r>
        <w:rPr>
          <w:rFonts w:hint="eastAsia"/>
        </w:rPr>
        <w:t>第五章  合同条款及格式</w:t>
      </w:r>
    </w:p>
    <w:p w14:paraId="2DF1E37C"/>
    <w:p w14:paraId="714D590B">
      <w:pPr>
        <w:jc w:val="center"/>
        <w:outlineLvl w:val="0"/>
      </w:pPr>
      <w:bookmarkStart w:id="45" w:name="_Toc3995"/>
      <w:r>
        <w:rPr>
          <w:rFonts w:hint="eastAsia"/>
          <w:b/>
          <w:sz w:val="24"/>
        </w:rPr>
        <w:t>（仅供参考，具体以项目需求及采购结果为准）</w:t>
      </w:r>
    </w:p>
    <w:p w14:paraId="6ABEDB8D">
      <w:pPr>
        <w:widowControl w:val="0"/>
        <w:spacing w:after="0"/>
        <w:jc w:val="center"/>
        <w:rPr>
          <w:rFonts w:ascii="宋体" w:hAnsi="宋体" w:eastAsia="宋体" w:cs="宋体"/>
          <w:b/>
          <w:bCs/>
          <w:spacing w:val="-20"/>
          <w:kern w:val="44"/>
          <w:sz w:val="48"/>
          <w:szCs w:val="48"/>
          <w:lang w:val="en-US" w:eastAsia="zh-CN" w:bidi="ar-SA"/>
        </w:rPr>
      </w:pPr>
    </w:p>
    <w:p w14:paraId="41E27DEB">
      <w:pPr>
        <w:widowControl w:val="0"/>
        <w:spacing w:after="0"/>
        <w:jc w:val="center"/>
        <w:rPr>
          <w:rFonts w:ascii="宋体" w:hAnsi="宋体" w:eastAsia="宋体" w:cs="宋体"/>
          <w:b/>
          <w:bCs/>
          <w:spacing w:val="-20"/>
          <w:kern w:val="44"/>
          <w:sz w:val="48"/>
          <w:szCs w:val="48"/>
          <w:lang w:val="en-US" w:eastAsia="zh-CN" w:bidi="ar-SA"/>
        </w:rPr>
      </w:pPr>
    </w:p>
    <w:p w14:paraId="545F82B2">
      <w:pPr>
        <w:pStyle w:val="18"/>
        <w:rPr>
          <w:lang w:val="en-US" w:eastAsia="zh-CN"/>
        </w:rPr>
      </w:pPr>
    </w:p>
    <w:p w14:paraId="658AA36C">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货物买卖合同</w:t>
      </w:r>
    </w:p>
    <w:p w14:paraId="6A9B0D77">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14:paraId="76CD8748">
      <w:pPr>
        <w:rPr>
          <w:rFonts w:ascii="宋体" w:hAnsi="宋体" w:eastAsia="宋体" w:cs="宋体"/>
          <w:b/>
          <w:bCs/>
          <w:spacing w:val="-20"/>
          <w:kern w:val="44"/>
          <w:sz w:val="40"/>
          <w:szCs w:val="40"/>
        </w:rPr>
      </w:pPr>
    </w:p>
    <w:p w14:paraId="3CDF66C1">
      <w:pPr>
        <w:rPr>
          <w:rFonts w:ascii="宋体" w:hAnsi="宋体" w:eastAsia="宋体" w:cs="宋体"/>
          <w:b/>
          <w:bCs/>
          <w:spacing w:val="-20"/>
          <w:kern w:val="44"/>
          <w:sz w:val="40"/>
          <w:szCs w:val="40"/>
        </w:rPr>
      </w:pPr>
    </w:p>
    <w:p w14:paraId="4B60953B">
      <w:pPr>
        <w:rPr>
          <w:rFonts w:ascii="宋体" w:hAnsi="宋体" w:eastAsia="宋体" w:cs="宋体"/>
          <w:b/>
          <w:bCs/>
          <w:spacing w:val="-20"/>
          <w:kern w:val="44"/>
          <w:sz w:val="40"/>
          <w:szCs w:val="40"/>
        </w:rPr>
      </w:pPr>
    </w:p>
    <w:p w14:paraId="078D6D05">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22242B70">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090B5DFF">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231DB89C">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535B91BB">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3A7F259C">
      <w:pPr>
        <w:rPr>
          <w:rFonts w:eastAsia="宋体"/>
        </w:rPr>
      </w:pPr>
    </w:p>
    <w:p w14:paraId="78836A35">
      <w:pPr>
        <w:rPr>
          <w:rFonts w:eastAsia="黑体"/>
          <w:sz w:val="44"/>
          <w:szCs w:val="44"/>
        </w:rPr>
      </w:pPr>
      <w:r>
        <w:rPr>
          <w:rFonts w:eastAsia="黑体"/>
          <w:sz w:val="44"/>
          <w:szCs w:val="44"/>
        </w:rPr>
        <w:br w:type="page"/>
      </w:r>
    </w:p>
    <w:p w14:paraId="2C2D0B31">
      <w:pPr>
        <w:rPr>
          <w:rFonts w:eastAsia="黑体"/>
          <w:sz w:val="44"/>
          <w:szCs w:val="44"/>
        </w:rPr>
      </w:pPr>
    </w:p>
    <w:p w14:paraId="35014C84">
      <w:pPr>
        <w:rPr>
          <w:rFonts w:eastAsia="黑体"/>
          <w:sz w:val="44"/>
          <w:szCs w:val="44"/>
        </w:rPr>
      </w:pPr>
    </w:p>
    <w:p w14:paraId="3CDC5C58">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3EDD0809">
      <w:pPr>
        <w:ind w:firstLine="640" w:firstLineChars="200"/>
        <w:rPr>
          <w:rFonts w:hint="eastAsia" w:ascii="仿宋_GB2312" w:hAnsi="仿宋_GB2312" w:eastAsia="仿宋_GB2312" w:cs="仿宋_GB2312"/>
          <w:sz w:val="32"/>
          <w:szCs w:val="32"/>
          <w:lang w:val="en-US" w:eastAsia="zh-CN"/>
        </w:rPr>
      </w:pPr>
    </w:p>
    <w:p w14:paraId="3D5F9A81">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34F40072">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2.本合同标准文本为采购货物买卖合同编制提供参考，可以结合采购项目具体情况，对文本作必要的调整修订后使用。</w:t>
      </w:r>
    </w:p>
    <w:p w14:paraId="0B5B70E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249671B7">
      <w:pPr>
        <w:ind w:firstLine="880" w:firstLineChars="200"/>
        <w:jc w:val="both"/>
        <w:rPr>
          <w:rFonts w:eastAsia="黑体"/>
          <w:sz w:val="44"/>
          <w:szCs w:val="4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45"/>
    <w:p w14:paraId="1D1199A9">
      <w:pPr>
        <w:keepNext/>
        <w:keepLines/>
        <w:widowControl w:val="0"/>
        <w:adjustRightInd w:val="0"/>
        <w:snapToGrid w:val="0"/>
        <w:spacing w:beforeLines="0" w:line="400" w:lineRule="exact"/>
        <w:jc w:val="center"/>
        <w:outlineLvl w:val="1"/>
        <w:rPr>
          <w:rFonts w:hint="eastAsia" w:ascii="黑体" w:hAnsi="黑体" w:eastAsia="黑体" w:cs="Times New Roman"/>
          <w:b/>
          <w:bCs/>
          <w:kern w:val="2"/>
          <w:sz w:val="28"/>
          <w:szCs w:val="28"/>
          <w:lang w:val="en-US" w:eastAsia="zh-CN" w:bidi="ar-SA"/>
        </w:rPr>
      </w:pPr>
      <w:bookmarkStart w:id="46" w:name="_Toc22209"/>
    </w:p>
    <w:p w14:paraId="4BE3A508">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合同协议书</w:t>
      </w:r>
      <w:bookmarkEnd w:id="46"/>
    </w:p>
    <w:p w14:paraId="505E6ECE">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p>
    <w:p w14:paraId="0E948C12">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14:paraId="25DA44B8">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14:paraId="66596D18">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32674635">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6ABBC498">
      <w:pPr>
        <w:spacing w:beforeLines="0" w:line="400" w:lineRule="exact"/>
        <w:rPr>
          <w:rFonts w:hint="default" w:eastAsia="宋体"/>
          <w:lang w:val="en-US" w:eastAsia="zh-CN"/>
        </w:rPr>
      </w:pPr>
    </w:p>
    <w:p w14:paraId="32A6901B">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14:paraId="7355B8ED">
      <w:pPr>
        <w:numPr>
          <w:ilvl w:val="0"/>
          <w:numId w:val="9"/>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14:paraId="54A2A603">
      <w:pPr>
        <w:widowControl w:val="0"/>
        <w:numPr>
          <w:ilvl w:val="0"/>
          <w:numId w:val="10"/>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14:paraId="43998F79">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14:paraId="5548E41C">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14:paraId="42241364">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6669406A">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14:paraId="3CDB8E42">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14:paraId="328D350C">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14:paraId="7A38E977">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14:paraId="3F7945AF">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14:paraId="31BB7389">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14:paraId="1A0DA32C">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14:paraId="13FDBEE2">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14:paraId="0C4F6308">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1D12B2CA">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14:paraId="1DE28962">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14:paraId="730BADBE">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14:paraId="79AE0BEB">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14:paraId="606E6E1A">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14:paraId="5D4538EB">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14:paraId="0CDA58B2">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2A86777A">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14:paraId="6AD9FBAD">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0AA5D457">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EC12203">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3148FB1C">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3D679872">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1C5D4640">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14:paraId="58D0F5F1">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14:paraId="266E4DF1">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14:paraId="4EB0D199">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14:paraId="6E96D75C">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14:paraId="07208C17">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4CDBE7F9">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14:paraId="3C72E0EC">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47C36475">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14:paraId="1D65AC09">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71498142">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14:paraId="18DB969C">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14:paraId="7C4D1775">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14:paraId="26B367C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54FB1367">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7B9338A9">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14:paraId="62E7BA1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14:paraId="75669193">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476A2EA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58BAD1D8">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14:paraId="41D4D31D">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14:paraId="4C2D4D1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770C7CA0">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14:paraId="40B6412F">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1F744F55">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35D44E84">
      <w:pPr>
        <w:numPr>
          <w:ilvl w:val="0"/>
          <w:numId w:val="9"/>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14:paraId="51DC055E">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1D1B49CD">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0606FF12">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14:paraId="219EAD0E">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3B0D2854">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14:paraId="02DB1B47">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14:paraId="34DF19F4">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14:paraId="69ED7245">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14:paraId="19607A13">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14:paraId="0979D92F">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14:paraId="0A9ACC0D">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0B19F90B">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20561581">
      <w:pPr>
        <w:numPr>
          <w:ilvl w:val="0"/>
          <w:numId w:val="9"/>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14:paraId="3F1781F5">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657B7194">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14:paraId="1821B126">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65A44DA0">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14:paraId="6F1A8BE2">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14:paraId="6117EAC8">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331BD88A">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14:paraId="5DA7910E">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538FD045">
      <w:pPr>
        <w:numPr>
          <w:ilvl w:val="0"/>
          <w:numId w:val="9"/>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14:paraId="72FE3ED9">
      <w:pPr>
        <w:numPr>
          <w:ilvl w:val="0"/>
          <w:numId w:val="11"/>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14:paraId="75E3FC71">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14:paraId="618C99A8">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55F8C99B">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296294F4">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186DAFB3">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2C398EE1">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686EBF19">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2351B315">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21592D5B">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05850288">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14:paraId="31C4E438">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14:paraId="195EA9A3">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14:paraId="16924BBE">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7714AE63">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14:paraId="34E11ED1">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2101A204">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14:paraId="696A2962">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14:paraId="11E287F5">
      <w:pPr>
        <w:numPr>
          <w:ilvl w:val="0"/>
          <w:numId w:val="9"/>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41B22168">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08D4720D">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（1）合同协议书及其变更、补充</w:t>
      </w:r>
      <w:r>
        <w:rPr>
          <w:rFonts w:hint="eastAsia" w:ascii="宋体" w:hAnsi="宋体" w:eastAsia="宋体"/>
          <w:color w:val="auto"/>
          <w:szCs w:val="21"/>
          <w:lang w:eastAsia="zh-CN"/>
        </w:rPr>
        <w:t>协议</w:t>
      </w:r>
    </w:p>
    <w:p w14:paraId="62076C30">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）合同专用条款</w:t>
      </w:r>
    </w:p>
    <w:p w14:paraId="49D798EA">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）合同通用条款</w:t>
      </w:r>
    </w:p>
    <w:p w14:paraId="77845B7E">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14:paraId="39D37071">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14:paraId="61FCA011">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14:paraId="34FDF9E2">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14:paraId="1EBDD28D">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34D61AFC">
      <w:pPr>
        <w:numPr>
          <w:ilvl w:val="0"/>
          <w:numId w:val="9"/>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313FAEDD">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64A6D283">
      <w:pPr>
        <w:numPr>
          <w:ilvl w:val="0"/>
          <w:numId w:val="9"/>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476DDF0F">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14:paraId="62732A60">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3F3F83EE">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0D272D2A">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14:paraId="15CCEAF6">
      <w:pPr>
        <w:rPr>
          <w:rFonts w:hint="eastAsia" w:eastAsia="宋体"/>
        </w:rPr>
      </w:pPr>
      <w:r>
        <w:rPr>
          <w:rFonts w:hint="eastAsia" w:eastAsia="宋体"/>
        </w:rPr>
        <w:br w:type="page"/>
      </w:r>
    </w:p>
    <w:p w14:paraId="7DCDD024">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2"/>
        <w:tblW w:w="839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1CEB4A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4303" w:type="dxa"/>
            <w:gridSpan w:val="2"/>
            <w:tcBorders>
              <w:bottom w:val="single" w:color="auto" w:sz="2" w:space="0"/>
              <w:right w:val="single" w:color="auto" w:sz="2" w:space="0"/>
            </w:tcBorders>
            <w:vAlign w:val="center"/>
          </w:tcPr>
          <w:p w14:paraId="2A7C143B">
            <w:pPr>
              <w:keepNext w:val="0"/>
              <w:keepLines w:val="0"/>
              <w:suppressLineNumbers w:val="0"/>
              <w:adjustRightInd w:val="0"/>
              <w:snapToGrid w:val="0"/>
              <w:spacing w:before="0" w:beforeAutospacing="0" w:after="0" w:afterAutospacing="0" w:line="300" w:lineRule="exact"/>
              <w:ind w:left="0" w:right="0"/>
              <w:jc w:val="center"/>
              <w:rPr>
                <w:rFonts w:hint="default" w:eastAsia="宋体"/>
              </w:rPr>
            </w:pPr>
            <w:r>
              <w:rPr>
                <w:rFonts w:hint="default"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274EA7B1">
            <w:pPr>
              <w:keepNext w:val="0"/>
              <w:keepLines w:val="0"/>
              <w:suppressLineNumbers w:val="0"/>
              <w:adjustRightInd w:val="0"/>
              <w:snapToGrid w:val="0"/>
              <w:spacing w:before="0" w:beforeAutospacing="0" w:after="0" w:afterAutospacing="0" w:line="300" w:lineRule="exact"/>
              <w:ind w:left="0" w:right="0"/>
              <w:jc w:val="center"/>
              <w:rPr>
                <w:rFonts w:hint="default" w:eastAsia="宋体"/>
              </w:rPr>
            </w:pPr>
            <w:r>
              <w:rPr>
                <w:rFonts w:hint="default" w:eastAsia="宋体"/>
                <w:szCs w:val="21"/>
              </w:rPr>
              <w:t>乙方</w:t>
            </w:r>
            <w:r>
              <w:rPr>
                <w:rFonts w:hint="eastAsia" w:eastAsia="宋体"/>
                <w:szCs w:val="21"/>
              </w:rPr>
              <w:t>（供应商）</w:t>
            </w:r>
          </w:p>
        </w:tc>
      </w:tr>
      <w:tr w14:paraId="12125D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891" w:type="dxa"/>
            <w:tcBorders>
              <w:top w:val="single" w:color="auto" w:sz="2" w:space="0"/>
              <w:bottom w:val="single" w:color="auto" w:sz="2" w:space="0"/>
              <w:right w:val="single" w:color="auto" w:sz="2" w:space="0"/>
            </w:tcBorders>
            <w:vAlign w:val="center"/>
          </w:tcPr>
          <w:p w14:paraId="5734DD88">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14:paraId="660D51F5">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54F5E60">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14:paraId="3EFB2758">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5D429A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891" w:type="dxa"/>
            <w:vMerge w:val="restart"/>
            <w:tcBorders>
              <w:top w:val="single" w:color="auto" w:sz="2" w:space="0"/>
              <w:right w:val="single" w:color="auto" w:sz="2" w:space="0"/>
            </w:tcBorders>
            <w:vAlign w:val="center"/>
          </w:tcPr>
          <w:p w14:paraId="07A42818">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法定代表人</w:t>
            </w:r>
          </w:p>
          <w:p w14:paraId="6FF29367">
            <w:pPr>
              <w:keepNext w:val="0"/>
              <w:keepLines w:val="0"/>
              <w:suppressLineNumbers w:val="0"/>
              <w:adjustRightInd w:val="0"/>
              <w:snapToGrid w:val="0"/>
              <w:spacing w:before="0" w:beforeAutospacing="0" w:after="0" w:afterAutospacing="0" w:line="300" w:lineRule="exact"/>
              <w:ind w:left="0" w:right="0" w:firstLine="100" w:firstLineChars="48"/>
              <w:jc w:val="center"/>
              <w:rPr>
                <w:rFonts w:hint="default" w:eastAsia="宋体"/>
                <w:szCs w:val="21"/>
              </w:rPr>
            </w:pPr>
            <w:r>
              <w:rPr>
                <w:rFonts w:hint="eastAsia" w:eastAsia="宋体"/>
                <w:szCs w:val="21"/>
              </w:rPr>
              <w:t>或其</w:t>
            </w:r>
            <w:r>
              <w:rPr>
                <w:rFonts w:hint="default"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41F42AA0">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right w:val="single" w:color="auto" w:sz="2" w:space="0"/>
            </w:tcBorders>
            <w:vAlign w:val="center"/>
          </w:tcPr>
          <w:p w14:paraId="2FAA70AB">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法定代表人</w:t>
            </w:r>
          </w:p>
          <w:p w14:paraId="5CB424E2">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rPr>
              <w:t>或其</w:t>
            </w:r>
            <w:r>
              <w:rPr>
                <w:rFonts w:hint="default"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5115DEB8">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r>
      <w:tr w14:paraId="0D3441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vMerge w:val="continue"/>
            <w:tcBorders>
              <w:bottom w:val="single" w:color="auto" w:sz="2" w:space="0"/>
              <w:right w:val="single" w:color="auto" w:sz="2" w:space="0"/>
            </w:tcBorders>
            <w:vAlign w:val="center"/>
          </w:tcPr>
          <w:p w14:paraId="616FE787">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1A53C237">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EADE776">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14:paraId="552C512B">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71FB28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0DF980E1">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5F30DCEB">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2BE2890">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14:paraId="3012450D">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6EF6B7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1139C52B">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4A751BC0">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754F8C3">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联 系 人</w:t>
            </w:r>
          </w:p>
        </w:tc>
        <w:tc>
          <w:tcPr>
            <w:tcW w:w="2116" w:type="dxa"/>
            <w:tcBorders>
              <w:top w:val="single" w:color="auto" w:sz="2" w:space="0"/>
              <w:left w:val="single" w:color="auto" w:sz="2" w:space="0"/>
              <w:bottom w:val="single" w:color="auto" w:sz="2" w:space="0"/>
            </w:tcBorders>
            <w:vAlign w:val="center"/>
          </w:tcPr>
          <w:p w14:paraId="656C3FA6">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7EDD15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3DFD904D">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224E76D">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EEB9E9F">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联系电话</w:t>
            </w:r>
          </w:p>
        </w:tc>
        <w:tc>
          <w:tcPr>
            <w:tcW w:w="2116" w:type="dxa"/>
            <w:tcBorders>
              <w:top w:val="single" w:color="auto" w:sz="2" w:space="0"/>
              <w:left w:val="single" w:color="auto" w:sz="2" w:space="0"/>
              <w:bottom w:val="single" w:color="auto" w:sz="2" w:space="0"/>
            </w:tcBorders>
            <w:vAlign w:val="center"/>
          </w:tcPr>
          <w:p w14:paraId="2343E37C">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41F070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F5F3968">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5077187D">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34B835C">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14:paraId="3CE7CAA2">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3D9C6B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38493F8">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1F32F7C8">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F28B427">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邮政编码</w:t>
            </w:r>
          </w:p>
        </w:tc>
        <w:tc>
          <w:tcPr>
            <w:tcW w:w="2116" w:type="dxa"/>
            <w:tcBorders>
              <w:top w:val="single" w:color="auto" w:sz="2" w:space="0"/>
              <w:left w:val="single" w:color="auto" w:sz="2" w:space="0"/>
              <w:bottom w:val="single" w:color="auto" w:sz="2" w:space="0"/>
            </w:tcBorders>
            <w:vAlign w:val="center"/>
          </w:tcPr>
          <w:p w14:paraId="31DD58B6">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679A10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5E54298D">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14C832B6">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FEE4721">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6BC1278F">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75046C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A677F9B">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7D684139">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CCC4F38">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6906639C">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3516D6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7792743A">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53F54056">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A975169">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开户名称</w:t>
            </w:r>
          </w:p>
        </w:tc>
        <w:tc>
          <w:tcPr>
            <w:tcW w:w="2116" w:type="dxa"/>
            <w:tcBorders>
              <w:top w:val="single" w:color="auto" w:sz="2" w:space="0"/>
              <w:left w:val="single" w:color="auto" w:sz="2" w:space="0"/>
              <w:bottom w:val="single" w:color="auto" w:sz="2" w:space="0"/>
            </w:tcBorders>
            <w:vAlign w:val="center"/>
          </w:tcPr>
          <w:p w14:paraId="43E0ABFE">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7BFD14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69A39BB6">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C03FFD0">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370FC5A">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开户银行</w:t>
            </w:r>
          </w:p>
        </w:tc>
        <w:tc>
          <w:tcPr>
            <w:tcW w:w="2116" w:type="dxa"/>
            <w:tcBorders>
              <w:top w:val="single" w:color="auto" w:sz="2" w:space="0"/>
              <w:left w:val="single" w:color="auto" w:sz="2" w:space="0"/>
              <w:bottom w:val="single" w:color="auto" w:sz="2" w:space="0"/>
            </w:tcBorders>
            <w:vAlign w:val="center"/>
          </w:tcPr>
          <w:p w14:paraId="3900FE34">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5D0B20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40A5C55F">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1060E33B">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3DC3B52">
            <w:pPr>
              <w:keepNext w:val="0"/>
              <w:keepLines w:val="0"/>
              <w:suppressLineNumbers w:val="0"/>
              <w:adjustRightInd w:val="0"/>
              <w:snapToGrid w:val="0"/>
              <w:spacing w:before="0" w:beforeAutospacing="0" w:after="0" w:afterAutospacing="0" w:line="300" w:lineRule="exact"/>
              <w:ind w:left="0" w:right="0"/>
              <w:jc w:val="center"/>
              <w:rPr>
                <w:rFonts w:hint="default" w:eastAsia="宋体"/>
                <w:szCs w:val="21"/>
              </w:rPr>
            </w:pPr>
            <w:r>
              <w:rPr>
                <w:rFonts w:hint="default" w:eastAsia="宋体"/>
                <w:szCs w:val="21"/>
              </w:rPr>
              <w:t>银行账号</w:t>
            </w:r>
          </w:p>
        </w:tc>
        <w:tc>
          <w:tcPr>
            <w:tcW w:w="2116" w:type="dxa"/>
            <w:tcBorders>
              <w:top w:val="single" w:color="auto" w:sz="2" w:space="0"/>
              <w:left w:val="single" w:color="auto" w:sz="2" w:space="0"/>
              <w:bottom w:val="single" w:color="auto" w:sz="2" w:space="0"/>
            </w:tcBorders>
            <w:vAlign w:val="center"/>
          </w:tcPr>
          <w:p w14:paraId="37493790">
            <w:pPr>
              <w:keepNext w:val="0"/>
              <w:keepLines w:val="0"/>
              <w:suppressLineNumbers w:val="0"/>
              <w:adjustRightInd w:val="0"/>
              <w:snapToGrid w:val="0"/>
              <w:spacing w:before="0" w:beforeAutospacing="0" w:after="0" w:afterAutospacing="0" w:line="300" w:lineRule="exact"/>
              <w:ind w:left="0" w:right="0"/>
              <w:jc w:val="center"/>
              <w:rPr>
                <w:rFonts w:hint="default" w:eastAsia="宋体"/>
                <w:spacing w:val="20"/>
                <w:szCs w:val="21"/>
              </w:rPr>
            </w:pPr>
          </w:p>
        </w:tc>
      </w:tr>
      <w:tr w14:paraId="0A7C60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8398" w:type="dxa"/>
            <w:gridSpan w:val="4"/>
            <w:tcBorders>
              <w:top w:val="single" w:color="auto" w:sz="2" w:space="0"/>
            </w:tcBorders>
            <w:vAlign w:val="center"/>
          </w:tcPr>
          <w:p w14:paraId="13BF2C83">
            <w:pPr>
              <w:keepNext w:val="0"/>
              <w:keepLines w:val="0"/>
              <w:widowControl w:val="0"/>
              <w:suppressLineNumbers w:val="0"/>
              <w:adjustRightInd w:val="0"/>
              <w:snapToGrid w:val="0"/>
              <w:spacing w:before="156" w:beforeLines="50" w:beforeAutospacing="0" w:after="0" w:afterAutospacing="0" w:line="360" w:lineRule="auto"/>
              <w:ind w:left="0" w:leftChars="0" w:right="0"/>
              <w:jc w:val="left"/>
              <w:rPr>
                <w:rFonts w:hint="default"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14:paraId="0F767F05">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47" w:name="_Toc27624"/>
      <w:r>
        <w:rPr>
          <w:rFonts w:hint="eastAsia" w:ascii="黑体" w:hAnsi="黑体" w:eastAsia="黑体" w:cs="Times New Roman"/>
          <w:b w:val="0"/>
          <w:bCs w:val="0"/>
          <w:kern w:val="2"/>
          <w:sz w:val="28"/>
          <w:szCs w:val="28"/>
          <w:lang w:val="en-US" w:eastAsia="zh-CN" w:bidi="ar-SA"/>
        </w:rPr>
        <w:t>第二节 合同通用条款</w:t>
      </w:r>
      <w:bookmarkEnd w:id="47"/>
    </w:p>
    <w:p w14:paraId="2848058F">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14:paraId="4B48195F">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14:paraId="42D3CF2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14:paraId="4F77148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14:paraId="162B4CBB">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14:paraId="62CBC990">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14:paraId="708DF7CC">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合同专用条款</w:t>
      </w:r>
      <w:r>
        <w:rPr>
          <w:rFonts w:hint="eastAsia" w:ascii="宋体" w:hAnsi="宋体" w:eastAsia="宋体"/>
          <w:szCs w:val="21"/>
          <w:lang w:eastAsia="zh-CN"/>
        </w:rPr>
        <w:t>，</w:t>
      </w:r>
      <w:r>
        <w:rPr>
          <w:rFonts w:hint="eastAsia" w:ascii="宋体" w:hAnsi="宋体" w:eastAsia="宋体"/>
          <w:szCs w:val="21"/>
        </w:rPr>
        <w:t>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14:paraId="4E03835D">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14:paraId="73C79DF5">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14:paraId="061D2FB0">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14:paraId="29019DC1">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14:paraId="1B2D9B9A">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合同专用条款</w:t>
      </w:r>
      <w:r>
        <w:rPr>
          <w:rFonts w:hint="eastAsia" w:ascii="宋体" w:hAnsi="宋体" w:eastAsia="宋体"/>
          <w:color w:val="000000"/>
          <w:szCs w:val="21"/>
          <w:highlight w:val="none"/>
        </w:rPr>
        <w:t>】。</w:t>
      </w:r>
    </w:p>
    <w:p w14:paraId="5C94B7E0">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合同专用条款</w:t>
      </w:r>
      <w:r>
        <w:rPr>
          <w:rFonts w:hint="eastAsia" w:ascii="宋体" w:hAnsi="宋体" w:eastAsia="宋体"/>
          <w:color w:val="000000"/>
          <w:szCs w:val="21"/>
          <w:highlight w:val="none"/>
        </w:rPr>
        <w:t>】。</w:t>
      </w:r>
    </w:p>
    <w:p w14:paraId="4B80EBB9">
      <w:pPr>
        <w:numPr>
          <w:ilvl w:val="0"/>
          <w:numId w:val="12"/>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14:paraId="432AD55A">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14:paraId="3DFC12B6">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14:paraId="3786069A">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14:paraId="718FDBEA">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14:paraId="129491DE">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14:paraId="0432D42D">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14:paraId="24D0C068">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14:paraId="2BDDF5D4">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14:paraId="49B8E4AA">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14:paraId="0C291E85">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14:paraId="5AD2F811">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14:paraId="616C6FC1">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14:paraId="7B7652AE">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14:paraId="06C43F83">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14:paraId="07AA7B5F">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14:paraId="452540D9">
      <w:pPr>
        <w:numPr>
          <w:ilvl w:val="0"/>
          <w:numId w:val="13"/>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14:paraId="3D165650">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【合同专用条款】</w:t>
      </w:r>
      <w:r>
        <w:rPr>
          <w:rFonts w:hint="eastAsia" w:ascii="宋体" w:hAnsi="宋体" w:eastAsia="宋体"/>
          <w:color w:val="000000"/>
          <w:szCs w:val="21"/>
          <w:highlight w:val="none"/>
        </w:rPr>
        <w:t>约定顺序履行合同义务；如果没有先后顺序的，应当同时履行。</w:t>
      </w:r>
    </w:p>
    <w:p w14:paraId="549ECA8D">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1718AB7C">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14:paraId="02A33C0A">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14:paraId="59DA4397">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14:paraId="6D969D6D">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14:paraId="32277EC1">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14:paraId="3575334A">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14:paraId="26F0BEE5">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2B72F542">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14:paraId="48E95AFB">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61C339A2">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14:paraId="5BDB9952">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6142F67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14:paraId="22F623A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14:paraId="495B824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14:paraId="3ED8A503">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14:paraId="28083713">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14:paraId="1FAE15F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规定的响应时间内以合理的速度免费维修或更换有缺陷的货物或部件。</w:t>
      </w:r>
    </w:p>
    <w:p w14:paraId="529134D2">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14:paraId="7F4AEE37">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14:paraId="5B9C3CD2">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14:paraId="4B69A74D">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14:paraId="129B317B">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14:paraId="20CD8DDC">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14:paraId="2D9EDD83">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14:paraId="5C7D102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48"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48"/>
      <w:r>
        <w:rPr>
          <w:rFonts w:hint="eastAsia" w:ascii="宋体" w:hAnsi="宋体" w:eastAsia="宋体"/>
          <w:color w:val="auto"/>
          <w:szCs w:val="21"/>
          <w:highlight w:val="none"/>
        </w:rPr>
        <w:t>。</w:t>
      </w:r>
    </w:p>
    <w:p w14:paraId="7CE30B4E">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14:paraId="3CB01105">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【合同专用条款】</w:t>
      </w:r>
      <w:r>
        <w:rPr>
          <w:rFonts w:hint="eastAsia" w:ascii="宋体" w:hAnsi="宋体" w:eastAsia="宋体" w:cs="宋体"/>
          <w:szCs w:val="15"/>
        </w:rPr>
        <w:t>中约定。</w:t>
      </w:r>
    </w:p>
    <w:p w14:paraId="6C855FF9">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14:paraId="07154A95">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14:paraId="6489C4DC">
      <w:pPr>
        <w:keepNext/>
        <w:keepLines/>
        <w:widowControl w:val="0"/>
        <w:spacing w:line="400" w:lineRule="exact"/>
        <w:ind w:firstLine="420" w:firstLineChars="200"/>
        <w:jc w:val="both"/>
        <w:outlineLvl w:val="1"/>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5C32168B">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23B9B205">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1D69977E">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14:paraId="4CCC09A5">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规定支付。</w:t>
      </w:r>
    </w:p>
    <w:p w14:paraId="6968FB87">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14:paraId="31842B0E">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14:paraId="5B8639E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14:paraId="6EC093E3">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14:paraId="1EF3400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14:paraId="66BD5ACA">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14:paraId="7077B093">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14:paraId="221AC49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规定由乙方提供的其他服务。</w:t>
      </w:r>
    </w:p>
    <w:p w14:paraId="6179AFC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14:paraId="7FB2A42D">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14:paraId="2859DAAF">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14:paraId="09EB5D5E">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14:paraId="3A7A6ED5">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14:paraId="29B7773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14:paraId="033F39F8">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14:paraId="78248CA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14:paraId="07652EF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【合同专用条款】</w:t>
      </w:r>
      <w:r>
        <w:rPr>
          <w:rFonts w:hint="eastAsia" w:ascii="宋体" w:hAnsi="宋体" w:eastAsia="宋体"/>
          <w:color w:val="auto"/>
          <w:szCs w:val="21"/>
          <w:highlight w:val="none"/>
        </w:rPr>
        <w:t>规定的逾期付款利息。</w:t>
      </w:r>
    </w:p>
    <w:p w14:paraId="7DF814C9">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【合同专用条款】</w:t>
      </w:r>
      <w:r>
        <w:rPr>
          <w:rFonts w:hint="eastAsia" w:ascii="宋体" w:hAnsi="宋体" w:eastAsia="宋体"/>
          <w:color w:val="auto"/>
          <w:szCs w:val="21"/>
          <w:highlight w:val="none"/>
        </w:rPr>
        <w:t>规定执行。</w:t>
      </w:r>
    </w:p>
    <w:p w14:paraId="1177038D">
      <w:pPr>
        <w:numPr>
          <w:ilvl w:val="0"/>
          <w:numId w:val="14"/>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14:paraId="3983AE0B">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14:paraId="5BDFABFE">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14:paraId="3E6C985D">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14:paraId="44844D0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14:paraId="37FEDDA4">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14:paraId="2BEBA7F6">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3F20CB02">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14:paraId="5DB71459">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14:paraId="58B0DD6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14:paraId="144AE77B">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14:paraId="2AC13DDE">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3230EE78">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14:paraId="385CCD43">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14:paraId="60C2FD1F">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14:paraId="15E4FB2F">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14:paraId="5D953A6F">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14:paraId="2EDA3C8B">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14:paraId="5D38E3E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14:paraId="541D831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14:paraId="431DF221">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14:paraId="713FC85C">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1538E8D1">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14:paraId="6B71179F">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14:paraId="34BC5CF8">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采购政策</w:t>
      </w:r>
    </w:p>
    <w:p w14:paraId="3258CE42">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本合同应当按照规定执行采购政策。</w:t>
      </w:r>
    </w:p>
    <w:p w14:paraId="164BE8F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未按规定要求执行采购政策造成损失的</w:t>
      </w:r>
      <w:r>
        <w:rPr>
          <w:rFonts w:hint="eastAsia" w:ascii="宋体" w:hAnsi="宋体" w:eastAsia="宋体"/>
          <w:color w:val="auto"/>
          <w:szCs w:val="21"/>
          <w:highlight w:val="none"/>
        </w:rPr>
        <w:t>，有过错的一方应当承担赔偿责任，双方都有过错的，各自承担相应的责任。</w:t>
      </w:r>
    </w:p>
    <w:p w14:paraId="5C1E8375">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3C7E8DD">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14:paraId="6E862B11">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14:paraId="5559F106">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14:paraId="666DF852">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14:paraId="7F46EEC2">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本合同任何一方向对方发出的通知、信件、数据电文等，应当发送至本合同第一部分《合同协议书》所约定的通讯地址、联系人、联系电话或电子邮箱。</w:t>
      </w:r>
    </w:p>
    <w:p w14:paraId="2B83776D">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70D679AD">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14:paraId="068CAAB4">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14:paraId="46703C54">
      <w:pPr>
        <w:numPr>
          <w:ilvl w:val="0"/>
          <w:numId w:val="15"/>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14:paraId="5B583AC4">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【合同专用条款】</w:t>
      </w:r>
      <w:r>
        <w:rPr>
          <w:rFonts w:hint="eastAsia" w:ascii="宋体" w:hAnsi="宋体" w:eastAsia="宋体"/>
          <w:bCs/>
          <w:color w:val="auto"/>
          <w:szCs w:val="21"/>
          <w:highlight w:val="none"/>
        </w:rPr>
        <w:t>。</w:t>
      </w:r>
    </w:p>
    <w:p w14:paraId="0EC91C04">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49" w:name="_Toc20313"/>
    </w:p>
    <w:p w14:paraId="2F81B1C9">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247B8AD0">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合同专用条款</w:t>
      </w:r>
      <w:bookmarkEnd w:id="49"/>
    </w:p>
    <w:tbl>
      <w:tblPr>
        <w:tblStyle w:val="4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46DDD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79894D">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1F8D44C8">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14:paraId="2372117B">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lang w:eastAsia="zh-CN"/>
              </w:rPr>
              <w:t>联合体具体要求</w:t>
            </w:r>
          </w:p>
        </w:tc>
        <w:tc>
          <w:tcPr>
            <w:tcW w:w="5170" w:type="dxa"/>
            <w:vAlign w:val="center"/>
          </w:tcPr>
          <w:p w14:paraId="5D8F189A">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78F7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DCE2F63">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7480D4C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14:paraId="130A8AE7">
            <w:pPr>
              <w:keepNext w:val="0"/>
              <w:keepLines w:val="0"/>
              <w:suppressLineNumbers w:val="0"/>
              <w:adjustRightInd w:val="0"/>
              <w:snapToGrid w:val="0"/>
              <w:spacing w:before="0" w:beforeAutospacing="0" w:after="0" w:afterAutospacing="0"/>
              <w:ind w:left="0" w:right="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14:paraId="76FC05D3">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14:paraId="4DC089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A53BC4">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5820B7E5">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14:paraId="0726C0C2">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14:paraId="5ABAB8E2">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14:paraId="6758D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C9F2A">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19AB4AC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14:paraId="1673FC49">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14:paraId="31F5151A">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14:paraId="3AA06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DAD02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lang w:eastAsia="zh-CN"/>
              </w:rPr>
            </w:pPr>
            <w:r>
              <w:rPr>
                <w:rFonts w:hint="eastAsia" w:ascii="宋体" w:hAnsi="宋体" w:eastAsia="宋体"/>
                <w:szCs w:val="21"/>
                <w:lang w:eastAsia="zh-CN"/>
              </w:rPr>
              <w:t>第二节</w:t>
            </w:r>
          </w:p>
          <w:p w14:paraId="603A09AA">
            <w:pPr>
              <w:keepNext w:val="0"/>
              <w:keepLines w:val="0"/>
              <w:suppressLineNumbers w:val="0"/>
              <w:snapToGrid w:val="0"/>
              <w:spacing w:before="0" w:beforeAutospacing="0" w:after="0" w:afterAutospacing="0"/>
              <w:ind w:left="0" w:right="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14:paraId="621639FF">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14:paraId="24B95629">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14:paraId="1F5763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6C33D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lang w:eastAsia="zh-CN"/>
              </w:rPr>
            </w:pPr>
            <w:r>
              <w:rPr>
                <w:rFonts w:hint="eastAsia" w:ascii="宋体" w:hAnsi="宋体" w:eastAsia="宋体"/>
                <w:szCs w:val="21"/>
                <w:lang w:eastAsia="zh-CN"/>
              </w:rPr>
              <w:t>第二节</w:t>
            </w:r>
          </w:p>
          <w:p w14:paraId="10AAF588">
            <w:pPr>
              <w:keepNext w:val="0"/>
              <w:keepLines w:val="0"/>
              <w:suppressLineNumbers w:val="0"/>
              <w:snapToGrid w:val="0"/>
              <w:spacing w:before="0" w:beforeAutospacing="0" w:after="0" w:afterAutospacing="0"/>
              <w:ind w:left="0" w:right="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14:paraId="1A573506">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14:paraId="3D2AB997">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14:paraId="0C7E4C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4920837">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4FFFC6D3">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14:paraId="1061264C">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14:paraId="29D3B5E5">
            <w:pPr>
              <w:keepNext w:val="0"/>
              <w:keepLines w:val="0"/>
              <w:suppressLineNumbers w:val="0"/>
              <w:spacing w:before="0" w:beforeAutospacing="0" w:after="0" w:afterAutospacing="0"/>
              <w:ind w:left="0" w:right="0"/>
              <w:rPr>
                <w:rFonts w:hint="default" w:eastAsia="宋体"/>
              </w:rPr>
            </w:pPr>
          </w:p>
        </w:tc>
      </w:tr>
      <w:tr w14:paraId="55803E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DCA925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p>
        </w:tc>
        <w:tc>
          <w:tcPr>
            <w:tcW w:w="1742" w:type="dxa"/>
            <w:vAlign w:val="center"/>
          </w:tcPr>
          <w:p w14:paraId="17651045">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14:paraId="42FFC697">
            <w:pPr>
              <w:keepNext w:val="0"/>
              <w:keepLines w:val="0"/>
              <w:suppressLineNumbers w:val="0"/>
              <w:spacing w:before="0" w:beforeAutospacing="0" w:after="0" w:afterAutospacing="0"/>
              <w:ind w:left="0" w:right="0"/>
              <w:rPr>
                <w:rFonts w:hint="eastAsia" w:eastAsia="宋体"/>
              </w:rPr>
            </w:pPr>
          </w:p>
        </w:tc>
      </w:tr>
      <w:tr w14:paraId="0C2802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B2B8EF">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63B8FC4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14:paraId="458CF4D5">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14:paraId="2C435B81">
            <w:pPr>
              <w:keepNext w:val="0"/>
              <w:keepLines w:val="0"/>
              <w:suppressLineNumbers w:val="0"/>
              <w:spacing w:before="0" w:beforeAutospacing="0" w:after="0" w:afterAutospacing="0"/>
              <w:ind w:left="0" w:right="0"/>
              <w:rPr>
                <w:rFonts w:hint="eastAsia" w:eastAsia="宋体"/>
              </w:rPr>
            </w:pPr>
          </w:p>
        </w:tc>
      </w:tr>
      <w:tr w14:paraId="7188D4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8A375D3">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316B040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14:paraId="2CE224E1">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14:paraId="6E35905B">
            <w:pPr>
              <w:keepNext w:val="0"/>
              <w:keepLines w:val="0"/>
              <w:suppressLineNumbers w:val="0"/>
              <w:spacing w:before="0" w:beforeAutospacing="0" w:after="0" w:afterAutospacing="0"/>
              <w:ind w:left="0" w:right="0"/>
              <w:rPr>
                <w:rFonts w:hint="eastAsia" w:eastAsia="宋体"/>
              </w:rPr>
            </w:pPr>
          </w:p>
        </w:tc>
      </w:tr>
      <w:tr w14:paraId="54308A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DE7C7D">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39A72965">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14:paraId="76953C7F">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质量保证期</w:t>
            </w:r>
          </w:p>
        </w:tc>
        <w:tc>
          <w:tcPr>
            <w:tcW w:w="5170" w:type="dxa"/>
            <w:vAlign w:val="center"/>
          </w:tcPr>
          <w:p w14:paraId="329698D9">
            <w:pPr>
              <w:keepNext w:val="0"/>
              <w:keepLines w:val="0"/>
              <w:suppressLineNumbers w:val="0"/>
              <w:autoSpaceDE w:val="0"/>
              <w:autoSpaceDN w:val="0"/>
              <w:adjustRightInd w:val="0"/>
              <w:snapToGrid w:val="0"/>
              <w:spacing w:before="0" w:beforeAutospacing="0" w:after="0" w:afterAutospacing="0"/>
              <w:ind w:left="0" w:right="0" w:firstLine="420" w:firstLineChars="200"/>
              <w:jc w:val="left"/>
              <w:rPr>
                <w:rFonts w:hint="default" w:ascii="宋体" w:hAnsi="宋体" w:eastAsia="宋体"/>
                <w:szCs w:val="21"/>
              </w:rPr>
            </w:pPr>
          </w:p>
        </w:tc>
      </w:tr>
      <w:tr w14:paraId="039F99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8AEA3A">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3A623A98">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14:paraId="022EEDAF">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lang w:eastAsia="zh-CN"/>
              </w:rPr>
              <w:t>货物质量缺陷</w:t>
            </w:r>
          </w:p>
          <w:p w14:paraId="79174E59">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响应时间</w:t>
            </w:r>
          </w:p>
        </w:tc>
        <w:tc>
          <w:tcPr>
            <w:tcW w:w="5170" w:type="dxa"/>
            <w:vAlign w:val="center"/>
          </w:tcPr>
          <w:p w14:paraId="72B519C1">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3E23E4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DE2EB3">
            <w:pPr>
              <w:keepNext w:val="0"/>
              <w:keepLines w:val="0"/>
              <w:suppressLineNumbers w:val="0"/>
              <w:snapToGrid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14:paraId="52132611">
            <w:pPr>
              <w:keepNext w:val="0"/>
              <w:keepLines w:val="0"/>
              <w:suppressLineNumbers w:val="0"/>
              <w:autoSpaceDE w:val="0"/>
              <w:autoSpaceDN w:val="0"/>
              <w:adjustRightInd w:val="0"/>
              <w:spacing w:before="0" w:beforeAutospacing="0" w:after="0" w:afterAutospacing="0" w:line="400" w:lineRule="exact"/>
              <w:ind w:left="0" w:right="0"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14:paraId="45A589B6">
            <w:pPr>
              <w:keepNext w:val="0"/>
              <w:keepLines w:val="0"/>
              <w:suppressLineNumbers w:val="0"/>
              <w:adjustRightInd w:val="0"/>
              <w:snapToGrid w:val="0"/>
              <w:spacing w:before="0" w:beforeAutospacing="0" w:after="0" w:afterAutospacing="0"/>
              <w:ind w:left="0" w:right="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14:paraId="28BE094F">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4CE3BA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F3EABB">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5E3BA06D">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14:paraId="39C87B89">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14:paraId="69E47BBD">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7FB903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9B83A6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第二节</w:t>
            </w:r>
          </w:p>
          <w:p w14:paraId="038B9A7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14:paraId="62EF3DE1">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14:paraId="3E40E23E">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0DD243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8CEDC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第二节</w:t>
            </w:r>
          </w:p>
          <w:p w14:paraId="3BC0664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14:paraId="77548768">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14:paraId="62FAC8FC">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7A0D5B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7C17D8F">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6A4C229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14:paraId="079C85B1">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14:paraId="60770168">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242D91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7AC2F51">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6E3D077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14:paraId="5502B078">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14:paraId="03651F8D">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43A7C9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703D29">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1503786C">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14:paraId="0CADFD43">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乙方提供的其他服务</w:t>
            </w:r>
          </w:p>
        </w:tc>
        <w:tc>
          <w:tcPr>
            <w:tcW w:w="5170" w:type="dxa"/>
            <w:vAlign w:val="center"/>
          </w:tcPr>
          <w:p w14:paraId="2FFB72F7">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11C008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25F93A">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4E5C4D1A">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14:paraId="029E7090">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14:paraId="011B982F">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p>
        </w:tc>
      </w:tr>
      <w:tr w14:paraId="3BFC8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EC1DCB">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6484982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14:paraId="14D46F92">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迟延交货赔偿费</w:t>
            </w:r>
          </w:p>
        </w:tc>
        <w:tc>
          <w:tcPr>
            <w:tcW w:w="5170" w:type="dxa"/>
            <w:vAlign w:val="center"/>
          </w:tcPr>
          <w:p w14:paraId="4E521403">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u w:val="single"/>
              </w:rPr>
            </w:pPr>
          </w:p>
        </w:tc>
      </w:tr>
      <w:tr w14:paraId="18A90D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39CE72">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563D6C0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14:paraId="15AB91C2">
            <w:pPr>
              <w:keepNext w:val="0"/>
              <w:keepLines w:val="0"/>
              <w:suppressLineNumbers w:val="0"/>
              <w:adjustRightInd w:val="0"/>
              <w:snapToGrid w:val="0"/>
              <w:spacing w:before="0" w:beforeAutospacing="0" w:after="0" w:afterAutospacing="0"/>
              <w:ind w:left="0" w:right="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4D76D43C">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u w:val="single"/>
              </w:rPr>
            </w:pPr>
          </w:p>
        </w:tc>
      </w:tr>
      <w:tr w14:paraId="5D2DB1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5D120D5">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6FB00797">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592E7278">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0E517D0C">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u w:val="single"/>
              </w:rPr>
            </w:pPr>
          </w:p>
        </w:tc>
      </w:tr>
      <w:tr w14:paraId="1454F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5774F35">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30AC1D8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ECB2E6F">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14:paraId="7269640D">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01AAA808">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6540B244">
            <w:pPr>
              <w:keepNext w:val="0"/>
              <w:keepLines w:val="0"/>
              <w:suppressLineNumbers w:val="0"/>
              <w:adjustRightInd w:val="0"/>
              <w:snapToGrid w:val="0"/>
              <w:spacing w:before="0" w:beforeAutospacing="0" w:after="0" w:afterAutospacing="0"/>
              <w:ind w:left="0" w:right="0" w:firstLine="0" w:firstLineChars="0"/>
              <w:jc w:val="left"/>
              <w:rPr>
                <w:rFonts w:hint="default"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6FCCD4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03165DF">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第二节</w:t>
            </w:r>
          </w:p>
          <w:p w14:paraId="200367BC">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14:paraId="0C37370F">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14:paraId="57D9EC46">
            <w:pPr>
              <w:keepNext w:val="0"/>
              <w:keepLines w:val="0"/>
              <w:suppressLineNumbers w:val="0"/>
              <w:adjustRightInd w:val="0"/>
              <w:snapToGrid w:val="0"/>
              <w:spacing w:before="0" w:beforeAutospacing="0" w:after="0" w:afterAutospacing="0"/>
              <w:ind w:left="0" w:right="0"/>
              <w:jc w:val="left"/>
              <w:rPr>
                <w:rFonts w:hint="default" w:ascii="宋体" w:hAnsi="宋体" w:eastAsia="宋体"/>
                <w:szCs w:val="21"/>
                <w:lang w:val="en-US" w:eastAsia="zh-CN"/>
              </w:rPr>
            </w:pPr>
          </w:p>
        </w:tc>
      </w:tr>
    </w:tbl>
    <w:p w14:paraId="37443B07">
      <w:pPr>
        <w:rPr>
          <w:rFonts w:eastAsia="宋体"/>
        </w:rPr>
      </w:pPr>
    </w:p>
    <w:p w14:paraId="00B34262">
      <w:pPr>
        <w:rPr>
          <w:rFonts w:eastAsia="宋体"/>
        </w:rPr>
      </w:pPr>
    </w:p>
    <w:p w14:paraId="46E38573">
      <w:pPr>
        <w:widowControl/>
        <w:jc w:val="left"/>
        <w:rPr>
          <w:rFonts w:ascii="宋体" w:hAnsi="宋体"/>
          <w:szCs w:val="21"/>
        </w:rPr>
      </w:pPr>
      <w:r>
        <w:rPr>
          <w:rFonts w:ascii="宋体" w:hAnsi="宋体"/>
          <w:szCs w:val="21"/>
        </w:rPr>
        <w:br w:type="page"/>
      </w:r>
    </w:p>
    <w:p w14:paraId="00266395">
      <w:pPr>
        <w:pStyle w:val="5"/>
        <w:spacing w:before="120" w:beforeLines="50" w:after="120" w:afterLines="50"/>
        <w:ind w:left="562"/>
        <w:rPr>
          <w:sz w:val="28"/>
          <w:szCs w:val="28"/>
        </w:rPr>
      </w:pPr>
      <w:r>
        <w:rPr>
          <w:rFonts w:hint="eastAsia"/>
          <w:sz w:val="28"/>
          <w:szCs w:val="28"/>
        </w:rPr>
        <w:t>第二册  通用条款（公开招标）</w:t>
      </w:r>
    </w:p>
    <w:p w14:paraId="6F24FA3B">
      <w:pPr>
        <w:pStyle w:val="80"/>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50" w:name="_Hlk72399513"/>
      <w:bookmarkStart w:id="51" w:name="_Hlk72439706"/>
      <w:r>
        <w:rPr>
          <w:rFonts w:hint="eastAsia" w:ascii="Cambria" w:hAnsi="Cambria" w:cs="宋体"/>
          <w:b/>
          <w:bCs/>
          <w:sz w:val="28"/>
          <w:szCs w:val="28"/>
        </w:rPr>
        <w:t>总则</w:t>
      </w:r>
    </w:p>
    <w:bookmarkEnd w:id="50"/>
    <w:p w14:paraId="45CEEC0E">
      <w:pPr>
        <w:ind w:firstLine="420" w:firstLineChars="200"/>
        <w:rPr>
          <w:rFonts w:ascii="黑体" w:hAnsi="宋体" w:eastAsia="黑体"/>
          <w:szCs w:val="21"/>
        </w:rPr>
      </w:pPr>
      <w:r>
        <w:rPr>
          <w:rFonts w:hint="eastAsia" w:ascii="黑体" w:hAnsi="宋体" w:eastAsia="黑体"/>
          <w:szCs w:val="21"/>
        </w:rPr>
        <w:t>1. 通用条款说明</w:t>
      </w:r>
    </w:p>
    <w:p w14:paraId="03C4970A">
      <w:pPr>
        <w:ind w:firstLine="420" w:firstLineChars="200"/>
        <w:rPr>
          <w:rFonts w:ascii="宋体" w:hAnsi="宋体"/>
          <w:szCs w:val="21"/>
        </w:rPr>
      </w:pPr>
      <w:r>
        <w:rPr>
          <w:rFonts w:hint="eastAsia" w:ascii="宋体" w:hAnsi="宋体"/>
          <w:szCs w:val="21"/>
        </w:rPr>
        <w:t>1.</w:t>
      </w:r>
      <w:r>
        <w:rPr>
          <w:rFonts w:hint="eastAsia" w:ascii="宋体" w:hAnsi="宋体"/>
          <w:szCs w:val="21"/>
          <w:highlight w:val="none"/>
        </w:rPr>
        <w:t>1采购代理机构发出招标文件通用条款版本，列出深圳市自行采购项目进行招标采购所适用的通用条款内容。</w:t>
      </w:r>
      <w:bookmarkStart w:id="52" w:name="_Hlk72399729"/>
      <w:r>
        <w:rPr>
          <w:rFonts w:hint="eastAsia" w:ascii="宋体" w:hAnsi="宋体"/>
          <w:szCs w:val="21"/>
          <w:highlight w:val="none"/>
        </w:rPr>
        <w:t>如有需要，采购代理机构可以对通用条款</w:t>
      </w:r>
      <w:r>
        <w:rPr>
          <w:rFonts w:hint="eastAsia" w:ascii="宋体" w:hAnsi="宋体"/>
          <w:szCs w:val="21"/>
        </w:rPr>
        <w:t>的内容进行补充。</w:t>
      </w:r>
      <w:bookmarkEnd w:id="52"/>
    </w:p>
    <w:p w14:paraId="4D18BBCF">
      <w:pPr>
        <w:ind w:firstLine="420" w:firstLineChars="200"/>
        <w:rPr>
          <w:rFonts w:ascii="宋体" w:hAnsi="宋体"/>
          <w:szCs w:val="21"/>
        </w:rPr>
      </w:pPr>
      <w:r>
        <w:rPr>
          <w:rFonts w:hint="eastAsia" w:ascii="宋体" w:hAnsi="宋体"/>
          <w:szCs w:val="21"/>
        </w:rPr>
        <w:t>1.2招标文件分为第一册“专用条款”和第二册“通用条款”。</w:t>
      </w:r>
    </w:p>
    <w:p w14:paraId="7B205A52">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5A6ABBA">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7849DD2A">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73294E1D">
      <w:pPr>
        <w:ind w:firstLine="420" w:firstLineChars="200"/>
        <w:rPr>
          <w:rFonts w:ascii="黑体" w:hAnsi="宋体" w:eastAsia="黑体"/>
          <w:szCs w:val="21"/>
        </w:rPr>
      </w:pPr>
      <w:r>
        <w:rPr>
          <w:rFonts w:hint="eastAsia" w:ascii="黑体" w:hAnsi="宋体" w:eastAsia="黑体"/>
          <w:szCs w:val="21"/>
        </w:rPr>
        <w:t>2．招标说明</w:t>
      </w:r>
    </w:p>
    <w:p w14:paraId="50AD94D4">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09821FF2">
      <w:pPr>
        <w:ind w:firstLine="420" w:firstLineChars="200"/>
        <w:rPr>
          <w:rFonts w:ascii="黑体" w:hAnsi="宋体" w:eastAsia="黑体"/>
          <w:szCs w:val="21"/>
        </w:rPr>
      </w:pPr>
      <w:r>
        <w:rPr>
          <w:rFonts w:hint="eastAsia" w:ascii="黑体" w:hAnsi="宋体" w:eastAsia="黑体"/>
          <w:szCs w:val="21"/>
        </w:rPr>
        <w:t>3．定义</w:t>
      </w:r>
    </w:p>
    <w:p w14:paraId="422D139A">
      <w:pPr>
        <w:ind w:firstLine="420" w:firstLineChars="200"/>
        <w:rPr>
          <w:rFonts w:ascii="宋体" w:hAnsi="宋体"/>
          <w:szCs w:val="21"/>
        </w:rPr>
      </w:pPr>
      <w:r>
        <w:rPr>
          <w:rFonts w:hint="eastAsia" w:ascii="宋体" w:hAnsi="宋体"/>
          <w:szCs w:val="21"/>
        </w:rPr>
        <w:t>招标文件中下列术语应解释为：</w:t>
      </w:r>
    </w:p>
    <w:p w14:paraId="1287F3C7">
      <w:pPr>
        <w:ind w:firstLine="420" w:firstLineChars="200"/>
        <w:rPr>
          <w:rFonts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14:paraId="569381D4">
      <w:pPr>
        <w:ind w:firstLine="420" w:firstLineChars="200"/>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是指市政府设立的，组织实施采购项目，并对采购活动提供服务的专门机构；</w:t>
      </w:r>
      <w:r>
        <w:rPr>
          <w:rFonts w:hint="eastAsia" w:ascii="宋体" w:hAnsi="宋体"/>
          <w:szCs w:val="21"/>
          <w:highlight w:val="none"/>
        </w:rPr>
        <w:t>本文件所述的“采购代理机构”指</w:t>
      </w:r>
      <w:r>
        <w:rPr>
          <w:rFonts w:hint="eastAsia" w:ascii="宋体" w:hAnsi="宋体"/>
          <w:b/>
          <w:bCs/>
          <w:szCs w:val="21"/>
          <w:highlight w:val="none"/>
        </w:rPr>
        <w:t>深圳公共资源交易中心</w:t>
      </w:r>
      <w:r>
        <w:rPr>
          <w:rFonts w:hint="eastAsia" w:ascii="宋体" w:hAnsi="宋体"/>
          <w:b/>
          <w:bCs/>
          <w:szCs w:val="21"/>
          <w:highlight w:val="none"/>
          <w:lang w:eastAsia="zh-CN"/>
        </w:rPr>
        <w:t>（</w:t>
      </w:r>
      <w:r>
        <w:rPr>
          <w:rFonts w:hint="eastAsia" w:asciiTheme="minorEastAsia" w:hAnsiTheme="minorEastAsia" w:eastAsiaTheme="minorEastAsia"/>
          <w:b/>
          <w:bCs/>
          <w:highlight w:val="none"/>
        </w:rPr>
        <w:t>深圳交易集团有限公司政府采购业务分公司）</w:t>
      </w:r>
      <w:r>
        <w:rPr>
          <w:rFonts w:hint="eastAsia" w:ascii="宋体" w:hAnsi="宋体"/>
          <w:szCs w:val="21"/>
          <w:highlight w:val="none"/>
        </w:rPr>
        <w:t>；</w:t>
      </w:r>
    </w:p>
    <w:p w14:paraId="5F8EB8C9">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51AD9D1">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A8109F0">
      <w:pPr>
        <w:ind w:firstLine="420" w:firstLineChars="200"/>
        <w:rPr>
          <w:rFonts w:ascii="宋体" w:hAnsi="宋体"/>
          <w:szCs w:val="21"/>
        </w:rPr>
      </w:pPr>
      <w:r>
        <w:rPr>
          <w:rFonts w:hint="eastAsia" w:ascii="宋体" w:hAnsi="宋体"/>
          <w:szCs w:val="21"/>
        </w:rPr>
        <w:t>3.5“日期”指公历日；</w:t>
      </w:r>
    </w:p>
    <w:p w14:paraId="5ED54F2C">
      <w:pPr>
        <w:ind w:firstLine="420" w:firstLineChars="200"/>
        <w:rPr>
          <w:rFonts w:ascii="宋体" w:hAnsi="宋体"/>
          <w:szCs w:val="21"/>
        </w:rPr>
      </w:pPr>
      <w:r>
        <w:rPr>
          <w:rFonts w:hint="eastAsia" w:ascii="宋体" w:hAnsi="宋体"/>
          <w:szCs w:val="21"/>
        </w:rPr>
        <w:t>3.6“合同”指由本次招标所产生的合同或合约文件；</w:t>
      </w:r>
    </w:p>
    <w:p w14:paraId="64774CD2">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6C22BC3">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6BA1990">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50BEB882">
      <w:pPr>
        <w:ind w:firstLine="420" w:firstLineChars="200"/>
        <w:rPr>
          <w:rFonts w:ascii="黑体" w:hAnsi="宋体" w:eastAsia="黑体"/>
          <w:szCs w:val="21"/>
        </w:rPr>
      </w:pPr>
      <w:r>
        <w:rPr>
          <w:rFonts w:hint="eastAsia" w:ascii="黑体" w:hAnsi="宋体" w:eastAsia="黑体"/>
          <w:szCs w:val="21"/>
        </w:rPr>
        <w:t xml:space="preserve">4. </w:t>
      </w:r>
      <w:bookmarkStart w:id="53" w:name="_Hlk72398643"/>
      <w:r>
        <w:rPr>
          <w:rFonts w:hint="eastAsia" w:ascii="黑体" w:hAnsi="宋体" w:eastAsia="黑体"/>
          <w:szCs w:val="21"/>
        </w:rPr>
        <w:t>自行采购供应商责任</w:t>
      </w:r>
    </w:p>
    <w:p w14:paraId="4FDA63DD">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105F7290">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93A3BF">
      <w:pPr>
        <w:ind w:firstLine="420" w:firstLineChars="200"/>
        <w:rPr>
          <w:rFonts w:ascii="黑体" w:hAnsi="宋体" w:eastAsia="黑体"/>
          <w:szCs w:val="21"/>
        </w:rPr>
      </w:pPr>
      <w:r>
        <w:rPr>
          <w:rFonts w:hint="eastAsia" w:ascii="黑体" w:hAnsi="宋体" w:eastAsia="黑体"/>
          <w:szCs w:val="21"/>
        </w:rPr>
        <w:t>5．投标人参加自行采购的条件</w:t>
      </w:r>
    </w:p>
    <w:p w14:paraId="744A8183">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6CDA071E">
      <w:pPr>
        <w:ind w:firstLine="420" w:firstLineChars="200"/>
        <w:rPr>
          <w:rFonts w:ascii="宋体" w:hAnsi="宋体"/>
          <w:szCs w:val="21"/>
        </w:rPr>
      </w:pPr>
      <w:r>
        <w:rPr>
          <w:rFonts w:hint="eastAsia" w:ascii="宋体" w:hAnsi="宋体"/>
          <w:szCs w:val="21"/>
        </w:rPr>
        <w:t>5.2投标人资格要求</w:t>
      </w:r>
    </w:p>
    <w:p w14:paraId="0EC249A8">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3F8FB0C3">
      <w:pPr>
        <w:ind w:firstLine="420" w:firstLineChars="200"/>
        <w:rPr>
          <w:rFonts w:ascii="宋体" w:hAnsi="宋体"/>
          <w:szCs w:val="21"/>
        </w:rPr>
      </w:pPr>
      <w:r>
        <w:rPr>
          <w:rFonts w:hint="eastAsia" w:ascii="宋体" w:hAnsi="宋体"/>
          <w:szCs w:val="21"/>
        </w:rPr>
        <w:t>5.3联合体投标</w:t>
      </w:r>
    </w:p>
    <w:p w14:paraId="27230809">
      <w:pPr>
        <w:ind w:firstLine="420" w:firstLineChars="200"/>
        <w:rPr>
          <w:rFonts w:ascii="宋体" w:hAnsi="宋体"/>
          <w:szCs w:val="21"/>
        </w:rPr>
      </w:pPr>
      <w:r>
        <w:rPr>
          <w:rFonts w:hint="eastAsia" w:ascii="宋体" w:hAnsi="宋体"/>
          <w:szCs w:val="21"/>
        </w:rPr>
        <w:t>5.3.1以下有关联合体投标的条款仅适用于允许投标人组成联合体投标的项目。</w:t>
      </w:r>
    </w:p>
    <w:p w14:paraId="13CDE3EC">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D8D15DC">
      <w:pPr>
        <w:ind w:firstLine="420" w:firstLineChars="200"/>
        <w:rPr>
          <w:rFonts w:ascii="宋体" w:hAnsi="宋体"/>
          <w:szCs w:val="21"/>
        </w:rPr>
      </w:pPr>
      <w:r>
        <w:rPr>
          <w:rFonts w:hint="eastAsia" w:ascii="宋体" w:hAnsi="宋体"/>
          <w:szCs w:val="21"/>
        </w:rPr>
        <w:t xml:space="preserve">（1）投标联合体各方参加采购活动应当具备下列条件： </w:t>
      </w:r>
    </w:p>
    <w:p w14:paraId="70658CE8">
      <w:pPr>
        <w:ind w:firstLine="420" w:firstLineChars="200"/>
        <w:rPr>
          <w:rFonts w:ascii="宋体" w:hAnsi="宋体"/>
          <w:szCs w:val="21"/>
        </w:rPr>
      </w:pPr>
      <w:r>
        <w:rPr>
          <w:rFonts w:hint="eastAsia" w:ascii="宋体" w:hAnsi="宋体"/>
          <w:szCs w:val="21"/>
        </w:rPr>
        <w:t xml:space="preserve">1、具有独立承担民事责任的能力； </w:t>
      </w:r>
    </w:p>
    <w:p w14:paraId="227AEF9D">
      <w:pPr>
        <w:ind w:firstLine="420" w:firstLineChars="200"/>
        <w:rPr>
          <w:rFonts w:ascii="宋体" w:hAnsi="宋体"/>
          <w:szCs w:val="21"/>
        </w:rPr>
      </w:pPr>
      <w:r>
        <w:rPr>
          <w:rFonts w:hint="eastAsia" w:ascii="宋体" w:hAnsi="宋体"/>
          <w:szCs w:val="21"/>
        </w:rPr>
        <w:t xml:space="preserve">2、有良好的商业信誉和健全的财务会计制度； </w:t>
      </w:r>
    </w:p>
    <w:p w14:paraId="5889809D">
      <w:pPr>
        <w:ind w:firstLine="420" w:firstLineChars="200"/>
        <w:rPr>
          <w:rFonts w:ascii="宋体" w:hAnsi="宋体"/>
          <w:szCs w:val="21"/>
        </w:rPr>
      </w:pPr>
      <w:r>
        <w:rPr>
          <w:rFonts w:hint="eastAsia" w:ascii="宋体" w:hAnsi="宋体"/>
          <w:szCs w:val="21"/>
        </w:rPr>
        <w:t xml:space="preserve">3、具有履行合同所必需的设备和专业技术能力； </w:t>
      </w:r>
    </w:p>
    <w:p w14:paraId="45000D70">
      <w:pPr>
        <w:ind w:firstLine="420" w:firstLineChars="200"/>
        <w:rPr>
          <w:rFonts w:ascii="宋体" w:hAnsi="宋体"/>
          <w:szCs w:val="21"/>
        </w:rPr>
      </w:pPr>
      <w:r>
        <w:rPr>
          <w:rFonts w:hint="eastAsia" w:ascii="宋体" w:hAnsi="宋体"/>
          <w:szCs w:val="21"/>
        </w:rPr>
        <w:t xml:space="preserve">4、有依法缴纳税收和社会保障资金的良好记录； </w:t>
      </w:r>
    </w:p>
    <w:p w14:paraId="5C182F2B">
      <w:pPr>
        <w:ind w:firstLine="420" w:firstLineChars="200"/>
        <w:rPr>
          <w:rFonts w:ascii="宋体" w:hAnsi="宋体"/>
          <w:szCs w:val="21"/>
        </w:rPr>
      </w:pPr>
      <w:r>
        <w:rPr>
          <w:rFonts w:hint="eastAsia" w:ascii="宋体" w:hAnsi="宋体"/>
          <w:szCs w:val="21"/>
        </w:rPr>
        <w:t xml:space="preserve">5、参加采购活动前三年内，在经营活动中没有重大违法记录； </w:t>
      </w:r>
    </w:p>
    <w:p w14:paraId="76D46D28">
      <w:pPr>
        <w:ind w:firstLine="420" w:firstLineChars="200"/>
        <w:rPr>
          <w:rFonts w:ascii="宋体" w:hAnsi="宋体"/>
          <w:szCs w:val="21"/>
        </w:rPr>
      </w:pPr>
      <w:r>
        <w:rPr>
          <w:rFonts w:hint="eastAsia" w:ascii="宋体" w:hAnsi="宋体"/>
          <w:szCs w:val="21"/>
        </w:rPr>
        <w:t xml:space="preserve">6、法律、行政法规规定的其他条件。 </w:t>
      </w:r>
    </w:p>
    <w:p w14:paraId="35D4A580">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435DA10">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0974D59">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2D2E088D">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641731BD">
      <w:pPr>
        <w:ind w:firstLine="420" w:firstLineChars="200"/>
        <w:rPr>
          <w:rFonts w:ascii="宋体" w:hAnsi="宋体"/>
          <w:szCs w:val="21"/>
          <w:highlight w:val="none"/>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highlight w:val="none"/>
        </w:rPr>
        <w:t>采购代理机构；</w:t>
      </w:r>
    </w:p>
    <w:p w14:paraId="49E74AAD">
      <w:pPr>
        <w:ind w:firstLine="420" w:firstLineChars="200"/>
        <w:rPr>
          <w:rFonts w:ascii="宋体" w:hAnsi="宋体"/>
          <w:szCs w:val="21"/>
        </w:rPr>
      </w:pPr>
      <w:r>
        <w:rPr>
          <w:rFonts w:hint="eastAsia" w:ascii="宋体" w:hAnsi="宋体"/>
          <w:szCs w:val="21"/>
          <w:highlight w:val="none"/>
        </w:rPr>
        <w:t>（7）联合体中标后，联合体各方应</w:t>
      </w:r>
      <w:r>
        <w:rPr>
          <w:rFonts w:hint="eastAsia" w:ascii="宋体" w:hAnsi="宋体"/>
          <w:szCs w:val="21"/>
        </w:rPr>
        <w:t>当共同与采购人签订合同，就中标项目向采购人承担连带责任；</w:t>
      </w:r>
    </w:p>
    <w:p w14:paraId="5C6BA207">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0E2EA99C">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722317DD">
      <w:pPr>
        <w:ind w:firstLine="420" w:firstLineChars="200"/>
        <w:rPr>
          <w:rFonts w:ascii="黑体" w:hAnsi="宋体" w:eastAsia="黑体"/>
          <w:szCs w:val="21"/>
        </w:rPr>
      </w:pPr>
      <w:r>
        <w:rPr>
          <w:rFonts w:hint="eastAsia" w:ascii="黑体" w:hAnsi="宋体" w:eastAsia="黑体"/>
          <w:szCs w:val="21"/>
        </w:rPr>
        <w:t>6．政策导向</w:t>
      </w:r>
    </w:p>
    <w:p w14:paraId="01196B96">
      <w:pPr>
        <w:ind w:firstLine="411" w:firstLineChars="196"/>
        <w:rPr>
          <w:rFonts w:ascii="宋体" w:hAnsi="宋体"/>
          <w:szCs w:val="21"/>
        </w:rPr>
      </w:pPr>
      <w:r>
        <w:rPr>
          <w:rFonts w:hint="eastAsia" w:ascii="宋体" w:hAnsi="宋体"/>
          <w:szCs w:val="21"/>
        </w:rPr>
        <w:t>6.1</w:t>
      </w:r>
      <w:r>
        <w:rPr>
          <w:rFonts w:ascii="宋体" w:hAnsi="宋体"/>
        </w:rPr>
        <w:t xml:space="preserve"> </w:t>
      </w:r>
      <w:r>
        <w:rPr>
          <w:rFonts w:hint="eastAsia" w:ascii="宋体" w:hAnsi="宋体"/>
        </w:rPr>
        <w:t>支持本国产品、支持中小企业、监狱企业和残疾人福利性单位发展，支持乡村产业振兴，支持创新、节能减排、绿色环保等。</w:t>
      </w:r>
    </w:p>
    <w:p w14:paraId="69185D6D">
      <w:pPr>
        <w:ind w:firstLine="420" w:firstLineChars="200"/>
        <w:rPr>
          <w:szCs w:val="21"/>
          <w:shd w:val="clear" w:color="auto" w:fill="FFFFFF"/>
        </w:rPr>
      </w:pPr>
      <w:r>
        <w:rPr>
          <w:rFonts w:hint="eastAsia" w:ascii="宋体" w:hAnsi="宋体"/>
          <w:szCs w:val="21"/>
        </w:rPr>
        <w:t>6.2  本项目落实深圳市政府采购供应商诚信管理政策要求。</w:t>
      </w:r>
    </w:p>
    <w:p w14:paraId="0EB5D071">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00D65B66">
      <w:pPr>
        <w:ind w:firstLine="420" w:firstLineChars="200"/>
        <w:rPr>
          <w:rFonts w:ascii="宋体" w:hAnsi="宋体"/>
          <w:szCs w:val="21"/>
        </w:rPr>
      </w:pPr>
      <w:r>
        <w:rPr>
          <w:rFonts w:hint="eastAsia" w:ascii="宋体" w:hAnsi="宋体"/>
          <w:szCs w:val="21"/>
        </w:rPr>
        <w:t>7.1  必须是全新、未使用过的原装合格正品（包括零部件），如安装或配置了软件的，须为正版软件。</w:t>
      </w:r>
    </w:p>
    <w:p w14:paraId="7B7E5F08">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ED18104">
      <w:pPr>
        <w:ind w:firstLine="420" w:firstLineChars="200"/>
        <w:rPr>
          <w:rFonts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E35CBAB">
      <w:pPr>
        <w:ind w:firstLine="420" w:firstLineChars="200"/>
        <w:rPr>
          <w:rFonts w:ascii="宋体" w:hAnsi="宋体"/>
          <w:szCs w:val="21"/>
        </w:rPr>
      </w:pPr>
      <w:r>
        <w:rPr>
          <w:rFonts w:hint="eastAsia" w:ascii="宋体" w:hAnsi="宋体"/>
          <w:szCs w:val="21"/>
        </w:rPr>
        <w:t>7.4  投标人</w:t>
      </w:r>
      <w:bookmarkStart w:id="54"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4"/>
    </w:p>
    <w:p w14:paraId="0746FDFB">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416573">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24F782F0">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9DC48B9">
      <w:pPr>
        <w:ind w:firstLine="420" w:firstLineChars="200"/>
        <w:rPr>
          <w:rFonts w:ascii="黑体" w:hAnsi="宋体" w:eastAsia="黑体"/>
          <w:szCs w:val="21"/>
        </w:rPr>
      </w:pPr>
      <w:r>
        <w:rPr>
          <w:rFonts w:hint="eastAsia" w:ascii="黑体" w:hAnsi="宋体" w:eastAsia="黑体"/>
          <w:szCs w:val="21"/>
        </w:rPr>
        <w:t>8．投标费用</w:t>
      </w:r>
    </w:p>
    <w:p w14:paraId="2984AA14">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1CFBB159">
      <w:pPr>
        <w:ind w:firstLine="420" w:firstLineChars="200"/>
        <w:rPr>
          <w:rFonts w:ascii="黑体" w:hAnsi="宋体" w:eastAsia="黑体"/>
          <w:szCs w:val="21"/>
        </w:rPr>
      </w:pPr>
      <w:r>
        <w:rPr>
          <w:rFonts w:hint="eastAsia" w:ascii="黑体" w:hAnsi="宋体" w:eastAsia="黑体"/>
          <w:szCs w:val="21"/>
        </w:rPr>
        <w:t>9．踏勘现场</w:t>
      </w:r>
    </w:p>
    <w:p w14:paraId="606B1BDF">
      <w:pPr>
        <w:ind w:firstLine="420" w:firstLineChars="200"/>
        <w:rPr>
          <w:rFonts w:ascii="宋体" w:hAnsi="宋体"/>
          <w:szCs w:val="21"/>
          <w:highlight w:val="none"/>
        </w:rPr>
      </w:pPr>
      <w:r>
        <w:rPr>
          <w:rFonts w:hint="eastAsia" w:ascii="宋体" w:hAnsi="宋体"/>
          <w:szCs w:val="21"/>
        </w:rPr>
        <w:t>9.1如有需要（详见专用条款），</w:t>
      </w:r>
      <w:r>
        <w:rPr>
          <w:rFonts w:hint="eastAsia" w:ascii="宋体" w:hAnsi="宋体"/>
          <w:szCs w:val="21"/>
          <w:highlight w:val="none"/>
        </w:rPr>
        <w:t>采购人或</w:t>
      </w:r>
      <w:r>
        <w:rPr>
          <w:rFonts w:hint="eastAsia" w:ascii="宋体" w:hAnsi="宋体"/>
          <w:szCs w:val="21"/>
          <w:highlight w:val="none"/>
          <w:lang w:val="en-US" w:eastAsia="zh-CN"/>
        </w:rPr>
        <w:t>采购代理机构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0B41C006">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3A60F8F">
      <w:pPr>
        <w:ind w:firstLine="420" w:firstLineChars="200"/>
        <w:rPr>
          <w:rFonts w:ascii="宋体" w:hAnsi="宋体"/>
          <w:szCs w:val="21"/>
          <w:highlight w:val="none"/>
        </w:rPr>
      </w:pPr>
      <w:r>
        <w:rPr>
          <w:rFonts w:hint="eastAsia" w:ascii="宋体" w:hAnsi="宋体"/>
          <w:szCs w:val="21"/>
        </w:rPr>
        <w:t>9.3采购人</w:t>
      </w:r>
      <w:r>
        <w:rPr>
          <w:rFonts w:hint="eastAsia" w:ascii="宋体" w:hAnsi="宋体"/>
          <w:szCs w:val="21"/>
          <w:highlight w:val="none"/>
        </w:rPr>
        <w:t>应当通过</w:t>
      </w:r>
      <w:r>
        <w:rPr>
          <w:rFonts w:hint="eastAsia" w:ascii="宋体" w:hAnsi="宋体"/>
          <w:szCs w:val="21"/>
          <w:highlight w:val="none"/>
          <w:lang w:val="en-US" w:eastAsia="zh-CN"/>
        </w:rPr>
        <w:t>采购代理机构</w:t>
      </w:r>
      <w:r>
        <w:rPr>
          <w:rFonts w:hint="eastAsia" w:ascii="宋体" w:hAnsi="宋体"/>
          <w:szCs w:val="21"/>
          <w:highlight w:val="none"/>
        </w:rPr>
        <w:t>向投标人提供有关现场的书面资料和数据。</w:t>
      </w:r>
    </w:p>
    <w:p w14:paraId="38297B0A">
      <w:pPr>
        <w:ind w:firstLine="420" w:firstLineChars="200"/>
        <w:rPr>
          <w:rFonts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559791C0">
      <w:pPr>
        <w:ind w:firstLine="420" w:firstLineChars="200"/>
        <w:rPr>
          <w:rFonts w:ascii="宋体" w:hAnsi="宋体"/>
          <w:szCs w:val="21"/>
          <w:highlight w:val="none"/>
        </w:rPr>
      </w:pPr>
      <w:r>
        <w:rPr>
          <w:rFonts w:hint="eastAsia" w:ascii="宋体" w:hAnsi="宋体"/>
          <w:szCs w:val="21"/>
          <w:highlight w:val="none"/>
        </w:rPr>
        <w:t>9.5未参与踏勘现场不作为否定投标人资格的理由。</w:t>
      </w:r>
    </w:p>
    <w:p w14:paraId="65BBC041">
      <w:pPr>
        <w:ind w:firstLine="420" w:firstLineChars="200"/>
        <w:rPr>
          <w:rFonts w:ascii="宋体" w:hAnsi="宋体"/>
          <w:szCs w:val="21"/>
          <w:highlight w:val="none"/>
        </w:rPr>
      </w:pPr>
      <w:r>
        <w:rPr>
          <w:rFonts w:hint="eastAsia" w:ascii="黑体" w:hAnsi="宋体" w:eastAsia="黑体"/>
          <w:szCs w:val="21"/>
          <w:highlight w:val="none"/>
        </w:rPr>
        <w:t>10．标前会议</w:t>
      </w:r>
    </w:p>
    <w:p w14:paraId="16881D0D">
      <w:pPr>
        <w:ind w:firstLine="420" w:firstLineChars="200"/>
        <w:rPr>
          <w:rFonts w:ascii="宋体" w:hAnsi="宋体"/>
          <w:szCs w:val="21"/>
          <w:highlight w:val="none"/>
        </w:rPr>
      </w:pPr>
      <w:r>
        <w:rPr>
          <w:rFonts w:hint="eastAsia" w:ascii="宋体" w:hAnsi="宋体"/>
          <w:szCs w:val="21"/>
          <w:highlight w:val="none"/>
        </w:rPr>
        <w:t>10.1如采购人或</w:t>
      </w:r>
      <w:r>
        <w:rPr>
          <w:rFonts w:hint="eastAsia" w:ascii="宋体" w:hAnsi="宋体"/>
          <w:szCs w:val="21"/>
          <w:highlight w:val="none"/>
          <w:lang w:val="en-US" w:eastAsia="zh-CN"/>
        </w:rPr>
        <w:t>采购代理机构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val="en-US" w:eastAsia="zh-CN"/>
        </w:rPr>
        <w:t>采购代理机构</w:t>
      </w:r>
      <w:r>
        <w:rPr>
          <w:rFonts w:hint="eastAsia" w:ascii="宋体" w:hAnsi="宋体"/>
          <w:szCs w:val="21"/>
          <w:highlight w:val="none"/>
        </w:rPr>
        <w:t>另行书面通知（包括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网站发布方式，如更正公告等）的时间和地点，参与标前会议。</w:t>
      </w:r>
    </w:p>
    <w:p w14:paraId="6ABE592D">
      <w:pPr>
        <w:ind w:firstLine="420" w:firstLineChars="200"/>
        <w:rPr>
          <w:rFonts w:ascii="宋体" w:hAnsi="宋体"/>
          <w:szCs w:val="21"/>
          <w:highlight w:val="none"/>
        </w:rPr>
      </w:pPr>
      <w:r>
        <w:rPr>
          <w:rFonts w:hint="eastAsia" w:ascii="宋体" w:hAnsi="宋体"/>
          <w:szCs w:val="21"/>
          <w:highlight w:val="none"/>
        </w:rPr>
        <w:t>10.2任何人或任何组织在标前会议时向投标人提供的任何书面资料或口头承诺，未经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3B3984DA">
      <w:pPr>
        <w:ind w:firstLine="420" w:firstLineChars="200"/>
        <w:rPr>
          <w:rFonts w:ascii="宋体" w:hAnsi="宋体"/>
          <w:szCs w:val="21"/>
          <w:highlight w:val="none"/>
        </w:rPr>
      </w:pPr>
      <w:r>
        <w:rPr>
          <w:rFonts w:hint="eastAsia" w:ascii="宋体" w:hAnsi="宋体"/>
          <w:szCs w:val="21"/>
          <w:highlight w:val="none"/>
        </w:rPr>
        <w:t>10.3未参与标前会议不作为否定投标人资格的理由。</w:t>
      </w:r>
    </w:p>
    <w:bookmarkEnd w:id="53"/>
    <w:p w14:paraId="4C23D099">
      <w:pPr>
        <w:ind w:firstLine="411" w:firstLineChars="196"/>
        <w:rPr>
          <w:rFonts w:ascii="宋体" w:hAnsi="宋体"/>
          <w:highlight w:val="none"/>
        </w:rPr>
      </w:pPr>
    </w:p>
    <w:p w14:paraId="42703A2D">
      <w:pPr>
        <w:pStyle w:val="80"/>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招标文件</w:t>
      </w:r>
    </w:p>
    <w:p w14:paraId="693FD62D">
      <w:pPr>
        <w:ind w:firstLine="420" w:firstLineChars="200"/>
        <w:rPr>
          <w:rFonts w:ascii="黑体" w:hAnsi="宋体" w:eastAsia="黑体"/>
          <w:szCs w:val="21"/>
        </w:rPr>
      </w:pPr>
      <w:r>
        <w:rPr>
          <w:rFonts w:hint="eastAsia" w:ascii="黑体" w:hAnsi="宋体" w:eastAsia="黑体"/>
          <w:szCs w:val="21"/>
        </w:rPr>
        <w:t>11．</w:t>
      </w:r>
      <w:bookmarkStart w:id="55" w:name="_Hlk72399819"/>
      <w:r>
        <w:rPr>
          <w:rFonts w:hint="eastAsia" w:ascii="黑体" w:hAnsi="宋体" w:eastAsia="黑体"/>
          <w:szCs w:val="21"/>
        </w:rPr>
        <w:t>招标文件的编制与组成</w:t>
      </w:r>
    </w:p>
    <w:p w14:paraId="7094410D">
      <w:pPr>
        <w:snapToGrid w:val="0"/>
        <w:ind w:firstLine="420" w:firstLineChars="200"/>
        <w:rPr>
          <w:rFonts w:ascii="宋体" w:hAnsi="宋体"/>
          <w:szCs w:val="21"/>
        </w:rPr>
      </w:pPr>
      <w:r>
        <w:rPr>
          <w:rFonts w:hint="eastAsia" w:ascii="宋体" w:hAnsi="宋体"/>
          <w:szCs w:val="21"/>
        </w:rPr>
        <w:t>11.1招标文件除以下内容</w:t>
      </w:r>
      <w:r>
        <w:rPr>
          <w:rFonts w:hint="eastAsia" w:ascii="宋体" w:hAnsi="宋体"/>
          <w:szCs w:val="21"/>
          <w:highlight w:val="none"/>
        </w:rPr>
        <w:t>外，</w:t>
      </w:r>
      <w:r>
        <w:rPr>
          <w:rFonts w:hint="eastAsia" w:ascii="宋体" w:hAnsi="宋体"/>
          <w:szCs w:val="21"/>
          <w:highlight w:val="none"/>
          <w:lang w:val="en-US" w:eastAsia="zh-CN"/>
        </w:rPr>
        <w:t>采购代理机构</w:t>
      </w:r>
      <w:r>
        <w:rPr>
          <w:rFonts w:hint="eastAsia" w:ascii="宋体" w:hAnsi="宋体"/>
          <w:szCs w:val="21"/>
          <w:highlight w:val="none"/>
        </w:rPr>
        <w:t>在招标期间发出的澄清或修改等相关公告或通知内容，均是招标文件的组成部分，对投标人起约束作用；</w:t>
      </w:r>
    </w:p>
    <w:p w14:paraId="5CD9F860">
      <w:pPr>
        <w:ind w:firstLine="420" w:firstLineChars="200"/>
        <w:rPr>
          <w:rFonts w:ascii="宋体" w:hAnsi="宋体"/>
          <w:szCs w:val="21"/>
        </w:rPr>
      </w:pPr>
      <w:r>
        <w:rPr>
          <w:rFonts w:hint="eastAsia" w:ascii="宋体" w:hAnsi="宋体"/>
          <w:szCs w:val="21"/>
        </w:rPr>
        <w:t>招标文件包括下列内容：</w:t>
      </w:r>
    </w:p>
    <w:p w14:paraId="419DBF75">
      <w:pPr>
        <w:ind w:firstLine="422" w:firstLineChars="200"/>
        <w:rPr>
          <w:rFonts w:ascii="宋体" w:hAnsi="宋体"/>
          <w:b/>
          <w:szCs w:val="21"/>
        </w:rPr>
      </w:pPr>
      <w:r>
        <w:rPr>
          <w:rFonts w:hint="eastAsia" w:ascii="宋体" w:hAnsi="宋体"/>
          <w:b/>
          <w:szCs w:val="21"/>
        </w:rPr>
        <w:t>第一册  专用条款</w:t>
      </w:r>
    </w:p>
    <w:p w14:paraId="5F621CB3">
      <w:pPr>
        <w:ind w:firstLine="422" w:firstLineChars="200"/>
        <w:rPr>
          <w:rFonts w:ascii="宋体" w:hAnsi="宋体"/>
          <w:b/>
          <w:szCs w:val="21"/>
        </w:rPr>
      </w:pPr>
      <w:r>
        <w:rPr>
          <w:rFonts w:hint="eastAsia" w:ascii="宋体" w:hAnsi="宋体"/>
          <w:b/>
          <w:szCs w:val="21"/>
        </w:rPr>
        <w:t>关键信息</w:t>
      </w:r>
    </w:p>
    <w:p w14:paraId="28C966AD">
      <w:pPr>
        <w:ind w:firstLine="420" w:firstLineChars="200"/>
        <w:rPr>
          <w:rFonts w:ascii="宋体" w:hAnsi="宋体"/>
          <w:szCs w:val="21"/>
        </w:rPr>
      </w:pPr>
      <w:r>
        <w:rPr>
          <w:rFonts w:hint="eastAsia" w:ascii="宋体" w:hAnsi="宋体"/>
          <w:szCs w:val="21"/>
        </w:rPr>
        <w:t>第一章  招标公告</w:t>
      </w:r>
    </w:p>
    <w:p w14:paraId="6467183A">
      <w:pPr>
        <w:ind w:firstLine="420" w:firstLineChars="200"/>
        <w:rPr>
          <w:rFonts w:ascii="宋体" w:hAnsi="宋体"/>
          <w:szCs w:val="21"/>
        </w:rPr>
      </w:pPr>
      <w:r>
        <w:rPr>
          <w:rFonts w:hint="eastAsia" w:ascii="宋体" w:hAnsi="宋体"/>
          <w:szCs w:val="21"/>
        </w:rPr>
        <w:t>第二章  对通用条款的补充内容及其他关键信息</w:t>
      </w:r>
    </w:p>
    <w:p w14:paraId="0ECBB114">
      <w:pPr>
        <w:ind w:firstLine="420" w:firstLineChars="200"/>
        <w:rPr>
          <w:rFonts w:ascii="宋体" w:hAnsi="宋体"/>
          <w:szCs w:val="21"/>
        </w:rPr>
      </w:pPr>
      <w:r>
        <w:rPr>
          <w:rFonts w:hint="eastAsia" w:ascii="宋体" w:hAnsi="宋体"/>
          <w:szCs w:val="21"/>
        </w:rPr>
        <w:t>第三章  用户需求书</w:t>
      </w:r>
    </w:p>
    <w:p w14:paraId="3BAE96D9">
      <w:pPr>
        <w:ind w:firstLine="420" w:firstLineChars="200"/>
        <w:rPr>
          <w:rFonts w:ascii="宋体" w:hAnsi="宋体"/>
          <w:szCs w:val="21"/>
        </w:rPr>
      </w:pPr>
      <w:r>
        <w:rPr>
          <w:rFonts w:hint="eastAsia"/>
          <w:szCs w:val="21"/>
        </w:rPr>
        <w:t>第四章</w:t>
      </w:r>
      <w:r>
        <w:rPr>
          <w:szCs w:val="21"/>
        </w:rPr>
        <w:t xml:space="preserve">  </w:t>
      </w:r>
      <w:r>
        <w:rPr>
          <w:rFonts w:hint="eastAsia"/>
          <w:szCs w:val="21"/>
        </w:rPr>
        <w:t>投标文件格式及附件</w:t>
      </w:r>
    </w:p>
    <w:p w14:paraId="1402C4FD">
      <w:pPr>
        <w:ind w:firstLine="420" w:firstLineChars="200"/>
        <w:rPr>
          <w:rFonts w:ascii="宋体" w:hAnsi="宋体"/>
          <w:szCs w:val="21"/>
        </w:rPr>
      </w:pPr>
      <w:r>
        <w:rPr>
          <w:rFonts w:hint="eastAsia" w:ascii="宋体" w:hAnsi="宋体"/>
          <w:szCs w:val="21"/>
        </w:rPr>
        <w:t>第五章  合同条款及格式</w:t>
      </w:r>
    </w:p>
    <w:p w14:paraId="30DA6841">
      <w:pPr>
        <w:ind w:firstLine="422" w:firstLineChars="200"/>
        <w:rPr>
          <w:rFonts w:ascii="宋体" w:hAnsi="宋体"/>
          <w:b/>
          <w:szCs w:val="21"/>
        </w:rPr>
      </w:pPr>
      <w:r>
        <w:rPr>
          <w:rFonts w:hint="eastAsia" w:ascii="宋体" w:hAnsi="宋体"/>
          <w:b/>
          <w:szCs w:val="21"/>
        </w:rPr>
        <w:t>第二册  通用条款</w:t>
      </w:r>
    </w:p>
    <w:p w14:paraId="3F09C322">
      <w:pPr>
        <w:ind w:firstLine="420" w:firstLineChars="200"/>
        <w:rPr>
          <w:rFonts w:ascii="宋体" w:hAnsi="宋体"/>
          <w:szCs w:val="21"/>
        </w:rPr>
      </w:pPr>
      <w:r>
        <w:rPr>
          <w:rFonts w:hint="eastAsia" w:ascii="宋体" w:hAnsi="宋体"/>
          <w:szCs w:val="21"/>
        </w:rPr>
        <w:t>第一章  总则</w:t>
      </w:r>
    </w:p>
    <w:p w14:paraId="3C8DB9A1">
      <w:pPr>
        <w:ind w:firstLine="420" w:firstLineChars="200"/>
        <w:rPr>
          <w:rFonts w:ascii="宋体" w:hAnsi="宋体"/>
          <w:szCs w:val="21"/>
        </w:rPr>
      </w:pPr>
      <w:r>
        <w:rPr>
          <w:rFonts w:hint="eastAsia" w:ascii="宋体" w:hAnsi="宋体"/>
          <w:szCs w:val="21"/>
        </w:rPr>
        <w:t>第二章  招标文件</w:t>
      </w:r>
    </w:p>
    <w:p w14:paraId="75F74A08">
      <w:pPr>
        <w:ind w:firstLine="420" w:firstLineChars="200"/>
        <w:rPr>
          <w:rFonts w:ascii="宋体" w:hAnsi="宋体"/>
          <w:szCs w:val="21"/>
        </w:rPr>
      </w:pPr>
      <w:r>
        <w:rPr>
          <w:rFonts w:hint="eastAsia" w:ascii="宋体" w:hAnsi="宋体"/>
          <w:szCs w:val="21"/>
        </w:rPr>
        <w:t>第三章  投标文件的编制</w:t>
      </w:r>
    </w:p>
    <w:p w14:paraId="09CC046F">
      <w:pPr>
        <w:ind w:firstLine="420" w:firstLineChars="200"/>
        <w:rPr>
          <w:rFonts w:ascii="宋体" w:hAnsi="宋体"/>
          <w:szCs w:val="21"/>
        </w:rPr>
      </w:pPr>
      <w:r>
        <w:rPr>
          <w:rFonts w:hint="eastAsia" w:ascii="宋体" w:hAnsi="宋体"/>
          <w:szCs w:val="21"/>
        </w:rPr>
        <w:t>第四章  投标文件的递交</w:t>
      </w:r>
    </w:p>
    <w:p w14:paraId="16479E9B">
      <w:pPr>
        <w:ind w:firstLine="420" w:firstLineChars="200"/>
        <w:rPr>
          <w:rFonts w:ascii="宋体" w:hAnsi="宋体"/>
          <w:szCs w:val="21"/>
        </w:rPr>
      </w:pPr>
      <w:r>
        <w:rPr>
          <w:rFonts w:hint="eastAsia" w:ascii="宋体" w:hAnsi="宋体"/>
          <w:szCs w:val="21"/>
        </w:rPr>
        <w:t>第五章  开标</w:t>
      </w:r>
    </w:p>
    <w:p w14:paraId="74224CA0">
      <w:pPr>
        <w:ind w:firstLine="420" w:firstLineChars="200"/>
        <w:rPr>
          <w:rFonts w:ascii="宋体" w:hAnsi="宋体"/>
          <w:szCs w:val="21"/>
        </w:rPr>
      </w:pPr>
      <w:r>
        <w:rPr>
          <w:rFonts w:hint="eastAsia" w:ascii="宋体" w:hAnsi="宋体"/>
          <w:szCs w:val="21"/>
        </w:rPr>
        <w:t>第六章  评审要求</w:t>
      </w:r>
    </w:p>
    <w:p w14:paraId="7F229408">
      <w:pPr>
        <w:ind w:firstLine="420" w:firstLineChars="200"/>
        <w:rPr>
          <w:rFonts w:ascii="宋体" w:hAnsi="宋体"/>
          <w:szCs w:val="21"/>
        </w:rPr>
      </w:pPr>
      <w:r>
        <w:rPr>
          <w:rFonts w:hint="eastAsia" w:ascii="宋体" w:hAnsi="宋体"/>
          <w:szCs w:val="21"/>
        </w:rPr>
        <w:t>第七章  评审程序及评审方法</w:t>
      </w:r>
    </w:p>
    <w:p w14:paraId="6F83DDEA">
      <w:pPr>
        <w:ind w:firstLine="420" w:firstLineChars="200"/>
        <w:rPr>
          <w:rFonts w:ascii="宋体" w:hAnsi="宋体"/>
          <w:szCs w:val="21"/>
        </w:rPr>
      </w:pPr>
      <w:r>
        <w:rPr>
          <w:rFonts w:hint="eastAsia" w:ascii="宋体" w:hAnsi="宋体"/>
          <w:szCs w:val="21"/>
        </w:rPr>
        <w:t>第八章  定标及公示</w:t>
      </w:r>
    </w:p>
    <w:p w14:paraId="2224E831">
      <w:pPr>
        <w:ind w:firstLine="420" w:firstLineChars="200"/>
        <w:rPr>
          <w:rFonts w:ascii="宋体" w:hAnsi="宋体"/>
          <w:szCs w:val="21"/>
        </w:rPr>
      </w:pPr>
      <w:r>
        <w:rPr>
          <w:rFonts w:hint="eastAsia" w:ascii="宋体" w:hAnsi="宋体"/>
          <w:szCs w:val="21"/>
        </w:rPr>
        <w:t>第九章  公开招标失败的后续处理</w:t>
      </w:r>
    </w:p>
    <w:p w14:paraId="7CA26661">
      <w:pPr>
        <w:ind w:firstLine="420" w:firstLineChars="200"/>
        <w:rPr>
          <w:rFonts w:ascii="宋体" w:hAnsi="宋体"/>
          <w:szCs w:val="21"/>
        </w:rPr>
      </w:pPr>
      <w:r>
        <w:rPr>
          <w:rFonts w:hint="eastAsia" w:ascii="宋体" w:hAnsi="宋体"/>
          <w:szCs w:val="21"/>
        </w:rPr>
        <w:t>第十章  合同的授予与备案</w:t>
      </w:r>
    </w:p>
    <w:p w14:paraId="4CF1A2FE">
      <w:pPr>
        <w:ind w:firstLine="420" w:firstLineChars="200"/>
        <w:rPr>
          <w:rFonts w:ascii="宋体" w:hAnsi="宋体"/>
          <w:szCs w:val="21"/>
        </w:rPr>
      </w:pPr>
      <w:r>
        <w:rPr>
          <w:rFonts w:hint="eastAsia" w:ascii="宋体" w:hAnsi="宋体"/>
          <w:szCs w:val="21"/>
        </w:rPr>
        <w:t>第十一章  质疑处理</w:t>
      </w:r>
    </w:p>
    <w:p w14:paraId="189C0664">
      <w:pPr>
        <w:ind w:firstLine="420" w:firstLineChars="200"/>
        <w:rPr>
          <w:rFonts w:ascii="宋体" w:hAnsi="宋体"/>
          <w:szCs w:val="21"/>
          <w:highlight w:val="none"/>
        </w:rPr>
      </w:pPr>
      <w:r>
        <w:rPr>
          <w:rFonts w:hint="eastAsia" w:ascii="宋体" w:hAnsi="宋体"/>
          <w:szCs w:val="21"/>
        </w:rPr>
        <w:t>11.2 投标</w:t>
      </w:r>
      <w:r>
        <w:rPr>
          <w:rFonts w:hint="eastAsia" w:ascii="宋体" w:hAnsi="宋体"/>
          <w:szCs w:val="21"/>
          <w:highlight w:val="none"/>
        </w:rPr>
        <w:t>人下载招标文件后，应仔细检查招标文件的所有内容，如有疑问应在答疑截止时间之前向</w:t>
      </w:r>
      <w:r>
        <w:rPr>
          <w:rFonts w:hint="eastAsia" w:ascii="宋体" w:hAnsi="宋体"/>
          <w:szCs w:val="21"/>
          <w:highlight w:val="none"/>
          <w:lang w:val="en-US" w:eastAsia="zh-CN"/>
        </w:rPr>
        <w:t>采购代理机构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523E98B">
      <w:pPr>
        <w:ind w:firstLine="420" w:firstLineChars="200"/>
        <w:rPr>
          <w:rFonts w:hint="eastAsia" w:ascii="宋体" w:hAnsi="宋体"/>
          <w:szCs w:val="21"/>
          <w:highlight w:val="none"/>
        </w:rPr>
      </w:pPr>
      <w:r>
        <w:rPr>
          <w:rFonts w:hint="eastAsia" w:ascii="宋体" w:hAnsi="宋体"/>
          <w:szCs w:val="21"/>
          <w:highlight w:val="none"/>
        </w:rPr>
        <w:t>11.3任何人或任何组织向投标人提交的任何书面或口头资料，未经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val="en-US" w:eastAsia="zh-CN"/>
        </w:rPr>
        <w:t>采购代理机构</w:t>
      </w:r>
      <w:r>
        <w:rPr>
          <w:rFonts w:hint="eastAsia" w:ascii="宋体" w:hAnsi="宋体"/>
          <w:szCs w:val="21"/>
          <w:highlight w:val="none"/>
        </w:rPr>
        <w:t>对投标人由此而做出的推论、理解和结论概不负责。</w:t>
      </w:r>
    </w:p>
    <w:p w14:paraId="677D91E9">
      <w:pPr>
        <w:ind w:firstLine="420" w:firstLineChars="200"/>
        <w:rPr>
          <w:rFonts w:ascii="宋体" w:hAnsi="宋体"/>
          <w:szCs w:val="21"/>
          <w:highlight w:val="none"/>
        </w:rPr>
      </w:pPr>
      <w:r>
        <w:rPr>
          <w:rFonts w:hint="eastAsia" w:ascii="宋体" w:hAnsi="宋体"/>
          <w:szCs w:val="21"/>
          <w:highlight w:val="none"/>
        </w:rPr>
        <w:t>11.4</w:t>
      </w:r>
      <w:r>
        <w:rPr>
          <w:rFonts w:hint="eastAsia" w:ascii="宋体" w:hAnsi="宋体"/>
          <w:szCs w:val="21"/>
          <w:highlight w:val="cyan"/>
          <w:lang w:val="en-US" w:eastAsia="zh-CN"/>
        </w:rPr>
        <w:t>在</w:t>
      </w:r>
      <w:r>
        <w:rPr>
          <w:rFonts w:hint="eastAsia" w:ascii="宋体" w:hAnsi="宋体"/>
          <w:szCs w:val="21"/>
          <w:highlight w:val="cyan"/>
        </w:rPr>
        <w:t>项目产生质疑、投诉等阶段，主管部门、采购人、代理机构、评审委员会等可以要求供应商提供原件进行核查。</w:t>
      </w:r>
    </w:p>
    <w:p w14:paraId="3B1F9072">
      <w:pPr>
        <w:ind w:firstLine="420" w:firstLineChars="200"/>
        <w:rPr>
          <w:rFonts w:ascii="黑体" w:hAnsi="宋体" w:eastAsia="黑体"/>
          <w:szCs w:val="21"/>
        </w:rPr>
      </w:pPr>
      <w:r>
        <w:rPr>
          <w:rFonts w:hint="eastAsia" w:ascii="黑体" w:hAnsi="宋体" w:eastAsia="黑体"/>
          <w:szCs w:val="21"/>
        </w:rPr>
        <w:t>12．招标文件的澄清</w:t>
      </w:r>
    </w:p>
    <w:p w14:paraId="0F699287">
      <w:pPr>
        <w:ind w:firstLine="420" w:firstLineChars="200"/>
        <w:rPr>
          <w:rFonts w:ascii="宋体" w:hAnsi="宋体"/>
          <w:szCs w:val="21"/>
        </w:rPr>
      </w:pPr>
      <w:r>
        <w:rPr>
          <w:rFonts w:hint="eastAsia" w:ascii="宋体" w:hAnsi="宋体"/>
          <w:szCs w:val="21"/>
        </w:rPr>
        <w:t>12.1招标文件澄清的目的是澄清、解答投标人在查阅招标文件后或现场踏勘中可能提出的与投标有关的疑问或询问。</w:t>
      </w:r>
    </w:p>
    <w:p w14:paraId="37255CC9">
      <w:pPr>
        <w:ind w:firstLine="420" w:firstLineChars="200"/>
        <w:rPr>
          <w:rFonts w:ascii="宋体" w:hAnsi="宋体"/>
          <w:color w:val="FF0000"/>
          <w:szCs w:val="21"/>
          <w:highlight w:val="cyan"/>
        </w:rPr>
      </w:pPr>
      <w:r>
        <w:rPr>
          <w:rFonts w:hint="eastAsia" w:ascii="宋体" w:hAnsi="宋体"/>
          <w:color w:val="FF0000"/>
          <w:szCs w:val="21"/>
          <w:highlight w:val="cyan"/>
        </w:rPr>
        <w:t>12.2投标人如对招标文件内容有疑问，应当在招标公告规定的澄清（提问）截止时间前将疑问内容加盖公章书面提交至</w:t>
      </w:r>
      <w:r>
        <w:rPr>
          <w:rFonts w:hint="eastAsia" w:ascii="宋体" w:hAnsi="宋体"/>
          <w:color w:val="FF0000"/>
          <w:szCs w:val="21"/>
          <w:highlight w:val="cyan"/>
          <w:lang w:val="en-US" w:eastAsia="zh-CN"/>
        </w:rPr>
        <w:t>采购代理机构</w:t>
      </w:r>
      <w:r>
        <w:rPr>
          <w:rFonts w:hint="eastAsia" w:ascii="宋体" w:hAnsi="宋体"/>
          <w:color w:val="FF0000"/>
          <w:szCs w:val="21"/>
          <w:highlight w:val="cyan"/>
        </w:rPr>
        <w:t>。</w:t>
      </w:r>
    </w:p>
    <w:p w14:paraId="0BE51A3B">
      <w:pPr>
        <w:ind w:firstLine="420" w:firstLineChars="200"/>
        <w:rPr>
          <w:rFonts w:ascii="宋体" w:hAnsi="宋体"/>
          <w:szCs w:val="21"/>
          <w:highlight w:val="none"/>
        </w:rPr>
      </w:pPr>
      <w:r>
        <w:rPr>
          <w:rFonts w:hint="eastAsia" w:ascii="宋体" w:hAnsi="宋体"/>
          <w:szCs w:val="21"/>
        </w:rPr>
        <w:t>12</w:t>
      </w:r>
      <w:r>
        <w:rPr>
          <w:rFonts w:hint="eastAsia" w:ascii="宋体" w:hAnsi="宋体"/>
          <w:szCs w:val="21"/>
          <w:highlight w:val="none"/>
        </w:rPr>
        <w:t>.3不论是</w:t>
      </w:r>
      <w:r>
        <w:rPr>
          <w:rFonts w:hint="eastAsia" w:ascii="宋体" w:hAnsi="宋体"/>
          <w:szCs w:val="21"/>
          <w:highlight w:val="none"/>
          <w:lang w:val="en-US" w:eastAsia="zh-CN"/>
        </w:rPr>
        <w:t>采购代理机构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val="en-US" w:eastAsia="zh-CN"/>
        </w:rPr>
        <w:t>采购代理机构</w:t>
      </w:r>
      <w:r>
        <w:rPr>
          <w:rFonts w:hint="eastAsia" w:ascii="宋体" w:hAnsi="宋体"/>
          <w:szCs w:val="21"/>
          <w:highlight w:val="none"/>
        </w:rPr>
        <w:t>都将在投标截止日期前以书面形式（包括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网站发布方式）答复或发送给所有投标人。答复内容是招标文件的组成部分，对投标人起约束作用，其有效性按照本通用条款第13.3、13.4款规定执行。</w:t>
      </w:r>
    </w:p>
    <w:p w14:paraId="27846873">
      <w:pPr>
        <w:ind w:firstLine="420" w:firstLineChars="200"/>
        <w:rPr>
          <w:rFonts w:ascii="黑体" w:hAnsi="宋体" w:eastAsia="黑体"/>
          <w:szCs w:val="21"/>
          <w:highlight w:val="none"/>
        </w:rPr>
      </w:pPr>
      <w:r>
        <w:rPr>
          <w:rFonts w:hint="eastAsia" w:ascii="黑体" w:hAnsi="宋体" w:eastAsia="黑体"/>
          <w:szCs w:val="21"/>
          <w:highlight w:val="none"/>
        </w:rPr>
        <w:t>13．招标文件的修改</w:t>
      </w:r>
    </w:p>
    <w:p w14:paraId="413CF562">
      <w:pPr>
        <w:ind w:firstLine="420" w:firstLineChars="200"/>
        <w:rPr>
          <w:rFonts w:ascii="宋体" w:hAnsi="宋体"/>
          <w:szCs w:val="21"/>
          <w:highlight w:val="none"/>
        </w:rPr>
      </w:pPr>
      <w:r>
        <w:rPr>
          <w:rFonts w:hint="eastAsia" w:ascii="宋体" w:hAnsi="宋体"/>
          <w:szCs w:val="21"/>
          <w:highlight w:val="none"/>
        </w:rPr>
        <w:t>13.1招标文件发出后，在投标截止日期前任何时候，确需要变更招标文件内容的，</w:t>
      </w:r>
      <w:r>
        <w:rPr>
          <w:rFonts w:hint="eastAsia" w:ascii="宋体" w:hAnsi="宋体"/>
          <w:szCs w:val="21"/>
          <w:highlight w:val="none"/>
          <w:lang w:val="en-US" w:eastAsia="zh-CN"/>
        </w:rPr>
        <w:t>采购代理机构</w:t>
      </w:r>
      <w:r>
        <w:rPr>
          <w:rFonts w:hint="eastAsia" w:ascii="宋体" w:hAnsi="宋体"/>
          <w:szCs w:val="21"/>
          <w:highlight w:val="none"/>
        </w:rPr>
        <w:t>可主动或在解答投标人提出的澄清问题时对招标文件进行修改。</w:t>
      </w:r>
    </w:p>
    <w:p w14:paraId="470B65AC">
      <w:pPr>
        <w:ind w:firstLine="420" w:firstLineChars="200"/>
        <w:rPr>
          <w:rFonts w:ascii="宋体" w:hAnsi="宋体"/>
          <w:szCs w:val="21"/>
          <w:highlight w:val="none"/>
        </w:rPr>
      </w:pPr>
      <w:r>
        <w:rPr>
          <w:rFonts w:hint="eastAsia" w:ascii="宋体" w:hAnsi="宋体"/>
          <w:szCs w:val="21"/>
          <w:highlight w:val="none"/>
        </w:rPr>
        <w:t>13.2招标文件的修改以书面形式（包括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网站发布方式，如更正公告等）发送给所有投标人，招标文件的修改内容作为招标文件的组成部分，并具有约束力。</w:t>
      </w:r>
    </w:p>
    <w:p w14:paraId="660D2001">
      <w:pPr>
        <w:ind w:firstLine="420" w:firstLineChars="200"/>
        <w:rPr>
          <w:rFonts w:ascii="宋体" w:hAnsi="宋体"/>
          <w:szCs w:val="21"/>
          <w:highlight w:val="none"/>
        </w:rPr>
      </w:pPr>
      <w:r>
        <w:rPr>
          <w:rFonts w:hint="eastAsia" w:ascii="宋体" w:hAnsi="宋体"/>
          <w:szCs w:val="21"/>
          <w:highlight w:val="none"/>
        </w:rPr>
        <w:t>13.3招标文件、招标文件澄清答复内容、招标文件修改补充内容均以书面形式（包括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2B38F052">
      <w:pPr>
        <w:ind w:firstLine="420" w:firstLineChars="200"/>
        <w:rPr>
          <w:rFonts w:ascii="宋体" w:hAnsi="宋体"/>
          <w:szCs w:val="21"/>
          <w:highlight w:val="none"/>
        </w:rPr>
      </w:pPr>
      <w:r>
        <w:rPr>
          <w:rFonts w:hint="eastAsia" w:ascii="宋体" w:hAnsi="宋体"/>
          <w:szCs w:val="21"/>
          <w:highlight w:val="none"/>
        </w:rPr>
        <w:t>13.4</w:t>
      </w:r>
      <w:r>
        <w:rPr>
          <w:rFonts w:hint="eastAsia" w:ascii="宋体" w:hAnsi="宋体"/>
          <w:szCs w:val="21"/>
          <w:highlight w:val="none"/>
          <w:lang w:val="en-US" w:eastAsia="zh-CN"/>
        </w:rPr>
        <w:t>采购代理机构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val="en-US" w:eastAsia="zh-CN"/>
        </w:rPr>
        <w:t>采购代理机构</w:t>
      </w:r>
      <w:r>
        <w:rPr>
          <w:rFonts w:hint="eastAsia" w:ascii="宋体" w:hAnsi="宋体"/>
          <w:szCs w:val="21"/>
          <w:highlight w:val="none"/>
        </w:rPr>
        <w:t>可以酌情延长递交投标文件的截止日期。</w:t>
      </w:r>
      <w:bookmarkEnd w:id="55"/>
    </w:p>
    <w:p w14:paraId="517EADA2">
      <w:pPr>
        <w:rPr>
          <w:rFonts w:ascii="宋体" w:hAnsi="宋体"/>
          <w:szCs w:val="21"/>
        </w:rPr>
      </w:pPr>
    </w:p>
    <w:p w14:paraId="1E7E8B43">
      <w:pPr>
        <w:pStyle w:val="80"/>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投标文件的编制</w:t>
      </w:r>
    </w:p>
    <w:p w14:paraId="72DDC19D">
      <w:pPr>
        <w:ind w:firstLine="420" w:firstLineChars="200"/>
        <w:rPr>
          <w:rFonts w:ascii="黑体" w:hAnsi="宋体" w:eastAsia="黑体"/>
          <w:szCs w:val="21"/>
        </w:rPr>
      </w:pPr>
      <w:r>
        <w:rPr>
          <w:rFonts w:hint="eastAsia" w:ascii="黑体" w:hAnsi="宋体" w:eastAsia="黑体"/>
          <w:szCs w:val="21"/>
        </w:rPr>
        <w:t>14．</w:t>
      </w:r>
      <w:bookmarkStart w:id="56" w:name="_Hlk72400236"/>
      <w:r>
        <w:rPr>
          <w:rFonts w:hint="eastAsia" w:ascii="黑体" w:hAnsi="宋体" w:eastAsia="黑体"/>
          <w:szCs w:val="21"/>
        </w:rPr>
        <w:t>投标文件的语言及度量单位</w:t>
      </w:r>
    </w:p>
    <w:p w14:paraId="1E03760E">
      <w:pPr>
        <w:ind w:firstLine="420" w:firstLineChars="200"/>
        <w:rPr>
          <w:rFonts w:ascii="宋体" w:hAnsi="宋体"/>
          <w:szCs w:val="21"/>
        </w:rPr>
      </w:pPr>
      <w:r>
        <w:rPr>
          <w:rFonts w:hint="eastAsia" w:ascii="宋体" w:hAnsi="宋体"/>
          <w:szCs w:val="21"/>
        </w:rPr>
        <w:t>14.1 投</w:t>
      </w:r>
      <w:r>
        <w:rPr>
          <w:rFonts w:hint="eastAsia" w:ascii="宋体" w:hAnsi="宋体"/>
          <w:szCs w:val="21"/>
          <w:highlight w:val="none"/>
        </w:rPr>
        <w:t>标人与</w:t>
      </w:r>
      <w:r>
        <w:rPr>
          <w:rFonts w:hint="eastAsia" w:ascii="宋体" w:hAnsi="宋体"/>
          <w:szCs w:val="21"/>
          <w:highlight w:val="none"/>
          <w:lang w:val="en-US" w:eastAsia="zh-CN"/>
        </w:rPr>
        <w:t>采购代理机构</w:t>
      </w:r>
      <w:r>
        <w:rPr>
          <w:rFonts w:hint="eastAsia" w:ascii="宋体" w:hAnsi="宋体"/>
          <w:szCs w:val="21"/>
          <w:highlight w:val="none"/>
        </w:rPr>
        <w:t>之间与</w:t>
      </w:r>
      <w:r>
        <w:rPr>
          <w:rFonts w:hint="eastAsia" w:ascii="宋体" w:hAnsi="宋体"/>
          <w:szCs w:val="21"/>
        </w:rPr>
        <w:t>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0A91634">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6"/>
    <w:p w14:paraId="1D924F40">
      <w:pPr>
        <w:ind w:firstLine="420" w:firstLineChars="200"/>
        <w:rPr>
          <w:rFonts w:ascii="黑体" w:hAnsi="宋体" w:eastAsia="黑体"/>
          <w:szCs w:val="21"/>
        </w:rPr>
      </w:pPr>
      <w:r>
        <w:rPr>
          <w:rFonts w:hint="eastAsia" w:ascii="黑体" w:hAnsi="宋体" w:eastAsia="黑体"/>
          <w:szCs w:val="21"/>
        </w:rPr>
        <w:t>15．</w:t>
      </w:r>
      <w:bookmarkStart w:id="57" w:name="_Hlk72401567"/>
      <w:r>
        <w:rPr>
          <w:rFonts w:hint="eastAsia" w:ascii="黑体" w:hAnsi="宋体" w:eastAsia="黑体"/>
          <w:szCs w:val="21"/>
        </w:rPr>
        <w:t>投标文件的组成</w:t>
      </w:r>
    </w:p>
    <w:p w14:paraId="46F704D4">
      <w:pPr>
        <w:ind w:firstLine="420" w:firstLineChars="200"/>
        <w:rPr>
          <w:rFonts w:ascii="宋体" w:hAnsi="宋体"/>
          <w:szCs w:val="21"/>
        </w:rPr>
      </w:pPr>
      <w:r>
        <w:rPr>
          <w:rFonts w:hint="eastAsia" w:ascii="宋体" w:hAnsi="宋体"/>
          <w:szCs w:val="21"/>
        </w:rPr>
        <w:t>具体内容在招标文件专用条款中进行规定。</w:t>
      </w:r>
    </w:p>
    <w:p w14:paraId="13B4D4C1">
      <w:pPr>
        <w:ind w:firstLine="420" w:firstLineChars="200"/>
        <w:rPr>
          <w:rFonts w:ascii="黑体" w:hAnsi="宋体" w:eastAsia="黑体"/>
          <w:szCs w:val="21"/>
        </w:rPr>
      </w:pPr>
      <w:r>
        <w:rPr>
          <w:rFonts w:hint="eastAsia" w:ascii="黑体" w:hAnsi="宋体" w:eastAsia="黑体"/>
          <w:szCs w:val="21"/>
        </w:rPr>
        <w:t>16．投标文件格式</w:t>
      </w:r>
    </w:p>
    <w:p w14:paraId="71E9D954">
      <w:pPr>
        <w:ind w:firstLine="420" w:firstLineChars="200"/>
        <w:rPr>
          <w:rFonts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9FCFF1E">
      <w:pPr>
        <w:ind w:firstLine="420" w:firstLineChars="200"/>
        <w:rPr>
          <w:rFonts w:ascii="黑体" w:hAnsi="宋体" w:eastAsia="黑体"/>
          <w:szCs w:val="21"/>
        </w:rPr>
      </w:pPr>
      <w:r>
        <w:rPr>
          <w:rFonts w:hint="eastAsia" w:ascii="黑体" w:hAnsi="宋体" w:eastAsia="黑体"/>
          <w:szCs w:val="21"/>
        </w:rPr>
        <w:t>17．投标货币</w:t>
      </w:r>
    </w:p>
    <w:p w14:paraId="6D2311EC">
      <w:pPr>
        <w:ind w:firstLine="420" w:firstLineChars="200"/>
        <w:rPr>
          <w:rFonts w:ascii="宋体" w:hAnsi="宋体"/>
          <w:szCs w:val="21"/>
        </w:rPr>
      </w:pPr>
      <w:r>
        <w:rPr>
          <w:rFonts w:hint="eastAsia" w:ascii="宋体" w:hAnsi="宋体"/>
          <w:szCs w:val="21"/>
        </w:rPr>
        <w:t>本项目的投标报价应以人民币计。</w:t>
      </w:r>
    </w:p>
    <w:bookmarkEnd w:id="57"/>
    <w:p w14:paraId="7D524030">
      <w:pPr>
        <w:ind w:firstLine="420" w:firstLineChars="200"/>
        <w:rPr>
          <w:rFonts w:ascii="黑体" w:hAnsi="宋体" w:eastAsia="黑体"/>
          <w:szCs w:val="21"/>
        </w:rPr>
      </w:pPr>
      <w:r>
        <w:rPr>
          <w:rFonts w:hint="eastAsia" w:ascii="黑体" w:hAnsi="宋体" w:eastAsia="黑体"/>
          <w:szCs w:val="21"/>
        </w:rPr>
        <w:t>18．</w:t>
      </w:r>
      <w:bookmarkStart w:id="58" w:name="_Hlk72401735"/>
      <w:r>
        <w:rPr>
          <w:rFonts w:hint="eastAsia" w:ascii="黑体" w:hAnsi="宋体" w:eastAsia="黑体"/>
          <w:szCs w:val="21"/>
        </w:rPr>
        <w:t>证明投标文件投标技术方案的合格性和符合招标文件规定的文件要求</w:t>
      </w:r>
    </w:p>
    <w:p w14:paraId="23022A57">
      <w:pPr>
        <w:ind w:firstLine="420" w:firstLineChars="200"/>
        <w:rPr>
          <w:rFonts w:ascii="宋体" w:hAnsi="宋体"/>
          <w:szCs w:val="21"/>
        </w:rPr>
      </w:pPr>
      <w:r>
        <w:rPr>
          <w:rFonts w:hint="eastAsia" w:ascii="宋体" w:hAnsi="宋体"/>
          <w:szCs w:val="21"/>
        </w:rPr>
        <w:t>18.1 投标人应提交证明文件，证明其投标技术方案项下的货物和服务的合格性符合招标文件规定。该投标技术方案及其证明文件均作为投标文件组成部分。</w:t>
      </w:r>
    </w:p>
    <w:p w14:paraId="73FC64E5">
      <w:pPr>
        <w:ind w:firstLine="420" w:firstLineChars="200"/>
        <w:rPr>
          <w:rFonts w:ascii="宋体" w:hAnsi="宋体"/>
          <w:szCs w:val="21"/>
        </w:rPr>
      </w:pPr>
      <w:r>
        <w:rPr>
          <w:rFonts w:hint="eastAsia" w:ascii="宋体" w:hAnsi="宋体"/>
          <w:szCs w:val="21"/>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571474">
      <w:pPr>
        <w:ind w:firstLine="420" w:firstLineChars="200"/>
        <w:rPr>
          <w:rFonts w:ascii="宋体" w:hAnsi="宋体"/>
          <w:szCs w:val="21"/>
        </w:rPr>
      </w:pPr>
      <w:r>
        <w:rPr>
          <w:rFonts w:hint="eastAsia" w:ascii="宋体" w:hAnsi="宋体"/>
          <w:szCs w:val="21"/>
        </w:rPr>
        <w:t>18.2.1主要技术指标和性能的详细说明。</w:t>
      </w:r>
    </w:p>
    <w:p w14:paraId="4748C4CB">
      <w:pPr>
        <w:ind w:firstLine="420" w:firstLineChars="200"/>
        <w:rPr>
          <w:rFonts w:ascii="宋体" w:hAnsi="宋体"/>
          <w:szCs w:val="21"/>
        </w:rPr>
      </w:pPr>
      <w:r>
        <w:rPr>
          <w:rFonts w:hint="eastAsia" w:ascii="宋体" w:hAnsi="宋体"/>
          <w:szCs w:val="21"/>
        </w:rPr>
        <w:t>18.2.2投标产品从采购人开始使用至招标文件中规定的周期内正常、连续地使用所必须的备件和专用工具清单，包括备件和专用工具的货源及现行价格。</w:t>
      </w:r>
    </w:p>
    <w:p w14:paraId="65AB3838">
      <w:pPr>
        <w:ind w:firstLine="420" w:firstLineChars="200"/>
        <w:rPr>
          <w:rFonts w:ascii="宋体" w:hAnsi="宋体"/>
          <w:szCs w:val="21"/>
        </w:rPr>
      </w:pPr>
      <w:r>
        <w:rPr>
          <w:rFonts w:hint="eastAsia" w:ascii="宋体" w:hAnsi="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09B801C">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50DCD720">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04007BE">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3A516E4">
      <w:pPr>
        <w:ind w:firstLine="420" w:firstLineChars="200"/>
        <w:rPr>
          <w:rFonts w:ascii="宋体" w:hAnsi="宋体"/>
          <w:szCs w:val="21"/>
        </w:rPr>
      </w:pPr>
      <w:r>
        <w:rPr>
          <w:rFonts w:hint="eastAsia" w:ascii="宋体" w:hAnsi="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49A96342">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8"/>
    <w:p w14:paraId="26D8C009">
      <w:pPr>
        <w:ind w:firstLine="420" w:firstLineChars="200"/>
        <w:rPr>
          <w:rFonts w:ascii="黑体" w:hAnsi="宋体" w:eastAsia="黑体"/>
          <w:szCs w:val="21"/>
        </w:rPr>
      </w:pPr>
      <w:r>
        <w:rPr>
          <w:rFonts w:hint="eastAsia" w:ascii="黑体" w:hAnsi="宋体" w:eastAsia="黑体"/>
          <w:szCs w:val="21"/>
        </w:rPr>
        <w:t>19．</w:t>
      </w:r>
      <w:bookmarkStart w:id="59" w:name="_Hlk72402034"/>
      <w:r>
        <w:rPr>
          <w:rFonts w:hint="eastAsia" w:ascii="黑体" w:hAnsi="宋体" w:eastAsia="黑体"/>
          <w:szCs w:val="21"/>
        </w:rPr>
        <w:t>投标文件其他证明文件的要求</w:t>
      </w:r>
    </w:p>
    <w:p w14:paraId="17D70B8D">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0" w:name="_Hlk71407299"/>
    </w:p>
    <w:bookmarkEnd w:id="60"/>
    <w:p w14:paraId="24DF53D7">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0B11991">
      <w:pPr>
        <w:ind w:firstLine="420" w:firstLineChars="200"/>
        <w:rPr>
          <w:rFonts w:ascii="黑体" w:hAnsi="宋体" w:eastAsia="黑体"/>
          <w:szCs w:val="21"/>
        </w:rPr>
      </w:pPr>
      <w:r>
        <w:rPr>
          <w:rFonts w:hint="eastAsia" w:ascii="黑体" w:hAnsi="宋体" w:eastAsia="黑体"/>
          <w:szCs w:val="21"/>
        </w:rPr>
        <w:t>20．投标有效期</w:t>
      </w:r>
    </w:p>
    <w:bookmarkEnd w:id="59"/>
    <w:p w14:paraId="0CBD9DD7">
      <w:pPr>
        <w:ind w:firstLine="420" w:firstLineChars="200"/>
        <w:rPr>
          <w:rFonts w:ascii="宋体" w:hAnsi="宋体"/>
          <w:szCs w:val="21"/>
        </w:rPr>
      </w:pPr>
      <w:bookmarkStart w:id="61"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196CA5FD">
      <w:pPr>
        <w:ind w:firstLine="420" w:firstLineChars="200"/>
        <w:rPr>
          <w:rFonts w:ascii="宋体" w:hAnsi="宋体"/>
          <w:szCs w:val="21"/>
        </w:rPr>
      </w:pPr>
      <w:r>
        <w:rPr>
          <w:rFonts w:hint="eastAsia" w:ascii="宋体" w:hAnsi="宋体"/>
          <w:szCs w:val="21"/>
        </w:rPr>
        <w:t>20.2 在特殊情况下，</w:t>
      </w:r>
      <w:r>
        <w:rPr>
          <w:rFonts w:hint="eastAsia" w:ascii="宋体" w:hAnsi="宋体"/>
          <w:szCs w:val="21"/>
          <w:highlight w:val="none"/>
          <w:lang w:val="en-US" w:eastAsia="zh-CN"/>
        </w:rPr>
        <w:t>采购代理机构</w:t>
      </w:r>
      <w:r>
        <w:rPr>
          <w:rFonts w:hint="eastAsia" w:ascii="宋体" w:hAnsi="宋体"/>
          <w:szCs w:val="21"/>
          <w:highlight w:val="none"/>
        </w:rPr>
        <w:t>在原定的投标有效期满之前，</w:t>
      </w:r>
      <w:r>
        <w:rPr>
          <w:rFonts w:hint="eastAsia" w:ascii="宋体" w:hAnsi="宋体"/>
          <w:szCs w:val="21"/>
          <w:highlight w:val="none"/>
          <w:lang w:val="en-US" w:eastAsia="zh-CN"/>
        </w:rPr>
        <w:t>采购代理机构</w:t>
      </w:r>
      <w:r>
        <w:rPr>
          <w:rFonts w:hint="eastAsia" w:ascii="宋体" w:hAnsi="宋体"/>
          <w:szCs w:val="21"/>
          <w:highlight w:val="none"/>
        </w:rPr>
        <w:t>可以根据需要以书面形式（包括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val="en-US" w:eastAsia="zh-CN"/>
        </w:rPr>
        <w:t>采购代理机构</w:t>
      </w:r>
      <w:r>
        <w:rPr>
          <w:rFonts w:hint="eastAsia" w:ascii="宋体" w:hAnsi="宋体"/>
          <w:szCs w:val="21"/>
          <w:highlight w:val="none"/>
        </w:rPr>
        <w:t>此项要</w:t>
      </w:r>
      <w:r>
        <w:rPr>
          <w:rFonts w:hint="eastAsia" w:ascii="宋体" w:hAnsi="宋体"/>
          <w:szCs w:val="21"/>
        </w:rPr>
        <w:t>求，其投标在原投标有效期满后不再有效。同意延长投标有效期的投标人不能要求也不允许修改其投标文件。</w:t>
      </w:r>
    </w:p>
    <w:p w14:paraId="0BACA056">
      <w:pPr>
        <w:ind w:firstLine="420" w:firstLineChars="200"/>
        <w:rPr>
          <w:rFonts w:ascii="宋体" w:hAnsi="宋体"/>
          <w:szCs w:val="21"/>
        </w:rPr>
      </w:pPr>
      <w:r>
        <w:rPr>
          <w:rFonts w:hint="eastAsia" w:ascii="宋体" w:hAnsi="宋体"/>
          <w:szCs w:val="21"/>
        </w:rPr>
        <w:t>20.3 中标供应商的投标文件有效期，截止于完成本招标文件规定的全部项目内容，并通过竣工验收及保修期结束。</w:t>
      </w:r>
    </w:p>
    <w:bookmarkEnd w:id="61"/>
    <w:p w14:paraId="48BC4936">
      <w:pPr>
        <w:ind w:firstLine="420" w:firstLineChars="200"/>
        <w:rPr>
          <w:rFonts w:ascii="黑体" w:hAnsi="宋体" w:eastAsia="黑体"/>
          <w:szCs w:val="21"/>
        </w:rPr>
      </w:pPr>
      <w:r>
        <w:rPr>
          <w:rFonts w:hint="eastAsia" w:ascii="黑体" w:hAnsi="宋体" w:eastAsia="黑体"/>
          <w:szCs w:val="21"/>
        </w:rPr>
        <w:t>21．</w:t>
      </w:r>
      <w:bookmarkStart w:id="62" w:name="_Hlk72402325"/>
      <w:r>
        <w:rPr>
          <w:rFonts w:hint="eastAsia" w:ascii="黑体" w:hAnsi="宋体" w:eastAsia="黑体"/>
          <w:szCs w:val="21"/>
        </w:rPr>
        <w:t xml:space="preserve">关于投标保证金 </w:t>
      </w:r>
    </w:p>
    <w:p w14:paraId="5C09E316">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w:t>
      </w:r>
      <w:r>
        <w:rPr>
          <w:szCs w:val="21"/>
        </w:rPr>
        <w:t>2021</w:t>
      </w:r>
      <w:r>
        <w:rPr>
          <w:rFonts w:hint="eastAsia"/>
          <w:szCs w:val="21"/>
        </w:rPr>
        <w:t>〕</w:t>
      </w:r>
      <w:r>
        <w:rPr>
          <w:szCs w:val="21"/>
        </w:rPr>
        <w:t>51</w:t>
      </w:r>
      <w:r>
        <w:rPr>
          <w:rFonts w:hint="eastAsia"/>
          <w:szCs w:val="21"/>
        </w:rPr>
        <w:t>号）文的规定，本项目不收取投标保证金。</w:t>
      </w:r>
    </w:p>
    <w:p w14:paraId="41563514">
      <w:pPr>
        <w:ind w:firstLine="420" w:firstLineChars="200"/>
        <w:rPr>
          <w:rFonts w:ascii="黑体" w:hAnsi="宋体" w:eastAsia="黑体"/>
          <w:szCs w:val="21"/>
        </w:rPr>
      </w:pPr>
      <w:r>
        <w:rPr>
          <w:rFonts w:hint="eastAsia" w:ascii="黑体" w:hAnsi="宋体" w:eastAsia="黑体"/>
          <w:szCs w:val="21"/>
        </w:rPr>
        <w:t>22．投标人的替代方案</w:t>
      </w:r>
    </w:p>
    <w:p w14:paraId="47740AF4">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AFABC72">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2"/>
    <w:p w14:paraId="27E553FE">
      <w:pPr>
        <w:ind w:firstLine="420" w:firstLineChars="200"/>
        <w:rPr>
          <w:rFonts w:ascii="黑体" w:hAnsi="宋体" w:eastAsia="黑体"/>
          <w:szCs w:val="21"/>
        </w:rPr>
      </w:pPr>
      <w:r>
        <w:rPr>
          <w:rFonts w:hint="eastAsia" w:ascii="黑体" w:hAnsi="宋体" w:eastAsia="黑体"/>
          <w:szCs w:val="21"/>
        </w:rPr>
        <w:t>23．</w:t>
      </w:r>
      <w:bookmarkStart w:id="63" w:name="_Hlk72402860"/>
      <w:r>
        <w:rPr>
          <w:rFonts w:hint="eastAsia" w:ascii="黑体" w:hAnsi="宋体" w:eastAsia="黑体"/>
          <w:szCs w:val="21"/>
        </w:rPr>
        <w:t>投标文件的制作要求</w:t>
      </w:r>
    </w:p>
    <w:p w14:paraId="574DBD56">
      <w:pPr>
        <w:ind w:firstLine="420" w:firstLineChars="200"/>
        <w:rPr>
          <w:rFonts w:ascii="宋体" w:hAnsi="宋体"/>
          <w:szCs w:val="21"/>
        </w:rPr>
      </w:pPr>
      <w:r>
        <w:rPr>
          <w:rFonts w:hint="eastAsia" w:ascii="宋体" w:hAnsi="宋体"/>
          <w:szCs w:val="21"/>
        </w:rPr>
        <w:t>23.1投标人应准备所投项目的电子投标文件一份。</w:t>
      </w:r>
    </w:p>
    <w:p w14:paraId="4A31275C">
      <w:pPr>
        <w:ind w:firstLine="420" w:firstLineChars="200"/>
        <w:rPr>
          <w:rFonts w:ascii="宋体" w:hAnsi="宋体"/>
          <w:szCs w:val="21"/>
        </w:rPr>
      </w:pPr>
      <w:r>
        <w:rPr>
          <w:rFonts w:hint="eastAsia" w:ascii="宋体" w:hAnsi="宋体"/>
          <w:szCs w:val="21"/>
        </w:rPr>
        <w:t>23.2投标人在使用《投标书编制软件》编制投标书时须注意：</w:t>
      </w:r>
    </w:p>
    <w:p w14:paraId="33725182">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31CBE914">
      <w:pPr>
        <w:ind w:firstLine="42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14:paraId="75D93576">
      <w:pPr>
        <w:ind w:firstLine="420" w:firstLineChars="200"/>
        <w:rPr>
          <w:rFonts w:ascii="宋体" w:hAnsi="宋体"/>
          <w:szCs w:val="21"/>
          <w:highlight w:val="none"/>
        </w:rPr>
      </w:pPr>
      <w:r>
        <w:rPr>
          <w:rFonts w:hint="eastAsia" w:ascii="宋体" w:hAnsi="宋体"/>
          <w:szCs w:val="21"/>
        </w:rPr>
        <w:t>23.2.3要求用《投标书编制软件》编制投标书的包，不能用其它方式编制投标书。编制投标文件时，电脑须连通互联网。</w:t>
      </w:r>
    </w:p>
    <w:p w14:paraId="5D34E6A2">
      <w:pPr>
        <w:ind w:firstLine="420" w:firstLineChars="200"/>
        <w:rPr>
          <w:rFonts w:ascii="宋体" w:hAnsi="宋体"/>
          <w:szCs w:val="21"/>
        </w:rPr>
      </w:pPr>
      <w:r>
        <w:rPr>
          <w:rFonts w:hint="eastAsia" w:ascii="宋体" w:hAnsi="宋体"/>
          <w:szCs w:val="21"/>
          <w:highlight w:val="none"/>
        </w:rPr>
        <w:t>23.2.4投标文件不能带病毒。</w:t>
      </w:r>
      <w:r>
        <w:rPr>
          <w:rFonts w:hint="eastAsia" w:ascii="宋体" w:hAnsi="宋体"/>
          <w:szCs w:val="21"/>
          <w:highlight w:val="none"/>
          <w:lang w:val="en-US" w:eastAsia="zh-CN"/>
        </w:rPr>
        <w:t>采购代理机构</w:t>
      </w:r>
      <w:r>
        <w:rPr>
          <w:rFonts w:hint="eastAsia" w:ascii="宋体" w:hAnsi="宋体"/>
          <w:szCs w:val="21"/>
          <w:highlight w:val="none"/>
        </w:rPr>
        <w:t>将用专业杀毒软件对投标文件进行病毒检测，如果这两种软件均报告发现病毒，则</w:t>
      </w:r>
      <w:r>
        <w:rPr>
          <w:rFonts w:hint="eastAsia" w:ascii="宋体" w:hAnsi="宋体"/>
          <w:szCs w:val="21"/>
          <w:highlight w:val="none"/>
          <w:lang w:val="en-US" w:eastAsia="zh-CN"/>
        </w:rPr>
        <w:t>采购代理机构</w:t>
      </w:r>
      <w:r>
        <w:rPr>
          <w:rFonts w:hint="eastAsia" w:ascii="宋体" w:hAnsi="宋体"/>
          <w:szCs w:val="21"/>
          <w:highlight w:val="none"/>
        </w:rPr>
        <w:t>认为该</w:t>
      </w:r>
      <w:r>
        <w:rPr>
          <w:rFonts w:hint="eastAsia" w:ascii="宋体" w:hAnsi="宋体"/>
          <w:szCs w:val="21"/>
        </w:rPr>
        <w:t>投标文件带病毒。</w:t>
      </w:r>
    </w:p>
    <w:p w14:paraId="4C93F4CF">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5</w:t>
      </w:r>
      <w:r>
        <w:rPr>
          <w:rFonts w:hint="eastAsia" w:ascii="宋体" w:hAnsi="宋体"/>
          <w:szCs w:val="21"/>
          <w:highlight w:val="cyan"/>
          <w:lang w:val="en-US" w:eastAsia="zh-CN"/>
        </w:rPr>
        <w:t>投标人在编辑投标文件时，在投标文件目录中属于本节点内容的需在对应节点中填写，填写到其他节点后果由供应商自行承担。</w:t>
      </w:r>
    </w:p>
    <w:p w14:paraId="586246AB">
      <w:pPr>
        <w:ind w:firstLine="420" w:firstLineChars="200"/>
        <w:rPr>
          <w:rFonts w:ascii="宋体" w:hAnsi="宋体"/>
          <w:szCs w:val="21"/>
          <w:highlight w:val="none"/>
        </w:rPr>
      </w:pPr>
      <w:r>
        <w:rPr>
          <w:rFonts w:hint="eastAsia" w:ascii="宋体" w:hAnsi="宋体"/>
          <w:szCs w:val="21"/>
        </w:rPr>
        <w:t>23.2.</w:t>
      </w:r>
      <w:r>
        <w:rPr>
          <w:rFonts w:hint="eastAsia" w:ascii="宋体" w:hAnsi="宋体"/>
          <w:szCs w:val="21"/>
          <w:highlight w:val="none"/>
          <w:lang w:val="en-US" w:eastAsia="zh-CN"/>
        </w:rPr>
        <w:t>6采购代理机构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val="en-US" w:eastAsia="zh-CN"/>
        </w:rPr>
        <w:t>采购代理机构</w:t>
      </w:r>
      <w:r>
        <w:rPr>
          <w:rFonts w:hint="eastAsia" w:ascii="宋体" w:hAnsi="宋体"/>
          <w:szCs w:val="21"/>
          <w:highlight w:val="none"/>
        </w:rPr>
        <w:t>概不负</w:t>
      </w:r>
      <w:r>
        <w:rPr>
          <w:rFonts w:hint="eastAsia" w:ascii="宋体" w:hAnsi="宋体"/>
          <w:szCs w:val="21"/>
        </w:rPr>
        <w:t>责。建议于开标前一个工作日完成投标文件的制作与上传，如上传确有困难，请及时咨询。</w:t>
      </w:r>
    </w:p>
    <w:p w14:paraId="5C28A3CE">
      <w:pPr>
        <w:ind w:firstLine="420" w:firstLineChars="200"/>
        <w:rPr>
          <w:rFonts w:ascii="宋体" w:hAnsi="宋体"/>
          <w:szCs w:val="21"/>
        </w:rPr>
      </w:pPr>
      <w:r>
        <w:rPr>
          <w:rFonts w:hint="eastAsia" w:ascii="宋体" w:hAnsi="宋体"/>
          <w:szCs w:val="21"/>
          <w:highlight w:val="none"/>
        </w:rPr>
        <w:t>23.2.</w:t>
      </w:r>
      <w:r>
        <w:rPr>
          <w:rFonts w:hint="eastAsia" w:ascii="宋体" w:hAnsi="宋体"/>
          <w:szCs w:val="21"/>
          <w:highlight w:val="none"/>
          <w:lang w:val="en-US" w:eastAsia="zh-CN"/>
        </w:rPr>
        <w:t>7</w:t>
      </w:r>
      <w:r>
        <w:rPr>
          <w:rFonts w:hint="eastAsia" w:ascii="宋体" w:hAnsi="宋体"/>
          <w:szCs w:val="21"/>
          <w:highlight w:val="none"/>
        </w:rPr>
        <w:t>如果开标时出现网络故障、技术故障，影响了采购活动，</w:t>
      </w:r>
      <w:r>
        <w:rPr>
          <w:rFonts w:hint="eastAsia" w:ascii="宋体" w:hAnsi="宋体"/>
          <w:szCs w:val="21"/>
          <w:highlight w:val="none"/>
          <w:lang w:val="en-US" w:eastAsia="zh-CN"/>
        </w:rPr>
        <w:t>采购代理机构</w:t>
      </w:r>
      <w:r>
        <w:rPr>
          <w:rFonts w:hint="eastAsia" w:ascii="宋体" w:hAnsi="宋体"/>
          <w:szCs w:val="21"/>
          <w:highlight w:val="none"/>
        </w:rPr>
        <w:t>有权采</w:t>
      </w:r>
      <w:r>
        <w:rPr>
          <w:rFonts w:hint="eastAsia" w:ascii="宋体" w:hAnsi="宋体"/>
          <w:szCs w:val="21"/>
        </w:rPr>
        <w:t>取措施如延期、接受无法从网上上传的投标书等，以保障采购活动的公开、公平和公正。</w:t>
      </w:r>
    </w:p>
    <w:p w14:paraId="2CE33BA5">
      <w:pPr>
        <w:ind w:firstLine="420" w:firstLineChars="200"/>
        <w:rPr>
          <w:rFonts w:ascii="宋体" w:hAnsi="宋体"/>
          <w:szCs w:val="21"/>
        </w:rPr>
      </w:pPr>
      <w:r>
        <w:rPr>
          <w:rFonts w:hint="eastAsia" w:ascii="宋体" w:hAnsi="宋体"/>
          <w:szCs w:val="21"/>
        </w:rPr>
        <w:t>23.3电报、电话、传真形式的投标概不接受。</w:t>
      </w:r>
    </w:p>
    <w:p w14:paraId="3C83C8CE">
      <w:pPr>
        <w:ind w:firstLine="422" w:firstLineChars="200"/>
        <w:rPr>
          <w:rFonts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6D04643A">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3"/>
    </w:p>
    <w:p w14:paraId="630CD496">
      <w:pPr>
        <w:ind w:firstLine="411" w:firstLineChars="196"/>
        <w:rPr>
          <w:rFonts w:ascii="宋体" w:hAnsi="宋体"/>
          <w:szCs w:val="21"/>
        </w:rPr>
      </w:pPr>
    </w:p>
    <w:p w14:paraId="20C24F93">
      <w:pPr>
        <w:pStyle w:val="80"/>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投标文件的递交</w:t>
      </w:r>
    </w:p>
    <w:p w14:paraId="5D954150">
      <w:pPr>
        <w:ind w:firstLine="420" w:firstLineChars="200"/>
        <w:rPr>
          <w:rFonts w:ascii="黑体" w:hAnsi="宋体" w:eastAsia="黑体"/>
          <w:szCs w:val="21"/>
        </w:rPr>
      </w:pPr>
      <w:bookmarkStart w:id="64" w:name="_Hlk72405459"/>
      <w:r>
        <w:rPr>
          <w:rFonts w:hint="eastAsia" w:ascii="黑体" w:hAnsi="宋体" w:eastAsia="黑体"/>
          <w:szCs w:val="21"/>
        </w:rPr>
        <w:t>24．投标文件的保密</w:t>
      </w:r>
    </w:p>
    <w:p w14:paraId="5DCB48E4">
      <w:pPr>
        <w:ind w:firstLine="420" w:firstLineChars="200"/>
        <w:rPr>
          <w:rFonts w:ascii="宋体" w:hAnsi="宋体"/>
          <w:szCs w:val="21"/>
          <w:highlight w:val="cyan"/>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szCs w:val="21"/>
          <w:highlight w:val="cyan"/>
        </w:rPr>
        <w:t>(注意：</w:t>
      </w:r>
      <w:r>
        <w:rPr>
          <w:rFonts w:hint="eastAsia" w:ascii="宋体" w:hAnsi="宋体"/>
          <w:szCs w:val="21"/>
          <w:highlight w:val="cyan"/>
          <w:lang w:val="en-US" w:eastAsia="zh-CN"/>
        </w:rPr>
        <w:t>如对投标文件加密的，则投标人必</w:t>
      </w:r>
      <w:r>
        <w:rPr>
          <w:rFonts w:hint="eastAsia" w:ascii="宋体" w:hAnsi="宋体"/>
          <w:szCs w:val="21"/>
          <w:highlight w:val="cyan"/>
        </w:rPr>
        <w:t>须</w:t>
      </w:r>
      <w:r>
        <w:rPr>
          <w:rFonts w:hint="eastAsia" w:ascii="宋体" w:hAnsi="宋体"/>
          <w:szCs w:val="21"/>
          <w:highlight w:val="cyan"/>
          <w:lang w:val="en-US" w:eastAsia="zh-CN"/>
        </w:rPr>
        <w:t>在开标当日</w:t>
      </w:r>
      <w:r>
        <w:rPr>
          <w:rFonts w:hint="eastAsia" w:ascii="宋体" w:hAnsi="宋体"/>
          <w:szCs w:val="21"/>
          <w:highlight w:val="cyan"/>
        </w:rPr>
        <w:t>用加密文件时使用的锁在项目规定时间内解密！逾期未解密的作投标无效处理。)</w:t>
      </w:r>
    </w:p>
    <w:p w14:paraId="054F21CB">
      <w:pPr>
        <w:ind w:firstLine="422" w:firstLineChars="200"/>
        <w:rPr>
          <w:rFonts w:ascii="宋体" w:hAnsi="宋体"/>
          <w:b/>
          <w:szCs w:val="21"/>
        </w:rPr>
      </w:pPr>
      <w:r>
        <w:rPr>
          <w:rFonts w:hint="eastAsia" w:ascii="宋体" w:hAnsi="宋体"/>
          <w:b/>
          <w:szCs w:val="21"/>
        </w:rPr>
        <w:t>24.2若采购项目出现延期情况：</w:t>
      </w:r>
    </w:p>
    <w:p w14:paraId="0D1FEF4B">
      <w:pPr>
        <w:ind w:firstLine="422" w:firstLineChars="200"/>
        <w:rPr>
          <w:rFonts w:ascii="黑体" w:hAnsi="宋体" w:eastAsia="黑体"/>
          <w:b/>
          <w:szCs w:val="21"/>
          <w:highlight w:val="cyan"/>
        </w:rPr>
      </w:pPr>
      <w:r>
        <w:rPr>
          <w:rFonts w:hint="eastAsia" w:ascii="宋体" w:hAnsi="宋体"/>
          <w:b/>
          <w:szCs w:val="21"/>
          <w:highlight w:val="cyan"/>
        </w:rPr>
        <w:t>如果供下载的招标文件有更新，投标人必须重新下载招标文件、重新制作投标文件、重新上传投标文件。</w:t>
      </w:r>
    </w:p>
    <w:p w14:paraId="7E52D8F9">
      <w:pPr>
        <w:ind w:firstLine="420" w:firstLineChars="200"/>
        <w:rPr>
          <w:rFonts w:ascii="黑体" w:hAnsi="宋体" w:eastAsia="黑体"/>
          <w:szCs w:val="21"/>
        </w:rPr>
      </w:pPr>
      <w:r>
        <w:rPr>
          <w:rFonts w:hint="eastAsia" w:ascii="黑体" w:hAnsi="宋体" w:eastAsia="黑体"/>
          <w:szCs w:val="21"/>
        </w:rPr>
        <w:t>25．上传投标文件及投标截止日期</w:t>
      </w:r>
    </w:p>
    <w:p w14:paraId="62F95C89">
      <w:pPr>
        <w:ind w:firstLine="420" w:firstLineChars="200"/>
        <w:rPr>
          <w:rFonts w:ascii="宋体" w:hAnsi="宋体"/>
          <w:szCs w:val="21"/>
        </w:rPr>
      </w:pPr>
      <w:r>
        <w:rPr>
          <w:rFonts w:hint="eastAsia" w:ascii="宋体" w:hAnsi="宋体"/>
          <w:szCs w:val="21"/>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rPr>
        <w:t>。</w:t>
      </w:r>
    </w:p>
    <w:p w14:paraId="7A38216C">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5.2</w:t>
      </w:r>
      <w:r>
        <w:rPr>
          <w:rFonts w:hint="eastAsia" w:ascii="宋体" w:hAnsi="宋体"/>
          <w:szCs w:val="21"/>
          <w:highlight w:val="none"/>
          <w:lang w:val="en-US" w:eastAsia="zh-CN"/>
        </w:rPr>
        <w:t>采购代理机构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val="en-US" w:eastAsia="zh-CN"/>
        </w:rPr>
        <w:t>采购代理机构</w:t>
      </w:r>
      <w:r>
        <w:rPr>
          <w:rFonts w:hint="eastAsia" w:ascii="宋体" w:hAnsi="宋体"/>
          <w:szCs w:val="21"/>
          <w:highlight w:val="none"/>
        </w:rPr>
        <w:t>、采购人</w:t>
      </w:r>
      <w:r>
        <w:rPr>
          <w:rFonts w:hint="eastAsia" w:ascii="宋体" w:hAnsi="宋体"/>
          <w:szCs w:val="21"/>
        </w:rPr>
        <w:t>和投标人受投标截止期制约的所有权利和义务均应延长至新的截止期。</w:t>
      </w:r>
    </w:p>
    <w:p w14:paraId="312EA070">
      <w:pPr>
        <w:ind w:firstLine="420" w:firstLineChars="200"/>
        <w:rPr>
          <w:rFonts w:ascii="宋体" w:hAnsi="宋体"/>
          <w:szCs w:val="21"/>
        </w:rPr>
      </w:pPr>
      <w:r>
        <w:rPr>
          <w:rFonts w:hint="eastAsia" w:ascii="宋体" w:hAnsi="宋体"/>
          <w:szCs w:val="21"/>
        </w:rPr>
        <w:t>25.3投标截止时间以后不得上传投标文件。</w:t>
      </w:r>
    </w:p>
    <w:bookmarkEnd w:id="64"/>
    <w:p w14:paraId="3D77DC94">
      <w:pPr>
        <w:ind w:firstLine="420" w:firstLineChars="200"/>
        <w:rPr>
          <w:rFonts w:ascii="黑体" w:hAnsi="宋体" w:eastAsia="黑体"/>
          <w:szCs w:val="21"/>
        </w:rPr>
      </w:pPr>
      <w:r>
        <w:rPr>
          <w:rFonts w:hint="eastAsia" w:ascii="黑体" w:hAnsi="宋体" w:eastAsia="黑体"/>
          <w:szCs w:val="21"/>
        </w:rPr>
        <w:t>26. 样品、现场演示、方案讲解</w:t>
      </w:r>
    </w:p>
    <w:p w14:paraId="1E5432D4">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0619CFD8">
      <w:pPr>
        <w:ind w:firstLine="420" w:firstLineChars="200"/>
        <w:rPr>
          <w:rFonts w:ascii="黑体" w:hAnsi="宋体" w:eastAsia="黑体"/>
          <w:szCs w:val="21"/>
        </w:rPr>
      </w:pPr>
      <w:bookmarkStart w:id="65" w:name="_Hlk72428346"/>
      <w:r>
        <w:rPr>
          <w:rFonts w:hint="eastAsia" w:ascii="黑体" w:hAnsi="宋体" w:eastAsia="黑体"/>
          <w:szCs w:val="21"/>
        </w:rPr>
        <w:t>27．投标文件的修改和撤销</w:t>
      </w:r>
    </w:p>
    <w:p w14:paraId="45C1FEF5">
      <w:pPr>
        <w:ind w:firstLine="420" w:firstLineChars="200"/>
        <w:rPr>
          <w:rFonts w:ascii="宋体" w:hAnsi="宋体"/>
          <w:szCs w:val="21"/>
        </w:rPr>
      </w:pPr>
      <w:r>
        <w:rPr>
          <w:rFonts w:hint="eastAsia" w:ascii="宋体" w:hAnsi="宋体"/>
          <w:szCs w:val="21"/>
        </w:rPr>
        <w:t>27.1投标方在提交投标文件后可对其投标文件进行修改并重新上传投标文件或在网上进行撤销投标的操作。</w:t>
      </w:r>
    </w:p>
    <w:p w14:paraId="285A1FE9">
      <w:pPr>
        <w:ind w:firstLine="420" w:firstLineChars="200"/>
        <w:rPr>
          <w:rFonts w:ascii="宋体" w:hAnsi="宋体"/>
          <w:szCs w:val="21"/>
        </w:rPr>
      </w:pPr>
      <w:r>
        <w:rPr>
          <w:rFonts w:hint="eastAsia" w:ascii="宋体" w:hAnsi="宋体"/>
          <w:szCs w:val="21"/>
        </w:rPr>
        <w:t>27.2投标截止时间以后不得修改投标文件。</w:t>
      </w:r>
    </w:p>
    <w:p w14:paraId="2FA78AB7">
      <w:pPr>
        <w:ind w:firstLine="420" w:firstLineChars="200"/>
        <w:rPr>
          <w:rFonts w:ascii="宋体" w:hAnsi="宋体"/>
          <w:szCs w:val="21"/>
        </w:rPr>
      </w:pPr>
      <w:r>
        <w:rPr>
          <w:rFonts w:hint="eastAsia" w:ascii="宋体" w:hAnsi="宋体"/>
          <w:szCs w:val="21"/>
        </w:rPr>
        <w:t>27.3从投标截止期至投标人在投标文件中确定的投标有效期之间的这段时间内，投标人不得撤回其投标。</w:t>
      </w:r>
    </w:p>
    <w:p w14:paraId="299C5200">
      <w:pPr>
        <w:ind w:firstLine="420" w:firstLineChars="200"/>
        <w:rPr>
          <w:rFonts w:ascii="宋体" w:hAnsi="宋体"/>
          <w:szCs w:val="21"/>
        </w:rPr>
      </w:pPr>
      <w:r>
        <w:rPr>
          <w:rFonts w:hint="eastAsia" w:ascii="宋体" w:hAnsi="宋体"/>
          <w:szCs w:val="21"/>
        </w:rPr>
        <w:t>27</w:t>
      </w:r>
      <w:r>
        <w:rPr>
          <w:rFonts w:hint="eastAsia" w:ascii="宋体" w:hAnsi="宋体"/>
          <w:szCs w:val="21"/>
          <w:highlight w:val="none"/>
        </w:rPr>
        <w:t>.4</w:t>
      </w:r>
      <w:r>
        <w:rPr>
          <w:rFonts w:hint="eastAsia" w:ascii="宋体" w:hAnsi="宋体"/>
          <w:szCs w:val="21"/>
          <w:highlight w:val="none"/>
          <w:lang w:val="en-US" w:eastAsia="zh-CN"/>
        </w:rPr>
        <w:t>采购代理机构</w:t>
      </w:r>
      <w:r>
        <w:rPr>
          <w:rFonts w:hint="eastAsia" w:ascii="宋体" w:hAnsi="宋体"/>
          <w:szCs w:val="21"/>
          <w:highlight w:val="none"/>
        </w:rPr>
        <w:t>不退还</w:t>
      </w:r>
      <w:r>
        <w:rPr>
          <w:rFonts w:hint="eastAsia" w:ascii="宋体" w:hAnsi="宋体"/>
          <w:szCs w:val="21"/>
        </w:rPr>
        <w:t>投标文件，专用条款另有规定的除外。</w:t>
      </w:r>
    </w:p>
    <w:bookmarkEnd w:id="65"/>
    <w:p w14:paraId="61FA3273">
      <w:pPr>
        <w:pStyle w:val="80"/>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开标</w:t>
      </w:r>
    </w:p>
    <w:p w14:paraId="2884268A">
      <w:pPr>
        <w:ind w:firstLine="420" w:firstLineChars="200"/>
        <w:rPr>
          <w:rFonts w:ascii="黑体" w:hAnsi="宋体" w:eastAsia="黑体"/>
          <w:szCs w:val="21"/>
        </w:rPr>
      </w:pPr>
      <w:r>
        <w:rPr>
          <w:rFonts w:hint="eastAsia" w:ascii="黑体" w:hAnsi="宋体" w:eastAsia="黑体"/>
          <w:szCs w:val="21"/>
        </w:rPr>
        <w:t>28．开标</w:t>
      </w:r>
    </w:p>
    <w:p w14:paraId="5C81C73B">
      <w:pPr>
        <w:ind w:firstLine="420" w:firstLineChars="200"/>
        <w:rPr>
          <w:rFonts w:ascii="宋体" w:hAnsi="宋体"/>
          <w:szCs w:val="21"/>
        </w:rPr>
      </w:pPr>
      <w:r>
        <w:rPr>
          <w:rFonts w:hint="eastAsia" w:ascii="宋体" w:hAnsi="宋体"/>
          <w:szCs w:val="21"/>
        </w:rPr>
        <w:t>28.1如</w:t>
      </w:r>
      <w:r>
        <w:rPr>
          <w:rFonts w:hint="eastAsia" w:ascii="宋体" w:hAnsi="宋体"/>
          <w:szCs w:val="21"/>
          <w:lang w:val="en-US" w:eastAsia="zh-CN"/>
        </w:rPr>
        <w:t>对</w:t>
      </w:r>
      <w:r>
        <w:rPr>
          <w:rFonts w:hint="eastAsia" w:ascii="宋体" w:hAnsi="宋体"/>
          <w:szCs w:val="21"/>
        </w:rPr>
        <w:t>投标文件加密的，则投标人须在开标当日的开标时间至解密截止时间内进行解密，逾期未解密的作</w:t>
      </w:r>
      <w:r>
        <w:rPr>
          <w:rFonts w:hint="eastAsia" w:ascii="宋体" w:hAnsi="宋体"/>
          <w:szCs w:val="21"/>
          <w:lang w:val="en-US" w:eastAsia="zh-CN"/>
        </w:rPr>
        <w:t>投标</w:t>
      </w:r>
      <w:r>
        <w:rPr>
          <w:rFonts w:hint="eastAsia" w:ascii="宋体" w:hAnsi="宋体"/>
          <w:szCs w:val="21"/>
        </w:rPr>
        <w:t>无效处理。解密方法：登录“深圳市自行采购系统（https://trade.szggzy.com/ggzy/center/#/login）”，使用本单位制作电子投标文件同一个电子密钥进行在线解密、查询开标情况。</w:t>
      </w:r>
    </w:p>
    <w:p w14:paraId="7E2DA71F">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8.2</w:t>
      </w:r>
      <w:r>
        <w:rPr>
          <w:rFonts w:hint="eastAsia" w:ascii="宋体" w:hAnsi="宋体"/>
          <w:szCs w:val="21"/>
          <w:highlight w:val="none"/>
          <w:lang w:val="en-US" w:eastAsia="zh-CN"/>
        </w:rPr>
        <w:t>采购代理机构</w:t>
      </w:r>
      <w:r>
        <w:rPr>
          <w:rFonts w:hint="eastAsia" w:ascii="宋体" w:hAnsi="宋体"/>
          <w:szCs w:val="21"/>
          <w:highlight w:val="none"/>
        </w:rPr>
        <w:t>将在满足开标条件</w:t>
      </w:r>
      <w:r>
        <w:rPr>
          <w:rFonts w:hint="eastAsia" w:ascii="宋体" w:hAnsi="宋体"/>
          <w:szCs w:val="21"/>
          <w:highlight w:val="cyan"/>
          <w:lang w:eastAsia="zh-CN"/>
        </w:rPr>
        <w:t>【</w:t>
      </w:r>
      <w:r>
        <w:rPr>
          <w:rFonts w:hint="eastAsia" w:ascii="宋体" w:hAnsi="宋体"/>
          <w:szCs w:val="21"/>
          <w:highlight w:val="cyan"/>
        </w:rPr>
        <w:t>解密时间结束，</w:t>
      </w:r>
      <w:r>
        <w:rPr>
          <w:rFonts w:hint="eastAsia" w:ascii="宋体" w:hAnsi="宋体"/>
          <w:szCs w:val="21"/>
          <w:highlight w:val="cyan"/>
          <w:lang w:val="en-US" w:eastAsia="zh-CN"/>
        </w:rPr>
        <w:t>未对投标文件加密的供应商（未加密的投标文件无需解密）及对投标文件加密并在</w:t>
      </w:r>
      <w:r>
        <w:rPr>
          <w:rFonts w:hint="eastAsia" w:ascii="宋体" w:hAnsi="宋体"/>
          <w:szCs w:val="21"/>
          <w:highlight w:val="cyan"/>
        </w:rPr>
        <w:t>解密时间结束前</w:t>
      </w:r>
      <w:r>
        <w:rPr>
          <w:rFonts w:hint="eastAsia" w:ascii="宋体" w:hAnsi="宋体"/>
          <w:szCs w:val="21"/>
          <w:highlight w:val="cyan"/>
          <w:lang w:val="en-US" w:eastAsia="zh-CN"/>
        </w:rPr>
        <w:t>成功解密的</w:t>
      </w:r>
      <w:r>
        <w:rPr>
          <w:rFonts w:hint="eastAsia" w:ascii="宋体" w:hAnsi="宋体"/>
          <w:szCs w:val="21"/>
          <w:highlight w:val="cyan"/>
        </w:rPr>
        <w:t>投标供应商数量</w:t>
      </w:r>
      <w:r>
        <w:rPr>
          <w:rFonts w:hint="eastAsia" w:ascii="宋体" w:hAnsi="宋体"/>
          <w:szCs w:val="21"/>
          <w:highlight w:val="cyan"/>
          <w:lang w:val="en-US" w:eastAsia="zh-CN"/>
        </w:rPr>
        <w:t>满足开标条件</w:t>
      </w:r>
      <w:r>
        <w:rPr>
          <w:rFonts w:hint="eastAsia" w:ascii="宋体" w:hAnsi="宋体"/>
          <w:szCs w:val="21"/>
          <w:highlight w:val="cyan"/>
        </w:rPr>
        <w:t>后</w:t>
      </w:r>
      <w:r>
        <w:rPr>
          <w:rFonts w:hint="eastAsia" w:ascii="宋体" w:hAnsi="宋体"/>
          <w:szCs w:val="21"/>
          <w:highlight w:val="cyan"/>
          <w:lang w:eastAsia="zh-CN"/>
        </w:rPr>
        <w:t>】</w:t>
      </w:r>
      <w:r>
        <w:rPr>
          <w:rFonts w:hint="eastAsia" w:ascii="宋体" w:hAnsi="宋体"/>
          <w:szCs w:val="21"/>
        </w:rPr>
        <w:t>对投标文件进行开标，并在网上公布开标结果。</w:t>
      </w:r>
    </w:p>
    <w:p w14:paraId="7288956C">
      <w:pPr>
        <w:pStyle w:val="80"/>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评审要求</w:t>
      </w:r>
    </w:p>
    <w:p w14:paraId="25F55BF3">
      <w:pPr>
        <w:ind w:firstLine="420" w:firstLineChars="200"/>
        <w:rPr>
          <w:rFonts w:ascii="黑体" w:hAnsi="宋体" w:eastAsia="黑体"/>
          <w:szCs w:val="21"/>
        </w:rPr>
      </w:pPr>
      <w:r>
        <w:rPr>
          <w:rFonts w:hint="eastAsia" w:ascii="黑体" w:hAnsi="宋体" w:eastAsia="黑体"/>
          <w:szCs w:val="21"/>
        </w:rPr>
        <w:t>29．评审委员会组成</w:t>
      </w:r>
    </w:p>
    <w:p w14:paraId="5A1ADA62">
      <w:pPr>
        <w:ind w:firstLine="420" w:firstLineChars="200"/>
        <w:rPr>
          <w:rFonts w:ascii="宋体" w:hAnsi="宋体"/>
          <w:szCs w:val="21"/>
          <w:highlight w:val="none"/>
        </w:rPr>
      </w:pPr>
      <w:r>
        <w:rPr>
          <w:rFonts w:hint="eastAsia" w:ascii="宋体" w:hAnsi="宋体"/>
          <w:szCs w:val="21"/>
        </w:rPr>
        <w:t>29.1网上开标结束后召开评审会议，评审委</w:t>
      </w:r>
      <w:r>
        <w:rPr>
          <w:rFonts w:hint="eastAsia" w:ascii="宋体" w:hAnsi="宋体"/>
          <w:szCs w:val="21"/>
          <w:highlight w:val="none"/>
        </w:rPr>
        <w:t>员会由采购代理机构依法组建，负责评审活动。</w:t>
      </w:r>
    </w:p>
    <w:p w14:paraId="32642735">
      <w:pPr>
        <w:ind w:firstLine="420" w:firstLineChars="200"/>
        <w:rPr>
          <w:rFonts w:ascii="宋体" w:hAnsi="宋体"/>
          <w:color w:val="FF0000"/>
          <w:szCs w:val="21"/>
          <w:highlight w:val="none"/>
        </w:rPr>
      </w:pPr>
      <w:bookmarkStart w:id="66"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66"/>
      <w:r>
        <w:rPr>
          <w:rFonts w:hint="eastAsia" w:ascii="宋体" w:hAnsi="宋体"/>
          <w:szCs w:val="21"/>
          <w:highlight w:val="none"/>
        </w:rPr>
        <w:t>评定</w:t>
      </w:r>
      <w:r>
        <w:rPr>
          <w:rFonts w:hint="eastAsia"/>
          <w:szCs w:val="21"/>
          <w:highlight w:val="none"/>
        </w:rPr>
        <w:t>分离项目评审专家均由评审专家组成。</w:t>
      </w:r>
      <w:r>
        <w:rPr>
          <w:rFonts w:hint="eastAsia" w:ascii="宋体" w:hAnsi="宋体"/>
          <w:szCs w:val="21"/>
          <w:highlight w:val="none"/>
        </w:rPr>
        <w:t>评审专家一般是从深圳市政府采购评审专家库中随机抽取。采购人代表须持本单位签发的《评审授权书》参加评审。</w:t>
      </w:r>
      <w:r>
        <w:rPr>
          <w:rFonts w:hint="eastAsia" w:ascii="宋体" w:hAnsi="宋体"/>
          <w:color w:val="FF0000"/>
          <w:szCs w:val="21"/>
          <w:highlight w:val="none"/>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B922E1F">
      <w:pPr>
        <w:ind w:firstLine="420" w:firstLineChars="200"/>
        <w:rPr>
          <w:rFonts w:ascii="宋体" w:hAnsi="宋体"/>
          <w:szCs w:val="21"/>
          <w:highlight w:val="none"/>
        </w:rPr>
      </w:pPr>
      <w:r>
        <w:rPr>
          <w:rFonts w:hint="eastAsia" w:ascii="宋体" w:hAnsi="宋体"/>
          <w:szCs w:val="21"/>
          <w:highlight w:val="none"/>
        </w:rPr>
        <w:t>29.2评审定标应当遵循公平、公正、科学、择优的原则。</w:t>
      </w:r>
    </w:p>
    <w:p w14:paraId="09528FA9">
      <w:pPr>
        <w:ind w:firstLine="420" w:firstLineChars="200"/>
        <w:rPr>
          <w:rFonts w:ascii="宋体" w:hAnsi="宋体"/>
          <w:szCs w:val="21"/>
          <w:highlight w:val="none"/>
        </w:rPr>
      </w:pPr>
      <w:r>
        <w:rPr>
          <w:rFonts w:hint="eastAsia" w:ascii="宋体" w:hAnsi="宋体"/>
          <w:szCs w:val="21"/>
          <w:highlight w:val="none"/>
        </w:rPr>
        <w:t>29.3评审活动依法进行，任何单位和个人不得非法干预评标过程和结果。</w:t>
      </w:r>
    </w:p>
    <w:p w14:paraId="5DF400C4">
      <w:pPr>
        <w:ind w:firstLine="420" w:firstLineChars="200"/>
        <w:rPr>
          <w:rFonts w:ascii="宋体" w:hAnsi="宋体"/>
          <w:szCs w:val="21"/>
        </w:rPr>
      </w:pPr>
      <w:r>
        <w:rPr>
          <w:rFonts w:hint="eastAsia" w:ascii="宋体" w:hAnsi="宋体"/>
          <w:szCs w:val="21"/>
          <w:highlight w:val="none"/>
        </w:rPr>
        <w:t>29.4评审过程中不允许违背评标程序或采用招标文件未载明的</w:t>
      </w:r>
      <w:r>
        <w:rPr>
          <w:rFonts w:hint="eastAsia" w:ascii="宋体" w:hAnsi="宋体"/>
          <w:szCs w:val="21"/>
        </w:rPr>
        <w:t>评标方法或评标因素进行评标。</w:t>
      </w:r>
    </w:p>
    <w:p w14:paraId="28FA697C">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22670CEB">
      <w:pPr>
        <w:ind w:firstLine="420" w:firstLineChars="200"/>
        <w:rPr>
          <w:rFonts w:ascii="黑体" w:hAnsi="宋体" w:eastAsia="黑体"/>
          <w:szCs w:val="21"/>
        </w:rPr>
      </w:pPr>
      <w:r>
        <w:rPr>
          <w:rFonts w:hint="eastAsia" w:ascii="黑体" w:hAnsi="宋体" w:eastAsia="黑体"/>
          <w:szCs w:val="21"/>
        </w:rPr>
        <w:t>30．向评审委员会提供的资料</w:t>
      </w:r>
    </w:p>
    <w:p w14:paraId="32887156">
      <w:pPr>
        <w:ind w:firstLine="420" w:firstLineChars="200"/>
        <w:rPr>
          <w:rFonts w:ascii="宋体" w:hAnsi="宋体"/>
          <w:szCs w:val="21"/>
        </w:rPr>
      </w:pPr>
      <w:r>
        <w:rPr>
          <w:rFonts w:hint="eastAsia" w:ascii="宋体" w:hAnsi="宋体"/>
          <w:szCs w:val="21"/>
        </w:rPr>
        <w:t>30.1公开发布的招标文件，包括图纸、服务清单、答疑文件等；</w:t>
      </w:r>
    </w:p>
    <w:p w14:paraId="0DC2D6F4">
      <w:pPr>
        <w:ind w:firstLine="420" w:firstLineChars="200"/>
        <w:rPr>
          <w:rFonts w:ascii="宋体" w:hAnsi="宋体"/>
          <w:szCs w:val="21"/>
        </w:rPr>
      </w:pPr>
      <w:r>
        <w:rPr>
          <w:rFonts w:hint="eastAsia" w:ascii="宋体" w:hAnsi="宋体"/>
          <w:szCs w:val="21"/>
        </w:rPr>
        <w:t>30.2其他评标必须的资料。</w:t>
      </w:r>
    </w:p>
    <w:p w14:paraId="465C19BF">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0AA9A345">
      <w:pPr>
        <w:ind w:firstLine="420" w:firstLineChars="200"/>
        <w:rPr>
          <w:rFonts w:ascii="宋体" w:hAnsi="宋体"/>
          <w:szCs w:val="21"/>
        </w:rPr>
      </w:pPr>
      <w:r>
        <w:rPr>
          <w:rFonts w:hint="eastAsia" w:ascii="宋体" w:hAnsi="宋体"/>
          <w:szCs w:val="21"/>
        </w:rPr>
        <w:t>（1）招标的目的；</w:t>
      </w:r>
    </w:p>
    <w:p w14:paraId="43295F18">
      <w:pPr>
        <w:ind w:firstLine="420" w:firstLineChars="200"/>
        <w:rPr>
          <w:rFonts w:ascii="宋体" w:hAnsi="宋体"/>
          <w:szCs w:val="21"/>
        </w:rPr>
      </w:pPr>
      <w:r>
        <w:rPr>
          <w:rFonts w:hint="eastAsia" w:ascii="宋体" w:hAnsi="宋体"/>
          <w:szCs w:val="21"/>
        </w:rPr>
        <w:t>（2）招标项目需求的范围和性质；</w:t>
      </w:r>
    </w:p>
    <w:p w14:paraId="381BABC5">
      <w:pPr>
        <w:ind w:firstLine="420" w:firstLineChars="200"/>
        <w:rPr>
          <w:rFonts w:ascii="宋体" w:hAnsi="宋体"/>
          <w:szCs w:val="21"/>
        </w:rPr>
      </w:pPr>
      <w:r>
        <w:rPr>
          <w:rFonts w:hint="eastAsia" w:ascii="宋体" w:hAnsi="宋体"/>
          <w:szCs w:val="21"/>
        </w:rPr>
        <w:t>（3）招标文件规定的投标人的资格、财政预算限额、商务条款；</w:t>
      </w:r>
    </w:p>
    <w:p w14:paraId="5962B252">
      <w:pPr>
        <w:ind w:firstLine="420" w:firstLineChars="200"/>
        <w:rPr>
          <w:rFonts w:ascii="宋体" w:hAnsi="宋体"/>
          <w:szCs w:val="21"/>
        </w:rPr>
      </w:pPr>
      <w:r>
        <w:rPr>
          <w:rFonts w:hint="eastAsia" w:ascii="宋体" w:hAnsi="宋体"/>
          <w:szCs w:val="21"/>
        </w:rPr>
        <w:t>（4）招标文件规定的评标程序、评标方法和评标因素；</w:t>
      </w:r>
    </w:p>
    <w:p w14:paraId="047F53B2">
      <w:pPr>
        <w:ind w:firstLine="420" w:firstLineChars="200"/>
        <w:rPr>
          <w:rFonts w:ascii="宋体" w:hAnsi="宋体"/>
          <w:szCs w:val="21"/>
        </w:rPr>
      </w:pPr>
      <w:r>
        <w:rPr>
          <w:rFonts w:hint="eastAsia" w:ascii="宋体" w:hAnsi="宋体"/>
          <w:szCs w:val="21"/>
        </w:rPr>
        <w:t>（5）招标文件所列示的资格性审查表及符合性审查表。</w:t>
      </w:r>
    </w:p>
    <w:p w14:paraId="01A0B098">
      <w:pPr>
        <w:ind w:firstLine="420" w:firstLineChars="200"/>
        <w:rPr>
          <w:rFonts w:ascii="黑体" w:hAnsi="宋体" w:eastAsia="黑体"/>
          <w:szCs w:val="21"/>
        </w:rPr>
      </w:pPr>
      <w:r>
        <w:rPr>
          <w:rFonts w:hint="eastAsia" w:ascii="黑体" w:hAnsi="宋体" w:eastAsia="黑体"/>
          <w:szCs w:val="21"/>
        </w:rPr>
        <w:t>31．独立评审</w:t>
      </w:r>
    </w:p>
    <w:p w14:paraId="63181C27">
      <w:pPr>
        <w:ind w:firstLine="420" w:firstLineChars="200"/>
        <w:rPr>
          <w:rFonts w:ascii="宋体" w:hAnsi="宋体"/>
          <w:bCs/>
          <w:szCs w:val="21"/>
        </w:rPr>
      </w:pPr>
      <w:r>
        <w:rPr>
          <w:rFonts w:hint="eastAsia" w:ascii="宋体" w:hAnsi="宋体"/>
          <w:bCs/>
          <w:szCs w:val="21"/>
        </w:rPr>
        <w:t>31.1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6E21620">
      <w:pPr>
        <w:ind w:firstLine="411" w:firstLineChars="196"/>
        <w:rPr>
          <w:rFonts w:ascii="宋体" w:hAnsi="宋体"/>
          <w:bCs/>
          <w:szCs w:val="21"/>
        </w:rPr>
      </w:pPr>
    </w:p>
    <w:p w14:paraId="0A5424CC">
      <w:pPr>
        <w:pStyle w:val="80"/>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评审程序及评审方法</w:t>
      </w:r>
    </w:p>
    <w:p w14:paraId="734FBE81">
      <w:pPr>
        <w:ind w:firstLine="420" w:firstLineChars="200"/>
        <w:rPr>
          <w:rFonts w:ascii="黑体" w:hAnsi="宋体" w:eastAsia="黑体"/>
          <w:szCs w:val="21"/>
        </w:rPr>
      </w:pPr>
      <w:r>
        <w:rPr>
          <w:rFonts w:hint="eastAsia" w:ascii="黑体" w:hAnsi="宋体" w:eastAsia="黑体"/>
          <w:szCs w:val="21"/>
        </w:rPr>
        <w:t>32．投标文件初审</w:t>
      </w:r>
    </w:p>
    <w:p w14:paraId="68C92805">
      <w:pPr>
        <w:ind w:firstLine="420" w:firstLineChars="200"/>
        <w:rPr>
          <w:rFonts w:ascii="宋体" w:hAnsi="宋体"/>
          <w:szCs w:val="21"/>
        </w:rPr>
      </w:pPr>
      <w:r>
        <w:rPr>
          <w:rFonts w:hint="eastAsia" w:ascii="宋体" w:hAnsi="宋体"/>
          <w:szCs w:val="21"/>
        </w:rPr>
        <w:t>32.1投标文件初审包括资格性审查和符合性审查。</w:t>
      </w:r>
    </w:p>
    <w:p w14:paraId="40750F2B">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54942D23">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3E9E1F5B">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27592688">
      <w:pPr>
        <w:ind w:firstLine="420" w:firstLineChars="200"/>
        <w:rPr>
          <w:rFonts w:ascii="宋体" w:hAnsi="宋体"/>
          <w:bCs/>
          <w:szCs w:val="21"/>
        </w:rPr>
      </w:pPr>
      <w:r>
        <w:rPr>
          <w:rFonts w:hint="eastAsia" w:ascii="宋体" w:hAnsi="宋体"/>
          <w:bCs/>
          <w:szCs w:val="21"/>
        </w:rPr>
        <w:t>32.3 投标文件初审中关于供应商家数的计算:</w:t>
      </w:r>
    </w:p>
    <w:p w14:paraId="23631F55">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85198B9">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8CB1833">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388B034B">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57E0ED71">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610656A">
      <w:pPr>
        <w:ind w:firstLine="420" w:firstLineChars="200"/>
        <w:rPr>
          <w:szCs w:val="21"/>
        </w:rPr>
      </w:pPr>
      <w:r>
        <w:rPr>
          <w:rFonts w:hint="eastAsia" w:ascii="宋体" w:hAnsi="宋体"/>
          <w:szCs w:val="21"/>
        </w:rPr>
        <w:t>32.4.2</w:t>
      </w:r>
      <w:r>
        <w:rPr>
          <w:rFonts w:hint="eastAsia"/>
          <w:szCs w:val="21"/>
        </w:rPr>
        <w:t>不同投标人委托同一单位或者个人办理投标事宜；</w:t>
      </w:r>
    </w:p>
    <w:p w14:paraId="1CEE4F46">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303F8347">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016BB846">
      <w:pPr>
        <w:ind w:firstLine="420" w:firstLineChars="200"/>
        <w:rPr>
          <w:rFonts w:ascii="宋体" w:hAnsi="宋体"/>
          <w:szCs w:val="21"/>
        </w:rPr>
      </w:pPr>
      <w:r>
        <w:rPr>
          <w:rFonts w:hint="eastAsia" w:ascii="宋体" w:hAnsi="宋体"/>
          <w:szCs w:val="21"/>
        </w:rPr>
        <w:t>32.4.5不同投标供应商的投标文件或部分投标文件相互混装；</w:t>
      </w:r>
    </w:p>
    <w:p w14:paraId="6F046183">
      <w:pPr>
        <w:ind w:firstLine="420" w:firstLineChars="200"/>
        <w:rPr>
          <w:rFonts w:ascii="宋体" w:hAnsi="宋体"/>
          <w:szCs w:val="21"/>
        </w:rPr>
      </w:pPr>
      <w:r>
        <w:rPr>
          <w:rFonts w:hint="eastAsia" w:ascii="宋体" w:hAnsi="宋体"/>
          <w:szCs w:val="21"/>
        </w:rPr>
        <w:t>32.4.6投标供应商之间相互约定给予未中标的供应商利益补偿；</w:t>
      </w:r>
    </w:p>
    <w:p w14:paraId="231D8E6C">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7C071EDA">
      <w:pPr>
        <w:ind w:firstLine="420" w:firstLineChars="200"/>
        <w:rPr>
          <w:rFonts w:ascii="宋体" w:hAnsi="宋体"/>
          <w:szCs w:val="21"/>
        </w:rPr>
      </w:pPr>
      <w:r>
        <w:rPr>
          <w:rFonts w:hint="eastAsia" w:ascii="宋体" w:hAnsi="宋体"/>
          <w:szCs w:val="21"/>
        </w:rPr>
        <w:t>32.4.8不同投标供应商的投标文件内容存在非正常一致；</w:t>
      </w:r>
    </w:p>
    <w:p w14:paraId="4F92679E">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4E7B59EE">
      <w:pPr>
        <w:ind w:firstLine="420" w:firstLineChars="200"/>
        <w:rPr>
          <w:rFonts w:ascii="宋体" w:hAnsi="宋体"/>
          <w:szCs w:val="21"/>
        </w:rPr>
      </w:pPr>
      <w:r>
        <w:rPr>
          <w:rFonts w:hint="eastAsia" w:ascii="宋体" w:hAnsi="宋体"/>
          <w:szCs w:val="21"/>
        </w:rPr>
        <w:t>32.4.10主管部门依照法律、法规认定的其他情形。</w:t>
      </w:r>
    </w:p>
    <w:p w14:paraId="651101F7">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2AFE2659">
      <w:pPr>
        <w:ind w:firstLine="420" w:firstLineChars="200"/>
        <w:rPr>
          <w:rFonts w:ascii="黑体" w:hAnsi="宋体" w:eastAsia="黑体"/>
          <w:szCs w:val="21"/>
        </w:rPr>
      </w:pPr>
      <w:r>
        <w:rPr>
          <w:rFonts w:hint="eastAsia" w:ascii="黑体" w:hAnsi="宋体" w:eastAsia="黑体"/>
          <w:szCs w:val="21"/>
        </w:rPr>
        <w:t>33．澄清有关问题</w:t>
      </w:r>
    </w:p>
    <w:p w14:paraId="32C27FE1">
      <w:pPr>
        <w:ind w:firstLine="420" w:firstLineChars="200"/>
        <w:rPr>
          <w:rFonts w:ascii="宋体" w:hAnsi="宋体"/>
          <w:szCs w:val="21"/>
        </w:rPr>
      </w:pPr>
      <w:bookmarkStart w:id="67" w:name="_Hlk71407321"/>
      <w:r>
        <w:rPr>
          <w:rFonts w:hint="eastAsia" w:ascii="宋体" w:hAnsi="宋体"/>
          <w:szCs w:val="21"/>
        </w:rPr>
        <w:t>33.1对招标文件中描述有歧义或前后不一致的地方（不含</w:t>
      </w:r>
      <w:r>
        <w:rPr>
          <w:rFonts w:hint="eastAsia"/>
          <w:szCs w:val="21"/>
        </w:rPr>
        <w:t>招标文件存在歧义、重大缺陷导致评审工作无法进行的情况）</w:t>
      </w:r>
      <w:r>
        <w:rPr>
          <w:rFonts w:hint="eastAsia" w:ascii="宋体" w:hAnsi="宋体"/>
          <w:szCs w:val="21"/>
        </w:rPr>
        <w:t>，评审委员会有权进行评判，但对同一条款的评判应适用于每个投标人。</w:t>
      </w:r>
      <w:bookmarkEnd w:id="67"/>
    </w:p>
    <w:p w14:paraId="53C04815">
      <w:pPr>
        <w:ind w:firstLine="420" w:firstLineChars="200"/>
        <w:rPr>
          <w:rFonts w:ascii="宋体" w:hAnsi="宋体"/>
          <w:szCs w:val="21"/>
        </w:rPr>
      </w:pPr>
      <w:r>
        <w:rPr>
          <w:rFonts w:hint="eastAsia" w:ascii="宋体" w:hAnsi="宋体"/>
          <w:szCs w:val="21"/>
        </w:rPr>
        <w:t>33.2</w:t>
      </w:r>
      <w:r>
        <w:rPr>
          <w:rFonts w:hint="eastAsia"/>
          <w:szCs w:val="21"/>
        </w:rPr>
        <w:t>评审委员会发现招标文件存在歧义、重大缺陷导致评审工作</w:t>
      </w:r>
      <w:r>
        <w:rPr>
          <w:rFonts w:hint="eastAsia"/>
          <w:szCs w:val="21"/>
          <w:highlight w:val="none"/>
        </w:rPr>
        <w:t>无法进行，或者招标文件内容违反国家有关强制性规定的，应当停止评审工作，与</w:t>
      </w:r>
      <w:r>
        <w:rPr>
          <w:rFonts w:hint="eastAsia" w:ascii="宋体" w:hAnsi="宋体"/>
          <w:szCs w:val="21"/>
          <w:highlight w:val="none"/>
        </w:rPr>
        <w:t>采购代理机构</w:t>
      </w:r>
      <w:r>
        <w:rPr>
          <w:rFonts w:hint="eastAsia"/>
          <w:szCs w:val="21"/>
          <w:highlight w:val="none"/>
        </w:rPr>
        <w:t>沟通并作书面记录。经确认后，项目应当修改招标文件，重新组织采购</w:t>
      </w:r>
      <w:r>
        <w:rPr>
          <w:rFonts w:hint="eastAsia"/>
          <w:szCs w:val="21"/>
        </w:rPr>
        <w:t>活动。</w:t>
      </w:r>
    </w:p>
    <w:p w14:paraId="4AEC0EB5">
      <w:pPr>
        <w:ind w:firstLine="420" w:firstLineChars="200"/>
        <w:rPr>
          <w:rFonts w:ascii="宋体" w:hAnsi="宋体"/>
          <w:szCs w:val="21"/>
        </w:rPr>
      </w:pPr>
      <w:r>
        <w:rPr>
          <w:rFonts w:hint="eastAsia" w:ascii="宋体" w:hAnsi="宋体"/>
          <w:szCs w:val="21"/>
        </w:rPr>
        <w:t>33.3对于投标文件中含义不明确、同类问题表述不一致或者有明显文字和计算错误的内容，评审委员会应当以书面形式要求投标人作出必要的澄清、说明或者补正。</w:t>
      </w:r>
    </w:p>
    <w:p w14:paraId="03A1D9ED">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DC35574">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0FB6A48">
      <w:pPr>
        <w:ind w:firstLine="420" w:firstLineChars="200"/>
        <w:rPr>
          <w:rFonts w:ascii="黑体" w:hAnsi="宋体" w:eastAsia="黑体"/>
          <w:szCs w:val="21"/>
        </w:rPr>
      </w:pPr>
      <w:bookmarkStart w:id="68" w:name="_Toc73521581"/>
      <w:bookmarkStart w:id="69" w:name="_Toc100052400"/>
      <w:bookmarkStart w:id="70" w:name="_Toc73518151"/>
      <w:bookmarkStart w:id="71" w:name="_Toc73517673"/>
      <w:bookmarkStart w:id="72" w:name="_Toc73521669"/>
      <w:r>
        <w:rPr>
          <w:rFonts w:hint="eastAsia" w:ascii="黑体" w:hAnsi="宋体" w:eastAsia="黑体"/>
          <w:szCs w:val="21"/>
        </w:rPr>
        <w:t>34．错误的修正</w:t>
      </w:r>
      <w:bookmarkEnd w:id="68"/>
      <w:bookmarkEnd w:id="69"/>
      <w:bookmarkEnd w:id="70"/>
      <w:bookmarkEnd w:id="71"/>
      <w:bookmarkEnd w:id="72"/>
    </w:p>
    <w:p w14:paraId="59911861">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63BA480E">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505A9F2D">
      <w:pPr>
        <w:ind w:firstLine="420" w:firstLineChars="200"/>
        <w:rPr>
          <w:rFonts w:ascii="宋体" w:hAnsi="宋体"/>
          <w:szCs w:val="21"/>
        </w:rPr>
      </w:pPr>
      <w:r>
        <w:rPr>
          <w:rFonts w:hint="eastAsia" w:ascii="宋体" w:hAnsi="宋体"/>
          <w:szCs w:val="21"/>
        </w:rPr>
        <w:t>34.2大写金额和小写金额不一致的，以大写金额为准；</w:t>
      </w:r>
    </w:p>
    <w:p w14:paraId="1BA8E5CE">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53194654">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73936734">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CFCD480">
      <w:pPr>
        <w:ind w:firstLine="420" w:firstLineChars="200"/>
        <w:rPr>
          <w:rFonts w:ascii="黑体" w:hAnsi="宋体" w:eastAsia="黑体"/>
          <w:szCs w:val="21"/>
        </w:rPr>
      </w:pPr>
      <w:r>
        <w:rPr>
          <w:rFonts w:hint="eastAsia" w:ascii="黑体" w:hAnsi="宋体" w:eastAsia="黑体"/>
          <w:szCs w:val="21"/>
        </w:rPr>
        <w:t>35．投标文件的比较与评价</w:t>
      </w:r>
    </w:p>
    <w:p w14:paraId="33276DF9">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F4626A">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54D0267">
      <w:pPr>
        <w:ind w:firstLine="420" w:firstLineChars="200"/>
        <w:rPr>
          <w:rFonts w:ascii="黑体" w:hAnsi="宋体" w:eastAsia="黑体"/>
          <w:szCs w:val="21"/>
        </w:rPr>
      </w:pPr>
      <w:r>
        <w:rPr>
          <w:rFonts w:hint="eastAsia" w:ascii="黑体" w:hAnsi="宋体" w:eastAsia="黑体"/>
          <w:szCs w:val="21"/>
        </w:rPr>
        <w:t>36. 实地考察或资料查验</w:t>
      </w:r>
    </w:p>
    <w:p w14:paraId="19D5FBC9">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FC204EF">
      <w:pPr>
        <w:ind w:firstLine="420" w:firstLineChars="200"/>
        <w:rPr>
          <w:rFonts w:ascii="黑体" w:hAnsi="宋体" w:eastAsia="黑体"/>
          <w:szCs w:val="21"/>
        </w:rPr>
      </w:pPr>
      <w:r>
        <w:rPr>
          <w:rFonts w:hint="eastAsia" w:ascii="黑体" w:hAnsi="宋体" w:eastAsia="黑体"/>
          <w:szCs w:val="21"/>
        </w:rPr>
        <w:t>37．评审方法</w:t>
      </w:r>
    </w:p>
    <w:p w14:paraId="186718C0">
      <w:pPr>
        <w:ind w:firstLine="413" w:firstLineChars="196"/>
        <w:rPr>
          <w:rFonts w:ascii="宋体" w:hAnsi="宋体"/>
          <w:b/>
          <w:bCs/>
          <w:szCs w:val="21"/>
        </w:rPr>
      </w:pPr>
      <w:r>
        <w:rPr>
          <w:rFonts w:hint="eastAsia" w:ascii="宋体" w:hAnsi="宋体"/>
          <w:b/>
          <w:bCs/>
          <w:szCs w:val="21"/>
        </w:rPr>
        <w:t>37.1.1最低价法</w:t>
      </w:r>
    </w:p>
    <w:p w14:paraId="4CAB6F50">
      <w:pPr>
        <w:ind w:firstLine="411" w:firstLineChars="196"/>
        <w:rPr>
          <w:rFonts w:hint="eastAsia" w:ascii="ˎ̥" w:hAnsi="ˎ̥"/>
          <w:lang w:eastAsia="zh-CN"/>
        </w:rPr>
      </w:pPr>
      <w:r>
        <w:rPr>
          <w:rFonts w:ascii="ˎ̥" w:hAnsi="ˎ̥"/>
        </w:rPr>
        <w:t>最低价法，</w:t>
      </w:r>
      <w:r>
        <w:rPr>
          <w:rFonts w:hint="eastAsia" w:ascii="ˎ̥" w:hAnsi="ˎ̥"/>
        </w:rPr>
        <w:t>是指投标文件满足招标文件全部实质性要求，且投标报价最低的投标人为中标候选人的评标方法</w:t>
      </w:r>
      <w:r>
        <w:rPr>
          <w:rFonts w:hint="eastAsia" w:ascii="ˎ̥" w:hAnsi="ˎ̥"/>
          <w:lang w:eastAsia="zh-CN"/>
        </w:rPr>
        <w:t>。</w:t>
      </w:r>
    </w:p>
    <w:p w14:paraId="500CCAA1">
      <w:pPr>
        <w:ind w:firstLine="411" w:firstLineChars="196"/>
        <w:rPr>
          <w:rFonts w:hint="eastAsia" w:ascii="ˎ̥" w:hAnsi="ˎ̥" w:eastAsia="宋体"/>
          <w:lang w:eastAsia="zh-CN"/>
        </w:rPr>
      </w:pPr>
      <w:r>
        <w:rPr>
          <w:rFonts w:hint="eastAsia" w:ascii="ˎ̥" w:hAnsi="ˎ̥"/>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0F4F9CDE">
      <w:pPr>
        <w:ind w:firstLine="413" w:firstLineChars="196"/>
        <w:rPr>
          <w:rFonts w:ascii="宋体" w:hAnsi="宋体"/>
          <w:b/>
          <w:bCs/>
          <w:szCs w:val="21"/>
        </w:rPr>
      </w:pPr>
      <w:r>
        <w:rPr>
          <w:rFonts w:hint="eastAsia" w:ascii="宋体" w:hAnsi="宋体"/>
          <w:b/>
          <w:bCs/>
          <w:szCs w:val="21"/>
        </w:rPr>
        <w:t>37.1.2综合评分法</w:t>
      </w:r>
    </w:p>
    <w:p w14:paraId="30FEE16F">
      <w:pPr>
        <w:ind w:firstLine="411" w:firstLineChars="196"/>
        <w:rPr>
          <w:rFonts w:hint="eastAsia" w:ascii="ˎ̥" w:hAnsi="ˎ̥"/>
          <w:lang w:eastAsia="zh-CN"/>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r>
        <w:rPr>
          <w:rFonts w:hint="eastAsia" w:ascii="ˎ̥" w:hAnsi="ˎ̥"/>
          <w:lang w:eastAsia="zh-CN"/>
        </w:rPr>
        <w:t>。</w:t>
      </w:r>
    </w:p>
    <w:p w14:paraId="65467475">
      <w:pPr>
        <w:ind w:firstLine="420" w:firstLineChars="200"/>
        <w:rPr>
          <w:rFonts w:hint="eastAsia" w:ascii="ˎ̥" w:hAnsi="ˎ̥"/>
          <w:lang w:eastAsia="zh-CN"/>
        </w:rPr>
      </w:pPr>
      <w:r>
        <w:rPr>
          <w:rFonts w:hint="eastAsia" w:ascii="ˎ̥" w:hAnsi="ˎ̥"/>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1567A9A5">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562AA51A">
      <w:pPr>
        <w:ind w:firstLine="422" w:firstLineChars="200"/>
        <w:rPr>
          <w:rFonts w:ascii="宋体" w:hAnsi="宋体"/>
          <w:b/>
          <w:bCs/>
          <w:szCs w:val="21"/>
        </w:rPr>
      </w:pPr>
      <w:r>
        <w:rPr>
          <w:rFonts w:hint="eastAsia" w:ascii="宋体" w:hAnsi="宋体"/>
          <w:b/>
          <w:bCs/>
          <w:szCs w:val="21"/>
        </w:rPr>
        <w:t>37.3重新评审的情形</w:t>
      </w:r>
    </w:p>
    <w:p w14:paraId="3A326CB4">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09CEA4C7">
      <w:pPr>
        <w:ind w:firstLine="420" w:firstLineChars="200"/>
        <w:rPr>
          <w:rFonts w:ascii="宋体" w:hAnsi="宋体" w:cs="宋体"/>
          <w:kern w:val="0"/>
          <w:szCs w:val="21"/>
        </w:rPr>
      </w:pPr>
      <w:r>
        <w:rPr>
          <w:rFonts w:hint="eastAsia" w:ascii="宋体" w:hAnsi="宋体" w:cs="宋体"/>
          <w:kern w:val="0"/>
          <w:szCs w:val="21"/>
        </w:rPr>
        <w:t>37.3.1分值汇总计算错误的；</w:t>
      </w:r>
    </w:p>
    <w:p w14:paraId="5EB30320">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0B875394">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3F2C1782">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77F2BCAA">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B11E75">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0EFDD24">
      <w:pPr>
        <w:ind w:firstLine="422" w:firstLineChars="200"/>
        <w:rPr>
          <w:rFonts w:ascii="宋体" w:hAnsi="宋体"/>
          <w:b/>
          <w:bCs/>
          <w:szCs w:val="21"/>
        </w:rPr>
      </w:pPr>
      <w:r>
        <w:rPr>
          <w:rFonts w:hint="eastAsia" w:ascii="宋体" w:hAnsi="宋体"/>
          <w:b/>
          <w:bCs/>
          <w:szCs w:val="21"/>
        </w:rPr>
        <w:t xml:space="preserve"> 37.4重新组建评审委员会的情形</w:t>
      </w:r>
    </w:p>
    <w:p w14:paraId="1BACD0BD">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1510B44">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59BA5E5">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113335B">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4A5867C1">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69DE2828">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884269E">
      <w:pPr>
        <w:ind w:firstLine="411" w:firstLineChars="196"/>
        <w:rPr>
          <w:rFonts w:ascii="宋体" w:hAnsi="宋体"/>
          <w:szCs w:val="21"/>
        </w:rPr>
      </w:pPr>
    </w:p>
    <w:p w14:paraId="3CE7BB83">
      <w:pPr>
        <w:pStyle w:val="80"/>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定标及公示</w:t>
      </w:r>
    </w:p>
    <w:p w14:paraId="29C025A5">
      <w:pPr>
        <w:ind w:firstLine="420" w:firstLineChars="200"/>
        <w:rPr>
          <w:rFonts w:ascii="黑体" w:hAnsi="宋体" w:eastAsia="黑体"/>
          <w:szCs w:val="21"/>
        </w:rPr>
      </w:pPr>
      <w:r>
        <w:rPr>
          <w:rFonts w:hint="eastAsia" w:ascii="黑体" w:hAnsi="宋体" w:eastAsia="黑体"/>
          <w:szCs w:val="21"/>
        </w:rPr>
        <w:t>38．定标方法</w:t>
      </w:r>
    </w:p>
    <w:p w14:paraId="6F18CEE4">
      <w:pPr>
        <w:ind w:firstLine="420" w:firstLineChars="200"/>
        <w:rPr>
          <w:rFonts w:ascii="宋体" w:hAnsi="宋体"/>
          <w:szCs w:val="21"/>
        </w:rPr>
      </w:pPr>
      <w:bookmarkStart w:id="73" w:name="_Hlk73782795"/>
      <w:r>
        <w:rPr>
          <w:rFonts w:hint="eastAsia" w:ascii="宋体" w:hAnsi="宋体"/>
          <w:szCs w:val="21"/>
        </w:rPr>
        <w:t>38.1非评定分离项目定标方法</w:t>
      </w:r>
    </w:p>
    <w:p w14:paraId="45D4151C">
      <w:pPr>
        <w:ind w:firstLine="420" w:firstLineChars="200"/>
        <w:rPr>
          <w:rFonts w:ascii="宋体" w:hAnsi="宋体"/>
          <w:szCs w:val="21"/>
          <w:highlight w:val="none"/>
        </w:rPr>
      </w:pPr>
      <w:r>
        <w:rPr>
          <w:rFonts w:hint="eastAsia" w:ascii="宋体" w:hAnsi="宋体"/>
          <w:szCs w:val="21"/>
        </w:rPr>
        <w:t>38.1.1评审委员会依据本项目招标文件所约定的评审方法进行评审</w:t>
      </w:r>
      <w:r>
        <w:rPr>
          <w:rFonts w:hint="eastAsia" w:ascii="宋体" w:hAnsi="宋体"/>
          <w:szCs w:val="21"/>
          <w:highlight w:val="none"/>
        </w:rPr>
        <w:t>和比较，向</w:t>
      </w:r>
      <w:r>
        <w:rPr>
          <w:rFonts w:hint="eastAsia" w:ascii="宋体" w:hAnsi="宋体"/>
          <w:szCs w:val="21"/>
          <w:highlight w:val="none"/>
          <w:lang w:val="en-US" w:eastAsia="zh-CN"/>
        </w:rPr>
        <w:t>采购代理机构</w:t>
      </w:r>
      <w:r>
        <w:rPr>
          <w:rFonts w:hint="eastAsia" w:ascii="宋体" w:hAnsi="宋体"/>
          <w:szCs w:val="21"/>
          <w:highlight w:val="none"/>
        </w:rPr>
        <w:t>提交书面评审报告，并根据评审方法比较评价结果从优到劣进行排序，确定候选中标供应商。</w:t>
      </w:r>
    </w:p>
    <w:p w14:paraId="6BC80739">
      <w:pPr>
        <w:ind w:firstLine="420" w:firstLineChars="200"/>
        <w:rPr>
          <w:rFonts w:ascii="ˎ̥" w:hAnsi="ˎ̥"/>
          <w:szCs w:val="21"/>
        </w:rPr>
      </w:pPr>
      <w:r>
        <w:rPr>
          <w:rFonts w:hint="eastAsia" w:ascii="宋体" w:hAnsi="宋体"/>
          <w:szCs w:val="21"/>
        </w:rPr>
        <w:t>38.1.2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hint="eastAsia" w:ascii="ˎ̥" w:hAnsi="ˎ̥"/>
          <w:szCs w:val="21"/>
        </w:rPr>
        <w:t>。</w:t>
      </w:r>
    </w:p>
    <w:p w14:paraId="7856B531">
      <w:pPr>
        <w:ind w:firstLine="420" w:firstLineChars="200"/>
        <w:rPr>
          <w:rFonts w:hint="eastAsia" w:ascii="ˎ̥" w:hAnsi="ˎ̥"/>
          <w:szCs w:val="21"/>
        </w:rPr>
      </w:pPr>
      <w:r>
        <w:rPr>
          <w:rFonts w:hint="eastAsia" w:ascii="宋体" w:hAnsi="宋体"/>
          <w:szCs w:val="21"/>
        </w:rPr>
        <w:t>38.1.3采</w:t>
      </w:r>
      <w:r>
        <w:rPr>
          <w:rFonts w:hint="eastAsia" w:ascii="ˎ̥" w:hAnsi="ˎ̥"/>
          <w:szCs w:val="21"/>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2A2E13C4">
      <w:pPr>
        <w:ind w:firstLine="420" w:firstLineChars="200"/>
        <w:rPr>
          <w:rFonts w:ascii="宋体" w:hAnsi="宋体"/>
          <w:szCs w:val="21"/>
        </w:rPr>
      </w:pPr>
      <w:r>
        <w:rPr>
          <w:rFonts w:hint="eastAsia" w:ascii="宋体" w:hAnsi="宋体"/>
          <w:szCs w:val="21"/>
        </w:rPr>
        <w:t>38.2评定分离项目定标方法</w:t>
      </w:r>
    </w:p>
    <w:p w14:paraId="3D3384C7">
      <w:pPr>
        <w:ind w:firstLine="420" w:firstLineChars="200"/>
        <w:rPr>
          <w:rFonts w:ascii="宋体" w:hAnsi="宋体"/>
          <w:szCs w:val="21"/>
        </w:rPr>
      </w:pPr>
      <w:r>
        <w:rPr>
          <w:rFonts w:hint="eastAsia" w:ascii="宋体" w:hAnsi="宋体"/>
          <w:szCs w:val="21"/>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613E22">
      <w:pPr>
        <w:ind w:firstLine="420" w:firstLineChars="200"/>
        <w:rPr>
          <w:szCs w:val="21"/>
        </w:rPr>
      </w:pPr>
      <w:r>
        <w:rPr>
          <w:rFonts w:hint="eastAsia" w:ascii="宋体" w:hAnsi="宋体"/>
          <w:szCs w:val="21"/>
        </w:rPr>
        <w:t xml:space="preserve">38.2.2 </w:t>
      </w:r>
      <w:bookmarkStart w:id="74" w:name="_Hlk71469733"/>
      <w:r>
        <w:rPr>
          <w:rFonts w:hint="eastAsia"/>
          <w:szCs w:val="21"/>
        </w:rPr>
        <w:t>适用评定分离的采购项目，采用综合评分法评审。</w:t>
      </w:r>
      <w:r>
        <w:rPr>
          <w:rFonts w:hint="eastAsia" w:ascii="宋体" w:hAnsi="宋体"/>
          <w:szCs w:val="21"/>
        </w:rPr>
        <w:t>评审委员会按照评审结果，推荐</w:t>
      </w:r>
      <w:r>
        <w:rPr>
          <w:rFonts w:hint="eastAsia"/>
          <w:szCs w:val="21"/>
        </w:rPr>
        <w:t>三个合格的候选中标供应商。</w:t>
      </w:r>
    </w:p>
    <w:p w14:paraId="05774380">
      <w:pPr>
        <w:ind w:firstLine="420" w:firstLineChars="200"/>
        <w:rPr>
          <w:rFonts w:ascii="宋体" w:hAnsi="宋体"/>
          <w:szCs w:val="21"/>
          <w:highlight w:val="none"/>
        </w:rPr>
      </w:pPr>
      <w:r>
        <w:rPr>
          <w:rFonts w:hint="eastAsia" w:ascii="宋体" w:hAnsi="宋体"/>
          <w:szCs w:val="21"/>
        </w:rPr>
        <w:t>38.2</w:t>
      </w:r>
      <w:r>
        <w:rPr>
          <w:rFonts w:hint="eastAsia" w:ascii="宋体" w:hAnsi="宋体"/>
          <w:szCs w:val="21"/>
          <w:highlight w:val="none"/>
        </w:rPr>
        <w:t>.3</w:t>
      </w:r>
      <w:bookmarkStart w:id="75" w:name="_Hlk71469688"/>
      <w:r>
        <w:rPr>
          <w:rFonts w:hint="eastAsia"/>
          <w:szCs w:val="21"/>
          <w:highlight w:val="none"/>
        </w:rPr>
        <w:t>适用评定分离的采购项目，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74"/>
      <w:bookmarkEnd w:id="75"/>
    </w:p>
    <w:p w14:paraId="138270B6">
      <w:pPr>
        <w:ind w:firstLine="420" w:firstLineChars="200"/>
        <w:rPr>
          <w:rFonts w:ascii="宋体" w:hAnsi="宋体"/>
          <w:szCs w:val="21"/>
          <w:highlight w:val="none"/>
        </w:rPr>
      </w:pPr>
      <w:r>
        <w:rPr>
          <w:rFonts w:hint="eastAsia" w:ascii="宋体" w:hAnsi="宋体"/>
          <w:szCs w:val="21"/>
          <w:highlight w:val="none"/>
        </w:rPr>
        <w:t>38.2.4</w:t>
      </w:r>
      <w:r>
        <w:rPr>
          <w:rFonts w:hint="eastAsia" w:ascii="宋体" w:hAnsi="宋体"/>
          <w:szCs w:val="21"/>
          <w:highlight w:val="none"/>
          <w:lang w:val="en-US" w:eastAsia="zh-CN"/>
        </w:rPr>
        <w:t>采购代理机构</w:t>
      </w:r>
      <w:r>
        <w:rPr>
          <w:rFonts w:hint="eastAsia"/>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rFonts w:hint="eastAsia"/>
          <w:szCs w:val="21"/>
          <w:highlight w:val="none"/>
        </w:rPr>
        <w:t>采购人应当安排专人对定标过程进行书面记录，形成定标报告，作为采购文件的组成部分存档，并及时将定标结果反馈</w:t>
      </w:r>
      <w:r>
        <w:rPr>
          <w:rFonts w:hint="eastAsia" w:ascii="宋体" w:hAnsi="宋体"/>
          <w:szCs w:val="21"/>
          <w:highlight w:val="none"/>
          <w:lang w:val="en-US" w:eastAsia="zh-CN"/>
        </w:rPr>
        <w:t>采购代理机构</w:t>
      </w:r>
      <w:r>
        <w:rPr>
          <w:rFonts w:hint="eastAsia"/>
          <w:szCs w:val="21"/>
          <w:highlight w:val="none"/>
        </w:rPr>
        <w:t>。具体定标程序及相关要求以参照《深圳市财政局关于印发</w:t>
      </w:r>
      <w:r>
        <w:rPr>
          <w:rFonts w:hint="eastAsia" w:ascii="宋体" w:hAnsi="宋体"/>
          <w:szCs w:val="21"/>
          <w:highlight w:val="none"/>
        </w:rPr>
        <w:t>〈</w:t>
      </w:r>
      <w:r>
        <w:rPr>
          <w:rFonts w:hint="eastAsia"/>
          <w:szCs w:val="21"/>
          <w:highlight w:val="none"/>
        </w:rPr>
        <w:t>深圳市政府采购评标定标分离管理办法</w:t>
      </w:r>
      <w:r>
        <w:rPr>
          <w:rFonts w:hint="eastAsia" w:ascii="宋体" w:hAnsi="宋体"/>
          <w:szCs w:val="21"/>
          <w:highlight w:val="none"/>
        </w:rPr>
        <w:t>〉</w:t>
      </w:r>
      <w:r>
        <w:rPr>
          <w:rFonts w:hint="eastAsia"/>
          <w:szCs w:val="21"/>
          <w:highlight w:val="none"/>
        </w:rPr>
        <w:t>的通知》（深财规【</w:t>
      </w:r>
      <w:r>
        <w:rPr>
          <w:szCs w:val="21"/>
          <w:highlight w:val="none"/>
        </w:rPr>
        <w:t>2020</w:t>
      </w:r>
      <w:r>
        <w:rPr>
          <w:rFonts w:hint="eastAsia"/>
          <w:szCs w:val="21"/>
          <w:highlight w:val="none"/>
        </w:rPr>
        <w:t>】</w:t>
      </w:r>
      <w:r>
        <w:rPr>
          <w:szCs w:val="21"/>
          <w:highlight w:val="none"/>
        </w:rPr>
        <w:t>1</w:t>
      </w:r>
      <w:r>
        <w:rPr>
          <w:rFonts w:hint="eastAsia"/>
          <w:szCs w:val="21"/>
          <w:highlight w:val="none"/>
        </w:rPr>
        <w:t>号）执行。</w:t>
      </w:r>
    </w:p>
    <w:p w14:paraId="52ACD0F5">
      <w:pPr>
        <w:ind w:firstLine="420" w:firstLineChars="200"/>
        <w:rPr>
          <w:rFonts w:ascii="宋体" w:hAnsi="宋体"/>
          <w:szCs w:val="21"/>
        </w:rPr>
      </w:pPr>
      <w:r>
        <w:rPr>
          <w:rFonts w:hint="eastAsia" w:ascii="宋体" w:hAnsi="宋体"/>
          <w:szCs w:val="21"/>
          <w:highlight w:val="none"/>
        </w:rPr>
        <w:t>说明：采购人及投标供应商应按照上述方法提前做好</w:t>
      </w:r>
      <w:r>
        <w:rPr>
          <w:rFonts w:hint="eastAsia" w:ascii="宋体" w:hAnsi="宋体"/>
          <w:szCs w:val="21"/>
        </w:rPr>
        <w:t>相关准备。</w:t>
      </w:r>
    </w:p>
    <w:p w14:paraId="6E5F6493">
      <w:pPr>
        <w:ind w:firstLine="420" w:firstLineChars="200"/>
        <w:rPr>
          <w:rFonts w:ascii="宋体" w:hAnsi="宋体"/>
          <w:szCs w:val="21"/>
        </w:rPr>
      </w:pPr>
      <w:r>
        <w:rPr>
          <w:rFonts w:hint="eastAsia" w:ascii="宋体" w:hAnsi="宋体"/>
          <w:szCs w:val="21"/>
        </w:rPr>
        <w:t>38.3专用条款另有规定的，按专用条款相关要求定标。</w:t>
      </w:r>
      <w:bookmarkEnd w:id="73"/>
    </w:p>
    <w:p w14:paraId="393405A1">
      <w:pPr>
        <w:ind w:firstLine="420" w:firstLineChars="200"/>
        <w:rPr>
          <w:rFonts w:ascii="黑体" w:hAnsi="宋体" w:eastAsia="黑体"/>
          <w:szCs w:val="21"/>
        </w:rPr>
      </w:pPr>
      <w:r>
        <w:rPr>
          <w:rFonts w:hint="eastAsia" w:ascii="黑体" w:hAnsi="宋体" w:eastAsia="黑体"/>
          <w:szCs w:val="21"/>
        </w:rPr>
        <w:t>39．编写评审报告</w:t>
      </w:r>
    </w:p>
    <w:p w14:paraId="2494371A">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BD1886">
      <w:pPr>
        <w:ind w:firstLine="420" w:firstLineChars="200"/>
        <w:rPr>
          <w:rFonts w:ascii="黑体" w:hAnsi="宋体" w:eastAsia="黑体"/>
          <w:szCs w:val="21"/>
        </w:rPr>
      </w:pPr>
      <w:r>
        <w:rPr>
          <w:rFonts w:hint="eastAsia" w:ascii="黑体" w:hAnsi="宋体" w:eastAsia="黑体"/>
          <w:szCs w:val="21"/>
        </w:rPr>
        <w:t>40．中标公告</w:t>
      </w:r>
    </w:p>
    <w:p w14:paraId="6A25805B">
      <w:pPr>
        <w:ind w:firstLine="420" w:firstLineChars="200"/>
        <w:rPr>
          <w:rFonts w:ascii="宋体" w:hAnsi="宋体"/>
          <w:szCs w:val="21"/>
          <w:highlight w:val="none"/>
        </w:rPr>
      </w:pPr>
      <w:r>
        <w:rPr>
          <w:rFonts w:hint="eastAsia" w:ascii="宋体" w:hAnsi="宋体"/>
          <w:szCs w:val="21"/>
        </w:rPr>
        <w:t>40.1</w:t>
      </w:r>
      <w:bookmarkStart w:id="76" w:name="_Hlk72438709"/>
      <w:r>
        <w:rPr>
          <w:rFonts w:hint="eastAsia" w:ascii="宋体" w:hAnsi="宋体"/>
          <w:szCs w:val="21"/>
        </w:rPr>
        <w:t>为体现“公开、公</w:t>
      </w:r>
      <w:r>
        <w:rPr>
          <w:rFonts w:hint="eastAsia" w:ascii="宋体" w:hAnsi="宋体"/>
          <w:szCs w:val="21"/>
          <w:highlight w:val="none"/>
        </w:rPr>
        <w:t>平、公正”的原则，评审结束后经采购人确认（确定）评审结果，</w:t>
      </w:r>
      <w:r>
        <w:rPr>
          <w:rFonts w:hint="eastAsia" w:ascii="宋体" w:hAnsi="宋体"/>
          <w:szCs w:val="21"/>
          <w:highlight w:val="none"/>
          <w:lang w:val="en-US" w:eastAsia="zh-CN"/>
        </w:rPr>
        <w:t>采购代理机构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76"/>
      <w:bookmarkStart w:id="77" w:name="_Hlk72438751"/>
      <w:r>
        <w:rPr>
          <w:rFonts w:hint="eastAsia" w:ascii="宋体" w:hAnsi="宋体"/>
          <w:szCs w:val="21"/>
          <w:highlight w:val="none"/>
        </w:rPr>
        <w:t>供应商如对评审结果有异议，可在发布公示日期起七个工作日内向采购代理机构提出。监督电话：0755-86500050。若在公示期内未提出质疑，则视为认同该评审结果。</w:t>
      </w:r>
    </w:p>
    <w:bookmarkEnd w:id="77"/>
    <w:p w14:paraId="38F2C721">
      <w:pPr>
        <w:ind w:firstLine="420" w:firstLineChars="200"/>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6A11F8F7">
      <w:pPr>
        <w:ind w:firstLine="420" w:firstLineChars="200"/>
        <w:rPr>
          <w:rFonts w:ascii="黑体" w:hAnsi="宋体" w:eastAsia="黑体"/>
          <w:szCs w:val="21"/>
          <w:highlight w:val="none"/>
        </w:rPr>
      </w:pPr>
      <w:r>
        <w:rPr>
          <w:rFonts w:hint="eastAsia" w:ascii="黑体" w:hAnsi="宋体" w:eastAsia="黑体"/>
          <w:szCs w:val="21"/>
          <w:highlight w:val="none"/>
        </w:rPr>
        <w:t>41．中标通知书</w:t>
      </w:r>
    </w:p>
    <w:p w14:paraId="49A334E6">
      <w:pPr>
        <w:ind w:firstLine="420" w:firstLineChars="200"/>
        <w:rPr>
          <w:rFonts w:ascii="宋体" w:hAnsi="宋体"/>
          <w:szCs w:val="21"/>
          <w:highlight w:val="none"/>
        </w:rPr>
      </w:pPr>
      <w:r>
        <w:rPr>
          <w:rFonts w:hint="eastAsia" w:ascii="宋体" w:hAnsi="宋体"/>
          <w:szCs w:val="21"/>
          <w:highlight w:val="none"/>
        </w:rPr>
        <w:t>41.1</w:t>
      </w:r>
      <w:bookmarkStart w:id="78"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8"/>
    </w:p>
    <w:p w14:paraId="4AF5C217">
      <w:pPr>
        <w:ind w:firstLine="420" w:firstLineChars="200"/>
        <w:rPr>
          <w:rFonts w:ascii="宋体" w:hAnsi="宋体"/>
          <w:szCs w:val="21"/>
          <w:highlight w:val="none"/>
        </w:rPr>
      </w:pPr>
      <w:r>
        <w:rPr>
          <w:rFonts w:hint="eastAsia" w:ascii="宋体" w:hAnsi="宋体"/>
          <w:szCs w:val="21"/>
          <w:highlight w:val="none"/>
        </w:rPr>
        <w:t>41.2中标通知书是合同的重要组成部分。</w:t>
      </w:r>
    </w:p>
    <w:p w14:paraId="61B84B1A">
      <w:pPr>
        <w:ind w:firstLine="420" w:firstLineChars="200"/>
        <w:rPr>
          <w:rFonts w:ascii="宋体" w:hAnsi="宋体"/>
          <w:szCs w:val="21"/>
        </w:rPr>
      </w:pPr>
      <w:bookmarkStart w:id="79" w:name="_Hlk71407340"/>
      <w:r>
        <w:rPr>
          <w:rFonts w:hint="eastAsia" w:ascii="宋体" w:hAnsi="宋体"/>
          <w:szCs w:val="21"/>
          <w:highlight w:val="none"/>
        </w:rPr>
        <w:t>41.3因质疑投诉或其它原因导致项目结果变更或采购终止的，</w:t>
      </w:r>
      <w:r>
        <w:rPr>
          <w:rFonts w:hint="eastAsia" w:ascii="宋体" w:hAnsi="宋体"/>
          <w:szCs w:val="21"/>
          <w:highlight w:val="none"/>
          <w:lang w:val="en-US" w:eastAsia="zh-CN"/>
        </w:rPr>
        <w:t>采购代理机构</w:t>
      </w:r>
      <w:r>
        <w:rPr>
          <w:rFonts w:hint="eastAsia" w:ascii="宋体" w:hAnsi="宋体"/>
          <w:szCs w:val="21"/>
          <w:highlight w:val="none"/>
        </w:rPr>
        <w:t>有权</w:t>
      </w:r>
      <w:r>
        <w:rPr>
          <w:rFonts w:hint="eastAsia" w:ascii="宋体" w:hAnsi="宋体"/>
          <w:szCs w:val="21"/>
        </w:rPr>
        <w:t>吊销中标通知书。</w:t>
      </w:r>
      <w:bookmarkEnd w:id="79"/>
    </w:p>
    <w:p w14:paraId="60F1418B">
      <w:pPr>
        <w:pStyle w:val="80"/>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公开招标失败的后续处理</w:t>
      </w:r>
    </w:p>
    <w:p w14:paraId="46EAB3AF">
      <w:pPr>
        <w:ind w:firstLine="420" w:firstLineChars="200"/>
        <w:rPr>
          <w:rFonts w:ascii="黑体" w:hAnsi="宋体" w:eastAsia="黑体"/>
          <w:szCs w:val="21"/>
        </w:rPr>
      </w:pPr>
      <w:r>
        <w:rPr>
          <w:rFonts w:hint="eastAsia" w:ascii="黑体" w:hAnsi="宋体" w:eastAsia="黑体"/>
          <w:szCs w:val="21"/>
        </w:rPr>
        <w:t>42．公开招标失败的处理</w:t>
      </w:r>
    </w:p>
    <w:p w14:paraId="3841A5C3">
      <w:pPr>
        <w:ind w:firstLine="411" w:firstLineChars="196"/>
        <w:rPr>
          <w:rFonts w:ascii="宋体" w:hAnsi="宋体"/>
          <w:highlight w:val="none"/>
        </w:rPr>
      </w:pPr>
      <w:r>
        <w:rPr>
          <w:rFonts w:hint="eastAsia" w:ascii="宋体" w:hAnsi="宋体"/>
          <w:szCs w:val="21"/>
        </w:rPr>
        <w:t>42.1本项目公开招标过程中若由于投标</w:t>
      </w:r>
      <w:r>
        <w:rPr>
          <w:rFonts w:hint="eastAsia" w:ascii="宋体" w:hAnsi="宋体"/>
          <w:szCs w:val="21"/>
          <w:highlight w:val="none"/>
        </w:rPr>
        <w:t>截止后</w:t>
      </w:r>
      <w:r>
        <w:rPr>
          <w:rFonts w:hint="eastAsia" w:ascii="宋体" w:hAnsi="宋体"/>
          <w:highlight w:val="none"/>
        </w:rPr>
        <w:t>实际递交投标文件的供应商数量不足、经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szCs w:val="21"/>
          <w:highlight w:val="none"/>
          <w:lang w:val="en-US" w:eastAsia="zh-CN"/>
        </w:rPr>
        <w:t>采购代理机构</w:t>
      </w:r>
      <w:r>
        <w:rPr>
          <w:rFonts w:hint="eastAsia" w:ascii="宋体" w:hAnsi="宋体"/>
          <w:highlight w:val="none"/>
        </w:rPr>
        <w:t>重新组织采购。</w:t>
      </w:r>
    </w:p>
    <w:p w14:paraId="569D5D20">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02D20DF9">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141AAE86">
      <w:pPr>
        <w:ind w:firstLine="411" w:firstLineChars="196"/>
        <w:rPr>
          <w:rFonts w:ascii="宋体" w:hAnsi="宋体"/>
          <w:highlight w:val="none"/>
        </w:rPr>
      </w:pPr>
      <w:r>
        <w:rPr>
          <w:rFonts w:hint="eastAsia" w:ascii="宋体" w:hAnsi="宋体"/>
          <w:highlight w:val="none"/>
        </w:rPr>
        <w:t>（1）由</w:t>
      </w:r>
      <w:r>
        <w:rPr>
          <w:rFonts w:hint="eastAsia" w:ascii="宋体" w:hAnsi="宋体"/>
          <w:szCs w:val="21"/>
          <w:highlight w:val="none"/>
          <w:lang w:val="en-US" w:eastAsia="zh-CN"/>
        </w:rPr>
        <w:t>采购代理机构</w:t>
      </w:r>
      <w:r>
        <w:rPr>
          <w:rFonts w:hint="eastAsia" w:ascii="宋体" w:hAnsi="宋体"/>
          <w:highlight w:val="none"/>
        </w:rPr>
        <w:t>重新组织公开招标；</w:t>
      </w:r>
    </w:p>
    <w:p w14:paraId="542A44BF">
      <w:pPr>
        <w:ind w:firstLine="411" w:firstLineChars="196"/>
        <w:rPr>
          <w:rFonts w:ascii="宋体" w:hAnsi="宋体"/>
          <w:highlight w:val="none"/>
        </w:rPr>
      </w:pPr>
      <w:r>
        <w:rPr>
          <w:rFonts w:hint="eastAsia" w:ascii="宋体" w:hAnsi="宋体"/>
          <w:highlight w:val="cyan"/>
        </w:rPr>
        <w:t>（2）</w:t>
      </w:r>
      <w:r>
        <w:rPr>
          <w:rFonts w:hint="eastAsia" w:ascii="宋体" w:hAnsi="宋体"/>
          <w:highlight w:val="cyan"/>
          <w:lang w:val="en-US" w:eastAsia="zh-CN"/>
        </w:rPr>
        <w:t>如需要</w:t>
      </w:r>
      <w:r>
        <w:rPr>
          <w:rFonts w:hint="eastAsia" w:ascii="宋体" w:hAnsi="宋体"/>
          <w:highlight w:val="cyan"/>
        </w:rPr>
        <w:t>根据实际情况向采购人主管部门提出非公开招标方式申请</w:t>
      </w:r>
      <w:r>
        <w:rPr>
          <w:rFonts w:hint="eastAsia" w:ascii="宋体" w:hAnsi="宋体"/>
          <w:highlight w:val="cyan"/>
          <w:lang w:val="en-US" w:eastAsia="zh-CN"/>
        </w:rPr>
        <w:t>的</w:t>
      </w:r>
      <w:r>
        <w:rPr>
          <w:rFonts w:hint="eastAsia" w:ascii="宋体" w:hAnsi="宋体"/>
          <w:highlight w:val="cyan"/>
        </w:rPr>
        <w:t>，经</w:t>
      </w:r>
      <w:r>
        <w:rPr>
          <w:rFonts w:hint="eastAsia" w:ascii="宋体" w:hAnsi="宋体"/>
          <w:highlight w:val="none"/>
        </w:rPr>
        <w:t>采购人主管部门批准，公开招标失败采购项目可转为竞争性谈判或单一来源谈判方式采购。</w:t>
      </w:r>
    </w:p>
    <w:p w14:paraId="5E8988E3">
      <w:pPr>
        <w:ind w:firstLine="411" w:firstLineChars="196"/>
        <w:rPr>
          <w:rFonts w:ascii="宋体" w:hAnsi="宋体"/>
        </w:rPr>
      </w:pPr>
      <w:r>
        <w:rPr>
          <w:rFonts w:hint="eastAsia" w:ascii="宋体" w:hAnsi="宋体"/>
          <w:highlight w:val="none"/>
        </w:rPr>
        <w:t>42.4公开招标失败的采购项目重新组织公开招标，由</w:t>
      </w:r>
      <w:r>
        <w:rPr>
          <w:rFonts w:hint="eastAsia" w:ascii="宋体" w:hAnsi="宋体"/>
          <w:szCs w:val="21"/>
          <w:highlight w:val="none"/>
          <w:lang w:val="en-US" w:eastAsia="zh-CN"/>
        </w:rPr>
        <w:t>采购代理机构</w:t>
      </w:r>
      <w:r>
        <w:rPr>
          <w:rFonts w:hint="eastAsia" w:ascii="宋体" w:hAnsi="宋体"/>
          <w:highlight w:val="none"/>
        </w:rPr>
        <w:t>重</w:t>
      </w:r>
      <w:r>
        <w:rPr>
          <w:rFonts w:hint="eastAsia" w:ascii="宋体" w:hAnsi="宋体"/>
        </w:rPr>
        <w:t>新按公开招标流程组织采购活动。</w:t>
      </w:r>
    </w:p>
    <w:p w14:paraId="50B3A951">
      <w:pPr>
        <w:ind w:firstLine="420" w:firstLineChars="200"/>
        <w:rPr>
          <w:rFonts w:ascii="黑体" w:hAnsi="宋体" w:eastAsia="黑体"/>
          <w:sz w:val="24"/>
          <w:highlight w:val="cyan"/>
        </w:rPr>
      </w:pPr>
      <w:r>
        <w:rPr>
          <w:rFonts w:hint="eastAsia" w:ascii="宋体" w:hAnsi="宋体"/>
          <w:highlight w:val="cyan"/>
        </w:rPr>
        <w:t>42.5公开招标失败的采购项目转为竞争性谈判或单一来源谈判方式采购的，按规定要求组织自行采购工作。</w:t>
      </w:r>
    </w:p>
    <w:p w14:paraId="39428B19">
      <w:pPr>
        <w:pStyle w:val="80"/>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80" w:name="_Hlk72439043"/>
      <w:r>
        <w:rPr>
          <w:rFonts w:hint="eastAsia" w:ascii="Cambria" w:hAnsi="Cambria" w:cs="宋体"/>
          <w:b/>
          <w:bCs/>
          <w:sz w:val="28"/>
          <w:szCs w:val="28"/>
        </w:rPr>
        <w:t>合同的授予与备案</w:t>
      </w:r>
      <w:bookmarkEnd w:id="80"/>
    </w:p>
    <w:p w14:paraId="1274F88B">
      <w:pPr>
        <w:ind w:firstLine="420" w:firstLineChars="200"/>
        <w:rPr>
          <w:rFonts w:ascii="黑体" w:hAnsi="宋体" w:eastAsia="黑体"/>
          <w:szCs w:val="21"/>
        </w:rPr>
      </w:pPr>
      <w:bookmarkStart w:id="81" w:name="_Toc73521674"/>
      <w:bookmarkStart w:id="82" w:name="_Toc73518157"/>
      <w:bookmarkStart w:id="83" w:name="_Toc100052408"/>
      <w:bookmarkStart w:id="84" w:name="_Toc73521586"/>
      <w:bookmarkStart w:id="85" w:name="_Toc73517679"/>
      <w:bookmarkStart w:id="86" w:name="_Hlk72439088"/>
      <w:r>
        <w:rPr>
          <w:rFonts w:hint="eastAsia" w:ascii="黑体" w:hAnsi="宋体" w:eastAsia="黑体"/>
          <w:szCs w:val="21"/>
        </w:rPr>
        <w:t>43．合同授予标准</w:t>
      </w:r>
      <w:bookmarkEnd w:id="81"/>
      <w:bookmarkEnd w:id="82"/>
      <w:bookmarkEnd w:id="83"/>
      <w:bookmarkEnd w:id="84"/>
      <w:bookmarkEnd w:id="85"/>
    </w:p>
    <w:p w14:paraId="7BE04C4D">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21E8898C">
      <w:pPr>
        <w:ind w:firstLine="420" w:firstLineChars="200"/>
        <w:rPr>
          <w:rFonts w:ascii="黑体" w:hAnsi="宋体" w:eastAsia="黑体"/>
          <w:szCs w:val="21"/>
          <w:highlight w:val="none"/>
        </w:rPr>
      </w:pPr>
      <w:bookmarkStart w:id="87" w:name="_Toc73518158"/>
      <w:bookmarkStart w:id="88" w:name="_Toc73517680"/>
      <w:bookmarkStart w:id="89" w:name="_Toc100052409"/>
      <w:bookmarkStart w:id="90" w:name="_Toc73521675"/>
      <w:bookmarkStart w:id="91" w:name="_Toc73521587"/>
      <w:r>
        <w:rPr>
          <w:rFonts w:hint="eastAsia" w:ascii="黑体" w:hAnsi="宋体" w:eastAsia="黑体"/>
          <w:szCs w:val="21"/>
        </w:rPr>
        <w:t>44．</w:t>
      </w:r>
      <w:bookmarkEnd w:id="87"/>
      <w:bookmarkEnd w:id="88"/>
      <w:bookmarkEnd w:id="89"/>
      <w:bookmarkEnd w:id="90"/>
      <w:bookmarkEnd w:id="91"/>
      <w:r>
        <w:rPr>
          <w:rFonts w:hint="eastAsia" w:ascii="黑体" w:hAnsi="宋体" w:eastAsia="黑体"/>
          <w:szCs w:val="21"/>
          <w:highlight w:val="none"/>
        </w:rPr>
        <w:t>接受和拒绝任何或所有投标的权力</w:t>
      </w:r>
    </w:p>
    <w:p w14:paraId="267834F2">
      <w:pPr>
        <w:ind w:firstLine="420" w:firstLineChars="200"/>
        <w:rPr>
          <w:rFonts w:ascii="宋体" w:hAnsi="宋体"/>
          <w:szCs w:val="21"/>
          <w:highlight w:val="none"/>
        </w:rPr>
      </w:pPr>
      <w:r>
        <w:rPr>
          <w:rFonts w:hint="eastAsia" w:ascii="宋体" w:hAnsi="宋体"/>
          <w:szCs w:val="21"/>
          <w:highlight w:val="none"/>
          <w:lang w:val="en-US" w:eastAsia="zh-CN"/>
        </w:rPr>
        <w:t>采购代理机构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099D0308">
      <w:pPr>
        <w:ind w:firstLine="420" w:firstLineChars="200"/>
        <w:rPr>
          <w:rFonts w:ascii="黑体" w:hAnsi="宋体" w:eastAsia="黑体"/>
          <w:szCs w:val="21"/>
        </w:rPr>
      </w:pPr>
      <w:bookmarkStart w:id="92" w:name="_Toc73521677"/>
      <w:bookmarkStart w:id="93" w:name="_Toc100052410"/>
      <w:bookmarkStart w:id="94" w:name="_Toc73517682"/>
      <w:bookmarkStart w:id="95" w:name="_Toc73518160"/>
      <w:bookmarkStart w:id="96" w:name="_Toc73521589"/>
      <w:r>
        <w:rPr>
          <w:rFonts w:hint="eastAsia" w:ascii="黑体" w:hAnsi="宋体" w:eastAsia="黑体"/>
          <w:szCs w:val="21"/>
        </w:rPr>
        <w:t>45．合同的签订</w:t>
      </w:r>
      <w:bookmarkEnd w:id="92"/>
      <w:bookmarkEnd w:id="93"/>
      <w:bookmarkEnd w:id="94"/>
      <w:bookmarkEnd w:id="95"/>
      <w:bookmarkEnd w:id="96"/>
    </w:p>
    <w:p w14:paraId="2F3A67C9">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E046A80">
      <w:pPr>
        <w:ind w:firstLine="420" w:firstLineChars="200"/>
        <w:rPr>
          <w:rFonts w:ascii="宋体" w:hAnsi="宋体"/>
          <w:szCs w:val="21"/>
        </w:rPr>
      </w:pPr>
      <w:r>
        <w:rPr>
          <w:rFonts w:hint="eastAsia" w:ascii="宋体" w:hAnsi="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szCs w:val="21"/>
        </w:rPr>
        <w:t>；</w:t>
      </w:r>
    </w:p>
    <w:p w14:paraId="321B4B00">
      <w:pPr>
        <w:ind w:firstLine="42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14:paraId="66BB9485">
      <w:pPr>
        <w:ind w:firstLine="420" w:firstLineChars="200"/>
        <w:rPr>
          <w:rFonts w:ascii="黑体" w:hAnsi="宋体" w:eastAsia="黑体"/>
          <w:szCs w:val="21"/>
        </w:rPr>
      </w:pPr>
      <w:bookmarkStart w:id="97" w:name="_Toc73521590"/>
      <w:bookmarkStart w:id="98" w:name="_Toc73518161"/>
      <w:bookmarkStart w:id="99" w:name="_Toc73517683"/>
      <w:bookmarkStart w:id="100" w:name="_Toc100052411"/>
      <w:bookmarkStart w:id="101" w:name="_Toc73521678"/>
      <w:r>
        <w:rPr>
          <w:rFonts w:hint="eastAsia" w:ascii="黑体" w:hAnsi="宋体" w:eastAsia="黑体"/>
          <w:szCs w:val="21"/>
        </w:rPr>
        <w:t>46．履约担保</w:t>
      </w:r>
      <w:bookmarkEnd w:id="97"/>
      <w:bookmarkEnd w:id="98"/>
      <w:bookmarkEnd w:id="99"/>
      <w:bookmarkEnd w:id="100"/>
      <w:bookmarkEnd w:id="101"/>
    </w:p>
    <w:p w14:paraId="2D12CE29">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50DFD030">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rFonts w:hint="eastAsia"/>
          <w:szCs w:val="21"/>
        </w:rPr>
        <w:t>中标人提交履约担保不是合同签订的前提条件，不要求中标人提供除法律、法规明确规定外的其他担保。</w:t>
      </w:r>
    </w:p>
    <w:p w14:paraId="0FA6E07A">
      <w:pPr>
        <w:ind w:firstLine="420" w:firstLineChars="200"/>
        <w:rPr>
          <w:rFonts w:ascii="黑体" w:hAnsi="宋体" w:eastAsia="黑体"/>
          <w:szCs w:val="21"/>
        </w:rPr>
      </w:pPr>
      <w:r>
        <w:rPr>
          <w:rFonts w:hint="eastAsia" w:ascii="黑体" w:hAnsi="宋体" w:eastAsia="黑体"/>
          <w:szCs w:val="21"/>
        </w:rPr>
        <w:t>47. 合同备案</w:t>
      </w:r>
    </w:p>
    <w:p w14:paraId="13C3184B">
      <w:pPr>
        <w:ind w:firstLine="420" w:firstLineChars="200"/>
        <w:rPr>
          <w:rFonts w:hint="eastAsia" w:ascii="黑体" w:hAnsi="宋体" w:eastAsia="黑体"/>
          <w:szCs w:val="21"/>
          <w:highlight w:val="cyan"/>
          <w:lang w:eastAsia="zh-CN"/>
        </w:rPr>
      </w:pPr>
      <w:r>
        <w:rPr>
          <w:rFonts w:hint="eastAsia" w:ascii="黑体" w:hAnsi="宋体" w:eastAsia="黑体"/>
          <w:szCs w:val="21"/>
          <w:highlight w:val="cyan"/>
        </w:rPr>
        <w:t>自行采购项目，无需办理政府采购合同备案</w:t>
      </w:r>
      <w:r>
        <w:rPr>
          <w:rFonts w:hint="eastAsia" w:ascii="黑体" w:hAnsi="宋体" w:eastAsia="黑体"/>
          <w:szCs w:val="21"/>
          <w:highlight w:val="cyan"/>
          <w:lang w:eastAsia="zh-CN"/>
        </w:rPr>
        <w:t>。</w:t>
      </w:r>
    </w:p>
    <w:p w14:paraId="085E37F2">
      <w:pPr>
        <w:ind w:firstLine="420" w:firstLineChars="200"/>
        <w:rPr>
          <w:rFonts w:ascii="黑体" w:hAnsi="宋体" w:eastAsia="黑体"/>
          <w:szCs w:val="21"/>
        </w:rPr>
      </w:pPr>
      <w:r>
        <w:rPr>
          <w:rFonts w:hint="eastAsia" w:ascii="黑体" w:hAnsi="宋体" w:eastAsia="黑体"/>
          <w:szCs w:val="21"/>
        </w:rPr>
        <w:t>48. 合同变更</w:t>
      </w:r>
    </w:p>
    <w:p w14:paraId="0492B479">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B7FE6C9">
      <w:pPr>
        <w:ind w:firstLine="420" w:firstLineChars="200"/>
        <w:rPr>
          <w:rFonts w:ascii="黑体" w:hAnsi="宋体" w:eastAsia="黑体"/>
          <w:szCs w:val="21"/>
        </w:rPr>
      </w:pPr>
      <w:r>
        <w:rPr>
          <w:rFonts w:hint="eastAsia" w:ascii="黑体" w:hAnsi="宋体" w:eastAsia="黑体"/>
          <w:szCs w:val="21"/>
        </w:rPr>
        <w:t>49. 项目验收</w:t>
      </w:r>
    </w:p>
    <w:p w14:paraId="2385E70E">
      <w:pPr>
        <w:widowControl/>
        <w:ind w:firstLine="420" w:firstLineChars="200"/>
        <w:jc w:val="left"/>
        <w:rPr>
          <w:rFonts w:ascii="宋体" w:hAnsi="宋体"/>
          <w:szCs w:val="21"/>
        </w:rPr>
      </w:pPr>
      <w:r>
        <w:rPr>
          <w:rFonts w:hint="eastAsia" w:ascii="宋体" w:hAnsi="宋体"/>
          <w:szCs w:val="21"/>
        </w:rPr>
        <w:t xml:space="preserve">49.1采购人应当按照招标文件和合同规定的标准和方法，及时组织验收。 </w:t>
      </w:r>
    </w:p>
    <w:p w14:paraId="78E699EA">
      <w:pPr>
        <w:ind w:firstLine="420" w:firstLineChars="200"/>
        <w:rPr>
          <w:rFonts w:ascii="黑体" w:hAnsi="宋体" w:eastAsia="黑体"/>
          <w:szCs w:val="21"/>
        </w:rPr>
      </w:pPr>
      <w:r>
        <w:rPr>
          <w:rFonts w:hint="eastAsia" w:ascii="黑体" w:hAnsi="宋体" w:eastAsia="黑体"/>
          <w:szCs w:val="21"/>
        </w:rPr>
        <w:t>50. 宣传</w:t>
      </w:r>
    </w:p>
    <w:p w14:paraId="02116F47">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3D4090A">
      <w:pPr>
        <w:ind w:firstLine="420" w:firstLineChars="200"/>
        <w:rPr>
          <w:rFonts w:ascii="宋体" w:hAnsi="宋体"/>
          <w:szCs w:val="21"/>
        </w:rPr>
      </w:pPr>
      <w:r>
        <w:rPr>
          <w:rFonts w:hint="eastAsia" w:ascii="宋体" w:hAnsi="宋体"/>
          <w:szCs w:val="21"/>
        </w:rPr>
        <w:t>a.名片、宣传册、广告标语等；</w:t>
      </w:r>
    </w:p>
    <w:p w14:paraId="3A319AE5">
      <w:pPr>
        <w:ind w:firstLine="420" w:firstLineChars="200"/>
        <w:rPr>
          <w:rFonts w:ascii="宋体" w:hAnsi="宋体"/>
          <w:szCs w:val="21"/>
        </w:rPr>
      </w:pPr>
      <w:r>
        <w:rPr>
          <w:rFonts w:hint="eastAsia" w:ascii="宋体" w:hAnsi="宋体"/>
          <w:szCs w:val="21"/>
        </w:rPr>
        <w:t>b.案例介绍、推广等；</w:t>
      </w:r>
    </w:p>
    <w:p w14:paraId="0A9B9230">
      <w:pPr>
        <w:ind w:firstLine="420" w:firstLineChars="200"/>
        <w:rPr>
          <w:rFonts w:ascii="宋体" w:hAnsi="宋体"/>
          <w:szCs w:val="21"/>
        </w:rPr>
      </w:pPr>
      <w:r>
        <w:rPr>
          <w:rFonts w:hint="eastAsia" w:ascii="宋体" w:hAnsi="宋体"/>
          <w:szCs w:val="21"/>
        </w:rPr>
        <w:t>c.工作人员向其他消费群体宣传。</w:t>
      </w:r>
    </w:p>
    <w:p w14:paraId="56ACCD48">
      <w:pPr>
        <w:ind w:firstLine="420" w:firstLineChars="200"/>
        <w:rPr>
          <w:rFonts w:ascii="黑体" w:hAnsi="宋体" w:eastAsia="黑体"/>
          <w:szCs w:val="21"/>
        </w:rPr>
      </w:pPr>
      <w:r>
        <w:rPr>
          <w:rFonts w:hint="eastAsia" w:ascii="黑体" w:hAnsi="宋体" w:eastAsia="黑体"/>
          <w:szCs w:val="21"/>
        </w:rPr>
        <w:t>51. 供应商违法责任</w:t>
      </w:r>
    </w:p>
    <w:p w14:paraId="0EE5CB4D">
      <w:pPr>
        <w:ind w:firstLine="420" w:firstLineChars="200"/>
        <w:rPr>
          <w:rFonts w:ascii="宋体" w:hAnsi="宋体"/>
          <w:szCs w:val="21"/>
        </w:rPr>
      </w:pPr>
      <w:r>
        <w:rPr>
          <w:rFonts w:hint="eastAsia" w:ascii="宋体" w:hAnsi="宋体"/>
          <w:szCs w:val="21"/>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AD97FE">
      <w:pPr>
        <w:ind w:firstLine="420" w:firstLineChars="200"/>
        <w:rPr>
          <w:rFonts w:ascii="宋体" w:hAnsi="宋体"/>
          <w:szCs w:val="21"/>
        </w:rPr>
      </w:pPr>
      <w:r>
        <w:rPr>
          <w:rFonts w:hint="eastAsia" w:ascii="宋体" w:hAnsi="宋体"/>
          <w:szCs w:val="21"/>
        </w:rPr>
        <w:t>（1）在采购活动中应当回避而未回避的；</w:t>
      </w:r>
    </w:p>
    <w:p w14:paraId="3D0F7AB2">
      <w:pPr>
        <w:ind w:firstLine="420" w:firstLineChars="200"/>
        <w:rPr>
          <w:rFonts w:ascii="宋体" w:hAnsi="宋体"/>
          <w:szCs w:val="21"/>
        </w:rPr>
      </w:pPr>
      <w:r>
        <w:rPr>
          <w:rFonts w:hint="eastAsia" w:ascii="宋体" w:hAnsi="宋体"/>
          <w:szCs w:val="21"/>
        </w:rPr>
        <w:t>（2）未按本条例规定签订、履行采购合同，造成严重后果的；</w:t>
      </w:r>
    </w:p>
    <w:p w14:paraId="5B756255">
      <w:pPr>
        <w:ind w:firstLine="420" w:firstLineChars="200"/>
        <w:rPr>
          <w:rFonts w:ascii="宋体" w:hAnsi="宋体"/>
          <w:szCs w:val="21"/>
        </w:rPr>
      </w:pPr>
      <w:r>
        <w:rPr>
          <w:rFonts w:hint="eastAsia" w:ascii="宋体" w:hAnsi="宋体"/>
          <w:szCs w:val="21"/>
        </w:rPr>
        <w:t>（3）隐瞒真实情况，提供虚假资料的；</w:t>
      </w:r>
    </w:p>
    <w:p w14:paraId="5BFFB02F">
      <w:pPr>
        <w:ind w:firstLine="420" w:firstLineChars="200"/>
        <w:rPr>
          <w:rFonts w:ascii="宋体" w:hAnsi="宋体"/>
          <w:szCs w:val="21"/>
        </w:rPr>
      </w:pPr>
      <w:r>
        <w:rPr>
          <w:rFonts w:hint="eastAsia" w:ascii="宋体" w:hAnsi="宋体"/>
          <w:szCs w:val="21"/>
        </w:rPr>
        <w:t>（4）以非法手段排斥其他供应商参与竞争的；</w:t>
      </w:r>
    </w:p>
    <w:p w14:paraId="46741D26">
      <w:pPr>
        <w:ind w:firstLine="420" w:firstLineChars="200"/>
        <w:rPr>
          <w:rFonts w:ascii="宋体" w:hAnsi="宋体"/>
          <w:szCs w:val="21"/>
        </w:rPr>
      </w:pPr>
      <w:r>
        <w:rPr>
          <w:rFonts w:hint="eastAsia" w:ascii="宋体" w:hAnsi="宋体"/>
          <w:szCs w:val="21"/>
        </w:rPr>
        <w:t>（5）与其他采购参加人串通投标的；</w:t>
      </w:r>
    </w:p>
    <w:p w14:paraId="39BE07BE">
      <w:pPr>
        <w:ind w:firstLine="420" w:firstLineChars="200"/>
        <w:rPr>
          <w:rFonts w:ascii="宋体" w:hAnsi="宋体"/>
          <w:szCs w:val="21"/>
        </w:rPr>
      </w:pPr>
      <w:r>
        <w:rPr>
          <w:rFonts w:hint="eastAsia" w:ascii="宋体" w:hAnsi="宋体"/>
          <w:szCs w:val="21"/>
        </w:rPr>
        <w:t>（6）恶意投诉的；</w:t>
      </w:r>
    </w:p>
    <w:p w14:paraId="043E282F">
      <w:pPr>
        <w:ind w:firstLine="420" w:firstLineChars="200"/>
        <w:rPr>
          <w:rFonts w:ascii="宋体" w:hAnsi="宋体"/>
          <w:szCs w:val="21"/>
        </w:rPr>
      </w:pPr>
      <w:r>
        <w:rPr>
          <w:rFonts w:hint="eastAsia" w:ascii="宋体" w:hAnsi="宋体"/>
          <w:szCs w:val="21"/>
        </w:rPr>
        <w:t>（7）向采购项目相关人行贿或者提供其他不当利益的；</w:t>
      </w:r>
    </w:p>
    <w:p w14:paraId="0CB3D9BA">
      <w:pPr>
        <w:ind w:firstLine="420" w:firstLineChars="200"/>
        <w:rPr>
          <w:rFonts w:ascii="宋体" w:hAnsi="宋体"/>
          <w:szCs w:val="21"/>
        </w:rPr>
      </w:pPr>
      <w:r>
        <w:rPr>
          <w:rFonts w:hint="eastAsia" w:ascii="宋体" w:hAnsi="宋体"/>
          <w:szCs w:val="21"/>
        </w:rPr>
        <w:t>（8）阻碍、抗拒主管部门监督检查的；</w:t>
      </w:r>
    </w:p>
    <w:p w14:paraId="64DB64D8">
      <w:pPr>
        <w:ind w:firstLine="420" w:firstLineChars="200"/>
        <w:rPr>
          <w:rFonts w:ascii="宋体" w:hAnsi="宋体"/>
          <w:szCs w:val="21"/>
        </w:rPr>
      </w:pPr>
      <w:r>
        <w:rPr>
          <w:rFonts w:hint="eastAsia" w:ascii="宋体" w:hAnsi="宋体"/>
          <w:szCs w:val="21"/>
        </w:rPr>
        <w:t>（9）其他违反本条例规定的行为。</w:t>
      </w:r>
    </w:p>
    <w:p w14:paraId="17A3AC9C">
      <w:pPr>
        <w:ind w:firstLine="420" w:firstLineChars="200"/>
        <w:rPr>
          <w:rFonts w:ascii="宋体" w:hAnsi="宋体"/>
          <w:szCs w:val="21"/>
          <w:highlight w:val="none"/>
        </w:rPr>
      </w:pPr>
      <w:r>
        <w:rPr>
          <w:rFonts w:hint="eastAsia" w:ascii="宋体" w:hAnsi="宋体"/>
          <w:szCs w:val="21"/>
        </w:rPr>
        <w:t>51</w:t>
      </w:r>
      <w:r>
        <w:rPr>
          <w:rFonts w:hint="eastAsia" w:ascii="宋体" w:hAnsi="宋体"/>
          <w:szCs w:val="21"/>
          <w:highlight w:val="none"/>
        </w:rPr>
        <w:t>.2 根据《深圳市财政局关于调整政府采购投标（响应）保证金管理政策的通知 》（深财购〔2021〕51 号）的要求，供应商在采购活动中出现《深圳经济特区政府采购条例实施细则》第八十条所列情形的，</w:t>
      </w:r>
      <w:bookmarkStart w:id="102" w:name="_Hlk72440769"/>
      <w:r>
        <w:rPr>
          <w:rFonts w:hint="eastAsia" w:ascii="宋体" w:hAnsi="宋体"/>
          <w:szCs w:val="21"/>
          <w:highlight w:val="none"/>
          <w:lang w:val="en-US" w:eastAsia="zh-CN"/>
        </w:rPr>
        <w:t>采购代理机构</w:t>
      </w:r>
      <w:r>
        <w:rPr>
          <w:rFonts w:hint="eastAsia" w:ascii="宋体" w:hAnsi="宋体"/>
          <w:szCs w:val="21"/>
          <w:highlight w:val="none"/>
        </w:rPr>
        <w:t>或采购人不予退还其交纳的谈判保证金，情节严重的，并由主管部门</w:t>
      </w:r>
      <w:bookmarkEnd w:id="102"/>
      <w:r>
        <w:rPr>
          <w:rFonts w:hint="eastAsia" w:ascii="宋体" w:hAnsi="宋体"/>
          <w:szCs w:val="21"/>
          <w:highlight w:val="none"/>
        </w:rPr>
        <w:t>记入供应商诚信档案，予以通报：</w:t>
      </w:r>
    </w:p>
    <w:p w14:paraId="3C516F4C">
      <w:pPr>
        <w:ind w:firstLine="420" w:firstLineChars="200"/>
        <w:rPr>
          <w:rFonts w:ascii="宋体" w:hAnsi="宋体"/>
          <w:szCs w:val="21"/>
          <w:highlight w:val="none"/>
        </w:rPr>
      </w:pPr>
      <w:r>
        <w:rPr>
          <w:rFonts w:hint="eastAsia" w:ascii="宋体" w:hAnsi="宋体"/>
          <w:szCs w:val="21"/>
          <w:highlight w:val="none"/>
        </w:rPr>
        <w:t>（1）投标截止后，撤销投标的；</w:t>
      </w:r>
    </w:p>
    <w:p w14:paraId="5547D74F">
      <w:pPr>
        <w:ind w:firstLine="420" w:firstLineChars="200"/>
        <w:rPr>
          <w:rFonts w:ascii="宋体" w:hAnsi="宋体"/>
          <w:szCs w:val="21"/>
          <w:highlight w:val="none"/>
        </w:rPr>
      </w:pPr>
      <w:r>
        <w:rPr>
          <w:rFonts w:hint="eastAsia" w:ascii="宋体" w:hAnsi="宋体"/>
          <w:szCs w:val="21"/>
          <w:highlight w:val="none"/>
        </w:rPr>
        <w:t>（2）中标后无正当理由未在规定期限内签订合同的；</w:t>
      </w:r>
    </w:p>
    <w:p w14:paraId="546B4D53">
      <w:pPr>
        <w:ind w:firstLine="420" w:firstLineChars="200"/>
        <w:rPr>
          <w:rFonts w:ascii="宋体" w:hAnsi="宋体"/>
          <w:szCs w:val="21"/>
          <w:highlight w:val="none"/>
        </w:rPr>
      </w:pPr>
      <w:r>
        <w:rPr>
          <w:rFonts w:hint="eastAsia" w:ascii="宋体" w:hAnsi="宋体"/>
          <w:szCs w:val="21"/>
          <w:highlight w:val="none"/>
        </w:rPr>
        <w:t>（3）将中标项目转让给他人、或者在投标文件中未说明且未经采购人、采购招标机构同意，将中标项目分包给他人的；</w:t>
      </w:r>
    </w:p>
    <w:p w14:paraId="387FEC3F">
      <w:pPr>
        <w:ind w:firstLine="420" w:firstLineChars="200"/>
        <w:rPr>
          <w:highlight w:val="none"/>
        </w:rPr>
      </w:pPr>
      <w:r>
        <w:rPr>
          <w:rFonts w:hint="eastAsia" w:ascii="宋体" w:hAnsi="宋体"/>
          <w:szCs w:val="21"/>
          <w:highlight w:val="none"/>
        </w:rPr>
        <w:t>（4）拒绝履行合同义务的。</w:t>
      </w:r>
    </w:p>
    <w:bookmarkEnd w:id="86"/>
    <w:p w14:paraId="78DF6493">
      <w:pPr>
        <w:pStyle w:val="80"/>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质疑处理</w:t>
      </w:r>
    </w:p>
    <w:p w14:paraId="6C695CC3">
      <w:pPr>
        <w:ind w:firstLine="420" w:firstLineChars="200"/>
        <w:rPr>
          <w:rFonts w:ascii="黑体" w:hAnsi="宋体" w:eastAsia="黑体"/>
          <w:szCs w:val="21"/>
        </w:rPr>
      </w:pPr>
      <w:r>
        <w:rPr>
          <w:rFonts w:hint="eastAsia" w:ascii="黑体" w:hAnsi="宋体" w:eastAsia="黑体"/>
          <w:szCs w:val="21"/>
        </w:rPr>
        <w:t>52.质疑提出与答复</w:t>
      </w:r>
    </w:p>
    <w:p w14:paraId="7CEE3FC0">
      <w:pPr>
        <w:ind w:firstLine="420" w:firstLineChars="200"/>
        <w:rPr>
          <w:rFonts w:ascii="宋体" w:hAnsi="宋体"/>
          <w:szCs w:val="21"/>
        </w:rPr>
      </w:pPr>
      <w:r>
        <w:rPr>
          <w:rFonts w:hint="eastAsia" w:ascii="宋体" w:hAnsi="宋体"/>
          <w:szCs w:val="21"/>
        </w:rPr>
        <w:t>52.1提出质疑</w:t>
      </w:r>
    </w:p>
    <w:p w14:paraId="63F933CD">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w:t>
      </w:r>
      <w:r>
        <w:rPr>
          <w:rFonts w:hint="eastAsia" w:ascii="宋体" w:hAnsi="宋体"/>
          <w:szCs w:val="21"/>
          <w:highlight w:val="none"/>
        </w:rPr>
        <w:t>购人、</w:t>
      </w:r>
      <w:r>
        <w:rPr>
          <w:rFonts w:hint="eastAsia" w:ascii="宋体" w:hAnsi="宋体"/>
          <w:szCs w:val="21"/>
          <w:highlight w:val="none"/>
          <w:lang w:val="en-US" w:eastAsia="zh-CN"/>
        </w:rPr>
        <w:t>采购代理机构</w:t>
      </w:r>
      <w:r>
        <w:rPr>
          <w:rFonts w:hint="eastAsia" w:ascii="宋体" w:hAnsi="宋体"/>
          <w:szCs w:val="21"/>
          <w:highlight w:val="none"/>
        </w:rPr>
        <w:t>以书面形式提</w:t>
      </w:r>
      <w:r>
        <w:rPr>
          <w:rFonts w:hint="eastAsia" w:ascii="宋体" w:hAnsi="宋体"/>
          <w:szCs w:val="21"/>
        </w:rPr>
        <w:t>出质疑。</w:t>
      </w:r>
    </w:p>
    <w:p w14:paraId="687A1FC9">
      <w:pPr>
        <w:ind w:firstLine="420" w:firstLineChars="200"/>
        <w:rPr>
          <w:rFonts w:ascii="宋体" w:hAnsi="宋体"/>
          <w:szCs w:val="21"/>
        </w:rPr>
      </w:pPr>
      <w:r>
        <w:rPr>
          <w:rFonts w:hint="eastAsia" w:ascii="宋体" w:hAnsi="宋体"/>
          <w:szCs w:val="21"/>
        </w:rPr>
        <w:t>52.2法律依据</w:t>
      </w:r>
    </w:p>
    <w:p w14:paraId="12BDB7FA">
      <w:pPr>
        <w:ind w:firstLine="420" w:firstLineChars="200"/>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187B530">
      <w:pPr>
        <w:ind w:firstLine="420" w:firstLineChars="200"/>
        <w:rPr>
          <w:rFonts w:ascii="宋体" w:hAnsi="宋体"/>
          <w:szCs w:val="21"/>
        </w:rPr>
      </w:pPr>
      <w:r>
        <w:rPr>
          <w:rFonts w:hint="eastAsia" w:ascii="宋体" w:hAnsi="宋体"/>
          <w:szCs w:val="21"/>
        </w:rPr>
        <w:t>52.3质疑条件</w:t>
      </w:r>
    </w:p>
    <w:p w14:paraId="6F716D76">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103" w:name="_Hlk75374941"/>
      <w:r>
        <w:rPr>
          <w:rFonts w:hint="eastAsia" w:ascii="宋体" w:hAnsi="宋体"/>
          <w:szCs w:val="21"/>
        </w:rPr>
        <w:t>以联合体形式参与的，质疑应当由组成联合体的所有成员共同提出</w:t>
      </w:r>
      <w:bookmarkEnd w:id="103"/>
      <w:r>
        <w:rPr>
          <w:rFonts w:hint="eastAsia" w:ascii="宋体" w:hAnsi="宋体"/>
          <w:szCs w:val="21"/>
        </w:rPr>
        <w:t>；</w:t>
      </w:r>
    </w:p>
    <w:p w14:paraId="54FD36BE">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274CF3D">
      <w:pPr>
        <w:ind w:firstLine="420" w:firstLineChars="200"/>
        <w:rPr>
          <w:rFonts w:ascii="宋体" w:hAnsi="宋体"/>
          <w:szCs w:val="21"/>
        </w:rPr>
      </w:pPr>
      <w:r>
        <w:rPr>
          <w:rFonts w:hint="eastAsia" w:ascii="宋体" w:hAnsi="宋体"/>
          <w:szCs w:val="21"/>
        </w:rPr>
        <w:t xml:space="preserve">52.3.3应提交书面质疑函，质疑函应当包括以下内容： </w:t>
      </w:r>
    </w:p>
    <w:p w14:paraId="0081909A">
      <w:pPr>
        <w:ind w:firstLine="420" w:firstLineChars="200"/>
        <w:rPr>
          <w:rFonts w:ascii="宋体" w:hAnsi="宋体"/>
          <w:szCs w:val="21"/>
        </w:rPr>
      </w:pPr>
      <w:r>
        <w:rPr>
          <w:rFonts w:hint="eastAsia" w:ascii="宋体" w:hAnsi="宋体"/>
          <w:szCs w:val="21"/>
        </w:rPr>
        <w:t>（1）供应商的名称（或者姓名）、地址、邮编、邮箱、联系人及联系电话；</w:t>
      </w:r>
    </w:p>
    <w:p w14:paraId="4D5330B0">
      <w:pPr>
        <w:ind w:firstLine="420" w:firstLineChars="200"/>
        <w:rPr>
          <w:rFonts w:ascii="宋体" w:hAnsi="宋体"/>
          <w:szCs w:val="21"/>
        </w:rPr>
      </w:pPr>
      <w:r>
        <w:rPr>
          <w:rFonts w:hint="eastAsia" w:ascii="宋体" w:hAnsi="宋体"/>
          <w:szCs w:val="21"/>
        </w:rPr>
        <w:t>（2）质疑项目的名称、编号；</w:t>
      </w:r>
    </w:p>
    <w:p w14:paraId="2910450D">
      <w:pPr>
        <w:ind w:firstLine="420" w:firstLineChars="200"/>
        <w:rPr>
          <w:rFonts w:ascii="宋体" w:hAnsi="宋体"/>
          <w:szCs w:val="21"/>
        </w:rPr>
      </w:pPr>
      <w:r>
        <w:rPr>
          <w:rFonts w:hint="eastAsia" w:ascii="宋体" w:hAnsi="宋体"/>
          <w:szCs w:val="21"/>
        </w:rPr>
        <w:t>（3）具体、明确的质疑对象、质疑事项和质疑请求；</w:t>
      </w:r>
    </w:p>
    <w:p w14:paraId="6F658E92">
      <w:pPr>
        <w:ind w:firstLine="420" w:firstLineChars="200"/>
        <w:rPr>
          <w:rFonts w:ascii="宋体" w:hAnsi="宋体"/>
          <w:szCs w:val="21"/>
        </w:rPr>
      </w:pPr>
      <w:r>
        <w:rPr>
          <w:rFonts w:hint="eastAsia" w:ascii="宋体" w:hAnsi="宋体"/>
          <w:szCs w:val="21"/>
        </w:rPr>
        <w:t>（4）因质疑事项而受损害的权益；</w:t>
      </w:r>
    </w:p>
    <w:p w14:paraId="08C40EF0">
      <w:pPr>
        <w:ind w:firstLine="420" w:firstLineChars="200"/>
        <w:rPr>
          <w:rFonts w:ascii="宋体" w:hAnsi="宋体"/>
          <w:szCs w:val="21"/>
        </w:rPr>
      </w:pPr>
      <w:r>
        <w:rPr>
          <w:rFonts w:hint="eastAsia" w:ascii="宋体" w:hAnsi="宋体"/>
          <w:szCs w:val="21"/>
        </w:rPr>
        <w:t>（5）事实依据；</w:t>
      </w:r>
    </w:p>
    <w:p w14:paraId="52DC0263">
      <w:pPr>
        <w:ind w:firstLine="420" w:firstLineChars="200"/>
        <w:rPr>
          <w:rFonts w:ascii="宋体" w:hAnsi="宋体"/>
          <w:szCs w:val="21"/>
        </w:rPr>
      </w:pPr>
      <w:r>
        <w:rPr>
          <w:rFonts w:hint="eastAsia" w:ascii="宋体" w:hAnsi="宋体"/>
          <w:szCs w:val="21"/>
        </w:rPr>
        <w:t>（6）必要的法律依据；</w:t>
      </w:r>
    </w:p>
    <w:p w14:paraId="51A823CA">
      <w:pPr>
        <w:ind w:firstLine="420" w:firstLineChars="200"/>
        <w:rPr>
          <w:rFonts w:ascii="宋体" w:hAnsi="宋体"/>
          <w:szCs w:val="21"/>
        </w:rPr>
      </w:pPr>
      <w:r>
        <w:rPr>
          <w:rFonts w:hint="eastAsia" w:ascii="宋体" w:hAnsi="宋体"/>
          <w:szCs w:val="21"/>
        </w:rPr>
        <w:t>（7）提出质疑的日期。</w:t>
      </w:r>
    </w:p>
    <w:p w14:paraId="0D579B3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738AA64">
      <w:pPr>
        <w:ind w:firstLine="420" w:firstLineChars="200"/>
        <w:rPr>
          <w:rFonts w:ascii="宋体" w:hAnsi="宋体"/>
          <w:szCs w:val="21"/>
        </w:rPr>
      </w:pPr>
      <w:r>
        <w:rPr>
          <w:rFonts w:hint="eastAsia" w:ascii="宋体" w:hAnsi="宋体"/>
          <w:szCs w:val="21"/>
        </w:rPr>
        <w:t>52.4提交材料</w:t>
      </w:r>
    </w:p>
    <w:p w14:paraId="1574C593">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7E9F68C">
      <w:pPr>
        <w:ind w:firstLine="420" w:firstLineChars="200"/>
        <w:rPr>
          <w:rFonts w:ascii="宋体" w:hAnsi="宋体"/>
          <w:szCs w:val="21"/>
        </w:rPr>
      </w:pPr>
      <w:r>
        <w:rPr>
          <w:rFonts w:hint="eastAsia" w:ascii="宋体" w:hAnsi="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716405">
      <w:pPr>
        <w:ind w:firstLine="420" w:firstLineChars="200"/>
        <w:rPr>
          <w:rFonts w:ascii="宋体" w:hAnsi="宋体"/>
          <w:szCs w:val="21"/>
        </w:rPr>
      </w:pPr>
      <w:r>
        <w:rPr>
          <w:rFonts w:hint="eastAsia" w:ascii="宋体" w:hAnsi="宋体"/>
          <w:szCs w:val="21"/>
        </w:rPr>
        <w:t>52.5收文地点</w:t>
      </w:r>
    </w:p>
    <w:p w14:paraId="477A5A6F">
      <w:pPr>
        <w:ind w:firstLine="422" w:firstLineChars="200"/>
        <w:rPr>
          <w:rFonts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w:t>
      </w:r>
      <w:r>
        <w:rPr>
          <w:rFonts w:hint="eastAsia" w:ascii="宋体" w:hAnsi="宋体"/>
          <w:b/>
        </w:rPr>
        <w:t>86500050</w:t>
      </w:r>
      <w:r>
        <w:rPr>
          <w:rFonts w:hint="eastAsia" w:ascii="宋体" w:hAnsi="宋体"/>
          <w:b/>
          <w:bCs/>
          <w:szCs w:val="21"/>
        </w:rPr>
        <w:t>。</w:t>
      </w:r>
    </w:p>
    <w:p w14:paraId="21CA6E54">
      <w:pPr>
        <w:ind w:firstLine="420" w:firstLineChars="200"/>
        <w:rPr>
          <w:rFonts w:ascii="宋体" w:hAnsi="宋体"/>
          <w:szCs w:val="21"/>
        </w:rPr>
      </w:pPr>
      <w:r>
        <w:rPr>
          <w:rFonts w:hint="eastAsia" w:ascii="宋体" w:hAnsi="宋体"/>
          <w:szCs w:val="21"/>
        </w:rPr>
        <w:t>52.6收文办理程序</w:t>
      </w:r>
    </w:p>
    <w:p w14:paraId="66641C8A">
      <w:pPr>
        <w:ind w:firstLine="420" w:firstLineChars="200"/>
        <w:rPr>
          <w:rFonts w:ascii="宋体" w:hAnsi="宋体"/>
          <w:szCs w:val="21"/>
          <w:highlight w:val="none"/>
        </w:rPr>
      </w:pPr>
      <w:r>
        <w:rPr>
          <w:rFonts w:hint="eastAsia" w:ascii="宋体" w:hAnsi="宋体"/>
          <w:szCs w:val="21"/>
        </w:rPr>
        <w:t>52.6.1供应商提交的质疑符合受理条</w:t>
      </w:r>
      <w:r>
        <w:rPr>
          <w:rFonts w:hint="eastAsia" w:ascii="宋体" w:hAnsi="宋体"/>
          <w:szCs w:val="21"/>
          <w:highlight w:val="none"/>
        </w:rPr>
        <w:t>件的，</w:t>
      </w:r>
      <w:r>
        <w:rPr>
          <w:rFonts w:hint="eastAsia" w:ascii="宋体" w:hAnsi="宋体"/>
          <w:szCs w:val="21"/>
          <w:highlight w:val="none"/>
          <w:lang w:val="en-US" w:eastAsia="zh-CN"/>
        </w:rPr>
        <w:t>采购代理机构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5AC23BAE">
      <w:pPr>
        <w:ind w:firstLine="420" w:firstLineChars="200"/>
        <w:rPr>
          <w:rFonts w:ascii="仿宋" w:hAnsi="仿宋" w:eastAsia="仿宋"/>
          <w:szCs w:val="21"/>
          <w:highlight w:val="none"/>
        </w:rPr>
      </w:pPr>
      <w:r>
        <w:rPr>
          <w:rFonts w:hint="eastAsia" w:ascii="宋体" w:hAnsi="宋体"/>
          <w:szCs w:val="21"/>
          <w:highlight w:val="none"/>
        </w:rPr>
        <w:t>52.6.2供应商提交的质疑材料不符合质疑条件的，视情况处理：</w:t>
      </w:r>
    </w:p>
    <w:p w14:paraId="1DBA4814">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val="en-US" w:eastAsia="zh-CN"/>
        </w:rPr>
        <w:t>采购代理机构</w:t>
      </w:r>
      <w:r>
        <w:rPr>
          <w:rFonts w:hint="eastAsia" w:ascii="宋体" w:hAnsi="宋体"/>
          <w:szCs w:val="21"/>
          <w:highlight w:val="none"/>
        </w:rPr>
        <w:t>应当一次性告知供应商需补正的内容和补正期限。</w:t>
      </w:r>
    </w:p>
    <w:p w14:paraId="03FBB86F">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24910D70">
      <w:pPr>
        <w:ind w:firstLine="420" w:firstLineChars="200"/>
        <w:rPr>
          <w:rFonts w:ascii="宋体" w:hAnsi="宋体"/>
          <w:szCs w:val="21"/>
          <w:highlight w:val="none"/>
        </w:rPr>
      </w:pPr>
      <w:r>
        <w:rPr>
          <w:rFonts w:hint="eastAsia" w:ascii="宋体" w:hAnsi="宋体"/>
          <w:szCs w:val="21"/>
          <w:highlight w:val="none"/>
        </w:rPr>
        <w:t>（1）质疑主体不满足要求的；</w:t>
      </w:r>
    </w:p>
    <w:p w14:paraId="1A4F7C17">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44823410">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38581EF9">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54822062">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003192CA">
      <w:pPr>
        <w:ind w:firstLine="420" w:firstLineChars="200"/>
        <w:rPr>
          <w:rFonts w:ascii="宋体" w:hAnsi="宋体"/>
          <w:szCs w:val="21"/>
        </w:rPr>
      </w:pPr>
      <w:r>
        <w:rPr>
          <w:rFonts w:hint="eastAsia" w:ascii="宋体" w:hAnsi="宋体"/>
          <w:szCs w:val="21"/>
          <w:highlight w:val="none"/>
        </w:rPr>
        <w:t>质疑事项不予受理的，</w:t>
      </w:r>
      <w:r>
        <w:rPr>
          <w:rFonts w:hint="eastAsia" w:ascii="宋体" w:hAnsi="宋体"/>
          <w:szCs w:val="21"/>
          <w:highlight w:val="none"/>
          <w:lang w:val="en-US" w:eastAsia="zh-CN"/>
        </w:rPr>
        <w:t>采购代理机构</w:t>
      </w:r>
      <w:r>
        <w:rPr>
          <w:rFonts w:hint="eastAsia" w:ascii="宋体" w:hAnsi="宋体"/>
          <w:szCs w:val="21"/>
          <w:highlight w:val="none"/>
        </w:rPr>
        <w:t>应当向供应商出具不符</w:t>
      </w:r>
      <w:r>
        <w:rPr>
          <w:rFonts w:hint="eastAsia" w:ascii="宋体" w:hAnsi="宋体"/>
          <w:szCs w:val="21"/>
        </w:rPr>
        <w:t>合质疑条件告知书。</w:t>
      </w:r>
    </w:p>
    <w:p w14:paraId="0C80C2EE">
      <w:pPr>
        <w:ind w:firstLine="420" w:firstLineChars="200"/>
        <w:rPr>
          <w:rFonts w:ascii="宋体" w:hAnsi="宋体"/>
          <w:szCs w:val="21"/>
        </w:rPr>
      </w:pPr>
      <w:r>
        <w:rPr>
          <w:rFonts w:hint="eastAsia" w:ascii="宋体" w:hAnsi="宋体"/>
          <w:szCs w:val="21"/>
        </w:rPr>
        <w:t>52.7质疑答复时限</w:t>
      </w:r>
    </w:p>
    <w:p w14:paraId="6AF13B61">
      <w:pPr>
        <w:ind w:firstLine="420" w:firstLineChars="200"/>
        <w:rPr>
          <w:rFonts w:ascii="宋体" w:hAnsi="宋体"/>
          <w:szCs w:val="21"/>
        </w:rPr>
      </w:pPr>
      <w:r>
        <w:rPr>
          <w:rFonts w:hint="eastAsia" w:ascii="宋体" w:hAnsi="宋体"/>
          <w:szCs w:val="21"/>
        </w:rPr>
        <w:t>自收文之日起七个工作日内。</w:t>
      </w:r>
    </w:p>
    <w:p w14:paraId="050EDB88">
      <w:pPr>
        <w:ind w:firstLine="420" w:firstLineChars="200"/>
        <w:rPr>
          <w:rFonts w:ascii="宋体" w:hAnsi="宋体"/>
          <w:szCs w:val="21"/>
        </w:rPr>
      </w:pPr>
      <w:r>
        <w:rPr>
          <w:rFonts w:hint="eastAsia" w:ascii="宋体" w:hAnsi="宋体"/>
          <w:szCs w:val="21"/>
        </w:rPr>
        <w:t>52.8投诉</w:t>
      </w:r>
    </w:p>
    <w:p w14:paraId="7A133F28">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w:t>
      </w:r>
      <w:r>
        <w:rPr>
          <w:rFonts w:hint="eastAsia" w:ascii="宋体" w:hAnsi="宋体"/>
          <w:szCs w:val="21"/>
          <w:highlight w:val="cyan"/>
        </w:rPr>
        <w:t>向</w:t>
      </w:r>
      <w:r>
        <w:rPr>
          <w:rFonts w:hint="eastAsia" w:ascii="宋体" w:hAnsi="宋体"/>
          <w:szCs w:val="21"/>
          <w:highlight w:val="cyan"/>
          <w:lang w:eastAsia="zh-CN"/>
        </w:rPr>
        <w:t>采购文件第一册专用条款，第二章 对通用条款的补充内容及其他关键信息，一、对通用条款的补充内容中规定的单位</w:t>
      </w:r>
      <w:r>
        <w:rPr>
          <w:rFonts w:hint="eastAsia" w:ascii="宋体" w:hAnsi="宋体"/>
          <w:szCs w:val="21"/>
          <w:highlight w:val="cyan"/>
        </w:rPr>
        <w:t>投诉。</w:t>
      </w:r>
    </w:p>
    <w:p w14:paraId="17ABBEDD">
      <w:pPr>
        <w:ind w:firstLine="420" w:firstLineChars="200"/>
        <w:rPr>
          <w:rFonts w:ascii="黑体" w:hAnsi="宋体" w:eastAsia="黑体"/>
          <w:szCs w:val="21"/>
        </w:rPr>
      </w:pPr>
      <w:r>
        <w:rPr>
          <w:rFonts w:hint="eastAsia" w:ascii="黑体" w:hAnsi="宋体" w:eastAsia="黑体"/>
          <w:szCs w:val="21"/>
        </w:rPr>
        <w:t>53.质疑后续处理</w:t>
      </w:r>
    </w:p>
    <w:p w14:paraId="3494A2D8">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27E5E111">
      <w:pPr>
        <w:ind w:firstLine="420" w:firstLineChars="200"/>
        <w:jc w:val="left"/>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61C4D19">
      <w:pPr>
        <w:ind w:firstLine="420" w:firstLineChars="200"/>
        <w:jc w:val="left"/>
        <w:rPr>
          <w:szCs w:val="21"/>
        </w:rPr>
      </w:pPr>
      <w:r>
        <w:rPr>
          <w:rFonts w:hint="eastAsia" w:ascii="宋体" w:hAnsi="宋体"/>
          <w:szCs w:val="21"/>
        </w:rPr>
        <w:t>53.3被质疑供应商应配合提供质疑答辩意见,并提供相关证据材料,逾期不作书面答辩的,视同放弃答辩权利,依法承担由此可能产生的不利法律后果。</w:t>
      </w:r>
    </w:p>
    <w:p w14:paraId="5CB02891">
      <w:pPr>
        <w:jc w:val="center"/>
      </w:pPr>
      <w:r>
        <w:t>---- END ----</w:t>
      </w:r>
      <w:bookmarkEnd w:id="51"/>
    </w:p>
    <w:p w14:paraId="400B384B">
      <w:pPr>
        <w:rPr>
          <w:rFonts w:ascii="宋体" w:hAnsi="宋体"/>
          <w:szCs w:val="21"/>
        </w:rPr>
      </w:pPr>
    </w:p>
    <w:p w14:paraId="6D4C5946">
      <w:pPr>
        <w:pStyle w:val="5"/>
        <w:rPr>
          <w:szCs w:val="21"/>
        </w:rPr>
      </w:pPr>
    </w:p>
    <w:sectPr>
      <w:headerReference r:id="rId6" w:type="first"/>
      <w:headerReference r:id="rId5" w:type="default"/>
      <w:footerReference r:id="rId7" w:type="default"/>
      <w:footerReference r:id="rId8"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1F053B8-260B-40E5-87E8-806D42115731}"/>
  </w:font>
  <w:font w:name="Arial">
    <w:panose1 w:val="020B0604020202020204"/>
    <w:charset w:val="01"/>
    <w:family w:val="swiss"/>
    <w:pitch w:val="default"/>
    <w:sig w:usb0="E0002EFF" w:usb1="C000785B" w:usb2="00000009" w:usb3="00000000" w:csb0="400001FF" w:csb1="FFFF0000"/>
    <w:embedRegular r:id="rId2" w:fontKey="{DB5BB4A3-4941-48A7-B4F9-4A893574AF0C}"/>
  </w:font>
  <w:font w:name="黑体">
    <w:panose1 w:val="02010609060101010101"/>
    <w:charset w:val="86"/>
    <w:family w:val="auto"/>
    <w:pitch w:val="default"/>
    <w:sig w:usb0="800002BF" w:usb1="38CF7CFA" w:usb2="00000016" w:usb3="00000000" w:csb0="00040001" w:csb1="00000000"/>
    <w:embedRegular r:id="rId3" w:fontKey="{1C6FF27C-E2B6-4E08-8A24-8559183EB945}"/>
  </w:font>
  <w:font w:name="Courier New">
    <w:panose1 w:val="02070309020205020404"/>
    <w:charset w:val="01"/>
    <w:family w:val="modern"/>
    <w:pitch w:val="default"/>
    <w:sig w:usb0="E0002EFF" w:usb1="C0007843" w:usb2="00000009" w:usb3="00000000" w:csb0="400001FF" w:csb1="FFFF0000"/>
    <w:embedRegular r:id="rId4" w:fontKey="{7DB0F310-1E17-44A1-ADD2-8A5BF634309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5" w:fontKey="{62D4A6A9-6BF3-489B-BA7B-E03FB33FB68C}"/>
  </w:font>
  <w:font w:name="Cambria">
    <w:panose1 w:val="02040503050406030204"/>
    <w:charset w:val="00"/>
    <w:family w:val="roman"/>
    <w:pitch w:val="default"/>
    <w:sig w:usb0="E00006FF" w:usb1="420024FF" w:usb2="02000000" w:usb3="00000000" w:csb0="2000019F" w:csb1="00000000"/>
    <w:embedRegular r:id="rId6" w:fontKey="{6F1E3427-9CF7-49F4-9260-6297D752F5AC}"/>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7" w:fontKey="{97085EFB-9D66-4AEA-9B28-E26F9A1DF964}"/>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8" w:fontKey="{96FA4E06-9CEF-47B3-9D78-CBFF76C8A1FD}"/>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ˎ̥">
    <w:altName w:val="Times New Roman"/>
    <w:panose1 w:val="00000000000000000000"/>
    <w:charset w:val="00"/>
    <w:family w:val="roman"/>
    <w:pitch w:val="default"/>
    <w:sig w:usb0="00000000" w:usb1="00000000" w:usb2="00000000" w:usb3="00000000" w:csb0="00040001" w:csb1="00000000"/>
    <w:embedRegular r:id="rId9" w:fontKey="{F4E0C397-4213-46FD-81A4-CE01B83C8EF4}"/>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10" w:fontKey="{BAE135A5-0836-4C4E-8591-5CD8CD9A9FA6}"/>
  </w:font>
  <w:font w:name="汉仪书宋二S">
    <w:altName w:val="宋体"/>
    <w:panose1 w:val="00000000000000000000"/>
    <w:charset w:val="00"/>
    <w:family w:val="auto"/>
    <w:pitch w:val="default"/>
    <w:sig w:usb0="00000000" w:usb1="00000000" w:usb2="00000000" w:usb3="00000000" w:csb0="00000000" w:csb1="00000000"/>
    <w:embedRegular r:id="rId11" w:fontKey="{7E7570B8-0D1A-47A1-A5DB-27199EFC4090}"/>
  </w:font>
  <w:font w:name="华文楷体">
    <w:panose1 w:val="02010600040101010101"/>
    <w:charset w:val="86"/>
    <w:family w:val="auto"/>
    <w:pitch w:val="default"/>
    <w:sig w:usb0="00000287" w:usb1="080F0000" w:usb2="00000000" w:usb3="00000000" w:csb0="0004009F" w:csb1="DFD70000"/>
    <w:embedRegular r:id="rId12" w:fontKey="{3F3C99FB-B260-4352-B0CE-B21FFF8AA7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167AC">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2497">
    <w:pPr>
      <w:pStyle w:val="28"/>
      <w:framePr w:wrap="around" w:vAnchor="text" w:hAnchor="margin" w:xAlign="center" w:y="1"/>
      <w:rPr>
        <w:rStyle w:val="46"/>
      </w:rPr>
    </w:pPr>
    <w:r>
      <w:t xml:space="preserve">- </w:t>
    </w:r>
    <w:r>
      <w:fldChar w:fldCharType="begin"/>
    </w:r>
    <w:r>
      <w:instrText xml:space="preserve"> PAGE </w:instrText>
    </w:r>
    <w:r>
      <w:fldChar w:fldCharType="separate"/>
    </w:r>
    <w:r>
      <w:t>46</w:t>
    </w:r>
    <w:r>
      <w:fldChar w:fldCharType="end"/>
    </w:r>
    <w:r>
      <w:t xml:space="preserve"> -</w:t>
    </w:r>
  </w:p>
  <w:p w14:paraId="5FAE86B2">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3EAB">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7E28DE7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72CD7">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47F6">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ABE5">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10">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2503483"/>
    <w:multiLevelType w:val="multilevel"/>
    <w:tmpl w:val="12503483"/>
    <w:lvl w:ilvl="0" w:tentative="0">
      <w:start w:val="1"/>
      <w:numFmt w:val="bullet"/>
      <w:pStyle w:val="114"/>
      <w:lvlText w:val=""/>
      <w:lvlJc w:val="left"/>
      <w:pPr>
        <w:tabs>
          <w:tab w:val="left" w:pos="420"/>
        </w:tabs>
        <w:ind w:left="420" w:hanging="420"/>
      </w:pPr>
      <w:rPr>
        <w:rFonts w:hint="default" w:ascii="Wingdings" w:hAnsi="Wingdings"/>
      </w:rPr>
    </w:lvl>
    <w:lvl w:ilvl="1" w:tentative="0">
      <w:start w:val="1"/>
      <w:numFmt w:val="bullet"/>
      <w:pStyle w:val="11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82"/>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7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7A0F6431"/>
    <w:multiLevelType w:val="singleLevel"/>
    <w:tmpl w:val="7A0F6431"/>
    <w:lvl w:ilvl="0" w:tentative="0">
      <w:start w:val="1"/>
      <w:numFmt w:val="decimal"/>
      <w:suff w:val="space"/>
      <w:lvlText w:val="%1."/>
      <w:lvlJc w:val="left"/>
    </w:lvl>
  </w:abstractNum>
  <w:abstractNum w:abstractNumId="15">
    <w:nsid w:val="7AEF7716"/>
    <w:multiLevelType w:val="multilevel"/>
    <w:tmpl w:val="7AEF7716"/>
    <w:lvl w:ilvl="0" w:tentative="0">
      <w:start w:val="1"/>
      <w:numFmt w:val="chineseCountingThousand"/>
      <w:pStyle w:val="12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5"/>
  </w:num>
  <w:num w:numId="6">
    <w:abstractNumId w:val="13"/>
  </w:num>
  <w:num w:numId="7">
    <w:abstractNumId w:val="1"/>
  </w:num>
  <w:num w:numId="8">
    <w:abstractNumId w:val="0"/>
  </w:num>
  <w:num w:numId="9">
    <w:abstractNumId w:val="14"/>
  </w:num>
  <w:num w:numId="10">
    <w:abstractNumId w:val="3"/>
  </w:num>
  <w:num w:numId="11">
    <w:abstractNumId w:val="7"/>
  </w:num>
  <w:num w:numId="12">
    <w:abstractNumId w:val="5"/>
  </w:num>
  <w:num w:numId="13">
    <w:abstractNumId w:val="4"/>
  </w:num>
  <w:num w:numId="14">
    <w:abstractNumId w:val="2"/>
  </w:num>
  <w:num w:numId="15">
    <w:abstractNumId w:val="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TA3MDZhNmI3YTFlMGJlZjIxYzIwZTdjOGQ4YW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3C6D"/>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0E4E"/>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38D5"/>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415CD2"/>
    <w:rsid w:val="01453A14"/>
    <w:rsid w:val="014D28C9"/>
    <w:rsid w:val="01687703"/>
    <w:rsid w:val="017D31AE"/>
    <w:rsid w:val="01826A17"/>
    <w:rsid w:val="018C1643"/>
    <w:rsid w:val="01AF0E8E"/>
    <w:rsid w:val="01B70F10"/>
    <w:rsid w:val="021967E1"/>
    <w:rsid w:val="021B4775"/>
    <w:rsid w:val="02671768"/>
    <w:rsid w:val="02C24749"/>
    <w:rsid w:val="03062D2F"/>
    <w:rsid w:val="030D7E3E"/>
    <w:rsid w:val="03100052"/>
    <w:rsid w:val="03192A63"/>
    <w:rsid w:val="03231B33"/>
    <w:rsid w:val="03321D76"/>
    <w:rsid w:val="0334205E"/>
    <w:rsid w:val="033755DF"/>
    <w:rsid w:val="034321D6"/>
    <w:rsid w:val="034856A5"/>
    <w:rsid w:val="037E320E"/>
    <w:rsid w:val="03BE7AAE"/>
    <w:rsid w:val="03D07714"/>
    <w:rsid w:val="03D80B70"/>
    <w:rsid w:val="03F236B0"/>
    <w:rsid w:val="03F3534A"/>
    <w:rsid w:val="041B280B"/>
    <w:rsid w:val="041F679F"/>
    <w:rsid w:val="04212517"/>
    <w:rsid w:val="04441D61"/>
    <w:rsid w:val="045F4DED"/>
    <w:rsid w:val="046248DD"/>
    <w:rsid w:val="04A86794"/>
    <w:rsid w:val="04AB5476"/>
    <w:rsid w:val="04D550AF"/>
    <w:rsid w:val="04E470A0"/>
    <w:rsid w:val="05031C1C"/>
    <w:rsid w:val="05157BA2"/>
    <w:rsid w:val="05237BC9"/>
    <w:rsid w:val="05834B0B"/>
    <w:rsid w:val="05D11D1B"/>
    <w:rsid w:val="05D435B9"/>
    <w:rsid w:val="05EB2641"/>
    <w:rsid w:val="05EF21A1"/>
    <w:rsid w:val="05FA7789"/>
    <w:rsid w:val="05FE0636"/>
    <w:rsid w:val="060774EA"/>
    <w:rsid w:val="060A2B37"/>
    <w:rsid w:val="060C4B01"/>
    <w:rsid w:val="06141C07"/>
    <w:rsid w:val="06224324"/>
    <w:rsid w:val="062C51A3"/>
    <w:rsid w:val="062E2CC9"/>
    <w:rsid w:val="067D4F9E"/>
    <w:rsid w:val="068723D9"/>
    <w:rsid w:val="06A72A7B"/>
    <w:rsid w:val="06D53145"/>
    <w:rsid w:val="070B300A"/>
    <w:rsid w:val="07230354"/>
    <w:rsid w:val="075229E7"/>
    <w:rsid w:val="0757624F"/>
    <w:rsid w:val="078608E3"/>
    <w:rsid w:val="079E5C2C"/>
    <w:rsid w:val="07AF301F"/>
    <w:rsid w:val="07D93108"/>
    <w:rsid w:val="080D690E"/>
    <w:rsid w:val="08204893"/>
    <w:rsid w:val="08444A26"/>
    <w:rsid w:val="086F7E62"/>
    <w:rsid w:val="08A059D4"/>
    <w:rsid w:val="08C07E24"/>
    <w:rsid w:val="08C276F9"/>
    <w:rsid w:val="08CB2A51"/>
    <w:rsid w:val="08E27D9B"/>
    <w:rsid w:val="09300B06"/>
    <w:rsid w:val="093A1D5C"/>
    <w:rsid w:val="09905A49"/>
    <w:rsid w:val="0992531D"/>
    <w:rsid w:val="099512B1"/>
    <w:rsid w:val="09AB2883"/>
    <w:rsid w:val="09AD65FB"/>
    <w:rsid w:val="09B5725D"/>
    <w:rsid w:val="09BE4364"/>
    <w:rsid w:val="09E55D95"/>
    <w:rsid w:val="09EA6F07"/>
    <w:rsid w:val="09F07824"/>
    <w:rsid w:val="0A287A2F"/>
    <w:rsid w:val="0A375EC4"/>
    <w:rsid w:val="0A40746F"/>
    <w:rsid w:val="0A5371A2"/>
    <w:rsid w:val="0A5B1BB3"/>
    <w:rsid w:val="0A6D18E6"/>
    <w:rsid w:val="0A786C09"/>
    <w:rsid w:val="0A9926DB"/>
    <w:rsid w:val="0AB441DD"/>
    <w:rsid w:val="0AC57974"/>
    <w:rsid w:val="0AE147AE"/>
    <w:rsid w:val="0AE778EA"/>
    <w:rsid w:val="0AFD2C6A"/>
    <w:rsid w:val="0B0104DC"/>
    <w:rsid w:val="0B093D05"/>
    <w:rsid w:val="0B362BF0"/>
    <w:rsid w:val="0B5C3E34"/>
    <w:rsid w:val="0B60651B"/>
    <w:rsid w:val="0B835865"/>
    <w:rsid w:val="0B9340C0"/>
    <w:rsid w:val="0BA94BA0"/>
    <w:rsid w:val="0BB26C18"/>
    <w:rsid w:val="0BB43C70"/>
    <w:rsid w:val="0BBF2615"/>
    <w:rsid w:val="0BDE0CED"/>
    <w:rsid w:val="0BDF6813"/>
    <w:rsid w:val="0C060244"/>
    <w:rsid w:val="0C2801BA"/>
    <w:rsid w:val="0C8C699B"/>
    <w:rsid w:val="0CB87790"/>
    <w:rsid w:val="0CBA3508"/>
    <w:rsid w:val="0CC779D3"/>
    <w:rsid w:val="0D054058"/>
    <w:rsid w:val="0D1077DD"/>
    <w:rsid w:val="0D32334D"/>
    <w:rsid w:val="0D470B14"/>
    <w:rsid w:val="0D4B4161"/>
    <w:rsid w:val="0D4F196D"/>
    <w:rsid w:val="0D646E2A"/>
    <w:rsid w:val="0D7F3E0A"/>
    <w:rsid w:val="0DAD6BC9"/>
    <w:rsid w:val="0DE16873"/>
    <w:rsid w:val="0DEE2D3E"/>
    <w:rsid w:val="0DF04D08"/>
    <w:rsid w:val="0E146C48"/>
    <w:rsid w:val="0E2449B2"/>
    <w:rsid w:val="0E3966AF"/>
    <w:rsid w:val="0E455054"/>
    <w:rsid w:val="0E4A266A"/>
    <w:rsid w:val="0E4D3F08"/>
    <w:rsid w:val="0E567261"/>
    <w:rsid w:val="0EAA135B"/>
    <w:rsid w:val="0EB36461"/>
    <w:rsid w:val="0ECD6BB9"/>
    <w:rsid w:val="0F1D7D7F"/>
    <w:rsid w:val="0F3F1AA3"/>
    <w:rsid w:val="0F474DFC"/>
    <w:rsid w:val="0F5170F1"/>
    <w:rsid w:val="0F56503F"/>
    <w:rsid w:val="0F73130D"/>
    <w:rsid w:val="0F7F6343"/>
    <w:rsid w:val="0F8C280E"/>
    <w:rsid w:val="0FD7617F"/>
    <w:rsid w:val="0FDF64A1"/>
    <w:rsid w:val="0FE34B24"/>
    <w:rsid w:val="0FF860F6"/>
    <w:rsid w:val="0FFF466D"/>
    <w:rsid w:val="10042CED"/>
    <w:rsid w:val="10156CA8"/>
    <w:rsid w:val="10247488"/>
    <w:rsid w:val="10294501"/>
    <w:rsid w:val="102A1CBB"/>
    <w:rsid w:val="106043C7"/>
    <w:rsid w:val="107C061C"/>
    <w:rsid w:val="10944070"/>
    <w:rsid w:val="109C2F25"/>
    <w:rsid w:val="10E2302E"/>
    <w:rsid w:val="10E5667A"/>
    <w:rsid w:val="10E87F18"/>
    <w:rsid w:val="10ED3781"/>
    <w:rsid w:val="10F863AD"/>
    <w:rsid w:val="110A60E1"/>
    <w:rsid w:val="111451B1"/>
    <w:rsid w:val="11205904"/>
    <w:rsid w:val="113676AF"/>
    <w:rsid w:val="114A0BD3"/>
    <w:rsid w:val="114A387E"/>
    <w:rsid w:val="11543BAC"/>
    <w:rsid w:val="115630D4"/>
    <w:rsid w:val="117417AC"/>
    <w:rsid w:val="117D2D56"/>
    <w:rsid w:val="11A5684D"/>
    <w:rsid w:val="11C4082F"/>
    <w:rsid w:val="11C95F9C"/>
    <w:rsid w:val="11D861DF"/>
    <w:rsid w:val="11DC5CCF"/>
    <w:rsid w:val="12042B30"/>
    <w:rsid w:val="120E7E09"/>
    <w:rsid w:val="1218482D"/>
    <w:rsid w:val="122B630F"/>
    <w:rsid w:val="123478B9"/>
    <w:rsid w:val="123D4E07"/>
    <w:rsid w:val="12443874"/>
    <w:rsid w:val="124B075F"/>
    <w:rsid w:val="125735A8"/>
    <w:rsid w:val="126A5144"/>
    <w:rsid w:val="126E2D03"/>
    <w:rsid w:val="12957C2C"/>
    <w:rsid w:val="12D60970"/>
    <w:rsid w:val="12DC3AAD"/>
    <w:rsid w:val="13201BEB"/>
    <w:rsid w:val="13765CAF"/>
    <w:rsid w:val="13CC58CF"/>
    <w:rsid w:val="13F74556"/>
    <w:rsid w:val="13FB7F63"/>
    <w:rsid w:val="140E7C96"/>
    <w:rsid w:val="1424570B"/>
    <w:rsid w:val="143F2545"/>
    <w:rsid w:val="144B713C"/>
    <w:rsid w:val="145C4EA5"/>
    <w:rsid w:val="146B3F04"/>
    <w:rsid w:val="148A7C64"/>
    <w:rsid w:val="14A16D5C"/>
    <w:rsid w:val="14AF76CB"/>
    <w:rsid w:val="14B85A81"/>
    <w:rsid w:val="14BF71E2"/>
    <w:rsid w:val="14D07641"/>
    <w:rsid w:val="14D94748"/>
    <w:rsid w:val="14D964F6"/>
    <w:rsid w:val="14ED3D4F"/>
    <w:rsid w:val="14F72E20"/>
    <w:rsid w:val="14F75F2A"/>
    <w:rsid w:val="14F90946"/>
    <w:rsid w:val="151469B7"/>
    <w:rsid w:val="152850C5"/>
    <w:rsid w:val="155618F4"/>
    <w:rsid w:val="156D4E90"/>
    <w:rsid w:val="15956C4F"/>
    <w:rsid w:val="159F2DAC"/>
    <w:rsid w:val="15CE1DD3"/>
    <w:rsid w:val="15DA1A99"/>
    <w:rsid w:val="1609105D"/>
    <w:rsid w:val="16331C36"/>
    <w:rsid w:val="163360DA"/>
    <w:rsid w:val="1635775C"/>
    <w:rsid w:val="16493207"/>
    <w:rsid w:val="16A668AC"/>
    <w:rsid w:val="16B25250"/>
    <w:rsid w:val="16B94475"/>
    <w:rsid w:val="16BF34C9"/>
    <w:rsid w:val="16CF5E02"/>
    <w:rsid w:val="16D01B7A"/>
    <w:rsid w:val="16E15B36"/>
    <w:rsid w:val="16F74B8C"/>
    <w:rsid w:val="1706559C"/>
    <w:rsid w:val="17123F41"/>
    <w:rsid w:val="171C091C"/>
    <w:rsid w:val="17375756"/>
    <w:rsid w:val="174C1F50"/>
    <w:rsid w:val="176D1177"/>
    <w:rsid w:val="178070FD"/>
    <w:rsid w:val="17853B61"/>
    <w:rsid w:val="179606CE"/>
    <w:rsid w:val="17BE3B06"/>
    <w:rsid w:val="17CA481C"/>
    <w:rsid w:val="17DD62FD"/>
    <w:rsid w:val="17E21B65"/>
    <w:rsid w:val="17E70F2A"/>
    <w:rsid w:val="186500A0"/>
    <w:rsid w:val="186B1B5B"/>
    <w:rsid w:val="18722EE9"/>
    <w:rsid w:val="189015C1"/>
    <w:rsid w:val="1890336F"/>
    <w:rsid w:val="18B76B4E"/>
    <w:rsid w:val="18E40145"/>
    <w:rsid w:val="18EE0096"/>
    <w:rsid w:val="19006747"/>
    <w:rsid w:val="19212219"/>
    <w:rsid w:val="192B12EA"/>
    <w:rsid w:val="19341F4D"/>
    <w:rsid w:val="19404D95"/>
    <w:rsid w:val="19434886"/>
    <w:rsid w:val="195048A6"/>
    <w:rsid w:val="19662322"/>
    <w:rsid w:val="19866520"/>
    <w:rsid w:val="19B17A41"/>
    <w:rsid w:val="19BD0194"/>
    <w:rsid w:val="19CF1C75"/>
    <w:rsid w:val="19E35721"/>
    <w:rsid w:val="19EA2F53"/>
    <w:rsid w:val="19EA6260"/>
    <w:rsid w:val="1A4474E8"/>
    <w:rsid w:val="1A7F369B"/>
    <w:rsid w:val="1A8E1B30"/>
    <w:rsid w:val="1A96278C"/>
    <w:rsid w:val="1AAB26E2"/>
    <w:rsid w:val="1AC11F06"/>
    <w:rsid w:val="1AD339E7"/>
    <w:rsid w:val="1AFB05F2"/>
    <w:rsid w:val="1B0B72D0"/>
    <w:rsid w:val="1B100797"/>
    <w:rsid w:val="1B2304CB"/>
    <w:rsid w:val="1B245FF1"/>
    <w:rsid w:val="1B9E5DA3"/>
    <w:rsid w:val="1BB90E2F"/>
    <w:rsid w:val="1BCE272A"/>
    <w:rsid w:val="1BCF2401"/>
    <w:rsid w:val="1C13053F"/>
    <w:rsid w:val="1C24274C"/>
    <w:rsid w:val="1C2A3ADB"/>
    <w:rsid w:val="1C3B7A96"/>
    <w:rsid w:val="1C672639"/>
    <w:rsid w:val="1C6F7740"/>
    <w:rsid w:val="1C7B7E93"/>
    <w:rsid w:val="1C850D11"/>
    <w:rsid w:val="1CA7512B"/>
    <w:rsid w:val="1CA92C52"/>
    <w:rsid w:val="1CB533A4"/>
    <w:rsid w:val="1CC17F9B"/>
    <w:rsid w:val="1CD81789"/>
    <w:rsid w:val="1CFF2872"/>
    <w:rsid w:val="1D083E1C"/>
    <w:rsid w:val="1D1327C1"/>
    <w:rsid w:val="1D2B1804"/>
    <w:rsid w:val="1DAD49C3"/>
    <w:rsid w:val="1DE008F5"/>
    <w:rsid w:val="1DEF28E6"/>
    <w:rsid w:val="1E0068A1"/>
    <w:rsid w:val="1E3173A3"/>
    <w:rsid w:val="1E334EC9"/>
    <w:rsid w:val="1E3950C5"/>
    <w:rsid w:val="1E4808ED"/>
    <w:rsid w:val="1E766B63"/>
    <w:rsid w:val="1E984D2C"/>
    <w:rsid w:val="1E9B3AFC"/>
    <w:rsid w:val="1EAC6A29"/>
    <w:rsid w:val="1EB53B30"/>
    <w:rsid w:val="1F182311"/>
    <w:rsid w:val="1F43738D"/>
    <w:rsid w:val="1F536EA5"/>
    <w:rsid w:val="1F7E03C6"/>
    <w:rsid w:val="1F8E612F"/>
    <w:rsid w:val="1F9000F9"/>
    <w:rsid w:val="1FA0658E"/>
    <w:rsid w:val="1FAB6CE1"/>
    <w:rsid w:val="1FE46AA9"/>
    <w:rsid w:val="1FF468DA"/>
    <w:rsid w:val="1FF70178"/>
    <w:rsid w:val="201A79C2"/>
    <w:rsid w:val="201C7BDE"/>
    <w:rsid w:val="20322F5E"/>
    <w:rsid w:val="20476A09"/>
    <w:rsid w:val="2063580D"/>
    <w:rsid w:val="207B2B57"/>
    <w:rsid w:val="20C55B80"/>
    <w:rsid w:val="20C75D9C"/>
    <w:rsid w:val="20DD736E"/>
    <w:rsid w:val="20EA55E7"/>
    <w:rsid w:val="210E39CB"/>
    <w:rsid w:val="21132D8F"/>
    <w:rsid w:val="211F1734"/>
    <w:rsid w:val="212E1977"/>
    <w:rsid w:val="21696E53"/>
    <w:rsid w:val="217001E2"/>
    <w:rsid w:val="218E68BA"/>
    <w:rsid w:val="21A67760"/>
    <w:rsid w:val="21F77FBB"/>
    <w:rsid w:val="21F91F85"/>
    <w:rsid w:val="21FC7CC7"/>
    <w:rsid w:val="220646A2"/>
    <w:rsid w:val="22123047"/>
    <w:rsid w:val="22146DBF"/>
    <w:rsid w:val="22396826"/>
    <w:rsid w:val="225C42C2"/>
    <w:rsid w:val="22DD3655"/>
    <w:rsid w:val="22E26EBD"/>
    <w:rsid w:val="22E67766"/>
    <w:rsid w:val="2318643B"/>
    <w:rsid w:val="23286980"/>
    <w:rsid w:val="23486984"/>
    <w:rsid w:val="234C07DB"/>
    <w:rsid w:val="23621DAC"/>
    <w:rsid w:val="237D0994"/>
    <w:rsid w:val="237F295E"/>
    <w:rsid w:val="23AA1DA8"/>
    <w:rsid w:val="23E7405F"/>
    <w:rsid w:val="23ED1676"/>
    <w:rsid w:val="23F30C56"/>
    <w:rsid w:val="23F41E93"/>
    <w:rsid w:val="23FF13A9"/>
    <w:rsid w:val="2403533D"/>
    <w:rsid w:val="24172B97"/>
    <w:rsid w:val="242751B3"/>
    <w:rsid w:val="242A0B1C"/>
    <w:rsid w:val="242E1C8E"/>
    <w:rsid w:val="244B2840"/>
    <w:rsid w:val="245E4A59"/>
    <w:rsid w:val="246833F2"/>
    <w:rsid w:val="24771887"/>
    <w:rsid w:val="25184241"/>
    <w:rsid w:val="25292B82"/>
    <w:rsid w:val="253909CD"/>
    <w:rsid w:val="25457290"/>
    <w:rsid w:val="256C2A6E"/>
    <w:rsid w:val="257638ED"/>
    <w:rsid w:val="25B54415"/>
    <w:rsid w:val="25CD5C03"/>
    <w:rsid w:val="25E22D55"/>
    <w:rsid w:val="260E1D77"/>
    <w:rsid w:val="260E7FC9"/>
    <w:rsid w:val="26284DDB"/>
    <w:rsid w:val="262D48F3"/>
    <w:rsid w:val="268B33C8"/>
    <w:rsid w:val="269B7AAF"/>
    <w:rsid w:val="26BE554B"/>
    <w:rsid w:val="26E825C8"/>
    <w:rsid w:val="26EA4592"/>
    <w:rsid w:val="27127645"/>
    <w:rsid w:val="272F01F7"/>
    <w:rsid w:val="27BA5D13"/>
    <w:rsid w:val="27BD1CA7"/>
    <w:rsid w:val="27BF3329"/>
    <w:rsid w:val="27CC2E58"/>
    <w:rsid w:val="27D72D69"/>
    <w:rsid w:val="27E45486"/>
    <w:rsid w:val="27F6425C"/>
    <w:rsid w:val="284321AC"/>
    <w:rsid w:val="28771E56"/>
    <w:rsid w:val="28C768EF"/>
    <w:rsid w:val="28DD6E23"/>
    <w:rsid w:val="28F90ABD"/>
    <w:rsid w:val="2903193C"/>
    <w:rsid w:val="29422464"/>
    <w:rsid w:val="29564161"/>
    <w:rsid w:val="29785E86"/>
    <w:rsid w:val="29C70BBB"/>
    <w:rsid w:val="29EB2AFB"/>
    <w:rsid w:val="2A31206B"/>
    <w:rsid w:val="2A614B6C"/>
    <w:rsid w:val="2A720B27"/>
    <w:rsid w:val="2A830F86"/>
    <w:rsid w:val="2AA35184"/>
    <w:rsid w:val="2ACE1AD5"/>
    <w:rsid w:val="2AD52E64"/>
    <w:rsid w:val="2B177920"/>
    <w:rsid w:val="2B193698"/>
    <w:rsid w:val="2B2D2CA0"/>
    <w:rsid w:val="2B481888"/>
    <w:rsid w:val="2B9C7E34"/>
    <w:rsid w:val="2BA7222F"/>
    <w:rsid w:val="2BA96061"/>
    <w:rsid w:val="2BC74EA2"/>
    <w:rsid w:val="2BC90C1A"/>
    <w:rsid w:val="2C29790B"/>
    <w:rsid w:val="2CA174A1"/>
    <w:rsid w:val="2CED6C3A"/>
    <w:rsid w:val="2CFA3055"/>
    <w:rsid w:val="2D0C788F"/>
    <w:rsid w:val="2D295F9A"/>
    <w:rsid w:val="2D314CC9"/>
    <w:rsid w:val="2D35408E"/>
    <w:rsid w:val="2D3E73E6"/>
    <w:rsid w:val="2D510EC7"/>
    <w:rsid w:val="2D8F19F0"/>
    <w:rsid w:val="2DA21723"/>
    <w:rsid w:val="2DCF003E"/>
    <w:rsid w:val="2DE03FF9"/>
    <w:rsid w:val="2E0E0B66"/>
    <w:rsid w:val="2E2959A0"/>
    <w:rsid w:val="2E2B27AB"/>
    <w:rsid w:val="2E627104"/>
    <w:rsid w:val="2E642E7C"/>
    <w:rsid w:val="2E903C71"/>
    <w:rsid w:val="2E921DA5"/>
    <w:rsid w:val="2E9372BE"/>
    <w:rsid w:val="2EA65243"/>
    <w:rsid w:val="2EB84F76"/>
    <w:rsid w:val="2EBB09DD"/>
    <w:rsid w:val="2EC97183"/>
    <w:rsid w:val="2EDF69A7"/>
    <w:rsid w:val="2F0B32F8"/>
    <w:rsid w:val="2F0D0E1E"/>
    <w:rsid w:val="2F320885"/>
    <w:rsid w:val="2F34284F"/>
    <w:rsid w:val="2F5A0F01"/>
    <w:rsid w:val="2F603644"/>
    <w:rsid w:val="2F904782"/>
    <w:rsid w:val="2FCD4A51"/>
    <w:rsid w:val="2FE34275"/>
    <w:rsid w:val="2FF43D8C"/>
    <w:rsid w:val="30006A18"/>
    <w:rsid w:val="30045057"/>
    <w:rsid w:val="302C5C1C"/>
    <w:rsid w:val="302D729E"/>
    <w:rsid w:val="303A20E7"/>
    <w:rsid w:val="303B3430"/>
    <w:rsid w:val="30667B76"/>
    <w:rsid w:val="307410C2"/>
    <w:rsid w:val="30B26121"/>
    <w:rsid w:val="30D75B88"/>
    <w:rsid w:val="30E327D8"/>
    <w:rsid w:val="311C359A"/>
    <w:rsid w:val="31376626"/>
    <w:rsid w:val="313C5E2A"/>
    <w:rsid w:val="31525A13"/>
    <w:rsid w:val="31701B38"/>
    <w:rsid w:val="31813D45"/>
    <w:rsid w:val="319A0963"/>
    <w:rsid w:val="31A812D2"/>
    <w:rsid w:val="31AD68E8"/>
    <w:rsid w:val="31DB5204"/>
    <w:rsid w:val="32170BF7"/>
    <w:rsid w:val="322F72FD"/>
    <w:rsid w:val="323668DE"/>
    <w:rsid w:val="324E1E79"/>
    <w:rsid w:val="325B6344"/>
    <w:rsid w:val="32C043F9"/>
    <w:rsid w:val="32CA640C"/>
    <w:rsid w:val="32D3237F"/>
    <w:rsid w:val="32D3412D"/>
    <w:rsid w:val="33044C2E"/>
    <w:rsid w:val="33052E4F"/>
    <w:rsid w:val="33150BE9"/>
    <w:rsid w:val="33264BA4"/>
    <w:rsid w:val="33694A91"/>
    <w:rsid w:val="33707BCD"/>
    <w:rsid w:val="339E0BDF"/>
    <w:rsid w:val="33CD330B"/>
    <w:rsid w:val="33DE547F"/>
    <w:rsid w:val="34060532"/>
    <w:rsid w:val="340F5638"/>
    <w:rsid w:val="341D7D55"/>
    <w:rsid w:val="343B642D"/>
    <w:rsid w:val="3474193F"/>
    <w:rsid w:val="347656B7"/>
    <w:rsid w:val="348E3839"/>
    <w:rsid w:val="34A43FD3"/>
    <w:rsid w:val="34CC3529"/>
    <w:rsid w:val="34CC52D7"/>
    <w:rsid w:val="34D523DE"/>
    <w:rsid w:val="34EE16F2"/>
    <w:rsid w:val="34FF745B"/>
    <w:rsid w:val="35373099"/>
    <w:rsid w:val="354B08F2"/>
    <w:rsid w:val="3566572C"/>
    <w:rsid w:val="359A53D6"/>
    <w:rsid w:val="35AF558A"/>
    <w:rsid w:val="35B20971"/>
    <w:rsid w:val="35CB1A33"/>
    <w:rsid w:val="364A5420"/>
    <w:rsid w:val="3667175C"/>
    <w:rsid w:val="366C4FC4"/>
    <w:rsid w:val="366E68DA"/>
    <w:rsid w:val="36806379"/>
    <w:rsid w:val="373D24BC"/>
    <w:rsid w:val="374B4BD9"/>
    <w:rsid w:val="376637C1"/>
    <w:rsid w:val="376712E7"/>
    <w:rsid w:val="377D6D5D"/>
    <w:rsid w:val="37D42E21"/>
    <w:rsid w:val="37FA3B07"/>
    <w:rsid w:val="37FC4126"/>
    <w:rsid w:val="3801173C"/>
    <w:rsid w:val="380D1E8F"/>
    <w:rsid w:val="38125841"/>
    <w:rsid w:val="384A6C3F"/>
    <w:rsid w:val="38926838"/>
    <w:rsid w:val="38AA5930"/>
    <w:rsid w:val="38AC5B4C"/>
    <w:rsid w:val="38AD5420"/>
    <w:rsid w:val="38B844F1"/>
    <w:rsid w:val="38C70290"/>
    <w:rsid w:val="38CA4224"/>
    <w:rsid w:val="393435C0"/>
    <w:rsid w:val="39534219"/>
    <w:rsid w:val="396E2E01"/>
    <w:rsid w:val="39B76556"/>
    <w:rsid w:val="39BA7DF4"/>
    <w:rsid w:val="39C26CA9"/>
    <w:rsid w:val="39D0586A"/>
    <w:rsid w:val="3A0472C2"/>
    <w:rsid w:val="3A085004"/>
    <w:rsid w:val="3A17143A"/>
    <w:rsid w:val="3A1F5EA9"/>
    <w:rsid w:val="3A2F2590"/>
    <w:rsid w:val="3A4B6C9E"/>
    <w:rsid w:val="3A5C0EAC"/>
    <w:rsid w:val="3A5F274A"/>
    <w:rsid w:val="3A660185"/>
    <w:rsid w:val="3B331C0C"/>
    <w:rsid w:val="3B5129DA"/>
    <w:rsid w:val="3B660234"/>
    <w:rsid w:val="3B762441"/>
    <w:rsid w:val="3BB05953"/>
    <w:rsid w:val="3BC1190E"/>
    <w:rsid w:val="3BDD4E74"/>
    <w:rsid w:val="3BE92C13"/>
    <w:rsid w:val="3BF16943"/>
    <w:rsid w:val="3BF70E8C"/>
    <w:rsid w:val="3C254167"/>
    <w:rsid w:val="3C54617F"/>
    <w:rsid w:val="3CD613E9"/>
    <w:rsid w:val="3CDB69FF"/>
    <w:rsid w:val="3CE5162C"/>
    <w:rsid w:val="3CEA09F1"/>
    <w:rsid w:val="3CEA279F"/>
    <w:rsid w:val="3D171F98"/>
    <w:rsid w:val="3D4C3459"/>
    <w:rsid w:val="3D540560"/>
    <w:rsid w:val="3D673DEF"/>
    <w:rsid w:val="3D9C10CD"/>
    <w:rsid w:val="3DB37034"/>
    <w:rsid w:val="3DC6005E"/>
    <w:rsid w:val="3DCE75E8"/>
    <w:rsid w:val="3DF02037"/>
    <w:rsid w:val="3DF633C5"/>
    <w:rsid w:val="3E021D6A"/>
    <w:rsid w:val="3E2672E7"/>
    <w:rsid w:val="3E734A16"/>
    <w:rsid w:val="3E7A3FF6"/>
    <w:rsid w:val="3E80785E"/>
    <w:rsid w:val="3EA64DEB"/>
    <w:rsid w:val="3ECB6600"/>
    <w:rsid w:val="3EDE4585"/>
    <w:rsid w:val="3EDE6333"/>
    <w:rsid w:val="3F1C50AD"/>
    <w:rsid w:val="3F367F1D"/>
    <w:rsid w:val="3F5C54AA"/>
    <w:rsid w:val="3F634A8A"/>
    <w:rsid w:val="3F6820A1"/>
    <w:rsid w:val="3F7D78FA"/>
    <w:rsid w:val="3F830C89"/>
    <w:rsid w:val="3F892743"/>
    <w:rsid w:val="3FA34647"/>
    <w:rsid w:val="3FE23C01"/>
    <w:rsid w:val="400022D9"/>
    <w:rsid w:val="4013200C"/>
    <w:rsid w:val="40532D51"/>
    <w:rsid w:val="40580367"/>
    <w:rsid w:val="40CA3013"/>
    <w:rsid w:val="40E340D5"/>
    <w:rsid w:val="40F2256A"/>
    <w:rsid w:val="40F63E08"/>
    <w:rsid w:val="410127AD"/>
    <w:rsid w:val="411529FB"/>
    <w:rsid w:val="41362456"/>
    <w:rsid w:val="413B5CBF"/>
    <w:rsid w:val="415C79E3"/>
    <w:rsid w:val="41652D3C"/>
    <w:rsid w:val="41676AB4"/>
    <w:rsid w:val="41CA2D0D"/>
    <w:rsid w:val="41CA7043"/>
    <w:rsid w:val="41CF23DC"/>
    <w:rsid w:val="41DB399D"/>
    <w:rsid w:val="41E41EB2"/>
    <w:rsid w:val="41E77BF5"/>
    <w:rsid w:val="4202058A"/>
    <w:rsid w:val="42073DF3"/>
    <w:rsid w:val="421E187C"/>
    <w:rsid w:val="4246491B"/>
    <w:rsid w:val="4250579A"/>
    <w:rsid w:val="426E5C20"/>
    <w:rsid w:val="42707BEA"/>
    <w:rsid w:val="427B20EB"/>
    <w:rsid w:val="428611BC"/>
    <w:rsid w:val="42A11473"/>
    <w:rsid w:val="42B86E9B"/>
    <w:rsid w:val="42CD2946"/>
    <w:rsid w:val="42F500EF"/>
    <w:rsid w:val="4315253F"/>
    <w:rsid w:val="433230F1"/>
    <w:rsid w:val="43664B49"/>
    <w:rsid w:val="436A288B"/>
    <w:rsid w:val="438F22F2"/>
    <w:rsid w:val="43931DE2"/>
    <w:rsid w:val="439711A6"/>
    <w:rsid w:val="43B458B4"/>
    <w:rsid w:val="43B9736F"/>
    <w:rsid w:val="43F16B09"/>
    <w:rsid w:val="44316195"/>
    <w:rsid w:val="443A04B0"/>
    <w:rsid w:val="446077EA"/>
    <w:rsid w:val="44676DCB"/>
    <w:rsid w:val="446C43E1"/>
    <w:rsid w:val="44827761"/>
    <w:rsid w:val="448B4867"/>
    <w:rsid w:val="449F0313"/>
    <w:rsid w:val="44A26055"/>
    <w:rsid w:val="44AC2A30"/>
    <w:rsid w:val="44B02520"/>
    <w:rsid w:val="44D73F50"/>
    <w:rsid w:val="45322F35"/>
    <w:rsid w:val="454B2248"/>
    <w:rsid w:val="454C7069"/>
    <w:rsid w:val="455530C7"/>
    <w:rsid w:val="45596713"/>
    <w:rsid w:val="45886FF9"/>
    <w:rsid w:val="458F0387"/>
    <w:rsid w:val="45905EAD"/>
    <w:rsid w:val="45D40490"/>
    <w:rsid w:val="45E17242"/>
    <w:rsid w:val="462211FB"/>
    <w:rsid w:val="462F3918"/>
    <w:rsid w:val="465313B5"/>
    <w:rsid w:val="465515D1"/>
    <w:rsid w:val="46583362"/>
    <w:rsid w:val="465E7D59"/>
    <w:rsid w:val="46634A89"/>
    <w:rsid w:val="466C2476"/>
    <w:rsid w:val="466E2692"/>
    <w:rsid w:val="469D0882"/>
    <w:rsid w:val="46A2058E"/>
    <w:rsid w:val="46B05036"/>
    <w:rsid w:val="46BE3798"/>
    <w:rsid w:val="46C95B1B"/>
    <w:rsid w:val="46F506BE"/>
    <w:rsid w:val="47022DDB"/>
    <w:rsid w:val="471843AC"/>
    <w:rsid w:val="47462CC7"/>
    <w:rsid w:val="4764220C"/>
    <w:rsid w:val="4780267D"/>
    <w:rsid w:val="47833F1C"/>
    <w:rsid w:val="479E48B1"/>
    <w:rsid w:val="47B6656B"/>
    <w:rsid w:val="47CF7161"/>
    <w:rsid w:val="48360F8E"/>
    <w:rsid w:val="483F42E6"/>
    <w:rsid w:val="488F68F0"/>
    <w:rsid w:val="48A00AFD"/>
    <w:rsid w:val="48BD6AB0"/>
    <w:rsid w:val="48DF3CF4"/>
    <w:rsid w:val="48E1539E"/>
    <w:rsid w:val="48FF3A76"/>
    <w:rsid w:val="490B41C9"/>
    <w:rsid w:val="490E670B"/>
    <w:rsid w:val="49155047"/>
    <w:rsid w:val="492C413F"/>
    <w:rsid w:val="492E7EB7"/>
    <w:rsid w:val="494D47E1"/>
    <w:rsid w:val="49521DF7"/>
    <w:rsid w:val="49867CF3"/>
    <w:rsid w:val="49A81A17"/>
    <w:rsid w:val="49F76548"/>
    <w:rsid w:val="4A1E7F2C"/>
    <w:rsid w:val="4A2512BA"/>
    <w:rsid w:val="4A25750C"/>
    <w:rsid w:val="4A325785"/>
    <w:rsid w:val="4A6E0EB3"/>
    <w:rsid w:val="4A8907BB"/>
    <w:rsid w:val="4A8A3813"/>
    <w:rsid w:val="4A9D52F4"/>
    <w:rsid w:val="4ABF34BD"/>
    <w:rsid w:val="4AF34F14"/>
    <w:rsid w:val="4B110B90"/>
    <w:rsid w:val="4B1F21AD"/>
    <w:rsid w:val="4B3D2633"/>
    <w:rsid w:val="4B63653E"/>
    <w:rsid w:val="4B7D0C82"/>
    <w:rsid w:val="4B9A1834"/>
    <w:rsid w:val="4BA12BC2"/>
    <w:rsid w:val="4BF47196"/>
    <w:rsid w:val="4C123AC0"/>
    <w:rsid w:val="4C2149E6"/>
    <w:rsid w:val="4C251A45"/>
    <w:rsid w:val="4C2F4672"/>
    <w:rsid w:val="4C3103EA"/>
    <w:rsid w:val="4C43011D"/>
    <w:rsid w:val="4C650094"/>
    <w:rsid w:val="4C6A56AA"/>
    <w:rsid w:val="4C8C73CE"/>
    <w:rsid w:val="4CA961D2"/>
    <w:rsid w:val="4CD60F91"/>
    <w:rsid w:val="4D043409"/>
    <w:rsid w:val="4D07739D"/>
    <w:rsid w:val="4D16138E"/>
    <w:rsid w:val="4D1F46E6"/>
    <w:rsid w:val="4D317F76"/>
    <w:rsid w:val="4D3637DE"/>
    <w:rsid w:val="4D3B2BA3"/>
    <w:rsid w:val="4D4828C8"/>
    <w:rsid w:val="4D494ED3"/>
    <w:rsid w:val="4D7A7B6F"/>
    <w:rsid w:val="4D986247"/>
    <w:rsid w:val="4DAD0AEE"/>
    <w:rsid w:val="4DBC1F35"/>
    <w:rsid w:val="4DC96B69"/>
    <w:rsid w:val="4DE33966"/>
    <w:rsid w:val="4DF711BF"/>
    <w:rsid w:val="4E067654"/>
    <w:rsid w:val="4E2A50F1"/>
    <w:rsid w:val="4E375A60"/>
    <w:rsid w:val="4E5008D0"/>
    <w:rsid w:val="4E524648"/>
    <w:rsid w:val="4E65437B"/>
    <w:rsid w:val="4E683E6B"/>
    <w:rsid w:val="4E8135B3"/>
    <w:rsid w:val="4E8D38D2"/>
    <w:rsid w:val="4E93713A"/>
    <w:rsid w:val="4EC45545"/>
    <w:rsid w:val="4F267444"/>
    <w:rsid w:val="4F4026F2"/>
    <w:rsid w:val="4F652159"/>
    <w:rsid w:val="4F7A3E56"/>
    <w:rsid w:val="4F870321"/>
    <w:rsid w:val="4F8E7901"/>
    <w:rsid w:val="4F9D5D96"/>
    <w:rsid w:val="4FB530E0"/>
    <w:rsid w:val="4FBF7ABB"/>
    <w:rsid w:val="4FC45FF2"/>
    <w:rsid w:val="4FDD43E5"/>
    <w:rsid w:val="4FE13ED5"/>
    <w:rsid w:val="4FE85264"/>
    <w:rsid w:val="502A587C"/>
    <w:rsid w:val="50395ABF"/>
    <w:rsid w:val="503C40AD"/>
    <w:rsid w:val="50834F8C"/>
    <w:rsid w:val="508D27A6"/>
    <w:rsid w:val="51165E00"/>
    <w:rsid w:val="51C15D6C"/>
    <w:rsid w:val="51C4760A"/>
    <w:rsid w:val="51E952C3"/>
    <w:rsid w:val="51F15F26"/>
    <w:rsid w:val="5268443A"/>
    <w:rsid w:val="527821A3"/>
    <w:rsid w:val="52C8137C"/>
    <w:rsid w:val="52D23FA9"/>
    <w:rsid w:val="52E066C6"/>
    <w:rsid w:val="52F263F9"/>
    <w:rsid w:val="53083749"/>
    <w:rsid w:val="5334431C"/>
    <w:rsid w:val="53373E0C"/>
    <w:rsid w:val="536410A5"/>
    <w:rsid w:val="53803A05"/>
    <w:rsid w:val="539179C0"/>
    <w:rsid w:val="53A94D0A"/>
    <w:rsid w:val="53B01CA3"/>
    <w:rsid w:val="53CC27A6"/>
    <w:rsid w:val="53CE29C2"/>
    <w:rsid w:val="53D0673A"/>
    <w:rsid w:val="53D578AD"/>
    <w:rsid w:val="53E53868"/>
    <w:rsid w:val="53EC4BF7"/>
    <w:rsid w:val="53F51CFD"/>
    <w:rsid w:val="542645AC"/>
    <w:rsid w:val="54280D1A"/>
    <w:rsid w:val="54420CBA"/>
    <w:rsid w:val="544B5DC1"/>
    <w:rsid w:val="545C7FCE"/>
    <w:rsid w:val="546E1AAF"/>
    <w:rsid w:val="5474356A"/>
    <w:rsid w:val="5486329D"/>
    <w:rsid w:val="548E5CAE"/>
    <w:rsid w:val="54971006"/>
    <w:rsid w:val="54A35BFD"/>
    <w:rsid w:val="54AF6350"/>
    <w:rsid w:val="54B43966"/>
    <w:rsid w:val="54D9161F"/>
    <w:rsid w:val="54F46459"/>
    <w:rsid w:val="555869E7"/>
    <w:rsid w:val="55603AEE"/>
    <w:rsid w:val="5560589C"/>
    <w:rsid w:val="556F1F83"/>
    <w:rsid w:val="55A35789"/>
    <w:rsid w:val="55B84EAE"/>
    <w:rsid w:val="55DD6EED"/>
    <w:rsid w:val="562C1C22"/>
    <w:rsid w:val="56382C47"/>
    <w:rsid w:val="56496330"/>
    <w:rsid w:val="567D5FDA"/>
    <w:rsid w:val="56C02A96"/>
    <w:rsid w:val="57014E5D"/>
    <w:rsid w:val="57623B4D"/>
    <w:rsid w:val="57723665"/>
    <w:rsid w:val="57EF1159"/>
    <w:rsid w:val="57FD3876"/>
    <w:rsid w:val="581F1A3E"/>
    <w:rsid w:val="583D3C73"/>
    <w:rsid w:val="584B45E2"/>
    <w:rsid w:val="588C0756"/>
    <w:rsid w:val="589715D5"/>
    <w:rsid w:val="58C85C32"/>
    <w:rsid w:val="58E42340"/>
    <w:rsid w:val="58F76517"/>
    <w:rsid w:val="58FF717A"/>
    <w:rsid w:val="59012EF2"/>
    <w:rsid w:val="59142C25"/>
    <w:rsid w:val="59171178"/>
    <w:rsid w:val="595E20F3"/>
    <w:rsid w:val="597638E0"/>
    <w:rsid w:val="597933D0"/>
    <w:rsid w:val="597B4491"/>
    <w:rsid w:val="59A57D21"/>
    <w:rsid w:val="59AF0332"/>
    <w:rsid w:val="59D16D68"/>
    <w:rsid w:val="59F34F31"/>
    <w:rsid w:val="5A056A12"/>
    <w:rsid w:val="5A144EA7"/>
    <w:rsid w:val="5A1D1FAE"/>
    <w:rsid w:val="5A2450EA"/>
    <w:rsid w:val="5A470DD9"/>
    <w:rsid w:val="5A494B51"/>
    <w:rsid w:val="5A4E03B9"/>
    <w:rsid w:val="5A5D05FC"/>
    <w:rsid w:val="5A731BCE"/>
    <w:rsid w:val="5A9B6510"/>
    <w:rsid w:val="5ABF6998"/>
    <w:rsid w:val="5AC35D7E"/>
    <w:rsid w:val="5ACE14FA"/>
    <w:rsid w:val="5B0D2022"/>
    <w:rsid w:val="5B386973"/>
    <w:rsid w:val="5B411CCC"/>
    <w:rsid w:val="5B9242D5"/>
    <w:rsid w:val="5BBC1352"/>
    <w:rsid w:val="5BC30933"/>
    <w:rsid w:val="5BD62414"/>
    <w:rsid w:val="5C1B17B8"/>
    <w:rsid w:val="5C2C64D8"/>
    <w:rsid w:val="5C3A25B5"/>
    <w:rsid w:val="5C423F4D"/>
    <w:rsid w:val="5C8A1451"/>
    <w:rsid w:val="5C983B6D"/>
    <w:rsid w:val="5CB84210"/>
    <w:rsid w:val="5CCB5CF1"/>
    <w:rsid w:val="5CE35E2B"/>
    <w:rsid w:val="5D0A42CB"/>
    <w:rsid w:val="5D2D075A"/>
    <w:rsid w:val="5D327B1E"/>
    <w:rsid w:val="5D4810F0"/>
    <w:rsid w:val="5DB20C5F"/>
    <w:rsid w:val="5DB76275"/>
    <w:rsid w:val="5DE057CC"/>
    <w:rsid w:val="5DED1C97"/>
    <w:rsid w:val="5DED7EE9"/>
    <w:rsid w:val="5DFB0858"/>
    <w:rsid w:val="5E0E058B"/>
    <w:rsid w:val="5E1D07CE"/>
    <w:rsid w:val="5E385608"/>
    <w:rsid w:val="5E40626B"/>
    <w:rsid w:val="5E4E4E2C"/>
    <w:rsid w:val="5EAA5DDA"/>
    <w:rsid w:val="5EC155FD"/>
    <w:rsid w:val="5ED8763C"/>
    <w:rsid w:val="5EDD61AF"/>
    <w:rsid w:val="5EE035AA"/>
    <w:rsid w:val="5EF86B45"/>
    <w:rsid w:val="5F0E70B0"/>
    <w:rsid w:val="5F313E05"/>
    <w:rsid w:val="5F6D308F"/>
    <w:rsid w:val="5F881C77"/>
    <w:rsid w:val="5FB54A36"/>
    <w:rsid w:val="5FD50C35"/>
    <w:rsid w:val="5FD72BFF"/>
    <w:rsid w:val="5FFC7D0A"/>
    <w:rsid w:val="5FFE1F39"/>
    <w:rsid w:val="5FFE3589"/>
    <w:rsid w:val="60003F04"/>
    <w:rsid w:val="60200102"/>
    <w:rsid w:val="60365B77"/>
    <w:rsid w:val="60515EE8"/>
    <w:rsid w:val="606A75CF"/>
    <w:rsid w:val="60736193"/>
    <w:rsid w:val="60795A64"/>
    <w:rsid w:val="608B14A0"/>
    <w:rsid w:val="60CC028A"/>
    <w:rsid w:val="61135EB8"/>
    <w:rsid w:val="611A0FF5"/>
    <w:rsid w:val="61250170"/>
    <w:rsid w:val="61475B62"/>
    <w:rsid w:val="615564D1"/>
    <w:rsid w:val="615C785F"/>
    <w:rsid w:val="61603C1A"/>
    <w:rsid w:val="6166423A"/>
    <w:rsid w:val="6171498D"/>
    <w:rsid w:val="617C1CB0"/>
    <w:rsid w:val="61910E2C"/>
    <w:rsid w:val="619743F4"/>
    <w:rsid w:val="61CD42B9"/>
    <w:rsid w:val="61E67129"/>
    <w:rsid w:val="622D6B06"/>
    <w:rsid w:val="62324D67"/>
    <w:rsid w:val="623C4F9B"/>
    <w:rsid w:val="62467BC8"/>
    <w:rsid w:val="62487DE4"/>
    <w:rsid w:val="62854069"/>
    <w:rsid w:val="628E2F58"/>
    <w:rsid w:val="62946B85"/>
    <w:rsid w:val="62A241F2"/>
    <w:rsid w:val="62A3501A"/>
    <w:rsid w:val="62C0797A"/>
    <w:rsid w:val="62D13935"/>
    <w:rsid w:val="63251ED3"/>
    <w:rsid w:val="63331D15"/>
    <w:rsid w:val="63676048"/>
    <w:rsid w:val="63892462"/>
    <w:rsid w:val="63984453"/>
    <w:rsid w:val="63B03E93"/>
    <w:rsid w:val="63BD3EBA"/>
    <w:rsid w:val="63C416EC"/>
    <w:rsid w:val="63D27752"/>
    <w:rsid w:val="63DF2082"/>
    <w:rsid w:val="63FD1B44"/>
    <w:rsid w:val="64220BB4"/>
    <w:rsid w:val="64267CB1"/>
    <w:rsid w:val="645E15B3"/>
    <w:rsid w:val="64C25C2B"/>
    <w:rsid w:val="64C95594"/>
    <w:rsid w:val="64D8544F"/>
    <w:rsid w:val="64F40429"/>
    <w:rsid w:val="64F97173"/>
    <w:rsid w:val="651D7306"/>
    <w:rsid w:val="651E6376"/>
    <w:rsid w:val="6530528B"/>
    <w:rsid w:val="65384752"/>
    <w:rsid w:val="656C3DE9"/>
    <w:rsid w:val="65842EE1"/>
    <w:rsid w:val="658A426F"/>
    <w:rsid w:val="659D21F5"/>
    <w:rsid w:val="65B0017A"/>
    <w:rsid w:val="65D025CA"/>
    <w:rsid w:val="65DC2D1D"/>
    <w:rsid w:val="660D7080"/>
    <w:rsid w:val="66263F98"/>
    <w:rsid w:val="6658788B"/>
    <w:rsid w:val="66886A01"/>
    <w:rsid w:val="66A852F5"/>
    <w:rsid w:val="66B21CD0"/>
    <w:rsid w:val="66FD119D"/>
    <w:rsid w:val="6707201B"/>
    <w:rsid w:val="67281F92"/>
    <w:rsid w:val="67297071"/>
    <w:rsid w:val="672A3F5C"/>
    <w:rsid w:val="672E75A8"/>
    <w:rsid w:val="6739419F"/>
    <w:rsid w:val="675B2367"/>
    <w:rsid w:val="67656D42"/>
    <w:rsid w:val="67694A84"/>
    <w:rsid w:val="67786A75"/>
    <w:rsid w:val="677F7E04"/>
    <w:rsid w:val="67BD6B7E"/>
    <w:rsid w:val="67E1648C"/>
    <w:rsid w:val="6808604B"/>
    <w:rsid w:val="681D761D"/>
    <w:rsid w:val="682B1D3A"/>
    <w:rsid w:val="68336E40"/>
    <w:rsid w:val="683E1A6D"/>
    <w:rsid w:val="6841330B"/>
    <w:rsid w:val="689A0C6D"/>
    <w:rsid w:val="68B83154"/>
    <w:rsid w:val="68C83A2C"/>
    <w:rsid w:val="68E5013A"/>
    <w:rsid w:val="68F0088D"/>
    <w:rsid w:val="68F71C1C"/>
    <w:rsid w:val="691722BE"/>
    <w:rsid w:val="692C7B17"/>
    <w:rsid w:val="694110E9"/>
    <w:rsid w:val="69431305"/>
    <w:rsid w:val="69581096"/>
    <w:rsid w:val="69584DB0"/>
    <w:rsid w:val="69A9410F"/>
    <w:rsid w:val="69AD360D"/>
    <w:rsid w:val="69CF4947"/>
    <w:rsid w:val="6A1F767C"/>
    <w:rsid w:val="6A217DF6"/>
    <w:rsid w:val="6A371DEF"/>
    <w:rsid w:val="6A4E1D0F"/>
    <w:rsid w:val="6A5437CA"/>
    <w:rsid w:val="6A70612A"/>
    <w:rsid w:val="6A9736B6"/>
    <w:rsid w:val="6A9811DC"/>
    <w:rsid w:val="6A9C0CCD"/>
    <w:rsid w:val="6AB44268"/>
    <w:rsid w:val="6B100175"/>
    <w:rsid w:val="6B122952"/>
    <w:rsid w:val="6B37721A"/>
    <w:rsid w:val="6B3D425E"/>
    <w:rsid w:val="6B431148"/>
    <w:rsid w:val="6B6F1F3D"/>
    <w:rsid w:val="6B9B0F84"/>
    <w:rsid w:val="6BAF67DE"/>
    <w:rsid w:val="6BC73B27"/>
    <w:rsid w:val="6BEB3CFE"/>
    <w:rsid w:val="6BF07522"/>
    <w:rsid w:val="6C0279BB"/>
    <w:rsid w:val="6C044D7B"/>
    <w:rsid w:val="6C07661A"/>
    <w:rsid w:val="6C2E1DF8"/>
    <w:rsid w:val="6C662F7C"/>
    <w:rsid w:val="6C6B4119"/>
    <w:rsid w:val="6C804AB4"/>
    <w:rsid w:val="6C9F2CF6"/>
    <w:rsid w:val="6CB73B9C"/>
    <w:rsid w:val="6CDC7AA6"/>
    <w:rsid w:val="6CE4695B"/>
    <w:rsid w:val="6D154D66"/>
    <w:rsid w:val="6D194857"/>
    <w:rsid w:val="6D4F64CA"/>
    <w:rsid w:val="6D5238C5"/>
    <w:rsid w:val="6D655CEE"/>
    <w:rsid w:val="6D9C0FE4"/>
    <w:rsid w:val="6DCA5B51"/>
    <w:rsid w:val="6DD644F6"/>
    <w:rsid w:val="6DE55656"/>
    <w:rsid w:val="6DFB0400"/>
    <w:rsid w:val="6E261BA7"/>
    <w:rsid w:val="6E5A3E2A"/>
    <w:rsid w:val="6E657628"/>
    <w:rsid w:val="6E8B52E0"/>
    <w:rsid w:val="6EF74724"/>
    <w:rsid w:val="6F176B74"/>
    <w:rsid w:val="6F5778B8"/>
    <w:rsid w:val="6F5E29F5"/>
    <w:rsid w:val="6F806E0F"/>
    <w:rsid w:val="6FB24AEE"/>
    <w:rsid w:val="6FB62831"/>
    <w:rsid w:val="6FBB1BF5"/>
    <w:rsid w:val="6FC54822"/>
    <w:rsid w:val="6FE4739E"/>
    <w:rsid w:val="6FED5B27"/>
    <w:rsid w:val="70691651"/>
    <w:rsid w:val="707D0B1B"/>
    <w:rsid w:val="70903082"/>
    <w:rsid w:val="709D754D"/>
    <w:rsid w:val="70A00DEB"/>
    <w:rsid w:val="70AE175A"/>
    <w:rsid w:val="70BA3537"/>
    <w:rsid w:val="70BF3836"/>
    <w:rsid w:val="70C26FB3"/>
    <w:rsid w:val="70D07922"/>
    <w:rsid w:val="70F3716D"/>
    <w:rsid w:val="710D6480"/>
    <w:rsid w:val="714B246D"/>
    <w:rsid w:val="71502811"/>
    <w:rsid w:val="71844269"/>
    <w:rsid w:val="71900E5F"/>
    <w:rsid w:val="719E357C"/>
    <w:rsid w:val="71A05546"/>
    <w:rsid w:val="71AB5C99"/>
    <w:rsid w:val="72192C03"/>
    <w:rsid w:val="721D6DF3"/>
    <w:rsid w:val="722241AD"/>
    <w:rsid w:val="72536115"/>
    <w:rsid w:val="725B76BF"/>
    <w:rsid w:val="72C963D7"/>
    <w:rsid w:val="72D51220"/>
    <w:rsid w:val="72FB055A"/>
    <w:rsid w:val="73245D03"/>
    <w:rsid w:val="732E2E41"/>
    <w:rsid w:val="73375A36"/>
    <w:rsid w:val="734B14E2"/>
    <w:rsid w:val="73552361"/>
    <w:rsid w:val="73571C35"/>
    <w:rsid w:val="735E1215"/>
    <w:rsid w:val="73762E92"/>
    <w:rsid w:val="737F118B"/>
    <w:rsid w:val="738467A2"/>
    <w:rsid w:val="73AF7CC3"/>
    <w:rsid w:val="73D03795"/>
    <w:rsid w:val="73D94D40"/>
    <w:rsid w:val="740873D3"/>
    <w:rsid w:val="743326A2"/>
    <w:rsid w:val="746565D3"/>
    <w:rsid w:val="74827185"/>
    <w:rsid w:val="74992ED5"/>
    <w:rsid w:val="749F1AE5"/>
    <w:rsid w:val="74B75416"/>
    <w:rsid w:val="74D6302D"/>
    <w:rsid w:val="74F636CF"/>
    <w:rsid w:val="74FA6D1C"/>
    <w:rsid w:val="750C3049"/>
    <w:rsid w:val="751050E8"/>
    <w:rsid w:val="75151DA7"/>
    <w:rsid w:val="75422471"/>
    <w:rsid w:val="75575F1C"/>
    <w:rsid w:val="7568637B"/>
    <w:rsid w:val="75DC28C5"/>
    <w:rsid w:val="76326989"/>
    <w:rsid w:val="7657019E"/>
    <w:rsid w:val="766905FD"/>
    <w:rsid w:val="766C1E9B"/>
    <w:rsid w:val="766C3C49"/>
    <w:rsid w:val="768865A9"/>
    <w:rsid w:val="768C6099"/>
    <w:rsid w:val="76A96C4B"/>
    <w:rsid w:val="76BD26F7"/>
    <w:rsid w:val="76E47C83"/>
    <w:rsid w:val="773D3837"/>
    <w:rsid w:val="774626EC"/>
    <w:rsid w:val="77736FF8"/>
    <w:rsid w:val="778E7BEF"/>
    <w:rsid w:val="779C67B0"/>
    <w:rsid w:val="779D7E32"/>
    <w:rsid w:val="77D01FB6"/>
    <w:rsid w:val="77F9150C"/>
    <w:rsid w:val="780103C1"/>
    <w:rsid w:val="780879A1"/>
    <w:rsid w:val="781520BE"/>
    <w:rsid w:val="782567A5"/>
    <w:rsid w:val="784576F8"/>
    <w:rsid w:val="78564BB1"/>
    <w:rsid w:val="785901FD"/>
    <w:rsid w:val="78767A5E"/>
    <w:rsid w:val="787B63C5"/>
    <w:rsid w:val="788F3C1F"/>
    <w:rsid w:val="78917997"/>
    <w:rsid w:val="78B35B5F"/>
    <w:rsid w:val="78E0447A"/>
    <w:rsid w:val="78E75809"/>
    <w:rsid w:val="78F61EF0"/>
    <w:rsid w:val="79004B1D"/>
    <w:rsid w:val="79030169"/>
    <w:rsid w:val="79095F2D"/>
    <w:rsid w:val="79112B10"/>
    <w:rsid w:val="79515378"/>
    <w:rsid w:val="798017B9"/>
    <w:rsid w:val="79960562"/>
    <w:rsid w:val="79FA5A10"/>
    <w:rsid w:val="7A1C14E2"/>
    <w:rsid w:val="7A2307C6"/>
    <w:rsid w:val="7A54626B"/>
    <w:rsid w:val="7AA00365"/>
    <w:rsid w:val="7AA240DD"/>
    <w:rsid w:val="7ABB6F4D"/>
    <w:rsid w:val="7AD85D51"/>
    <w:rsid w:val="7AE83ABA"/>
    <w:rsid w:val="7AFB1A3F"/>
    <w:rsid w:val="7B607AF4"/>
    <w:rsid w:val="7B705F89"/>
    <w:rsid w:val="7B821819"/>
    <w:rsid w:val="7BA23C69"/>
    <w:rsid w:val="7BAC2D3A"/>
    <w:rsid w:val="7BC10593"/>
    <w:rsid w:val="7BDF4EBD"/>
    <w:rsid w:val="7BF02C60"/>
    <w:rsid w:val="7C050DEC"/>
    <w:rsid w:val="7C411B8B"/>
    <w:rsid w:val="7C8B294F"/>
    <w:rsid w:val="7C8D66C7"/>
    <w:rsid w:val="7C923CDE"/>
    <w:rsid w:val="7CAF663E"/>
    <w:rsid w:val="7CE54755"/>
    <w:rsid w:val="7D0050EB"/>
    <w:rsid w:val="7D1868D9"/>
    <w:rsid w:val="7D39684F"/>
    <w:rsid w:val="7D586CD5"/>
    <w:rsid w:val="7D6C452F"/>
    <w:rsid w:val="7D6E64F9"/>
    <w:rsid w:val="7D7D498E"/>
    <w:rsid w:val="7D8F021D"/>
    <w:rsid w:val="7D9341B1"/>
    <w:rsid w:val="7DA0242A"/>
    <w:rsid w:val="7DBF6D54"/>
    <w:rsid w:val="7DDA593C"/>
    <w:rsid w:val="7DE642E1"/>
    <w:rsid w:val="7DFD76C5"/>
    <w:rsid w:val="7DFF53A3"/>
    <w:rsid w:val="7E062BD5"/>
    <w:rsid w:val="7E1A3F8B"/>
    <w:rsid w:val="7E413C0D"/>
    <w:rsid w:val="7E5356EF"/>
    <w:rsid w:val="7E816BC7"/>
    <w:rsid w:val="7E9C0E44"/>
    <w:rsid w:val="7E9E4BBC"/>
    <w:rsid w:val="7E9F26E2"/>
    <w:rsid w:val="7ECA59B1"/>
    <w:rsid w:val="7EED78F1"/>
    <w:rsid w:val="7F052E8D"/>
    <w:rsid w:val="7F0D7F93"/>
    <w:rsid w:val="7F1C1F84"/>
    <w:rsid w:val="7F587460"/>
    <w:rsid w:val="7F6776A3"/>
    <w:rsid w:val="7F6C2EA6"/>
    <w:rsid w:val="7F7818B1"/>
    <w:rsid w:val="7F8B6823"/>
    <w:rsid w:val="7FD52A46"/>
    <w:rsid w:val="7FD558D4"/>
    <w:rsid w:val="7FEC7BA9"/>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8"/>
    <w:qFormat/>
    <w:uiPriority w:val="0"/>
    <w:pPr>
      <w:adjustRightInd w:val="0"/>
      <w:jc w:val="center"/>
      <w:textAlignment w:val="baseline"/>
      <w:outlineLvl w:val="1"/>
    </w:pPr>
    <w:rPr>
      <w:kern w:val="0"/>
      <w:sz w:val="24"/>
      <w:szCs w:val="20"/>
    </w:rPr>
  </w:style>
  <w:style w:type="paragraph" w:styleId="3">
    <w:name w:val="heading 3"/>
    <w:basedOn w:val="4"/>
    <w:next w:val="1"/>
    <w:link w:val="62"/>
    <w:qFormat/>
    <w:uiPriority w:val="9"/>
    <w:pPr>
      <w:spacing w:before="260" w:after="260" w:line="240" w:lineRule="auto"/>
      <w:outlineLvl w:val="2"/>
    </w:pPr>
    <w:rPr>
      <w:rFonts w:ascii="宋体" w:hAnsi="宋体" w:eastAsia="宋体"/>
      <w:szCs w:val="32"/>
    </w:rPr>
  </w:style>
  <w:style w:type="paragraph" w:styleId="4">
    <w:name w:val="heading 4"/>
    <w:basedOn w:val="1"/>
    <w:next w:val="1"/>
    <w:link w:val="6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7"/>
    <w:qFormat/>
    <w:uiPriority w:val="0"/>
    <w:pPr>
      <w:keepNext/>
      <w:keepLines/>
      <w:spacing w:before="280" w:after="290" w:line="376" w:lineRule="auto"/>
      <w:outlineLvl w:val="4"/>
    </w:pPr>
    <w:rPr>
      <w:b/>
      <w:sz w:val="28"/>
      <w:szCs w:val="20"/>
    </w:rPr>
  </w:style>
  <w:style w:type="paragraph" w:styleId="8">
    <w:name w:val="heading 6"/>
    <w:basedOn w:val="1"/>
    <w:next w:val="7"/>
    <w:link w:val="9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91"/>
    <w:qFormat/>
    <w:uiPriority w:val="0"/>
    <w:pPr>
      <w:keepNext/>
      <w:keepLines/>
      <w:spacing w:before="240" w:after="64" w:line="320" w:lineRule="auto"/>
      <w:outlineLvl w:val="6"/>
    </w:pPr>
    <w:rPr>
      <w:b/>
      <w:sz w:val="24"/>
      <w:szCs w:val="20"/>
    </w:rPr>
  </w:style>
  <w:style w:type="paragraph" w:styleId="10">
    <w:name w:val="heading 8"/>
    <w:basedOn w:val="1"/>
    <w:next w:val="7"/>
    <w:link w:val="9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9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link w:val="64"/>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91"/>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105"/>
    <w:qFormat/>
    <w:uiPriority w:val="0"/>
    <w:pPr>
      <w:spacing w:after="120"/>
    </w:pPr>
    <w:rPr>
      <w:sz w:val="16"/>
      <w:szCs w:val="16"/>
    </w:rPr>
  </w:style>
  <w:style w:type="paragraph" w:styleId="18">
    <w:name w:val="Body Text"/>
    <w:basedOn w:val="1"/>
    <w:next w:val="19"/>
    <w:link w:val="99"/>
    <w:qFormat/>
    <w:uiPriority w:val="0"/>
    <w:pPr>
      <w:spacing w:line="360" w:lineRule="auto"/>
    </w:pPr>
    <w:rPr>
      <w:b/>
      <w:bCs/>
      <w:sz w:val="24"/>
    </w:rPr>
  </w:style>
  <w:style w:type="paragraph" w:styleId="19">
    <w:name w:val="Body Text 2"/>
    <w:basedOn w:val="1"/>
    <w:link w:val="103"/>
    <w:qFormat/>
    <w:uiPriority w:val="0"/>
    <w:pPr>
      <w:spacing w:line="360" w:lineRule="auto"/>
    </w:pPr>
    <w:rPr>
      <w:sz w:val="24"/>
    </w:rPr>
  </w:style>
  <w:style w:type="paragraph" w:styleId="20">
    <w:name w:val="Body Text Indent"/>
    <w:basedOn w:val="1"/>
    <w:link w:val="86"/>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7"/>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5"/>
    <w:qFormat/>
    <w:uiPriority w:val="0"/>
    <w:rPr>
      <w:rFonts w:ascii="宋体" w:hAnsi="Courier New"/>
      <w:sz w:val="32"/>
      <w:szCs w:val="20"/>
    </w:rPr>
  </w:style>
  <w:style w:type="paragraph" w:styleId="26">
    <w:name w:val="Body Text Indent 2"/>
    <w:basedOn w:val="1"/>
    <w:link w:val="100"/>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6"/>
    <w:semiHidden/>
    <w:qFormat/>
    <w:uiPriority w:val="99"/>
    <w:rPr>
      <w:sz w:val="18"/>
      <w:szCs w:val="18"/>
    </w:rPr>
  </w:style>
  <w:style w:type="paragraph" w:styleId="28">
    <w:name w:val="footer"/>
    <w:basedOn w:val="1"/>
    <w:link w:val="104"/>
    <w:qFormat/>
    <w:uiPriority w:val="0"/>
    <w:pPr>
      <w:tabs>
        <w:tab w:val="center" w:pos="4153"/>
        <w:tab w:val="right" w:pos="8306"/>
      </w:tabs>
      <w:snapToGrid w:val="0"/>
      <w:jc w:val="left"/>
    </w:pPr>
    <w:rPr>
      <w:sz w:val="18"/>
      <w:szCs w:val="18"/>
    </w:rPr>
  </w:style>
  <w:style w:type="paragraph" w:styleId="29">
    <w:name w:val="header"/>
    <w:basedOn w:val="1"/>
    <w:link w:val="10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2"/>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7"/>
    <w:qFormat/>
    <w:uiPriority w:val="99"/>
    <w:pPr>
      <w:spacing w:before="0" w:beforeAutospacing="1" w:after="0" w:afterAutospacing="1"/>
      <w:ind w:left="0" w:right="0"/>
      <w:jc w:val="left"/>
    </w:pPr>
    <w:rPr>
      <w:kern w:val="0"/>
      <w:sz w:val="24"/>
      <w:lang w:val="en-US" w:eastAsia="zh-CN" w:bidi="ar"/>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92"/>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37"/>
    <w:qFormat/>
    <w:uiPriority w:val="0"/>
    <w:pPr>
      <w:spacing w:after="120" w:line="240" w:lineRule="auto"/>
      <w:ind w:firstLine="420" w:firstLineChars="100"/>
    </w:pPr>
    <w:rPr>
      <w:sz w:val="21"/>
    </w:rPr>
  </w:style>
  <w:style w:type="table" w:styleId="43">
    <w:name w:val="Table Grid"/>
    <w:basedOn w:val="42"/>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semiHidden/>
    <w:unhideWhenUsed/>
    <w:qFormat/>
    <w:uiPriority w:val="0"/>
  </w:style>
  <w:style w:type="character" w:styleId="50">
    <w:name w:val="HTML Typewriter"/>
    <w:basedOn w:val="44"/>
    <w:semiHidden/>
    <w:unhideWhenUsed/>
    <w:qFormat/>
    <w:uiPriority w:val="0"/>
    <w:rPr>
      <w:rFonts w:hint="default" w:ascii="monospace" w:hAnsi="monospace" w:eastAsia="monospace" w:cs="monospace"/>
      <w:sz w:val="20"/>
    </w:rPr>
  </w:style>
  <w:style w:type="character" w:styleId="51">
    <w:name w:val="HTML Acronym"/>
    <w:basedOn w:val="44"/>
    <w:semiHidden/>
    <w:unhideWhenUsed/>
    <w:qFormat/>
    <w:uiPriority w:val="0"/>
  </w:style>
  <w:style w:type="character" w:styleId="52">
    <w:name w:val="HTML Variable"/>
    <w:basedOn w:val="44"/>
    <w:semiHidden/>
    <w:unhideWhenUsed/>
    <w:qFormat/>
    <w:uiPriority w:val="0"/>
  </w:style>
  <w:style w:type="character" w:styleId="53">
    <w:name w:val="Hyperlink"/>
    <w:qFormat/>
    <w:uiPriority w:val="0"/>
    <w:rPr>
      <w:color w:val="0000FF"/>
      <w:u w:val="single"/>
    </w:rPr>
  </w:style>
  <w:style w:type="character" w:styleId="54">
    <w:name w:val="HTML Code"/>
    <w:basedOn w:val="44"/>
    <w:semiHidden/>
    <w:unhideWhenUsed/>
    <w:qFormat/>
    <w:uiPriority w:val="0"/>
    <w:rPr>
      <w:rFonts w:hint="default" w:ascii="monospace" w:hAnsi="monospace" w:eastAsia="monospace" w:cs="monospace"/>
      <w:sz w:val="20"/>
    </w:rPr>
  </w:style>
  <w:style w:type="character" w:styleId="55">
    <w:name w:val="annotation reference"/>
    <w:basedOn w:val="44"/>
    <w:qFormat/>
    <w:uiPriority w:val="99"/>
    <w:rPr>
      <w:sz w:val="21"/>
      <w:szCs w:val="21"/>
    </w:rPr>
  </w:style>
  <w:style w:type="character" w:styleId="56">
    <w:name w:val="HTML Cite"/>
    <w:basedOn w:val="44"/>
    <w:semiHidden/>
    <w:unhideWhenUsed/>
    <w:qFormat/>
    <w:uiPriority w:val="0"/>
  </w:style>
  <w:style w:type="character" w:styleId="57">
    <w:name w:val="HTML Keyboard"/>
    <w:basedOn w:val="44"/>
    <w:semiHidden/>
    <w:unhideWhenUsed/>
    <w:qFormat/>
    <w:uiPriority w:val="0"/>
    <w:rPr>
      <w:rFonts w:hint="default" w:ascii="monospace" w:hAnsi="monospace" w:eastAsia="monospace" w:cs="monospace"/>
      <w:sz w:val="20"/>
    </w:rPr>
  </w:style>
  <w:style w:type="character" w:styleId="58">
    <w:name w:val="HTML Sample"/>
    <w:basedOn w:val="44"/>
    <w:semiHidden/>
    <w:unhideWhenUsed/>
    <w:qFormat/>
    <w:uiPriority w:val="0"/>
    <w:rPr>
      <w:rFonts w:ascii="monospace" w:hAnsi="monospace" w:eastAsia="monospace" w:cs="monospace"/>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60">
    <w:name w:val="标题 4 Char"/>
    <w:link w:val="4"/>
    <w:qFormat/>
    <w:uiPriority w:val="9"/>
    <w:rPr>
      <w:rFonts w:ascii="Arial" w:hAnsi="Arial" w:eastAsia="黑体"/>
      <w:b/>
      <w:bCs/>
      <w:kern w:val="2"/>
      <w:sz w:val="28"/>
      <w:szCs w:val="28"/>
      <w:lang w:val="en-US" w:eastAsia="zh-CN" w:bidi="ar-SA"/>
    </w:rPr>
  </w:style>
  <w:style w:type="paragraph" w:customStyle="1" w:styleId="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标题 3 Char1"/>
    <w:link w:val="3"/>
    <w:qFormat/>
    <w:uiPriority w:val="9"/>
    <w:rPr>
      <w:rFonts w:ascii="宋体" w:hAnsi="宋体" w:eastAsia="宋体"/>
      <w:b/>
      <w:bCs/>
      <w:kern w:val="2"/>
      <w:sz w:val="28"/>
      <w:szCs w:val="32"/>
      <w:lang w:val="en-US" w:eastAsia="zh-CN" w:bidi="ar-SA"/>
    </w:rPr>
  </w:style>
  <w:style w:type="character" w:customStyle="1" w:styleId="63">
    <w:name w:val="标题 1 Char"/>
    <w:link w:val="2"/>
    <w:qFormat/>
    <w:uiPriority w:val="0"/>
    <w:rPr>
      <w:rFonts w:ascii="宋体" w:hAnsi="宋体" w:eastAsia="黑体"/>
      <w:b/>
      <w:bCs/>
      <w:kern w:val="44"/>
      <w:sz w:val="28"/>
      <w:szCs w:val="44"/>
      <w:lang w:val="en-US" w:eastAsia="zh-CN" w:bidi="ar-SA"/>
    </w:rPr>
  </w:style>
  <w:style w:type="character" w:customStyle="1" w:styleId="64">
    <w:name w:val="正文缩进 Char"/>
    <w:link w:val="7"/>
    <w:qFormat/>
    <w:uiPriority w:val="0"/>
    <w:rPr>
      <w:rFonts w:eastAsia="宋体"/>
      <w:kern w:val="2"/>
      <w:sz w:val="21"/>
      <w:lang w:val="en-US" w:eastAsia="zh-CN" w:bidi="ar-SA"/>
    </w:rPr>
  </w:style>
  <w:style w:type="character" w:customStyle="1" w:styleId="65">
    <w:name w:val="标题 3 Char"/>
    <w:qFormat/>
    <w:uiPriority w:val="0"/>
    <w:rPr>
      <w:rFonts w:ascii="黑体" w:eastAsia="黑体"/>
      <w:bCs/>
      <w:sz w:val="30"/>
    </w:rPr>
  </w:style>
  <w:style w:type="paragraph" w:customStyle="1" w:styleId="6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
    <w:name w:val="自定义正文"/>
    <w:basedOn w:val="1"/>
    <w:qFormat/>
    <w:uiPriority w:val="0"/>
    <w:pPr>
      <w:spacing w:afterLines="50"/>
      <w:ind w:left="600" w:leftChars="600"/>
    </w:pPr>
  </w:style>
  <w:style w:type="paragraph" w:customStyle="1" w:styleId="74">
    <w:name w:val="Char Char Char Char Char"/>
    <w:basedOn w:val="1"/>
    <w:qFormat/>
    <w:uiPriority w:val="0"/>
    <w:rPr>
      <w:rFonts w:ascii="Tahoma" w:hAnsi="Tahoma"/>
      <w:sz w:val="24"/>
      <w:szCs w:val="20"/>
    </w:rPr>
  </w:style>
  <w:style w:type="paragraph" w:customStyle="1" w:styleId="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6">
    <w:name w:val="Char Char"/>
    <w:basedOn w:val="1"/>
    <w:qFormat/>
    <w:uiPriority w:val="0"/>
    <w:rPr>
      <w:rFonts w:ascii="Tahoma" w:hAnsi="Tahoma"/>
      <w:sz w:val="24"/>
      <w:szCs w:val="20"/>
    </w:rPr>
  </w:style>
  <w:style w:type="paragraph" w:customStyle="1" w:styleId="7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8">
    <w:name w:val="标题 2 Char"/>
    <w:link w:val="5"/>
    <w:qFormat/>
    <w:uiPriority w:val="0"/>
    <w:rPr>
      <w:rFonts w:ascii="宋体" w:hAnsi="宋体" w:eastAsia="宋体"/>
      <w:b/>
      <w:bCs/>
      <w:sz w:val="24"/>
      <w:lang w:val="en-US" w:eastAsia="zh-CN" w:bidi="ar-SA"/>
    </w:rPr>
  </w:style>
  <w:style w:type="paragraph" w:customStyle="1" w:styleId="7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0">
    <w:name w:val="List Paragraph"/>
    <w:basedOn w:val="1"/>
    <w:qFormat/>
    <w:uiPriority w:val="34"/>
    <w:pPr>
      <w:ind w:firstLine="420" w:firstLineChars="200"/>
    </w:pPr>
    <w:rPr>
      <w:rFonts w:ascii="Calibri" w:hAnsi="Calibri"/>
      <w:szCs w:val="22"/>
    </w:rPr>
  </w:style>
  <w:style w:type="paragraph" w:customStyle="1" w:styleId="81">
    <w:name w:val="USE 1"/>
    <w:basedOn w:val="1"/>
    <w:qFormat/>
    <w:uiPriority w:val="0"/>
    <w:pPr>
      <w:spacing w:line="200" w:lineRule="atLeast"/>
      <w:jc w:val="left"/>
    </w:pPr>
    <w:rPr>
      <w:rFonts w:ascii="宋体" w:hAnsi="宋体"/>
      <w:b/>
      <w:sz w:val="24"/>
      <w:szCs w:val="28"/>
    </w:rPr>
  </w:style>
  <w:style w:type="paragraph" w:customStyle="1" w:styleId="8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3">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4">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85">
    <w:name w:val="H4 Char2"/>
    <w:qFormat/>
    <w:uiPriority w:val="0"/>
    <w:rPr>
      <w:rFonts w:ascii="Arial" w:hAnsi="Arial" w:eastAsia="黑体"/>
      <w:b/>
      <w:bCs/>
      <w:kern w:val="2"/>
      <w:sz w:val="28"/>
      <w:szCs w:val="28"/>
      <w:lang w:val="en-US" w:eastAsia="zh-CN" w:bidi="ar-SA"/>
    </w:rPr>
  </w:style>
  <w:style w:type="character" w:customStyle="1" w:styleId="86">
    <w:name w:val="正文文本缩进 Char"/>
    <w:link w:val="20"/>
    <w:qFormat/>
    <w:uiPriority w:val="0"/>
    <w:rPr>
      <w:rFonts w:eastAsia="宋体"/>
      <w:kern w:val="2"/>
      <w:sz w:val="21"/>
      <w:szCs w:val="24"/>
      <w:lang w:val="en-US" w:eastAsia="zh-CN" w:bidi="ar-SA"/>
    </w:rPr>
  </w:style>
  <w:style w:type="character" w:customStyle="1" w:styleId="87">
    <w:name w:val="标题 5 Char"/>
    <w:link w:val="6"/>
    <w:qFormat/>
    <w:uiPriority w:val="0"/>
    <w:rPr>
      <w:rFonts w:eastAsia="宋体"/>
      <w:b/>
      <w:kern w:val="2"/>
      <w:sz w:val="28"/>
      <w:lang w:val="en-US" w:eastAsia="zh-CN" w:bidi="ar-SA"/>
    </w:rPr>
  </w:style>
  <w:style w:type="character" w:customStyle="1" w:styleId="88">
    <w:name w:val="第*章 Char"/>
    <w:qFormat/>
    <w:uiPriority w:val="0"/>
    <w:rPr>
      <w:rFonts w:ascii="Arial" w:hAnsi="Arial" w:eastAsia="黑体"/>
      <w:b/>
      <w:bCs/>
      <w:kern w:val="2"/>
      <w:sz w:val="32"/>
      <w:szCs w:val="32"/>
    </w:rPr>
  </w:style>
  <w:style w:type="character" w:customStyle="1" w:styleId="89">
    <w:name w:val="章标题1 Char"/>
    <w:qFormat/>
    <w:uiPriority w:val="0"/>
    <w:rPr>
      <w:rFonts w:eastAsia="宋体"/>
      <w:b/>
      <w:bCs/>
      <w:kern w:val="2"/>
      <w:sz w:val="32"/>
      <w:szCs w:val="32"/>
      <w:lang w:val="en-US" w:eastAsia="zh-CN" w:bidi="ar-SA"/>
    </w:rPr>
  </w:style>
  <w:style w:type="character" w:customStyle="1" w:styleId="90">
    <w:name w:val="标题 6 Char"/>
    <w:link w:val="8"/>
    <w:qFormat/>
    <w:uiPriority w:val="0"/>
    <w:rPr>
      <w:rFonts w:ascii="Arial" w:hAnsi="Arial" w:eastAsia="黑体"/>
      <w:b/>
      <w:kern w:val="2"/>
      <w:sz w:val="24"/>
      <w:lang w:val="en-US" w:eastAsia="zh-CN" w:bidi="ar-SA"/>
    </w:rPr>
  </w:style>
  <w:style w:type="character" w:customStyle="1" w:styleId="91">
    <w:name w:val="标题 7 Char"/>
    <w:link w:val="9"/>
    <w:qFormat/>
    <w:uiPriority w:val="0"/>
    <w:rPr>
      <w:rFonts w:eastAsia="宋体"/>
      <w:b/>
      <w:kern w:val="2"/>
      <w:sz w:val="24"/>
      <w:lang w:val="en-US" w:eastAsia="zh-CN" w:bidi="ar-SA"/>
    </w:rPr>
  </w:style>
  <w:style w:type="character" w:customStyle="1" w:styleId="92">
    <w:name w:val="标题 8 Char"/>
    <w:link w:val="10"/>
    <w:qFormat/>
    <w:uiPriority w:val="0"/>
    <w:rPr>
      <w:rFonts w:ascii="Arial" w:hAnsi="Arial" w:eastAsia="黑体"/>
      <w:kern w:val="2"/>
      <w:sz w:val="24"/>
      <w:lang w:val="en-US" w:eastAsia="zh-CN" w:bidi="ar-SA"/>
    </w:rPr>
  </w:style>
  <w:style w:type="character" w:customStyle="1" w:styleId="93">
    <w:name w:val="标题 9 Char"/>
    <w:link w:val="11"/>
    <w:qFormat/>
    <w:uiPriority w:val="0"/>
    <w:rPr>
      <w:rFonts w:ascii="Arial" w:hAnsi="Arial" w:eastAsia="黑体"/>
      <w:kern w:val="2"/>
      <w:sz w:val="21"/>
      <w:lang w:val="en-US" w:eastAsia="zh-CN" w:bidi="ar-SA"/>
    </w:rPr>
  </w:style>
  <w:style w:type="character" w:customStyle="1" w:styleId="94">
    <w:name w:val="标题 Char"/>
    <w:link w:val="39"/>
    <w:qFormat/>
    <w:uiPriority w:val="0"/>
    <w:rPr>
      <w:rFonts w:ascii="Arial" w:hAnsi="Arial" w:eastAsia="隶书" w:cs="Arial"/>
      <w:b/>
      <w:bCs/>
      <w:kern w:val="2"/>
      <w:sz w:val="32"/>
      <w:szCs w:val="32"/>
      <w:lang w:val="en-US" w:eastAsia="zh-CN" w:bidi="ar-SA"/>
    </w:rPr>
  </w:style>
  <w:style w:type="character" w:customStyle="1" w:styleId="95">
    <w:name w:val="日期 Char"/>
    <w:link w:val="25"/>
    <w:qFormat/>
    <w:uiPriority w:val="0"/>
    <w:rPr>
      <w:rFonts w:ascii="宋体" w:hAnsi="Courier New" w:eastAsia="宋体"/>
      <w:kern w:val="2"/>
      <w:sz w:val="32"/>
      <w:lang w:val="en-US" w:eastAsia="zh-CN" w:bidi="ar-SA"/>
    </w:rPr>
  </w:style>
  <w:style w:type="character" w:customStyle="1" w:styleId="96">
    <w:name w:val="HTML 预设格式 Char"/>
    <w:link w:val="36"/>
    <w:qFormat/>
    <w:uiPriority w:val="0"/>
    <w:rPr>
      <w:rFonts w:ascii="Arial Unicode MS" w:hAnsi="Arial Unicode MS" w:eastAsia="Arial Unicode MS"/>
      <w:color w:val="000000"/>
      <w:lang w:val="en-US" w:eastAsia="zh-CN" w:bidi="ar-SA"/>
    </w:rPr>
  </w:style>
  <w:style w:type="character" w:customStyle="1" w:styleId="97">
    <w:name w:val="纯文本 Char"/>
    <w:link w:val="23"/>
    <w:qFormat/>
    <w:uiPriority w:val="0"/>
    <w:rPr>
      <w:rFonts w:ascii="宋体" w:hAnsi="Courier New" w:eastAsia="宋体"/>
      <w:kern w:val="2"/>
      <w:sz w:val="21"/>
      <w:lang w:val="en-US" w:eastAsia="zh-CN" w:bidi="ar-SA"/>
    </w:rPr>
  </w:style>
  <w:style w:type="character" w:customStyle="1" w:styleId="98">
    <w:name w:val="正文文字首行缩进 Char"/>
    <w:qFormat/>
    <w:uiPriority w:val="0"/>
    <w:rPr>
      <w:kern w:val="2"/>
      <w:sz w:val="21"/>
      <w:szCs w:val="24"/>
    </w:rPr>
  </w:style>
  <w:style w:type="character" w:customStyle="1" w:styleId="99">
    <w:name w:val="正文文本 Char"/>
    <w:link w:val="18"/>
    <w:qFormat/>
    <w:uiPriority w:val="0"/>
    <w:rPr>
      <w:rFonts w:eastAsia="宋体"/>
      <w:b/>
      <w:bCs/>
      <w:kern w:val="2"/>
      <w:sz w:val="24"/>
      <w:szCs w:val="24"/>
      <w:lang w:val="en-US" w:eastAsia="zh-CN" w:bidi="ar-SA"/>
    </w:rPr>
  </w:style>
  <w:style w:type="character" w:customStyle="1" w:styleId="100">
    <w:name w:val="正文文本缩进 2 Char"/>
    <w:link w:val="26"/>
    <w:qFormat/>
    <w:uiPriority w:val="0"/>
    <w:rPr>
      <w:rFonts w:ascii="宋体" w:hAnsi="宋体" w:eastAsia="宋体"/>
      <w:kern w:val="2"/>
      <w:sz w:val="21"/>
      <w:szCs w:val="24"/>
      <w:lang w:val="en-US" w:eastAsia="zh-CN" w:bidi="ar-SA"/>
    </w:rPr>
  </w:style>
  <w:style w:type="character" w:customStyle="1" w:styleId="101">
    <w:name w:val="页眉 Char"/>
    <w:link w:val="29"/>
    <w:qFormat/>
    <w:uiPriority w:val="99"/>
    <w:rPr>
      <w:rFonts w:eastAsia="宋体"/>
      <w:kern w:val="2"/>
      <w:sz w:val="18"/>
      <w:szCs w:val="18"/>
      <w:lang w:val="en-US" w:eastAsia="zh-CN" w:bidi="ar-SA"/>
    </w:rPr>
  </w:style>
  <w:style w:type="character" w:customStyle="1" w:styleId="102">
    <w:name w:val="正文文本缩进 3 Char"/>
    <w:link w:val="33"/>
    <w:qFormat/>
    <w:uiPriority w:val="0"/>
    <w:rPr>
      <w:rFonts w:ascii="宋体" w:eastAsia="宋体"/>
      <w:b/>
      <w:bCs/>
      <w:kern w:val="2"/>
      <w:sz w:val="24"/>
      <w:szCs w:val="24"/>
      <w:lang w:val="en-US" w:eastAsia="zh-CN" w:bidi="ar-SA"/>
    </w:rPr>
  </w:style>
  <w:style w:type="character" w:customStyle="1" w:styleId="103">
    <w:name w:val="正文文本 2 Char"/>
    <w:link w:val="19"/>
    <w:qFormat/>
    <w:uiPriority w:val="0"/>
    <w:rPr>
      <w:rFonts w:eastAsia="宋体"/>
      <w:kern w:val="2"/>
      <w:sz w:val="24"/>
      <w:szCs w:val="24"/>
      <w:lang w:val="en-US" w:eastAsia="zh-CN" w:bidi="ar-SA"/>
    </w:rPr>
  </w:style>
  <w:style w:type="character" w:customStyle="1" w:styleId="104">
    <w:name w:val="页脚 Char"/>
    <w:link w:val="28"/>
    <w:qFormat/>
    <w:uiPriority w:val="0"/>
    <w:rPr>
      <w:rFonts w:eastAsia="宋体"/>
      <w:kern w:val="2"/>
      <w:sz w:val="18"/>
      <w:szCs w:val="18"/>
      <w:lang w:val="en-US" w:eastAsia="zh-CN" w:bidi="ar-SA"/>
    </w:rPr>
  </w:style>
  <w:style w:type="character" w:customStyle="1" w:styleId="105">
    <w:name w:val="正文文本 3 Char"/>
    <w:link w:val="17"/>
    <w:qFormat/>
    <w:uiPriority w:val="0"/>
    <w:rPr>
      <w:rFonts w:eastAsia="宋体"/>
      <w:kern w:val="2"/>
      <w:sz w:val="16"/>
      <w:szCs w:val="16"/>
      <w:lang w:val="en-US" w:eastAsia="zh-CN" w:bidi="ar-SA"/>
    </w:rPr>
  </w:style>
  <w:style w:type="character" w:customStyle="1" w:styleId="106">
    <w:name w:val="批注框文本 Char"/>
    <w:link w:val="27"/>
    <w:semiHidden/>
    <w:qFormat/>
    <w:uiPriority w:val="99"/>
    <w:rPr>
      <w:rFonts w:eastAsia="宋体"/>
      <w:kern w:val="2"/>
      <w:sz w:val="18"/>
      <w:szCs w:val="18"/>
      <w:lang w:val="en-US" w:eastAsia="zh-CN" w:bidi="ar-SA"/>
    </w:rPr>
  </w:style>
  <w:style w:type="paragraph" w:customStyle="1" w:styleId="107">
    <w:name w:val="样式1"/>
    <w:basedOn w:val="39"/>
    <w:qFormat/>
    <w:uiPriority w:val="0"/>
    <w:pPr>
      <w:spacing w:before="120" w:after="120"/>
    </w:pPr>
    <w:rPr>
      <w:rFonts w:eastAsia="黑体"/>
      <w:b w:val="0"/>
      <w:sz w:val="30"/>
      <w:szCs w:val="21"/>
    </w:rPr>
  </w:style>
  <w:style w:type="paragraph" w:customStyle="1" w:styleId="108">
    <w:name w:val="样式2"/>
    <w:basedOn w:val="39"/>
    <w:next w:val="107"/>
    <w:qFormat/>
    <w:uiPriority w:val="0"/>
    <w:pPr>
      <w:spacing w:before="120" w:after="120"/>
    </w:pPr>
    <w:rPr>
      <w:rFonts w:eastAsia="黑体"/>
      <w:b w:val="0"/>
      <w:sz w:val="30"/>
      <w:szCs w:val="30"/>
    </w:rPr>
  </w:style>
  <w:style w:type="character" w:customStyle="1" w:styleId="109">
    <w:name w:val="标题 3 Char Char"/>
    <w:qFormat/>
    <w:uiPriority w:val="0"/>
    <w:rPr>
      <w:rFonts w:eastAsia="宋体"/>
      <w:b/>
      <w:bCs/>
      <w:kern w:val="2"/>
      <w:sz w:val="32"/>
      <w:szCs w:val="32"/>
      <w:lang w:val="en-US" w:eastAsia="zh-CN" w:bidi="ar-SA"/>
    </w:rPr>
  </w:style>
  <w:style w:type="paragraph" w:customStyle="1" w:styleId="11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2">
    <w:name w:val="--规划正文"/>
    <w:basedOn w:val="1"/>
    <w:qFormat/>
    <w:uiPriority w:val="0"/>
    <w:pPr>
      <w:spacing w:line="360" w:lineRule="auto"/>
      <w:ind w:firstLine="200" w:firstLineChars="200"/>
    </w:pPr>
    <w:rPr>
      <w:szCs w:val="20"/>
    </w:rPr>
  </w:style>
  <w:style w:type="paragraph" w:customStyle="1" w:styleId="113">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5">
    <w:name w:val="样式4"/>
    <w:basedOn w:val="1"/>
    <w:qFormat/>
    <w:uiPriority w:val="0"/>
    <w:pPr>
      <w:tabs>
        <w:tab w:val="left" w:pos="842"/>
      </w:tabs>
      <w:spacing w:line="360" w:lineRule="auto"/>
      <w:ind w:left="842" w:hanging="420"/>
    </w:pPr>
    <w:rPr>
      <w:sz w:val="24"/>
    </w:rPr>
  </w:style>
  <w:style w:type="paragraph" w:customStyle="1" w:styleId="116">
    <w:name w:val="文字"/>
    <w:basedOn w:val="1"/>
    <w:qFormat/>
    <w:uiPriority w:val="0"/>
    <w:pPr>
      <w:tabs>
        <w:tab w:val="left" w:pos="8520"/>
      </w:tabs>
      <w:spacing w:line="312" w:lineRule="auto"/>
      <w:ind w:right="-210" w:firstLine="556"/>
    </w:pPr>
    <w:rPr>
      <w:rFonts w:ascii="宋体"/>
      <w:sz w:val="28"/>
      <w:szCs w:val="20"/>
    </w:rPr>
  </w:style>
  <w:style w:type="paragraph" w:customStyle="1" w:styleId="117">
    <w:name w:val="--规划-表格-居左"/>
    <w:basedOn w:val="112"/>
    <w:qFormat/>
    <w:uiPriority w:val="0"/>
    <w:pPr>
      <w:spacing w:line="240" w:lineRule="auto"/>
      <w:ind w:firstLine="0" w:firstLineChars="0"/>
    </w:pPr>
    <w:rPr>
      <w:sz w:val="20"/>
    </w:rPr>
  </w:style>
  <w:style w:type="paragraph" w:customStyle="1" w:styleId="118">
    <w:name w:val="--规划-表格-居中"/>
    <w:basedOn w:val="112"/>
    <w:qFormat/>
    <w:uiPriority w:val="0"/>
    <w:pPr>
      <w:spacing w:line="240" w:lineRule="auto"/>
      <w:ind w:firstLine="0" w:firstLineChars="0"/>
      <w:jc w:val="center"/>
    </w:pPr>
    <w:rPr>
      <w:sz w:val="20"/>
    </w:rPr>
  </w:style>
  <w:style w:type="paragraph" w:customStyle="1" w:styleId="119">
    <w:name w:val="--编号内缩进"/>
    <w:basedOn w:val="1"/>
    <w:qFormat/>
    <w:uiPriority w:val="0"/>
    <w:pPr>
      <w:spacing w:line="360" w:lineRule="auto"/>
      <w:ind w:left="420" w:firstLine="200" w:firstLineChars="200"/>
    </w:pPr>
    <w:rPr>
      <w:szCs w:val="21"/>
    </w:rPr>
  </w:style>
  <w:style w:type="paragraph" w:customStyle="1" w:styleId="120">
    <w:name w:val="--规划-题注"/>
    <w:basedOn w:val="1"/>
    <w:next w:val="112"/>
    <w:qFormat/>
    <w:uiPriority w:val="0"/>
    <w:pPr>
      <w:spacing w:line="360" w:lineRule="auto"/>
      <w:jc w:val="center"/>
    </w:pPr>
    <w:rPr>
      <w:rFonts w:eastAsia="黑体"/>
    </w:rPr>
  </w:style>
  <w:style w:type="paragraph" w:customStyle="1" w:styleId="121">
    <w:name w:val="--规划-图和表"/>
    <w:next w:val="112"/>
    <w:qFormat/>
    <w:uiPriority w:val="0"/>
    <w:pPr>
      <w:jc w:val="center"/>
    </w:pPr>
    <w:rPr>
      <w:rFonts w:ascii="Times New Roman" w:hAnsi="Times New Roman" w:eastAsia="宋体" w:cs="Times New Roman"/>
      <w:kern w:val="2"/>
      <w:sz w:val="21"/>
      <w:lang w:val="en-US" w:eastAsia="zh-CN" w:bidi="ar-SA"/>
    </w:rPr>
  </w:style>
  <w:style w:type="paragraph" w:customStyle="1" w:styleId="122">
    <w:name w:val="--规划-小标题"/>
    <w:basedOn w:val="1"/>
    <w:next w:val="112"/>
    <w:qFormat/>
    <w:uiPriority w:val="0"/>
    <w:pPr>
      <w:keepNext/>
      <w:keepLines/>
      <w:spacing w:line="360" w:lineRule="auto"/>
      <w:outlineLvl w:val="4"/>
    </w:pPr>
    <w:rPr>
      <w:rFonts w:eastAsia="黑体"/>
    </w:rPr>
  </w:style>
  <w:style w:type="paragraph" w:customStyle="1" w:styleId="123">
    <w:name w:val="--规划正文 Char"/>
    <w:basedOn w:val="1"/>
    <w:qFormat/>
    <w:uiPriority w:val="0"/>
    <w:pPr>
      <w:spacing w:line="360" w:lineRule="auto"/>
      <w:ind w:firstLine="200" w:firstLineChars="200"/>
    </w:pPr>
    <w:rPr>
      <w:sz w:val="24"/>
    </w:rPr>
  </w:style>
  <w:style w:type="paragraph" w:customStyle="1" w:styleId="124">
    <w:name w:val="缺省文本"/>
    <w:basedOn w:val="1"/>
    <w:qFormat/>
    <w:uiPriority w:val="0"/>
    <w:pPr>
      <w:autoSpaceDE w:val="0"/>
      <w:autoSpaceDN w:val="0"/>
      <w:adjustRightInd w:val="0"/>
      <w:jc w:val="left"/>
    </w:pPr>
    <w:rPr>
      <w:kern w:val="0"/>
    </w:rPr>
  </w:style>
  <w:style w:type="paragraph" w:customStyle="1" w:styleId="12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6">
    <w:name w:val="--规划正文 Char Char"/>
    <w:qFormat/>
    <w:uiPriority w:val="0"/>
    <w:rPr>
      <w:rFonts w:eastAsia="宋体"/>
      <w:kern w:val="2"/>
      <w:sz w:val="24"/>
      <w:szCs w:val="24"/>
      <w:lang w:val="en-US" w:eastAsia="zh-CN" w:bidi="ar-SA"/>
    </w:rPr>
  </w:style>
  <w:style w:type="paragraph" w:customStyle="1" w:styleId="127">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8">
    <w:name w:val="--规划正文 Char1"/>
    <w:qFormat/>
    <w:uiPriority w:val="0"/>
    <w:rPr>
      <w:rFonts w:eastAsia="宋体"/>
      <w:kern w:val="2"/>
      <w:sz w:val="21"/>
      <w:lang w:val="en-US" w:eastAsia="zh-CN" w:bidi="ar-SA"/>
    </w:rPr>
  </w:style>
  <w:style w:type="paragraph" w:customStyle="1" w:styleId="12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0">
    <w:name w:val="列表项目"/>
    <w:basedOn w:val="1"/>
    <w:qFormat/>
    <w:uiPriority w:val="0"/>
    <w:pPr>
      <w:tabs>
        <w:tab w:val="left" w:pos="420"/>
        <w:tab w:val="left" w:pos="1080"/>
      </w:tabs>
      <w:spacing w:line="288" w:lineRule="auto"/>
      <w:ind w:left="1080" w:hanging="360"/>
    </w:pPr>
    <w:rPr>
      <w:sz w:val="24"/>
      <w:szCs w:val="20"/>
    </w:rPr>
  </w:style>
  <w:style w:type="character" w:customStyle="1" w:styleId="131">
    <w:name w:val="content1"/>
    <w:qFormat/>
    <w:uiPriority w:val="0"/>
    <w:rPr>
      <w:rFonts w:hint="default" w:ascii="??" w:hAnsi="??"/>
      <w:sz w:val="16"/>
      <w:szCs w:val="16"/>
      <w:u w:val="none"/>
    </w:rPr>
  </w:style>
  <w:style w:type="character" w:customStyle="1" w:styleId="132">
    <w:name w:val="unnamed4"/>
    <w:basedOn w:val="44"/>
    <w:qFormat/>
    <w:uiPriority w:val="0"/>
  </w:style>
  <w:style w:type="character" w:customStyle="1" w:styleId="133">
    <w:name w:val="font2"/>
    <w:basedOn w:val="44"/>
    <w:qFormat/>
    <w:uiPriority w:val="0"/>
  </w:style>
  <w:style w:type="character" w:customStyle="1" w:styleId="134">
    <w:name w:val="font41"/>
    <w:qFormat/>
    <w:uiPriority w:val="0"/>
    <w:rPr>
      <w:color w:val="000000"/>
      <w:spacing w:val="260"/>
      <w:sz w:val="18"/>
      <w:szCs w:val="18"/>
      <w:u w:val="none"/>
    </w:rPr>
  </w:style>
  <w:style w:type="paragraph" w:customStyle="1" w:styleId="1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7">
    <w:name w:val="正文首行缩进 Char"/>
    <w:link w:val="41"/>
    <w:qFormat/>
    <w:uiPriority w:val="0"/>
    <w:rPr>
      <w:rFonts w:eastAsia="宋体"/>
      <w:b/>
      <w:bCs/>
      <w:kern w:val="2"/>
      <w:sz w:val="21"/>
      <w:szCs w:val="24"/>
      <w:lang w:val="en-US" w:eastAsia="zh-CN" w:bidi="ar-SA"/>
    </w:rPr>
  </w:style>
  <w:style w:type="paragraph" w:customStyle="1" w:styleId="13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1">
    <w:name w:val="mode"/>
    <w:basedOn w:val="44"/>
    <w:qFormat/>
    <w:uiPriority w:val="0"/>
  </w:style>
  <w:style w:type="paragraph" w:customStyle="1" w:styleId="14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3">
    <w:name w:val="unnamed3"/>
    <w:basedOn w:val="44"/>
    <w:qFormat/>
    <w:uiPriority w:val="0"/>
  </w:style>
  <w:style w:type="paragraph" w:customStyle="1" w:styleId="144">
    <w:name w:val="8"/>
    <w:basedOn w:val="1"/>
    <w:next w:val="20"/>
    <w:qFormat/>
    <w:uiPriority w:val="0"/>
    <w:pPr>
      <w:spacing w:after="120"/>
      <w:ind w:left="420" w:leftChars="200"/>
    </w:pPr>
  </w:style>
  <w:style w:type="paragraph" w:customStyle="1" w:styleId="14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7">
    <w:name w:val="5"/>
    <w:basedOn w:val="1"/>
    <w:qFormat/>
    <w:uiPriority w:val="0"/>
    <w:pPr>
      <w:autoSpaceDE w:val="0"/>
      <w:autoSpaceDN w:val="0"/>
      <w:adjustRightInd w:val="0"/>
      <w:jc w:val="left"/>
    </w:pPr>
    <w:rPr>
      <w:rFonts w:ascii="宋体"/>
      <w:b/>
      <w:bCs/>
      <w:kern w:val="0"/>
      <w:sz w:val="18"/>
      <w:szCs w:val="18"/>
    </w:rPr>
  </w:style>
  <w:style w:type="paragraph" w:customStyle="1" w:styleId="148">
    <w:name w:val="6"/>
    <w:basedOn w:val="147"/>
    <w:qFormat/>
    <w:uiPriority w:val="0"/>
    <w:pPr>
      <w:spacing w:line="270" w:lineRule="atLeast"/>
      <w:jc w:val="both"/>
    </w:pPr>
    <w:rPr>
      <w:b w:val="0"/>
      <w:bCs w:val="0"/>
    </w:rPr>
  </w:style>
  <w:style w:type="paragraph" w:customStyle="1" w:styleId="14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0">
    <w:name w:val="姜文清定义的正文"/>
    <w:basedOn w:val="1"/>
    <w:qFormat/>
    <w:uiPriority w:val="0"/>
    <w:pPr>
      <w:spacing w:line="240" w:lineRule="atLeast"/>
      <w:ind w:firstLine="567"/>
    </w:pPr>
    <w:rPr>
      <w:szCs w:val="20"/>
    </w:rPr>
  </w:style>
  <w:style w:type="paragraph" w:customStyle="1" w:styleId="15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2">
    <w:name w:val="CM2"/>
    <w:basedOn w:val="151"/>
    <w:next w:val="151"/>
    <w:qFormat/>
    <w:uiPriority w:val="0"/>
    <w:pPr>
      <w:spacing w:line="200" w:lineRule="atLeast"/>
    </w:pPr>
    <w:rPr>
      <w:rFonts w:ascii="Arial" w:hAnsi="Arial" w:eastAsia="宋体" w:cs="Times New Roman"/>
      <w:color w:val="auto"/>
    </w:rPr>
  </w:style>
  <w:style w:type="paragraph" w:customStyle="1" w:styleId="153">
    <w:name w:val="Normal Paragraph"/>
    <w:basedOn w:val="1"/>
    <w:qFormat/>
    <w:uiPriority w:val="0"/>
    <w:pPr>
      <w:widowControl/>
      <w:spacing w:before="120" w:line="360" w:lineRule="auto"/>
      <w:ind w:firstLine="425"/>
    </w:pPr>
    <w:rPr>
      <w:kern w:val="0"/>
      <w:sz w:val="24"/>
    </w:rPr>
  </w:style>
  <w:style w:type="character" w:customStyle="1" w:styleId="154">
    <w:name w:val="blue"/>
    <w:basedOn w:val="44"/>
    <w:qFormat/>
    <w:uiPriority w:val="0"/>
  </w:style>
  <w:style w:type="paragraph" w:customStyle="1" w:styleId="15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6">
    <w:name w:val="font"/>
    <w:basedOn w:val="44"/>
    <w:qFormat/>
    <w:uiPriority w:val="0"/>
  </w:style>
  <w:style w:type="character" w:customStyle="1" w:styleId="157">
    <w:name w:val="font11"/>
    <w:qFormat/>
    <w:uiPriority w:val="0"/>
    <w:rPr>
      <w:rFonts w:hint="default" w:ascii="ˎ̥" w:hAnsi="ˎ̥"/>
    </w:rPr>
  </w:style>
  <w:style w:type="paragraph" w:customStyle="1" w:styleId="15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9">
    <w:name w:val="proddescription"/>
    <w:basedOn w:val="44"/>
    <w:qFormat/>
    <w:uiPriority w:val="0"/>
  </w:style>
  <w:style w:type="character" w:customStyle="1" w:styleId="160">
    <w:name w:val="prodheadlines"/>
    <w:basedOn w:val="44"/>
    <w:qFormat/>
    <w:uiPriority w:val="0"/>
  </w:style>
  <w:style w:type="character" w:customStyle="1" w:styleId="161">
    <w:name w:val="text"/>
    <w:basedOn w:val="44"/>
    <w:qFormat/>
    <w:uiPriority w:val="0"/>
  </w:style>
  <w:style w:type="paragraph" w:customStyle="1" w:styleId="16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7">
    <w:name w:val="段落正文"/>
    <w:basedOn w:val="23"/>
    <w:qFormat/>
    <w:uiPriority w:val="0"/>
    <w:pPr>
      <w:ind w:firstLine="560" w:firstLineChars="200"/>
    </w:pPr>
    <w:rPr>
      <w:sz w:val="28"/>
    </w:rPr>
  </w:style>
  <w:style w:type="character" w:customStyle="1" w:styleId="168">
    <w:name w:val="gray6"/>
    <w:basedOn w:val="44"/>
    <w:qFormat/>
    <w:uiPriority w:val="0"/>
  </w:style>
  <w:style w:type="character" w:customStyle="1" w:styleId="169">
    <w:name w:val="style9"/>
    <w:basedOn w:val="44"/>
    <w:qFormat/>
    <w:uiPriority w:val="0"/>
  </w:style>
  <w:style w:type="paragraph" w:customStyle="1" w:styleId="17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1">
    <w:name w:val="grame"/>
    <w:basedOn w:val="44"/>
    <w:qFormat/>
    <w:uiPriority w:val="0"/>
  </w:style>
  <w:style w:type="paragraph" w:customStyle="1" w:styleId="17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Char1"/>
    <w:basedOn w:val="1"/>
    <w:qFormat/>
    <w:uiPriority w:val="0"/>
    <w:pPr>
      <w:jc w:val="left"/>
    </w:pPr>
    <w:rPr>
      <w:rFonts w:ascii="Tahoma" w:hAnsi="Tahoma"/>
      <w:sz w:val="24"/>
      <w:szCs w:val="20"/>
    </w:rPr>
  </w:style>
  <w:style w:type="paragraph" w:customStyle="1" w:styleId="17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8">
    <w:name w:val="font6"/>
    <w:basedOn w:val="1"/>
    <w:qFormat/>
    <w:uiPriority w:val="0"/>
    <w:pPr>
      <w:widowControl/>
      <w:spacing w:before="100" w:beforeAutospacing="1" w:after="100" w:afterAutospacing="1"/>
      <w:jc w:val="left"/>
    </w:pPr>
    <w:rPr>
      <w:kern w:val="0"/>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1">
    <w:name w:val="表格字"/>
    <w:basedOn w:val="1"/>
    <w:qFormat/>
    <w:uiPriority w:val="0"/>
    <w:pPr>
      <w:adjustRightInd w:val="0"/>
      <w:jc w:val="center"/>
    </w:pPr>
    <w:rPr>
      <w:rFonts w:ascii="宋体"/>
      <w:sz w:val="24"/>
      <w:szCs w:val="20"/>
    </w:rPr>
  </w:style>
  <w:style w:type="character" w:customStyle="1" w:styleId="182">
    <w:name w:val="样式 小三 加粗"/>
    <w:qFormat/>
    <w:uiPriority w:val="0"/>
    <w:rPr>
      <w:rFonts w:eastAsia="宋体"/>
      <w:b/>
      <w:bCs/>
      <w:sz w:val="32"/>
    </w:rPr>
  </w:style>
  <w:style w:type="paragraph" w:customStyle="1" w:styleId="18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5">
    <w:name w:val="Char Char Char"/>
    <w:basedOn w:val="1"/>
    <w:qFormat/>
    <w:uiPriority w:val="0"/>
    <w:rPr>
      <w:rFonts w:ascii="Tahoma" w:hAnsi="Tahoma"/>
      <w:sz w:val="24"/>
      <w:szCs w:val="20"/>
    </w:rPr>
  </w:style>
  <w:style w:type="paragraph" w:customStyle="1" w:styleId="18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7">
    <w:name w:val="info4"/>
    <w:basedOn w:val="44"/>
    <w:qFormat/>
    <w:uiPriority w:val="0"/>
  </w:style>
  <w:style w:type="paragraph" w:customStyle="1" w:styleId="188">
    <w:name w:val="缩进正文"/>
    <w:basedOn w:val="1"/>
    <w:link w:val="189"/>
    <w:qFormat/>
    <w:uiPriority w:val="0"/>
    <w:pPr>
      <w:ind w:firstLine="560" w:firstLineChars="200"/>
    </w:pPr>
    <w:rPr>
      <w:rFonts w:eastAsia="仿宋_GB2312" w:cs="宋体"/>
      <w:sz w:val="28"/>
      <w:szCs w:val="20"/>
    </w:rPr>
  </w:style>
  <w:style w:type="character" w:customStyle="1" w:styleId="189">
    <w:name w:val="缩进正文 Char"/>
    <w:link w:val="188"/>
    <w:qFormat/>
    <w:uiPriority w:val="0"/>
    <w:rPr>
      <w:rFonts w:eastAsia="仿宋_GB2312" w:cs="宋体"/>
      <w:kern w:val="2"/>
      <w:sz w:val="28"/>
      <w:lang w:val="en-US" w:eastAsia="zh-CN" w:bidi="ar-SA"/>
    </w:rPr>
  </w:style>
  <w:style w:type="paragraph" w:customStyle="1" w:styleId="190">
    <w:name w:val="列出段落1"/>
    <w:basedOn w:val="1"/>
    <w:qFormat/>
    <w:uiPriority w:val="0"/>
    <w:pPr>
      <w:ind w:firstLine="420" w:firstLineChars="200"/>
    </w:pPr>
    <w:rPr>
      <w:rFonts w:ascii="Calibri" w:hAnsi="Calibri" w:cs="Calibri"/>
      <w:szCs w:val="21"/>
    </w:rPr>
  </w:style>
  <w:style w:type="character" w:customStyle="1" w:styleId="191">
    <w:name w:val="批注文字 Char"/>
    <w:basedOn w:val="44"/>
    <w:link w:val="16"/>
    <w:qFormat/>
    <w:uiPriority w:val="99"/>
    <w:rPr>
      <w:rFonts w:ascii="宋体"/>
      <w:sz w:val="34"/>
    </w:rPr>
  </w:style>
  <w:style w:type="character" w:customStyle="1" w:styleId="192">
    <w:name w:val="批注主题 Char"/>
    <w:basedOn w:val="191"/>
    <w:link w:val="40"/>
    <w:qFormat/>
    <w:uiPriority w:val="99"/>
    <w:rPr>
      <w:rFonts w:ascii="宋体"/>
      <w:sz w:val="34"/>
    </w:rPr>
  </w:style>
  <w:style w:type="paragraph" w:customStyle="1" w:styleId="193">
    <w:name w:val="评价"/>
    <w:basedOn w:val="1"/>
    <w:qFormat/>
    <w:uiPriority w:val="0"/>
    <w:pPr>
      <w:spacing w:afterLines="20"/>
      <w:ind w:firstLine="1446" w:firstLineChars="200"/>
    </w:pPr>
    <w:rPr>
      <w:rFonts w:ascii="Calibri" w:hAnsi="Calibri"/>
      <w:sz w:val="24"/>
    </w:rPr>
  </w:style>
  <w:style w:type="paragraph" w:customStyle="1" w:styleId="19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5">
    <w:name w:val="alt-edited1"/>
    <w:qFormat/>
    <w:uiPriority w:val="0"/>
    <w:rPr>
      <w:color w:val="4D90F0"/>
    </w:rPr>
  </w:style>
  <w:style w:type="character" w:customStyle="1" w:styleId="196">
    <w:name w:val="body text Char1"/>
    <w:qFormat/>
    <w:uiPriority w:val="0"/>
    <w:rPr>
      <w:rFonts w:eastAsia="宋体"/>
      <w:kern w:val="2"/>
      <w:sz w:val="21"/>
      <w:lang w:val="en-US" w:eastAsia="zh-CN" w:bidi="ar-SA"/>
    </w:rPr>
  </w:style>
  <w:style w:type="character" w:customStyle="1" w:styleId="197">
    <w:name w:val="普通(网站) Char"/>
    <w:link w:val="37"/>
    <w:qFormat/>
    <w:uiPriority w:val="0"/>
    <w:rPr>
      <w:kern w:val="2"/>
      <w:sz w:val="24"/>
      <w:szCs w:val="24"/>
    </w:rPr>
  </w:style>
  <w:style w:type="character" w:customStyle="1" w:styleId="198">
    <w:name w:val="批注文字 Char1"/>
    <w:qFormat/>
    <w:uiPriority w:val="99"/>
    <w:rPr>
      <w:rFonts w:ascii="宋体"/>
      <w:sz w:val="34"/>
    </w:rPr>
  </w:style>
  <w:style w:type="character" w:customStyle="1" w:styleId="199">
    <w:name w:val="正文缩进 Char1"/>
    <w:qFormat/>
    <w:uiPriority w:val="0"/>
    <w:rPr>
      <w:rFonts w:eastAsia="宋体"/>
      <w:kern w:val="2"/>
      <w:sz w:val="21"/>
      <w:lang w:val="en-US" w:eastAsia="zh-CN" w:bidi="ar-SA"/>
    </w:rPr>
  </w:style>
  <w:style w:type="character" w:customStyle="1" w:styleId="200">
    <w:name w:val="layui-this"/>
    <w:basedOn w:val="44"/>
    <w:qFormat/>
    <w:uiPriority w:val="0"/>
    <w:rPr>
      <w:bdr w:val="single" w:color="EEEEEE" w:sz="4" w:space="0"/>
      <w:shd w:val="clear" w:color="auto" w:fill="FFFFFF"/>
    </w:rPr>
  </w:style>
  <w:style w:type="character" w:customStyle="1" w:styleId="201">
    <w:name w:val="first-child"/>
    <w:basedOn w:val="44"/>
    <w:qFormat/>
    <w:uiPriority w:val="0"/>
  </w:style>
  <w:style w:type="paragraph" w:customStyle="1" w:styleId="202">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3">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4">
    <w:name w:val="msonospacing"/>
    <w:basedOn w:val="1"/>
    <w:qFormat/>
    <w:uiPriority w:val="0"/>
    <w:rPr>
      <w:rFonts w:ascii="Calibri" w:hAnsi="Calibri"/>
      <w:szCs w:val="22"/>
    </w:rPr>
  </w:style>
  <w:style w:type="paragraph" w:customStyle="1" w:styleId="205">
    <w:name w:val="表格文字"/>
    <w:basedOn w:val="1"/>
    <w:qFormat/>
    <w:uiPriority w:val="0"/>
    <w:pPr>
      <w:spacing w:before="25" w:after="25" w:line="240" w:lineRule="auto"/>
      <w:ind w:firstLine="0"/>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1824</Words>
  <Characters>1824</Characters>
  <Lines>360</Lines>
  <Paragraphs>101</Paragraphs>
  <TotalTime>21</TotalTime>
  <ScaleCrop>false</ScaleCrop>
  <LinksUpToDate>false</LinksUpToDate>
  <CharactersWithSpaces>1827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thsware</dc:creator>
  <cp:lastModifiedBy>李瑞蒙</cp:lastModifiedBy>
  <cp:lastPrinted>2021-05-09T08:02:00Z</cp:lastPrinted>
  <dcterms:modified xsi:type="dcterms:W3CDTF">2025-07-31T03:32:55Z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9B8C892908F041F08CC388F97B3E0371_13</vt:lpwstr>
  </property>
  <property fmtid="{D5CDD505-2E9C-101B-9397-08002B2CF9AE}" pid="4" name="KSOTemplateDocerSaveRecord">
    <vt:lpwstr>eyJoZGlkIjoiNzJkYzlkMTNmZDBjZTYzMGJlNGE2YTYwZDQxNDllN2QiLCJ1c2VySWQiOiIzMjk3MDk4MzkifQ==</vt:lpwstr>
  </property>
</Properties>
</file>