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spacing w:before="0" w:beforeAutospacing="1" w:after="0" w:afterAutospacing="1"/>
        <w:jc w:val="center"/>
        <w:outlineLvl w:val="0"/>
        <w:rPr>
          <w:rFonts w:ascii="黑体" w:eastAsia="黑体" w:hAnsi="宋体" w:cs="黑体" w:hint="eastAsia"/>
          <w:sz w:val="40"/>
          <w:szCs w:val="40"/>
          <w:lang w:eastAsia="zh-CN"/>
        </w:rPr>
      </w:pPr>
      <w:r>
        <w:rPr>
          <w:rFonts w:ascii="黑体" w:eastAsia="黑体" w:hAnsi="宋体" w:cs="黑体" w:hint="eastAsia"/>
          <w:sz w:val="40"/>
          <w:szCs w:val="40"/>
          <w:lang w:eastAsia="zh-CN"/>
        </w:rPr>
        <w:t>招标文件信息</w:t>
      </w:r>
    </w:p>
    <w:p>
      <w:pPr>
        <w:widowControl w:val="0"/>
        <w:tabs>
          <w:tab w:val="left" w:pos="2790"/>
        </w:tabs>
        <w:snapToGrid w:val="0"/>
        <w:jc w:val="center"/>
        <w:outlineLvl w:val="0"/>
        <w:rPr>
          <w:rFonts w:ascii="黑体" w:eastAsia="黑体" w:hAnsi="黑体" w:hint="eastAsia"/>
          <w:kern w:val="2"/>
          <w:sz w:val="40"/>
          <w:szCs w:val="40"/>
          <w:lang w:eastAsia="zh-CN"/>
        </w:rPr>
      </w:pP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项目编号：</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LHAZXDL-2024-00066</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项目名称：</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师生食堂家具及书包柜增补采购</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包号：</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A</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项目类型：</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货物类</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采购方式：</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公开招标</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货币类型：</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人民币</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评标方法：</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综合评分法</w:t>
      </w:r>
    </w:p>
    <w:p>
      <w:pPr>
        <w:widowControl w:val="0"/>
        <w:spacing w:line="360" w:lineRule="auto"/>
        <w:jc w:val="both"/>
        <w:rPr>
          <w:rFonts w:ascii="Calibri" w:eastAsia="宋体" w:hAnsi="Calibri" w:hint="eastAsia"/>
          <w:b/>
          <w:bCs/>
          <w:kern w:val="2"/>
          <w:szCs w:val="22"/>
          <w:lang w:eastAsia="zh-CN"/>
        </w:rPr>
      </w:pPr>
    </w:p>
    <w:p>
      <w:pPr>
        <w:widowControl w:val="0"/>
        <w:tabs>
          <w:tab w:val="left" w:pos="2790"/>
        </w:tabs>
        <w:snapToGrid w:val="0"/>
        <w:jc w:val="center"/>
        <w:outlineLvl w:val="0"/>
        <w:rPr>
          <w:rFonts w:ascii="黑体" w:eastAsia="黑体" w:hAnsi="黑体"/>
          <w:kern w:val="2"/>
          <w:sz w:val="40"/>
          <w:szCs w:val="40"/>
          <w:lang w:eastAsia="zh-CN"/>
        </w:rPr>
      </w:pPr>
      <w:r>
        <w:rPr>
          <w:rFonts w:ascii="黑体" w:eastAsia="黑体" w:hAnsi="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56"/>
        <w:gridCol w:w="8100"/>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序号</w:t>
            </w:r>
          </w:p>
        </w:tc>
        <w:tc>
          <w:tcPr>
            <w:tcW w:w="8669"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1</w:t>
            </w:r>
          </w:p>
        </w:tc>
        <w:tc>
          <w:tcPr>
            <w:tcW w:w="8669"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both"/>
              <w:rPr>
                <w:rFonts w:ascii="宋体" w:eastAsia="宋体" w:hAnsi="宋体" w:cs="宋体"/>
                <w:kern w:val="2"/>
                <w:sz w:val="21"/>
                <w:szCs w:val="21"/>
                <w:lang w:eastAsia="zh-CN"/>
              </w:rPr>
            </w:pPr>
            <w:r>
              <w:rPr>
                <w:rFonts w:ascii="宋体" w:eastAsia="宋体" w:hAnsi="宋体" w:cs="宋体"/>
                <w:sz w:val="21"/>
                <w:szCs w:val="21"/>
                <w:lang w:eastAsia="zh-CN"/>
              </w:rPr>
              <w:t>投标人不</w:t>
            </w:r>
            <w:r>
              <w:rPr>
                <w:rFonts w:ascii="宋体" w:eastAsia="宋体" w:hAnsi="宋体" w:cs="宋体" w:hint="eastAsia"/>
                <w:sz w:val="21"/>
                <w:szCs w:val="21"/>
                <w:lang w:eastAsia="zh-CN"/>
              </w:rPr>
              <w:t>符合</w:t>
            </w:r>
            <w:r>
              <w:rPr>
                <w:rFonts w:ascii="宋体" w:eastAsia="宋体" w:hAnsi="宋体" w:cs="宋体"/>
                <w:sz w:val="21"/>
                <w:szCs w:val="21"/>
                <w:lang w:eastAsia="zh-CN"/>
              </w:rPr>
              <w:t>资格要求，或未提交相应的资格证明资料（详见招标公告</w:t>
            </w:r>
            <w:r>
              <w:rPr>
                <w:rFonts w:ascii="宋体" w:eastAsia="宋体" w:hAnsi="宋体" w:hint="eastAsia"/>
                <w:kern w:val="2"/>
                <w:sz w:val="21"/>
                <w:szCs w:val="21"/>
                <w:lang w:eastAsia="zh-CN"/>
              </w:rPr>
              <w:t>投标人资格要求，即申请人的资格要求</w:t>
            </w:r>
            <w:r>
              <w:rPr>
                <w:rFonts w:ascii="宋体" w:eastAsia="宋体" w:hAnsi="宋体" w:cs="宋体"/>
                <w:sz w:val="21"/>
                <w:szCs w:val="21"/>
                <w:lang w:eastAsia="zh-CN"/>
              </w:rPr>
              <w:t>）。</w:t>
            </w:r>
          </w:p>
        </w:tc>
      </w:tr>
    </w:tbl>
    <w:p>
      <w:pPr>
        <w:widowControl w:val="0"/>
        <w:tabs>
          <w:tab w:val="left" w:pos="2790"/>
        </w:tabs>
        <w:snapToGrid w:val="0"/>
        <w:jc w:val="center"/>
        <w:rPr>
          <w:rFonts w:ascii="黑体" w:eastAsia="黑体" w:hAnsi="黑体"/>
          <w:kern w:val="2"/>
          <w:sz w:val="40"/>
          <w:szCs w:val="40"/>
          <w:lang w:eastAsia="zh-CN"/>
        </w:rPr>
      </w:pPr>
    </w:p>
    <w:p>
      <w:pPr>
        <w:widowControl w:val="0"/>
        <w:tabs>
          <w:tab w:val="left" w:pos="2790"/>
        </w:tabs>
        <w:snapToGrid w:val="0"/>
        <w:jc w:val="center"/>
        <w:outlineLvl w:val="0"/>
        <w:rPr>
          <w:rFonts w:ascii="黑体" w:eastAsia="黑体" w:hAnsi="黑体"/>
          <w:kern w:val="2"/>
          <w:sz w:val="40"/>
          <w:szCs w:val="40"/>
          <w:lang w:eastAsia="zh-CN"/>
        </w:rPr>
      </w:pPr>
      <w:r>
        <w:rPr>
          <w:rFonts w:ascii="黑体" w:eastAsia="黑体" w:hAnsi="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47"/>
        <w:gridCol w:w="8109"/>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宋体" w:eastAsia="宋体" w:hAnsi="宋体"/>
                <w:kern w:val="2"/>
                <w:sz w:val="21"/>
                <w:szCs w:val="21"/>
                <w:lang w:eastAsia="zh-CN"/>
              </w:rPr>
            </w:pPr>
            <w:r>
              <w:rPr>
                <w:rFonts w:ascii="宋体" w:eastAsia="宋体" w:hAnsi="宋体" w:cs="宋体"/>
                <w:sz w:val="21"/>
                <w:szCs w:val="21"/>
                <w:lang w:eastAsia="zh-CN"/>
              </w:rPr>
              <w:t>序号</w:t>
            </w:r>
          </w:p>
        </w:tc>
        <w:tc>
          <w:tcPr>
            <w:tcW w:w="8647"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宋体" w:eastAsia="宋体" w:hAnsi="宋体"/>
                <w:kern w:val="2"/>
                <w:sz w:val="21"/>
                <w:szCs w:val="21"/>
                <w:lang w:eastAsia="zh-CN"/>
              </w:rPr>
            </w:pPr>
            <w:r>
              <w:rPr>
                <w:rFonts w:ascii="宋体" w:eastAsia="宋体" w:hAnsi="宋体" w:cs="宋体"/>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1</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不得将一个包的内容拆开投标；</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2</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对同一项目投标时，不得提供两套以上的投标方案（招标文件另有规定的除外）；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3</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分项报价或投标总价不得高于</w:t>
            </w:r>
            <w:bookmarkStart w:id="0" w:name="_Hlk71832186"/>
            <w:r>
              <w:rPr>
                <w:rFonts w:ascii="宋体" w:eastAsia="宋体" w:hAnsi="宋体" w:cstheme="minorBidi" w:hint="eastAsia"/>
                <w:kern w:val="2"/>
                <w:sz w:val="21"/>
                <w:szCs w:val="21"/>
                <w:lang w:eastAsia="zh-CN"/>
              </w:rPr>
              <w:t>相应预算金额（或设定的预算金额下的最高限价）</w:t>
            </w:r>
            <w:bookmarkEnd w:id="0"/>
            <w:r>
              <w:rPr>
                <w:rFonts w:ascii="宋体" w:eastAsia="宋体" w:hAnsi="宋体" w:cstheme="minorBidi" w:hint="eastAsia"/>
                <w:kern w:val="2"/>
                <w:sz w:val="21"/>
                <w:szCs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4</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5</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6</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未按招标文件所提供的样式填写《投标函》、《股东构成审查表》；未按招标文件所提供的《龙华区教育局自行采购投标及履约承诺函》进行承诺；未按招标文件对投标文件组成的要求提供投标文件；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7</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采购标的/所投产品/货物清单/报价等任意一类有缺漏项或响应不全，或者对招标文件规定的项目需求内容或者需求数量进行修改，评审委员会判定投标响应不满足采购需求；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hint="eastAsia"/>
                <w:sz w:val="21"/>
                <w:szCs w:val="21"/>
                <w:lang w:eastAsia="zh-CN"/>
              </w:rPr>
              <w:t>8</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投标文件电子文档不得带病毒；</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hint="eastAsia"/>
                <w:sz w:val="21"/>
                <w:szCs w:val="21"/>
                <w:lang w:eastAsia="zh-CN"/>
              </w:rPr>
              <w:t>9</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投标文件用不属于本公司的电子密钥进行加密的；</w:t>
            </w:r>
          </w:p>
        </w:tc>
      </w:tr>
      <w:tr>
        <w:tblPrEx>
          <w:tblW w:w="5000" w:type="pct"/>
          <w:jc w:val="center"/>
          <w:tblLayout w:type="fixed"/>
          <w:tblCellMar>
            <w:top w:w="20" w:type="dxa"/>
            <w:left w:w="108" w:type="dxa"/>
            <w:bottom w:w="20" w:type="dxa"/>
            <w:right w:w="108" w:type="dxa"/>
          </w:tblCellMar>
        </w:tblPrEx>
        <w:trPr>
          <w:trHeight w:val="280"/>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10</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不同投标供应商投标文件“文件制作机器码”一致；</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11</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不同投标供应商投标文件“文件创建标识码”一致；</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hint="eastAsia"/>
                <w:sz w:val="21"/>
                <w:szCs w:val="21"/>
                <w:lang w:eastAsia="zh-CN"/>
              </w:rPr>
              <w:t>12</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法律、法规、规章、规范性文件规定的其他情形。</w:t>
            </w:r>
          </w:p>
        </w:tc>
      </w:tr>
    </w:tbl>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hint="eastAsia"/>
          <w:kern w:val="2"/>
          <w:lang w:eastAsia="zh-CN"/>
        </w:rPr>
      </w:pPr>
    </w:p>
    <w:p>
      <w:pPr>
        <w:widowControl w:val="0"/>
        <w:spacing w:line="360" w:lineRule="auto"/>
        <w:jc w:val="both"/>
        <w:rPr>
          <w:rFonts w:ascii="Calibri" w:eastAsia="宋体" w:hAnsi="Calibri" w:hint="eastAsia"/>
          <w:b/>
          <w:bCs/>
          <w:kern w:val="2"/>
          <w:lang w:eastAsia="zh-CN"/>
        </w:rPr>
      </w:pPr>
    </w:p>
    <w:p>
      <w:pPr>
        <w:widowControl w:val="0"/>
        <w:spacing w:line="360" w:lineRule="auto"/>
        <w:jc w:val="both"/>
        <w:rPr>
          <w:rFonts w:ascii="Calibri" w:eastAsia="宋体" w:hAnsi="Calibri" w:hint="eastAsia"/>
          <w:b/>
          <w:bCs/>
          <w:kern w:val="2"/>
          <w:lang w:eastAsia="zh-CN"/>
        </w:rPr>
      </w:pPr>
    </w:p>
    <w:p>
      <w:pPr>
        <w:widowControl w:val="0"/>
        <w:spacing w:line="360" w:lineRule="auto"/>
        <w:jc w:val="both"/>
        <w:rPr>
          <w:rFonts w:ascii="Calibri" w:eastAsia="宋体" w:hAnsi="Calibri" w:hint="eastAsia"/>
          <w:b/>
          <w:bCs/>
          <w:kern w:val="2"/>
          <w:lang w:eastAsia="zh-CN"/>
        </w:rPr>
      </w:pPr>
    </w:p>
    <w:p>
      <w:pPr>
        <w:widowControl w:val="0"/>
        <w:tabs>
          <w:tab w:val="left" w:pos="2790"/>
        </w:tabs>
        <w:snapToGrid w:val="0"/>
        <w:jc w:val="left"/>
        <w:rPr>
          <w:rFonts w:ascii="Calibri" w:eastAsia="宋体" w:hAnsi="Calibri" w:hint="eastAsia"/>
          <w:kern w:val="2"/>
          <w:lang w:eastAsia="zh-CN"/>
        </w:rPr>
      </w:pPr>
    </w:p>
    <w:p>
      <w:pPr>
        <w:widowControl w:val="0"/>
        <w:tabs>
          <w:tab w:val="left" w:pos="2790"/>
        </w:tabs>
        <w:snapToGrid w:val="0"/>
        <w:jc w:val="left"/>
        <w:rPr>
          <w:rFonts w:ascii="Calibri" w:eastAsia="宋体" w:hAnsi="Calibri"/>
          <w:kern w:val="2"/>
          <w:lang w:eastAsia="zh-CN"/>
        </w:rPr>
      </w:pPr>
    </w:p>
    <w:p>
      <w:pPr>
        <w:widowControl/>
        <w:spacing w:before="100" w:beforeAutospacing="1" w:afterAutospacing="1"/>
        <w:jc w:val="center"/>
        <w:outlineLvl w:val="0"/>
        <w:rPr>
          <w:rFonts w:ascii="黑体" w:eastAsia="黑体" w:hAnsi="宋体"/>
          <w:kern w:val="2"/>
          <w:sz w:val="40"/>
          <w:szCs w:val="40"/>
          <w:lang w:eastAsia="zh-CN"/>
        </w:rPr>
      </w:pPr>
      <w:r>
        <w:rPr>
          <w:rFonts w:ascii="黑体" w:eastAsia="黑体" w:hAnsi="黑体" w:cstheme="minorBidi" w:hint="eastAsia"/>
          <w:kern w:val="2"/>
          <w:sz w:val="40"/>
          <w:szCs w:val="40"/>
          <w:lang w:eastAsia="zh-CN"/>
        </w:rPr>
        <w:t>评标信息</w:t>
      </w:r>
    </w:p>
    <w:tbl>
      <w:tblPr>
        <w:tblStyle w:val="TableNormal"/>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5" w:type="dxa"/>
          <w:left w:w="45" w:type="dxa"/>
          <w:bottom w:w="45" w:type="dxa"/>
          <w:right w:w="45" w:type="dxa"/>
        </w:tblCellMar>
      </w:tblPr>
      <w:tblGrid>
        <w:gridCol w:w="8730"/>
      </w:tblGrid>
      <w:tr>
        <w:tblPrEx>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5" w:type="dxa"/>
            <w:left w:w="45" w:type="dxa"/>
            <w:bottom w:w="45" w:type="dxa"/>
            <w:right w:w="45" w:type="dxa"/>
          </w:tblCellMar>
        </w:tblPrEx>
        <w:trPr>
          <w:tblCellSpacing w:w="0" w:type="dxa"/>
          <w:jc w:val="center"/>
        </w:trPr>
        <w:tc>
          <w:tcPr>
            <w:tcW w:w="9078" w:type="dxa"/>
            <w:shd w:val="clear" w:color="auto" w:fill="auto"/>
            <w:vAlign w:val="center"/>
          </w:tcPr>
          <w:p>
            <w:pPr>
              <w:widowControl w:val="0"/>
              <w:jc w:val="left"/>
              <w:rPr>
                <w:rFonts w:ascii="宋体" w:eastAsia="宋体" w:hAnsi="Calibri"/>
                <w:b/>
                <w:bCs/>
                <w:kern w:val="2"/>
                <w:szCs w:val="22"/>
                <w:lang w:eastAsia="zh-CN"/>
              </w:rPr>
            </w:pPr>
            <w:r>
              <w:rPr>
                <w:rFonts w:ascii="Calibri" w:eastAsia="宋体" w:hAnsi="Calibri" w:cstheme="minorBidi"/>
                <w:b/>
                <w:bCs/>
                <w:kern w:val="2"/>
                <w:sz w:val="21"/>
                <w:szCs w:val="22"/>
                <w:lang w:eastAsia="zh-CN"/>
              </w:rPr>
              <w:t>评标方法：综合评分法</w:t>
            </w:r>
          </w:p>
        </w:tc>
      </w:tr>
      <w:tr>
        <w:tblPrEx>
          <w:tblW w:w="5000" w:type="pct"/>
          <w:jc w:val="center"/>
          <w:tblCellSpacing w:w="0" w:type="dxa"/>
          <w:tblLayout w:type="fixed"/>
          <w:tblCellMar>
            <w:top w:w="45" w:type="dxa"/>
            <w:left w:w="45" w:type="dxa"/>
            <w:bottom w:w="45" w:type="dxa"/>
            <w:right w:w="45" w:type="dxa"/>
          </w:tblCellMar>
        </w:tblPrEx>
        <w:trPr>
          <w:tblCellSpacing w:w="0" w:type="dxa"/>
          <w:jc w:val="center"/>
        </w:trPr>
        <w:tc>
          <w:tcPr>
            <w:tcW w:w="9078" w:type="dxa"/>
            <w:shd w:val="clear" w:color="auto" w:fill="auto"/>
            <w:vAlign w:val="center"/>
          </w:tcPr>
          <w:p>
            <w:pPr>
              <w:widowControl w:val="0"/>
              <w:ind w:firstLine="420"/>
              <w:jc w:val="both"/>
              <w:rPr>
                <w:rFonts w:ascii="Calibri" w:eastAsia="宋体" w:hAnsi="Calibri"/>
                <w:kern w:val="2"/>
                <w:sz w:val="21"/>
                <w:szCs w:val="21"/>
                <w:lang w:eastAsia="zh-CN"/>
              </w:rPr>
            </w:pPr>
            <w:r>
              <w:rPr>
                <w:rFonts w:ascii="Calibri" w:eastAsia="宋体" w:hAnsi="Calibri" w:cstheme="minorBidi"/>
                <w:kern w:val="2"/>
                <w:sz w:val="21"/>
                <w:szCs w:val="21"/>
                <w:lang w:eastAsia="zh-CN"/>
              </w:rPr>
              <w:t>综合评分法，</w:t>
            </w:r>
            <w:r>
              <w:rPr>
                <w:rFonts w:ascii="Calibri" w:eastAsia="宋体" w:hAnsi="Calibri" w:cstheme="minorBidi" w:hint="eastAsia"/>
                <w:kern w:val="2"/>
                <w:sz w:val="21"/>
                <w:szCs w:val="21"/>
                <w:lang w:eastAsia="zh-CN"/>
              </w:rPr>
              <w:t>是指投标文件满足招标文件全部实质性要求，且按照评审因素的量化指标评审得分排名前列</w:t>
            </w:r>
            <w:r>
              <w:rPr>
                <w:rFonts w:ascii="Calibri" w:eastAsia="宋体" w:hAnsi="Calibri" w:cstheme="minorBidi"/>
                <w:kern w:val="2"/>
                <w:sz w:val="21"/>
                <w:szCs w:val="21"/>
                <w:lang w:eastAsia="zh-CN"/>
              </w:rPr>
              <w:t>的投标人为中标候选人的评标方法。</w:t>
            </w:r>
          </w:p>
          <w:p>
            <w:pPr>
              <w:widowControl w:val="0"/>
              <w:ind w:firstLine="420"/>
              <w:jc w:val="both"/>
              <w:rPr>
                <w:rFonts w:ascii="Calibri" w:eastAsia="宋体" w:hAnsi="Calibri"/>
                <w:kern w:val="2"/>
                <w:sz w:val="21"/>
                <w:szCs w:val="22"/>
                <w:lang w:eastAsia="zh-CN"/>
              </w:rPr>
            </w:pPr>
          </w:p>
          <w:p>
            <w:pPr>
              <w:widowControl w:val="0"/>
              <w:ind w:firstLine="420"/>
              <w:jc w:val="both"/>
              <w:rPr>
                <w:rFonts w:ascii="Calibri" w:eastAsia="宋体" w:hAnsi="Calibri"/>
                <w:kern w:val="2"/>
                <w:sz w:val="21"/>
                <w:szCs w:val="21"/>
                <w:lang w:eastAsia="zh-CN"/>
              </w:rPr>
            </w:pPr>
            <w:r>
              <w:rPr>
                <w:rFonts w:ascii="Calibri" w:eastAsia="宋体" w:hAnsi="Calibri" w:cstheme="minorBidi"/>
                <w:kern w:val="2"/>
                <w:sz w:val="21"/>
                <w:szCs w:val="21"/>
                <w:lang w:eastAsia="zh-CN"/>
              </w:rPr>
              <w:t>价格分计算方法：</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采用低价优先法计算，即满足招标文件要求且投标价格最低的投标报价为评标基准价，其价格分为满分。其他投标人的价格分统一按照下列公式计算：</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投标报价得分=(评标基准价／投标报价)×100</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评标总得分＝F1×A1＋F2×A2＋……＋Fn×An</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F1、F2……Fn分别为各项评审因素的得分；</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A1、A2、……An分别为各项评审因素所占的权重(A1＋A2＋……＋An＝1)。</w:t>
            </w:r>
          </w:p>
          <w:p>
            <w:pPr>
              <w:widowControl/>
              <w:spacing w:before="100" w:beforeAutospacing="0" w:afterAutospacing="0"/>
              <w:ind w:left="420"/>
              <w:jc w:val="left"/>
              <w:rPr>
                <w:rFonts w:ascii="宋体" w:eastAsia="宋体" w:hAnsi="宋体"/>
                <w:kern w:val="2"/>
                <w:sz w:val="21"/>
                <w:szCs w:val="21"/>
                <w:lang w:eastAsia="zh-CN"/>
              </w:rPr>
            </w:pPr>
            <w:r>
              <w:rPr>
                <w:rFonts w:ascii="宋体" w:eastAsia="宋体" w:hAnsi="宋体" w:cstheme="minorBidi"/>
                <w:kern w:val="2"/>
                <w:sz w:val="21"/>
                <w:szCs w:val="21"/>
                <w:lang w:eastAsia="zh-CN"/>
              </w:rPr>
              <w:t>评标过程中，不得去掉报价中的最高报价和最低报价。</w:t>
            </w:r>
          </w:p>
          <w:p>
            <w:pPr>
              <w:widowControl/>
              <w:spacing w:before="100" w:beforeAutospacing="0" w:afterAutospacing="0"/>
              <w:ind w:left="420"/>
              <w:jc w:val="left"/>
              <w:rPr>
                <w:rFonts w:ascii="宋体" w:eastAsia="宋体" w:hAnsi="宋体"/>
                <w:kern w:val="2"/>
                <w:lang w:eastAsia="zh-CN"/>
              </w:rPr>
            </w:pPr>
            <w:r>
              <w:rPr>
                <w:rFonts w:ascii="宋体" w:eastAsia="宋体" w:hAnsi="宋体" w:cstheme="minorBidi" w:hint="eastAsia"/>
                <w:kern w:val="2"/>
                <w:sz w:val="21"/>
                <w:szCs w:val="21"/>
                <w:lang w:eastAsia="zh-CN"/>
              </w:rPr>
              <w:t>因落实政府采购政策进行价格调整的，以调整后的价格计算评标基准价和投标报价。</w:t>
            </w:r>
          </w:p>
        </w:tc>
      </w:tr>
    </w:tbl>
    <w:p>
      <w:pPr>
        <w:widowControl w:val="0"/>
        <w:jc w:val="both"/>
        <w:rPr>
          <w:rFonts w:ascii="Calibri" w:eastAsia="宋体" w:hAnsi="Calibri"/>
          <w:kern w:val="2"/>
          <w:sz w:val="21"/>
          <w:szCs w:val="22"/>
          <w:lang w:eastAsia="zh-CN"/>
        </w:rPr>
      </w:pP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top w:w="20" w:type="dxa"/>
          <w:left w:w="108" w:type="dxa"/>
          <w:bottom w:w="20" w:type="dxa"/>
          <w:right w:w="108" w:type="dxa"/>
        </w:tblCellMar>
      </w:tblPr>
      <w:tblGrid>
        <w:gridCol w:w="596"/>
        <w:gridCol w:w="641"/>
        <w:gridCol w:w="1439"/>
        <w:gridCol w:w="959"/>
        <w:gridCol w:w="5221"/>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top w:w="20" w:type="dxa"/>
            <w:left w:w="108" w:type="dxa"/>
            <w:bottom w:w="20" w:type="dxa"/>
            <w:right w:w="108" w:type="dxa"/>
          </w:tblCellMar>
        </w:tblPrEx>
        <w:trPr>
          <w:jc w:val="center"/>
        </w:trPr>
        <w:tc>
          <w:tcPr>
            <w:tcW w:w="607"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序号</w:t>
            </w:r>
          </w:p>
        </w:tc>
        <w:tc>
          <w:tcPr>
            <w:tcW w:w="3104"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评分项</w:t>
            </w:r>
          </w:p>
        </w:tc>
        <w:tc>
          <w:tcPr>
            <w:tcW w:w="5361"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权重（%）</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607" w:type="dxa"/>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1</w:t>
            </w:r>
          </w:p>
        </w:tc>
        <w:tc>
          <w:tcPr>
            <w:tcW w:w="3104" w:type="dxa"/>
            <w:gridSpan w:val="3"/>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价格</w:t>
            </w:r>
          </w:p>
        </w:tc>
        <w:tc>
          <w:tcPr>
            <w:tcW w:w="5361" w:type="dxa"/>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30</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607" w:type="dxa"/>
            <w:vMerge w:val="restart"/>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2</w:t>
            </w:r>
          </w:p>
        </w:tc>
        <w:tc>
          <w:tcPr>
            <w:tcW w:w="3104" w:type="dxa"/>
            <w:gridSpan w:val="3"/>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技术部分</w:t>
            </w:r>
          </w:p>
        </w:tc>
        <w:tc>
          <w:tcPr>
            <w:tcW w:w="5361" w:type="dxa"/>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spacing w:line="360" w:lineRule="auto"/>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57</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60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cs="宋体"/>
                <w:b/>
                <w:bCs/>
                <w:kern w:val="2"/>
                <w:sz w:val="21"/>
                <w:szCs w:val="21"/>
                <w:lang w:eastAsia="zh-CN"/>
              </w:rPr>
            </w:pPr>
          </w:p>
        </w:tc>
        <w:tc>
          <w:tcPr>
            <w:tcW w:w="652"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序号</w:t>
            </w:r>
          </w:p>
        </w:tc>
        <w:tc>
          <w:tcPr>
            <w:tcW w:w="1473"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评分因素</w:t>
            </w:r>
          </w:p>
        </w:tc>
        <w:tc>
          <w:tcPr>
            <w:tcW w:w="979"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权重</w:t>
            </w:r>
            <w:r>
              <w:rPr>
                <w:rFonts w:ascii="宋体" w:eastAsia="宋体" w:hAnsi="宋体" w:cs="宋体" w:hint="eastAsia"/>
                <w:bCs/>
                <w:kern w:val="2"/>
                <w:sz w:val="21"/>
                <w:szCs w:val="21"/>
                <w:lang w:eastAsia="zh-CN"/>
              </w:rPr>
              <w:t>（%）</w:t>
            </w:r>
          </w:p>
        </w:tc>
        <w:tc>
          <w:tcPr>
            <w:tcW w:w="5361"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评分准则</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60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cs="宋体"/>
                <w:b/>
                <w:bCs/>
                <w:kern w:val="2"/>
                <w:sz w:val="21"/>
                <w:szCs w:val="21"/>
                <w:lang w:eastAsia="zh-CN"/>
              </w:rPr>
            </w:pPr>
          </w:p>
        </w:tc>
        <w:tc>
          <w:tcPr>
            <w:tcW w:w="652"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1473"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pacing w:line="240" w:lineRule="exact"/>
              <w:jc w:val="center"/>
              <w:rPr>
                <w:rFonts w:ascii="宋体" w:eastAsia="宋体" w:hAnsi="宋体" w:cs="宋体"/>
                <w:kern w:val="2"/>
                <w:sz w:val="21"/>
                <w:szCs w:val="21"/>
                <w:lang w:eastAsia="zh-CN"/>
              </w:rPr>
            </w:pPr>
            <w:r>
              <w:rPr>
                <w:rFonts w:ascii="宋体" w:eastAsia="宋体" w:hAnsi="宋体" w:cs="宋体" w:hint="eastAsia"/>
                <w:sz w:val="21"/>
                <w:szCs w:val="21"/>
                <w:lang w:eastAsia="zh-CN"/>
              </w:rPr>
              <w:t>技术规格偏离情况</w:t>
            </w:r>
          </w:p>
        </w:tc>
        <w:tc>
          <w:tcPr>
            <w:tcW w:w="9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pacing w:line="240" w:lineRule="exact"/>
              <w:jc w:val="center"/>
              <w:rPr>
                <w:rFonts w:ascii="宋体" w:eastAsia="宋体" w:hAnsi="宋体" w:cs="宋体"/>
                <w:kern w:val="2"/>
                <w:sz w:val="21"/>
                <w:szCs w:val="21"/>
                <w:lang w:eastAsia="zh-CN"/>
              </w:rPr>
            </w:pPr>
            <w:r>
              <w:rPr>
                <w:rFonts w:ascii="宋体" w:eastAsia="宋体" w:hAnsi="宋体" w:cstheme="minorBidi" w:hint="eastAsia"/>
                <w:kern w:val="2"/>
                <w:sz w:val="21"/>
                <w:szCs w:val="21"/>
                <w:lang w:eastAsia="zh-CN"/>
              </w:rPr>
              <w:t>32</w:t>
            </w:r>
          </w:p>
        </w:tc>
        <w:tc>
          <w:tcPr>
            <w:tcW w:w="5361" w:type="dxa"/>
            <w:tcBorders>
              <w:top w:val="single" w:sz="8" w:space="0" w:color="000000"/>
              <w:left w:val="single" w:sz="8" w:space="0" w:color="000000"/>
              <w:bottom w:val="single" w:sz="8" w:space="0" w:color="000000"/>
              <w:right w:val="single" w:sz="8" w:space="0" w:color="000000"/>
            </w:tcBorders>
            <w:shd w:val="clear" w:color="auto" w:fill="FFFFFF"/>
          </w:tcPr>
          <w:p>
            <w:pPr>
              <w:widowControl w:val="0"/>
              <w:spacing w:line="240" w:lineRule="auto"/>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考察内容：</w:t>
            </w:r>
          </w:p>
          <w:p>
            <w:pPr>
              <w:widowControl w:val="0"/>
              <w:spacing w:line="24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评审小组根据《技术规格偏离表》（以下简称“偏离表”）响应情况进行打分，全部满足的得100分，一般参数负偏离一项扣0.58分，重点技术参数▲项负偏离一项扣9分。扣完为止。</w:t>
            </w:r>
          </w:p>
          <w:p>
            <w:pPr>
              <w:keepNext w:val="0"/>
              <w:keepLines w:val="0"/>
              <w:pageBreakBefore w:val="0"/>
              <w:widowControl w:val="0"/>
              <w:kinsoku/>
              <w:wordWrap/>
              <w:overflowPunct/>
              <w:topLinePunct w:val="0"/>
              <w:autoSpaceDE/>
              <w:autoSpaceDN/>
              <w:bidi w:val="0"/>
              <w:adjustRightInd/>
              <w:spacing w:line="240" w:lineRule="auto"/>
              <w:ind w:firstLine="0" w:firstLineChars="0"/>
              <w:jc w:val="both"/>
              <w:textAlignment w:val="auto"/>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证明文件：</w:t>
            </w:r>
          </w:p>
          <w:p>
            <w:pPr>
              <w:widowControl w:val="0"/>
              <w:spacing w:line="240" w:lineRule="auto"/>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偏离表应如实对应填写所投产品的具体参数。如要求提供“厂家网站截图/说明书/厂家出具的参数文件/检验报告”等证明资料的，需按要求提供相关证明资料；提供的证明资料与所填写内容不一致的，以证明资料为准，原件备查。未提供或未按要求提供或提供的不清晰导致专家无法判断的，不得分。</w:t>
            </w:r>
          </w:p>
        </w:tc>
      </w:tr>
      <w:tr>
        <w:tblPrEx>
          <w:tblW w:w="5000" w:type="pct"/>
          <w:jc w:val="center"/>
          <w:shd w:val="clear" w:color="auto" w:fill="FFFFFF"/>
          <w:tblLayout w:type="fixed"/>
          <w:tblCellMar>
            <w:top w:w="20" w:type="dxa"/>
            <w:left w:w="108" w:type="dxa"/>
            <w:bottom w:w="20" w:type="dxa"/>
            <w:right w:w="108" w:type="dxa"/>
          </w:tblCellMar>
        </w:tblPrEx>
        <w:trPr>
          <w:trHeight w:val="1235"/>
          <w:jc w:val="center"/>
        </w:trPr>
        <w:tc>
          <w:tcPr>
            <w:tcW w:w="60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cs="宋体"/>
                <w:b/>
                <w:bCs/>
                <w:kern w:val="2"/>
                <w:sz w:val="21"/>
                <w:szCs w:val="21"/>
                <w:lang w:eastAsia="zh-CN"/>
              </w:rPr>
            </w:pPr>
          </w:p>
        </w:tc>
        <w:tc>
          <w:tcPr>
            <w:tcW w:w="652"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p>
        </w:tc>
        <w:tc>
          <w:tcPr>
            <w:tcW w:w="1473"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pacing w:line="240" w:lineRule="exact"/>
              <w:jc w:val="center"/>
              <w:rPr>
                <w:rFonts w:ascii="宋体" w:eastAsia="宋体" w:hAnsi="宋体" w:cs="宋体"/>
                <w:sz w:val="21"/>
                <w:szCs w:val="21"/>
                <w:lang w:eastAsia="zh-CN"/>
              </w:rPr>
            </w:pPr>
            <w:r>
              <w:rPr>
                <w:rFonts w:ascii="宋体" w:eastAsia="宋体" w:hAnsi="宋体" w:cstheme="minorBidi" w:hint="eastAsia"/>
                <w:kern w:val="2"/>
                <w:sz w:val="21"/>
                <w:szCs w:val="21"/>
                <w:lang w:eastAsia="zh-CN"/>
              </w:rPr>
              <w:t>技术保障措施</w:t>
            </w:r>
          </w:p>
        </w:tc>
        <w:tc>
          <w:tcPr>
            <w:tcW w:w="9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pacing w:line="240" w:lineRule="exact"/>
              <w:jc w:val="center"/>
              <w:rPr>
                <w:rFonts w:ascii="宋体" w:eastAsia="宋体" w:hAnsi="宋体" w:cs="宋体" w:hint="eastAsia"/>
                <w:sz w:val="21"/>
                <w:szCs w:val="21"/>
                <w:lang w:eastAsia="zh-CN"/>
              </w:rPr>
            </w:pPr>
            <w:r>
              <w:rPr>
                <w:rFonts w:ascii="Calibri" w:eastAsia="宋体" w:hAnsi="Calibri" w:cstheme="minorBidi" w:hint="eastAsia"/>
                <w:kern w:val="2"/>
                <w:sz w:val="21"/>
                <w:szCs w:val="22"/>
                <w:lang w:eastAsia="zh-CN"/>
              </w:rPr>
              <w:t>5</w:t>
            </w:r>
          </w:p>
        </w:tc>
        <w:tc>
          <w:tcPr>
            <w:tcW w:w="5361"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pacing w:line="240" w:lineRule="auto"/>
              <w:jc w:val="both"/>
              <w:rPr>
                <w:rFonts w:ascii="Calibri" w:eastAsia="宋体" w:hAnsi="Calibri" w:hint="eastAsia"/>
                <w:kern w:val="2"/>
                <w:sz w:val="21"/>
                <w:szCs w:val="22"/>
                <w:lang w:eastAsia="zh-CN"/>
              </w:rPr>
            </w:pPr>
            <w:r>
              <w:rPr>
                <w:rFonts w:ascii="Calibri" w:eastAsia="宋体" w:hAnsi="Calibri" w:cstheme="minorBidi" w:hint="eastAsia"/>
                <w:b/>
                <w:bCs/>
                <w:kern w:val="2"/>
                <w:sz w:val="21"/>
                <w:szCs w:val="22"/>
                <w:lang w:eastAsia="zh-CN"/>
              </w:rPr>
              <w:t>考察内容：</w:t>
            </w:r>
          </w:p>
          <w:p>
            <w:pPr>
              <w:widowControl w:val="0"/>
              <w:spacing w:line="240" w:lineRule="auto"/>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评审委员会根据投标单位的技术保障措施进行评审，包括但不限于以下方案：</w:t>
            </w:r>
          </w:p>
          <w:p>
            <w:pPr>
              <w:widowControl w:val="0"/>
              <w:spacing w:line="240" w:lineRule="auto"/>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（1）技术团队构架、技术人员安排</w:t>
            </w:r>
          </w:p>
          <w:p>
            <w:pPr>
              <w:widowControl w:val="0"/>
              <w:spacing w:line="240" w:lineRule="auto"/>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（2）服务方案</w:t>
            </w:r>
          </w:p>
          <w:p>
            <w:pPr>
              <w:widowControl w:val="0"/>
              <w:spacing w:line="240" w:lineRule="auto"/>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（3）售后服务方案</w:t>
            </w:r>
          </w:p>
          <w:p>
            <w:pPr>
              <w:widowControl w:val="0"/>
              <w:spacing w:line="240" w:lineRule="auto"/>
              <w:jc w:val="both"/>
              <w:rPr>
                <w:rFonts w:ascii="Calibri" w:eastAsia="宋体" w:hAnsi="Calibri" w:hint="eastAsia"/>
                <w:b/>
                <w:bCs/>
                <w:kern w:val="2"/>
                <w:sz w:val="21"/>
                <w:szCs w:val="22"/>
                <w:lang w:eastAsia="zh-CN"/>
              </w:rPr>
            </w:pPr>
            <w:r>
              <w:rPr>
                <w:rFonts w:ascii="Calibri" w:eastAsia="宋体" w:hAnsi="Calibri" w:cstheme="minorBidi" w:hint="eastAsia"/>
                <w:b/>
                <w:bCs/>
                <w:kern w:val="2"/>
                <w:sz w:val="21"/>
                <w:szCs w:val="22"/>
                <w:lang w:eastAsia="zh-CN"/>
              </w:rPr>
              <w:t>评分依据：</w:t>
            </w:r>
          </w:p>
          <w:p>
            <w:pPr>
              <w:widowControl w:val="0"/>
              <w:spacing w:line="240" w:lineRule="auto"/>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提供以上3点内容得30分，缺项不得分。</w:t>
            </w:r>
          </w:p>
          <w:p>
            <w:pPr>
              <w:widowControl w:val="0"/>
              <w:spacing w:line="240" w:lineRule="auto"/>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在此基础上，专家根据内容的合理性进行评分:</w:t>
            </w:r>
          </w:p>
          <w:p>
            <w:pPr>
              <w:widowControl w:val="0"/>
              <w:spacing w:line="240" w:lineRule="auto"/>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（1）方案符合实际、完整、规范、思路清晰，内容合理性强，评价为优加70分；</w:t>
            </w:r>
          </w:p>
          <w:p>
            <w:pPr>
              <w:widowControl w:val="0"/>
              <w:spacing w:line="240" w:lineRule="auto"/>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（2）方案较符合实际、较完整规范、思路较清晰，内容合理性较强，评价为良加40分；</w:t>
            </w:r>
          </w:p>
          <w:p>
            <w:pPr>
              <w:widowControl w:val="0"/>
              <w:spacing w:line="240" w:lineRule="auto"/>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（3）方案较普通、完整性规范性一般，思路不够清晰，内容合理性一般，评价为中加20分；</w:t>
            </w:r>
          </w:p>
          <w:p>
            <w:pPr>
              <w:widowControl w:val="0"/>
              <w:spacing w:line="240" w:lineRule="auto"/>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（4）方案不完整、不规范，思路不清晰，内容合理性较差或未提供，评价为差不加分。</w:t>
            </w:r>
          </w:p>
          <w:p>
            <w:pPr>
              <w:widowControl w:val="0"/>
              <w:spacing w:line="240" w:lineRule="auto"/>
              <w:jc w:val="both"/>
              <w:rPr>
                <w:rFonts w:ascii="宋体" w:eastAsia="宋体" w:hAnsi="宋体" w:cs="Calibri"/>
                <w:b/>
                <w:bCs/>
                <w:color w:val="000000"/>
                <w:kern w:val="2"/>
                <w:sz w:val="21"/>
                <w:szCs w:val="21"/>
                <w:lang w:eastAsia="zh-CN"/>
              </w:rPr>
            </w:pPr>
            <w:r>
              <w:rPr>
                <w:rFonts w:ascii="Calibri" w:eastAsia="宋体" w:hAnsi="Calibri" w:cstheme="minorBidi" w:hint="eastAsia"/>
                <w:kern w:val="2"/>
                <w:sz w:val="21"/>
                <w:szCs w:val="22"/>
                <w:lang w:eastAsia="zh-CN"/>
              </w:rPr>
              <w:t>未提供不得分。</w:t>
            </w:r>
          </w:p>
        </w:tc>
      </w:tr>
      <w:tr>
        <w:tblPrEx>
          <w:tblW w:w="5000" w:type="pct"/>
          <w:jc w:val="center"/>
          <w:shd w:val="clear" w:color="auto" w:fill="FFFFFF"/>
          <w:tblLayout w:type="fixed"/>
          <w:tblCellMar>
            <w:top w:w="20" w:type="dxa"/>
            <w:left w:w="108" w:type="dxa"/>
            <w:bottom w:w="20" w:type="dxa"/>
            <w:right w:w="108" w:type="dxa"/>
          </w:tblCellMar>
        </w:tblPrEx>
        <w:trPr>
          <w:trHeight w:val="1522"/>
          <w:jc w:val="center"/>
        </w:trPr>
        <w:tc>
          <w:tcPr>
            <w:tcW w:w="607" w:type="dxa"/>
            <w:vMerge/>
            <w:tcBorders>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kern w:val="2"/>
                <w:sz w:val="21"/>
                <w:szCs w:val="21"/>
                <w:lang w:eastAsia="zh-CN"/>
              </w:rPr>
            </w:pPr>
          </w:p>
        </w:tc>
        <w:tc>
          <w:tcPr>
            <w:tcW w:w="652"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3</w:t>
            </w:r>
          </w:p>
        </w:tc>
        <w:tc>
          <w:tcPr>
            <w:tcW w:w="1473"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pacing w:line="240" w:lineRule="exact"/>
              <w:jc w:val="center"/>
              <w:rPr>
                <w:rFonts w:ascii="宋体" w:eastAsia="宋体" w:hAnsi="宋体" w:cs="宋体"/>
                <w:kern w:val="2"/>
                <w:sz w:val="21"/>
                <w:szCs w:val="21"/>
                <w:lang w:eastAsia="zh-CN"/>
              </w:rPr>
            </w:pPr>
            <w:r>
              <w:rPr>
                <w:rFonts w:ascii="宋体" w:eastAsia="宋体" w:hAnsi="宋体" w:cs="宋体" w:hint="eastAsia"/>
                <w:sz w:val="21"/>
                <w:szCs w:val="21"/>
                <w:lang w:eastAsia="zh-CN" w:bidi="ar"/>
              </w:rPr>
              <w:t>设计方案</w:t>
            </w:r>
          </w:p>
        </w:tc>
        <w:tc>
          <w:tcPr>
            <w:tcW w:w="9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pacing w:line="240" w:lineRule="exact"/>
              <w:jc w:val="center"/>
              <w:rPr>
                <w:rFonts w:ascii="宋体" w:eastAsia="宋体" w:hAnsi="宋体" w:cs="宋体"/>
                <w:kern w:val="2"/>
                <w:sz w:val="21"/>
                <w:szCs w:val="21"/>
                <w:lang w:eastAsia="zh-CN"/>
              </w:rPr>
            </w:pPr>
            <w:r>
              <w:rPr>
                <w:rFonts w:ascii="宋体" w:eastAsia="宋体" w:hAnsi="宋体" w:cstheme="minorBidi" w:hint="eastAsia"/>
                <w:kern w:val="2"/>
                <w:sz w:val="21"/>
                <w:szCs w:val="21"/>
                <w:lang w:eastAsia="zh-CN"/>
              </w:rPr>
              <w:t>10</w:t>
            </w:r>
          </w:p>
        </w:tc>
        <w:tc>
          <w:tcPr>
            <w:tcW w:w="5361"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pacing w:line="240" w:lineRule="auto"/>
              <w:jc w:val="both"/>
              <w:rPr>
                <w:rFonts w:ascii="Calibri" w:eastAsia="宋体" w:hAnsi="Calibri" w:hint="eastAsia"/>
                <w:kern w:val="2"/>
                <w:sz w:val="21"/>
                <w:szCs w:val="22"/>
                <w:lang w:eastAsia="zh-CN"/>
              </w:rPr>
            </w:pPr>
            <w:r>
              <w:rPr>
                <w:rFonts w:ascii="Calibri" w:eastAsia="宋体" w:hAnsi="Calibri" w:cstheme="minorBidi" w:hint="eastAsia"/>
                <w:b/>
                <w:bCs/>
                <w:kern w:val="2"/>
                <w:sz w:val="21"/>
                <w:szCs w:val="22"/>
                <w:lang w:eastAsia="zh-CN"/>
              </w:rPr>
              <w:t>考察内容：</w:t>
            </w:r>
          </w:p>
          <w:p>
            <w:pPr>
              <w:widowControl w:val="0"/>
              <w:spacing w:line="240" w:lineRule="auto"/>
              <w:jc w:val="both"/>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1.投标人应根据招标货物对应的技术要求或图纸进行规划设计：</w:t>
            </w:r>
          </w:p>
          <w:p>
            <w:pPr>
              <w:widowControl w:val="0"/>
              <w:spacing w:line="240" w:lineRule="auto"/>
              <w:jc w:val="left"/>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①需体现出序号1智能书包柜1：提供相关设计产品图，须在产品图中清晰标注好对应尺寸；</w:t>
            </w:r>
          </w:p>
          <w:p>
            <w:pPr>
              <w:widowControl w:val="0"/>
              <w:spacing w:line="240" w:lineRule="auto"/>
              <w:jc w:val="both"/>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②包厢1：需体现出序号10、11、12、13、14；提供以上货物的平面布局图（1张）及效果图（3张、不同角度展示）；</w:t>
            </w:r>
          </w:p>
          <w:p>
            <w:pPr>
              <w:widowControl w:val="0"/>
              <w:spacing w:line="240" w:lineRule="auto"/>
              <w:jc w:val="both"/>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③包厢2：需体现出序号15、16、17、18；提供以上货物的平面布局图（1张）及效果图（3张、不同角度展示）；</w:t>
            </w:r>
          </w:p>
          <w:p>
            <w:pPr>
              <w:widowControl w:val="0"/>
              <w:spacing w:line="240" w:lineRule="auto"/>
              <w:jc w:val="both"/>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此项提供齐全满足要求的图纸得30分,缺项不得分。</w:t>
            </w:r>
          </w:p>
          <w:p>
            <w:pPr>
              <w:widowControl w:val="0"/>
              <w:spacing w:line="240" w:lineRule="auto"/>
              <w:jc w:val="both"/>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2.在此基础上，评审小组根据投标人所提供的产品图响应情况，进一步评审：</w:t>
            </w:r>
          </w:p>
          <w:p>
            <w:pPr>
              <w:widowControl w:val="0"/>
              <w:spacing w:line="240" w:lineRule="auto"/>
              <w:jc w:val="both"/>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（1）优</w:t>
            </w:r>
            <w:r>
              <w:rPr>
                <w:rFonts w:ascii="Calibri" w:eastAsia="宋体" w:hAnsi="Calibri" w:cstheme="minorBidi" w:hint="eastAsia"/>
                <w:kern w:val="2"/>
                <w:sz w:val="21"/>
                <w:szCs w:val="22"/>
                <w:lang w:eastAsia="zh-CN"/>
              </w:rPr>
              <w:t>评分标准</w:t>
            </w:r>
            <w:r>
              <w:rPr>
                <w:rFonts w:ascii="宋体" w:eastAsia="宋体" w:hAnsi="宋体" w:cs="宋体" w:hint="eastAsia"/>
                <w:sz w:val="21"/>
                <w:szCs w:val="21"/>
                <w:lang w:eastAsia="zh-CN" w:bidi="ar"/>
              </w:rPr>
              <w:t>：设计图全面完善、整体配置清晰为优，得70分；</w:t>
            </w:r>
          </w:p>
          <w:p>
            <w:pPr>
              <w:widowControl w:val="0"/>
              <w:spacing w:line="240" w:lineRule="auto"/>
              <w:jc w:val="both"/>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（2）良</w:t>
            </w:r>
            <w:r>
              <w:rPr>
                <w:rFonts w:ascii="Calibri" w:eastAsia="宋体" w:hAnsi="Calibri" w:cstheme="minorBidi" w:hint="eastAsia"/>
                <w:kern w:val="2"/>
                <w:sz w:val="21"/>
                <w:szCs w:val="22"/>
                <w:lang w:eastAsia="zh-CN"/>
              </w:rPr>
              <w:t>评分标准</w:t>
            </w:r>
            <w:r>
              <w:rPr>
                <w:rFonts w:ascii="宋体" w:eastAsia="宋体" w:hAnsi="宋体" w:cs="宋体" w:hint="eastAsia"/>
                <w:sz w:val="21"/>
                <w:szCs w:val="21"/>
                <w:lang w:eastAsia="zh-CN" w:bidi="ar"/>
              </w:rPr>
              <w:t>：设计图较为完善、整体配置比较清晰为良，得30分；</w:t>
            </w:r>
          </w:p>
          <w:p>
            <w:pPr>
              <w:widowControl w:val="0"/>
              <w:spacing w:line="240" w:lineRule="auto"/>
              <w:jc w:val="both"/>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（3）中</w:t>
            </w:r>
            <w:r>
              <w:rPr>
                <w:rFonts w:ascii="Calibri" w:eastAsia="宋体" w:hAnsi="Calibri" w:cstheme="minorBidi" w:hint="eastAsia"/>
                <w:kern w:val="2"/>
                <w:sz w:val="21"/>
                <w:szCs w:val="22"/>
                <w:lang w:eastAsia="zh-CN"/>
              </w:rPr>
              <w:t>评分标准</w:t>
            </w:r>
            <w:r>
              <w:rPr>
                <w:rFonts w:ascii="宋体" w:eastAsia="宋体" w:hAnsi="宋体" w:cs="宋体" w:hint="eastAsia"/>
                <w:sz w:val="21"/>
                <w:szCs w:val="21"/>
                <w:lang w:eastAsia="zh-CN" w:bidi="ar"/>
              </w:rPr>
              <w:t>：方案不够具体、整体配置不够清晰的为中，得5分；</w:t>
            </w:r>
          </w:p>
          <w:p>
            <w:pPr>
              <w:widowControl w:val="0"/>
              <w:spacing w:line="240" w:lineRule="auto"/>
              <w:jc w:val="both"/>
              <w:rPr>
                <w:rFonts w:ascii="宋体" w:eastAsia="宋体" w:hAnsi="宋体" w:cs="宋体"/>
                <w:kern w:val="2"/>
                <w:sz w:val="21"/>
                <w:szCs w:val="21"/>
                <w:lang w:eastAsia="zh-CN"/>
              </w:rPr>
            </w:pPr>
            <w:r>
              <w:rPr>
                <w:rFonts w:ascii="宋体" w:eastAsia="宋体" w:hAnsi="宋体" w:cs="宋体" w:hint="eastAsia"/>
                <w:sz w:val="21"/>
                <w:szCs w:val="21"/>
                <w:lang w:eastAsia="zh-CN" w:bidi="ar"/>
              </w:rPr>
              <w:t>（4）差</w:t>
            </w:r>
            <w:r>
              <w:rPr>
                <w:rFonts w:ascii="Calibri" w:eastAsia="宋体" w:hAnsi="Calibri" w:cstheme="minorBidi" w:hint="eastAsia"/>
                <w:kern w:val="2"/>
                <w:sz w:val="21"/>
                <w:szCs w:val="22"/>
                <w:lang w:eastAsia="zh-CN"/>
              </w:rPr>
              <w:t>评分标准</w:t>
            </w:r>
            <w:r>
              <w:rPr>
                <w:rFonts w:ascii="宋体" w:eastAsia="宋体" w:hAnsi="宋体" w:cs="宋体" w:hint="eastAsia"/>
                <w:sz w:val="21"/>
                <w:szCs w:val="21"/>
                <w:lang w:eastAsia="zh-CN" w:bidi="ar"/>
              </w:rPr>
              <w:t>：未按要求提供或提供的材料不能证明相关情况的或提供不清晰导致专家无法判断的不得分。</w:t>
            </w:r>
          </w:p>
        </w:tc>
      </w:tr>
      <w:tr>
        <w:tblPrEx>
          <w:tblW w:w="5000" w:type="pct"/>
          <w:jc w:val="center"/>
          <w:shd w:val="clear" w:color="auto" w:fill="FFFFFF"/>
          <w:tblLayout w:type="fixed"/>
          <w:tblCellMar>
            <w:top w:w="20" w:type="dxa"/>
            <w:left w:w="108" w:type="dxa"/>
            <w:bottom w:w="20" w:type="dxa"/>
            <w:right w:w="108" w:type="dxa"/>
          </w:tblCellMar>
        </w:tblPrEx>
        <w:trPr>
          <w:trHeight w:val="1522"/>
          <w:jc w:val="center"/>
        </w:trPr>
        <w:tc>
          <w:tcPr>
            <w:tcW w:w="607" w:type="dxa"/>
            <w:vMerge/>
            <w:tcBorders>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kern w:val="2"/>
                <w:sz w:val="21"/>
                <w:szCs w:val="21"/>
                <w:lang w:eastAsia="zh-CN"/>
              </w:rPr>
            </w:pPr>
          </w:p>
        </w:tc>
        <w:tc>
          <w:tcPr>
            <w:tcW w:w="652"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4</w:t>
            </w:r>
          </w:p>
        </w:tc>
        <w:tc>
          <w:tcPr>
            <w:tcW w:w="1473"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pacing w:line="240" w:lineRule="exact"/>
              <w:jc w:val="center"/>
              <w:rPr>
                <w:rFonts w:ascii="宋体" w:eastAsia="宋体" w:hAnsi="宋体" w:cs="宋体"/>
                <w:sz w:val="21"/>
                <w:szCs w:val="21"/>
                <w:lang w:eastAsia="zh-CN"/>
              </w:rPr>
            </w:pPr>
            <w:r>
              <w:rPr>
                <w:rFonts w:ascii="宋体" w:eastAsia="宋体" w:hAnsi="宋体" w:cstheme="minorBidi" w:hint="eastAsia"/>
                <w:kern w:val="2"/>
                <w:sz w:val="21"/>
                <w:szCs w:val="21"/>
                <w:lang w:eastAsia="zh-CN"/>
              </w:rPr>
              <w:t>样品</w:t>
            </w:r>
          </w:p>
        </w:tc>
        <w:tc>
          <w:tcPr>
            <w:tcW w:w="9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pacing w:line="240" w:lineRule="exact"/>
              <w:jc w:val="center"/>
              <w:rPr>
                <w:rFonts w:ascii="宋体" w:eastAsia="宋体" w:hAnsi="宋体" w:cs="宋体"/>
                <w:sz w:val="21"/>
                <w:szCs w:val="21"/>
                <w:lang w:eastAsia="zh-CN"/>
              </w:rPr>
            </w:pPr>
            <w:r>
              <w:rPr>
                <w:rFonts w:ascii="宋体" w:eastAsia="宋体" w:hAnsi="宋体" w:cstheme="minorBidi" w:hint="eastAsia"/>
                <w:kern w:val="2"/>
                <w:sz w:val="21"/>
                <w:szCs w:val="21"/>
                <w:lang w:eastAsia="zh-CN"/>
              </w:rPr>
              <w:t>10</w:t>
            </w:r>
          </w:p>
        </w:tc>
        <w:tc>
          <w:tcPr>
            <w:tcW w:w="5361"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pacing w:line="240" w:lineRule="auto"/>
              <w:jc w:val="both"/>
              <w:rPr>
                <w:rFonts w:ascii="Calibri" w:eastAsia="宋体" w:hAnsi="Calibri" w:hint="eastAsia"/>
                <w:kern w:val="2"/>
                <w:sz w:val="21"/>
                <w:szCs w:val="22"/>
                <w:lang w:eastAsia="zh-CN"/>
              </w:rPr>
            </w:pPr>
            <w:r>
              <w:rPr>
                <w:rFonts w:ascii="Calibri" w:eastAsia="宋体" w:hAnsi="Calibri" w:cstheme="minorBidi" w:hint="eastAsia"/>
                <w:b/>
                <w:bCs/>
                <w:kern w:val="2"/>
                <w:sz w:val="21"/>
                <w:szCs w:val="22"/>
                <w:lang w:eastAsia="zh-CN"/>
              </w:rPr>
              <w:t>考察内容：</w:t>
            </w:r>
          </w:p>
          <w:p>
            <w:pPr>
              <w:widowControl w:val="0"/>
              <w:spacing w:line="240" w:lineRule="auto"/>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评审委员会对投标人提供的样品进行综合评审打分：</w:t>
            </w:r>
          </w:p>
          <w:p>
            <w:pPr>
              <w:widowControl w:val="0"/>
              <w:spacing w:line="240" w:lineRule="auto"/>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1、投标人提供符合要求的样品得30分，不提供样品不得分，样品不合格不得分。</w:t>
            </w:r>
          </w:p>
          <w:p>
            <w:pPr>
              <w:widowControl w:val="0"/>
              <w:spacing w:line="240" w:lineRule="auto"/>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①样品名称：四人位回弹餐桌椅（回弹式座垫肘壁）；数量要求1个；规格材质详见样品要求表；</w:t>
            </w:r>
          </w:p>
          <w:p>
            <w:pPr>
              <w:widowControl w:val="0"/>
              <w:spacing w:line="240" w:lineRule="auto"/>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②样品名称：吧椅（椅面）；数量要求1套；规格材质详见样品要求表。</w:t>
            </w:r>
          </w:p>
          <w:p>
            <w:pPr>
              <w:widowControl w:val="0"/>
              <w:spacing w:line="240" w:lineRule="auto"/>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2、在此基础上，评标委员会对各供应商提供的样品按以下标准进行评分：</w:t>
            </w:r>
          </w:p>
          <w:p>
            <w:pPr>
              <w:widowControl w:val="0"/>
              <w:spacing w:line="240" w:lineRule="auto"/>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（1）优评分标准：样品材质和工艺质量好，且制作工艺和设计合理精美的，加70分；</w:t>
            </w:r>
          </w:p>
          <w:p>
            <w:pPr>
              <w:widowControl w:val="0"/>
              <w:spacing w:line="240" w:lineRule="auto"/>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（2）良评分标准：样品材质和工艺质量较好，且制作工艺和设计较合理精美的，加30分；</w:t>
            </w:r>
          </w:p>
          <w:p>
            <w:pPr>
              <w:widowControl w:val="0"/>
              <w:spacing w:line="240" w:lineRule="auto"/>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（3）中评分标准：样品材质和工艺质量一般，且制作工艺和设计基本合理精美的，加5分；</w:t>
            </w:r>
          </w:p>
          <w:p>
            <w:pPr>
              <w:widowControl w:val="0"/>
              <w:spacing w:line="240" w:lineRule="auto"/>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（4）差评分标准：样品材质和工艺质量差，且制作工艺和设计差的，不加分。</w:t>
            </w:r>
          </w:p>
          <w:p>
            <w:pPr>
              <w:widowControl w:val="0"/>
              <w:spacing w:line="240" w:lineRule="auto"/>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以上累计最高得100分。</w:t>
            </w:r>
          </w:p>
          <w:p>
            <w:pPr>
              <w:widowControl w:val="0"/>
              <w:spacing w:line="240" w:lineRule="auto"/>
              <w:jc w:val="both"/>
              <w:rPr>
                <w:rFonts w:ascii="宋体" w:eastAsia="宋体" w:hAnsi="宋体" w:cs="宋体"/>
                <w:sz w:val="21"/>
                <w:szCs w:val="21"/>
                <w:lang w:eastAsia="zh-CN"/>
              </w:rPr>
            </w:pPr>
            <w:r>
              <w:rPr>
                <w:rFonts w:ascii="Calibri" w:eastAsia="宋体" w:hAnsi="Calibri" w:cstheme="minorBidi" w:hint="eastAsia"/>
                <w:b/>
                <w:bCs/>
                <w:kern w:val="2"/>
                <w:sz w:val="21"/>
                <w:szCs w:val="22"/>
                <w:lang w:eastAsia="zh-CN"/>
              </w:rPr>
              <w:t>注意事项：</w:t>
            </w:r>
            <w:r>
              <w:rPr>
                <w:rFonts w:ascii="Calibri" w:eastAsia="宋体" w:hAnsi="Calibri" w:cstheme="minorBidi" w:hint="eastAsia"/>
                <w:kern w:val="2"/>
                <w:sz w:val="21"/>
                <w:szCs w:val="22"/>
                <w:lang w:eastAsia="zh-CN"/>
              </w:rPr>
              <w:t>（提交时间：开标当日14:00:00—14:30:00，联系电话：0755-21075754，提交地点：深圳市龙华区振华时代广场802）；递交人需提交法定法定代表人授权委托书（盖公章）和授权委托人身份证原件，样品上应当标注“项目名称及项目编号、样品编号、样品名称”等信息。</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607" w:type="dxa"/>
            <w:vMerge w:val="restart"/>
            <w:tcBorders>
              <w:top w:val="single" w:sz="8" w:space="0" w:color="000000"/>
              <w:left w:val="single" w:sz="8" w:space="0" w:color="000000"/>
              <w:right w:val="single" w:sz="8" w:space="0" w:color="000000"/>
            </w:tcBorders>
            <w:shd w:val="clear" w:color="auto" w:fill="FFFFFF"/>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3</w:t>
            </w:r>
          </w:p>
        </w:tc>
        <w:tc>
          <w:tcPr>
            <w:tcW w:w="3104" w:type="dxa"/>
            <w:gridSpan w:val="3"/>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商务部分</w:t>
            </w:r>
          </w:p>
        </w:tc>
        <w:tc>
          <w:tcPr>
            <w:tcW w:w="5361" w:type="dxa"/>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8</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607" w:type="dxa"/>
            <w:vMerge/>
            <w:tcBorders>
              <w:left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cs="宋体"/>
                <w:b/>
                <w:bCs/>
                <w:kern w:val="2"/>
                <w:sz w:val="21"/>
                <w:szCs w:val="21"/>
                <w:lang w:eastAsia="zh-CN"/>
              </w:rPr>
            </w:pPr>
          </w:p>
        </w:tc>
        <w:tc>
          <w:tcPr>
            <w:tcW w:w="652"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序号</w:t>
            </w:r>
          </w:p>
        </w:tc>
        <w:tc>
          <w:tcPr>
            <w:tcW w:w="1473"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评分因素</w:t>
            </w:r>
          </w:p>
        </w:tc>
        <w:tc>
          <w:tcPr>
            <w:tcW w:w="979"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权重</w:t>
            </w:r>
            <w:r>
              <w:rPr>
                <w:rFonts w:ascii="宋体" w:eastAsia="宋体" w:hAnsi="宋体" w:cs="宋体" w:hint="eastAsia"/>
                <w:bCs/>
                <w:kern w:val="2"/>
                <w:sz w:val="21"/>
                <w:szCs w:val="21"/>
                <w:lang w:eastAsia="zh-CN"/>
              </w:rPr>
              <w:t>（%）</w:t>
            </w:r>
          </w:p>
        </w:tc>
        <w:tc>
          <w:tcPr>
            <w:tcW w:w="5361"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评分准则</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607" w:type="dxa"/>
            <w:vMerge/>
            <w:tcBorders>
              <w:left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cs="宋体"/>
                <w:b/>
                <w:bCs/>
                <w:kern w:val="2"/>
                <w:sz w:val="21"/>
                <w:szCs w:val="21"/>
                <w:lang w:eastAsia="zh-CN"/>
              </w:rPr>
            </w:pPr>
          </w:p>
        </w:tc>
        <w:tc>
          <w:tcPr>
            <w:tcW w:w="652"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1473"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pacing w:line="240" w:lineRule="exact"/>
              <w:jc w:val="center"/>
              <w:rPr>
                <w:rFonts w:ascii="宋体" w:eastAsia="宋体" w:hAnsi="宋体" w:cs="宋体"/>
                <w:kern w:val="2"/>
                <w:sz w:val="21"/>
                <w:szCs w:val="21"/>
                <w:lang w:eastAsia="zh-CN"/>
              </w:rPr>
            </w:pPr>
            <w:r>
              <w:rPr>
                <w:rFonts w:ascii="宋体" w:eastAsia="宋体" w:hAnsi="宋体" w:cstheme="minorBidi" w:hint="eastAsia"/>
                <w:kern w:val="2"/>
                <w:sz w:val="21"/>
                <w:szCs w:val="21"/>
                <w:lang w:eastAsia="zh-CN"/>
              </w:rPr>
              <w:t>商务条款偏离情况</w:t>
            </w:r>
          </w:p>
        </w:tc>
        <w:tc>
          <w:tcPr>
            <w:tcW w:w="9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pacing w:line="24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p>
        </w:tc>
        <w:tc>
          <w:tcPr>
            <w:tcW w:w="5361"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jc w:val="both"/>
              <w:rPr>
                <w:rFonts w:ascii="宋体" w:eastAsia="宋体" w:hAnsi="宋体" w:cs="宋体"/>
                <w:kern w:val="2"/>
                <w:sz w:val="21"/>
                <w:szCs w:val="21"/>
                <w:lang w:eastAsia="zh-CN"/>
              </w:rPr>
            </w:pPr>
            <w:r>
              <w:rPr>
                <w:rFonts w:ascii="Calibri" w:eastAsia="宋体" w:hAnsi="Calibri" w:cs="宋体" w:hint="eastAsia"/>
                <w:kern w:val="2"/>
                <w:sz w:val="21"/>
                <w:szCs w:val="21"/>
                <w:lang w:eastAsia="zh-CN"/>
              </w:rPr>
              <w:t>投标人应如实填写《</w:t>
            </w:r>
            <w:r>
              <w:rPr>
                <w:rFonts w:ascii="宋体" w:eastAsia="宋体" w:hAnsi="宋体" w:cstheme="minorBidi" w:hint="eastAsia"/>
                <w:kern w:val="2"/>
                <w:sz w:val="21"/>
                <w:szCs w:val="21"/>
                <w:lang w:eastAsia="zh-CN"/>
              </w:rPr>
              <w:t>商务条款偏离情况</w:t>
            </w:r>
            <w:r>
              <w:rPr>
                <w:rFonts w:ascii="Calibri" w:eastAsia="宋体" w:hAnsi="Calibri" w:cs="宋体" w:hint="eastAsia"/>
                <w:kern w:val="2"/>
                <w:sz w:val="21"/>
                <w:szCs w:val="21"/>
                <w:lang w:eastAsia="zh-CN"/>
              </w:rPr>
              <w:t>》，评审小组根据响应情况进行打分，全部满足要求的得100</w:t>
            </w:r>
            <w:r>
              <w:rPr>
                <w:rFonts w:ascii="Calibri" w:eastAsia="宋体" w:hAnsi="Calibri" w:cstheme="minorBidi" w:hint="eastAsia"/>
                <w:kern w:val="2"/>
                <w:sz w:val="21"/>
                <w:szCs w:val="21"/>
                <w:lang w:eastAsia="zh-CN"/>
              </w:rPr>
              <w:t>分</w:t>
            </w:r>
            <w:r>
              <w:rPr>
                <w:rFonts w:ascii="Calibri" w:eastAsia="宋体" w:hAnsi="Calibri" w:cs="宋体" w:hint="eastAsia"/>
                <w:kern w:val="2"/>
                <w:sz w:val="21"/>
                <w:szCs w:val="21"/>
                <w:lang w:eastAsia="zh-CN"/>
              </w:rPr>
              <w:t>，每负偏离一项扣</w:t>
            </w:r>
            <w:r>
              <w:rPr>
                <w:rFonts w:ascii="Calibri" w:eastAsia="宋体" w:hAnsi="Calibri" w:cstheme="minorBidi" w:hint="eastAsia"/>
                <w:kern w:val="2"/>
                <w:sz w:val="21"/>
                <w:szCs w:val="21"/>
                <w:lang w:eastAsia="zh-CN"/>
              </w:rPr>
              <w:t>20分</w:t>
            </w:r>
            <w:r>
              <w:rPr>
                <w:rFonts w:ascii="Calibri" w:eastAsia="宋体" w:hAnsi="Calibri" w:cs="宋体" w:hint="eastAsia"/>
                <w:kern w:val="2"/>
                <w:sz w:val="21"/>
                <w:szCs w:val="21"/>
                <w:lang w:eastAsia="zh-CN"/>
              </w:rPr>
              <w:t>。</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607" w:type="dxa"/>
            <w:vMerge/>
            <w:tcBorders>
              <w:left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cs="宋体"/>
                <w:b/>
                <w:bCs/>
                <w:kern w:val="2"/>
                <w:sz w:val="21"/>
                <w:szCs w:val="21"/>
                <w:lang w:eastAsia="zh-CN"/>
              </w:rPr>
            </w:pPr>
          </w:p>
        </w:tc>
        <w:tc>
          <w:tcPr>
            <w:tcW w:w="652"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p>
        </w:tc>
        <w:tc>
          <w:tcPr>
            <w:tcW w:w="1473"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pacing w:line="240" w:lineRule="exact"/>
              <w:jc w:val="center"/>
              <w:rPr>
                <w:rFonts w:ascii="宋体" w:eastAsia="宋体" w:hAnsi="宋体" w:cs="宋体"/>
                <w:kern w:val="2"/>
                <w:sz w:val="21"/>
                <w:szCs w:val="21"/>
                <w:lang w:eastAsia="zh-CN"/>
              </w:rPr>
            </w:pPr>
            <w:r>
              <w:rPr>
                <w:rFonts w:ascii="宋体" w:eastAsia="宋体" w:hAnsi="宋体" w:cstheme="minorBidi" w:hint="eastAsia"/>
                <w:kern w:val="2"/>
                <w:sz w:val="21"/>
                <w:szCs w:val="21"/>
                <w:lang w:eastAsia="zh-CN"/>
              </w:rPr>
              <w:t>同类项目业绩</w:t>
            </w:r>
          </w:p>
        </w:tc>
        <w:tc>
          <w:tcPr>
            <w:tcW w:w="9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pacing w:line="24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3</w:t>
            </w:r>
          </w:p>
        </w:tc>
        <w:tc>
          <w:tcPr>
            <w:tcW w:w="5361"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pacing w:line="240" w:lineRule="auto"/>
              <w:jc w:val="left"/>
              <w:rPr>
                <w:rFonts w:ascii="宋体" w:eastAsia="宋体" w:hAnsi="宋体" w:cs="宋体" w:hint="eastAsia"/>
                <w:b/>
                <w:bCs/>
                <w:kern w:val="2"/>
                <w:sz w:val="21"/>
                <w:szCs w:val="22"/>
                <w:lang w:eastAsia="zh-CN"/>
              </w:rPr>
            </w:pPr>
            <w:r>
              <w:rPr>
                <w:rFonts w:ascii="宋体" w:eastAsia="宋体" w:hAnsi="宋体" w:cs="宋体" w:hint="eastAsia"/>
                <w:b/>
                <w:bCs/>
                <w:kern w:val="2"/>
                <w:sz w:val="21"/>
                <w:szCs w:val="22"/>
                <w:lang w:eastAsia="zh-CN"/>
              </w:rPr>
              <w:t>考察内容：</w:t>
            </w:r>
          </w:p>
          <w:p>
            <w:pPr>
              <w:widowControl w:val="0"/>
              <w:spacing w:line="240" w:lineRule="auto"/>
              <w:jc w:val="left"/>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2021年1月1日至本项目投标截止日（以合同签订日期为准），投标人具有家具类项目业绩的，每提供1个得34分，最高得100分。</w:t>
            </w:r>
          </w:p>
          <w:p>
            <w:pPr>
              <w:widowControl w:val="0"/>
              <w:spacing w:line="240" w:lineRule="auto"/>
              <w:jc w:val="left"/>
              <w:rPr>
                <w:rFonts w:ascii="宋体" w:eastAsia="宋体" w:hAnsi="宋体" w:cs="宋体" w:hint="eastAsia"/>
                <w:b/>
                <w:bCs/>
                <w:kern w:val="2"/>
                <w:sz w:val="21"/>
                <w:szCs w:val="22"/>
                <w:lang w:eastAsia="zh-CN"/>
              </w:rPr>
            </w:pPr>
            <w:r>
              <w:rPr>
                <w:rFonts w:ascii="宋体" w:eastAsia="宋体" w:hAnsi="宋体" w:cs="宋体" w:hint="eastAsia"/>
                <w:b/>
                <w:bCs/>
                <w:kern w:val="2"/>
                <w:sz w:val="21"/>
                <w:szCs w:val="22"/>
                <w:lang w:eastAsia="zh-CN"/>
              </w:rPr>
              <w:t>证明文件：</w:t>
            </w:r>
          </w:p>
          <w:p>
            <w:pPr>
              <w:widowControl w:val="0"/>
              <w:spacing w:line="240" w:lineRule="auto"/>
              <w:jc w:val="left"/>
              <w:rPr>
                <w:rFonts w:ascii="宋体" w:eastAsia="宋体" w:hAnsi="宋体" w:cs="宋体"/>
                <w:kern w:val="2"/>
                <w:sz w:val="21"/>
                <w:szCs w:val="21"/>
                <w:lang w:eastAsia="zh-CN"/>
              </w:rPr>
            </w:pPr>
            <w:r>
              <w:rPr>
                <w:rFonts w:ascii="宋体" w:eastAsia="宋体" w:hAnsi="宋体" w:cs="宋体" w:hint="eastAsia"/>
                <w:kern w:val="2"/>
                <w:sz w:val="21"/>
                <w:szCs w:val="22"/>
                <w:lang w:eastAsia="zh-CN"/>
              </w:rPr>
              <w:t>要求提供中标通知书、合同关键信息</w:t>
            </w:r>
            <w:r>
              <w:rPr>
                <w:rFonts w:ascii="宋体" w:eastAsia="宋体" w:hAnsi="宋体" w:cs="宋体" w:hint="eastAsia"/>
                <w:kern w:val="2"/>
                <w:sz w:val="21"/>
                <w:szCs w:val="21"/>
                <w:lang w:eastAsia="zh-CN"/>
              </w:rPr>
              <w:t>（包括但不限于合同标的、签订时间、双方签章页）及验收报告扫描件</w:t>
            </w:r>
            <w:r>
              <w:rPr>
                <w:rFonts w:ascii="宋体" w:eastAsia="宋体" w:hAnsi="宋体" w:cs="宋体" w:hint="eastAsia"/>
                <w:kern w:val="2"/>
                <w:sz w:val="21"/>
                <w:szCs w:val="22"/>
                <w:lang w:eastAsia="zh-CN"/>
              </w:rPr>
              <w:t>，通过合同关键信息无法判断是否得分的，还须同时提供能证明得分的其它证明资料，如合同甲方出具的证明文件或项目报告,原件备查。</w:t>
            </w:r>
            <w:r>
              <w:rPr>
                <w:rFonts w:ascii="宋体" w:eastAsia="宋体" w:hAnsi="宋体" w:cs="宋体" w:hint="eastAsia"/>
                <w:kern w:val="2"/>
                <w:sz w:val="21"/>
                <w:szCs w:val="21"/>
                <w:lang w:eastAsia="zh-CN"/>
              </w:rPr>
              <w:t>未提供或未按要求提供或提供的不清晰导致专家无法判断的不得分。</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607" w:type="dxa"/>
            <w:vMerge/>
            <w:tcBorders>
              <w:left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cs="宋体"/>
                <w:b/>
                <w:bCs/>
                <w:kern w:val="2"/>
                <w:sz w:val="21"/>
                <w:szCs w:val="21"/>
                <w:lang w:eastAsia="zh-CN"/>
              </w:rPr>
            </w:pPr>
          </w:p>
        </w:tc>
        <w:tc>
          <w:tcPr>
            <w:tcW w:w="652"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3</w:t>
            </w:r>
          </w:p>
        </w:tc>
        <w:tc>
          <w:tcPr>
            <w:tcW w:w="1473"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pacing w:line="240" w:lineRule="exact"/>
              <w:jc w:val="center"/>
              <w:rPr>
                <w:rFonts w:ascii="宋体" w:eastAsia="宋体" w:hAnsi="宋体" w:cs="宋体"/>
                <w:kern w:val="2"/>
                <w:sz w:val="21"/>
                <w:szCs w:val="21"/>
                <w:lang w:eastAsia="zh-CN"/>
              </w:rPr>
            </w:pPr>
            <w:r>
              <w:rPr>
                <w:rFonts w:ascii="宋体" w:eastAsia="宋体" w:hAnsi="宋体" w:cs="宋体" w:hint="eastAsia"/>
                <w:sz w:val="21"/>
                <w:szCs w:val="21"/>
                <w:lang w:eastAsia="zh-CN" w:bidi="ar"/>
              </w:rPr>
              <w:t>履约评价情况</w:t>
            </w:r>
          </w:p>
        </w:tc>
        <w:tc>
          <w:tcPr>
            <w:tcW w:w="9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pacing w:line="24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3</w:t>
            </w:r>
          </w:p>
        </w:tc>
        <w:tc>
          <w:tcPr>
            <w:tcW w:w="5361" w:type="dxa"/>
            <w:tcBorders>
              <w:top w:val="single" w:sz="8" w:space="0" w:color="000000"/>
              <w:left w:val="single" w:sz="8" w:space="0" w:color="000000"/>
              <w:bottom w:val="single" w:sz="8" w:space="0" w:color="000000"/>
              <w:right w:val="single" w:sz="8" w:space="0" w:color="000000"/>
            </w:tcBorders>
            <w:shd w:val="clear" w:color="auto" w:fill="FFFFFF"/>
            <w:vAlign w:val="top"/>
          </w:tcPr>
          <w:p>
            <w:pPr>
              <w:widowControl w:val="0"/>
              <w:spacing w:line="240" w:lineRule="auto"/>
              <w:jc w:val="left"/>
              <w:rPr>
                <w:rFonts w:ascii="宋体" w:eastAsia="宋体" w:hAnsi="宋体" w:cs="宋体" w:hint="eastAsia"/>
                <w:b/>
                <w:bCs/>
                <w:kern w:val="2"/>
                <w:sz w:val="21"/>
                <w:szCs w:val="22"/>
                <w:lang w:eastAsia="zh-CN"/>
              </w:rPr>
            </w:pPr>
            <w:r>
              <w:rPr>
                <w:rFonts w:ascii="宋体" w:eastAsia="宋体" w:hAnsi="宋体" w:cs="宋体" w:hint="eastAsia"/>
                <w:b/>
                <w:bCs/>
                <w:kern w:val="2"/>
                <w:sz w:val="21"/>
                <w:szCs w:val="22"/>
                <w:lang w:eastAsia="zh-CN"/>
              </w:rPr>
              <w:t>考察内容：</w:t>
            </w:r>
          </w:p>
          <w:p>
            <w:pPr>
              <w:widowControl w:val="0"/>
              <w:spacing w:line="240" w:lineRule="auto"/>
              <w:jc w:val="left"/>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2021年1月1日至本项目投标截止日前，投标人具有上述同类项目经验中经评审有效得分的业绩，并经用户单位考核评价为优或满意或其他最高等级评价的，每提供1项得34分，最高得100分。</w:t>
            </w:r>
          </w:p>
          <w:p>
            <w:pPr>
              <w:widowControl w:val="0"/>
              <w:spacing w:line="240" w:lineRule="auto"/>
              <w:jc w:val="left"/>
              <w:rPr>
                <w:rFonts w:ascii="宋体" w:eastAsia="宋体" w:hAnsi="宋体" w:cs="宋体" w:hint="eastAsia"/>
                <w:b/>
                <w:bCs/>
                <w:kern w:val="2"/>
                <w:sz w:val="21"/>
                <w:szCs w:val="22"/>
                <w:lang w:eastAsia="zh-CN"/>
              </w:rPr>
            </w:pPr>
            <w:r>
              <w:rPr>
                <w:rFonts w:ascii="宋体" w:eastAsia="宋体" w:hAnsi="宋体" w:cs="宋体" w:hint="eastAsia"/>
                <w:b/>
                <w:bCs/>
                <w:kern w:val="2"/>
                <w:sz w:val="21"/>
                <w:szCs w:val="22"/>
                <w:lang w:eastAsia="zh-CN"/>
              </w:rPr>
              <w:t>证明文件：</w:t>
            </w:r>
          </w:p>
          <w:p>
            <w:pPr>
              <w:keepNext w:val="0"/>
              <w:keepLines w:val="0"/>
              <w:widowControl/>
              <w:suppressLineNumbers w:val="0"/>
              <w:pBdr>
                <w:top w:val="none" w:sz="0" w:space="0" w:color="auto"/>
                <w:left w:val="none" w:sz="0" w:space="0" w:color="auto"/>
                <w:bottom w:val="none" w:sz="0" w:space="0" w:color="auto"/>
                <w:right w:val="none" w:sz="0" w:space="0" w:color="auto"/>
              </w:pBdr>
              <w:wordWrap w:val="0"/>
              <w:spacing w:line="240" w:lineRule="auto"/>
              <w:jc w:val="left"/>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bidi="ar"/>
              </w:rPr>
              <w:t>要求提供以上项目合同关键页</w:t>
            </w:r>
            <w:r>
              <w:rPr>
                <w:rFonts w:ascii="宋体" w:eastAsia="宋体" w:hAnsi="宋体" w:cs="宋体" w:hint="eastAsia"/>
                <w:kern w:val="2"/>
                <w:sz w:val="21"/>
                <w:szCs w:val="21"/>
                <w:lang w:eastAsia="zh-CN"/>
              </w:rPr>
              <w:t>（包括但不限于合同标的、签订时间、双方签章页）</w:t>
            </w:r>
            <w:r>
              <w:rPr>
                <w:rFonts w:ascii="宋体" w:eastAsia="宋体" w:hAnsi="宋体" w:cs="宋体" w:hint="eastAsia"/>
                <w:sz w:val="21"/>
                <w:szCs w:val="21"/>
                <w:lang w:eastAsia="zh-CN" w:bidi="ar"/>
              </w:rPr>
              <w:t>及盖有用户单位公章或</w:t>
            </w:r>
            <w:r>
              <w:rPr>
                <w:rFonts w:ascii="Calibri" w:eastAsia="宋体" w:hAnsi="Calibri" w:cstheme="minorBidi" w:hint="eastAsia"/>
                <w:kern w:val="2"/>
                <w:sz w:val="21"/>
                <w:szCs w:val="22"/>
                <w:lang w:eastAsia="zh-CN"/>
              </w:rPr>
              <w:t>加盖职能部门或下属机构业务章</w:t>
            </w:r>
            <w:r>
              <w:rPr>
                <w:rFonts w:ascii="宋体" w:eastAsia="宋体" w:hAnsi="宋体" w:cs="宋体" w:hint="eastAsia"/>
                <w:sz w:val="21"/>
                <w:szCs w:val="21"/>
                <w:lang w:eastAsia="zh-CN" w:bidi="ar"/>
              </w:rPr>
              <w:t>的履约评价扫描件，</w:t>
            </w:r>
            <w:r>
              <w:rPr>
                <w:rFonts w:ascii="宋体" w:eastAsia="宋体" w:hAnsi="宋体" w:cs="宋体" w:hint="eastAsia"/>
                <w:kern w:val="2"/>
                <w:sz w:val="21"/>
                <w:szCs w:val="22"/>
                <w:lang w:eastAsia="zh-CN"/>
              </w:rPr>
              <w:t>原件备查。</w:t>
            </w:r>
            <w:r>
              <w:rPr>
                <w:rFonts w:ascii="宋体" w:eastAsia="宋体" w:hAnsi="宋体" w:cs="宋体" w:hint="eastAsia"/>
                <w:kern w:val="2"/>
                <w:sz w:val="21"/>
                <w:szCs w:val="21"/>
                <w:lang w:eastAsia="zh-CN"/>
              </w:rPr>
              <w:t>未提供或未按要求提供或提供的不清晰导致专家无法判断的不得分。</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607" w:type="dxa"/>
            <w:vMerge w:val="restart"/>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4</w:t>
            </w:r>
          </w:p>
        </w:tc>
        <w:tc>
          <w:tcPr>
            <w:tcW w:w="3104" w:type="dxa"/>
            <w:gridSpan w:val="3"/>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诚信情况</w:t>
            </w:r>
          </w:p>
        </w:tc>
        <w:tc>
          <w:tcPr>
            <w:tcW w:w="5361" w:type="dxa"/>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5</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60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cs="宋体"/>
                <w:b/>
                <w:bCs/>
                <w:kern w:val="2"/>
                <w:sz w:val="21"/>
                <w:szCs w:val="21"/>
                <w:lang w:eastAsia="zh-CN"/>
              </w:rPr>
            </w:pPr>
          </w:p>
        </w:tc>
        <w:tc>
          <w:tcPr>
            <w:tcW w:w="652"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序号</w:t>
            </w:r>
          </w:p>
        </w:tc>
        <w:tc>
          <w:tcPr>
            <w:tcW w:w="1473"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评分因素</w:t>
            </w:r>
          </w:p>
        </w:tc>
        <w:tc>
          <w:tcPr>
            <w:tcW w:w="979"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权重</w:t>
            </w:r>
            <w:r>
              <w:rPr>
                <w:rFonts w:ascii="宋体" w:eastAsia="宋体" w:hAnsi="宋体" w:cs="宋体" w:hint="eastAsia"/>
                <w:bCs/>
                <w:kern w:val="2"/>
                <w:sz w:val="21"/>
                <w:szCs w:val="21"/>
                <w:lang w:eastAsia="zh-CN"/>
              </w:rPr>
              <w:t>（%）</w:t>
            </w:r>
          </w:p>
        </w:tc>
        <w:tc>
          <w:tcPr>
            <w:tcW w:w="5361"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评分准则</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60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cs="宋体"/>
                <w:b/>
                <w:bCs/>
                <w:kern w:val="2"/>
                <w:sz w:val="21"/>
                <w:szCs w:val="21"/>
                <w:lang w:eastAsia="zh-CN"/>
              </w:rPr>
            </w:pPr>
          </w:p>
        </w:tc>
        <w:tc>
          <w:tcPr>
            <w:tcW w:w="652"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1473"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jc w:val="center"/>
              <w:rPr>
                <w:rFonts w:ascii="宋体" w:eastAsia="宋体" w:hAnsi="宋体"/>
                <w:kern w:val="2"/>
                <w:sz w:val="21"/>
                <w:szCs w:val="21"/>
                <w:lang w:eastAsia="zh-CN"/>
              </w:rPr>
            </w:pPr>
            <w:r>
              <w:rPr>
                <w:rFonts w:ascii="宋体" w:eastAsia="宋体" w:hAnsi="宋体" w:hint="eastAsia"/>
                <w:kern w:val="2"/>
                <w:sz w:val="21"/>
                <w:szCs w:val="21"/>
                <w:lang w:eastAsia="zh-CN"/>
              </w:rPr>
              <w:t>诚信评价</w:t>
            </w:r>
          </w:p>
        </w:tc>
        <w:tc>
          <w:tcPr>
            <w:tcW w:w="9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pacing w:line="240" w:lineRule="exact"/>
              <w:jc w:val="center"/>
              <w:rPr>
                <w:rFonts w:ascii="宋体" w:eastAsia="宋体" w:hAnsi="宋体"/>
                <w:kern w:val="2"/>
                <w:sz w:val="21"/>
                <w:szCs w:val="21"/>
                <w:lang w:eastAsia="zh-CN"/>
              </w:rPr>
            </w:pPr>
            <w:r>
              <w:rPr>
                <w:rFonts w:ascii="宋体" w:eastAsia="宋体" w:hAnsi="宋体"/>
                <w:kern w:val="2"/>
                <w:sz w:val="21"/>
                <w:szCs w:val="21"/>
                <w:lang w:eastAsia="zh-CN"/>
              </w:rPr>
              <w:t>5</w:t>
            </w:r>
          </w:p>
        </w:tc>
        <w:tc>
          <w:tcPr>
            <w:tcW w:w="5361" w:type="dxa"/>
            <w:tcBorders>
              <w:top w:val="single" w:sz="8" w:space="0" w:color="000000"/>
              <w:left w:val="single" w:sz="8" w:space="0" w:color="000000"/>
              <w:bottom w:val="single" w:sz="8" w:space="0" w:color="000000"/>
              <w:right w:val="single" w:sz="8" w:space="0" w:color="000000"/>
            </w:tcBorders>
            <w:shd w:val="clear" w:color="auto" w:fill="FFFFFF"/>
          </w:tcPr>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tc>
      </w:tr>
    </w:tbl>
    <w:p>
      <w:pPr>
        <w:widowControl w:val="0"/>
        <w:jc w:val="both"/>
        <w:rPr>
          <w:rFonts w:ascii="Calibri" w:eastAsia="宋体" w:hAnsi="Calibri"/>
          <w:kern w:val="2"/>
          <w:sz w:val="21"/>
          <w:szCs w:val="22"/>
          <w:lang w:eastAsia="zh-CN"/>
        </w:rPr>
      </w:pPr>
    </w:p>
    <w:p>
      <w:pPr>
        <w:widowControl w:val="0"/>
        <w:jc w:val="both"/>
        <w:rPr>
          <w:rFonts w:ascii="Calibri" w:eastAsia="宋体" w:hAnsi="Calibri"/>
          <w:b/>
          <w:kern w:val="2"/>
          <w:sz w:val="84"/>
          <w:szCs w:val="84"/>
          <w:lang w:eastAsia="zh-CN"/>
        </w:rPr>
      </w:pPr>
    </w:p>
    <w:p>
      <w:pPr>
        <w:widowControl w:val="0"/>
        <w:jc w:val="both"/>
        <w:rPr>
          <w:rFonts w:ascii="Calibri" w:eastAsia="宋体" w:hAnsi="Calibri"/>
          <w:b/>
          <w:kern w:val="2"/>
          <w:sz w:val="84"/>
          <w:szCs w:val="84"/>
          <w:lang w:eastAsia="zh-CN"/>
        </w:rPr>
      </w:pPr>
    </w:p>
    <w:p>
      <w:pPr>
        <w:widowControl w:val="0"/>
        <w:jc w:val="both"/>
        <w:rPr>
          <w:rFonts w:ascii="Calibri" w:eastAsia="宋体" w:hAnsi="Calibri"/>
          <w:b/>
          <w:kern w:val="2"/>
          <w:sz w:val="84"/>
          <w:szCs w:val="84"/>
          <w:lang w:eastAsia="zh-CN"/>
        </w:rPr>
      </w:pPr>
    </w:p>
    <w:p>
      <w:pPr>
        <w:widowControl w:val="0"/>
        <w:jc w:val="both"/>
        <w:rPr>
          <w:rFonts w:ascii="Calibri" w:eastAsia="宋体" w:hAnsi="Calibri"/>
          <w:b/>
          <w:kern w:val="2"/>
          <w:sz w:val="84"/>
          <w:szCs w:val="84"/>
          <w:lang w:eastAsia="zh-CN"/>
        </w:rPr>
      </w:pPr>
    </w:p>
    <w:p>
      <w:pPr>
        <w:widowControl w:val="0"/>
        <w:jc w:val="both"/>
        <w:rPr>
          <w:rFonts w:ascii="Calibri" w:eastAsia="宋体" w:hAnsi="Calibri"/>
          <w:b/>
          <w:kern w:val="2"/>
          <w:sz w:val="84"/>
          <w:szCs w:val="84"/>
          <w:lang w:eastAsia="zh-CN"/>
        </w:rPr>
      </w:pPr>
    </w:p>
    <w:p>
      <w:pPr>
        <w:widowControl w:val="0"/>
        <w:jc w:val="both"/>
        <w:rPr>
          <w:rFonts w:ascii="Calibri" w:eastAsia="宋体" w:hAnsi="Calibri"/>
          <w:b/>
          <w:kern w:val="2"/>
          <w:sz w:val="84"/>
          <w:szCs w:val="84"/>
          <w:lang w:eastAsia="zh-CN"/>
        </w:rPr>
      </w:pPr>
    </w:p>
    <w:p>
      <w:pPr>
        <w:widowControl w:val="0"/>
        <w:jc w:val="both"/>
        <w:rPr>
          <w:rFonts w:ascii="Calibri" w:eastAsia="宋体" w:hAnsi="Calibri"/>
          <w:b/>
          <w:kern w:val="2"/>
          <w:sz w:val="84"/>
          <w:szCs w:val="84"/>
          <w:lang w:eastAsia="zh-CN"/>
        </w:rPr>
      </w:pPr>
    </w:p>
    <w:p>
      <w:pPr>
        <w:widowControl w:val="0"/>
        <w:jc w:val="both"/>
        <w:rPr>
          <w:rFonts w:ascii="Calibri" w:eastAsia="宋体" w:hAnsi="Calibri"/>
          <w:b/>
          <w:kern w:val="2"/>
          <w:sz w:val="84"/>
          <w:szCs w:val="84"/>
          <w:lang w:eastAsia="zh-CN"/>
        </w:rPr>
      </w:pPr>
    </w:p>
    <w:p>
      <w:pPr>
        <w:widowControl w:val="0"/>
        <w:jc w:val="both"/>
        <w:rPr>
          <w:rFonts w:ascii="Calibri" w:eastAsia="宋体" w:hAnsi="Calibri"/>
          <w:b/>
          <w:kern w:val="2"/>
          <w:sz w:val="84"/>
          <w:szCs w:val="84"/>
          <w:lang w:eastAsia="zh-CN"/>
        </w:rPr>
      </w:pPr>
    </w:p>
    <w:p>
      <w:pPr>
        <w:widowControl w:val="0"/>
        <w:jc w:val="both"/>
        <w:rPr>
          <w:rFonts w:ascii="Calibri" w:eastAsia="宋体" w:hAnsi="Calibri"/>
          <w:b/>
          <w:kern w:val="2"/>
          <w:sz w:val="84"/>
          <w:szCs w:val="84"/>
          <w:lang w:eastAsia="zh-CN"/>
        </w:rPr>
      </w:pP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自行采购</w:t>
      </w: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招标文件</w:t>
      </w:r>
    </w:p>
    <w:p>
      <w:pPr>
        <w:widowControl w:val="0"/>
        <w:jc w:val="center"/>
        <w:rPr>
          <w:rFonts w:ascii="Calibri" w:eastAsia="宋体" w:hAnsi="Calibri"/>
          <w:b/>
          <w:kern w:val="2"/>
          <w:sz w:val="52"/>
          <w:szCs w:val="52"/>
          <w:lang w:eastAsia="zh-CN"/>
        </w:rPr>
      </w:pPr>
      <w:r>
        <w:rPr>
          <w:rFonts w:ascii="Calibri" w:eastAsia="宋体" w:hAnsi="Calibri" w:cstheme="minorBidi" w:hint="eastAsia"/>
          <w:b/>
          <w:kern w:val="2"/>
          <w:sz w:val="52"/>
          <w:szCs w:val="52"/>
          <w:lang w:eastAsia="zh-CN"/>
        </w:rPr>
        <w:t>（货物类）</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深圳市千里招标代理有限公司</w:t>
      </w:r>
    </w:p>
    <w:p>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w:t>
      </w:r>
      <w:r>
        <w:rPr>
          <w:rFonts w:ascii="Calibri" w:eastAsia="宋体" w:hAnsi="Calibri" w:cstheme="minorBidi"/>
          <w:b/>
          <w:kern w:val="2"/>
          <w:sz w:val="44"/>
          <w:szCs w:val="44"/>
          <w:lang w:eastAsia="zh-CN"/>
        </w:rPr>
        <w:t>20</w:t>
      </w:r>
      <w:r>
        <w:rPr>
          <w:rFonts w:ascii="Calibri" w:eastAsia="宋体" w:hAnsi="Calibri" w:cstheme="minorBidi" w:hint="eastAsia"/>
          <w:b/>
          <w:kern w:val="2"/>
          <w:sz w:val="44"/>
          <w:szCs w:val="44"/>
          <w:lang w:eastAsia="zh-CN"/>
        </w:rPr>
        <w:t>24</w:t>
      </w:r>
      <w:r>
        <w:rPr>
          <w:rFonts w:ascii="宋体" w:eastAsia="宋体" w:hAnsi="宋体" w:cstheme="minorBidi" w:hint="eastAsia"/>
          <w:b/>
          <w:kern w:val="2"/>
          <w:sz w:val="44"/>
          <w:szCs w:val="44"/>
          <w:lang w:eastAsia="zh-CN"/>
        </w:rPr>
        <w:t>）</w:t>
      </w:r>
    </w:p>
    <w:p>
      <w:pPr>
        <w:widowControl w:val="0"/>
        <w:ind w:firstLine="6760" w:firstLineChars="1300"/>
        <w:jc w:val="center"/>
        <w:rPr>
          <w:rFonts w:ascii="Calibri" w:eastAsia="宋体" w:hAnsi="Calibri"/>
          <w:bCs/>
          <w:color w:val="FF0000"/>
          <w:kern w:val="2"/>
          <w:sz w:val="21"/>
          <w:szCs w:val="22"/>
          <w:lang w:eastAsia="zh-CN"/>
        </w:rPr>
      </w:pPr>
      <w:r>
        <w:rPr>
          <w:rFonts w:ascii="Calibri" w:eastAsia="宋体" w:hAnsi="Calibri" w:cstheme="minorBidi" w:hint="eastAsia"/>
          <w:b/>
          <w:color w:val="FF0000"/>
          <w:kern w:val="2"/>
          <w:sz w:val="52"/>
          <w:szCs w:val="52"/>
          <w:lang w:eastAsia="zh-CN"/>
        </w:rPr>
        <w:br w:type="page"/>
      </w:r>
    </w:p>
    <w:p>
      <w:pPr>
        <w:widowControl w:val="0"/>
        <w:ind w:firstLine="3640" w:firstLineChars="1300"/>
        <w:jc w:val="both"/>
        <w:rPr>
          <w:rFonts w:ascii="宋体" w:eastAsia="宋体" w:hAnsi="宋体"/>
          <w:color w:val="FF0000"/>
          <w:kern w:val="2"/>
          <w:sz w:val="21"/>
          <w:szCs w:val="21"/>
          <w:lang w:eastAsia="zh-CN"/>
        </w:rPr>
      </w:pPr>
      <w:bookmarkStart w:id="1" w:name="_Hlk73564573"/>
      <w:r>
        <w:rPr>
          <w:rFonts w:ascii="宋体" w:eastAsia="黑体" w:hAnsi="宋体" w:cstheme="minorBidi" w:hint="eastAsia"/>
          <w:b/>
          <w:bCs/>
          <w:color w:val="FF0000"/>
          <w:kern w:val="44"/>
          <w:sz w:val="28"/>
          <w:szCs w:val="44"/>
          <w:lang w:eastAsia="zh-CN"/>
        </w:rPr>
        <w:t>警示条款</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w:t>
      </w:r>
      <w:r>
        <w:rPr>
          <w:rFonts w:ascii="宋体" w:eastAsia="宋体" w:hAnsi="宋体" w:cstheme="minorBidi" w:hint="eastAsia"/>
          <w:b/>
          <w:bCs/>
          <w:color w:val="FF0000"/>
          <w:kern w:val="2"/>
          <w:sz w:val="20"/>
          <w:szCs w:val="20"/>
          <w:lang w:eastAsia="zh-CN"/>
        </w:rPr>
        <w:t>《深圳经济特区政府采购条例》第五十七条</w:t>
      </w:r>
      <w:r>
        <w:rPr>
          <w:rFonts w:ascii="宋体" w:eastAsia="宋体" w:hAnsi="宋体" w:cstheme="minorBidi" w:hint="eastAsia"/>
          <w:color w:val="FF0000"/>
          <w:kern w:val="2"/>
          <w:sz w:val="20"/>
          <w:szCs w:val="20"/>
          <w:lang w:eastAsia="zh-CN"/>
        </w:rPr>
        <w:t>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（一）在采购活动中应当回避而未回避的；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（二）未按本条例规定签订、履行采购合同，造成严重后果的；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（三）隐瞒真实情况，提供虚假资料的；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（四）以非法手段排斥其他供应商参与竞争的；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（五）与其他采购参加人串通投标的；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（六）恶意投诉的；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（七）向采购项目相关人行贿或者提供其他不当利益的；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（八）阻碍、抗拒主管部门监督检查的；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（九）其他违反本条例规定的行为。</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二、《深圳经济特区政府采购条例实施细则》第七十五条</w:t>
      </w:r>
      <w:r>
        <w:rPr>
          <w:rFonts w:ascii="宋体" w:eastAsia="宋体" w:hAnsi="宋体" w:cstheme="minorBidi" w:hint="eastAsia"/>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三、《深圳经济特区政府采购条例实施细则》第七十七条</w:t>
      </w:r>
      <w:r>
        <w:rPr>
          <w:rFonts w:ascii="宋体" w:eastAsia="宋体" w:hAnsi="宋体" w:cstheme="minorBidi" w:hint="eastAsia"/>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投标供应商不能提供项目负责人或者主要技术人员的劳动合同、社会保险等劳动关系证明材料的，视为存在前款第（三）项规定的情形。</w:t>
      </w:r>
    </w:p>
    <w:bookmarkEnd w:id="1"/>
    <w:p>
      <w:pPr>
        <w:widowControl w:val="0"/>
        <w:ind w:firstLine="420" w:firstLineChars="200"/>
        <w:jc w:val="both"/>
        <w:rPr>
          <w:rFonts w:ascii="Calibri" w:eastAsia="宋体" w:hAnsi="Calibri"/>
          <w:b/>
          <w:color w:val="FF0000"/>
          <w:kern w:val="2"/>
          <w:sz w:val="21"/>
          <w:szCs w:val="22"/>
          <w:lang w:eastAsia="zh-CN"/>
        </w:rPr>
      </w:pPr>
      <w:r>
        <w:rPr>
          <w:rFonts w:ascii="Calibri" w:eastAsia="宋体" w:hAnsi="Calibri" w:cstheme="minorBidi" w:hint="eastAsia"/>
          <w:b/>
          <w:color w:val="FF0000"/>
          <w:kern w:val="2"/>
          <w:sz w:val="21"/>
          <w:szCs w:val="22"/>
          <w:lang w:eastAsia="zh-CN"/>
        </w:rPr>
        <w:t>四、请投标供应商阅读《政府采购违法行为风险知悉确认书》（内容详见“投标文件附件（信息不公开部分）”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widowControl w:val="0"/>
        <w:ind w:firstLine="400" w:firstLineChars="20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t>五、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widowControl w:val="0"/>
        <w:ind w:firstLine="400" w:firstLineChars="20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t>为避免出现不同供应商投标文件的文件制作机器码、文件创建标识码、IP地址一致的异常情况，建议各供应商编制、上传投标文件时不要使用公共电脑设备或公共网络。</w:t>
      </w:r>
    </w:p>
    <w:p>
      <w:pPr>
        <w:widowControl w:val="0"/>
        <w:ind w:firstLine="400" w:firstLineChars="20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ascii="宋体" w:eastAsia="宋体" w:hAnsi="宋体" w:cstheme="minorBidi" w:hint="eastAsia"/>
          <w:color w:val="FF0000"/>
          <w:kern w:val="2"/>
          <w:sz w:val="20"/>
          <w:szCs w:val="20"/>
          <w:lang w:eastAsia="zh-CN"/>
        </w:rPr>
        <w:t>取消参与本市政府采购资格</w:t>
      </w:r>
      <w:r>
        <w:rPr>
          <w:rFonts w:ascii="Calibri"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依法吊销其营业</w:t>
      </w:r>
      <w:r>
        <w:rPr>
          <w:rFonts w:ascii="Calibri" w:eastAsia="宋体" w:hAnsi="宋体" w:cstheme="minorBidi" w:hint="eastAsia"/>
          <w:color w:val="FF0000"/>
          <w:kern w:val="2"/>
          <w:sz w:val="20"/>
          <w:szCs w:val="20"/>
          <w:lang w:eastAsia="zh-CN"/>
        </w:rPr>
        <w:t>执照等行政处罚，</w:t>
      </w:r>
      <w:r>
        <w:rPr>
          <w:rFonts w:ascii="宋体" w:eastAsia="宋体" w:hAnsi="宋体" w:cstheme="minorBidi" w:hint="eastAsia"/>
          <w:color w:val="FF0000"/>
          <w:kern w:val="2"/>
          <w:sz w:val="20"/>
          <w:szCs w:val="20"/>
          <w:lang w:eastAsia="zh-CN"/>
        </w:rPr>
        <w:t>构成犯罪的，依法追究刑事责任</w:t>
      </w:r>
      <w:r>
        <w:rPr>
          <w:rFonts w:ascii="Calibri" w:eastAsia="宋体" w:hAnsi="Calibri" w:cstheme="minorBidi" w:hint="eastAsia"/>
          <w:bCs/>
          <w:color w:val="FF0000"/>
          <w:kern w:val="2"/>
          <w:sz w:val="20"/>
          <w:szCs w:val="20"/>
          <w:lang w:eastAsia="zh-CN"/>
        </w:rPr>
        <w:t>，请各供应商独立编制、上传投标文件，妥善保管和使用电子秘钥。</w:t>
      </w:r>
    </w:p>
    <w:p>
      <w:pPr>
        <w:widowControl w:val="0"/>
        <w:snapToGrid w:val="0"/>
        <w:spacing w:line="360" w:lineRule="exact"/>
        <w:jc w:val="left"/>
        <w:rPr>
          <w:rFonts w:ascii="宋体" w:eastAsia="宋体" w:hAnsi="宋体" w:cs="宋体"/>
          <w:color w:val="000000"/>
          <w:lang w:eastAsia="zh-CN"/>
        </w:rPr>
      </w:pPr>
    </w:p>
    <w:p>
      <w:pPr>
        <w:widowControl w:val="0"/>
        <w:snapToGrid w:val="0"/>
        <w:spacing w:line="360" w:lineRule="exact"/>
        <w:jc w:val="left"/>
        <w:rPr>
          <w:rFonts w:ascii="宋体" w:eastAsia="宋体" w:hAnsi="宋体" w:cs="宋体"/>
          <w:color w:val="000000"/>
          <w:lang w:eastAsia="zh-CN"/>
        </w:rPr>
      </w:pPr>
    </w:p>
    <w:p>
      <w:pPr>
        <w:widowControl w:val="0"/>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目录</w:t>
      </w:r>
    </w:p>
    <w:p>
      <w:pPr>
        <w:widowControl w:val="0"/>
        <w:jc w:val="both"/>
        <w:rPr>
          <w:rFonts w:ascii="Calibri" w:eastAsia="宋体" w:hAnsi="Calibri"/>
          <w:b/>
          <w:kern w:val="2"/>
          <w:lang w:eastAsia="zh-CN"/>
        </w:rPr>
      </w:pPr>
      <w:r>
        <w:rPr>
          <w:rFonts w:ascii="Calibri" w:eastAsia="宋体" w:hAnsi="Calibri" w:cstheme="minorBidi" w:hint="eastAsia"/>
          <w:b/>
          <w:kern w:val="2"/>
          <w:lang w:eastAsia="zh-CN"/>
        </w:rPr>
        <w:t>第一册专用条款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ab/>
      </w:r>
      <w:r>
        <w:rPr>
          <w:rFonts w:ascii="宋体" w:eastAsia="宋体" w:hAnsi="宋体" w:cstheme="minorBidi" w:hint="eastAsia"/>
          <w:kern w:val="2"/>
          <w:sz w:val="21"/>
          <w:szCs w:val="21"/>
          <w:lang w:eastAsia="zh-CN"/>
        </w:rPr>
        <w:t>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第一章招标公告</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第二章对通用条款的补充内容及其他关键信息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第三章用户需求书</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第四章投标文件组成要求及格式</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第五章合同条款及格式</w:t>
      </w:r>
    </w:p>
    <w:p>
      <w:pPr>
        <w:widowControl w:val="0"/>
        <w:jc w:val="both"/>
        <w:rPr>
          <w:rFonts w:ascii="Calibri" w:eastAsia="宋体" w:hAnsi="Calibri"/>
          <w:b/>
          <w:kern w:val="2"/>
          <w:szCs w:val="22"/>
          <w:lang w:eastAsia="zh-CN"/>
        </w:rPr>
      </w:pPr>
    </w:p>
    <w:p>
      <w:pPr>
        <w:widowControl w:val="0"/>
        <w:jc w:val="both"/>
        <w:rPr>
          <w:rFonts w:ascii="Calibri" w:eastAsia="宋体" w:hAnsi="Calibri"/>
          <w:b/>
          <w:kern w:val="2"/>
          <w:lang w:eastAsia="zh-CN"/>
        </w:rPr>
      </w:pPr>
      <w:r>
        <w:rPr>
          <w:rFonts w:ascii="Calibri" w:eastAsia="宋体" w:hAnsi="Calibri" w:cstheme="minorBidi" w:hint="eastAsia"/>
          <w:b/>
          <w:kern w:val="2"/>
          <w:lang w:eastAsia="zh-CN"/>
        </w:rPr>
        <w:t>第二册通用条款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第一章总则</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第二章招标文件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第三章投标文件的编制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第四章投标文件的递交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第六章评审要求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第七章评审程序及评审方法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第八章定标及公示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第九章公开招标失败的后续处理</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第十章合同的授予与备案</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第十一章质疑处理</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jc w:val="left"/>
        <w:rPr>
          <w:rFonts w:ascii="Calibri" w:eastAsia="宋体" w:hAnsi="Calibri"/>
          <w:kern w:val="2"/>
          <w:sz w:val="21"/>
          <w:szCs w:val="22"/>
          <w:lang w:eastAsia="zh-CN"/>
        </w:rPr>
      </w:pPr>
      <w:r>
        <w:rPr>
          <w:rFonts w:ascii="Calibri" w:eastAsia="宋体" w:hAnsi="Calibri" w:cstheme="minorBidi"/>
          <w:kern w:val="2"/>
          <w:sz w:val="21"/>
          <w:szCs w:val="22"/>
          <w:lang w:eastAsia="zh-CN"/>
        </w:rPr>
        <w:br w:type="page"/>
      </w:r>
    </w:p>
    <w:p>
      <w:pPr>
        <w:keepNext/>
        <w:keepLines/>
        <w:widowControl w:val="0"/>
        <w:spacing w:before="340" w:after="60"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第一册  专用条款</w:t>
      </w: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第一章  招标公告</w:t>
      </w:r>
    </w:p>
    <w:p>
      <w:pPr>
        <w:widowControl w:val="0"/>
        <w:spacing w:line="360" w:lineRule="auto"/>
        <w:jc w:val="both"/>
        <w:rPr>
          <w:rFonts w:ascii="宋体" w:eastAsia="宋体" w:hAnsi="宋体" w:cs="宋体"/>
          <w:b/>
          <w:bCs/>
          <w:sz w:val="21"/>
          <w:szCs w:val="21"/>
          <w:lang w:eastAsia="zh-CN"/>
        </w:rPr>
      </w:pPr>
      <w:r>
        <w:rPr>
          <w:rFonts w:ascii="宋体" w:eastAsia="宋体" w:hAnsi="宋体" w:cs="宋体" w:hint="eastAsia"/>
          <w:b/>
          <w:bCs/>
          <w:sz w:val="21"/>
          <w:szCs w:val="21"/>
          <w:lang w:eastAsia="zh-CN"/>
        </w:rPr>
        <w:t>申请人的资格要求：</w:t>
      </w:r>
    </w:p>
    <w:p>
      <w:pPr>
        <w:widowControl w:val="0"/>
        <w:spacing w:after="60" w:afterLines="25"/>
        <w:jc w:val="both"/>
        <w:rPr>
          <w:rFonts w:ascii="宋体" w:eastAsia="宋体" w:hAnsi="宋体"/>
          <w:kern w:val="2"/>
          <w:sz w:val="21"/>
          <w:szCs w:val="20"/>
          <w:lang w:eastAsia="zh-CN"/>
        </w:rPr>
      </w:pPr>
      <w:r>
        <w:rPr>
          <w:rFonts w:ascii="宋体" w:eastAsia="宋体" w:hAnsi="宋体" w:hint="eastAsia"/>
          <w:kern w:val="2"/>
          <w:sz w:val="21"/>
          <w:szCs w:val="20"/>
          <w:lang w:eastAsia="zh-CN"/>
        </w:rPr>
        <w:t>1、具有独立法人资格或具有独立承担民事责任的能力的其它组织（提供营业执照或事业单位法人证等法人证明扫描件，原件备查）。</w:t>
      </w:r>
    </w:p>
    <w:p>
      <w:pPr>
        <w:widowControl w:val="0"/>
        <w:spacing w:after="60" w:afterLines="25"/>
        <w:jc w:val="both"/>
        <w:rPr>
          <w:rFonts w:ascii="宋体" w:eastAsia="宋体" w:hAnsi="宋体"/>
          <w:kern w:val="2"/>
          <w:sz w:val="21"/>
          <w:szCs w:val="20"/>
          <w:lang w:eastAsia="zh-CN"/>
        </w:rPr>
      </w:pPr>
      <w:r>
        <w:rPr>
          <w:rFonts w:ascii="宋体" w:eastAsia="宋体" w:hAnsi="宋体" w:hint="eastAsia"/>
          <w:kern w:val="2"/>
          <w:sz w:val="21"/>
          <w:szCs w:val="20"/>
          <w:lang w:eastAsia="zh-CN"/>
        </w:rPr>
        <w:t>2、参与本项目投标前三年内，在经营活动中没有重大违法记录（由供应商在《龙华区教育局自行采购投标及履约承诺函》中作出声明）。</w:t>
      </w:r>
    </w:p>
    <w:p>
      <w:pPr>
        <w:widowControl w:val="0"/>
        <w:spacing w:after="60" w:afterLines="25"/>
        <w:jc w:val="both"/>
        <w:rPr>
          <w:rFonts w:ascii="宋体" w:eastAsia="宋体" w:hAnsi="宋体"/>
          <w:kern w:val="2"/>
          <w:sz w:val="21"/>
          <w:szCs w:val="20"/>
          <w:lang w:eastAsia="zh-CN"/>
        </w:rPr>
      </w:pPr>
      <w:r>
        <w:rPr>
          <w:rFonts w:ascii="宋体" w:eastAsia="宋体" w:hAnsi="宋体" w:hint="eastAsia"/>
          <w:kern w:val="2"/>
          <w:sz w:val="21"/>
          <w:szCs w:val="20"/>
          <w:lang w:eastAsia="zh-CN"/>
        </w:rPr>
        <w:t>3、参与本项目政府采购活动时不存在被有关部门禁止参与政府采购活动且在有效期内的情况（由供应商在《龙华区教育局自行采购投标及履约承诺函》中作出声明）。</w:t>
      </w:r>
    </w:p>
    <w:p>
      <w:pPr>
        <w:widowControl w:val="0"/>
        <w:spacing w:after="60" w:afterLines="25"/>
        <w:jc w:val="both"/>
        <w:rPr>
          <w:rFonts w:ascii="宋体" w:eastAsia="宋体" w:hAnsi="宋体"/>
          <w:kern w:val="2"/>
          <w:sz w:val="21"/>
          <w:szCs w:val="20"/>
          <w:lang w:eastAsia="zh-CN"/>
        </w:rPr>
      </w:pPr>
      <w:r>
        <w:rPr>
          <w:rFonts w:ascii="宋体" w:eastAsia="宋体" w:hAnsi="宋体" w:hint="eastAsia"/>
          <w:kern w:val="2"/>
          <w:sz w:val="21"/>
          <w:szCs w:val="20"/>
          <w:lang w:eastAsia="zh-CN"/>
        </w:rPr>
        <w:t>4、具备《中华人民共和国政府采购法》第二十二条第一款的条件（由供应商在《龙华区教育局自行采购投标及履约承诺函》中作出声明）。</w:t>
      </w:r>
    </w:p>
    <w:p>
      <w:pPr>
        <w:widowControl w:val="0"/>
        <w:spacing w:after="60" w:afterLines="25"/>
        <w:jc w:val="both"/>
        <w:rPr>
          <w:rFonts w:ascii="宋体" w:eastAsia="宋体" w:hAnsi="宋体"/>
          <w:kern w:val="2"/>
          <w:sz w:val="21"/>
          <w:szCs w:val="20"/>
          <w:lang w:eastAsia="zh-CN"/>
        </w:rPr>
      </w:pPr>
      <w:r>
        <w:rPr>
          <w:rFonts w:ascii="宋体" w:eastAsia="宋体" w:hAnsi="宋体" w:hint="eastAsia"/>
          <w:kern w:val="2"/>
          <w:sz w:val="21"/>
          <w:szCs w:val="20"/>
          <w:lang w:eastAsia="zh-CN"/>
        </w:rPr>
        <w:t>5、参与本项目政府采购活动时未被列入失信被执行人、重大税收违法失信主体、政府采购严重违法失信行为记录名单（由供应商在《龙华区教育局自行采购投标及履约承诺函》中作出承诺）。</w:t>
      </w:r>
    </w:p>
    <w:p>
      <w:pPr>
        <w:widowControl w:val="0"/>
        <w:spacing w:after="60" w:afterLines="25"/>
        <w:jc w:val="both"/>
        <w:rPr>
          <w:rFonts w:ascii="宋体" w:eastAsia="宋体" w:hAnsi="宋体"/>
          <w:kern w:val="2"/>
          <w:sz w:val="21"/>
          <w:szCs w:val="20"/>
          <w:lang w:eastAsia="zh-CN"/>
        </w:rPr>
      </w:pPr>
      <w:r>
        <w:rPr>
          <w:rFonts w:ascii="宋体" w:eastAsia="宋体" w:hAnsi="宋体" w:hint="eastAsia"/>
          <w:kern w:val="2"/>
          <w:sz w:val="21"/>
          <w:szCs w:val="20"/>
          <w:lang w:eastAsia="zh-CN"/>
        </w:rPr>
        <w:t>备注：“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p>
    <w:p>
      <w:pPr>
        <w:widowControl w:val="0"/>
        <w:spacing w:after="60" w:afterLines="25"/>
        <w:jc w:val="both"/>
        <w:rPr>
          <w:rFonts w:ascii="宋体" w:eastAsia="宋体" w:hAnsi="宋体"/>
          <w:kern w:val="2"/>
          <w:sz w:val="21"/>
          <w:szCs w:val="20"/>
          <w:lang w:eastAsia="zh-CN"/>
        </w:rPr>
      </w:pPr>
      <w:r>
        <w:rPr>
          <w:rFonts w:ascii="宋体" w:eastAsia="宋体" w:hAnsi="宋体" w:hint="eastAsia"/>
          <w:kern w:val="2"/>
          <w:sz w:val="21"/>
          <w:szCs w:val="20"/>
          <w:lang w:eastAsia="zh-CN"/>
        </w:rPr>
        <w:t>6、为采购项目提供整体设计、规范编制或者项目管理、监理、检测等服务的供应商，不得再参加该采购项目同一合同项下的其他采购活动。（由供应商在《龙华区教育局自行采购投标及履约承诺函》中作出承诺）；</w:t>
      </w:r>
    </w:p>
    <w:p>
      <w:pPr>
        <w:widowControl w:val="0"/>
        <w:spacing w:after="60" w:afterLines="25"/>
        <w:jc w:val="both"/>
        <w:rPr>
          <w:rFonts w:ascii="宋体" w:eastAsia="宋体" w:hAnsi="宋体"/>
          <w:kern w:val="2"/>
          <w:sz w:val="21"/>
          <w:szCs w:val="20"/>
          <w:lang w:eastAsia="zh-CN"/>
        </w:rPr>
      </w:pPr>
      <w:r>
        <w:rPr>
          <w:rFonts w:ascii="宋体" w:eastAsia="宋体" w:hAnsi="宋体" w:hint="eastAsia"/>
          <w:kern w:val="2"/>
          <w:sz w:val="21"/>
          <w:szCs w:val="20"/>
          <w:lang w:eastAsia="zh-CN"/>
        </w:rPr>
        <w:t>7、单位负责人为同一人或者存在直接控股、管理关系的不同供应商，不得参加同一合同项下的政府采购活动。（由供应商在《龙华区教育局自行采购投标及履约承诺函》中作出承诺）；</w:t>
      </w:r>
    </w:p>
    <w:p>
      <w:pPr>
        <w:widowControl w:val="0"/>
        <w:spacing w:after="60" w:afterLines="25"/>
        <w:jc w:val="both"/>
        <w:rPr>
          <w:rFonts w:ascii="宋体" w:eastAsia="宋体" w:hAnsi="宋体"/>
          <w:kern w:val="2"/>
          <w:sz w:val="21"/>
          <w:szCs w:val="20"/>
          <w:lang w:eastAsia="zh-CN"/>
        </w:rPr>
      </w:pPr>
      <w:r>
        <w:rPr>
          <w:rFonts w:ascii="宋体" w:eastAsia="宋体" w:hAnsi="宋体" w:hint="eastAsia"/>
          <w:kern w:val="2"/>
          <w:sz w:val="21"/>
          <w:szCs w:val="20"/>
          <w:lang w:eastAsia="zh-CN"/>
        </w:rPr>
        <w:t>8、</w:t>
      </w:r>
      <w:r>
        <w:rPr>
          <w:rFonts w:ascii="宋体" w:eastAsia="宋体" w:hAnsi="宋体" w:cstheme="minorBidi" w:hint="eastAsia"/>
          <w:color w:val="FF0000"/>
          <w:kern w:val="2"/>
          <w:sz w:val="21"/>
          <w:szCs w:val="22"/>
          <w:lang w:eastAsia="zh-CN"/>
        </w:rPr>
        <w:t>本项目属于专门面向中小微企业采购项目，非中小微企业不得投标。（需提供符合要求的《中小微企业声明函》格式详见招标文件（按本项目规定的所属行业填写），其中企业类型为中型、小型或微型；残疾人福利单位、监狱企业视同小型、微型企业，提供残疾人福利性单位声明函或监狱企业声明函及监狱企业证明文件）。</w:t>
      </w:r>
    </w:p>
    <w:p>
      <w:pPr>
        <w:widowControl w:val="0"/>
        <w:spacing w:after="60" w:afterLines="25"/>
        <w:jc w:val="both"/>
        <w:rPr>
          <w:rFonts w:eastAsia="宋体"/>
          <w:kern w:val="2"/>
          <w:sz w:val="21"/>
          <w:szCs w:val="20"/>
          <w:lang w:eastAsia="zh-CN"/>
        </w:rPr>
      </w:pPr>
      <w:r>
        <w:rPr>
          <w:rFonts w:ascii="宋体" w:eastAsia="宋体" w:hAnsi="宋体" w:hint="eastAsia"/>
          <w:kern w:val="2"/>
          <w:sz w:val="21"/>
          <w:szCs w:val="20"/>
          <w:lang w:eastAsia="zh-CN"/>
        </w:rPr>
        <w:t>9、本项目不接受联合体投标，不接受进口产品参与投标，不允许转包、分包。（由供应商在《龙华区教育局自行采购投标及履约承诺函》中作出承诺）；</w:t>
      </w:r>
    </w:p>
    <w:p>
      <w:pPr>
        <w:widowControl w:val="0"/>
        <w:spacing w:after="60" w:afterLines="25"/>
        <w:jc w:val="center"/>
        <w:rPr>
          <w:rFonts w:ascii="Calibri" w:eastAsia="宋体" w:hAnsi="Calibri"/>
          <w:b/>
          <w:color w:val="FF0000"/>
          <w:kern w:val="2"/>
          <w:sz w:val="30"/>
          <w:szCs w:val="30"/>
          <w:lang w:eastAsia="zh-CN"/>
        </w:rPr>
      </w:pPr>
      <w:r>
        <w:rPr>
          <w:rFonts w:ascii="Arial" w:eastAsia="宋体" w:hAnsi="Arial" w:hint="eastAsia"/>
          <w:b/>
          <w:color w:val="FF0000"/>
          <w:kern w:val="2"/>
          <w:sz w:val="30"/>
          <w:szCs w:val="30"/>
          <w:lang w:eastAsia="zh-CN"/>
        </w:rPr>
        <w:t>完整公告内容以网站公布信息为准，详见：深圳政府采购自行采购系统</w:t>
      </w:r>
      <w:r>
        <w:rPr>
          <w:rFonts w:ascii="Calibri" w:eastAsia="宋体" w:hAnsi="Calibri" w:cstheme="minorBidi" w:hint="eastAsia"/>
          <w:b/>
          <w:color w:val="FF0000"/>
          <w:kern w:val="2"/>
          <w:sz w:val="30"/>
          <w:szCs w:val="30"/>
          <w:lang w:eastAsia="zh-CN"/>
        </w:rPr>
        <w:t>网（https://zxcg.szggzy.com/home/index.html）</w:t>
      </w:r>
    </w:p>
    <w:p>
      <w:pPr>
        <w:widowControl w:val="0"/>
        <w:spacing w:after="60" w:afterLines="25"/>
        <w:jc w:val="both"/>
        <w:rPr>
          <w:rFonts w:ascii="Arial" w:eastAsia="宋体" w:hAnsi="Arial"/>
          <w:b/>
          <w:color w:val="FF0000"/>
          <w:kern w:val="2"/>
          <w:sz w:val="30"/>
          <w:szCs w:val="30"/>
          <w:lang w:eastAsia="zh-CN"/>
        </w:rPr>
      </w:pPr>
    </w:p>
    <w:p>
      <w:pPr>
        <w:widowControl w:val="0"/>
        <w:spacing w:after="60" w:afterLines="25"/>
        <w:jc w:val="both"/>
        <w:rPr>
          <w:rFonts w:ascii="Arial" w:eastAsia="宋体" w:hAnsi="Arial"/>
          <w:b/>
          <w:color w:val="FF0000"/>
          <w:kern w:val="2"/>
          <w:sz w:val="30"/>
          <w:szCs w:val="30"/>
          <w:lang w:eastAsia="zh-CN"/>
        </w:rPr>
      </w:pPr>
    </w:p>
    <w:p>
      <w:pPr>
        <w:keepNext/>
        <w:keepLines/>
        <w:widowControl w:val="0"/>
        <w:spacing w:before="260" w:after="260" w:line="416" w:lineRule="auto"/>
        <w:jc w:val="center"/>
        <w:outlineLvl w:val="1"/>
        <w:rPr>
          <w:rFonts w:ascii="宋体" w:eastAsia="宋体" w:hAnsi="宋体"/>
          <w:b/>
          <w:bCs/>
          <w:sz w:val="28"/>
          <w:szCs w:val="28"/>
          <w:lang w:eastAsia="zh-CN"/>
        </w:rPr>
      </w:pPr>
      <w:r>
        <w:rPr>
          <w:rFonts w:ascii="宋体" w:eastAsia="宋体" w:hAnsi="宋体" w:hint="eastAsia"/>
          <w:b/>
          <w:bCs/>
          <w:sz w:val="28"/>
          <w:szCs w:val="28"/>
          <w:lang w:eastAsia="zh-CN"/>
        </w:rPr>
        <w:t>第二章</w:t>
      </w:r>
      <w:bookmarkStart w:id="2" w:name="_Hlk71926094"/>
      <w:r>
        <w:rPr>
          <w:rFonts w:ascii="宋体" w:eastAsia="宋体" w:hAnsi="宋体" w:hint="eastAsia"/>
          <w:b/>
          <w:bCs/>
          <w:sz w:val="28"/>
          <w:szCs w:val="28"/>
          <w:lang w:eastAsia="zh-CN"/>
        </w:rPr>
        <w:t xml:space="preserve">  对通用条款的补充内容及其他关键信息</w:t>
      </w:r>
      <w:bookmarkEnd w:id="2"/>
    </w:p>
    <w:p>
      <w:pPr>
        <w:keepNext/>
        <w:keepLines/>
        <w:widowControl w:val="0"/>
        <w:adjustRightInd w:val="0"/>
        <w:spacing w:before="120" w:beforeLines="50" w:after="120" w:afterLines="50"/>
        <w:jc w:val="center"/>
        <w:textAlignment w:val="baseline"/>
        <w:outlineLvl w:val="2"/>
        <w:rPr>
          <w:rFonts w:ascii="宋体" w:eastAsia="宋体" w:hAnsi="宋体"/>
          <w:b/>
          <w:bCs/>
          <w:lang w:eastAsia="zh-CN"/>
        </w:rPr>
      </w:pPr>
      <w:bookmarkStart w:id="3" w:name="_Toc60631620"/>
      <w:bookmarkStart w:id="4" w:name="_Toc73517639"/>
      <w:bookmarkStart w:id="5" w:name="_Toc101074876"/>
      <w:bookmarkStart w:id="6" w:name="_Toc60560625"/>
      <w:bookmarkStart w:id="7" w:name="_Toc73518117"/>
      <w:bookmarkStart w:id="8" w:name="_Toc100052364"/>
      <w:bookmarkStart w:id="9" w:name="_Toc73521547"/>
      <w:bookmarkStart w:id="10" w:name="_Toc73521635"/>
      <w:r>
        <w:rPr>
          <w:rFonts w:ascii="宋体" w:eastAsia="宋体" w:hAnsi="宋体" w:hint="eastAsia"/>
          <w:b/>
          <w:bCs/>
          <w:lang w:eastAsia="zh-CN"/>
        </w:rPr>
        <w:t>一、对通用条款的补充内容</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22"/>
        <w:gridCol w:w="1639"/>
        <w:gridCol w:w="6295"/>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通用条款序号</w:t>
            </w:r>
          </w:p>
        </w:tc>
        <w:tc>
          <w:tcPr>
            <w:tcW w:w="1755" w:type="dxa"/>
            <w:vAlign w:val="center"/>
          </w:tcPr>
          <w:p>
            <w:pPr>
              <w:widowControl w:val="0"/>
              <w:jc w:val="center"/>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涉及事项</w:t>
            </w:r>
          </w:p>
        </w:tc>
        <w:tc>
          <w:tcPr>
            <w:tcW w:w="6795" w:type="dxa"/>
            <w:vAlign w:val="center"/>
          </w:tcPr>
          <w:p>
            <w:pPr>
              <w:widowControl w:val="0"/>
              <w:jc w:val="center"/>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具体补充内容</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.1</w:t>
            </w:r>
          </w:p>
        </w:tc>
        <w:tc>
          <w:tcPr>
            <w:tcW w:w="1755" w:type="dxa"/>
            <w:vAlign w:val="center"/>
          </w:tcPr>
          <w:p>
            <w:pPr>
              <w:widowControl w:val="0"/>
              <w:jc w:val="center"/>
              <w:rPr>
                <w:rFonts w:ascii="宋体" w:eastAsia="宋体" w:hAnsi="宋体"/>
                <w:kern w:val="2"/>
                <w:sz w:val="21"/>
                <w:szCs w:val="21"/>
                <w:highlight w:val="yellow"/>
                <w:lang w:eastAsia="zh-CN"/>
              </w:rPr>
            </w:pPr>
            <w:r>
              <w:rPr>
                <w:rFonts w:ascii="宋体" w:eastAsia="宋体" w:hAnsi="宋体" w:cstheme="minorBidi" w:hint="eastAsia"/>
                <w:kern w:val="2"/>
                <w:sz w:val="21"/>
                <w:szCs w:val="21"/>
                <w:lang w:eastAsia="zh-CN"/>
              </w:rPr>
              <w:t>采购人</w:t>
            </w:r>
          </w:p>
        </w:tc>
        <w:tc>
          <w:tcPr>
            <w:tcW w:w="6795" w:type="dxa"/>
            <w:vAlign w:val="center"/>
          </w:tcPr>
          <w:p>
            <w:pPr>
              <w:widowControl w:val="0"/>
              <w:jc w:val="left"/>
              <w:rPr>
                <w:rFonts w:ascii="宋体" w:eastAsia="宋体" w:hAnsi="宋体" w:hint="eastAsia"/>
                <w:kern w:val="2"/>
                <w:sz w:val="21"/>
                <w:szCs w:val="21"/>
                <w:highlight w:val="yellow"/>
                <w:lang w:eastAsia="zh-CN"/>
              </w:rPr>
            </w:pPr>
            <w:r>
              <w:rPr>
                <w:rFonts w:ascii="宋体" w:eastAsia="宋体" w:hAnsi="宋体" w:cs="Arial" w:hint="eastAsia"/>
                <w:b/>
                <w:kern w:val="2"/>
                <w:sz w:val="21"/>
                <w:szCs w:val="21"/>
                <w:lang w:eastAsia="zh-CN"/>
              </w:rPr>
              <w:t>深圳市龙华职业技术学校</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.2</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社会代理机构</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Arial" w:hint="eastAsia"/>
                <w:kern w:val="2"/>
                <w:sz w:val="21"/>
                <w:szCs w:val="21"/>
                <w:lang w:eastAsia="zh-CN"/>
              </w:rPr>
              <w:t>本文件所述的“</w:t>
            </w:r>
            <w:r>
              <w:rPr>
                <w:rFonts w:ascii="宋体" w:eastAsia="宋体" w:hAnsi="宋体" w:cstheme="minorBidi" w:hint="eastAsia"/>
                <w:kern w:val="2"/>
                <w:sz w:val="21"/>
                <w:szCs w:val="21"/>
                <w:lang w:eastAsia="zh-CN"/>
              </w:rPr>
              <w:t>社会代理机构</w:t>
            </w:r>
            <w:r>
              <w:rPr>
                <w:rFonts w:ascii="宋体" w:eastAsia="宋体" w:hAnsi="宋体" w:cs="Arial" w:hint="eastAsia"/>
                <w:kern w:val="2"/>
                <w:sz w:val="21"/>
                <w:szCs w:val="21"/>
                <w:lang w:eastAsia="zh-CN"/>
              </w:rPr>
              <w:t>”</w:t>
            </w:r>
            <w:r>
              <w:rPr>
                <w:rFonts w:ascii="宋体" w:eastAsia="宋体" w:hAnsi="宋体" w:cs="Arial"/>
                <w:kern w:val="2"/>
                <w:sz w:val="21"/>
                <w:szCs w:val="21"/>
                <w:lang w:eastAsia="zh-CN"/>
              </w:rPr>
              <w:t>指</w:t>
            </w:r>
            <w:r>
              <w:rPr>
                <w:rFonts w:ascii="宋体" w:eastAsia="宋体" w:hAnsi="宋体" w:cs="Arial" w:hint="eastAsia"/>
                <w:b/>
                <w:bCs/>
                <w:kern w:val="2"/>
                <w:sz w:val="21"/>
                <w:szCs w:val="21"/>
                <w:lang w:eastAsia="zh-CN"/>
              </w:rPr>
              <w:t>深圳市千里招标代理有限公司</w:t>
            </w:r>
            <w:r>
              <w:rPr>
                <w:rFonts w:ascii="宋体" w:eastAsia="宋体" w:hAnsi="宋体" w:hint="eastAsia"/>
                <w:kern w:val="2"/>
                <w:sz w:val="21"/>
                <w:szCs w:val="21"/>
                <w:lang w:eastAsia="zh-CN"/>
              </w:rPr>
              <w:t>。</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.3</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联合体投标</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hint="eastAsia"/>
                <w:kern w:val="2"/>
                <w:sz w:val="21"/>
                <w:szCs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9</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踏勘现场</w:t>
            </w:r>
          </w:p>
        </w:tc>
        <w:tc>
          <w:tcPr>
            <w:tcW w:w="6795" w:type="dxa"/>
            <w:vAlign w:val="center"/>
          </w:tcPr>
          <w:p>
            <w:pPr>
              <w:widowControl w:val="0"/>
              <w:jc w:val="left"/>
              <w:rPr>
                <w:rFonts w:ascii="宋体" w:eastAsia="宋体" w:hAnsi="宋体"/>
                <w:kern w:val="2"/>
                <w:sz w:val="21"/>
                <w:szCs w:val="21"/>
                <w:highlight w:val="yellow"/>
                <w:lang w:eastAsia="zh-CN"/>
              </w:rPr>
            </w:pPr>
            <w:r>
              <w:rPr>
                <w:rFonts w:ascii="宋体" w:eastAsia="宋体" w:hAnsi="宋体"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标前会议</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3</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招标文件的澄清和修改</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不晚于投标截止日三日前，投标人有义务在招标期间在采购代理机构网站浏览与本项目有关的澄清和修改信息。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0</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投标有效期</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120日历天（从投标截止之日算起）</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2</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投标人的替代方案</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5</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投标文件的大小</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投标文件大小不得超过100MB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6</w:t>
            </w:r>
          </w:p>
        </w:tc>
        <w:tc>
          <w:tcPr>
            <w:tcW w:w="1755" w:type="dxa"/>
            <w:vAlign w:val="center"/>
          </w:tcPr>
          <w:p>
            <w:pPr>
              <w:widowControl w:val="0"/>
              <w:jc w:val="center"/>
              <w:rPr>
                <w:rFonts w:ascii="宋体" w:eastAsia="宋体" w:hAnsi="宋体"/>
                <w:kern w:val="2"/>
                <w:sz w:val="21"/>
                <w:szCs w:val="21"/>
                <w:lang w:eastAsia="zh-CN"/>
              </w:rPr>
            </w:pPr>
            <w:bookmarkStart w:id="11" w:name="_Hlk71664860"/>
            <w:r>
              <w:rPr>
                <w:rFonts w:ascii="宋体" w:eastAsia="宋体" w:hAnsi="宋体" w:cstheme="minorBidi" w:hint="eastAsia"/>
                <w:kern w:val="2"/>
                <w:sz w:val="21"/>
                <w:szCs w:val="21"/>
                <w:lang w:eastAsia="zh-CN"/>
              </w:rPr>
              <w:t>样品、现场演示、方案讲解</w:t>
            </w:r>
            <w:bookmarkEnd w:id="11"/>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“无”</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7</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评审方法</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b/>
                <w:bCs/>
                <w:kern w:val="2"/>
                <w:sz w:val="21"/>
                <w:szCs w:val="21"/>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8</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定标方法</w:t>
            </w:r>
          </w:p>
        </w:tc>
        <w:tc>
          <w:tcPr>
            <w:tcW w:w="6795" w:type="dxa"/>
            <w:vAlign w:val="center"/>
          </w:tcPr>
          <w:p>
            <w:pPr>
              <w:widowControl w:val="0"/>
              <w:jc w:val="left"/>
              <w:rPr>
                <w:rFonts w:ascii="宋体" w:eastAsia="宋体" w:hAnsi="宋体"/>
                <w:b/>
                <w:bCs/>
                <w:kern w:val="2"/>
                <w:sz w:val="21"/>
                <w:szCs w:val="21"/>
                <w:lang w:eastAsia="zh-CN"/>
              </w:rPr>
            </w:pPr>
            <w:r>
              <w:rPr>
                <w:rFonts w:ascii="宋体" w:eastAsia="宋体" w:hAnsi="宋体" w:hint="eastAsia"/>
                <w:b/>
                <w:bCs/>
                <w:kern w:val="2"/>
                <w:sz w:val="21"/>
                <w:szCs w:val="21"/>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4</w:t>
            </w:r>
            <w:r>
              <w:rPr>
                <w:rFonts w:ascii="宋体" w:eastAsia="宋体" w:hAnsi="宋体" w:cstheme="minorBidi"/>
                <w:kern w:val="2"/>
                <w:sz w:val="21"/>
                <w:szCs w:val="21"/>
                <w:lang w:eastAsia="zh-CN"/>
              </w:rPr>
              <w:t>6</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履约担保</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不需要</w:t>
            </w:r>
          </w:p>
        </w:tc>
      </w:tr>
      <w:bookmarkEnd w:id="3"/>
      <w:bookmarkEnd w:id="4"/>
      <w:bookmarkEnd w:id="5"/>
      <w:bookmarkEnd w:id="6"/>
      <w:bookmarkEnd w:id="7"/>
      <w:bookmarkEnd w:id="8"/>
      <w:bookmarkEnd w:id="9"/>
      <w:bookmarkEnd w:id="10"/>
    </w:tbl>
    <w:p>
      <w:pPr>
        <w:widowControl/>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备注：本表是通用条款相关条款的补充和明确，如与通用条款内容相冲突的，以本表为准。</w:t>
      </w:r>
    </w:p>
    <w:p>
      <w:pPr>
        <w:keepNext/>
        <w:keepLines/>
        <w:widowControl w:val="0"/>
        <w:adjustRightInd w:val="0"/>
        <w:spacing w:before="120" w:beforeLines="50" w:after="120" w:afterLines="50"/>
        <w:jc w:val="center"/>
        <w:textAlignment w:val="baseline"/>
        <w:outlineLvl w:val="2"/>
        <w:rPr>
          <w:rFonts w:ascii="宋体" w:eastAsia="宋体" w:hAnsi="宋体"/>
          <w:b/>
          <w:bCs/>
          <w:lang w:eastAsia="zh-CN"/>
        </w:rPr>
      </w:pPr>
      <w:r>
        <w:rPr>
          <w:rFonts w:ascii="宋体" w:eastAsia="宋体" w:hAnsi="宋体" w:hint="eastAsia"/>
          <w:b/>
          <w:bCs/>
          <w:lang w:eastAsia="zh-CN"/>
        </w:rPr>
        <w:t>二、其他关键信息</w:t>
      </w:r>
    </w:p>
    <w:p>
      <w:pPr>
        <w:widowControl w:val="0"/>
        <w:tabs>
          <w:tab w:val="left" w:pos="720"/>
        </w:tabs>
        <w:jc w:val="both"/>
        <w:rPr>
          <w:rFonts w:ascii="黑体" w:eastAsia="黑体" w:hAnsi="宋体"/>
          <w:kern w:val="2"/>
          <w:szCs w:val="22"/>
          <w:lang w:eastAsia="zh-CN"/>
        </w:rPr>
      </w:pPr>
      <w:r>
        <w:rPr>
          <w:rFonts w:ascii="黑体" w:eastAsia="黑体" w:hAnsi="宋体" w:cstheme="minorBidi" w:hint="eastAsia"/>
          <w:kern w:val="2"/>
          <w:szCs w:val="22"/>
          <w:lang w:eastAsia="zh-CN"/>
        </w:rPr>
        <w:t>（一）</w:t>
      </w:r>
      <w:r>
        <w:rPr>
          <w:rFonts w:ascii="黑体" w:eastAsia="黑体" w:hAnsi="宋体" w:cstheme="minorBidi" w:hint="eastAsia"/>
          <w:bCs/>
          <w:kern w:val="2"/>
          <w:szCs w:val="22"/>
          <w:lang w:eastAsia="zh-CN"/>
        </w:rPr>
        <w:t>与“对通用条款的补充内容”章节相关的事项</w:t>
      </w:r>
    </w:p>
    <w:p>
      <w:pPr>
        <w:widowControl w:val="0"/>
        <w:tabs>
          <w:tab w:val="left" w:pos="720"/>
        </w:tabs>
        <w:jc w:val="both"/>
        <w:rPr>
          <w:rFonts w:ascii="黑体" w:eastAsia="黑体" w:hAnsi="宋体"/>
          <w:bCs/>
          <w:kern w:val="2"/>
          <w:szCs w:val="22"/>
          <w:lang w:eastAsia="zh-CN"/>
        </w:rPr>
      </w:pPr>
      <w:r>
        <w:rPr>
          <w:rFonts w:ascii="黑体" w:eastAsia="黑体" w:hAnsi="宋体" w:cstheme="minorBidi" w:hint="eastAsia"/>
          <w:bCs/>
          <w:kern w:val="2"/>
          <w:szCs w:val="22"/>
          <w:lang w:eastAsia="zh-CN"/>
        </w:rPr>
        <w:t>1、评标定标信息</w:t>
      </w:r>
    </w:p>
    <w:p>
      <w:pPr>
        <w:widowControl w:val="0"/>
        <w:jc w:val="center"/>
        <w:rPr>
          <w:rFonts w:ascii="Calibri" w:eastAsia="宋体" w:hAnsi="Calibri"/>
          <w:kern w:val="2"/>
          <w:sz w:val="21"/>
          <w:szCs w:val="22"/>
          <w:lang w:eastAsia="zh-CN"/>
        </w:rPr>
      </w:pPr>
      <w:r>
        <w:rPr>
          <w:rFonts w:ascii="Calibri" w:eastAsia="宋体" w:hAnsi="Calibri" w:cstheme="minorBidi" w:hint="eastAsia"/>
          <w:b/>
          <w:kern w:val="2"/>
          <w:sz w:val="21"/>
          <w:szCs w:val="22"/>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862"/>
        <w:gridCol w:w="4994"/>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125"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评标方法</w:t>
            </w:r>
          </w:p>
        </w:tc>
        <w:tc>
          <w:tcPr>
            <w:tcW w:w="5339" w:type="dxa"/>
          </w:tcPr>
          <w:p>
            <w:pPr>
              <w:jc w:val="center"/>
              <w:rPr>
                <w:rFonts w:ascii="宋体" w:hAnsi="宋体"/>
                <w:kern w:val="2"/>
                <w:sz w:val="21"/>
                <w:szCs w:val="22"/>
                <w:lang w:eastAsia="zh-CN"/>
              </w:rPr>
            </w:pPr>
            <w:r>
              <w:rPr>
                <w:rFonts w:ascii="Wingdings" w:hAnsi="Wingdings" w:cstheme="minorBidi"/>
                <w:kern w:val="2"/>
                <w:sz w:val="21"/>
                <w:szCs w:val="22"/>
                <w:lang w:eastAsia="zh-CN"/>
              </w:rPr>
              <w:sym w:font="Wingdings" w:char="F0FE"/>
            </w:r>
            <w:r>
              <w:rPr>
                <w:rFonts w:ascii="宋体" w:hAnsi="宋体" w:cstheme="minorBidi" w:hint="eastAsia"/>
                <w:kern w:val="2"/>
                <w:sz w:val="21"/>
                <w:szCs w:val="22"/>
                <w:lang w:eastAsia="zh-CN"/>
              </w:rPr>
              <w:t>综合评分法</w:t>
            </w:r>
          </w:p>
        </w:tc>
      </w:tr>
      <w:tr>
        <w:tblPrEx>
          <w:tblW w:w="5000" w:type="pct"/>
          <w:tblInd w:w="0" w:type="dxa"/>
          <w:tblLayout w:type="fixed"/>
          <w:tblCellMar>
            <w:top w:w="0" w:type="dxa"/>
            <w:left w:w="108" w:type="dxa"/>
            <w:bottom w:w="0" w:type="dxa"/>
            <w:right w:w="108" w:type="dxa"/>
          </w:tblCellMar>
        </w:tblPrEx>
        <w:tc>
          <w:tcPr>
            <w:tcW w:w="4125"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候选中标供应商家数</w:t>
            </w:r>
          </w:p>
        </w:tc>
        <w:tc>
          <w:tcPr>
            <w:tcW w:w="5339"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3</w:t>
            </w:r>
          </w:p>
        </w:tc>
      </w:tr>
      <w:tr>
        <w:tblPrEx>
          <w:tblW w:w="5000" w:type="pct"/>
          <w:tblInd w:w="0" w:type="dxa"/>
          <w:tblLayout w:type="fixed"/>
          <w:tblCellMar>
            <w:top w:w="0" w:type="dxa"/>
            <w:left w:w="108" w:type="dxa"/>
            <w:bottom w:w="0" w:type="dxa"/>
            <w:right w:w="108" w:type="dxa"/>
          </w:tblCellMar>
        </w:tblPrEx>
        <w:tc>
          <w:tcPr>
            <w:tcW w:w="4125"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中标供应商家数</w:t>
            </w:r>
          </w:p>
        </w:tc>
        <w:tc>
          <w:tcPr>
            <w:tcW w:w="5339"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1</w:t>
            </w:r>
          </w:p>
        </w:tc>
      </w:tr>
    </w:tbl>
    <w:p>
      <w:pPr>
        <w:widowControl w:val="0"/>
        <w:tabs>
          <w:tab w:val="left" w:pos="720"/>
        </w:tabs>
        <w:spacing w:line="240" w:lineRule="atLeast"/>
        <w:jc w:val="both"/>
        <w:rPr>
          <w:rFonts w:ascii="宋体" w:eastAsia="宋体" w:hAnsi="宋体" w:cs="宋体"/>
          <w:bCs/>
          <w:kern w:val="2"/>
          <w:sz w:val="21"/>
          <w:szCs w:val="21"/>
          <w:lang w:eastAsia="zh-CN"/>
        </w:rPr>
      </w:pPr>
    </w:p>
    <w:p>
      <w:pPr>
        <w:widowControl w:val="0"/>
        <w:tabs>
          <w:tab w:val="left" w:pos="720"/>
        </w:tabs>
        <w:jc w:val="both"/>
        <w:rPr>
          <w:rFonts w:ascii="黑体" w:eastAsia="黑体" w:hAnsi="宋体"/>
          <w:kern w:val="2"/>
          <w:szCs w:val="22"/>
          <w:lang w:eastAsia="zh-CN"/>
        </w:rPr>
      </w:pPr>
      <w:r>
        <w:rPr>
          <w:rFonts w:ascii="黑体" w:eastAsia="黑体" w:hAnsi="宋体" w:cstheme="minorBidi" w:hint="eastAsia"/>
          <w:kern w:val="2"/>
          <w:szCs w:val="22"/>
          <w:lang w:eastAsia="zh-CN"/>
        </w:rPr>
        <w:t>（二）其他事项</w:t>
      </w:r>
    </w:p>
    <w:p>
      <w:pPr>
        <w:widowControl w:val="0"/>
        <w:tabs>
          <w:tab w:val="left" w:pos="720"/>
        </w:tabs>
        <w:jc w:val="both"/>
        <w:rPr>
          <w:rFonts w:ascii="黑体" w:eastAsia="黑体" w:hAnsi="宋体"/>
          <w:kern w:val="2"/>
          <w:szCs w:val="22"/>
          <w:lang w:eastAsia="zh-CN"/>
        </w:rPr>
      </w:pPr>
      <w:r>
        <w:rPr>
          <w:rFonts w:ascii="黑体" w:eastAsia="黑体" w:hAnsi="宋体" w:cstheme="minorBidi" w:hint="eastAsia"/>
          <w:kern w:val="2"/>
          <w:szCs w:val="22"/>
          <w:lang w:eastAsia="zh-CN"/>
        </w:rPr>
        <w:t>1、关于享受优惠政策的主体、价格扣除比例及采购标的所属行业</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kern w:val="2"/>
          <w:sz w:val="21"/>
          <w:szCs w:val="22"/>
          <w:lang w:eastAsia="zh-CN"/>
        </w:rPr>
        <w:t>1</w:t>
      </w:r>
      <w:r>
        <w:rPr>
          <w:rFonts w:ascii="Calibri" w:eastAsia="宋体" w:hAnsi="Calibri" w:cstheme="minorBidi" w:hint="eastAsia"/>
          <w:kern w:val="2"/>
          <w:sz w:val="21"/>
          <w:szCs w:val="22"/>
          <w:lang w:eastAsia="zh-CN"/>
        </w:rPr>
        <w:t>、关于享受优惠政策的主体及价格扣除比例</w:t>
      </w:r>
    </w:p>
    <w:p>
      <w:pPr>
        <w:pageBreakBefore w:val="0"/>
        <w:widowControl w:val="0"/>
        <w:kinsoku/>
        <w:overflowPunct/>
        <w:topLinePunct w:val="0"/>
        <w:bidi w:val="0"/>
        <w:spacing w:beforeAutospacing="0" w:afterAutospacing="0" w:line="360" w:lineRule="auto"/>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r>
        <w:rPr>
          <w:rFonts w:ascii="Calibri" w:eastAsia="宋体" w:hAnsi="Calibri" w:cstheme="minorBidi" w:hint="eastAsia"/>
          <w:b/>
          <w:kern w:val="2"/>
          <w:sz w:val="21"/>
          <w:szCs w:val="22"/>
          <w:lang w:eastAsia="zh-CN"/>
        </w:rPr>
        <w:t>本项目为专门面向中小微企业采购的项目</w:t>
      </w:r>
      <w:r>
        <w:rPr>
          <w:rFonts w:ascii="宋体" w:eastAsia="宋体" w:hAnsi="宋体" w:cs="宋体" w:hint="eastAsia"/>
          <w:b/>
          <w:bCs/>
          <w:kern w:val="2"/>
          <w:sz w:val="21"/>
          <w:szCs w:val="22"/>
          <w:lang w:eastAsia="zh-CN"/>
        </w:rPr>
        <w:t>，不再执行价格评审优惠的执持政策。</w:t>
      </w:r>
    </w:p>
    <w:p>
      <w:pPr>
        <w:widowControl w:val="0"/>
        <w:ind w:firstLine="420" w:firstLineChars="20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ascii="Calibri" w:eastAsia="宋体" w:hAnsi="Calibri" w:cstheme="minorBidi"/>
          <w:kern w:val="2"/>
          <w:sz w:val="21"/>
          <w:szCs w:val="22"/>
          <w:lang w:eastAsia="zh-CN"/>
        </w:rPr>
        <w:t>b)</w:t>
      </w:r>
      <w:r>
        <w:rPr>
          <w:rFonts w:ascii="Calibri" w:eastAsia="宋体" w:hAnsi="Calibri" w:cstheme="minorBidi" w:hint="eastAsia"/>
          <w:kern w:val="2"/>
          <w:sz w:val="21"/>
          <w:szCs w:val="22"/>
          <w:lang w:eastAsia="zh-CN"/>
        </w:rPr>
        <w:t>优惠主体承接是指提供服务的人员为中小企业依照《中华人民共和国劳动合同法》订立劳动合同的从业人员。</w:t>
      </w:r>
    </w:p>
    <w:p>
      <w:pPr>
        <w:keepNext w:val="0"/>
        <w:keepLines w:val="0"/>
        <w:pageBreakBefore w:val="0"/>
        <w:widowControl w:val="0"/>
        <w:numPr>
          <w:ilvl w:val="0"/>
          <w:numId w:val="0"/>
        </w:numPr>
        <w:kinsoku/>
        <w:wordWrap/>
        <w:overflowPunct/>
        <w:topLinePunct w:val="0"/>
        <w:autoSpaceDE/>
        <w:autoSpaceDN/>
        <w:bidi w:val="0"/>
        <w:adjustRightInd/>
        <w:snapToGrid/>
        <w:ind w:left="0" w:firstLine="420" w:firstLineChars="200"/>
        <w:jc w:val="both"/>
        <w:textAlignment w:val="auto"/>
        <w:rPr>
          <w:rFonts w:ascii="Calibri" w:eastAsia="宋体" w:hAnsi="Calibri" w:hint="eastAsia"/>
          <w:kern w:val="2"/>
          <w:sz w:val="21"/>
          <w:szCs w:val="21"/>
          <w:lang w:eastAsia="zh-CN"/>
        </w:rPr>
      </w:pPr>
      <w:r>
        <w:rPr>
          <w:rFonts w:ascii="Calibri" w:eastAsia="宋体" w:hAnsi="Calibri" w:cstheme="minorBidi" w:hint="eastAsia"/>
          <w:kern w:val="2"/>
          <w:sz w:val="21"/>
          <w:szCs w:val="22"/>
          <w:lang w:eastAsia="zh-CN"/>
        </w:rPr>
        <w:t>（2）</w:t>
      </w:r>
      <w:r>
        <w:rPr>
          <w:rFonts w:ascii="宋体" w:eastAsia="宋体" w:hAnsi="宋体" w:cs="宋体"/>
          <w:kern w:val="2"/>
          <w:sz w:val="21"/>
          <w:szCs w:val="21"/>
          <w:lang w:eastAsia="zh-CN"/>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eastAsia="宋体" w:hAnsi="宋体" w:cs="宋体"/>
          <w:b/>
          <w:bCs/>
          <w:color w:val="FF0000"/>
          <w:kern w:val="2"/>
          <w:sz w:val="21"/>
          <w:szCs w:val="21"/>
          <w:lang w:eastAsia="zh-CN"/>
        </w:rPr>
        <w:t>《中小企业声明函》中相关企业所属行业应当与采购标的所属行业相一致。</w:t>
      </w:r>
      <w:r>
        <w:rPr>
          <w:rFonts w:ascii="Calibri" w:eastAsia="宋体" w:hAnsi="Calibri" w:cstheme="minorBidi" w:hint="eastAsia"/>
          <w:kern w:val="2"/>
          <w:sz w:val="21"/>
          <w:szCs w:val="21"/>
          <w:lang w:eastAsia="zh-CN"/>
        </w:rPr>
        <w:t>本项目采购标的（</w:t>
      </w:r>
      <w:r>
        <w:rPr>
          <w:rFonts w:eastAsia="宋体" w:hAnsi="Calibri" w:cstheme="minorBidi" w:hint="eastAsia"/>
          <w:kern w:val="2"/>
          <w:sz w:val="21"/>
          <w:szCs w:val="21"/>
          <w:lang w:eastAsia="zh-CN"/>
        </w:rPr>
        <w:t>服务需求</w:t>
      </w:r>
      <w:r>
        <w:rPr>
          <w:rFonts w:ascii="Calibri" w:eastAsia="宋体" w:hAnsi="Calibri" w:cstheme="minorBidi" w:hint="eastAsia"/>
          <w:kern w:val="2"/>
          <w:sz w:val="21"/>
          <w:szCs w:val="21"/>
          <w:lang w:eastAsia="zh-CN"/>
        </w:rPr>
        <w:t>）对应的中小企业划分标准所属行业为</w:t>
      </w:r>
      <w:r>
        <w:rPr>
          <w:rFonts w:ascii="Calibri" w:eastAsia="宋体" w:hAnsi="Calibri" w:cstheme="minorBidi" w:hint="eastAsia"/>
          <w:b/>
          <w:bCs/>
          <w:color w:val="FF0000"/>
          <w:kern w:val="2"/>
          <w:sz w:val="21"/>
          <w:szCs w:val="21"/>
          <w:u w:val="single"/>
          <w:lang w:eastAsia="zh-CN"/>
        </w:rPr>
        <w:t>工业</w:t>
      </w:r>
      <w:r>
        <w:rPr>
          <w:rFonts w:ascii="Calibri" w:eastAsia="宋体" w:hAnsi="Calibri" w:cstheme="minorBidi" w:hint="eastAsia"/>
          <w:kern w:val="2"/>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0" w:firstLine="420" w:firstLineChars="200"/>
        <w:jc w:val="both"/>
        <w:textAlignment w:val="auto"/>
        <w:rPr>
          <w:rFonts w:ascii="Calibri" w:eastAsia="宋体" w:hAnsi="Calibri"/>
          <w:kern w:val="2"/>
          <w:sz w:val="21"/>
          <w:szCs w:val="22"/>
          <w:lang w:eastAsia="zh-CN"/>
        </w:rPr>
      </w:pPr>
      <w:r>
        <w:rPr>
          <w:rFonts w:ascii="Calibri" w:eastAsia="宋体" w:hAnsi="Calibri" w:cstheme="minorBidi" w:hint="eastAsia"/>
          <w:kern w:val="2"/>
          <w:sz w:val="21"/>
          <w:szCs w:val="21"/>
          <w:lang w:eastAsia="zh-CN"/>
        </w:rPr>
        <w:t>（3）小型企业、微</w:t>
      </w:r>
      <w:r>
        <w:rPr>
          <w:rFonts w:ascii="Calibri" w:eastAsia="宋体" w:hAnsi="Calibri" w:cstheme="minorBidi" w:hint="eastAsia"/>
          <w:kern w:val="2"/>
          <w:sz w:val="21"/>
          <w:szCs w:val="22"/>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详见采购文件相应章节）。</w:t>
      </w:r>
    </w:p>
    <w:p>
      <w:pPr>
        <w:widowControl w:val="0"/>
        <w:tabs>
          <w:tab w:val="left" w:pos="720"/>
        </w:tabs>
        <w:ind w:firstLine="420" w:firstLineChars="200"/>
        <w:jc w:val="both"/>
        <w:rPr>
          <w:rFonts w:ascii="黑体" w:eastAsia="黑体" w:hAnsi="宋体"/>
          <w:kern w:val="2"/>
          <w:szCs w:val="22"/>
          <w:lang w:eastAsia="zh-CN"/>
        </w:rPr>
      </w:pPr>
      <w:r>
        <w:rPr>
          <w:rFonts w:ascii="Calibri" w:eastAsia="宋体" w:hAnsi="Calibri" w:cstheme="minorBidi" w:hint="eastAsia"/>
          <w:kern w:val="2"/>
          <w:sz w:val="21"/>
          <w:szCs w:val="22"/>
          <w:lang w:eastAsia="zh-CN"/>
        </w:rPr>
        <w:t>（5）享受价格扣除获得政府采购合同的，小微企业不得将合同分包给大中型企业。</w:t>
      </w:r>
    </w:p>
    <w:p>
      <w:pPr>
        <w:widowControl w:val="0"/>
        <w:spacing w:line="360" w:lineRule="auto"/>
        <w:jc w:val="both"/>
        <w:rPr>
          <w:rFonts w:ascii="宋体" w:eastAsia="宋体" w:hAnsi="宋体" w:cs="宋体"/>
          <w:b/>
          <w:bCs/>
          <w:kern w:val="2"/>
          <w:sz w:val="21"/>
          <w:lang w:eastAsia="zh-CN"/>
        </w:rPr>
      </w:pPr>
      <w:r>
        <w:rPr>
          <w:rFonts w:ascii="宋体" w:eastAsia="宋体" w:hAnsi="宋体" w:cs="宋体" w:hint="eastAsia"/>
          <w:b/>
          <w:bCs/>
          <w:kern w:val="2"/>
          <w:sz w:val="21"/>
          <w:lang w:eastAsia="zh-CN"/>
        </w:rPr>
        <w:t>2.关于政府采购订单融资政策</w:t>
      </w:r>
    </w:p>
    <w:p>
      <w:pPr>
        <w:widowControl w:val="0"/>
        <w:ind w:firstLine="420" w:firstLineChars="200"/>
        <w:jc w:val="both"/>
        <w:rPr>
          <w:rFonts w:ascii="宋体" w:eastAsia="宋体" w:hAnsi="宋体"/>
          <w:b/>
          <w:kern w:val="2"/>
          <w:sz w:val="21"/>
          <w:lang w:eastAsia="zh-CN"/>
        </w:rPr>
      </w:pPr>
      <w:r>
        <w:rPr>
          <w:rFonts w:eastAsia="宋体" w:hint="eastAsia"/>
          <w:kern w:val="2"/>
          <w:sz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tabs>
          <w:tab w:val="left" w:pos="720"/>
        </w:tabs>
        <w:jc w:val="both"/>
        <w:rPr>
          <w:rFonts w:ascii="黑体" w:eastAsia="黑体" w:hAnsi="宋体"/>
          <w:kern w:val="2"/>
          <w:szCs w:val="22"/>
          <w:lang w:eastAsia="zh-CN"/>
        </w:rPr>
      </w:pPr>
    </w:p>
    <w:p>
      <w:pPr>
        <w:widowControl w:val="0"/>
        <w:tabs>
          <w:tab w:val="left" w:pos="720"/>
        </w:tabs>
        <w:jc w:val="both"/>
        <w:rPr>
          <w:rFonts w:ascii="宋体" w:eastAsia="宋体" w:hAnsi="宋体"/>
          <w:b/>
          <w:bCs/>
          <w:kern w:val="2"/>
          <w:sz w:val="21"/>
          <w:szCs w:val="22"/>
          <w:lang w:eastAsia="zh-CN"/>
        </w:rPr>
      </w:pPr>
      <w:r>
        <w:rPr>
          <w:rFonts w:ascii="宋体" w:eastAsia="宋体" w:hAnsi="宋体" w:cstheme="minorBidi" w:hint="eastAsia"/>
          <w:b/>
          <w:bCs/>
          <w:kern w:val="2"/>
          <w:sz w:val="21"/>
          <w:szCs w:val="22"/>
          <w:lang w:eastAsia="zh-CN"/>
        </w:rPr>
        <w:t>3、</w:t>
      </w:r>
      <w:r>
        <w:rPr>
          <w:rFonts w:ascii="宋体" w:eastAsia="宋体" w:hAnsi="宋体" w:cstheme="minorBidi"/>
          <w:b/>
          <w:bCs/>
          <w:kern w:val="2"/>
          <w:sz w:val="21"/>
          <w:szCs w:val="22"/>
          <w:lang w:eastAsia="zh-CN"/>
        </w:rPr>
        <w:t>本项目将向中标</w:t>
      </w:r>
      <w:r>
        <w:rPr>
          <w:rFonts w:ascii="宋体" w:eastAsia="宋体" w:hAnsi="宋体" w:cstheme="minorBidi" w:hint="eastAsia"/>
          <w:b/>
          <w:bCs/>
          <w:kern w:val="2"/>
          <w:sz w:val="21"/>
          <w:szCs w:val="22"/>
          <w:lang w:eastAsia="zh-CN"/>
        </w:rPr>
        <w:t>（成交）</w:t>
      </w:r>
      <w:r>
        <w:rPr>
          <w:rFonts w:ascii="宋体" w:eastAsia="宋体" w:hAnsi="宋体" w:cstheme="minorBidi"/>
          <w:b/>
          <w:bCs/>
          <w:kern w:val="2"/>
          <w:sz w:val="21"/>
          <w:szCs w:val="22"/>
          <w:lang w:eastAsia="zh-CN"/>
        </w:rPr>
        <w:t>供应商收取代理服务费</w:t>
      </w:r>
      <w:r>
        <w:rPr>
          <w:rFonts w:ascii="宋体" w:eastAsia="宋体" w:hAnsi="宋体" w:cstheme="minorBidi" w:hint="eastAsia"/>
          <w:b/>
          <w:bCs/>
          <w:kern w:val="2"/>
          <w:sz w:val="21"/>
          <w:szCs w:val="22"/>
          <w:lang w:eastAsia="zh-CN"/>
        </w:rPr>
        <w:t>。</w:t>
      </w:r>
    </w:p>
    <w:p>
      <w:pPr>
        <w:widowControl/>
        <w:ind w:firstLine="42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中标（成交）供应商在领取《中标（成交）通知书》之前须向深圳市千里招标代理有限公司交纳代理服务费。若因中标（成交）供应商交纳代理服务费所产生的时间影响到合同签订的，由中标（成交）供应商自行承担责任。代理服务费标准参照下列标准收取。本项目类型为</w:t>
      </w:r>
      <w:r>
        <w:rPr>
          <w:rFonts w:ascii="宋体" w:eastAsia="宋体" w:hAnsi="宋体" w:cstheme="minorBidi" w:hint="eastAsia"/>
          <w:b/>
          <w:bCs/>
          <w:kern w:val="2"/>
          <w:sz w:val="21"/>
          <w:szCs w:val="21"/>
          <w:u w:val="single"/>
          <w:lang w:eastAsia="zh-CN"/>
        </w:rPr>
        <w:t>货物采购</w:t>
      </w:r>
      <w:r>
        <w:rPr>
          <w:rFonts w:ascii="宋体" w:eastAsia="宋体" w:hAnsi="宋体" w:cstheme="minorBidi" w:hint="eastAsia"/>
          <w:kern w:val="2"/>
          <w:sz w:val="21"/>
          <w:szCs w:val="21"/>
          <w:lang w:eastAsia="zh-CN"/>
        </w:rPr>
        <w:t>：</w:t>
      </w:r>
    </w:p>
    <w:p>
      <w:pPr>
        <w:widowControl/>
        <w:ind w:firstLine="42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（1）代理服务费以《中标（成交）通知书》确定的中标（成交）金额作为计算基数，按差额定率累进法计算。</w:t>
      </w:r>
    </w:p>
    <w:p>
      <w:pPr>
        <w:widowControl/>
        <w:wordWrap w:val="0"/>
        <w:autoSpaceDE w:val="0"/>
        <w:autoSpaceDN w:val="0"/>
        <w:spacing w:line="400" w:lineRule="exact"/>
        <w:ind w:right="808" w:firstLine="420" w:firstLineChars="200"/>
        <w:jc w:val="both"/>
        <w:rPr>
          <w:rFonts w:eastAsia="宋体"/>
          <w:lang w:eastAsia="zh-CN"/>
        </w:rPr>
      </w:pPr>
      <w:r>
        <w:rPr>
          <w:rFonts w:eastAsia="宋体" w:hint="eastAsia"/>
          <w:kern w:val="2"/>
          <w:sz w:val="21"/>
          <w:lang w:eastAsia="zh-CN"/>
        </w:rPr>
        <w:t>（2）</w:t>
      </w:r>
      <w:r>
        <w:rPr>
          <w:rFonts w:eastAsia="宋体" w:hint="eastAsia"/>
          <w:lang w:eastAsia="zh-CN"/>
        </w:rPr>
        <w:t>招标代理服务费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根据深圳市财政委员会关于规范深圳市社会采购代理机构管理有关事项的补充通知》（深财购〔2018〕27号）文件相关规定，招标代理服务费以中标金额为基数、按差额定率累进法计算。具体计取费率标准如下表所示：</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203"/>
        <w:gridCol w:w="1914"/>
        <w:gridCol w:w="1914"/>
        <w:gridCol w:w="18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3085" w:type="dxa"/>
            <w:shd w:val="clear" w:color="auto" w:fill="auto"/>
            <w:vAlign w:val="center"/>
          </w:tcPr>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服费务类率型</w:t>
            </w:r>
          </w:p>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中标金额</w:t>
            </w:r>
          </w:p>
        </w:tc>
        <w:tc>
          <w:tcPr>
            <w:tcW w:w="1843" w:type="dxa"/>
            <w:shd w:val="clear" w:color="auto" w:fill="auto"/>
            <w:vAlign w:val="center"/>
          </w:tcPr>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货物采购</w:t>
            </w:r>
          </w:p>
        </w:tc>
        <w:tc>
          <w:tcPr>
            <w:tcW w:w="1843" w:type="dxa"/>
            <w:shd w:val="clear" w:color="auto" w:fill="auto"/>
            <w:vAlign w:val="center"/>
          </w:tcPr>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服务采购</w:t>
            </w:r>
          </w:p>
        </w:tc>
        <w:tc>
          <w:tcPr>
            <w:tcW w:w="1758" w:type="dxa"/>
            <w:shd w:val="clear" w:color="auto" w:fill="auto"/>
            <w:vAlign w:val="center"/>
          </w:tcPr>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工程采购</w:t>
            </w:r>
          </w:p>
        </w:tc>
      </w:tr>
      <w:tr>
        <w:tblPrEx>
          <w:tblW w:w="5000" w:type="pct"/>
          <w:tblInd w:w="0" w:type="dxa"/>
          <w:tblLayout w:type="fixed"/>
          <w:tblCellMar>
            <w:top w:w="0" w:type="dxa"/>
            <w:left w:w="108" w:type="dxa"/>
            <w:bottom w:w="0" w:type="dxa"/>
            <w:right w:w="108" w:type="dxa"/>
          </w:tblCellMar>
        </w:tblPrEx>
        <w:trPr>
          <w:trHeight w:val="395"/>
        </w:trPr>
        <w:tc>
          <w:tcPr>
            <w:tcW w:w="3085" w:type="dxa"/>
            <w:shd w:val="clear" w:color="auto" w:fill="auto"/>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100 万元以下</w:t>
            </w:r>
          </w:p>
        </w:tc>
        <w:tc>
          <w:tcPr>
            <w:tcW w:w="1843" w:type="dxa"/>
            <w:shd w:val="clear" w:color="auto" w:fill="auto"/>
            <w:vAlign w:val="center"/>
          </w:tcPr>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1.5%</w:t>
            </w:r>
          </w:p>
        </w:tc>
        <w:tc>
          <w:tcPr>
            <w:tcW w:w="1843" w:type="dxa"/>
            <w:shd w:val="clear" w:color="auto" w:fill="auto"/>
            <w:vAlign w:val="center"/>
          </w:tcPr>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1.5%</w:t>
            </w:r>
          </w:p>
        </w:tc>
        <w:tc>
          <w:tcPr>
            <w:tcW w:w="1758" w:type="dxa"/>
            <w:shd w:val="clear" w:color="auto" w:fill="auto"/>
            <w:vAlign w:val="center"/>
          </w:tcPr>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1.0%</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100 万元（含）-500 万元</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1.1%</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0.8%</w:t>
            </w:r>
          </w:p>
        </w:tc>
        <w:tc>
          <w:tcPr>
            <w:tcW w:w="1758"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0.7%</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500 万元（含）-1000 万元</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0.8%</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0.45%</w:t>
            </w:r>
          </w:p>
        </w:tc>
        <w:tc>
          <w:tcPr>
            <w:tcW w:w="1758"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0.55%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1000 万元（含）-5000 万元</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0.5%</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0.25%</w:t>
            </w:r>
          </w:p>
        </w:tc>
        <w:tc>
          <w:tcPr>
            <w:tcW w:w="1758"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0.35%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5000 万元（含）-1 亿元</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0.25%</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0.1%</w:t>
            </w:r>
          </w:p>
        </w:tc>
        <w:tc>
          <w:tcPr>
            <w:tcW w:w="1758"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0.2%</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 亿元（含）-5 亿</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0.05%</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0.05%</w:t>
            </w:r>
          </w:p>
        </w:tc>
        <w:tc>
          <w:tcPr>
            <w:tcW w:w="1758"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color w:val="333333"/>
                <w:kern w:val="2"/>
                <w:sz w:val="21"/>
                <w:szCs w:val="21"/>
                <w:lang w:eastAsia="zh-CN"/>
              </w:rPr>
              <w:t>5 亿元（含）-10 亿元</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0.035%</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0.035%</w:t>
            </w:r>
          </w:p>
        </w:tc>
        <w:tc>
          <w:tcPr>
            <w:tcW w:w="1758"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0.035%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10 亿元（含）-50 亿元</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0.008%</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0.008%</w:t>
            </w:r>
          </w:p>
        </w:tc>
        <w:tc>
          <w:tcPr>
            <w:tcW w:w="1758"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0.008%</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50 亿元（含）-100 亿元</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0.006%</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0.006%</w:t>
            </w:r>
          </w:p>
        </w:tc>
        <w:tc>
          <w:tcPr>
            <w:tcW w:w="1758"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0.006%</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100 亿元（含）以</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0.004%</w:t>
            </w:r>
          </w:p>
        </w:tc>
        <w:tc>
          <w:tcPr>
            <w:tcW w:w="1843"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0.004%</w:t>
            </w:r>
          </w:p>
        </w:tc>
        <w:tc>
          <w:tcPr>
            <w:tcW w:w="1758" w:type="dxa"/>
            <w:shd w:val="clear" w:color="auto" w:fill="auto"/>
            <w:vAlign w:val="center"/>
          </w:tcPr>
          <w:p>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0.004%</w:t>
            </w:r>
          </w:p>
        </w:tc>
      </w:tr>
    </w:tbl>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注：</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（1）按本表费率计算的收费为招标代理服务的收费基准价格。</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（2）招标代理服务收费按差额定率累进法计算。</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例如：某服务招标代理业务中标金额为600万元，计算招标代理服务收费额如下：</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100万元×1.5%=1.5万元</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（500-100）万元×0.8%=3.2万元</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（600-500）万元×0.45%=0.45万元</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合计收费=1.5+3.2+0.45=5.15万元</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备注：最低收费不低于人民币6000元。代理服务费用超过6000元，则按国家计费规定收取代理服务费。</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收款单位：深圳市千里招标代理有限公司</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开户银行：中国平安银行深圳创业路支行</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帐号：（人民币）15000094959311（用于支付标书费和中标服务费）</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中标人须在中标公告公示期结束后，领取《中标通知书》前，向招标（采购）代理机构缴纳招标代理服务费。</w:t>
      </w:r>
    </w:p>
    <w:p>
      <w:pPr>
        <w:widowControl/>
        <w:spacing w:line="360" w:lineRule="auto"/>
        <w:ind w:firstLine="42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招标代理服务费以转账、银行汇票形式交付。</w:t>
      </w:r>
    </w:p>
    <w:p>
      <w:pPr>
        <w:widowControl/>
        <w:jc w:val="left"/>
        <w:rPr>
          <w:rFonts w:ascii="宋体" w:eastAsia="黑体" w:hAnsi="宋体"/>
          <w:bCs/>
          <w:kern w:val="44"/>
          <w:sz w:val="28"/>
          <w:szCs w:val="44"/>
          <w:lang w:eastAsia="zh-CN"/>
        </w:rPr>
      </w:pPr>
      <w:r>
        <w:rPr>
          <w:rFonts w:ascii="宋体" w:eastAsia="黑体" w:hAnsi="宋体"/>
          <w:bCs/>
          <w:kern w:val="44"/>
          <w:sz w:val="28"/>
          <w:szCs w:val="44"/>
          <w:lang w:eastAsia="zh-CN"/>
        </w:rPr>
        <w:br w:type="page"/>
      </w: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第三章  用户需求书</w:t>
      </w:r>
    </w:p>
    <w:p>
      <w:pPr>
        <w:keepNext/>
        <w:keepLines/>
        <w:widowControl w:val="0"/>
        <w:tabs>
          <w:tab w:val="left" w:pos="1680"/>
        </w:tabs>
        <w:spacing w:before="260" w:after="60" w:afterLines="25"/>
        <w:jc w:val="center"/>
        <w:outlineLvl w:val="2"/>
        <w:rPr>
          <w:rFonts w:ascii="Arial" w:eastAsia="宋体" w:hAnsi="Arial"/>
          <w:b/>
          <w:kern w:val="2"/>
          <w:sz w:val="32"/>
          <w:szCs w:val="32"/>
          <w:lang w:eastAsia="zh-CN"/>
        </w:rPr>
      </w:pPr>
      <w:r>
        <w:rPr>
          <w:rFonts w:ascii="Arial" w:eastAsia="宋体" w:hAnsi="Arial" w:hint="eastAsia"/>
          <w:b/>
          <w:kern w:val="2"/>
          <w:sz w:val="32"/>
          <w:szCs w:val="32"/>
          <w:lang w:eastAsia="zh-CN"/>
        </w:rPr>
        <w:t>一、项目基本信息</w:t>
      </w:r>
    </w:p>
    <w:tbl>
      <w:tblPr>
        <w:tblStyle w:val="TableNormal"/>
        <w:tblW w:w="5000" w:type="pct"/>
        <w:jc w:val="center"/>
        <w:tblLayout w:type="fixed"/>
        <w:tblCellMar>
          <w:top w:w="15" w:type="dxa"/>
          <w:left w:w="15" w:type="dxa"/>
          <w:bottom w:w="15" w:type="dxa"/>
          <w:right w:w="15" w:type="dxa"/>
        </w:tblCellMar>
      </w:tblPr>
      <w:tblGrid>
        <w:gridCol w:w="752"/>
        <w:gridCol w:w="2594"/>
        <w:gridCol w:w="2799"/>
        <w:gridCol w:w="2525"/>
      </w:tblGrid>
      <w:tr>
        <w:tblPrEx>
          <w:tblW w:w="5000" w:type="pct"/>
          <w:jc w:val="center"/>
          <w:tblLayout w:type="fixed"/>
          <w:tblCellMar>
            <w:top w:w="15" w:type="dxa"/>
            <w:left w:w="15" w:type="dxa"/>
            <w:bottom w:w="15" w:type="dxa"/>
            <w:right w:w="15" w:type="dxa"/>
          </w:tblCellMar>
        </w:tblPrEx>
        <w:trPr>
          <w:trHeight w:val="552"/>
          <w:jc w:val="center"/>
        </w:trPr>
        <w:tc>
          <w:tcPr>
            <w:tcW w:w="780" w:type="dxa"/>
            <w:tcBorders>
              <w:top w:val="single" w:sz="4" w:space="0" w:color="000000"/>
              <w:left w:val="single" w:sz="4" w:space="0" w:color="000000"/>
              <w:bottom w:val="single" w:sz="4" w:space="0" w:color="000000"/>
              <w:right w:val="single" w:sz="4" w:space="0" w:color="auto"/>
            </w:tcBorders>
            <w:shd w:val="clear" w:color="auto" w:fill="FFFFFF"/>
            <w:vAlign w:val="center"/>
          </w:tcPr>
          <w:p>
            <w:pPr>
              <w:widowControl w:val="0"/>
              <w:jc w:val="center"/>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序号</w:t>
            </w:r>
          </w:p>
        </w:tc>
        <w:tc>
          <w:tcPr>
            <w:tcW w:w="2693" w:type="dxa"/>
            <w:tcBorders>
              <w:top w:val="single" w:sz="4" w:space="0" w:color="000000"/>
              <w:left w:val="single" w:sz="4" w:space="0" w:color="auto"/>
              <w:bottom w:val="single" w:sz="4" w:space="0" w:color="000000"/>
              <w:right w:val="single" w:sz="4" w:space="0" w:color="000000"/>
            </w:tcBorders>
            <w:shd w:val="clear" w:color="auto" w:fill="FFFFFF"/>
            <w:vAlign w:val="center"/>
          </w:tcPr>
          <w:p>
            <w:pPr>
              <w:widowControl w:val="0"/>
              <w:jc w:val="center"/>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项目编号</w:t>
            </w:r>
          </w:p>
        </w:tc>
        <w:tc>
          <w:tcPr>
            <w:tcW w:w="290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val="0"/>
              <w:jc w:val="center"/>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项目名称</w:t>
            </w:r>
          </w:p>
        </w:tc>
        <w:tc>
          <w:tcPr>
            <w:tcW w:w="2622"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val="0"/>
              <w:jc w:val="center"/>
              <w:rPr>
                <w:rFonts w:ascii="Calibri" w:eastAsia="宋体" w:hAnsi="Calibri"/>
                <w:b/>
                <w:kern w:val="2"/>
                <w:sz w:val="21"/>
                <w:szCs w:val="21"/>
                <w:lang w:eastAsia="zh-CN"/>
              </w:rPr>
            </w:pPr>
            <w:r>
              <w:rPr>
                <w:rFonts w:ascii="宋体" w:eastAsia="宋体" w:hAnsi="宋体" w:cstheme="minorBidi" w:hint="eastAsia"/>
                <w:b/>
                <w:kern w:val="2"/>
                <w:sz w:val="21"/>
                <w:szCs w:val="21"/>
                <w:lang w:eastAsia="zh-CN"/>
              </w:rPr>
              <w:t>财政预算限额（元）</w:t>
            </w:r>
          </w:p>
        </w:tc>
      </w:tr>
      <w:tr>
        <w:tblPrEx>
          <w:tblW w:w="5000" w:type="pct"/>
          <w:jc w:val="center"/>
          <w:tblLayout w:type="fixed"/>
          <w:tblCellMar>
            <w:top w:w="15" w:type="dxa"/>
            <w:left w:w="15" w:type="dxa"/>
            <w:bottom w:w="15" w:type="dxa"/>
            <w:right w:w="15" w:type="dxa"/>
          </w:tblCellMar>
        </w:tblPrEx>
        <w:trPr>
          <w:trHeight w:val="485"/>
          <w:jc w:val="center"/>
        </w:trPr>
        <w:tc>
          <w:tcPr>
            <w:tcW w:w="780" w:type="dxa"/>
            <w:tcBorders>
              <w:top w:val="single" w:sz="4" w:space="0" w:color="000000"/>
              <w:left w:val="single" w:sz="4" w:space="0" w:color="000000"/>
              <w:bottom w:val="single" w:sz="4" w:space="0" w:color="000000"/>
              <w:right w:val="single" w:sz="4" w:space="0" w:color="auto"/>
            </w:tcBorders>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p>
        </w:tc>
        <w:tc>
          <w:tcPr>
            <w:tcW w:w="2693" w:type="dxa"/>
            <w:tcBorders>
              <w:top w:val="single" w:sz="4" w:space="0" w:color="000000"/>
              <w:left w:val="single" w:sz="4" w:space="0" w:color="auto"/>
              <w:bottom w:val="single" w:sz="4" w:space="0" w:color="000000"/>
              <w:right w:val="single" w:sz="4" w:space="0" w:color="000000"/>
            </w:tcBorders>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LHAZXDL-2024-00066</w:t>
            </w:r>
          </w:p>
        </w:tc>
        <w:tc>
          <w:tcPr>
            <w:tcW w:w="2906" w:type="dxa"/>
            <w:tcBorders>
              <w:top w:val="single" w:sz="4" w:space="0" w:color="000000"/>
              <w:left w:val="single" w:sz="4" w:space="0" w:color="000000"/>
              <w:bottom w:val="single" w:sz="4" w:space="0" w:color="auto"/>
              <w:right w:val="single" w:sz="4" w:space="0" w:color="000000"/>
            </w:tcBorders>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师生食堂家具及书包柜增补采购</w:t>
            </w:r>
          </w:p>
        </w:tc>
        <w:tc>
          <w:tcPr>
            <w:tcW w:w="2622" w:type="dxa"/>
            <w:tcBorders>
              <w:top w:val="single" w:sz="4" w:space="0" w:color="000000"/>
              <w:left w:val="single" w:sz="4" w:space="0" w:color="000000"/>
              <w:bottom w:val="single" w:sz="4" w:space="0" w:color="auto"/>
              <w:right w:val="single" w:sz="4" w:space="0" w:color="000000"/>
            </w:tcBorders>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915,964.00</w:t>
            </w:r>
          </w:p>
        </w:tc>
      </w:tr>
    </w:tbl>
    <w:p>
      <w:pPr>
        <w:keepNext/>
        <w:keepLines/>
        <w:widowControl w:val="0"/>
        <w:tabs>
          <w:tab w:val="left" w:pos="1680"/>
        </w:tabs>
        <w:spacing w:before="260" w:after="60" w:afterLines="25"/>
        <w:jc w:val="center"/>
        <w:outlineLvl w:val="2"/>
        <w:rPr>
          <w:rFonts w:ascii="宋体" w:eastAsia="宋体" w:hAnsi="宋体" w:hint="eastAsia"/>
          <w:b/>
          <w:color w:val="000000"/>
          <w:sz w:val="21"/>
          <w:szCs w:val="21"/>
          <w:lang w:eastAsia="zh-CN"/>
        </w:rPr>
      </w:pPr>
      <w:r>
        <w:rPr>
          <w:rFonts w:ascii="Arial" w:eastAsia="宋体" w:hAnsi="Arial" w:hint="eastAsia"/>
          <w:b/>
          <w:kern w:val="2"/>
          <w:sz w:val="32"/>
          <w:szCs w:val="32"/>
          <w:lang w:eastAsia="zh-CN"/>
        </w:rPr>
        <w:t>二、货物需求明细</w:t>
      </w:r>
      <w:bookmarkStart w:id="12" w:name="_Toc128884461"/>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33"/>
        <w:gridCol w:w="2338"/>
        <w:gridCol w:w="936"/>
        <w:gridCol w:w="805"/>
        <w:gridCol w:w="1377"/>
        <w:gridCol w:w="1164"/>
        <w:gridCol w:w="1403"/>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9"/>
          <w:jc w:val="center"/>
        </w:trPr>
        <w:tc>
          <w:tcPr>
            <w:tcW w:w="845"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bCs/>
                <w:kern w:val="2"/>
                <w:sz w:val="21"/>
                <w:szCs w:val="21"/>
                <w:lang w:eastAsia="zh-CN"/>
              </w:rPr>
              <w:t>序号</w:t>
            </w:r>
          </w:p>
        </w:tc>
        <w:tc>
          <w:tcPr>
            <w:tcW w:w="2381"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bCs/>
                <w:kern w:val="2"/>
                <w:sz w:val="21"/>
                <w:szCs w:val="21"/>
                <w:lang w:eastAsia="zh-CN"/>
              </w:rPr>
              <w:t>货物名称</w:t>
            </w:r>
          </w:p>
        </w:tc>
        <w:tc>
          <w:tcPr>
            <w:tcW w:w="950"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bCs/>
                <w:kern w:val="2"/>
                <w:sz w:val="21"/>
                <w:szCs w:val="21"/>
                <w:lang w:eastAsia="zh-CN"/>
              </w:rPr>
              <w:t>数量</w:t>
            </w:r>
          </w:p>
        </w:tc>
        <w:tc>
          <w:tcPr>
            <w:tcW w:w="817"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bCs/>
                <w:kern w:val="2"/>
                <w:sz w:val="21"/>
                <w:szCs w:val="21"/>
                <w:lang w:eastAsia="zh-CN"/>
              </w:rPr>
              <w:t>单位</w:t>
            </w:r>
          </w:p>
        </w:tc>
        <w:tc>
          <w:tcPr>
            <w:tcW w:w="1400" w:type="dxa"/>
            <w:noWrap w:val="0"/>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color w:val="FF0000"/>
                <w:kern w:val="2"/>
                <w:sz w:val="21"/>
                <w:szCs w:val="21"/>
                <w:lang w:eastAsia="zh-CN"/>
              </w:rPr>
              <w:t>最高单价限价（元）</w:t>
            </w:r>
          </w:p>
        </w:tc>
        <w:tc>
          <w:tcPr>
            <w:tcW w:w="1183"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b/>
                <w:bCs/>
                <w:color w:val="FF0000"/>
                <w:kern w:val="2"/>
                <w:sz w:val="21"/>
                <w:szCs w:val="21"/>
                <w:lang w:eastAsia="zh-CN"/>
              </w:rPr>
              <w:t>备注</w:t>
            </w:r>
          </w:p>
        </w:tc>
        <w:tc>
          <w:tcPr>
            <w:tcW w:w="1427"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b/>
                <w:bCs/>
                <w:color w:val="FF0000"/>
                <w:kern w:val="2"/>
                <w:sz w:val="21"/>
                <w:szCs w:val="21"/>
                <w:lang w:eastAsia="zh-CN"/>
              </w:rPr>
              <w:t>财政预算限额（元）</w:t>
            </w:r>
          </w:p>
        </w:tc>
      </w:tr>
      <w:tr>
        <w:tblPrEx>
          <w:tblW w:w="5000" w:type="pct"/>
          <w:jc w:val="center"/>
          <w:tblLayout w:type="fixed"/>
          <w:tblCellMar>
            <w:top w:w="0" w:type="dxa"/>
            <w:left w:w="108" w:type="dxa"/>
            <w:bottom w:w="0" w:type="dxa"/>
            <w:right w:w="108" w:type="dxa"/>
          </w:tblCellMar>
        </w:tblPrEx>
        <w:trPr>
          <w:trHeight w:val="90"/>
          <w:jc w:val="center"/>
        </w:trPr>
        <w:tc>
          <w:tcPr>
            <w:tcW w:w="845" w:type="dxa"/>
            <w:noWrap w:val="0"/>
            <w:vAlign w:val="center"/>
          </w:tcPr>
          <w:p>
            <w:pPr>
              <w:widowControl/>
              <w:jc w:val="center"/>
              <w:textAlignment w:val="center"/>
              <w:rPr>
                <w:rFonts w:ascii="Calibri" w:eastAsia="宋体" w:hAnsi="Calibri" w:hint="eastAsia"/>
                <w:kern w:val="2"/>
                <w:sz w:val="21"/>
                <w:szCs w:val="21"/>
                <w:lang w:eastAsia="zh-CN"/>
              </w:rPr>
            </w:pPr>
            <w:r>
              <w:rPr>
                <w:rFonts w:ascii="宋体" w:eastAsia="宋体" w:hAnsi="宋体" w:cs="宋体" w:hint="eastAsia"/>
                <w:color w:val="000000"/>
                <w:sz w:val="21"/>
                <w:szCs w:val="21"/>
                <w:lang w:eastAsia="zh-CN" w:bidi="ar"/>
              </w:rPr>
              <w:t>1</w:t>
            </w:r>
          </w:p>
        </w:tc>
        <w:tc>
          <w:tcPr>
            <w:tcW w:w="2381" w:type="dxa"/>
            <w:noWrap w:val="0"/>
            <w:vAlign w:val="center"/>
          </w:tcPr>
          <w:p>
            <w:pPr>
              <w:keepNext w:val="0"/>
              <w:keepLines w:val="0"/>
              <w:widowControl/>
              <w:suppressLineNumbers w:val="0"/>
              <w:jc w:val="center"/>
              <w:textAlignment w:val="center"/>
              <w:rPr>
                <w:rFonts w:ascii="Calibri" w:eastAsia="宋体" w:hAnsi="Calibri"/>
                <w:kern w:val="2"/>
                <w:sz w:val="21"/>
                <w:szCs w:val="21"/>
                <w:lang w:eastAsia="zh-CN"/>
              </w:rPr>
            </w:pPr>
            <w:r>
              <w:rPr>
                <w:rFonts w:ascii="宋体" w:eastAsia="宋体" w:hAnsi="宋体" w:cs="宋体" w:hint="eastAsia"/>
                <w:color w:val="000000"/>
                <w:sz w:val="21"/>
                <w:szCs w:val="21"/>
                <w:lang w:eastAsia="zh-CN" w:bidi="ar"/>
              </w:rPr>
              <w:t>智能书包柜1</w:t>
            </w:r>
          </w:p>
        </w:tc>
        <w:tc>
          <w:tcPr>
            <w:tcW w:w="950" w:type="dxa"/>
            <w:noWrap w:val="0"/>
            <w:vAlign w:val="center"/>
          </w:tcPr>
          <w:p>
            <w:pPr>
              <w:keepNext w:val="0"/>
              <w:keepLines w:val="0"/>
              <w:widowControl/>
              <w:suppressLineNumbers w:val="0"/>
              <w:jc w:val="center"/>
              <w:textAlignment w:val="center"/>
              <w:rPr>
                <w:rFonts w:ascii="Calibri" w:eastAsia="宋体" w:hAnsi="Calibri"/>
                <w:kern w:val="2"/>
                <w:sz w:val="21"/>
                <w:szCs w:val="21"/>
                <w:lang w:eastAsia="zh-CN"/>
              </w:rPr>
            </w:pPr>
            <w:r>
              <w:rPr>
                <w:rFonts w:ascii="宋体" w:eastAsia="宋体" w:hAnsi="宋体" w:cs="宋体" w:hint="eastAsia"/>
                <w:color w:val="000000"/>
                <w:sz w:val="21"/>
                <w:szCs w:val="21"/>
                <w:lang w:eastAsia="zh-CN" w:bidi="ar"/>
              </w:rPr>
              <w:t>14</w:t>
            </w:r>
          </w:p>
        </w:tc>
        <w:tc>
          <w:tcPr>
            <w:tcW w:w="817" w:type="dxa"/>
            <w:noWrap w:val="0"/>
            <w:vAlign w:val="center"/>
          </w:tcPr>
          <w:p>
            <w:pPr>
              <w:keepNext w:val="0"/>
              <w:keepLines w:val="0"/>
              <w:widowControl/>
              <w:suppressLineNumbers w:val="0"/>
              <w:jc w:val="center"/>
              <w:textAlignment w:val="center"/>
              <w:rPr>
                <w:rFonts w:ascii="Calibri" w:eastAsia="宋体" w:hAnsi="Calibri"/>
                <w:kern w:val="2"/>
                <w:sz w:val="21"/>
                <w:szCs w:val="21"/>
                <w:lang w:eastAsia="zh-CN"/>
              </w:rPr>
            </w:pPr>
            <w:r>
              <w:rPr>
                <w:rFonts w:ascii="宋体" w:eastAsia="宋体" w:hAnsi="宋体" w:cs="宋体" w:hint="eastAsia"/>
                <w:color w:val="000000"/>
                <w:sz w:val="21"/>
                <w:szCs w:val="21"/>
                <w:lang w:eastAsia="zh-CN" w:bidi="ar"/>
              </w:rPr>
              <w:t>组</w:t>
            </w:r>
          </w:p>
        </w:tc>
        <w:tc>
          <w:tcPr>
            <w:tcW w:w="1400" w:type="dxa"/>
            <w:noWrap w:val="0"/>
            <w:vAlign w:val="center"/>
          </w:tcPr>
          <w:p>
            <w:pPr>
              <w:widowControl w:val="0"/>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w:t>
            </w:r>
          </w:p>
        </w:tc>
        <w:tc>
          <w:tcPr>
            <w:tcW w:w="1183" w:type="dxa"/>
            <w:noWrap w:val="0"/>
            <w:vAlign w:val="center"/>
          </w:tcPr>
          <w:p>
            <w:pPr>
              <w:widowControl w:val="0"/>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拒绝进口</w:t>
            </w:r>
          </w:p>
        </w:tc>
        <w:tc>
          <w:tcPr>
            <w:tcW w:w="1427" w:type="dxa"/>
            <w:vMerge w:val="restart"/>
            <w:noWrap w:val="0"/>
            <w:vAlign w:val="center"/>
          </w:tcPr>
          <w:p>
            <w:pPr>
              <w:widowControl w:val="0"/>
              <w:jc w:val="center"/>
              <w:rPr>
                <w:rFonts w:ascii="Calibri" w:eastAsia="宋体" w:hAnsi="Calibri"/>
                <w:kern w:val="2"/>
                <w:sz w:val="21"/>
                <w:szCs w:val="21"/>
                <w:lang w:eastAsia="zh-CN"/>
              </w:rPr>
            </w:pPr>
            <w:r>
              <w:rPr>
                <w:rFonts w:ascii="Calibri" w:eastAsia="宋体" w:hAnsi="Calibri" w:cstheme="minorBidi" w:hint="eastAsia"/>
                <w:b/>
                <w:bCs/>
                <w:color w:val="FF0000"/>
                <w:kern w:val="2"/>
                <w:sz w:val="21"/>
                <w:szCs w:val="21"/>
                <w:lang w:eastAsia="zh-CN"/>
              </w:rPr>
              <w:t>915964.00</w:t>
            </w:r>
          </w:p>
        </w:tc>
      </w:tr>
      <w:tr>
        <w:tblPrEx>
          <w:tblW w:w="5000" w:type="pct"/>
          <w:jc w:val="center"/>
          <w:tblLayout w:type="fixed"/>
          <w:tblCellMar>
            <w:top w:w="0" w:type="dxa"/>
            <w:left w:w="108" w:type="dxa"/>
            <w:bottom w:w="0" w:type="dxa"/>
            <w:right w:w="108" w:type="dxa"/>
          </w:tblCellMar>
        </w:tblPrEx>
        <w:trPr>
          <w:jc w:val="center"/>
        </w:trPr>
        <w:tc>
          <w:tcPr>
            <w:tcW w:w="845" w:type="dxa"/>
            <w:noWrap w:val="0"/>
            <w:vAlign w:val="center"/>
          </w:tcPr>
          <w:p>
            <w:pPr>
              <w:widowControl/>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2</w:t>
            </w:r>
          </w:p>
        </w:tc>
        <w:tc>
          <w:tcPr>
            <w:tcW w:w="2381" w:type="dxa"/>
            <w:noWrap w:val="0"/>
            <w:vAlign w:val="center"/>
          </w:tcPr>
          <w:p>
            <w:pPr>
              <w:keepNext w:val="0"/>
              <w:keepLines w:val="0"/>
              <w:widowControl/>
              <w:suppressLineNumbers w:val="0"/>
              <w:jc w:val="center"/>
              <w:textAlignment w:val="center"/>
              <w:rPr>
                <w:rFonts w:ascii="Calibri" w:eastAsia="宋体" w:hAnsi="Calibri"/>
                <w:kern w:val="2"/>
                <w:sz w:val="21"/>
                <w:szCs w:val="21"/>
                <w:lang w:eastAsia="zh-CN"/>
              </w:rPr>
            </w:pPr>
            <w:r>
              <w:rPr>
                <w:rFonts w:ascii="宋体" w:eastAsia="宋体" w:hAnsi="宋体" w:cs="宋体" w:hint="eastAsia"/>
                <w:color w:val="000000"/>
                <w:sz w:val="21"/>
                <w:szCs w:val="21"/>
                <w:lang w:eastAsia="zh-CN" w:bidi="ar"/>
              </w:rPr>
              <w:t>智能书包柜主机及系统</w:t>
            </w:r>
          </w:p>
        </w:tc>
        <w:tc>
          <w:tcPr>
            <w:tcW w:w="950" w:type="dxa"/>
            <w:noWrap w:val="0"/>
            <w:vAlign w:val="center"/>
          </w:tcPr>
          <w:p>
            <w:pPr>
              <w:keepNext w:val="0"/>
              <w:keepLines w:val="0"/>
              <w:widowControl/>
              <w:suppressLineNumbers w:val="0"/>
              <w:jc w:val="center"/>
              <w:textAlignment w:val="center"/>
              <w:rPr>
                <w:rFonts w:ascii="Calibri" w:eastAsia="宋体" w:hAnsi="Calibri"/>
                <w:kern w:val="2"/>
                <w:sz w:val="21"/>
                <w:szCs w:val="21"/>
                <w:lang w:eastAsia="zh-CN"/>
              </w:rPr>
            </w:pPr>
            <w:r>
              <w:rPr>
                <w:rFonts w:ascii="宋体" w:eastAsia="宋体" w:hAnsi="宋体" w:cs="宋体" w:hint="eastAsia"/>
                <w:color w:val="000000"/>
                <w:sz w:val="21"/>
                <w:szCs w:val="21"/>
                <w:lang w:eastAsia="zh-CN" w:bidi="ar"/>
              </w:rPr>
              <w:t>10</w:t>
            </w:r>
          </w:p>
        </w:tc>
        <w:tc>
          <w:tcPr>
            <w:tcW w:w="817" w:type="dxa"/>
            <w:noWrap w:val="0"/>
            <w:vAlign w:val="center"/>
          </w:tcPr>
          <w:p>
            <w:pPr>
              <w:keepNext w:val="0"/>
              <w:keepLines w:val="0"/>
              <w:widowControl/>
              <w:suppressLineNumbers w:val="0"/>
              <w:jc w:val="center"/>
              <w:textAlignment w:val="center"/>
              <w:rPr>
                <w:rFonts w:ascii="Calibri" w:eastAsia="宋体" w:hAnsi="Calibri" w:hint="eastAsia"/>
                <w:kern w:val="2"/>
                <w:sz w:val="21"/>
                <w:szCs w:val="21"/>
                <w:lang w:eastAsia="zh-CN"/>
              </w:rPr>
            </w:pPr>
            <w:r>
              <w:rPr>
                <w:rFonts w:ascii="宋体" w:eastAsia="宋体" w:hAnsi="宋体" w:cs="宋体" w:hint="eastAsia"/>
                <w:color w:val="000000"/>
                <w:sz w:val="21"/>
                <w:szCs w:val="21"/>
                <w:lang w:eastAsia="zh-CN" w:bidi="ar"/>
              </w:rPr>
              <w:t>组</w:t>
            </w:r>
          </w:p>
        </w:tc>
        <w:tc>
          <w:tcPr>
            <w:tcW w:w="1400"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p>
        </w:tc>
        <w:tc>
          <w:tcPr>
            <w:tcW w:w="1183"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拒绝进口</w:t>
            </w:r>
          </w:p>
        </w:tc>
        <w:tc>
          <w:tcPr>
            <w:tcW w:w="1427" w:type="dxa"/>
            <w:vMerge/>
            <w:noWrap w:val="0"/>
            <w:vAlign w:val="center"/>
          </w:tcPr>
          <w:p>
            <w:pPr>
              <w:widowControl w:val="0"/>
              <w:jc w:val="center"/>
              <w:rPr>
                <w:rFonts w:ascii="Calibri" w:eastAsia="宋体" w:hAnsi="Calibri" w:hint="eastAsia"/>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845" w:type="dxa"/>
            <w:noWrap w:val="0"/>
            <w:vAlign w:val="center"/>
          </w:tcPr>
          <w:p>
            <w:pPr>
              <w:widowControl/>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3</w:t>
            </w:r>
          </w:p>
        </w:tc>
        <w:tc>
          <w:tcPr>
            <w:tcW w:w="2381" w:type="dxa"/>
            <w:noWrap w:val="0"/>
            <w:vAlign w:val="center"/>
          </w:tcPr>
          <w:p>
            <w:pPr>
              <w:keepNext w:val="0"/>
              <w:keepLines w:val="0"/>
              <w:widowControl/>
              <w:suppressLineNumbers w:val="0"/>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四人位回弹餐桌椅</w:t>
            </w:r>
          </w:p>
        </w:tc>
        <w:tc>
          <w:tcPr>
            <w:tcW w:w="950" w:type="dxa"/>
            <w:noWrap w:val="0"/>
            <w:vAlign w:val="center"/>
          </w:tcPr>
          <w:p>
            <w:pPr>
              <w:keepNext w:val="0"/>
              <w:keepLines w:val="0"/>
              <w:widowControl/>
              <w:suppressLineNumbers w:val="0"/>
              <w:jc w:val="center"/>
              <w:textAlignment w:val="center"/>
              <w:rPr>
                <w:rFonts w:ascii="Calibri" w:eastAsia="宋体" w:hAnsi="Calibri"/>
                <w:kern w:val="2"/>
                <w:sz w:val="21"/>
                <w:szCs w:val="21"/>
                <w:lang w:eastAsia="zh-CN"/>
              </w:rPr>
            </w:pPr>
            <w:r>
              <w:rPr>
                <w:rFonts w:ascii="宋体" w:eastAsia="宋体" w:hAnsi="宋体" w:cs="宋体" w:hint="eastAsia"/>
                <w:color w:val="000000"/>
                <w:sz w:val="21"/>
                <w:szCs w:val="21"/>
                <w:lang w:eastAsia="zh-CN" w:bidi="ar"/>
              </w:rPr>
              <w:t>40</w:t>
            </w:r>
          </w:p>
        </w:tc>
        <w:tc>
          <w:tcPr>
            <w:tcW w:w="817" w:type="dxa"/>
            <w:noWrap w:val="0"/>
            <w:vAlign w:val="center"/>
          </w:tcPr>
          <w:p>
            <w:pPr>
              <w:keepNext w:val="0"/>
              <w:keepLines w:val="0"/>
              <w:widowControl/>
              <w:suppressLineNumbers w:val="0"/>
              <w:jc w:val="center"/>
              <w:textAlignment w:val="center"/>
              <w:rPr>
                <w:rFonts w:ascii="Calibri" w:eastAsia="宋体" w:hAnsi="Calibri"/>
                <w:kern w:val="2"/>
                <w:sz w:val="21"/>
                <w:szCs w:val="21"/>
                <w:lang w:eastAsia="zh-CN"/>
              </w:rPr>
            </w:pPr>
            <w:r>
              <w:rPr>
                <w:rFonts w:ascii="宋体" w:eastAsia="宋体" w:hAnsi="宋体" w:cs="宋体" w:hint="eastAsia"/>
                <w:color w:val="000000"/>
                <w:sz w:val="21"/>
                <w:szCs w:val="21"/>
                <w:lang w:eastAsia="zh-CN" w:bidi="ar"/>
              </w:rPr>
              <w:t>套</w:t>
            </w:r>
          </w:p>
        </w:tc>
        <w:tc>
          <w:tcPr>
            <w:tcW w:w="1400" w:type="dxa"/>
            <w:noWrap w:val="0"/>
            <w:vAlign w:val="center"/>
          </w:tcPr>
          <w:p>
            <w:pPr>
              <w:widowControl w:val="0"/>
              <w:jc w:val="center"/>
              <w:rPr>
                <w:rFonts w:eastAsia="宋体" w:hint="eastAsia"/>
                <w:b/>
                <w:bCs/>
                <w:color w:val="FF0000"/>
                <w:kern w:val="2"/>
                <w:sz w:val="21"/>
                <w:szCs w:val="21"/>
                <w:lang w:eastAsia="zh-CN"/>
              </w:rPr>
            </w:pPr>
            <w:r>
              <w:rPr>
                <w:rFonts w:ascii="Calibri" w:eastAsia="宋体" w:hAnsi="Calibri" w:cstheme="minorBidi" w:hint="eastAsia"/>
                <w:kern w:val="2"/>
                <w:sz w:val="21"/>
                <w:szCs w:val="21"/>
                <w:lang w:eastAsia="zh-CN"/>
              </w:rPr>
              <w:t>/</w:t>
            </w:r>
          </w:p>
        </w:tc>
        <w:tc>
          <w:tcPr>
            <w:tcW w:w="1183" w:type="dxa"/>
            <w:noWrap w:val="0"/>
            <w:vAlign w:val="center"/>
          </w:tcPr>
          <w:p>
            <w:pPr>
              <w:widowControl w:val="0"/>
              <w:jc w:val="center"/>
              <w:rPr>
                <w:rFonts w:eastAsia="宋体" w:hint="eastAsia"/>
                <w:kern w:val="2"/>
                <w:sz w:val="21"/>
                <w:szCs w:val="21"/>
                <w:lang w:eastAsia="zh-CN"/>
              </w:rPr>
            </w:pPr>
            <w:r>
              <w:rPr>
                <w:rFonts w:eastAsia="宋体" w:hint="eastAsia"/>
                <w:kern w:val="2"/>
                <w:sz w:val="21"/>
                <w:szCs w:val="21"/>
                <w:lang w:eastAsia="zh-CN"/>
              </w:rPr>
              <w:t>拒绝进口</w:t>
            </w:r>
          </w:p>
          <w:p>
            <w:pPr>
              <w:widowControl w:val="0"/>
              <w:jc w:val="center"/>
              <w:rPr>
                <w:rFonts w:ascii="Calibri" w:eastAsia="宋体" w:hAnsi="Calibri"/>
                <w:kern w:val="2"/>
                <w:sz w:val="21"/>
                <w:szCs w:val="22"/>
                <w:lang w:eastAsia="zh-CN"/>
              </w:rPr>
            </w:pPr>
            <w:r>
              <w:rPr>
                <w:rFonts w:eastAsia="宋体" w:hint="eastAsia"/>
                <w:b/>
                <w:bCs/>
                <w:color w:val="FF0000"/>
                <w:kern w:val="2"/>
                <w:sz w:val="21"/>
                <w:szCs w:val="21"/>
                <w:lang w:eastAsia="zh-CN"/>
              </w:rPr>
              <w:t>核心产品</w:t>
            </w:r>
          </w:p>
        </w:tc>
        <w:tc>
          <w:tcPr>
            <w:tcW w:w="1427" w:type="dxa"/>
            <w:vMerge/>
            <w:noWrap w:val="0"/>
            <w:vAlign w:val="center"/>
          </w:tcPr>
          <w:p>
            <w:pPr>
              <w:widowControl w:val="0"/>
              <w:jc w:val="center"/>
              <w:rPr>
                <w:rFonts w:ascii="Calibri" w:eastAsia="宋体" w:hAnsi="Calibri" w:hint="eastAsia"/>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845" w:type="dxa"/>
            <w:noWrap w:val="0"/>
            <w:vAlign w:val="center"/>
          </w:tcPr>
          <w:p>
            <w:pPr>
              <w:widowControl/>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4</w:t>
            </w:r>
          </w:p>
        </w:tc>
        <w:tc>
          <w:tcPr>
            <w:tcW w:w="2381" w:type="dxa"/>
            <w:noWrap w:val="0"/>
            <w:vAlign w:val="center"/>
          </w:tcPr>
          <w:p>
            <w:pPr>
              <w:keepNext w:val="0"/>
              <w:keepLines w:val="0"/>
              <w:widowControl/>
              <w:suppressLineNumbers w:val="0"/>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吧桌</w:t>
            </w:r>
          </w:p>
        </w:tc>
        <w:tc>
          <w:tcPr>
            <w:tcW w:w="950" w:type="dxa"/>
            <w:noWrap w:val="0"/>
            <w:vAlign w:val="center"/>
          </w:tcPr>
          <w:p>
            <w:pPr>
              <w:keepNext w:val="0"/>
              <w:keepLines w:val="0"/>
              <w:widowControl/>
              <w:suppressLineNumbers w:val="0"/>
              <w:jc w:val="center"/>
              <w:textAlignment w:val="center"/>
              <w:rPr>
                <w:rFonts w:ascii="Calibri" w:eastAsia="宋体" w:hAnsi="Calibri"/>
                <w:kern w:val="2"/>
                <w:sz w:val="21"/>
                <w:szCs w:val="21"/>
                <w:lang w:eastAsia="zh-CN"/>
              </w:rPr>
            </w:pPr>
            <w:r>
              <w:rPr>
                <w:rFonts w:ascii="宋体" w:eastAsia="宋体" w:hAnsi="宋体" w:cs="宋体" w:hint="eastAsia"/>
                <w:color w:val="000000"/>
                <w:sz w:val="21"/>
                <w:szCs w:val="21"/>
                <w:lang w:eastAsia="zh-CN" w:bidi="ar"/>
              </w:rPr>
              <w:t>2</w:t>
            </w:r>
          </w:p>
        </w:tc>
        <w:tc>
          <w:tcPr>
            <w:tcW w:w="817" w:type="dxa"/>
            <w:noWrap w:val="0"/>
            <w:vAlign w:val="center"/>
          </w:tcPr>
          <w:p>
            <w:pPr>
              <w:keepNext w:val="0"/>
              <w:keepLines w:val="0"/>
              <w:widowControl/>
              <w:suppressLineNumbers w:val="0"/>
              <w:jc w:val="center"/>
              <w:textAlignment w:val="center"/>
              <w:rPr>
                <w:rFonts w:ascii="Calibri" w:eastAsia="宋体" w:hAnsi="Calibri"/>
                <w:kern w:val="2"/>
                <w:sz w:val="21"/>
                <w:szCs w:val="21"/>
                <w:lang w:eastAsia="zh-CN"/>
              </w:rPr>
            </w:pPr>
            <w:r>
              <w:rPr>
                <w:rFonts w:ascii="宋体" w:eastAsia="宋体" w:hAnsi="宋体" w:cs="宋体" w:hint="eastAsia"/>
                <w:color w:val="000000"/>
                <w:sz w:val="21"/>
                <w:szCs w:val="21"/>
                <w:lang w:eastAsia="zh-CN" w:bidi="ar"/>
              </w:rPr>
              <w:t>张</w:t>
            </w:r>
          </w:p>
        </w:tc>
        <w:tc>
          <w:tcPr>
            <w:tcW w:w="1400"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p>
        </w:tc>
        <w:tc>
          <w:tcPr>
            <w:tcW w:w="1183"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拒绝进口</w:t>
            </w:r>
          </w:p>
        </w:tc>
        <w:tc>
          <w:tcPr>
            <w:tcW w:w="1427" w:type="dxa"/>
            <w:vMerge/>
            <w:noWrap w:val="0"/>
            <w:vAlign w:val="center"/>
          </w:tcPr>
          <w:p>
            <w:pPr>
              <w:widowControl w:val="0"/>
              <w:jc w:val="center"/>
              <w:rPr>
                <w:rFonts w:ascii="Calibri" w:eastAsia="宋体" w:hAnsi="Calibri" w:hint="eastAsia"/>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845" w:type="dxa"/>
            <w:noWrap w:val="0"/>
            <w:vAlign w:val="center"/>
          </w:tcPr>
          <w:p>
            <w:pPr>
              <w:widowControl/>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5</w:t>
            </w:r>
          </w:p>
        </w:tc>
        <w:tc>
          <w:tcPr>
            <w:tcW w:w="2381" w:type="dxa"/>
            <w:noWrap w:val="0"/>
            <w:vAlign w:val="center"/>
          </w:tcPr>
          <w:p>
            <w:pPr>
              <w:keepNext w:val="0"/>
              <w:keepLines w:val="0"/>
              <w:widowControl/>
              <w:suppressLineNumbers w:val="0"/>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吧椅</w:t>
            </w:r>
          </w:p>
        </w:tc>
        <w:tc>
          <w:tcPr>
            <w:tcW w:w="950" w:type="dxa"/>
            <w:noWrap w:val="0"/>
            <w:vAlign w:val="center"/>
          </w:tcPr>
          <w:p>
            <w:pPr>
              <w:keepNext w:val="0"/>
              <w:keepLines w:val="0"/>
              <w:widowControl/>
              <w:suppressLineNumbers w:val="0"/>
              <w:jc w:val="center"/>
              <w:textAlignment w:val="center"/>
              <w:rPr>
                <w:rFonts w:ascii="Calibri" w:eastAsia="宋体" w:hAnsi="Calibri" w:hint="eastAsia"/>
                <w:kern w:val="2"/>
                <w:sz w:val="21"/>
                <w:szCs w:val="21"/>
                <w:lang w:eastAsia="zh-CN"/>
              </w:rPr>
            </w:pPr>
            <w:r>
              <w:rPr>
                <w:rFonts w:ascii="宋体" w:eastAsia="宋体" w:hAnsi="宋体" w:cs="宋体" w:hint="eastAsia"/>
                <w:color w:val="000000"/>
                <w:sz w:val="21"/>
                <w:szCs w:val="21"/>
                <w:lang w:eastAsia="zh-CN" w:bidi="ar"/>
              </w:rPr>
              <w:t>16</w:t>
            </w:r>
          </w:p>
        </w:tc>
        <w:tc>
          <w:tcPr>
            <w:tcW w:w="817" w:type="dxa"/>
            <w:noWrap w:val="0"/>
            <w:vAlign w:val="center"/>
          </w:tcPr>
          <w:p>
            <w:pPr>
              <w:keepNext w:val="0"/>
              <w:keepLines w:val="0"/>
              <w:widowControl/>
              <w:suppressLineNumbers w:val="0"/>
              <w:jc w:val="center"/>
              <w:textAlignment w:val="center"/>
              <w:rPr>
                <w:rFonts w:ascii="Calibri" w:eastAsia="宋体" w:hAnsi="Calibri" w:hint="eastAsia"/>
                <w:kern w:val="2"/>
                <w:sz w:val="21"/>
                <w:szCs w:val="21"/>
                <w:lang w:eastAsia="zh-CN"/>
              </w:rPr>
            </w:pPr>
            <w:r>
              <w:rPr>
                <w:rFonts w:ascii="宋体" w:eastAsia="宋体" w:hAnsi="宋体" w:cs="宋体" w:hint="eastAsia"/>
                <w:color w:val="000000"/>
                <w:sz w:val="21"/>
                <w:szCs w:val="21"/>
                <w:lang w:eastAsia="zh-CN" w:bidi="ar"/>
              </w:rPr>
              <w:t>张</w:t>
            </w:r>
          </w:p>
        </w:tc>
        <w:tc>
          <w:tcPr>
            <w:tcW w:w="1400" w:type="dxa"/>
            <w:noWrap w:val="0"/>
            <w:vAlign w:val="center"/>
          </w:tcPr>
          <w:p>
            <w:pPr>
              <w:widowControl w:val="0"/>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500</w:t>
            </w:r>
          </w:p>
        </w:tc>
        <w:tc>
          <w:tcPr>
            <w:tcW w:w="1183"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拒绝进口</w:t>
            </w:r>
          </w:p>
        </w:tc>
        <w:tc>
          <w:tcPr>
            <w:tcW w:w="1427" w:type="dxa"/>
            <w:vMerge/>
            <w:noWrap w:val="0"/>
            <w:vAlign w:val="center"/>
          </w:tcPr>
          <w:p>
            <w:pPr>
              <w:widowControl w:val="0"/>
              <w:jc w:val="center"/>
              <w:rPr>
                <w:rFonts w:ascii="Calibri" w:eastAsia="宋体" w:hAnsi="Calibri" w:hint="eastAsia"/>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845" w:type="dxa"/>
            <w:noWrap w:val="0"/>
            <w:vAlign w:val="center"/>
          </w:tcPr>
          <w:p>
            <w:pPr>
              <w:widowControl/>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6</w:t>
            </w:r>
          </w:p>
        </w:tc>
        <w:tc>
          <w:tcPr>
            <w:tcW w:w="2381" w:type="dxa"/>
            <w:noWrap w:val="0"/>
            <w:vAlign w:val="center"/>
          </w:tcPr>
          <w:p>
            <w:pPr>
              <w:keepNext w:val="0"/>
              <w:keepLines w:val="0"/>
              <w:widowControl/>
              <w:suppressLineNumbers w:val="0"/>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隔断花槽柜1</w:t>
            </w:r>
          </w:p>
        </w:tc>
        <w:tc>
          <w:tcPr>
            <w:tcW w:w="950" w:type="dxa"/>
            <w:noWrap w:val="0"/>
            <w:vAlign w:val="center"/>
          </w:tcPr>
          <w:p>
            <w:pPr>
              <w:keepNext w:val="0"/>
              <w:keepLines w:val="0"/>
              <w:widowControl/>
              <w:suppressLineNumbers w:val="0"/>
              <w:jc w:val="center"/>
              <w:textAlignment w:val="center"/>
              <w:rPr>
                <w:rFonts w:ascii="Calibri" w:eastAsia="宋体" w:hAnsi="Calibri" w:hint="eastAsia"/>
                <w:kern w:val="2"/>
                <w:sz w:val="21"/>
                <w:szCs w:val="21"/>
                <w:lang w:eastAsia="zh-CN"/>
              </w:rPr>
            </w:pPr>
            <w:r>
              <w:rPr>
                <w:rFonts w:ascii="宋体" w:eastAsia="宋体" w:hAnsi="宋体" w:cs="宋体" w:hint="eastAsia"/>
                <w:color w:val="000000"/>
                <w:sz w:val="21"/>
                <w:szCs w:val="21"/>
                <w:lang w:eastAsia="zh-CN" w:bidi="ar"/>
              </w:rPr>
              <w:t>8</w:t>
            </w:r>
          </w:p>
        </w:tc>
        <w:tc>
          <w:tcPr>
            <w:tcW w:w="817" w:type="dxa"/>
            <w:noWrap w:val="0"/>
            <w:vAlign w:val="center"/>
          </w:tcPr>
          <w:p>
            <w:pPr>
              <w:keepNext w:val="0"/>
              <w:keepLines w:val="0"/>
              <w:widowControl/>
              <w:suppressLineNumbers w:val="0"/>
              <w:jc w:val="center"/>
              <w:textAlignment w:val="center"/>
              <w:rPr>
                <w:rFonts w:ascii="Calibri" w:eastAsia="宋体" w:hAnsi="Calibri" w:hint="eastAsia"/>
                <w:kern w:val="2"/>
                <w:sz w:val="21"/>
                <w:szCs w:val="21"/>
                <w:lang w:eastAsia="zh-CN"/>
              </w:rPr>
            </w:pPr>
            <w:r>
              <w:rPr>
                <w:rFonts w:ascii="宋体" w:eastAsia="宋体" w:hAnsi="宋体" w:cs="宋体" w:hint="eastAsia"/>
                <w:color w:val="000000"/>
                <w:sz w:val="21"/>
                <w:szCs w:val="21"/>
                <w:lang w:eastAsia="zh-CN" w:bidi="ar"/>
              </w:rPr>
              <w:t>个</w:t>
            </w:r>
          </w:p>
        </w:tc>
        <w:tc>
          <w:tcPr>
            <w:tcW w:w="1400"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p>
        </w:tc>
        <w:tc>
          <w:tcPr>
            <w:tcW w:w="1183"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拒绝进口</w:t>
            </w:r>
          </w:p>
        </w:tc>
        <w:tc>
          <w:tcPr>
            <w:tcW w:w="1427" w:type="dxa"/>
            <w:vMerge/>
            <w:noWrap w:val="0"/>
            <w:vAlign w:val="center"/>
          </w:tcPr>
          <w:p>
            <w:pPr>
              <w:widowControl w:val="0"/>
              <w:jc w:val="center"/>
              <w:rPr>
                <w:rFonts w:ascii="Calibri" w:eastAsia="宋体" w:hAnsi="Calibri" w:hint="eastAsia"/>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845" w:type="dxa"/>
            <w:noWrap w:val="0"/>
            <w:vAlign w:val="center"/>
          </w:tcPr>
          <w:p>
            <w:pPr>
              <w:widowControl/>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7</w:t>
            </w:r>
          </w:p>
        </w:tc>
        <w:tc>
          <w:tcPr>
            <w:tcW w:w="2381" w:type="dxa"/>
            <w:noWrap w:val="0"/>
            <w:vAlign w:val="center"/>
          </w:tcPr>
          <w:p>
            <w:pPr>
              <w:keepNext w:val="0"/>
              <w:keepLines w:val="0"/>
              <w:widowControl/>
              <w:suppressLineNumbers w:val="0"/>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隔断花槽柜2</w:t>
            </w:r>
          </w:p>
        </w:tc>
        <w:tc>
          <w:tcPr>
            <w:tcW w:w="950" w:type="dxa"/>
            <w:noWrap w:val="0"/>
            <w:vAlign w:val="center"/>
          </w:tcPr>
          <w:p>
            <w:pPr>
              <w:keepNext w:val="0"/>
              <w:keepLines w:val="0"/>
              <w:widowControl/>
              <w:suppressLineNumbers w:val="0"/>
              <w:jc w:val="center"/>
              <w:textAlignment w:val="center"/>
              <w:rPr>
                <w:rFonts w:ascii="Calibri" w:eastAsia="宋体" w:hAnsi="Calibri" w:hint="eastAsia"/>
                <w:kern w:val="2"/>
                <w:sz w:val="21"/>
                <w:szCs w:val="21"/>
                <w:lang w:eastAsia="zh-CN"/>
              </w:rPr>
            </w:pPr>
            <w:r>
              <w:rPr>
                <w:rFonts w:ascii="宋体" w:eastAsia="宋体" w:hAnsi="宋体" w:cs="宋体" w:hint="eastAsia"/>
                <w:color w:val="000000"/>
                <w:sz w:val="21"/>
                <w:szCs w:val="21"/>
                <w:lang w:eastAsia="zh-CN" w:bidi="ar"/>
              </w:rPr>
              <w:t>9</w:t>
            </w:r>
          </w:p>
        </w:tc>
        <w:tc>
          <w:tcPr>
            <w:tcW w:w="817" w:type="dxa"/>
            <w:noWrap w:val="0"/>
            <w:vAlign w:val="center"/>
          </w:tcPr>
          <w:p>
            <w:pPr>
              <w:keepNext w:val="0"/>
              <w:keepLines w:val="0"/>
              <w:widowControl/>
              <w:suppressLineNumbers w:val="0"/>
              <w:jc w:val="center"/>
              <w:textAlignment w:val="center"/>
              <w:rPr>
                <w:rFonts w:ascii="Calibri" w:eastAsia="宋体" w:hAnsi="Calibri" w:hint="eastAsia"/>
                <w:kern w:val="2"/>
                <w:sz w:val="21"/>
                <w:szCs w:val="21"/>
                <w:lang w:eastAsia="zh-CN"/>
              </w:rPr>
            </w:pPr>
            <w:r>
              <w:rPr>
                <w:rFonts w:ascii="宋体" w:eastAsia="宋体" w:hAnsi="宋体" w:cs="宋体" w:hint="eastAsia"/>
                <w:color w:val="000000"/>
                <w:sz w:val="21"/>
                <w:szCs w:val="21"/>
                <w:lang w:eastAsia="zh-CN" w:bidi="ar"/>
              </w:rPr>
              <w:t>个</w:t>
            </w:r>
          </w:p>
        </w:tc>
        <w:tc>
          <w:tcPr>
            <w:tcW w:w="1400"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p>
        </w:tc>
        <w:tc>
          <w:tcPr>
            <w:tcW w:w="1183"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拒绝进口</w:t>
            </w:r>
          </w:p>
        </w:tc>
        <w:tc>
          <w:tcPr>
            <w:tcW w:w="1427" w:type="dxa"/>
            <w:vMerge/>
            <w:noWrap w:val="0"/>
            <w:vAlign w:val="center"/>
          </w:tcPr>
          <w:p>
            <w:pPr>
              <w:widowControl w:val="0"/>
              <w:jc w:val="center"/>
              <w:rPr>
                <w:rFonts w:ascii="Calibri" w:eastAsia="宋体" w:hAnsi="Calibri" w:hint="eastAsia"/>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845" w:type="dxa"/>
            <w:noWrap w:val="0"/>
            <w:vAlign w:val="center"/>
          </w:tcPr>
          <w:p>
            <w:pPr>
              <w:widowControl/>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8</w:t>
            </w:r>
          </w:p>
        </w:tc>
        <w:tc>
          <w:tcPr>
            <w:tcW w:w="2381" w:type="dxa"/>
            <w:noWrap w:val="0"/>
            <w:vAlign w:val="center"/>
          </w:tcPr>
          <w:p>
            <w:pPr>
              <w:keepNext w:val="0"/>
              <w:keepLines w:val="0"/>
              <w:widowControl/>
              <w:suppressLineNumbers w:val="0"/>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卡座沙发</w:t>
            </w:r>
          </w:p>
        </w:tc>
        <w:tc>
          <w:tcPr>
            <w:tcW w:w="950" w:type="dxa"/>
            <w:noWrap w:val="0"/>
            <w:vAlign w:val="center"/>
          </w:tcPr>
          <w:p>
            <w:pPr>
              <w:keepNext w:val="0"/>
              <w:keepLines w:val="0"/>
              <w:widowControl/>
              <w:suppressLineNumbers w:val="0"/>
              <w:jc w:val="center"/>
              <w:textAlignment w:val="center"/>
              <w:rPr>
                <w:rFonts w:ascii="Calibri" w:eastAsia="宋体" w:hAnsi="Calibri" w:hint="eastAsia"/>
                <w:kern w:val="2"/>
                <w:sz w:val="21"/>
                <w:szCs w:val="21"/>
                <w:lang w:eastAsia="zh-CN"/>
              </w:rPr>
            </w:pPr>
            <w:r>
              <w:rPr>
                <w:rFonts w:ascii="宋体" w:eastAsia="宋体" w:hAnsi="宋体" w:cs="宋体" w:hint="eastAsia"/>
                <w:color w:val="000000"/>
                <w:sz w:val="21"/>
                <w:szCs w:val="21"/>
                <w:lang w:eastAsia="zh-CN" w:bidi="ar"/>
              </w:rPr>
              <w:t>14</w:t>
            </w:r>
          </w:p>
        </w:tc>
        <w:tc>
          <w:tcPr>
            <w:tcW w:w="817" w:type="dxa"/>
            <w:noWrap w:val="0"/>
            <w:vAlign w:val="center"/>
          </w:tcPr>
          <w:p>
            <w:pPr>
              <w:keepNext w:val="0"/>
              <w:keepLines w:val="0"/>
              <w:widowControl/>
              <w:suppressLineNumbers w:val="0"/>
              <w:jc w:val="center"/>
              <w:textAlignment w:val="center"/>
              <w:rPr>
                <w:rFonts w:ascii="Calibri" w:eastAsia="宋体" w:hAnsi="Calibri" w:hint="eastAsia"/>
                <w:kern w:val="2"/>
                <w:sz w:val="21"/>
                <w:szCs w:val="21"/>
                <w:lang w:eastAsia="zh-CN"/>
              </w:rPr>
            </w:pPr>
            <w:r>
              <w:rPr>
                <w:rFonts w:ascii="宋体" w:eastAsia="宋体" w:hAnsi="宋体" w:cs="宋体" w:hint="eastAsia"/>
                <w:color w:val="000000"/>
                <w:sz w:val="21"/>
                <w:szCs w:val="21"/>
                <w:lang w:eastAsia="zh-CN" w:bidi="ar"/>
              </w:rPr>
              <w:t>张</w:t>
            </w:r>
          </w:p>
        </w:tc>
        <w:tc>
          <w:tcPr>
            <w:tcW w:w="1400"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p>
        </w:tc>
        <w:tc>
          <w:tcPr>
            <w:tcW w:w="1183"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拒绝进口</w:t>
            </w:r>
          </w:p>
        </w:tc>
        <w:tc>
          <w:tcPr>
            <w:tcW w:w="1427" w:type="dxa"/>
            <w:vMerge/>
            <w:noWrap w:val="0"/>
            <w:vAlign w:val="center"/>
          </w:tcPr>
          <w:p>
            <w:pPr>
              <w:widowControl w:val="0"/>
              <w:jc w:val="center"/>
              <w:rPr>
                <w:rFonts w:ascii="Calibri" w:eastAsia="宋体" w:hAnsi="Calibri" w:hint="eastAsia"/>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845" w:type="dxa"/>
            <w:noWrap w:val="0"/>
            <w:vAlign w:val="center"/>
          </w:tcPr>
          <w:p>
            <w:pPr>
              <w:widowControl/>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9</w:t>
            </w:r>
          </w:p>
        </w:tc>
        <w:tc>
          <w:tcPr>
            <w:tcW w:w="2381" w:type="dxa"/>
            <w:noWrap w:val="0"/>
            <w:vAlign w:val="center"/>
          </w:tcPr>
          <w:p>
            <w:pPr>
              <w:keepNext w:val="0"/>
              <w:keepLines w:val="0"/>
              <w:widowControl/>
              <w:suppressLineNumbers w:val="0"/>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卡座餐桌</w:t>
            </w:r>
          </w:p>
        </w:tc>
        <w:tc>
          <w:tcPr>
            <w:tcW w:w="950" w:type="dxa"/>
            <w:noWrap w:val="0"/>
            <w:vAlign w:val="center"/>
          </w:tcPr>
          <w:p>
            <w:pPr>
              <w:keepNext w:val="0"/>
              <w:keepLines w:val="0"/>
              <w:widowControl/>
              <w:suppressLineNumbers w:val="0"/>
              <w:jc w:val="center"/>
              <w:textAlignment w:val="center"/>
              <w:rPr>
                <w:rFonts w:ascii="Calibri" w:eastAsia="宋体" w:hAnsi="Calibri" w:hint="eastAsia"/>
                <w:kern w:val="2"/>
                <w:sz w:val="21"/>
                <w:szCs w:val="21"/>
                <w:lang w:eastAsia="zh-CN"/>
              </w:rPr>
            </w:pPr>
            <w:r>
              <w:rPr>
                <w:rFonts w:ascii="宋体" w:eastAsia="宋体" w:hAnsi="宋体" w:cs="宋体" w:hint="eastAsia"/>
                <w:color w:val="000000"/>
                <w:sz w:val="21"/>
                <w:szCs w:val="21"/>
                <w:lang w:eastAsia="zh-CN" w:bidi="ar"/>
              </w:rPr>
              <w:t>7</w:t>
            </w:r>
          </w:p>
        </w:tc>
        <w:tc>
          <w:tcPr>
            <w:tcW w:w="817" w:type="dxa"/>
            <w:noWrap w:val="0"/>
            <w:vAlign w:val="center"/>
          </w:tcPr>
          <w:p>
            <w:pPr>
              <w:keepNext w:val="0"/>
              <w:keepLines w:val="0"/>
              <w:widowControl/>
              <w:suppressLineNumbers w:val="0"/>
              <w:jc w:val="center"/>
              <w:textAlignment w:val="center"/>
              <w:rPr>
                <w:rFonts w:ascii="Calibri" w:eastAsia="宋体" w:hAnsi="Calibri" w:hint="eastAsia"/>
                <w:kern w:val="2"/>
                <w:sz w:val="21"/>
                <w:szCs w:val="21"/>
                <w:lang w:eastAsia="zh-CN"/>
              </w:rPr>
            </w:pPr>
            <w:r>
              <w:rPr>
                <w:rFonts w:ascii="宋体" w:eastAsia="宋体" w:hAnsi="宋体" w:cs="宋体" w:hint="eastAsia"/>
                <w:color w:val="000000"/>
                <w:sz w:val="21"/>
                <w:szCs w:val="21"/>
                <w:lang w:eastAsia="zh-CN" w:bidi="ar"/>
              </w:rPr>
              <w:t>张</w:t>
            </w:r>
          </w:p>
        </w:tc>
        <w:tc>
          <w:tcPr>
            <w:tcW w:w="1400"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p>
        </w:tc>
        <w:tc>
          <w:tcPr>
            <w:tcW w:w="1183"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拒绝进口</w:t>
            </w:r>
          </w:p>
        </w:tc>
        <w:tc>
          <w:tcPr>
            <w:tcW w:w="1427" w:type="dxa"/>
            <w:vMerge/>
            <w:noWrap w:val="0"/>
            <w:vAlign w:val="center"/>
          </w:tcPr>
          <w:p>
            <w:pPr>
              <w:widowControl w:val="0"/>
              <w:jc w:val="center"/>
              <w:rPr>
                <w:rFonts w:ascii="Calibri" w:eastAsia="宋体" w:hAnsi="Calibri" w:hint="eastAsia"/>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845" w:type="dxa"/>
            <w:noWrap w:val="0"/>
            <w:vAlign w:val="center"/>
          </w:tcPr>
          <w:p>
            <w:pPr>
              <w:widowControl/>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10</w:t>
            </w:r>
          </w:p>
        </w:tc>
        <w:tc>
          <w:tcPr>
            <w:tcW w:w="2381" w:type="dxa"/>
            <w:noWrap w:val="0"/>
            <w:vAlign w:val="center"/>
          </w:tcPr>
          <w:p>
            <w:pPr>
              <w:keepNext w:val="0"/>
              <w:keepLines w:val="0"/>
              <w:widowControl/>
              <w:suppressLineNumbers w:val="0"/>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12人位圆桌（大）</w:t>
            </w:r>
          </w:p>
        </w:tc>
        <w:tc>
          <w:tcPr>
            <w:tcW w:w="950" w:type="dxa"/>
            <w:noWrap w:val="0"/>
            <w:vAlign w:val="center"/>
          </w:tcPr>
          <w:p>
            <w:pPr>
              <w:keepNext w:val="0"/>
              <w:keepLines w:val="0"/>
              <w:widowControl/>
              <w:suppressLineNumbers w:val="0"/>
              <w:jc w:val="center"/>
              <w:textAlignment w:val="center"/>
              <w:rPr>
                <w:rFonts w:ascii="Calibri" w:eastAsia="宋体" w:hAnsi="Calibri" w:hint="eastAsia"/>
                <w:kern w:val="2"/>
                <w:sz w:val="21"/>
                <w:szCs w:val="21"/>
                <w:lang w:eastAsia="zh-CN"/>
              </w:rPr>
            </w:pPr>
            <w:r>
              <w:rPr>
                <w:rFonts w:ascii="宋体" w:eastAsia="宋体" w:hAnsi="宋体" w:cs="宋体" w:hint="eastAsia"/>
                <w:color w:val="000000"/>
                <w:sz w:val="21"/>
                <w:szCs w:val="21"/>
                <w:lang w:eastAsia="zh-CN" w:bidi="ar"/>
              </w:rPr>
              <w:t>1</w:t>
            </w:r>
          </w:p>
        </w:tc>
        <w:tc>
          <w:tcPr>
            <w:tcW w:w="817" w:type="dxa"/>
            <w:noWrap w:val="0"/>
            <w:vAlign w:val="center"/>
          </w:tcPr>
          <w:p>
            <w:pPr>
              <w:keepNext w:val="0"/>
              <w:keepLines w:val="0"/>
              <w:widowControl/>
              <w:suppressLineNumbers w:val="0"/>
              <w:jc w:val="center"/>
              <w:textAlignment w:val="center"/>
              <w:rPr>
                <w:rFonts w:ascii="Calibri" w:eastAsia="宋体" w:hAnsi="Calibri" w:hint="eastAsia"/>
                <w:kern w:val="2"/>
                <w:sz w:val="21"/>
                <w:szCs w:val="21"/>
                <w:lang w:eastAsia="zh-CN"/>
              </w:rPr>
            </w:pPr>
            <w:r>
              <w:rPr>
                <w:rFonts w:ascii="宋体" w:eastAsia="宋体" w:hAnsi="宋体" w:cs="宋体" w:hint="eastAsia"/>
                <w:color w:val="000000"/>
                <w:sz w:val="21"/>
                <w:szCs w:val="21"/>
                <w:lang w:eastAsia="zh-CN" w:bidi="ar"/>
              </w:rPr>
              <w:t>张</w:t>
            </w:r>
          </w:p>
        </w:tc>
        <w:tc>
          <w:tcPr>
            <w:tcW w:w="1400"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p>
        </w:tc>
        <w:tc>
          <w:tcPr>
            <w:tcW w:w="1183"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拒绝进口</w:t>
            </w:r>
          </w:p>
        </w:tc>
        <w:tc>
          <w:tcPr>
            <w:tcW w:w="1427" w:type="dxa"/>
            <w:vMerge/>
            <w:noWrap w:val="0"/>
            <w:vAlign w:val="center"/>
          </w:tcPr>
          <w:p>
            <w:pPr>
              <w:widowControl w:val="0"/>
              <w:jc w:val="center"/>
              <w:rPr>
                <w:rFonts w:ascii="Calibri" w:eastAsia="宋体" w:hAnsi="Calibri" w:hint="eastAsia"/>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845" w:type="dxa"/>
            <w:noWrap w:val="0"/>
            <w:vAlign w:val="center"/>
          </w:tcPr>
          <w:p>
            <w:pPr>
              <w:widowControl/>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11</w:t>
            </w:r>
          </w:p>
        </w:tc>
        <w:tc>
          <w:tcPr>
            <w:tcW w:w="2381" w:type="dxa"/>
            <w:noWrap w:val="0"/>
            <w:vAlign w:val="center"/>
          </w:tcPr>
          <w:p>
            <w:pPr>
              <w:keepNext w:val="0"/>
              <w:keepLines w:val="0"/>
              <w:widowControl/>
              <w:suppressLineNumbers w:val="0"/>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餐椅1</w:t>
            </w:r>
          </w:p>
        </w:tc>
        <w:tc>
          <w:tcPr>
            <w:tcW w:w="950" w:type="dxa"/>
            <w:noWrap w:val="0"/>
            <w:vAlign w:val="center"/>
          </w:tcPr>
          <w:p>
            <w:pPr>
              <w:keepNext w:val="0"/>
              <w:keepLines w:val="0"/>
              <w:widowControl/>
              <w:suppressLineNumbers w:val="0"/>
              <w:jc w:val="center"/>
              <w:textAlignment w:val="center"/>
              <w:rPr>
                <w:rFonts w:ascii="Calibri" w:eastAsia="宋体" w:hAnsi="Calibri" w:hint="eastAsia"/>
                <w:kern w:val="2"/>
                <w:sz w:val="21"/>
                <w:szCs w:val="21"/>
                <w:lang w:eastAsia="zh-CN"/>
              </w:rPr>
            </w:pPr>
            <w:r>
              <w:rPr>
                <w:rFonts w:ascii="宋体" w:eastAsia="宋体" w:hAnsi="宋体" w:cs="宋体" w:hint="eastAsia"/>
                <w:color w:val="000000"/>
                <w:sz w:val="21"/>
                <w:szCs w:val="21"/>
                <w:lang w:eastAsia="zh-CN" w:bidi="ar"/>
              </w:rPr>
              <w:t>12</w:t>
            </w:r>
          </w:p>
        </w:tc>
        <w:tc>
          <w:tcPr>
            <w:tcW w:w="817" w:type="dxa"/>
            <w:noWrap w:val="0"/>
            <w:vAlign w:val="center"/>
          </w:tcPr>
          <w:p>
            <w:pPr>
              <w:keepNext w:val="0"/>
              <w:keepLines w:val="0"/>
              <w:widowControl/>
              <w:suppressLineNumbers w:val="0"/>
              <w:jc w:val="center"/>
              <w:textAlignment w:val="center"/>
              <w:rPr>
                <w:rFonts w:ascii="Calibri" w:eastAsia="宋体" w:hAnsi="Calibri" w:hint="eastAsia"/>
                <w:kern w:val="2"/>
                <w:sz w:val="21"/>
                <w:szCs w:val="21"/>
                <w:lang w:eastAsia="zh-CN"/>
              </w:rPr>
            </w:pPr>
            <w:r>
              <w:rPr>
                <w:rFonts w:ascii="宋体" w:eastAsia="宋体" w:hAnsi="宋体" w:cs="宋体" w:hint="eastAsia"/>
                <w:color w:val="000000"/>
                <w:sz w:val="21"/>
                <w:szCs w:val="21"/>
                <w:lang w:eastAsia="zh-CN" w:bidi="ar"/>
              </w:rPr>
              <w:t>张</w:t>
            </w:r>
          </w:p>
        </w:tc>
        <w:tc>
          <w:tcPr>
            <w:tcW w:w="1400"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p>
        </w:tc>
        <w:tc>
          <w:tcPr>
            <w:tcW w:w="1183"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拒绝进口</w:t>
            </w:r>
          </w:p>
        </w:tc>
        <w:tc>
          <w:tcPr>
            <w:tcW w:w="1427" w:type="dxa"/>
            <w:vMerge/>
            <w:noWrap w:val="0"/>
            <w:vAlign w:val="center"/>
          </w:tcPr>
          <w:p>
            <w:pPr>
              <w:widowControl w:val="0"/>
              <w:jc w:val="center"/>
              <w:rPr>
                <w:rFonts w:ascii="Calibri" w:eastAsia="宋体" w:hAnsi="Calibri" w:hint="eastAsia"/>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845" w:type="dxa"/>
            <w:noWrap w:val="0"/>
            <w:vAlign w:val="center"/>
          </w:tcPr>
          <w:p>
            <w:pPr>
              <w:widowControl/>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12</w:t>
            </w:r>
          </w:p>
        </w:tc>
        <w:tc>
          <w:tcPr>
            <w:tcW w:w="2381" w:type="dxa"/>
            <w:noWrap w:val="0"/>
            <w:vAlign w:val="center"/>
          </w:tcPr>
          <w:p>
            <w:pPr>
              <w:keepNext w:val="0"/>
              <w:keepLines w:val="0"/>
              <w:widowControl/>
              <w:suppressLineNumbers w:val="0"/>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茶台</w:t>
            </w:r>
          </w:p>
        </w:tc>
        <w:tc>
          <w:tcPr>
            <w:tcW w:w="950" w:type="dxa"/>
            <w:noWrap w:val="0"/>
            <w:vAlign w:val="center"/>
          </w:tcPr>
          <w:p>
            <w:pPr>
              <w:keepNext w:val="0"/>
              <w:keepLines w:val="0"/>
              <w:widowControl/>
              <w:suppressLineNumbers w:val="0"/>
              <w:jc w:val="center"/>
              <w:textAlignment w:val="center"/>
              <w:rPr>
                <w:rFonts w:ascii="Calibri" w:eastAsia="宋体" w:hAnsi="Calibri" w:hint="eastAsia"/>
                <w:kern w:val="2"/>
                <w:sz w:val="21"/>
                <w:szCs w:val="21"/>
                <w:lang w:eastAsia="zh-CN"/>
              </w:rPr>
            </w:pPr>
            <w:r>
              <w:rPr>
                <w:rFonts w:ascii="宋体" w:eastAsia="宋体" w:hAnsi="宋体" w:cs="宋体" w:hint="eastAsia"/>
                <w:color w:val="000000"/>
                <w:sz w:val="21"/>
                <w:szCs w:val="21"/>
                <w:lang w:eastAsia="zh-CN" w:bidi="ar"/>
              </w:rPr>
              <w:t>1</w:t>
            </w:r>
          </w:p>
        </w:tc>
        <w:tc>
          <w:tcPr>
            <w:tcW w:w="817" w:type="dxa"/>
            <w:noWrap w:val="0"/>
            <w:vAlign w:val="center"/>
          </w:tcPr>
          <w:p>
            <w:pPr>
              <w:keepNext w:val="0"/>
              <w:keepLines w:val="0"/>
              <w:widowControl/>
              <w:suppressLineNumbers w:val="0"/>
              <w:jc w:val="center"/>
              <w:textAlignment w:val="center"/>
              <w:rPr>
                <w:rFonts w:ascii="Calibri" w:eastAsia="宋体" w:hAnsi="Calibri" w:hint="eastAsia"/>
                <w:kern w:val="2"/>
                <w:sz w:val="21"/>
                <w:szCs w:val="21"/>
                <w:lang w:eastAsia="zh-CN"/>
              </w:rPr>
            </w:pPr>
            <w:r>
              <w:rPr>
                <w:rFonts w:ascii="宋体" w:eastAsia="宋体" w:hAnsi="宋体" w:cs="宋体" w:hint="eastAsia"/>
                <w:color w:val="000000"/>
                <w:sz w:val="21"/>
                <w:szCs w:val="21"/>
                <w:lang w:eastAsia="zh-CN" w:bidi="ar"/>
              </w:rPr>
              <w:t>张</w:t>
            </w:r>
          </w:p>
        </w:tc>
        <w:tc>
          <w:tcPr>
            <w:tcW w:w="1400"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p>
        </w:tc>
        <w:tc>
          <w:tcPr>
            <w:tcW w:w="1183"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拒绝进口</w:t>
            </w:r>
          </w:p>
        </w:tc>
        <w:tc>
          <w:tcPr>
            <w:tcW w:w="1427" w:type="dxa"/>
            <w:vMerge/>
            <w:noWrap w:val="0"/>
            <w:vAlign w:val="center"/>
          </w:tcPr>
          <w:p>
            <w:pPr>
              <w:widowControl w:val="0"/>
              <w:jc w:val="center"/>
              <w:rPr>
                <w:rFonts w:ascii="Calibri" w:eastAsia="宋体" w:hAnsi="Calibri" w:hint="eastAsia"/>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845" w:type="dxa"/>
            <w:noWrap w:val="0"/>
            <w:vAlign w:val="center"/>
          </w:tcPr>
          <w:p>
            <w:pPr>
              <w:widowControl/>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13</w:t>
            </w:r>
          </w:p>
        </w:tc>
        <w:tc>
          <w:tcPr>
            <w:tcW w:w="2381" w:type="dxa"/>
            <w:noWrap w:val="0"/>
            <w:vAlign w:val="center"/>
          </w:tcPr>
          <w:p>
            <w:pPr>
              <w:keepNext w:val="0"/>
              <w:keepLines w:val="0"/>
              <w:widowControl/>
              <w:suppressLineNumbers w:val="0"/>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主茶椅</w:t>
            </w:r>
          </w:p>
        </w:tc>
        <w:tc>
          <w:tcPr>
            <w:tcW w:w="950" w:type="dxa"/>
            <w:noWrap w:val="0"/>
            <w:vAlign w:val="center"/>
          </w:tcPr>
          <w:p>
            <w:pPr>
              <w:keepNext w:val="0"/>
              <w:keepLines w:val="0"/>
              <w:widowControl/>
              <w:suppressLineNumbers w:val="0"/>
              <w:jc w:val="center"/>
              <w:textAlignment w:val="center"/>
              <w:rPr>
                <w:rFonts w:ascii="Calibri" w:eastAsia="宋体" w:hAnsi="Calibri" w:hint="eastAsia"/>
                <w:kern w:val="2"/>
                <w:sz w:val="21"/>
                <w:szCs w:val="21"/>
                <w:lang w:eastAsia="zh-CN"/>
              </w:rPr>
            </w:pPr>
            <w:r>
              <w:rPr>
                <w:rFonts w:ascii="宋体" w:eastAsia="宋体" w:hAnsi="宋体" w:cs="宋体" w:hint="eastAsia"/>
                <w:color w:val="000000"/>
                <w:sz w:val="21"/>
                <w:szCs w:val="21"/>
                <w:lang w:eastAsia="zh-CN" w:bidi="ar"/>
              </w:rPr>
              <w:t>1</w:t>
            </w:r>
          </w:p>
        </w:tc>
        <w:tc>
          <w:tcPr>
            <w:tcW w:w="817" w:type="dxa"/>
            <w:noWrap w:val="0"/>
            <w:vAlign w:val="center"/>
          </w:tcPr>
          <w:p>
            <w:pPr>
              <w:keepNext w:val="0"/>
              <w:keepLines w:val="0"/>
              <w:widowControl/>
              <w:suppressLineNumbers w:val="0"/>
              <w:jc w:val="center"/>
              <w:textAlignment w:val="center"/>
              <w:rPr>
                <w:rFonts w:ascii="Calibri" w:eastAsia="宋体" w:hAnsi="Calibri" w:hint="eastAsia"/>
                <w:kern w:val="2"/>
                <w:sz w:val="21"/>
                <w:szCs w:val="21"/>
                <w:lang w:eastAsia="zh-CN"/>
              </w:rPr>
            </w:pPr>
            <w:r>
              <w:rPr>
                <w:rFonts w:ascii="宋体" w:eastAsia="宋体" w:hAnsi="宋体" w:cs="宋体" w:hint="eastAsia"/>
                <w:color w:val="000000"/>
                <w:sz w:val="21"/>
                <w:szCs w:val="21"/>
                <w:lang w:eastAsia="zh-CN" w:bidi="ar"/>
              </w:rPr>
              <w:t>张</w:t>
            </w:r>
          </w:p>
        </w:tc>
        <w:tc>
          <w:tcPr>
            <w:tcW w:w="1400"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p>
        </w:tc>
        <w:tc>
          <w:tcPr>
            <w:tcW w:w="1183"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拒绝进口</w:t>
            </w:r>
          </w:p>
        </w:tc>
        <w:tc>
          <w:tcPr>
            <w:tcW w:w="1427" w:type="dxa"/>
            <w:vMerge/>
            <w:noWrap w:val="0"/>
            <w:vAlign w:val="center"/>
          </w:tcPr>
          <w:p>
            <w:pPr>
              <w:widowControl w:val="0"/>
              <w:jc w:val="center"/>
              <w:rPr>
                <w:rFonts w:ascii="Calibri" w:eastAsia="宋体" w:hAnsi="Calibri" w:hint="eastAsia"/>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845" w:type="dxa"/>
            <w:noWrap w:val="0"/>
            <w:vAlign w:val="center"/>
          </w:tcPr>
          <w:p>
            <w:pPr>
              <w:widowControl/>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14</w:t>
            </w:r>
          </w:p>
        </w:tc>
        <w:tc>
          <w:tcPr>
            <w:tcW w:w="2381" w:type="dxa"/>
            <w:noWrap w:val="0"/>
            <w:vAlign w:val="center"/>
          </w:tcPr>
          <w:p>
            <w:pPr>
              <w:keepNext w:val="0"/>
              <w:keepLines w:val="0"/>
              <w:widowControl/>
              <w:suppressLineNumbers w:val="0"/>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茶椅</w:t>
            </w:r>
          </w:p>
        </w:tc>
        <w:tc>
          <w:tcPr>
            <w:tcW w:w="950" w:type="dxa"/>
            <w:noWrap w:val="0"/>
            <w:vAlign w:val="center"/>
          </w:tcPr>
          <w:p>
            <w:pPr>
              <w:keepNext w:val="0"/>
              <w:keepLines w:val="0"/>
              <w:widowControl/>
              <w:suppressLineNumbers w:val="0"/>
              <w:jc w:val="center"/>
              <w:textAlignment w:val="center"/>
              <w:rPr>
                <w:rFonts w:ascii="Calibri" w:eastAsia="宋体" w:hAnsi="Calibri" w:hint="eastAsia"/>
                <w:kern w:val="2"/>
                <w:sz w:val="21"/>
                <w:szCs w:val="21"/>
                <w:lang w:eastAsia="zh-CN"/>
              </w:rPr>
            </w:pPr>
            <w:r>
              <w:rPr>
                <w:rFonts w:ascii="宋体" w:eastAsia="宋体" w:hAnsi="宋体" w:cs="宋体" w:hint="eastAsia"/>
                <w:color w:val="000000"/>
                <w:sz w:val="21"/>
                <w:szCs w:val="21"/>
                <w:lang w:eastAsia="zh-CN" w:bidi="ar"/>
              </w:rPr>
              <w:t>3</w:t>
            </w:r>
          </w:p>
        </w:tc>
        <w:tc>
          <w:tcPr>
            <w:tcW w:w="817" w:type="dxa"/>
            <w:noWrap w:val="0"/>
            <w:vAlign w:val="center"/>
          </w:tcPr>
          <w:p>
            <w:pPr>
              <w:keepNext w:val="0"/>
              <w:keepLines w:val="0"/>
              <w:widowControl/>
              <w:suppressLineNumbers w:val="0"/>
              <w:jc w:val="center"/>
              <w:textAlignment w:val="center"/>
              <w:rPr>
                <w:rFonts w:ascii="Calibri" w:eastAsia="宋体" w:hAnsi="Calibri" w:hint="eastAsia"/>
                <w:kern w:val="2"/>
                <w:sz w:val="21"/>
                <w:szCs w:val="21"/>
                <w:lang w:eastAsia="zh-CN"/>
              </w:rPr>
            </w:pPr>
            <w:r>
              <w:rPr>
                <w:rFonts w:ascii="宋体" w:eastAsia="宋体" w:hAnsi="宋体" w:cs="宋体" w:hint="eastAsia"/>
                <w:color w:val="000000"/>
                <w:sz w:val="21"/>
                <w:szCs w:val="21"/>
                <w:lang w:eastAsia="zh-CN" w:bidi="ar"/>
              </w:rPr>
              <w:t>张</w:t>
            </w:r>
          </w:p>
        </w:tc>
        <w:tc>
          <w:tcPr>
            <w:tcW w:w="1400"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p>
        </w:tc>
        <w:tc>
          <w:tcPr>
            <w:tcW w:w="1183"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拒绝进口</w:t>
            </w:r>
          </w:p>
        </w:tc>
        <w:tc>
          <w:tcPr>
            <w:tcW w:w="1427" w:type="dxa"/>
            <w:vMerge/>
            <w:noWrap w:val="0"/>
            <w:vAlign w:val="center"/>
          </w:tcPr>
          <w:p>
            <w:pPr>
              <w:widowControl w:val="0"/>
              <w:jc w:val="center"/>
              <w:rPr>
                <w:rFonts w:ascii="Calibri" w:eastAsia="宋体" w:hAnsi="Calibri" w:hint="eastAsia"/>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845" w:type="dxa"/>
            <w:noWrap w:val="0"/>
            <w:vAlign w:val="center"/>
          </w:tcPr>
          <w:p>
            <w:pPr>
              <w:widowControl/>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15</w:t>
            </w:r>
          </w:p>
        </w:tc>
        <w:tc>
          <w:tcPr>
            <w:tcW w:w="2381" w:type="dxa"/>
            <w:noWrap w:val="0"/>
            <w:vAlign w:val="center"/>
          </w:tcPr>
          <w:p>
            <w:pPr>
              <w:keepNext w:val="0"/>
              <w:keepLines w:val="0"/>
              <w:widowControl/>
              <w:suppressLineNumbers w:val="0"/>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8人位圆桌（小）</w:t>
            </w:r>
          </w:p>
        </w:tc>
        <w:tc>
          <w:tcPr>
            <w:tcW w:w="950" w:type="dxa"/>
            <w:noWrap w:val="0"/>
            <w:vAlign w:val="center"/>
          </w:tcPr>
          <w:p>
            <w:pPr>
              <w:keepNext w:val="0"/>
              <w:keepLines w:val="0"/>
              <w:widowControl/>
              <w:suppressLineNumbers w:val="0"/>
              <w:jc w:val="center"/>
              <w:textAlignment w:val="center"/>
              <w:rPr>
                <w:rFonts w:ascii="Calibri" w:eastAsia="宋体" w:hAnsi="Calibri" w:hint="eastAsia"/>
                <w:kern w:val="2"/>
                <w:sz w:val="21"/>
                <w:szCs w:val="21"/>
                <w:lang w:eastAsia="zh-CN"/>
              </w:rPr>
            </w:pPr>
            <w:r>
              <w:rPr>
                <w:rFonts w:ascii="宋体" w:eastAsia="宋体" w:hAnsi="宋体" w:cs="宋体" w:hint="eastAsia"/>
                <w:color w:val="000000"/>
                <w:sz w:val="21"/>
                <w:szCs w:val="21"/>
                <w:lang w:eastAsia="zh-CN" w:bidi="ar"/>
              </w:rPr>
              <w:t>1</w:t>
            </w:r>
          </w:p>
        </w:tc>
        <w:tc>
          <w:tcPr>
            <w:tcW w:w="817" w:type="dxa"/>
            <w:noWrap w:val="0"/>
            <w:vAlign w:val="center"/>
          </w:tcPr>
          <w:p>
            <w:pPr>
              <w:keepNext w:val="0"/>
              <w:keepLines w:val="0"/>
              <w:widowControl/>
              <w:suppressLineNumbers w:val="0"/>
              <w:jc w:val="center"/>
              <w:textAlignment w:val="center"/>
              <w:rPr>
                <w:rFonts w:ascii="Calibri" w:eastAsia="宋体" w:hAnsi="Calibri" w:hint="eastAsia"/>
                <w:kern w:val="2"/>
                <w:sz w:val="21"/>
                <w:szCs w:val="21"/>
                <w:lang w:eastAsia="zh-CN"/>
              </w:rPr>
            </w:pPr>
            <w:r>
              <w:rPr>
                <w:rFonts w:ascii="宋体" w:eastAsia="宋体" w:hAnsi="宋体" w:cs="宋体" w:hint="eastAsia"/>
                <w:color w:val="000000"/>
                <w:sz w:val="21"/>
                <w:szCs w:val="21"/>
                <w:lang w:eastAsia="zh-CN" w:bidi="ar"/>
              </w:rPr>
              <w:t>张</w:t>
            </w:r>
          </w:p>
        </w:tc>
        <w:tc>
          <w:tcPr>
            <w:tcW w:w="1400"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p>
        </w:tc>
        <w:tc>
          <w:tcPr>
            <w:tcW w:w="1183"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拒绝进口</w:t>
            </w:r>
          </w:p>
        </w:tc>
        <w:tc>
          <w:tcPr>
            <w:tcW w:w="1427" w:type="dxa"/>
            <w:vMerge/>
            <w:noWrap w:val="0"/>
            <w:vAlign w:val="center"/>
          </w:tcPr>
          <w:p>
            <w:pPr>
              <w:widowControl w:val="0"/>
              <w:jc w:val="center"/>
              <w:rPr>
                <w:rFonts w:ascii="Calibri" w:eastAsia="宋体" w:hAnsi="Calibri" w:hint="eastAsia"/>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845" w:type="dxa"/>
            <w:noWrap w:val="0"/>
            <w:vAlign w:val="center"/>
          </w:tcPr>
          <w:p>
            <w:pPr>
              <w:widowControl/>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16</w:t>
            </w:r>
          </w:p>
        </w:tc>
        <w:tc>
          <w:tcPr>
            <w:tcW w:w="2381" w:type="dxa"/>
            <w:noWrap w:val="0"/>
            <w:vAlign w:val="center"/>
          </w:tcPr>
          <w:p>
            <w:pPr>
              <w:keepNext w:val="0"/>
              <w:keepLines w:val="0"/>
              <w:widowControl/>
              <w:suppressLineNumbers w:val="0"/>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餐椅2</w:t>
            </w:r>
          </w:p>
        </w:tc>
        <w:tc>
          <w:tcPr>
            <w:tcW w:w="950" w:type="dxa"/>
            <w:noWrap w:val="0"/>
            <w:vAlign w:val="center"/>
          </w:tcPr>
          <w:p>
            <w:pPr>
              <w:keepNext w:val="0"/>
              <w:keepLines w:val="0"/>
              <w:widowControl/>
              <w:suppressLineNumbers w:val="0"/>
              <w:jc w:val="center"/>
              <w:textAlignment w:val="center"/>
              <w:rPr>
                <w:rFonts w:ascii="Calibri" w:eastAsia="宋体" w:hAnsi="Calibri" w:hint="eastAsia"/>
                <w:kern w:val="2"/>
                <w:sz w:val="21"/>
                <w:szCs w:val="21"/>
                <w:lang w:eastAsia="zh-CN"/>
              </w:rPr>
            </w:pPr>
            <w:r>
              <w:rPr>
                <w:rFonts w:ascii="宋体" w:eastAsia="宋体" w:hAnsi="宋体" w:cs="宋体" w:hint="eastAsia"/>
                <w:color w:val="000000"/>
                <w:sz w:val="21"/>
                <w:szCs w:val="21"/>
                <w:lang w:eastAsia="zh-CN" w:bidi="ar"/>
              </w:rPr>
              <w:t>10</w:t>
            </w:r>
          </w:p>
        </w:tc>
        <w:tc>
          <w:tcPr>
            <w:tcW w:w="817" w:type="dxa"/>
            <w:noWrap w:val="0"/>
            <w:vAlign w:val="center"/>
          </w:tcPr>
          <w:p>
            <w:pPr>
              <w:keepNext w:val="0"/>
              <w:keepLines w:val="0"/>
              <w:widowControl/>
              <w:suppressLineNumbers w:val="0"/>
              <w:jc w:val="center"/>
              <w:textAlignment w:val="center"/>
              <w:rPr>
                <w:rFonts w:ascii="Calibri" w:eastAsia="宋体" w:hAnsi="Calibri" w:hint="eastAsia"/>
                <w:kern w:val="2"/>
                <w:sz w:val="21"/>
                <w:szCs w:val="21"/>
                <w:lang w:eastAsia="zh-CN"/>
              </w:rPr>
            </w:pPr>
            <w:r>
              <w:rPr>
                <w:rFonts w:ascii="宋体" w:eastAsia="宋体" w:hAnsi="宋体" w:cs="宋体" w:hint="eastAsia"/>
                <w:color w:val="000000"/>
                <w:sz w:val="21"/>
                <w:szCs w:val="21"/>
                <w:lang w:eastAsia="zh-CN" w:bidi="ar"/>
              </w:rPr>
              <w:t>张</w:t>
            </w:r>
          </w:p>
        </w:tc>
        <w:tc>
          <w:tcPr>
            <w:tcW w:w="1400"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p>
        </w:tc>
        <w:tc>
          <w:tcPr>
            <w:tcW w:w="1183"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拒绝进口</w:t>
            </w:r>
          </w:p>
        </w:tc>
        <w:tc>
          <w:tcPr>
            <w:tcW w:w="1427" w:type="dxa"/>
            <w:vMerge/>
            <w:noWrap w:val="0"/>
            <w:vAlign w:val="center"/>
          </w:tcPr>
          <w:p>
            <w:pPr>
              <w:widowControl w:val="0"/>
              <w:jc w:val="center"/>
              <w:rPr>
                <w:rFonts w:ascii="Calibri" w:eastAsia="宋体" w:hAnsi="Calibri" w:hint="eastAsia"/>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845" w:type="dxa"/>
            <w:noWrap w:val="0"/>
            <w:vAlign w:val="center"/>
          </w:tcPr>
          <w:p>
            <w:pPr>
              <w:widowControl/>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17</w:t>
            </w:r>
          </w:p>
        </w:tc>
        <w:tc>
          <w:tcPr>
            <w:tcW w:w="2381" w:type="dxa"/>
            <w:noWrap w:val="0"/>
            <w:vAlign w:val="center"/>
          </w:tcPr>
          <w:p>
            <w:pPr>
              <w:keepNext w:val="0"/>
              <w:keepLines w:val="0"/>
              <w:widowControl/>
              <w:suppressLineNumbers w:val="0"/>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三人位沙发</w:t>
            </w:r>
          </w:p>
        </w:tc>
        <w:tc>
          <w:tcPr>
            <w:tcW w:w="950" w:type="dxa"/>
            <w:noWrap w:val="0"/>
            <w:vAlign w:val="center"/>
          </w:tcPr>
          <w:p>
            <w:pPr>
              <w:keepNext w:val="0"/>
              <w:keepLines w:val="0"/>
              <w:widowControl/>
              <w:suppressLineNumbers w:val="0"/>
              <w:jc w:val="center"/>
              <w:textAlignment w:val="center"/>
              <w:rPr>
                <w:rFonts w:ascii="Calibri" w:eastAsia="宋体" w:hAnsi="Calibri" w:hint="eastAsia"/>
                <w:kern w:val="2"/>
                <w:sz w:val="21"/>
                <w:szCs w:val="21"/>
                <w:lang w:eastAsia="zh-CN"/>
              </w:rPr>
            </w:pPr>
            <w:r>
              <w:rPr>
                <w:rFonts w:ascii="宋体" w:eastAsia="宋体" w:hAnsi="宋体" w:cs="宋体" w:hint="eastAsia"/>
                <w:color w:val="000000"/>
                <w:sz w:val="21"/>
                <w:szCs w:val="21"/>
                <w:lang w:eastAsia="zh-CN" w:bidi="ar"/>
              </w:rPr>
              <w:t>1</w:t>
            </w:r>
          </w:p>
        </w:tc>
        <w:tc>
          <w:tcPr>
            <w:tcW w:w="817" w:type="dxa"/>
            <w:noWrap w:val="0"/>
            <w:vAlign w:val="center"/>
          </w:tcPr>
          <w:p>
            <w:pPr>
              <w:keepNext w:val="0"/>
              <w:keepLines w:val="0"/>
              <w:widowControl/>
              <w:suppressLineNumbers w:val="0"/>
              <w:jc w:val="center"/>
              <w:textAlignment w:val="center"/>
              <w:rPr>
                <w:rFonts w:ascii="Calibri" w:eastAsia="宋体" w:hAnsi="Calibri" w:hint="eastAsia"/>
                <w:kern w:val="2"/>
                <w:sz w:val="21"/>
                <w:szCs w:val="21"/>
                <w:lang w:eastAsia="zh-CN"/>
              </w:rPr>
            </w:pPr>
            <w:r>
              <w:rPr>
                <w:rFonts w:ascii="宋体" w:eastAsia="宋体" w:hAnsi="宋体" w:cs="宋体" w:hint="eastAsia"/>
                <w:color w:val="000000"/>
                <w:sz w:val="21"/>
                <w:szCs w:val="21"/>
                <w:lang w:eastAsia="zh-CN" w:bidi="ar"/>
              </w:rPr>
              <w:t>张</w:t>
            </w:r>
          </w:p>
        </w:tc>
        <w:tc>
          <w:tcPr>
            <w:tcW w:w="1400" w:type="dxa"/>
            <w:noWrap w:val="0"/>
            <w:vAlign w:val="center"/>
          </w:tcPr>
          <w:p>
            <w:pPr>
              <w:widowControl w:val="0"/>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4500</w:t>
            </w:r>
          </w:p>
        </w:tc>
        <w:tc>
          <w:tcPr>
            <w:tcW w:w="1183"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拒绝进口</w:t>
            </w:r>
          </w:p>
        </w:tc>
        <w:tc>
          <w:tcPr>
            <w:tcW w:w="1427" w:type="dxa"/>
            <w:vMerge/>
            <w:noWrap w:val="0"/>
            <w:vAlign w:val="center"/>
          </w:tcPr>
          <w:p>
            <w:pPr>
              <w:widowControl w:val="0"/>
              <w:jc w:val="center"/>
              <w:rPr>
                <w:rFonts w:ascii="Calibri" w:eastAsia="宋体" w:hAnsi="Calibri" w:hint="eastAsia"/>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845" w:type="dxa"/>
            <w:noWrap w:val="0"/>
            <w:vAlign w:val="center"/>
          </w:tcPr>
          <w:p>
            <w:pPr>
              <w:widowControl/>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18</w:t>
            </w:r>
          </w:p>
        </w:tc>
        <w:tc>
          <w:tcPr>
            <w:tcW w:w="2381" w:type="dxa"/>
            <w:noWrap w:val="0"/>
            <w:vAlign w:val="center"/>
          </w:tcPr>
          <w:p>
            <w:pPr>
              <w:keepNext w:val="0"/>
              <w:keepLines w:val="0"/>
              <w:widowControl/>
              <w:suppressLineNumbers w:val="0"/>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圆形茶几</w:t>
            </w:r>
          </w:p>
        </w:tc>
        <w:tc>
          <w:tcPr>
            <w:tcW w:w="950" w:type="dxa"/>
            <w:noWrap w:val="0"/>
            <w:vAlign w:val="center"/>
          </w:tcPr>
          <w:p>
            <w:pPr>
              <w:keepNext w:val="0"/>
              <w:keepLines w:val="0"/>
              <w:widowControl/>
              <w:suppressLineNumbers w:val="0"/>
              <w:jc w:val="center"/>
              <w:textAlignment w:val="center"/>
              <w:rPr>
                <w:rFonts w:ascii="Calibri" w:eastAsia="宋体" w:hAnsi="Calibri" w:hint="eastAsia"/>
                <w:kern w:val="2"/>
                <w:sz w:val="21"/>
                <w:szCs w:val="21"/>
                <w:lang w:eastAsia="zh-CN"/>
              </w:rPr>
            </w:pPr>
            <w:r>
              <w:rPr>
                <w:rFonts w:ascii="宋体" w:eastAsia="宋体" w:hAnsi="宋体" w:cs="宋体" w:hint="eastAsia"/>
                <w:color w:val="000000"/>
                <w:sz w:val="21"/>
                <w:szCs w:val="21"/>
                <w:lang w:eastAsia="zh-CN" w:bidi="ar"/>
              </w:rPr>
              <w:t>1</w:t>
            </w:r>
          </w:p>
        </w:tc>
        <w:tc>
          <w:tcPr>
            <w:tcW w:w="817" w:type="dxa"/>
            <w:noWrap w:val="0"/>
            <w:vAlign w:val="center"/>
          </w:tcPr>
          <w:p>
            <w:pPr>
              <w:keepNext w:val="0"/>
              <w:keepLines w:val="0"/>
              <w:widowControl/>
              <w:suppressLineNumbers w:val="0"/>
              <w:jc w:val="center"/>
              <w:textAlignment w:val="center"/>
              <w:rPr>
                <w:rFonts w:ascii="Calibri" w:eastAsia="宋体" w:hAnsi="Calibri" w:hint="eastAsia"/>
                <w:kern w:val="2"/>
                <w:sz w:val="21"/>
                <w:szCs w:val="21"/>
                <w:lang w:eastAsia="zh-CN"/>
              </w:rPr>
            </w:pPr>
            <w:r>
              <w:rPr>
                <w:rFonts w:ascii="宋体" w:eastAsia="宋体" w:hAnsi="宋体" w:cs="宋体" w:hint="eastAsia"/>
                <w:color w:val="000000"/>
                <w:sz w:val="21"/>
                <w:szCs w:val="21"/>
                <w:lang w:eastAsia="zh-CN" w:bidi="ar"/>
              </w:rPr>
              <w:t>张</w:t>
            </w:r>
          </w:p>
        </w:tc>
        <w:tc>
          <w:tcPr>
            <w:tcW w:w="1400" w:type="dxa"/>
            <w:noWrap w:val="0"/>
            <w:vAlign w:val="center"/>
          </w:tcPr>
          <w:p>
            <w:pPr>
              <w:widowControl w:val="0"/>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1000</w:t>
            </w:r>
          </w:p>
        </w:tc>
        <w:tc>
          <w:tcPr>
            <w:tcW w:w="1183"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拒绝进口</w:t>
            </w:r>
          </w:p>
        </w:tc>
        <w:tc>
          <w:tcPr>
            <w:tcW w:w="1427" w:type="dxa"/>
            <w:vMerge/>
            <w:noWrap w:val="0"/>
            <w:vAlign w:val="center"/>
          </w:tcPr>
          <w:p>
            <w:pPr>
              <w:widowControl w:val="0"/>
              <w:jc w:val="center"/>
              <w:rPr>
                <w:rFonts w:ascii="Calibri" w:eastAsia="宋体" w:hAnsi="Calibri" w:hint="eastAsia"/>
                <w:b/>
                <w:bCs/>
                <w:color w:val="FF0000"/>
                <w:kern w:val="2"/>
                <w:sz w:val="21"/>
                <w:szCs w:val="21"/>
                <w:lang w:eastAsia="zh-CN"/>
              </w:rPr>
            </w:pPr>
          </w:p>
        </w:tc>
      </w:tr>
    </w:tbl>
    <w:p>
      <w:pPr>
        <w:widowControl w:val="0"/>
        <w:spacing w:after="120" w:line="360" w:lineRule="auto"/>
        <w:ind w:firstLine="420" w:firstLineChars="200"/>
        <w:jc w:val="both"/>
        <w:rPr>
          <w:rFonts w:ascii="宋体" w:eastAsia="宋体" w:hAnsi="宋体"/>
          <w:b/>
          <w:color w:val="000000"/>
          <w:sz w:val="21"/>
          <w:szCs w:val="21"/>
          <w:lang w:eastAsia="zh-CN"/>
        </w:rPr>
      </w:pPr>
      <w:r>
        <w:rPr>
          <w:rFonts w:ascii="宋体" w:eastAsia="宋体" w:hAnsi="宋体" w:hint="eastAsia"/>
          <w:b/>
          <w:color w:val="000000"/>
          <w:sz w:val="21"/>
          <w:szCs w:val="21"/>
          <w:lang w:eastAsia="zh-CN"/>
        </w:rPr>
        <w:t>1、本项目总预算为915,964.00元。投标总价不得超过项目总预算限额，设置最高单价限价的，分项报价不得超过相应单价限额。</w:t>
      </w:r>
    </w:p>
    <w:p>
      <w:pPr>
        <w:widowControl w:val="0"/>
        <w:spacing w:after="120" w:line="360" w:lineRule="auto"/>
        <w:ind w:firstLine="420" w:firstLineChars="200"/>
        <w:jc w:val="both"/>
        <w:rPr>
          <w:rFonts w:ascii="宋体" w:eastAsia="宋体" w:hAnsi="宋体"/>
          <w:b/>
          <w:color w:val="000000"/>
          <w:sz w:val="21"/>
          <w:szCs w:val="21"/>
          <w:lang w:eastAsia="zh-CN"/>
        </w:rPr>
      </w:pPr>
      <w:r>
        <w:rPr>
          <w:rFonts w:ascii="宋体" w:eastAsia="宋体" w:hAnsi="宋体" w:hint="eastAsia"/>
          <w:b/>
          <w:color w:val="000000"/>
          <w:sz w:val="21"/>
          <w:szCs w:val="21"/>
          <w:lang w:eastAsia="zh-CN"/>
        </w:rPr>
        <w:t>2、本项目备注栏注明“拒绝进口”的产品不接受投标人选用进口产品参与投标；注明“接受进口”的产品允许投标人选用进口产品参与投标，但不排斥国内产品。进口产品是指通过中国海关报关验放进入中国境内且产自关境外的产品（以“财库〔2007〕119号文”和“财办库〔2008〕248号文”的相关规定为准）。</w:t>
      </w:r>
    </w:p>
    <w:p>
      <w:pPr>
        <w:widowControl w:val="0"/>
        <w:spacing w:after="120" w:line="360" w:lineRule="auto"/>
        <w:ind w:firstLine="420" w:firstLineChars="200"/>
        <w:jc w:val="both"/>
        <w:rPr>
          <w:rFonts w:ascii="宋体" w:eastAsia="宋体" w:hAnsi="宋体"/>
          <w:b/>
          <w:color w:val="000000"/>
          <w:sz w:val="21"/>
          <w:szCs w:val="21"/>
          <w:lang w:eastAsia="zh-CN"/>
        </w:rPr>
      </w:pPr>
      <w:r>
        <w:rPr>
          <w:rFonts w:ascii="宋体" w:eastAsia="宋体" w:hAnsi="宋体" w:hint="eastAsia"/>
          <w:b/>
          <w:color w:val="000000"/>
          <w:sz w:val="21"/>
          <w:szCs w:val="21"/>
          <w:lang w:eastAsia="zh-CN"/>
        </w:rPr>
        <w:t>3、核心产品：</w:t>
      </w:r>
      <w:r>
        <w:rPr>
          <w:rFonts w:ascii="宋体" w:eastAsia="宋体" w:hAnsi="宋体" w:hint="eastAsia"/>
          <w:b/>
          <w:color w:val="000000"/>
          <w:sz w:val="21"/>
          <w:szCs w:val="21"/>
          <w:u w:val="single"/>
          <w:lang w:eastAsia="zh-CN"/>
        </w:rPr>
        <w:t>四人位回弹餐桌椅</w:t>
      </w:r>
    </w:p>
    <w:p>
      <w:pPr>
        <w:keepNext/>
        <w:keepLines/>
        <w:widowControl w:val="0"/>
        <w:spacing w:before="260" w:after="260" w:line="240" w:lineRule="auto"/>
        <w:jc w:val="center"/>
        <w:outlineLvl w:val="2"/>
        <w:rPr>
          <w:rFonts w:ascii="宋体" w:eastAsia="宋体" w:hAnsi="宋体"/>
          <w:b/>
          <w:bCs/>
          <w:kern w:val="2"/>
          <w:sz w:val="28"/>
          <w:szCs w:val="32"/>
          <w:lang w:eastAsia="zh-CN"/>
        </w:rPr>
      </w:pPr>
      <w:r>
        <w:rPr>
          <w:rFonts w:ascii="宋体" w:eastAsia="宋体" w:hAnsi="宋体" w:cstheme="minorBidi" w:hint="eastAsia"/>
          <w:b/>
          <w:bCs/>
          <w:kern w:val="2"/>
          <w:sz w:val="28"/>
          <w:szCs w:val="32"/>
          <w:lang w:eastAsia="zh-CN"/>
        </w:rPr>
        <w:t>三、实质性条款</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52"/>
        <w:gridCol w:w="7904"/>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4"/>
          <w:jc w:val="center"/>
        </w:trPr>
        <w:tc>
          <w:tcPr>
            <w:tcW w:w="961" w:type="dxa"/>
            <w:vAlign w:val="center"/>
          </w:tcPr>
          <w:p>
            <w:pPr>
              <w:widowControl w:val="0"/>
              <w:jc w:val="center"/>
              <w:rPr>
                <w:rFonts w:ascii="宋体" w:eastAsia="宋体" w:hAnsi="宋体"/>
                <w:b/>
                <w:kern w:val="2"/>
                <w:sz w:val="21"/>
                <w:szCs w:val="22"/>
                <w:lang w:eastAsia="zh-CN"/>
              </w:rPr>
            </w:pPr>
            <w:r>
              <w:rPr>
                <w:rFonts w:ascii="宋体" w:eastAsia="宋体" w:hAnsi="宋体" w:cstheme="minorBidi" w:hint="eastAsia"/>
                <w:b/>
                <w:kern w:val="2"/>
                <w:sz w:val="21"/>
                <w:szCs w:val="22"/>
                <w:lang w:eastAsia="zh-CN"/>
              </w:rPr>
              <w:t>序号</w:t>
            </w:r>
          </w:p>
        </w:tc>
        <w:tc>
          <w:tcPr>
            <w:tcW w:w="8000" w:type="dxa"/>
            <w:vAlign w:val="center"/>
          </w:tcPr>
          <w:p>
            <w:pPr>
              <w:widowControl w:val="0"/>
              <w:jc w:val="center"/>
              <w:rPr>
                <w:rFonts w:ascii="宋体" w:eastAsia="宋体" w:hAnsi="宋体"/>
                <w:b/>
                <w:kern w:val="2"/>
                <w:sz w:val="21"/>
                <w:szCs w:val="22"/>
                <w:lang w:eastAsia="zh-CN"/>
              </w:rPr>
            </w:pPr>
            <w:r>
              <w:rPr>
                <w:rFonts w:ascii="宋体" w:eastAsia="宋体" w:hAnsi="宋体" w:cstheme="minorBidi" w:hint="eastAsia"/>
                <w:b/>
                <w:kern w:val="2"/>
                <w:sz w:val="21"/>
                <w:szCs w:val="22"/>
                <w:lang w:eastAsia="zh-CN"/>
              </w:rPr>
              <w:t>实质性条款具体内容</w:t>
            </w:r>
          </w:p>
        </w:tc>
      </w:tr>
      <w:tr>
        <w:tblPrEx>
          <w:tblW w:w="5000" w:type="pct"/>
          <w:jc w:val="center"/>
          <w:tblLayout w:type="fixed"/>
          <w:tblCellMar>
            <w:top w:w="0" w:type="dxa"/>
            <w:left w:w="108" w:type="dxa"/>
            <w:bottom w:w="0" w:type="dxa"/>
            <w:right w:w="108" w:type="dxa"/>
          </w:tblCellMar>
        </w:tblPrEx>
        <w:trPr>
          <w:jc w:val="center"/>
        </w:trPr>
        <w:tc>
          <w:tcPr>
            <w:tcW w:w="961" w:type="dxa"/>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1</w:t>
            </w:r>
          </w:p>
        </w:tc>
        <w:tc>
          <w:tcPr>
            <w:tcW w:w="8000" w:type="dxa"/>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本项目招标文件中所有带★号条款内容</w:t>
            </w:r>
          </w:p>
        </w:tc>
      </w:tr>
      <w:bookmarkEnd w:id="12"/>
    </w:tbl>
    <w:p>
      <w:pPr>
        <w:widowControl w:val="0"/>
        <w:ind w:firstLine="420" w:firstLineChars="200"/>
        <w:jc w:val="both"/>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注：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pPr>
        <w:widowControl w:val="0"/>
        <w:jc w:val="both"/>
        <w:rPr>
          <w:rFonts w:ascii="Calibri" w:eastAsia="宋体" w:hAnsi="Calibri"/>
          <w:b/>
          <w:color w:val="FF0000"/>
          <w:kern w:val="2"/>
          <w:sz w:val="21"/>
          <w:szCs w:val="22"/>
          <w:lang w:eastAsia="zh-CN"/>
        </w:rPr>
      </w:pPr>
    </w:p>
    <w:p>
      <w:pPr>
        <w:keepNext/>
        <w:keepLines/>
        <w:widowControl w:val="0"/>
        <w:spacing w:before="260" w:after="260" w:line="240" w:lineRule="auto"/>
        <w:jc w:val="center"/>
        <w:outlineLvl w:val="2"/>
        <w:rPr>
          <w:rFonts w:ascii="宋体" w:eastAsia="宋体" w:hAnsi="宋体"/>
          <w:b/>
          <w:bCs/>
          <w:kern w:val="2"/>
          <w:sz w:val="28"/>
          <w:szCs w:val="32"/>
          <w:lang w:eastAsia="zh-CN"/>
        </w:rPr>
      </w:pPr>
      <w:r>
        <w:rPr>
          <w:rFonts w:ascii="宋体" w:eastAsia="宋体" w:hAnsi="宋体" w:cstheme="minorBidi" w:hint="eastAsia"/>
          <w:b/>
          <w:bCs/>
          <w:kern w:val="2"/>
          <w:sz w:val="28"/>
          <w:szCs w:val="32"/>
          <w:lang w:eastAsia="zh-CN"/>
        </w:rPr>
        <w:t>四、商务条款要求</w:t>
      </w:r>
    </w:p>
    <w:p>
      <w:pPr>
        <w:widowControl w:val="0"/>
        <w:ind w:firstLine="420" w:firstLineChars="200"/>
        <w:jc w:val="both"/>
        <w:rPr>
          <w:rFonts w:ascii="Calibri" w:eastAsia="宋体" w:hAnsi="Calibri" w:hint="eastAsia"/>
          <w:b/>
          <w:kern w:val="2"/>
          <w:sz w:val="21"/>
          <w:szCs w:val="21"/>
          <w:lang w:eastAsia="zh-CN"/>
        </w:rPr>
      </w:pPr>
      <w:r>
        <w:rPr>
          <w:rFonts w:ascii="Calibri" w:eastAsia="宋体" w:hAnsi="Calibri" w:cstheme="minorBidi" w:hint="eastAsia"/>
          <w:b/>
          <w:kern w:val="2"/>
          <w:sz w:val="21"/>
          <w:szCs w:val="21"/>
          <w:lang w:eastAsia="zh-CN"/>
        </w:rPr>
        <w:t>说明：带★号条款为不可偏离条款，不作为评分准则中的评分内容，如未响应或出现负偏离的，将作投标无效处理；带“</w:t>
      </w:r>
      <w:r>
        <w:rPr>
          <w:rFonts w:ascii="Calibri" w:eastAsia="宋体" w:hAnsi="Calibri" w:cstheme="minorBidi"/>
          <w:kern w:val="2"/>
          <w:sz w:val="21"/>
          <w:szCs w:val="22"/>
          <w:lang w:eastAsia="zh-CN"/>
        </w:rPr>
        <w:t>▲</w:t>
      </w:r>
      <w:r>
        <w:rPr>
          <w:rFonts w:ascii="Calibri" w:eastAsia="宋体" w:hAnsi="Calibri" w:cstheme="minorBidi" w:hint="eastAsia"/>
          <w:b/>
          <w:kern w:val="2"/>
          <w:sz w:val="21"/>
          <w:szCs w:val="21"/>
          <w:lang w:eastAsia="zh-CN"/>
        </w:rPr>
        <w:t>”指标项为重要参数，负偏离时依相关评分准则内容作重点扣分处理。</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98"/>
        <w:gridCol w:w="1535"/>
        <w:gridCol w:w="6123"/>
      </w:tblGrid>
      <w:tr>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trPr>
        <w:tc>
          <w:tcPr>
            <w:tcW w:w="1260" w:type="dxa"/>
            <w:noWrap w:val="0"/>
            <w:vAlign w:val="center"/>
          </w:tcPr>
          <w:p>
            <w:pPr>
              <w:widowControl w:val="0"/>
              <w:jc w:val="center"/>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序号</w:t>
            </w:r>
          </w:p>
        </w:tc>
        <w:tc>
          <w:tcPr>
            <w:tcW w:w="1620" w:type="dxa"/>
            <w:noWrap w:val="0"/>
            <w:vAlign w:val="center"/>
          </w:tcPr>
          <w:p>
            <w:pPr>
              <w:widowControl w:val="0"/>
              <w:jc w:val="center"/>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目录</w:t>
            </w:r>
          </w:p>
        </w:tc>
        <w:tc>
          <w:tcPr>
            <w:tcW w:w="6506" w:type="dxa"/>
            <w:noWrap w:val="0"/>
            <w:vAlign w:val="center"/>
          </w:tcPr>
          <w:p>
            <w:pPr>
              <w:widowControl w:val="0"/>
              <w:jc w:val="center"/>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采购商务需求</w:t>
            </w:r>
          </w:p>
        </w:tc>
      </w:tr>
      <w:tr>
        <w:tblPrEx>
          <w:tblW w:w="5000" w:type="pct"/>
          <w:tblInd w:w="108" w:type="dxa"/>
          <w:tblLayout w:type="fixed"/>
          <w:tblCellMar>
            <w:top w:w="0" w:type="dxa"/>
            <w:left w:w="108" w:type="dxa"/>
            <w:bottom w:w="0" w:type="dxa"/>
            <w:right w:w="108" w:type="dxa"/>
          </w:tblCellMar>
        </w:tblPrEx>
        <w:trPr>
          <w:trHeight w:val="280"/>
        </w:trPr>
        <w:tc>
          <w:tcPr>
            <w:tcW w:w="9386" w:type="dxa"/>
            <w:gridSpan w:val="3"/>
            <w:noWrap w:val="0"/>
            <w:vAlign w:val="top"/>
          </w:tcPr>
          <w:p>
            <w:pPr>
              <w:widowControl w:val="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（一）免费保修期内售后服务要求</w:t>
            </w:r>
          </w:p>
        </w:tc>
      </w:tr>
      <w:tr>
        <w:tblPrEx>
          <w:tblW w:w="5000" w:type="pct"/>
          <w:tblInd w:w="108" w:type="dxa"/>
          <w:tblLayout w:type="fixed"/>
          <w:tblCellMar>
            <w:top w:w="0" w:type="dxa"/>
            <w:left w:w="108" w:type="dxa"/>
            <w:bottom w:w="0" w:type="dxa"/>
            <w:right w:w="108" w:type="dxa"/>
          </w:tblCellMar>
        </w:tblPrEx>
        <w:trPr>
          <w:trHeight w:val="150"/>
        </w:trPr>
        <w:tc>
          <w:tcPr>
            <w:tcW w:w="1260" w:type="dxa"/>
            <w:noWrap w:val="0"/>
            <w:vAlign w:val="center"/>
          </w:tcPr>
          <w:p>
            <w:pPr>
              <w:widowControl w:val="0"/>
              <w:jc w:val="center"/>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1</w:t>
            </w:r>
          </w:p>
        </w:tc>
        <w:tc>
          <w:tcPr>
            <w:tcW w:w="1620" w:type="dxa"/>
            <w:noWrap w:val="0"/>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免费保修期</w:t>
            </w:r>
          </w:p>
        </w:tc>
        <w:tc>
          <w:tcPr>
            <w:tcW w:w="6506" w:type="dxa"/>
            <w:noWrap w:val="0"/>
            <w:vAlign w:val="top"/>
          </w:tcPr>
          <w:p>
            <w:pPr>
              <w:widowControl w:val="0"/>
              <w:jc w:val="both"/>
              <w:rPr>
                <w:rFonts w:ascii="Calibri" w:eastAsia="宋体" w:hAnsi="Calibri"/>
                <w:b/>
                <w:kern w:val="2"/>
                <w:sz w:val="21"/>
                <w:szCs w:val="22"/>
                <w:lang w:eastAsia="zh-CN"/>
              </w:rPr>
            </w:pPr>
            <w:r>
              <w:rPr>
                <w:rFonts w:ascii="宋体" w:eastAsia="宋体" w:hAnsi="宋体" w:cs="宋体" w:hint="eastAsia"/>
                <w:kern w:val="2"/>
                <w:sz w:val="21"/>
                <w:szCs w:val="21"/>
                <w:lang w:eastAsia="zh-CN"/>
              </w:rPr>
              <w:t>★</w:t>
            </w:r>
            <w:r>
              <w:rPr>
                <w:rFonts w:ascii="Calibri" w:eastAsia="宋体" w:hAnsi="Calibri" w:cstheme="minorBidi" w:hint="eastAsia"/>
                <w:bCs/>
                <w:kern w:val="2"/>
                <w:sz w:val="21"/>
                <w:szCs w:val="21"/>
                <w:lang w:eastAsia="zh-CN"/>
              </w:rPr>
              <w:t>货物免费保修期至少__3__年，时间自最终验收合格并交付使用之日起计算。</w:t>
            </w:r>
          </w:p>
        </w:tc>
      </w:tr>
      <w:tr>
        <w:tblPrEx>
          <w:tblW w:w="5000" w:type="pct"/>
          <w:tblInd w:w="108" w:type="dxa"/>
          <w:tblLayout w:type="fixed"/>
          <w:tblCellMar>
            <w:top w:w="0" w:type="dxa"/>
            <w:left w:w="108" w:type="dxa"/>
            <w:bottom w:w="0" w:type="dxa"/>
            <w:right w:w="108" w:type="dxa"/>
          </w:tblCellMar>
        </w:tblPrEx>
        <w:trPr>
          <w:trHeight w:val="320"/>
        </w:trPr>
        <w:tc>
          <w:tcPr>
            <w:tcW w:w="1260" w:type="dxa"/>
            <w:noWrap w:val="0"/>
            <w:vAlign w:val="center"/>
          </w:tcPr>
          <w:p>
            <w:pPr>
              <w:widowControl w:val="0"/>
              <w:jc w:val="center"/>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2</w:t>
            </w:r>
          </w:p>
        </w:tc>
        <w:tc>
          <w:tcPr>
            <w:tcW w:w="1620" w:type="dxa"/>
            <w:noWrap w:val="0"/>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维修响应及故障解决时间</w:t>
            </w:r>
          </w:p>
        </w:tc>
        <w:tc>
          <w:tcPr>
            <w:tcW w:w="6506" w:type="dxa"/>
            <w:noWrap w:val="0"/>
            <w:vAlign w:val="top"/>
          </w:tcPr>
          <w:p>
            <w:pPr>
              <w:widowControl w:val="0"/>
              <w:jc w:val="both"/>
              <w:rPr>
                <w:rFonts w:ascii="Calibri" w:eastAsia="宋体" w:hAnsi="Calibri"/>
                <w:b/>
                <w:kern w:val="2"/>
                <w:sz w:val="21"/>
                <w:szCs w:val="22"/>
                <w:lang w:eastAsia="zh-CN"/>
              </w:rPr>
            </w:pPr>
            <w:r>
              <w:rPr>
                <w:rFonts w:ascii="Calibri" w:eastAsia="宋体" w:hAnsi="Calibri" w:cstheme="minorBidi" w:hint="eastAsia"/>
                <w:bCs/>
                <w:kern w:val="2"/>
                <w:sz w:val="21"/>
                <w:szCs w:val="21"/>
                <w:lang w:eastAsia="zh-CN"/>
              </w:rPr>
              <w:t>在保修期内，一旦发生质量问题，响应供应商保证在接到通知24小时内赶到现场进行修理或更换。</w:t>
            </w:r>
          </w:p>
        </w:tc>
      </w:tr>
      <w:tr>
        <w:tblPrEx>
          <w:tblW w:w="5000" w:type="pct"/>
          <w:tblInd w:w="108" w:type="dxa"/>
          <w:tblLayout w:type="fixed"/>
          <w:tblCellMar>
            <w:top w:w="0" w:type="dxa"/>
            <w:left w:w="108" w:type="dxa"/>
            <w:bottom w:w="0" w:type="dxa"/>
            <w:right w:w="108" w:type="dxa"/>
          </w:tblCellMar>
        </w:tblPrEx>
        <w:trPr>
          <w:trHeight w:val="523"/>
        </w:trPr>
        <w:tc>
          <w:tcPr>
            <w:tcW w:w="1260" w:type="dxa"/>
            <w:noWrap w:val="0"/>
            <w:vAlign w:val="center"/>
          </w:tcPr>
          <w:p>
            <w:pPr>
              <w:widowControl w:val="0"/>
              <w:jc w:val="center"/>
              <w:rPr>
                <w:rFonts w:ascii="Calibri" w:eastAsia="宋体" w:hAnsi="Calibri" w:hint="eastAsia"/>
                <w:b/>
                <w:kern w:val="2"/>
                <w:sz w:val="21"/>
                <w:szCs w:val="22"/>
                <w:lang w:eastAsia="zh-CN"/>
              </w:rPr>
            </w:pPr>
            <w:r>
              <w:rPr>
                <w:rFonts w:ascii="Calibri" w:eastAsia="宋体" w:hAnsi="Calibri" w:cstheme="minorBidi" w:hint="eastAsia"/>
                <w:b/>
                <w:kern w:val="2"/>
                <w:sz w:val="21"/>
                <w:szCs w:val="22"/>
                <w:lang w:eastAsia="zh-CN"/>
              </w:rPr>
              <w:t>3</w:t>
            </w:r>
          </w:p>
        </w:tc>
        <w:tc>
          <w:tcPr>
            <w:tcW w:w="1620" w:type="dxa"/>
            <w:noWrap w:val="0"/>
            <w:vAlign w:val="center"/>
          </w:tcPr>
          <w:p>
            <w:pPr>
              <w:widowControl w:val="0"/>
              <w:jc w:val="center"/>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其他</w:t>
            </w:r>
          </w:p>
        </w:tc>
        <w:tc>
          <w:tcPr>
            <w:tcW w:w="6506" w:type="dxa"/>
            <w:noWrap w:val="0"/>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bCs/>
                <w:kern w:val="2"/>
                <w:sz w:val="21"/>
                <w:szCs w:val="21"/>
                <w:lang w:eastAsia="zh-CN"/>
              </w:rPr>
              <w:t>投标人中标后，应按其投标文件中的承诺，进行其他售后服务工作。</w:t>
            </w:r>
          </w:p>
        </w:tc>
      </w:tr>
      <w:tr>
        <w:tblPrEx>
          <w:tblW w:w="5000" w:type="pct"/>
          <w:tblInd w:w="108" w:type="dxa"/>
          <w:tblLayout w:type="fixed"/>
          <w:tblCellMar>
            <w:top w:w="0" w:type="dxa"/>
            <w:left w:w="108" w:type="dxa"/>
            <w:bottom w:w="0" w:type="dxa"/>
            <w:right w:w="108" w:type="dxa"/>
          </w:tblCellMar>
        </w:tblPrEx>
        <w:trPr>
          <w:trHeight w:val="350"/>
        </w:trPr>
        <w:tc>
          <w:tcPr>
            <w:tcW w:w="9386" w:type="dxa"/>
            <w:gridSpan w:val="3"/>
            <w:noWrap w:val="0"/>
            <w:vAlign w:val="top"/>
          </w:tcPr>
          <w:p>
            <w:pPr>
              <w:widowControl w:val="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（二）其他商务要求</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val="restart"/>
            <w:noWrap w:val="0"/>
            <w:vAlign w:val="center"/>
          </w:tcPr>
          <w:p>
            <w:pPr>
              <w:widowControl w:val="0"/>
              <w:jc w:val="center"/>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1</w:t>
            </w:r>
          </w:p>
        </w:tc>
        <w:tc>
          <w:tcPr>
            <w:tcW w:w="1620" w:type="dxa"/>
            <w:vMerge w:val="restart"/>
            <w:noWrap w:val="0"/>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关于交货</w:t>
            </w:r>
          </w:p>
        </w:tc>
        <w:tc>
          <w:tcPr>
            <w:tcW w:w="6506" w:type="dxa"/>
            <w:noWrap w:val="0"/>
            <w:vAlign w:val="top"/>
          </w:tcPr>
          <w:p>
            <w:pPr>
              <w:widowControl w:val="0"/>
              <w:jc w:val="both"/>
              <w:rPr>
                <w:rFonts w:ascii="Calibri" w:eastAsia="宋体" w:hAnsi="Calibri"/>
                <w:b/>
                <w:kern w:val="2"/>
                <w:sz w:val="21"/>
                <w:szCs w:val="22"/>
                <w:lang w:eastAsia="zh-CN"/>
              </w:rPr>
            </w:pPr>
            <w:r>
              <w:rPr>
                <w:rFonts w:ascii="Calibri" w:eastAsia="宋体" w:hAnsi="Calibri" w:cstheme="minorBidi" w:hint="eastAsia"/>
                <w:bCs/>
                <w:kern w:val="2"/>
                <w:sz w:val="21"/>
                <w:szCs w:val="21"/>
                <w:lang w:eastAsia="zh-CN"/>
              </w:rPr>
              <w:t>1.1</w:t>
            </w:r>
            <w:r>
              <w:rPr>
                <w:rFonts w:ascii="宋体" w:eastAsia="宋体" w:hAnsi="宋体" w:cs="宋体" w:hint="eastAsia"/>
                <w:kern w:val="2"/>
                <w:sz w:val="21"/>
                <w:szCs w:val="21"/>
                <w:lang w:eastAsia="zh-CN"/>
              </w:rPr>
              <w:t>★</w:t>
            </w:r>
            <w:r>
              <w:rPr>
                <w:rFonts w:ascii="Calibri" w:eastAsia="宋体" w:hAnsi="Calibri" w:cstheme="minorBidi" w:hint="eastAsia"/>
                <w:bCs/>
                <w:kern w:val="2"/>
                <w:sz w:val="21"/>
                <w:szCs w:val="21"/>
                <w:lang w:eastAsia="zh-CN"/>
              </w:rPr>
              <w:t>签订合同后_30___天（日历日）内。</w:t>
            </w:r>
          </w:p>
        </w:tc>
      </w:tr>
      <w:tr>
        <w:tblPrEx>
          <w:tblW w:w="5000" w:type="pct"/>
          <w:tblInd w:w="108" w:type="dxa"/>
          <w:tblLayout w:type="fixed"/>
          <w:tblCellMar>
            <w:top w:w="0" w:type="dxa"/>
            <w:left w:w="108" w:type="dxa"/>
            <w:bottom w:w="0" w:type="dxa"/>
            <w:right w:w="108" w:type="dxa"/>
          </w:tblCellMar>
        </w:tblPrEx>
        <w:trPr>
          <w:trHeight w:val="451"/>
        </w:trPr>
        <w:tc>
          <w:tcPr>
            <w:tcW w:w="1260" w:type="dxa"/>
            <w:vMerge/>
            <w:noWrap w:val="0"/>
            <w:vAlign w:val="center"/>
          </w:tcPr>
          <w:p>
            <w:pPr>
              <w:widowControl w:val="0"/>
              <w:jc w:val="center"/>
              <w:rPr>
                <w:rFonts w:ascii="Calibri" w:eastAsia="宋体" w:hAnsi="Calibri"/>
                <w:b/>
                <w:kern w:val="2"/>
                <w:sz w:val="21"/>
                <w:szCs w:val="22"/>
                <w:lang w:eastAsia="zh-CN"/>
              </w:rPr>
            </w:pPr>
          </w:p>
        </w:tc>
        <w:tc>
          <w:tcPr>
            <w:tcW w:w="1620" w:type="dxa"/>
            <w:vMerge/>
            <w:noWrap w:val="0"/>
            <w:vAlign w:val="center"/>
          </w:tcPr>
          <w:p>
            <w:pPr>
              <w:widowControl w:val="0"/>
              <w:jc w:val="center"/>
              <w:rPr>
                <w:rFonts w:ascii="Calibri" w:eastAsia="宋体" w:hAnsi="Calibri"/>
                <w:kern w:val="2"/>
                <w:sz w:val="21"/>
                <w:szCs w:val="22"/>
                <w:lang w:eastAsia="zh-CN"/>
              </w:rPr>
            </w:pPr>
          </w:p>
        </w:tc>
        <w:tc>
          <w:tcPr>
            <w:tcW w:w="6506" w:type="dxa"/>
            <w:noWrap w:val="0"/>
            <w:vAlign w:val="top"/>
          </w:tcPr>
          <w:p>
            <w:pPr>
              <w:widowControl w:val="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1.2投标人中标后，必须承担设备运输、安装调试、验收检测和提供设备操作说明书、图纸等其他类似的义务。</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val="restart"/>
            <w:noWrap w:val="0"/>
            <w:vAlign w:val="center"/>
          </w:tcPr>
          <w:p>
            <w:pPr>
              <w:widowControl w:val="0"/>
              <w:jc w:val="center"/>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2</w:t>
            </w:r>
          </w:p>
        </w:tc>
        <w:tc>
          <w:tcPr>
            <w:tcW w:w="1620" w:type="dxa"/>
            <w:vMerge w:val="restart"/>
            <w:noWrap w:val="0"/>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关于验收</w:t>
            </w:r>
          </w:p>
        </w:tc>
        <w:tc>
          <w:tcPr>
            <w:tcW w:w="6506" w:type="dxa"/>
            <w:noWrap w:val="0"/>
            <w:vAlign w:val="top"/>
          </w:tcPr>
          <w:p>
            <w:pPr>
              <w:widowControl w:val="0"/>
              <w:spacing w:line="340" w:lineRule="exact"/>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2.1投标人中标后，其货物经过双方检验认可后，签署验收报告，产品保修期自验收合格之日起算，由投标人提供产品保修文件。</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noWrap w:val="0"/>
            <w:vAlign w:val="center"/>
          </w:tcPr>
          <w:p>
            <w:pPr>
              <w:widowControl w:val="0"/>
              <w:jc w:val="center"/>
              <w:rPr>
                <w:rFonts w:ascii="Calibri" w:eastAsia="宋体" w:hAnsi="Calibri"/>
                <w:b/>
                <w:kern w:val="2"/>
                <w:sz w:val="21"/>
                <w:szCs w:val="22"/>
                <w:lang w:eastAsia="zh-CN"/>
              </w:rPr>
            </w:pPr>
          </w:p>
        </w:tc>
        <w:tc>
          <w:tcPr>
            <w:tcW w:w="1620" w:type="dxa"/>
            <w:vMerge/>
            <w:noWrap w:val="0"/>
            <w:vAlign w:val="top"/>
          </w:tcPr>
          <w:p>
            <w:pPr>
              <w:widowControl w:val="0"/>
              <w:jc w:val="both"/>
              <w:rPr>
                <w:rFonts w:ascii="Calibri" w:eastAsia="宋体" w:hAnsi="Calibri"/>
                <w:b/>
                <w:kern w:val="2"/>
                <w:sz w:val="21"/>
                <w:szCs w:val="22"/>
                <w:lang w:eastAsia="zh-CN"/>
              </w:rPr>
            </w:pPr>
          </w:p>
        </w:tc>
        <w:tc>
          <w:tcPr>
            <w:tcW w:w="6506" w:type="dxa"/>
            <w:noWrap w:val="0"/>
            <w:vAlign w:val="top"/>
          </w:tcPr>
          <w:p>
            <w:pPr>
              <w:widowControl w:val="0"/>
              <w:spacing w:line="340" w:lineRule="exact"/>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2.2投标人中标后，当满足以下条件时，采购人才向投标人签发货物验收报告：</w:t>
            </w:r>
          </w:p>
          <w:p>
            <w:pPr>
              <w:widowControl w:val="0"/>
              <w:tabs>
                <w:tab w:val="left" w:pos="1260"/>
              </w:tabs>
              <w:spacing w:line="340" w:lineRule="exact"/>
              <w:jc w:val="both"/>
              <w:rPr>
                <w:rFonts w:ascii="Calibri" w:eastAsia="宋体" w:hAnsi="Calibri"/>
                <w:bCs/>
                <w:kern w:val="2"/>
                <w:sz w:val="21"/>
                <w:szCs w:val="21"/>
                <w:lang w:eastAsia="zh-CN"/>
              </w:rPr>
            </w:pPr>
            <w:r>
              <w:rPr>
                <w:rFonts w:ascii="Calibri" w:eastAsia="宋体" w:hAnsi="Calibri" w:cstheme="minorBidi"/>
                <w:bCs/>
                <w:kern w:val="2"/>
                <w:sz w:val="21"/>
                <w:szCs w:val="21"/>
                <w:lang w:eastAsia="zh-CN"/>
              </w:rPr>
              <w:t>a</w:t>
            </w:r>
            <w:r>
              <w:rPr>
                <w:rFonts w:ascii="Calibri" w:eastAsia="宋体" w:hAnsi="Calibri" w:cstheme="minorBidi" w:hint="eastAsia"/>
                <w:bCs/>
                <w:kern w:val="2"/>
                <w:sz w:val="21"/>
                <w:szCs w:val="21"/>
                <w:lang w:eastAsia="zh-CN"/>
              </w:rPr>
              <w:t>、投标人已按照合同规定提供了全部产品及完整的技术资料。</w:t>
            </w:r>
          </w:p>
          <w:p>
            <w:pPr>
              <w:widowControl w:val="0"/>
              <w:tabs>
                <w:tab w:val="left" w:pos="1260"/>
              </w:tabs>
              <w:spacing w:line="340" w:lineRule="exact"/>
              <w:jc w:val="both"/>
              <w:rPr>
                <w:rFonts w:ascii="Calibri" w:eastAsia="宋体" w:hAnsi="Calibri"/>
                <w:bCs/>
                <w:kern w:val="2"/>
                <w:sz w:val="21"/>
                <w:szCs w:val="21"/>
                <w:lang w:eastAsia="zh-CN"/>
              </w:rPr>
            </w:pPr>
            <w:r>
              <w:rPr>
                <w:rFonts w:ascii="Calibri" w:eastAsia="宋体" w:hAnsi="Calibri" w:cstheme="minorBidi"/>
                <w:bCs/>
                <w:kern w:val="2"/>
                <w:sz w:val="21"/>
                <w:szCs w:val="21"/>
                <w:lang w:eastAsia="zh-CN"/>
              </w:rPr>
              <w:t>b</w:t>
            </w:r>
            <w:r>
              <w:rPr>
                <w:rFonts w:ascii="Calibri" w:eastAsia="宋体" w:hAnsi="Calibri" w:cstheme="minorBidi" w:hint="eastAsia"/>
                <w:bCs/>
                <w:kern w:val="2"/>
                <w:sz w:val="21"/>
                <w:szCs w:val="21"/>
                <w:lang w:eastAsia="zh-CN"/>
              </w:rPr>
              <w:t>、货物符合采购文件技术规格书的要求，性能满足要求。</w:t>
            </w:r>
          </w:p>
          <w:p>
            <w:pPr>
              <w:widowControl w:val="0"/>
              <w:tabs>
                <w:tab w:val="left" w:pos="1260"/>
              </w:tabs>
              <w:spacing w:line="340" w:lineRule="exact"/>
              <w:jc w:val="both"/>
              <w:rPr>
                <w:rFonts w:ascii="Calibri" w:eastAsia="宋体" w:hAnsi="Calibri"/>
                <w:bCs/>
                <w:kern w:val="2"/>
                <w:sz w:val="21"/>
                <w:szCs w:val="21"/>
                <w:lang w:eastAsia="zh-CN"/>
              </w:rPr>
            </w:pPr>
            <w:r>
              <w:rPr>
                <w:rFonts w:ascii="Calibri" w:eastAsia="宋体" w:hAnsi="Calibri" w:cstheme="minorBidi"/>
                <w:bCs/>
                <w:kern w:val="2"/>
                <w:sz w:val="21"/>
                <w:szCs w:val="21"/>
                <w:lang w:eastAsia="zh-CN"/>
              </w:rPr>
              <w:t>c</w:t>
            </w:r>
            <w:r>
              <w:rPr>
                <w:rFonts w:ascii="Calibri" w:eastAsia="宋体" w:hAnsi="Calibri" w:cstheme="minorBidi" w:hint="eastAsia"/>
                <w:bCs/>
                <w:kern w:val="2"/>
                <w:sz w:val="21"/>
                <w:szCs w:val="21"/>
                <w:lang w:eastAsia="zh-CN"/>
              </w:rPr>
              <w:t>、货物具备产品合格证。</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val="restart"/>
            <w:noWrap w:val="0"/>
            <w:vAlign w:val="center"/>
          </w:tcPr>
          <w:p>
            <w:pPr>
              <w:widowControl w:val="0"/>
              <w:jc w:val="center"/>
              <w:rPr>
                <w:rFonts w:ascii="Calibri" w:eastAsia="宋体" w:hAnsi="Calibri" w:hint="eastAsia"/>
                <w:bCs/>
                <w:kern w:val="2"/>
                <w:sz w:val="21"/>
                <w:szCs w:val="22"/>
                <w:lang w:eastAsia="zh-CN"/>
              </w:rPr>
            </w:pPr>
            <w:r>
              <w:rPr>
                <w:rFonts w:ascii="Calibri" w:eastAsia="宋体" w:hAnsi="Calibri" w:cstheme="minorBidi" w:hint="eastAsia"/>
                <w:bCs/>
                <w:kern w:val="2"/>
                <w:sz w:val="21"/>
                <w:szCs w:val="22"/>
                <w:lang w:eastAsia="zh-CN"/>
              </w:rPr>
              <w:t>3</w:t>
            </w:r>
          </w:p>
        </w:tc>
        <w:tc>
          <w:tcPr>
            <w:tcW w:w="1620" w:type="dxa"/>
            <w:vMerge w:val="restart"/>
            <w:noWrap w:val="0"/>
            <w:vAlign w:val="center"/>
          </w:tcPr>
          <w:p>
            <w:pPr>
              <w:widowControl w:val="0"/>
              <w:jc w:val="center"/>
              <w:rPr>
                <w:rFonts w:ascii="Calibri" w:eastAsia="宋体" w:hAnsi="Calibri" w:hint="eastAsia"/>
                <w:bCs/>
                <w:kern w:val="2"/>
                <w:sz w:val="21"/>
                <w:szCs w:val="22"/>
                <w:lang w:eastAsia="zh-CN"/>
              </w:rPr>
            </w:pPr>
            <w:r>
              <w:rPr>
                <w:rFonts w:ascii="Calibri" w:eastAsia="宋体" w:hAnsi="Calibri" w:cstheme="minorBidi" w:hint="eastAsia"/>
                <w:bCs/>
                <w:kern w:val="2"/>
                <w:sz w:val="21"/>
                <w:szCs w:val="22"/>
                <w:lang w:eastAsia="zh-CN"/>
              </w:rPr>
              <w:t>违约责任</w:t>
            </w:r>
          </w:p>
        </w:tc>
        <w:tc>
          <w:tcPr>
            <w:tcW w:w="6506" w:type="dxa"/>
            <w:noWrap w:val="0"/>
            <w:vAlign w:val="top"/>
          </w:tcPr>
          <w:p>
            <w:pPr>
              <w:widowControl w:val="0"/>
              <w:spacing w:line="340" w:lineRule="exact"/>
              <w:jc w:val="both"/>
              <w:rPr>
                <w:rFonts w:ascii="宋体" w:eastAsia="宋体" w:hAnsi="宋体" w:cs="宋体" w:hint="eastAsia"/>
                <w:bCs/>
                <w:kern w:val="2"/>
                <w:sz w:val="21"/>
                <w:szCs w:val="21"/>
                <w:lang w:eastAsia="zh-CN"/>
              </w:rPr>
            </w:pPr>
            <w:r>
              <w:rPr>
                <w:rFonts w:ascii="Calibri" w:eastAsia="宋体" w:hAnsi="Calibri" w:cstheme="minorBidi" w:hint="eastAsia"/>
                <w:kern w:val="2"/>
                <w:sz w:val="21"/>
                <w:szCs w:val="22"/>
                <w:lang w:eastAsia="zh-CN"/>
              </w:rPr>
              <w:t>3.1如中标供应商未按照投标文件中承诺的时间交货或提供服务，中标供应商应承担延期交货和延期服务的违约责任，并赔偿采购人因此造成的实际经济损失，采购人有权终止合同。</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noWrap w:val="0"/>
            <w:vAlign w:val="center"/>
          </w:tcPr>
          <w:p>
            <w:pPr>
              <w:widowControl w:val="0"/>
              <w:jc w:val="center"/>
              <w:rPr>
                <w:rFonts w:ascii="Calibri" w:eastAsia="宋体" w:hAnsi="Calibri" w:hint="eastAsia"/>
                <w:bCs/>
                <w:kern w:val="2"/>
                <w:sz w:val="21"/>
                <w:szCs w:val="22"/>
                <w:lang w:eastAsia="zh-CN"/>
              </w:rPr>
            </w:pPr>
          </w:p>
        </w:tc>
        <w:tc>
          <w:tcPr>
            <w:tcW w:w="1620" w:type="dxa"/>
            <w:vMerge/>
            <w:noWrap w:val="0"/>
            <w:vAlign w:val="center"/>
          </w:tcPr>
          <w:p>
            <w:pPr>
              <w:widowControl w:val="0"/>
              <w:jc w:val="center"/>
              <w:rPr>
                <w:rFonts w:ascii="Calibri" w:eastAsia="宋体" w:hAnsi="Calibri" w:hint="eastAsia"/>
                <w:bCs/>
                <w:kern w:val="2"/>
                <w:sz w:val="21"/>
                <w:szCs w:val="22"/>
                <w:lang w:eastAsia="zh-CN"/>
              </w:rPr>
            </w:pPr>
          </w:p>
        </w:tc>
        <w:tc>
          <w:tcPr>
            <w:tcW w:w="6506" w:type="dxa"/>
            <w:noWrap w:val="0"/>
            <w:vAlign w:val="top"/>
          </w:tcPr>
          <w:p>
            <w:pPr>
              <w:widowControl w:val="0"/>
              <w:spacing w:line="340" w:lineRule="exact"/>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3.2</w:t>
            </w:r>
            <w:r>
              <w:rPr>
                <w:rFonts w:ascii="Calibri" w:eastAsia="宋体" w:hAnsi="Calibri" w:cstheme="minorBidi" w:hint="eastAsia"/>
                <w:bCs/>
                <w:kern w:val="2"/>
                <w:sz w:val="21"/>
                <w:szCs w:val="21"/>
                <w:lang w:eastAsia="zh-CN"/>
              </w:rPr>
              <w:t>投标人中标后</w:t>
            </w:r>
            <w:r>
              <w:rPr>
                <w:rFonts w:ascii="宋体" w:eastAsia="宋体" w:hAnsi="宋体" w:cs="宋体" w:hint="eastAsia"/>
                <w:bCs/>
                <w:kern w:val="2"/>
                <w:sz w:val="21"/>
                <w:szCs w:val="21"/>
                <w:lang w:eastAsia="zh-CN"/>
              </w:rPr>
              <w:t>所交设备的品种、型号、规格、质量、功能、技术参数等方面不能实质性满足采购文件要求的，采购人有权拒绝收货，</w:t>
            </w:r>
            <w:r>
              <w:rPr>
                <w:rFonts w:ascii="Calibri" w:eastAsia="宋体" w:hAnsi="Calibri" w:cstheme="minorBidi" w:hint="eastAsia"/>
                <w:bCs/>
                <w:kern w:val="2"/>
                <w:sz w:val="21"/>
                <w:szCs w:val="21"/>
                <w:lang w:eastAsia="zh-CN"/>
              </w:rPr>
              <w:t>投标人</w:t>
            </w:r>
            <w:r>
              <w:rPr>
                <w:rFonts w:ascii="宋体" w:eastAsia="宋体" w:hAnsi="宋体" w:cs="宋体" w:hint="eastAsia"/>
                <w:bCs/>
                <w:kern w:val="2"/>
                <w:sz w:val="21"/>
                <w:szCs w:val="21"/>
                <w:lang w:eastAsia="zh-CN"/>
              </w:rPr>
              <w:t>向采购人偿付项目采购金额【15】%（10%以上20%以下）的违约金并采取更换、补足等补救措施，致使逾期交付的，还应承担逾期交付的违约责任。</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noWrap w:val="0"/>
            <w:vAlign w:val="center"/>
          </w:tcPr>
          <w:p>
            <w:pPr>
              <w:widowControl w:val="0"/>
              <w:jc w:val="center"/>
              <w:rPr>
                <w:rFonts w:ascii="Calibri" w:eastAsia="宋体" w:hAnsi="Calibri" w:hint="eastAsia"/>
                <w:bCs/>
                <w:kern w:val="2"/>
                <w:sz w:val="21"/>
                <w:szCs w:val="22"/>
                <w:lang w:eastAsia="zh-CN"/>
              </w:rPr>
            </w:pPr>
          </w:p>
        </w:tc>
        <w:tc>
          <w:tcPr>
            <w:tcW w:w="1620" w:type="dxa"/>
            <w:vMerge/>
            <w:noWrap w:val="0"/>
            <w:vAlign w:val="center"/>
          </w:tcPr>
          <w:p>
            <w:pPr>
              <w:widowControl w:val="0"/>
              <w:jc w:val="center"/>
              <w:rPr>
                <w:rFonts w:ascii="Calibri" w:eastAsia="宋体" w:hAnsi="Calibri" w:hint="eastAsia"/>
                <w:bCs/>
                <w:kern w:val="2"/>
                <w:sz w:val="21"/>
                <w:szCs w:val="22"/>
                <w:lang w:eastAsia="zh-CN"/>
              </w:rPr>
            </w:pPr>
          </w:p>
        </w:tc>
        <w:tc>
          <w:tcPr>
            <w:tcW w:w="6506" w:type="dxa"/>
            <w:noWrap w:val="0"/>
            <w:vAlign w:val="top"/>
          </w:tcPr>
          <w:p>
            <w:pPr>
              <w:widowControl w:val="0"/>
              <w:spacing w:line="340" w:lineRule="exact"/>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3.3</w:t>
            </w:r>
            <w:r>
              <w:rPr>
                <w:rFonts w:ascii="Calibri" w:eastAsia="宋体" w:hAnsi="Calibri" w:cstheme="minorBidi" w:hint="eastAsia"/>
                <w:bCs/>
                <w:kern w:val="2"/>
                <w:sz w:val="21"/>
                <w:szCs w:val="21"/>
                <w:lang w:eastAsia="zh-CN"/>
              </w:rPr>
              <w:t>投标人中标后</w:t>
            </w:r>
            <w:r>
              <w:rPr>
                <w:rFonts w:ascii="宋体" w:eastAsia="宋体" w:hAnsi="宋体" w:cs="宋体" w:hint="eastAsia"/>
                <w:bCs/>
                <w:kern w:val="2"/>
                <w:sz w:val="21"/>
                <w:szCs w:val="21"/>
                <w:lang w:eastAsia="zh-CN"/>
              </w:rPr>
              <w:t>不能交付设备的，</w:t>
            </w:r>
            <w:r>
              <w:rPr>
                <w:rFonts w:ascii="Calibri" w:eastAsia="宋体" w:hAnsi="Calibri" w:cstheme="minorBidi" w:hint="eastAsia"/>
                <w:bCs/>
                <w:kern w:val="2"/>
                <w:sz w:val="21"/>
                <w:szCs w:val="21"/>
                <w:lang w:eastAsia="zh-CN"/>
              </w:rPr>
              <w:t>投标人</w:t>
            </w:r>
            <w:r>
              <w:rPr>
                <w:rFonts w:ascii="宋体" w:eastAsia="宋体" w:hAnsi="宋体" w:cs="宋体" w:hint="eastAsia"/>
                <w:bCs/>
                <w:kern w:val="2"/>
                <w:sz w:val="21"/>
                <w:szCs w:val="21"/>
                <w:lang w:eastAsia="zh-CN"/>
              </w:rPr>
              <w:t>向采购人偿付项目采购金额【15】%（10%以上20%以下）的违约金。</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noWrap w:val="0"/>
            <w:vAlign w:val="center"/>
          </w:tcPr>
          <w:p>
            <w:pPr>
              <w:widowControl w:val="0"/>
              <w:jc w:val="center"/>
              <w:rPr>
                <w:rFonts w:ascii="Calibri" w:eastAsia="宋体" w:hAnsi="Calibri" w:hint="eastAsia"/>
                <w:bCs/>
                <w:kern w:val="2"/>
                <w:sz w:val="21"/>
                <w:szCs w:val="22"/>
                <w:lang w:eastAsia="zh-CN"/>
              </w:rPr>
            </w:pPr>
          </w:p>
        </w:tc>
        <w:tc>
          <w:tcPr>
            <w:tcW w:w="1620" w:type="dxa"/>
            <w:vMerge/>
            <w:noWrap w:val="0"/>
            <w:vAlign w:val="top"/>
          </w:tcPr>
          <w:p>
            <w:pPr>
              <w:widowControl w:val="0"/>
              <w:jc w:val="both"/>
              <w:rPr>
                <w:rFonts w:ascii="Calibri" w:eastAsia="宋体" w:hAnsi="Calibri" w:hint="eastAsia"/>
                <w:bCs/>
                <w:kern w:val="2"/>
                <w:sz w:val="21"/>
                <w:szCs w:val="22"/>
                <w:lang w:eastAsia="zh-CN"/>
              </w:rPr>
            </w:pPr>
          </w:p>
        </w:tc>
        <w:tc>
          <w:tcPr>
            <w:tcW w:w="6506" w:type="dxa"/>
            <w:noWrap w:val="0"/>
            <w:vAlign w:val="top"/>
          </w:tcPr>
          <w:p>
            <w:pPr>
              <w:widowControl w:val="0"/>
              <w:spacing w:line="340" w:lineRule="exact"/>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3.4</w:t>
            </w:r>
            <w:r>
              <w:rPr>
                <w:rFonts w:ascii="Calibri" w:eastAsia="宋体" w:hAnsi="Calibri" w:cstheme="minorBidi" w:hint="eastAsia"/>
                <w:bCs/>
                <w:kern w:val="2"/>
                <w:sz w:val="21"/>
                <w:szCs w:val="21"/>
                <w:lang w:eastAsia="zh-CN"/>
              </w:rPr>
              <w:t>投标人中标后</w:t>
            </w:r>
            <w:r>
              <w:rPr>
                <w:rFonts w:ascii="宋体" w:eastAsia="宋体" w:hAnsi="宋体" w:cs="宋体" w:hint="eastAsia"/>
                <w:bCs/>
                <w:kern w:val="2"/>
                <w:sz w:val="21"/>
                <w:szCs w:val="21"/>
                <w:lang w:eastAsia="zh-CN"/>
              </w:rPr>
              <w:t>逾期交付货物的，每逾期1天，</w:t>
            </w:r>
            <w:r>
              <w:rPr>
                <w:rFonts w:ascii="Calibri" w:eastAsia="宋体" w:hAnsi="Calibri" w:cstheme="minorBidi" w:hint="eastAsia"/>
                <w:bCs/>
                <w:kern w:val="2"/>
                <w:sz w:val="21"/>
                <w:szCs w:val="21"/>
                <w:lang w:eastAsia="zh-CN"/>
              </w:rPr>
              <w:t>投标人</w:t>
            </w:r>
            <w:r>
              <w:rPr>
                <w:rFonts w:ascii="宋体" w:eastAsia="宋体" w:hAnsi="宋体" w:cs="宋体" w:hint="eastAsia"/>
                <w:bCs/>
                <w:kern w:val="2"/>
                <w:sz w:val="21"/>
                <w:szCs w:val="21"/>
                <w:lang w:eastAsia="zh-CN"/>
              </w:rPr>
              <w:t>向采购人偿付项目采购金额的【3】‰（1‰以上5‰以下）的违约金。如</w:t>
            </w:r>
            <w:r>
              <w:rPr>
                <w:rFonts w:ascii="Calibri" w:eastAsia="宋体" w:hAnsi="Calibri" w:cstheme="minorBidi" w:hint="eastAsia"/>
                <w:bCs/>
                <w:kern w:val="2"/>
                <w:sz w:val="21"/>
                <w:szCs w:val="21"/>
                <w:lang w:eastAsia="zh-CN"/>
              </w:rPr>
              <w:t>投标人</w:t>
            </w:r>
            <w:r>
              <w:rPr>
                <w:rFonts w:ascii="宋体" w:eastAsia="宋体" w:hAnsi="宋体" w:cs="宋体" w:hint="eastAsia"/>
                <w:bCs/>
                <w:kern w:val="2"/>
                <w:sz w:val="21"/>
                <w:szCs w:val="21"/>
                <w:lang w:eastAsia="zh-CN"/>
              </w:rPr>
              <w:t>逾期交货达</w:t>
            </w:r>
            <w:r>
              <w:rPr>
                <w:rFonts w:ascii="宋体" w:eastAsia="宋体" w:hAnsi="宋体" w:cs="宋体" w:hint="eastAsia"/>
                <w:bCs/>
                <w:kern w:val="2"/>
                <w:sz w:val="21"/>
                <w:szCs w:val="21"/>
                <w:u w:val="single"/>
                <w:lang w:eastAsia="zh-CN"/>
              </w:rPr>
              <w:t>30</w:t>
            </w:r>
            <w:r>
              <w:rPr>
                <w:rFonts w:ascii="宋体" w:eastAsia="宋体" w:hAnsi="宋体" w:cs="宋体" w:hint="eastAsia"/>
                <w:bCs/>
                <w:kern w:val="2"/>
                <w:sz w:val="21"/>
                <w:szCs w:val="21"/>
                <w:lang w:eastAsia="zh-CN"/>
              </w:rPr>
              <w:t>天，采购人有权解除合同。</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noWrap w:val="0"/>
            <w:vAlign w:val="center"/>
          </w:tcPr>
          <w:p>
            <w:pPr>
              <w:widowControl w:val="0"/>
              <w:jc w:val="center"/>
              <w:rPr>
                <w:rFonts w:ascii="Calibri" w:eastAsia="宋体" w:hAnsi="Calibri" w:hint="eastAsia"/>
                <w:bCs/>
                <w:kern w:val="2"/>
                <w:sz w:val="21"/>
                <w:szCs w:val="22"/>
                <w:lang w:eastAsia="zh-CN"/>
              </w:rPr>
            </w:pPr>
          </w:p>
        </w:tc>
        <w:tc>
          <w:tcPr>
            <w:tcW w:w="1620" w:type="dxa"/>
            <w:vMerge/>
            <w:noWrap w:val="0"/>
            <w:vAlign w:val="top"/>
          </w:tcPr>
          <w:p>
            <w:pPr>
              <w:widowControl w:val="0"/>
              <w:jc w:val="both"/>
              <w:rPr>
                <w:rFonts w:ascii="Calibri" w:eastAsia="宋体" w:hAnsi="Calibri"/>
                <w:bCs/>
                <w:kern w:val="2"/>
                <w:sz w:val="21"/>
                <w:szCs w:val="22"/>
                <w:lang w:eastAsia="zh-CN"/>
              </w:rPr>
            </w:pPr>
          </w:p>
        </w:tc>
        <w:tc>
          <w:tcPr>
            <w:tcW w:w="6506" w:type="dxa"/>
            <w:noWrap w:val="0"/>
            <w:vAlign w:val="top"/>
          </w:tcPr>
          <w:p>
            <w:pPr>
              <w:widowControl w:val="0"/>
              <w:jc w:val="both"/>
              <w:rPr>
                <w:rFonts w:ascii="宋体" w:eastAsia="宋体" w:hAnsi="宋体" w:cs="宋体" w:hint="eastAsia"/>
                <w:b/>
                <w:kern w:val="2"/>
                <w:sz w:val="21"/>
                <w:szCs w:val="22"/>
                <w:lang w:eastAsia="zh-CN"/>
              </w:rPr>
            </w:pPr>
            <w:r>
              <w:rPr>
                <w:rFonts w:ascii="宋体" w:eastAsia="宋体" w:hAnsi="宋体" w:cs="宋体" w:hint="eastAsia"/>
                <w:bCs/>
                <w:kern w:val="2"/>
                <w:sz w:val="21"/>
                <w:szCs w:val="22"/>
                <w:lang w:eastAsia="zh-CN"/>
              </w:rPr>
              <w:t>3.5</w:t>
            </w:r>
            <w:r>
              <w:rPr>
                <w:rFonts w:ascii="Calibri" w:eastAsia="宋体" w:hAnsi="Calibri" w:cstheme="minorBidi" w:hint="eastAsia"/>
                <w:bCs/>
                <w:kern w:val="2"/>
                <w:sz w:val="21"/>
                <w:szCs w:val="21"/>
                <w:lang w:eastAsia="zh-CN"/>
              </w:rPr>
              <w:t>投标人中标后，在其</w:t>
            </w:r>
            <w:r>
              <w:rPr>
                <w:rFonts w:ascii="宋体" w:eastAsia="宋体" w:hAnsi="宋体" w:cs="宋体" w:hint="eastAsia"/>
                <w:bCs/>
                <w:kern w:val="2"/>
                <w:sz w:val="21"/>
                <w:szCs w:val="22"/>
                <w:lang w:eastAsia="zh-CN"/>
              </w:rPr>
              <w:t>承诺的或国家规定的质量保证期内（取两者中最长的期限），如经</w:t>
            </w:r>
            <w:r>
              <w:rPr>
                <w:rFonts w:ascii="Calibri" w:eastAsia="宋体" w:hAnsi="Calibri" w:cstheme="minorBidi" w:hint="eastAsia"/>
                <w:bCs/>
                <w:kern w:val="2"/>
                <w:sz w:val="21"/>
                <w:szCs w:val="21"/>
                <w:lang w:eastAsia="zh-CN"/>
              </w:rPr>
              <w:t>投标人</w:t>
            </w:r>
            <w:r>
              <w:rPr>
                <w:rFonts w:ascii="宋体" w:eastAsia="宋体" w:hAnsi="宋体" w:cs="宋体" w:hint="eastAsia"/>
                <w:bCs/>
                <w:kern w:val="2"/>
                <w:sz w:val="21"/>
                <w:szCs w:val="22"/>
                <w:lang w:eastAsia="zh-CN"/>
              </w:rPr>
              <w:t>两次维修或更换，货物仍不能达到采购文件要求及投标文件承诺的质量标准，采购人有权退货，</w:t>
            </w:r>
            <w:r>
              <w:rPr>
                <w:rFonts w:ascii="Calibri" w:eastAsia="宋体" w:hAnsi="Calibri" w:cstheme="minorBidi" w:hint="eastAsia"/>
                <w:bCs/>
                <w:kern w:val="2"/>
                <w:sz w:val="21"/>
                <w:szCs w:val="21"/>
                <w:lang w:eastAsia="zh-CN"/>
              </w:rPr>
              <w:t>投标人</w:t>
            </w:r>
            <w:r>
              <w:rPr>
                <w:rFonts w:ascii="宋体" w:eastAsia="宋体" w:hAnsi="宋体" w:cs="宋体" w:hint="eastAsia"/>
                <w:bCs/>
                <w:kern w:val="2"/>
                <w:sz w:val="21"/>
                <w:szCs w:val="22"/>
                <w:lang w:eastAsia="zh-CN"/>
              </w:rPr>
              <w:t>应退回全部货款并赔偿采购人因此遭受的损失。</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noWrap w:val="0"/>
            <w:vAlign w:val="center"/>
          </w:tcPr>
          <w:p>
            <w:pPr>
              <w:widowControl w:val="0"/>
              <w:jc w:val="center"/>
              <w:rPr>
                <w:rFonts w:ascii="Calibri" w:eastAsia="宋体" w:hAnsi="Calibri" w:hint="eastAsia"/>
                <w:bCs/>
                <w:kern w:val="2"/>
                <w:sz w:val="21"/>
                <w:szCs w:val="22"/>
                <w:lang w:eastAsia="zh-CN"/>
              </w:rPr>
            </w:pPr>
          </w:p>
        </w:tc>
        <w:tc>
          <w:tcPr>
            <w:tcW w:w="1620" w:type="dxa"/>
            <w:vMerge/>
            <w:noWrap w:val="0"/>
            <w:vAlign w:val="top"/>
          </w:tcPr>
          <w:p>
            <w:pPr>
              <w:widowControl w:val="0"/>
              <w:jc w:val="both"/>
              <w:rPr>
                <w:rFonts w:ascii="Calibri" w:eastAsia="宋体" w:hAnsi="Calibri"/>
                <w:bCs/>
                <w:kern w:val="2"/>
                <w:sz w:val="21"/>
                <w:szCs w:val="22"/>
                <w:lang w:eastAsia="zh-CN"/>
              </w:rPr>
            </w:pPr>
          </w:p>
        </w:tc>
        <w:tc>
          <w:tcPr>
            <w:tcW w:w="6506" w:type="dxa"/>
            <w:noWrap w:val="0"/>
            <w:vAlign w:val="top"/>
          </w:tcPr>
          <w:p>
            <w:pPr>
              <w:widowControl w:val="0"/>
              <w:jc w:val="both"/>
              <w:rPr>
                <w:rFonts w:ascii="宋体" w:eastAsia="宋体" w:hAnsi="宋体" w:cs="宋体" w:hint="eastAsia"/>
                <w:b/>
                <w:kern w:val="2"/>
                <w:sz w:val="21"/>
                <w:szCs w:val="22"/>
                <w:lang w:eastAsia="zh-CN"/>
              </w:rPr>
            </w:pPr>
            <w:r>
              <w:rPr>
                <w:rFonts w:ascii="宋体" w:eastAsia="宋体" w:hAnsi="宋体" w:cs="宋体" w:hint="eastAsia"/>
                <w:bCs/>
                <w:kern w:val="2"/>
                <w:sz w:val="21"/>
                <w:szCs w:val="22"/>
                <w:lang w:eastAsia="zh-CN"/>
              </w:rPr>
              <w:t>3.6</w:t>
            </w:r>
            <w:r>
              <w:rPr>
                <w:rFonts w:ascii="Calibri" w:eastAsia="宋体" w:hAnsi="Calibri" w:cstheme="minorBidi" w:hint="eastAsia"/>
                <w:bCs/>
                <w:kern w:val="2"/>
                <w:sz w:val="21"/>
                <w:szCs w:val="21"/>
                <w:lang w:eastAsia="zh-CN"/>
              </w:rPr>
              <w:t>投标人中标后</w:t>
            </w:r>
            <w:r>
              <w:rPr>
                <w:rFonts w:ascii="宋体" w:eastAsia="宋体" w:hAnsi="宋体" w:cs="宋体" w:hint="eastAsia"/>
                <w:bCs/>
                <w:kern w:val="2"/>
                <w:sz w:val="21"/>
                <w:szCs w:val="22"/>
                <w:lang w:eastAsia="zh-CN"/>
              </w:rPr>
              <w:t>在承担上述一项或多项违约责任后，仍应继续履行合同规定的义务（采购人解除合同的除外）。采购人未能及时追究</w:t>
            </w:r>
            <w:r>
              <w:rPr>
                <w:rFonts w:ascii="Calibri" w:eastAsia="宋体" w:hAnsi="Calibri" w:cstheme="minorBidi" w:hint="eastAsia"/>
                <w:bCs/>
                <w:kern w:val="2"/>
                <w:sz w:val="21"/>
                <w:szCs w:val="21"/>
                <w:lang w:eastAsia="zh-CN"/>
              </w:rPr>
              <w:t>投标人</w:t>
            </w:r>
            <w:r>
              <w:rPr>
                <w:rFonts w:ascii="宋体" w:eastAsia="宋体" w:hAnsi="宋体" w:cs="宋体" w:hint="eastAsia"/>
                <w:bCs/>
                <w:kern w:val="2"/>
                <w:sz w:val="21"/>
                <w:szCs w:val="22"/>
                <w:lang w:eastAsia="zh-CN"/>
              </w:rPr>
              <w:t>的任何一项违约责任并不表明采购人放弃追究</w:t>
            </w:r>
            <w:r>
              <w:rPr>
                <w:rFonts w:ascii="Calibri" w:eastAsia="宋体" w:hAnsi="Calibri" w:cstheme="minorBidi" w:hint="eastAsia"/>
                <w:bCs/>
                <w:kern w:val="2"/>
                <w:sz w:val="21"/>
                <w:szCs w:val="21"/>
                <w:lang w:eastAsia="zh-CN"/>
              </w:rPr>
              <w:t>投标人</w:t>
            </w:r>
            <w:r>
              <w:rPr>
                <w:rFonts w:ascii="宋体" w:eastAsia="宋体" w:hAnsi="宋体" w:cs="宋体" w:hint="eastAsia"/>
                <w:bCs/>
                <w:kern w:val="2"/>
                <w:sz w:val="21"/>
                <w:szCs w:val="22"/>
                <w:lang w:eastAsia="zh-CN"/>
              </w:rPr>
              <w:t>该项或其他违约责任。</w:t>
            </w:r>
          </w:p>
        </w:tc>
      </w:tr>
      <w:tr>
        <w:tblPrEx>
          <w:tblW w:w="5000" w:type="pct"/>
          <w:tblInd w:w="108" w:type="dxa"/>
          <w:tblLayout w:type="fixed"/>
          <w:tblCellMar>
            <w:top w:w="0" w:type="dxa"/>
            <w:left w:w="108" w:type="dxa"/>
            <w:bottom w:w="0" w:type="dxa"/>
            <w:right w:w="108" w:type="dxa"/>
          </w:tblCellMar>
        </w:tblPrEx>
        <w:trPr>
          <w:trHeight w:val="350"/>
        </w:trPr>
        <w:tc>
          <w:tcPr>
            <w:tcW w:w="1260" w:type="dxa"/>
            <w:noWrap w:val="0"/>
            <w:vAlign w:val="center"/>
          </w:tcPr>
          <w:p>
            <w:pPr>
              <w:widowControl w:val="0"/>
              <w:jc w:val="center"/>
              <w:rPr>
                <w:rFonts w:ascii="Calibri" w:eastAsia="宋体" w:hAnsi="Calibri" w:hint="eastAsia"/>
                <w:bCs/>
                <w:kern w:val="2"/>
                <w:sz w:val="21"/>
                <w:szCs w:val="22"/>
                <w:lang w:eastAsia="zh-CN"/>
              </w:rPr>
            </w:pPr>
            <w:r>
              <w:rPr>
                <w:rFonts w:ascii="Calibri" w:eastAsia="宋体" w:hAnsi="Calibri" w:cstheme="minorBidi" w:hint="eastAsia"/>
                <w:bCs/>
                <w:kern w:val="2"/>
                <w:sz w:val="21"/>
                <w:szCs w:val="22"/>
                <w:lang w:eastAsia="zh-CN"/>
              </w:rPr>
              <w:t>4</w:t>
            </w:r>
          </w:p>
        </w:tc>
        <w:tc>
          <w:tcPr>
            <w:tcW w:w="1620" w:type="dxa"/>
            <w:noWrap w:val="0"/>
            <w:vAlign w:val="center"/>
          </w:tcPr>
          <w:p>
            <w:pPr>
              <w:widowControl w:val="0"/>
              <w:jc w:val="center"/>
              <w:rPr>
                <w:rFonts w:ascii="Calibri" w:eastAsia="宋体" w:hAnsi="Calibri" w:hint="eastAsia"/>
                <w:bCs/>
                <w:kern w:val="2"/>
                <w:sz w:val="21"/>
                <w:szCs w:val="22"/>
                <w:lang w:eastAsia="zh-CN"/>
              </w:rPr>
            </w:pPr>
            <w:r>
              <w:rPr>
                <w:rFonts w:ascii="Calibri" w:eastAsia="宋体" w:hAnsi="Calibri" w:cstheme="minorBidi" w:hint="eastAsia"/>
                <w:bCs/>
                <w:kern w:val="2"/>
                <w:sz w:val="21"/>
                <w:szCs w:val="22"/>
                <w:lang w:eastAsia="zh-CN"/>
              </w:rPr>
              <w:t>其他</w:t>
            </w:r>
          </w:p>
        </w:tc>
        <w:tc>
          <w:tcPr>
            <w:tcW w:w="6506" w:type="dxa"/>
            <w:noWrap w:val="0"/>
            <w:vAlign w:val="top"/>
          </w:tcPr>
          <w:p>
            <w:pPr>
              <w:widowControl w:val="0"/>
              <w:jc w:val="both"/>
              <w:rPr>
                <w:rFonts w:ascii="宋体" w:eastAsia="宋体" w:hAnsi="宋体" w:cs="宋体" w:hint="eastAsia"/>
                <w:bCs/>
                <w:kern w:val="2"/>
                <w:sz w:val="21"/>
                <w:szCs w:val="22"/>
                <w:lang w:eastAsia="zh-CN"/>
              </w:rPr>
            </w:pPr>
            <w:r>
              <w:rPr>
                <w:rFonts w:ascii="宋体" w:eastAsia="宋体" w:hAnsi="宋体" w:cs="宋体" w:hint="eastAsia"/>
                <w:bCs/>
                <w:kern w:val="2"/>
                <w:sz w:val="21"/>
                <w:szCs w:val="22"/>
                <w:lang w:eastAsia="zh-CN"/>
              </w:rPr>
              <w:t>投标人</w:t>
            </w:r>
            <w:r>
              <w:rPr>
                <w:rFonts w:ascii="Calibri" w:eastAsia="宋体" w:hAnsi="Calibri" w:cstheme="minorBidi" w:hint="eastAsia"/>
                <w:bCs/>
                <w:kern w:val="2"/>
                <w:sz w:val="21"/>
                <w:szCs w:val="21"/>
                <w:lang w:eastAsia="zh-CN"/>
              </w:rPr>
              <w:t>中标后</w:t>
            </w:r>
            <w:r>
              <w:rPr>
                <w:rFonts w:ascii="宋体" w:eastAsia="宋体" w:hAnsi="宋体" w:cs="宋体" w:hint="eastAsia"/>
                <w:bCs/>
                <w:kern w:val="2"/>
                <w:sz w:val="21"/>
                <w:szCs w:val="22"/>
                <w:lang w:eastAsia="zh-CN"/>
              </w:rPr>
              <w:t>应按其投标文件中的承诺，进行其他售后服务工作。</w:t>
            </w:r>
          </w:p>
        </w:tc>
      </w:tr>
      <w:tr>
        <w:tblPrEx>
          <w:tblW w:w="5000" w:type="pct"/>
          <w:tblInd w:w="108" w:type="dxa"/>
          <w:tblLayout w:type="fixed"/>
          <w:tblCellMar>
            <w:top w:w="0" w:type="dxa"/>
            <w:left w:w="108" w:type="dxa"/>
            <w:bottom w:w="0" w:type="dxa"/>
            <w:right w:w="108" w:type="dxa"/>
          </w:tblCellMar>
        </w:tblPrEx>
        <w:trPr>
          <w:trHeight w:val="90"/>
        </w:trPr>
        <w:tc>
          <w:tcPr>
            <w:tcW w:w="1260" w:type="dxa"/>
            <w:noWrap w:val="0"/>
            <w:vAlign w:val="center"/>
          </w:tcPr>
          <w:p>
            <w:pPr>
              <w:widowControl w:val="0"/>
              <w:jc w:val="center"/>
              <w:rPr>
                <w:rFonts w:ascii="Calibri" w:eastAsia="宋体" w:hAnsi="Calibri" w:hint="eastAsia"/>
                <w:bCs/>
                <w:kern w:val="2"/>
                <w:sz w:val="21"/>
                <w:szCs w:val="22"/>
                <w:lang w:eastAsia="zh-CN"/>
              </w:rPr>
            </w:pPr>
            <w:r>
              <w:rPr>
                <w:rFonts w:ascii="Calibri" w:eastAsia="宋体" w:hAnsi="Calibri" w:cstheme="minorBidi" w:hint="eastAsia"/>
                <w:bCs/>
                <w:kern w:val="2"/>
                <w:sz w:val="21"/>
                <w:szCs w:val="22"/>
                <w:lang w:eastAsia="zh-CN"/>
              </w:rPr>
              <w:t>5</w:t>
            </w:r>
          </w:p>
        </w:tc>
        <w:tc>
          <w:tcPr>
            <w:tcW w:w="1620" w:type="dxa"/>
            <w:noWrap w:val="0"/>
            <w:vAlign w:val="center"/>
          </w:tcPr>
          <w:p>
            <w:pPr>
              <w:widowControl w:val="0"/>
              <w:jc w:val="center"/>
              <w:rPr>
                <w:rFonts w:ascii="Calibri" w:eastAsia="宋体" w:hAnsi="Calibri" w:hint="eastAsia"/>
                <w:bCs/>
                <w:kern w:val="2"/>
                <w:sz w:val="21"/>
                <w:szCs w:val="22"/>
                <w:lang w:eastAsia="zh-CN"/>
              </w:rPr>
            </w:pPr>
            <w:r>
              <w:rPr>
                <w:rFonts w:ascii="Calibri" w:eastAsia="宋体" w:hAnsi="Calibri" w:cstheme="minorBidi" w:hint="eastAsia"/>
                <w:bCs/>
                <w:kern w:val="2"/>
                <w:sz w:val="21"/>
                <w:szCs w:val="22"/>
                <w:lang w:eastAsia="zh-CN"/>
              </w:rPr>
              <w:t>付款方式</w:t>
            </w:r>
          </w:p>
        </w:tc>
        <w:tc>
          <w:tcPr>
            <w:tcW w:w="6506" w:type="dxa"/>
            <w:noWrap w:val="0"/>
            <w:vAlign w:val="top"/>
          </w:tcPr>
          <w:p>
            <w:pPr>
              <w:widowControl w:val="0"/>
              <w:jc w:val="both"/>
              <w:rPr>
                <w:rFonts w:ascii="宋体" w:eastAsia="宋体" w:hAnsi="宋体" w:cs="宋体" w:hint="eastAsia"/>
                <w:bCs/>
                <w:kern w:val="2"/>
                <w:sz w:val="21"/>
                <w:szCs w:val="22"/>
                <w:lang w:eastAsia="zh-CN"/>
              </w:rPr>
            </w:pPr>
            <w:r>
              <w:rPr>
                <w:rFonts w:ascii="宋体" w:eastAsia="宋体" w:hAnsi="宋体" w:cs="宋体" w:hint="eastAsia"/>
                <w:bCs/>
                <w:kern w:val="2"/>
                <w:sz w:val="21"/>
                <w:szCs w:val="22"/>
                <w:lang w:eastAsia="zh-CN"/>
              </w:rPr>
              <w:t>1、全部货物送到采购人指定地点、完成安装并验收合格后</w:t>
            </w:r>
            <w:r>
              <w:rPr>
                <w:rFonts w:ascii="宋体" w:eastAsia="宋体" w:hAnsi="宋体" w:cs="宋体" w:hint="eastAsia"/>
                <w:bCs/>
                <w:kern w:val="2"/>
                <w:sz w:val="21"/>
                <w:szCs w:val="22"/>
                <w:u w:val="single"/>
                <w:lang w:eastAsia="zh-CN"/>
              </w:rPr>
              <w:t xml:space="preserve">30 </w:t>
            </w:r>
            <w:r>
              <w:rPr>
                <w:rFonts w:ascii="宋体" w:eastAsia="宋体" w:hAnsi="宋体" w:cs="宋体" w:hint="eastAsia"/>
                <w:bCs/>
                <w:kern w:val="2"/>
                <w:sz w:val="21"/>
                <w:szCs w:val="22"/>
                <w:lang w:eastAsia="zh-CN"/>
              </w:rPr>
              <w:t>个工作日内，采购人向中标供应商支付合同总价【100】%的款项；</w:t>
            </w:r>
          </w:p>
          <w:p>
            <w:pPr>
              <w:widowControl w:val="0"/>
              <w:jc w:val="both"/>
              <w:rPr>
                <w:rFonts w:ascii="宋体" w:eastAsia="宋体" w:hAnsi="宋体" w:cs="宋体" w:hint="eastAsia"/>
                <w:bCs/>
                <w:kern w:val="2"/>
                <w:sz w:val="21"/>
                <w:szCs w:val="22"/>
                <w:lang w:eastAsia="zh-CN"/>
              </w:rPr>
            </w:pPr>
            <w:r>
              <w:rPr>
                <w:rFonts w:ascii="宋体" w:eastAsia="宋体" w:hAnsi="宋体" w:cs="宋体" w:hint="eastAsia"/>
                <w:bCs/>
                <w:kern w:val="2"/>
                <w:sz w:val="21"/>
                <w:szCs w:val="22"/>
                <w:lang w:eastAsia="zh-CN"/>
              </w:rPr>
              <w:t>2、因财政资金拨款未到位而导致甲方未在约定期限内支付合同费用的，中标供应商不得要求采购人承担逾期付款的违约责任。每次付款前，中标供应商应需先提供相应额度的正规发票给采购人，以便办理支付手续。</w:t>
            </w:r>
          </w:p>
        </w:tc>
      </w:tr>
      <w:tr>
        <w:tblPrEx>
          <w:tblW w:w="5000" w:type="pct"/>
          <w:tblInd w:w="108" w:type="dxa"/>
          <w:tblLayout w:type="fixed"/>
          <w:tblCellMar>
            <w:top w:w="0" w:type="dxa"/>
            <w:left w:w="108" w:type="dxa"/>
            <w:bottom w:w="0" w:type="dxa"/>
            <w:right w:w="108" w:type="dxa"/>
          </w:tblCellMar>
        </w:tblPrEx>
        <w:trPr>
          <w:trHeight w:val="350"/>
        </w:trPr>
        <w:tc>
          <w:tcPr>
            <w:tcW w:w="1260" w:type="dxa"/>
            <w:noWrap w:val="0"/>
            <w:vAlign w:val="center"/>
          </w:tcPr>
          <w:p>
            <w:pPr>
              <w:widowControl w:val="0"/>
              <w:jc w:val="center"/>
              <w:rPr>
                <w:rFonts w:ascii="Calibri" w:eastAsia="宋体" w:hAnsi="Calibri" w:hint="eastAsia"/>
                <w:bCs/>
                <w:kern w:val="2"/>
                <w:sz w:val="21"/>
                <w:szCs w:val="22"/>
                <w:lang w:eastAsia="zh-CN"/>
              </w:rPr>
            </w:pPr>
            <w:r>
              <w:rPr>
                <w:rFonts w:ascii="Calibri" w:eastAsia="宋体" w:hAnsi="Calibri" w:cstheme="minorBidi" w:hint="eastAsia"/>
                <w:bCs/>
                <w:kern w:val="2"/>
                <w:sz w:val="21"/>
                <w:szCs w:val="22"/>
                <w:lang w:eastAsia="zh-CN"/>
              </w:rPr>
              <w:t>6</w:t>
            </w:r>
          </w:p>
        </w:tc>
        <w:tc>
          <w:tcPr>
            <w:tcW w:w="1620" w:type="dxa"/>
            <w:noWrap w:val="0"/>
            <w:vAlign w:val="center"/>
          </w:tcPr>
          <w:p>
            <w:pPr>
              <w:widowControl w:val="0"/>
              <w:jc w:val="center"/>
              <w:rPr>
                <w:rFonts w:ascii="Calibri" w:eastAsia="宋体" w:hAnsi="Calibri" w:hint="eastAsia"/>
                <w:bCs/>
                <w:kern w:val="2"/>
                <w:sz w:val="21"/>
                <w:szCs w:val="22"/>
                <w:lang w:eastAsia="zh-CN"/>
              </w:rPr>
            </w:pPr>
            <w:r>
              <w:rPr>
                <w:rFonts w:ascii="Calibri" w:eastAsia="宋体" w:hAnsi="Calibri" w:cstheme="minorBidi" w:hint="eastAsia"/>
                <w:bCs/>
                <w:kern w:val="2"/>
                <w:sz w:val="21"/>
                <w:szCs w:val="22"/>
                <w:lang w:eastAsia="zh-CN"/>
              </w:rPr>
              <w:t>投标报价要求</w:t>
            </w:r>
          </w:p>
        </w:tc>
        <w:tc>
          <w:tcPr>
            <w:tcW w:w="6506" w:type="dxa"/>
            <w:noWrap w:val="0"/>
            <w:vAlign w:val="top"/>
          </w:tcPr>
          <w:p>
            <w:pPr>
              <w:widowControl w:val="0"/>
              <w:jc w:val="both"/>
              <w:rPr>
                <w:rFonts w:ascii="宋体" w:eastAsia="宋体" w:hAnsi="宋体" w:cs="宋体" w:hint="eastAsia"/>
                <w:bCs/>
                <w:kern w:val="2"/>
                <w:sz w:val="21"/>
                <w:szCs w:val="22"/>
                <w:lang w:eastAsia="zh-CN"/>
              </w:rPr>
            </w:pPr>
            <w:r>
              <w:rPr>
                <w:rFonts w:ascii="宋体" w:eastAsia="宋体" w:hAnsi="宋体" w:cs="宋体" w:hint="eastAsia"/>
                <w:bCs/>
                <w:kern w:val="2"/>
                <w:sz w:val="21"/>
                <w:szCs w:val="22"/>
                <w:lang w:eastAsia="zh-CN"/>
              </w:rPr>
              <w:t>1、本项目服务费采用包干制，应包括服务成本、法定税费和利润。由投标人根据采购文件所提供的资料自行测算投标报价；一经中标，投标报价总价作为中标单位与采购单位签定的合同金额，合同期限内不做调整；</w:t>
            </w:r>
          </w:p>
          <w:p>
            <w:pPr>
              <w:widowControl w:val="0"/>
              <w:jc w:val="both"/>
              <w:rPr>
                <w:rFonts w:ascii="宋体" w:eastAsia="宋体" w:hAnsi="宋体" w:cs="宋体" w:hint="eastAsia"/>
                <w:bCs/>
                <w:kern w:val="2"/>
                <w:sz w:val="21"/>
                <w:szCs w:val="22"/>
                <w:lang w:eastAsia="zh-CN"/>
              </w:rPr>
            </w:pPr>
            <w:r>
              <w:rPr>
                <w:rFonts w:ascii="宋体" w:eastAsia="宋体" w:hAnsi="宋体" w:cs="宋体" w:hint="eastAsia"/>
                <w:bCs/>
                <w:kern w:val="2"/>
                <w:sz w:val="21"/>
                <w:szCs w:val="22"/>
                <w:lang w:eastAsia="zh-CN"/>
              </w:rPr>
              <w:t>2、投标人应根据其成本自行决定报价。评审小组认为投标人的报价明显低于其他通过符合性审查投标人的报价，有可能影响服务质量或不能诚信履约的，将会要求该投标人在评审现场合理的时间内提供书面说明，必要时提交相关证明材料。投标人不能证明其报价合理性的，评审委员会应将其作为无效投标处理。若评审小组对是否须由投标人作出报价合理性说明，以及书面说明是否采纳等判断不一致的，按照“少数服从多数”的原则确定评审小组的意见。</w:t>
            </w:r>
          </w:p>
          <w:p>
            <w:pPr>
              <w:widowControl w:val="0"/>
              <w:jc w:val="both"/>
              <w:rPr>
                <w:rFonts w:ascii="宋体" w:eastAsia="宋体" w:hAnsi="宋体" w:cs="宋体" w:hint="eastAsia"/>
                <w:bCs/>
                <w:kern w:val="2"/>
                <w:sz w:val="21"/>
                <w:szCs w:val="22"/>
                <w:lang w:eastAsia="zh-CN"/>
              </w:rPr>
            </w:pPr>
            <w:r>
              <w:rPr>
                <w:rFonts w:ascii="宋体" w:eastAsia="宋体" w:hAnsi="宋体" w:cs="宋体" w:hint="eastAsia"/>
                <w:bCs/>
                <w:kern w:val="2"/>
                <w:sz w:val="21"/>
                <w:szCs w:val="22"/>
                <w:lang w:eastAsia="zh-CN"/>
              </w:rPr>
              <w:t>3、投标人的投标报价不得超过财政预算限额，如设投标最高限价的，报价不得超过最高限价；</w:t>
            </w:r>
          </w:p>
          <w:p>
            <w:pPr>
              <w:widowControl w:val="0"/>
              <w:jc w:val="both"/>
              <w:rPr>
                <w:rFonts w:ascii="宋体" w:eastAsia="宋体" w:hAnsi="宋体" w:cs="宋体" w:hint="eastAsia"/>
                <w:bCs/>
                <w:kern w:val="2"/>
                <w:sz w:val="21"/>
                <w:szCs w:val="22"/>
                <w:lang w:eastAsia="zh-CN"/>
              </w:rPr>
            </w:pPr>
            <w:r>
              <w:rPr>
                <w:rFonts w:ascii="宋体" w:eastAsia="宋体" w:hAnsi="宋体" w:cs="宋体" w:hint="eastAsia"/>
                <w:bCs/>
                <w:kern w:val="2"/>
                <w:sz w:val="21"/>
                <w:szCs w:val="22"/>
                <w:lang w:eastAsia="zh-CN"/>
              </w:rPr>
              <w:t>4、投标人的投标报价，应是本项目采购范围和采购文件及合同条款上所列的各项内容中所述的全部，不得以任何理由予以重复，并以投标人在中提出的综合单价或总价为依据；</w:t>
            </w:r>
          </w:p>
          <w:p>
            <w:pPr>
              <w:widowControl w:val="0"/>
              <w:jc w:val="both"/>
              <w:rPr>
                <w:rFonts w:ascii="宋体" w:eastAsia="宋体" w:hAnsi="宋体" w:cs="宋体" w:hint="eastAsia"/>
                <w:bCs/>
                <w:kern w:val="2"/>
                <w:sz w:val="21"/>
                <w:szCs w:val="22"/>
                <w:lang w:eastAsia="zh-CN"/>
              </w:rPr>
            </w:pPr>
            <w:r>
              <w:rPr>
                <w:rFonts w:ascii="宋体" w:eastAsia="宋体" w:hAnsi="宋体" w:cs="宋体" w:hint="eastAsia"/>
                <w:bCs/>
                <w:kern w:val="2"/>
                <w:sz w:val="21"/>
                <w:szCs w:val="22"/>
                <w:lang w:eastAsia="zh-CN"/>
              </w:rPr>
              <w:t>5、除非采购代理机构通过修改采购文件予以更正，否则，投标人应毫无例外地按采购文件所列的清单中项目和数量填报综合单价和合价。投标人未填综合单价或合价的项目，视作该项费用已包括在其它有价款的综合单价或合价内；</w:t>
            </w:r>
          </w:p>
          <w:p>
            <w:pPr>
              <w:widowControl w:val="0"/>
              <w:jc w:val="both"/>
              <w:rPr>
                <w:rFonts w:ascii="宋体" w:eastAsia="宋体" w:hAnsi="宋体" w:cs="宋体" w:hint="eastAsia"/>
                <w:bCs/>
                <w:kern w:val="2"/>
                <w:sz w:val="21"/>
                <w:szCs w:val="22"/>
                <w:lang w:eastAsia="zh-CN"/>
              </w:rPr>
            </w:pPr>
            <w:r>
              <w:rPr>
                <w:rFonts w:ascii="宋体" w:eastAsia="宋体" w:hAnsi="宋体" w:cs="宋体" w:hint="eastAsia"/>
                <w:bCs/>
                <w:kern w:val="2"/>
                <w:sz w:val="21"/>
                <w:szCs w:val="22"/>
                <w:lang w:eastAsia="zh-CN"/>
              </w:rPr>
              <w:t>7、投标人应先到项目地点踏勘以充分了解项目的位置、情况、道路及任何其它足以影响投标报价的情况，任何因忽视或误解项目情况而导致的索赔或服务期限延长申请将不获批准；</w:t>
            </w:r>
          </w:p>
          <w:p>
            <w:pPr>
              <w:widowControl w:val="0"/>
              <w:jc w:val="both"/>
              <w:rPr>
                <w:rFonts w:ascii="宋体" w:eastAsia="宋体" w:hAnsi="宋体" w:cs="宋体" w:hint="eastAsia"/>
                <w:bCs/>
                <w:kern w:val="2"/>
                <w:sz w:val="21"/>
                <w:szCs w:val="22"/>
                <w:lang w:eastAsia="zh-CN"/>
              </w:rPr>
            </w:pPr>
            <w:r>
              <w:rPr>
                <w:rFonts w:ascii="宋体" w:eastAsia="宋体" w:hAnsi="宋体" w:cs="宋体" w:hint="eastAsia"/>
                <w:bCs/>
                <w:kern w:val="2"/>
                <w:sz w:val="21"/>
                <w:szCs w:val="22"/>
                <w:lang w:eastAsia="zh-CN"/>
              </w:rPr>
              <w:t>8、投标人不得期望通过索赔等方式获取补偿，否则，除可能遭到拒绝外，还可能将被作为不良行为记录在案，并可能影响其以后参加龙华区教育系统自行采购的项目投标。各投标人在投标报价时，应充分考虑投标报价的风险。</w:t>
            </w:r>
          </w:p>
        </w:tc>
      </w:tr>
    </w:tbl>
    <w:p>
      <w:pPr>
        <w:widowControl w:val="0"/>
        <w:ind w:firstLine="420" w:firstLineChars="200"/>
        <w:jc w:val="both"/>
        <w:rPr>
          <w:rFonts w:ascii="Calibri" w:eastAsia="宋体" w:hAnsi="Calibri" w:hint="eastAsia"/>
          <w:b/>
          <w:kern w:val="2"/>
          <w:sz w:val="21"/>
          <w:szCs w:val="21"/>
          <w:lang w:eastAsia="zh-CN"/>
        </w:rPr>
      </w:pPr>
    </w:p>
    <w:p>
      <w:pPr>
        <w:widowControl w:val="0"/>
        <w:spacing w:line="360" w:lineRule="auto"/>
        <w:jc w:val="both"/>
        <w:rPr>
          <w:rFonts w:ascii="宋体" w:eastAsia="宋体" w:hAnsi="宋体" w:cs="宋体"/>
          <w:kern w:val="2"/>
          <w:sz w:val="21"/>
          <w:szCs w:val="21"/>
          <w:lang w:eastAsia="zh-CN"/>
        </w:rPr>
      </w:pPr>
    </w:p>
    <w:p>
      <w:pPr>
        <w:keepNext/>
        <w:keepLines/>
        <w:widowControl w:val="0"/>
        <w:tabs>
          <w:tab w:val="left" w:pos="1680"/>
        </w:tabs>
        <w:spacing w:before="260" w:after="60" w:afterLines="25"/>
        <w:jc w:val="center"/>
        <w:outlineLvl w:val="2"/>
        <w:rPr>
          <w:rFonts w:ascii="Arial" w:eastAsia="宋体" w:hAnsi="Arial"/>
          <w:b/>
          <w:bCs/>
          <w:kern w:val="2"/>
          <w:sz w:val="32"/>
          <w:szCs w:val="32"/>
          <w:lang w:eastAsia="zh-CN"/>
        </w:rPr>
      </w:pPr>
      <w:r>
        <w:rPr>
          <w:rFonts w:ascii="Arial" w:eastAsia="宋体" w:hAnsi="Arial" w:hint="eastAsia"/>
          <w:b/>
          <w:bCs/>
          <w:kern w:val="2"/>
          <w:sz w:val="32"/>
          <w:szCs w:val="32"/>
          <w:lang w:eastAsia="zh-CN"/>
        </w:rPr>
        <w:t>五、技术要求</w:t>
      </w:r>
    </w:p>
    <w:p>
      <w:pPr>
        <w:widowControl w:val="0"/>
        <w:jc w:val="both"/>
        <w:rPr>
          <w:rFonts w:ascii="Calibri" w:eastAsia="宋体" w:hAnsi="Calibri" w:hint="eastAsia"/>
          <w:b/>
          <w:color w:val="000000"/>
          <w:kern w:val="2"/>
          <w:sz w:val="21"/>
          <w:szCs w:val="21"/>
          <w:lang w:eastAsia="zh-CN"/>
        </w:rPr>
      </w:pPr>
      <w:r>
        <w:rPr>
          <w:rFonts w:ascii="Calibri" w:eastAsia="宋体" w:hAnsi="Calibri" w:cstheme="minorBidi" w:hint="eastAsia"/>
          <w:b/>
          <w:color w:val="000000"/>
          <w:kern w:val="2"/>
          <w:sz w:val="21"/>
          <w:szCs w:val="21"/>
          <w:lang w:eastAsia="zh-CN"/>
        </w:rPr>
        <w:t>说明：</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ascii="Calibri" w:eastAsia="宋体" w:hAnsi="Calibri" w:hint="eastAsia"/>
          <w:bCs/>
          <w:kern w:val="2"/>
          <w:sz w:val="21"/>
          <w:szCs w:val="21"/>
          <w:lang w:eastAsia="zh-CN"/>
        </w:rPr>
      </w:pPr>
      <w:r>
        <w:rPr>
          <w:rFonts w:ascii="Calibri" w:eastAsia="宋体" w:hAnsi="Calibri" w:cstheme="minorBidi" w:hint="eastAsia"/>
          <w:bCs/>
          <w:kern w:val="2"/>
          <w:sz w:val="21"/>
          <w:szCs w:val="21"/>
          <w:lang w:eastAsia="zh-CN"/>
        </w:rPr>
        <w:t>1、</w:t>
      </w:r>
      <w:r>
        <w:rPr>
          <w:rFonts w:ascii="Calibri" w:eastAsia="宋体" w:hAnsi="Calibri" w:cstheme="minorBidi" w:hint="eastAsia"/>
          <w:bCs/>
          <w:kern w:val="2"/>
          <w:sz w:val="21"/>
          <w:szCs w:val="22"/>
          <w:lang w:eastAsia="zh-CN"/>
        </w:rPr>
        <w:t>评分时，如对一项招标技术要求（以划分框为准）中的内容存在两处（或以上）负偏离的，在评分时只作一项负偏离扣分。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Cs/>
          <w:kern w:val="2"/>
          <w:sz w:val="21"/>
          <w:szCs w:val="21"/>
          <w:highlight w:val="yellow"/>
          <w:lang w:eastAsia="zh-CN"/>
        </w:rPr>
      </w:pPr>
      <w:r>
        <w:rPr>
          <w:rFonts w:ascii="宋体" w:eastAsia="宋体" w:hAnsi="宋体" w:cs="宋体" w:hint="eastAsia"/>
          <w:bCs/>
          <w:kern w:val="2"/>
          <w:sz w:val="21"/>
          <w:szCs w:val="21"/>
          <w:lang w:eastAsia="zh-CN"/>
        </w:rPr>
        <w:t>2、带★号条款为不可负偏离条款，不作为评分准则中的评分内容，如未响应或出现负偏离的，将作投标无效处理。带▲号参数为重要参数，其他参数（非▲号参数）为普通参数，如出现负偏离，将按照评分准则做扣分处理。如注明要求提供相关佐证材料的，需以佐证材料作为是否偏离的依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3、所列的技术参数需求中如出现品牌信息仅供参考，不作为参数要求，目的只为投标人更清楚地了解采购需求，投标人可提供其他品牌设备投标。</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4、如有方案或参数表述中有出现类似可实现、实现、可支持、支持等描述的，均表示方案或参数需要实现的功能或应满足的要求，即项目在验收时无须增加其他额外设备或系统，使用本项目中的设备或系统即能实现相应功能或满足相关要求。</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5、针对招标文件产品技术参数如涉及相关既定值、单向范围值、区间范围值的，投标技术参数响应方式举例说明如下：</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（1）涉及相关既定值的，例：招标技术参数要求值为“20L”，投标技术参数响应值与“20L”不一致的，均视为负偏离；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6、检验（检测）报告要求具有CMA、CNAS等标识的，若有材料证明相关检测事项不在实施该项检测的机构许可（认可）CMA、CNAS等资质范围或检测范围内的，该检验（检测）报告视为不满足招标文件要求，作负偏离处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7、相关证明材料的产品名称与招标文件要求的名称不完全一致的，需提供为同种产品的说明；若名称不完全一致又未提供说明的，由评审委员会判定是否符合文件要求。</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91"/>
        <w:gridCol w:w="1741"/>
        <w:gridCol w:w="6024"/>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0"/>
          <w:jc w:val="center"/>
        </w:trPr>
        <w:tc>
          <w:tcPr>
            <w:tcW w:w="1081" w:type="dxa"/>
            <w:noWrap w:val="0"/>
            <w:vAlign w:val="center"/>
          </w:tcPr>
          <w:p>
            <w:pPr>
              <w:widowControl w:val="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序号</w:t>
            </w:r>
          </w:p>
        </w:tc>
        <w:tc>
          <w:tcPr>
            <w:tcW w:w="1725" w:type="dxa"/>
            <w:noWrap w:val="0"/>
            <w:vAlign w:val="center"/>
          </w:tcPr>
          <w:p>
            <w:pPr>
              <w:widowControl/>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货物名称</w:t>
            </w:r>
          </w:p>
        </w:tc>
        <w:tc>
          <w:tcPr>
            <w:tcW w:w="5969" w:type="dxa"/>
            <w:noWrap w:val="0"/>
            <w:vAlign w:val="center"/>
          </w:tcPr>
          <w:p>
            <w:pPr>
              <w:widowControl w:val="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招标技术要求</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val="restart"/>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p>
        </w:tc>
        <w:tc>
          <w:tcPr>
            <w:tcW w:w="1725" w:type="dxa"/>
            <w:vMerge w:val="restart"/>
            <w:noWrap w:val="0"/>
            <w:vAlign w:val="center"/>
          </w:tcPr>
          <w:p>
            <w:pPr>
              <w:widowControl/>
              <w:jc w:val="center"/>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智能书包柜1</w:t>
            </w:r>
          </w:p>
        </w:tc>
        <w:tc>
          <w:tcPr>
            <w:tcW w:w="5969" w:type="dxa"/>
            <w:noWrap w:val="0"/>
            <w:vAlign w:val="top"/>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1.规格：（W4395*D400*H1900）mm±20mm；</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noWrap w:val="0"/>
            <w:vAlign w:val="center"/>
          </w:tcPr>
          <w:p>
            <w:pPr>
              <w:widowControl w:val="0"/>
              <w:jc w:val="center"/>
              <w:rPr>
                <w:rFonts w:ascii="宋体" w:eastAsia="宋体" w:hAnsi="宋体" w:cs="宋体" w:hint="eastAsia"/>
                <w:kern w:val="2"/>
                <w:sz w:val="21"/>
                <w:szCs w:val="21"/>
                <w:lang w:eastAsia="zh-CN"/>
              </w:rPr>
            </w:pPr>
          </w:p>
        </w:tc>
        <w:tc>
          <w:tcPr>
            <w:tcW w:w="1725" w:type="dxa"/>
            <w:vMerge/>
            <w:noWrap w:val="0"/>
            <w:vAlign w:val="center"/>
          </w:tcPr>
          <w:p>
            <w:pPr>
              <w:widowControl/>
              <w:jc w:val="center"/>
              <w:textAlignment w:val="center"/>
              <w:rPr>
                <w:rFonts w:ascii="宋体" w:eastAsia="宋体" w:hAnsi="宋体" w:cs="宋体" w:hint="eastAsia"/>
                <w:kern w:val="2"/>
                <w:sz w:val="21"/>
                <w:szCs w:val="21"/>
                <w:lang w:eastAsia="zh-CN"/>
              </w:rPr>
            </w:pPr>
          </w:p>
        </w:tc>
        <w:tc>
          <w:tcPr>
            <w:tcW w:w="5969" w:type="dxa"/>
            <w:noWrap w:val="0"/>
            <w:vAlign w:val="top"/>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2.整体采用≥1.0mm厚冷轧钢板，经折弯、冲压加工成型后，用二氧化碳保护焊焊接装配而成。</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noWrap w:val="0"/>
            <w:vAlign w:val="center"/>
          </w:tcPr>
          <w:p>
            <w:pPr>
              <w:widowControl w:val="0"/>
              <w:jc w:val="center"/>
              <w:rPr>
                <w:rFonts w:ascii="宋体" w:eastAsia="宋体" w:hAnsi="宋体" w:cs="宋体" w:hint="eastAsia"/>
                <w:kern w:val="2"/>
                <w:sz w:val="21"/>
                <w:szCs w:val="21"/>
                <w:lang w:eastAsia="zh-CN"/>
              </w:rPr>
            </w:pPr>
          </w:p>
        </w:tc>
        <w:tc>
          <w:tcPr>
            <w:tcW w:w="1725" w:type="dxa"/>
            <w:vMerge/>
            <w:noWrap w:val="0"/>
            <w:vAlign w:val="center"/>
          </w:tcPr>
          <w:p>
            <w:pPr>
              <w:widowControl/>
              <w:jc w:val="center"/>
              <w:textAlignment w:val="center"/>
              <w:rPr>
                <w:rFonts w:ascii="宋体" w:eastAsia="宋体" w:hAnsi="宋体" w:cs="宋体" w:hint="eastAsia"/>
                <w:kern w:val="2"/>
                <w:sz w:val="21"/>
                <w:szCs w:val="21"/>
                <w:lang w:eastAsia="zh-CN"/>
              </w:rPr>
            </w:pPr>
          </w:p>
        </w:tc>
        <w:tc>
          <w:tcPr>
            <w:tcW w:w="5969" w:type="dxa"/>
            <w:noWrap w:val="0"/>
            <w:vAlign w:val="top"/>
          </w:tcPr>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3.储物柜</w:t>
            </w:r>
            <w:r>
              <w:rPr>
                <w:rFonts w:ascii="宋体" w:eastAsia="宋体" w:hAnsi="宋体" w:cs="宋体" w:hint="eastAsia"/>
                <w:sz w:val="21"/>
                <w:szCs w:val="21"/>
                <w:lang w:eastAsia="zh-CN"/>
              </w:rPr>
              <w:t>顶板经折弯后厚度≤30mm，侧面板经折弯后厚度≤15mm，主柜应急维护门宽度≤130mm，副柜应急维护门宽度≤30mm，门柱内侧加装2.0mm±0.5mm折边，门销为不锈钢材质，箱门两侧呈一定角度的弧线外形，增强箱门的防撞击能力，电控锁采用棘爪式。整组柜子应用螺丝连接，并与墙壁固定。所有钢材焊接口打磨光滑，钢材经除油、除锈、水基脱脂、水基中和，表面调整、磷化等工序后静电喷环氧型树脂粉沫涂料，经200℃高温固化而成，塑膜的光泽度、附着力、硬度、耐冲力等均符合GB/T3325-2017《金属家具通用技术条件》检验标准，柜门板应有编号。</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noWrap w:val="0"/>
            <w:vAlign w:val="center"/>
          </w:tcPr>
          <w:p>
            <w:pPr>
              <w:widowControl w:val="0"/>
              <w:jc w:val="center"/>
              <w:rPr>
                <w:rFonts w:ascii="宋体" w:eastAsia="宋体" w:hAnsi="宋体" w:cs="宋体" w:hint="eastAsia"/>
                <w:kern w:val="2"/>
                <w:sz w:val="21"/>
                <w:szCs w:val="21"/>
                <w:lang w:eastAsia="zh-CN"/>
              </w:rPr>
            </w:pPr>
          </w:p>
        </w:tc>
        <w:tc>
          <w:tcPr>
            <w:tcW w:w="1725" w:type="dxa"/>
            <w:vMerge/>
            <w:noWrap w:val="0"/>
            <w:vAlign w:val="center"/>
          </w:tcPr>
          <w:p>
            <w:pPr>
              <w:widowControl/>
              <w:jc w:val="center"/>
              <w:textAlignment w:val="center"/>
              <w:rPr>
                <w:rFonts w:ascii="宋体" w:eastAsia="宋体" w:hAnsi="宋体" w:cs="宋体" w:hint="eastAsia"/>
                <w:kern w:val="2"/>
                <w:sz w:val="21"/>
                <w:szCs w:val="21"/>
                <w:lang w:eastAsia="zh-CN"/>
              </w:rPr>
            </w:pPr>
          </w:p>
        </w:tc>
        <w:tc>
          <w:tcPr>
            <w:tcW w:w="5969" w:type="dxa"/>
            <w:noWrap w:val="0"/>
            <w:vAlign w:val="top"/>
          </w:tcPr>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r>
              <w:rPr>
                <w:rFonts w:ascii="宋体" w:eastAsia="宋体" w:hAnsi="宋体" w:cs="宋体" w:hint="eastAsia"/>
                <w:sz w:val="21"/>
                <w:szCs w:val="21"/>
                <w:lang w:eastAsia="zh-CN"/>
              </w:rPr>
              <w:t>柜体带有可旋转的地脚以保证设备放置平稳（柜底调节，非柜内调节）；</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noWrap w:val="0"/>
            <w:vAlign w:val="center"/>
          </w:tcPr>
          <w:p>
            <w:pPr>
              <w:widowControl w:val="0"/>
              <w:jc w:val="center"/>
              <w:rPr>
                <w:rFonts w:ascii="宋体" w:eastAsia="宋体" w:hAnsi="宋体" w:cs="宋体" w:hint="eastAsia"/>
                <w:kern w:val="2"/>
                <w:sz w:val="21"/>
                <w:szCs w:val="21"/>
                <w:lang w:eastAsia="zh-CN"/>
              </w:rPr>
            </w:pPr>
          </w:p>
        </w:tc>
        <w:tc>
          <w:tcPr>
            <w:tcW w:w="1725" w:type="dxa"/>
            <w:vMerge/>
            <w:noWrap w:val="0"/>
            <w:vAlign w:val="center"/>
          </w:tcPr>
          <w:p>
            <w:pPr>
              <w:widowControl/>
              <w:jc w:val="center"/>
              <w:textAlignment w:val="center"/>
              <w:rPr>
                <w:rFonts w:ascii="宋体" w:eastAsia="宋体" w:hAnsi="宋体" w:cs="宋体" w:hint="eastAsia"/>
                <w:kern w:val="2"/>
                <w:sz w:val="21"/>
                <w:szCs w:val="21"/>
                <w:lang w:eastAsia="zh-CN"/>
              </w:rPr>
            </w:pPr>
          </w:p>
        </w:tc>
        <w:tc>
          <w:tcPr>
            <w:tcW w:w="5969" w:type="dxa"/>
            <w:noWrap w:val="0"/>
            <w:vAlign w:val="top"/>
          </w:tcPr>
          <w:p>
            <w:pPr>
              <w:widowControl w:val="0"/>
              <w:snapToGrid w:val="0"/>
              <w:spacing w:line="300" w:lineRule="auto"/>
              <w:ind w:firstLine="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5.系统框架描述和设计方案</w:t>
            </w:r>
          </w:p>
          <w:p>
            <w:pPr>
              <w:widowControl w:val="0"/>
              <w:snapToGrid w:val="0"/>
              <w:spacing w:line="300" w:lineRule="auto"/>
              <w:ind w:firstLine="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1）单片机集成系统的基础上，基于T5LISIC的≥4.3英寸480*80016.7M色、IPS、标准指令集（TA）/DGUS二代系统、智能屏。</w:t>
            </w:r>
          </w:p>
          <w:p>
            <w:pPr>
              <w:widowControl w:val="0"/>
              <w:snapToGrid w:val="0"/>
              <w:spacing w:line="30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2）电性能参数:工作电压：4.6-5.5区间内（单位：V）</w:t>
            </w:r>
          </w:p>
          <w:p>
            <w:pPr>
              <w:widowControl w:val="0"/>
              <w:snapToGrid w:val="0"/>
              <w:spacing w:line="30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3）工作电流：Typ:170-200区间内（单位：mA）</w:t>
            </w:r>
          </w:p>
          <w:p>
            <w:pPr>
              <w:widowControl w:val="0"/>
              <w:snapToGrid w:val="0"/>
              <w:spacing w:line="30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4）串口波特率:3150-3225600区间内（单位：bps）</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sz w:val="21"/>
                <w:szCs w:val="21"/>
                <w:lang w:eastAsia="zh-CN"/>
              </w:rPr>
              <w:t>5）用户接口方式：至少包含10Pin_1.0mmFCC座子10Pin_1.0mmFCCSocker</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noWrap w:val="0"/>
            <w:vAlign w:val="center"/>
          </w:tcPr>
          <w:p>
            <w:pPr>
              <w:widowControl w:val="0"/>
              <w:jc w:val="center"/>
              <w:rPr>
                <w:rFonts w:ascii="宋体" w:eastAsia="宋体" w:hAnsi="宋体" w:cs="宋体" w:hint="eastAsia"/>
                <w:kern w:val="2"/>
                <w:sz w:val="21"/>
                <w:szCs w:val="21"/>
                <w:lang w:eastAsia="zh-CN"/>
              </w:rPr>
            </w:pPr>
          </w:p>
        </w:tc>
        <w:tc>
          <w:tcPr>
            <w:tcW w:w="1725" w:type="dxa"/>
            <w:vMerge/>
            <w:noWrap w:val="0"/>
            <w:vAlign w:val="center"/>
          </w:tcPr>
          <w:p>
            <w:pPr>
              <w:widowControl/>
              <w:jc w:val="center"/>
              <w:textAlignment w:val="center"/>
              <w:rPr>
                <w:rFonts w:ascii="宋体" w:eastAsia="宋体" w:hAnsi="宋体" w:cs="宋体" w:hint="eastAsia"/>
                <w:kern w:val="2"/>
                <w:sz w:val="21"/>
                <w:szCs w:val="21"/>
                <w:lang w:eastAsia="zh-CN"/>
              </w:rPr>
            </w:pPr>
          </w:p>
        </w:tc>
        <w:tc>
          <w:tcPr>
            <w:tcW w:w="5969" w:type="dxa"/>
            <w:noWrap w:val="0"/>
            <w:vAlign w:val="top"/>
          </w:tcPr>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sz w:val="21"/>
                <w:szCs w:val="21"/>
                <w:lang w:eastAsia="zh-CN"/>
              </w:rPr>
              <w:t>6.</w:t>
            </w:r>
            <w:r>
              <w:rPr>
                <w:rFonts w:ascii="宋体" w:eastAsia="宋体" w:hAnsi="宋体" w:cs="宋体" w:hint="eastAsia"/>
                <w:kern w:val="2"/>
                <w:sz w:val="21"/>
                <w:szCs w:val="21"/>
                <w:lang w:eastAsia="zh-CN"/>
              </w:rPr>
              <w:t>设计方案：</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1）主控板和锁控板分离设计，FT12锁控板和EV19锁板级联控制电控锁。</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2）锁控制主板采用的主芯片存储器具有中等密度程序和数据存储器</w:t>
            </w:r>
            <w:r>
              <w:rPr>
                <w:rFonts w:ascii="Calibri" w:eastAsia="宋体" w:hAnsi="Calibri" w:cstheme="minorBidi" w:hint="eastAsia"/>
                <w:kern w:val="2"/>
                <w:sz w:val="21"/>
                <w:szCs w:val="22"/>
                <w:lang w:eastAsia="zh-CN"/>
              </w:rPr>
              <w:t>≥</w:t>
            </w:r>
            <w:r>
              <w:rPr>
                <w:rFonts w:ascii="宋体" w:eastAsia="宋体" w:hAnsi="宋体" w:cs="宋体" w:hint="eastAsia"/>
                <w:kern w:val="2"/>
                <w:sz w:val="21"/>
                <w:szCs w:val="21"/>
                <w:lang w:eastAsia="zh-CN"/>
              </w:rPr>
              <w:t>32K字节Flash，</w:t>
            </w:r>
            <w:r>
              <w:rPr>
                <w:rFonts w:ascii="Calibri" w:eastAsia="宋体" w:hAnsi="Calibri" w:cstheme="minorBidi" w:hint="eastAsia"/>
                <w:kern w:val="2"/>
                <w:sz w:val="21"/>
                <w:szCs w:val="22"/>
                <w:lang w:eastAsia="zh-CN"/>
              </w:rPr>
              <w:t>≥</w:t>
            </w:r>
            <w:r>
              <w:rPr>
                <w:rFonts w:ascii="宋体" w:eastAsia="宋体" w:hAnsi="宋体" w:cs="宋体" w:hint="eastAsia"/>
                <w:kern w:val="2"/>
                <w:sz w:val="21"/>
                <w:szCs w:val="21"/>
                <w:lang w:eastAsia="zh-CN"/>
              </w:rPr>
              <w:t>10K次擦写后在55°C环境下数据可保存≥20年数据存储器：</w:t>
            </w:r>
            <w:r>
              <w:rPr>
                <w:rFonts w:ascii="Calibri" w:eastAsia="宋体" w:hAnsi="Calibri" w:cstheme="minorBidi" w:hint="eastAsia"/>
                <w:kern w:val="2"/>
                <w:sz w:val="21"/>
                <w:szCs w:val="22"/>
                <w:lang w:eastAsia="zh-CN"/>
              </w:rPr>
              <w:t>≥</w:t>
            </w:r>
            <w:r>
              <w:rPr>
                <w:rFonts w:ascii="宋体" w:eastAsia="宋体" w:hAnsi="宋体" w:cs="宋体" w:hint="eastAsia"/>
                <w:kern w:val="2"/>
                <w:sz w:val="21"/>
                <w:szCs w:val="21"/>
                <w:lang w:eastAsia="zh-CN"/>
              </w:rPr>
              <w:t>1K字节真正的数据EEPROM；</w:t>
            </w:r>
            <w:r>
              <w:rPr>
                <w:rFonts w:ascii="Calibri" w:eastAsia="宋体" w:hAnsi="Calibri" w:cstheme="minorBidi" w:hint="eastAsia"/>
                <w:kern w:val="2"/>
                <w:sz w:val="21"/>
                <w:szCs w:val="22"/>
                <w:lang w:eastAsia="zh-CN"/>
              </w:rPr>
              <w:t>≥</w:t>
            </w:r>
            <w:r>
              <w:rPr>
                <w:rFonts w:ascii="宋体" w:eastAsia="宋体" w:hAnsi="宋体" w:cs="宋体" w:hint="eastAsia"/>
                <w:kern w:val="2"/>
                <w:sz w:val="21"/>
                <w:szCs w:val="21"/>
                <w:lang w:eastAsia="zh-CN"/>
              </w:rPr>
              <w:t>30万次擦写。</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3）FT12电路板具有反接保护，具有数据加密功能。</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4）供电：额定12V。极限情况下10V-18V。一般工作电流20mA。</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5）使用RS232接口，标准的DB9串口母座，与安卓机交互通信。</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6）通讯方式：RS485总线，</w:t>
            </w:r>
            <w:r>
              <w:rPr>
                <w:rFonts w:ascii="Calibri" w:eastAsia="宋体" w:hAnsi="Calibri" w:cstheme="minorBidi" w:hint="eastAsia"/>
                <w:kern w:val="2"/>
                <w:sz w:val="21"/>
                <w:szCs w:val="22"/>
                <w:lang w:eastAsia="zh-CN"/>
              </w:rPr>
              <w:t>≥</w:t>
            </w:r>
            <w:r>
              <w:rPr>
                <w:rFonts w:ascii="宋体" w:eastAsia="宋体" w:hAnsi="宋体" w:cs="宋体" w:hint="eastAsia"/>
                <w:kern w:val="2"/>
                <w:sz w:val="21"/>
                <w:szCs w:val="21"/>
                <w:lang w:eastAsia="zh-CN"/>
              </w:rPr>
              <w:t>9600bps；RS232总线，</w:t>
            </w:r>
            <w:r>
              <w:rPr>
                <w:rFonts w:ascii="Calibri" w:eastAsia="宋体" w:hAnsi="Calibri" w:cstheme="minorBidi" w:hint="eastAsia"/>
                <w:kern w:val="2"/>
                <w:sz w:val="21"/>
                <w:szCs w:val="22"/>
                <w:lang w:eastAsia="zh-CN"/>
              </w:rPr>
              <w:t>≥</w:t>
            </w:r>
            <w:r>
              <w:rPr>
                <w:rFonts w:ascii="宋体" w:eastAsia="宋体" w:hAnsi="宋体" w:cs="宋体" w:hint="eastAsia"/>
                <w:kern w:val="2"/>
                <w:sz w:val="21"/>
                <w:szCs w:val="21"/>
                <w:lang w:eastAsia="zh-CN"/>
              </w:rPr>
              <w:t>115200bps</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7）FT12锁控主板须有一键开启箱门功能，蜂鸣器响一次，开一个箱门。</w:t>
            </w:r>
          </w:p>
          <w:p>
            <w:pPr>
              <w:widowControl w:val="0"/>
              <w:snapToGrid w:val="0"/>
              <w:spacing w:line="300" w:lineRule="auto"/>
              <w:jc w:val="both"/>
              <w:rPr>
                <w:rFonts w:ascii="宋体" w:eastAsia="宋体" w:hAnsi="宋体" w:cs="宋体" w:hint="eastAsia"/>
                <w:sz w:val="21"/>
                <w:szCs w:val="21"/>
                <w:lang w:eastAsia="zh-CN"/>
              </w:rPr>
            </w:pPr>
            <w:r>
              <w:rPr>
                <w:rFonts w:ascii="宋体" w:eastAsia="宋体" w:hAnsi="宋体" w:cs="宋体" w:hint="eastAsia"/>
                <w:kern w:val="2"/>
                <w:sz w:val="21"/>
                <w:szCs w:val="21"/>
                <w:lang w:eastAsia="zh-CN"/>
              </w:rPr>
              <w:t>8）12合1端口EV19锁板须控制</w:t>
            </w:r>
            <w:r>
              <w:rPr>
                <w:rFonts w:ascii="Calibri" w:eastAsia="宋体" w:hAnsi="Calibri" w:cstheme="minorBidi" w:hint="eastAsia"/>
                <w:kern w:val="2"/>
                <w:sz w:val="21"/>
                <w:szCs w:val="22"/>
                <w:lang w:eastAsia="zh-CN"/>
              </w:rPr>
              <w:t>≥</w:t>
            </w:r>
            <w:r>
              <w:rPr>
                <w:rFonts w:ascii="宋体" w:eastAsia="宋体" w:hAnsi="宋体" w:cs="宋体" w:hint="eastAsia"/>
                <w:kern w:val="2"/>
                <w:sz w:val="21"/>
                <w:szCs w:val="21"/>
                <w:lang w:eastAsia="zh-CN"/>
              </w:rPr>
              <w:t>12把锁.每个锁控板须有独立的控制地址。</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noWrap w:val="0"/>
            <w:vAlign w:val="center"/>
          </w:tcPr>
          <w:p>
            <w:pPr>
              <w:widowControl w:val="0"/>
              <w:jc w:val="center"/>
              <w:rPr>
                <w:rFonts w:ascii="宋体" w:eastAsia="宋体" w:hAnsi="宋体" w:cs="宋体" w:hint="eastAsia"/>
                <w:kern w:val="2"/>
                <w:sz w:val="21"/>
                <w:szCs w:val="21"/>
                <w:lang w:eastAsia="zh-CN"/>
              </w:rPr>
            </w:pPr>
          </w:p>
        </w:tc>
        <w:tc>
          <w:tcPr>
            <w:tcW w:w="1725" w:type="dxa"/>
            <w:vMerge/>
            <w:noWrap w:val="0"/>
            <w:vAlign w:val="center"/>
          </w:tcPr>
          <w:p>
            <w:pPr>
              <w:widowControl/>
              <w:jc w:val="center"/>
              <w:textAlignment w:val="center"/>
              <w:rPr>
                <w:rFonts w:ascii="宋体" w:eastAsia="宋体" w:hAnsi="宋体" w:cs="宋体" w:hint="eastAsia"/>
                <w:kern w:val="2"/>
                <w:sz w:val="21"/>
                <w:szCs w:val="21"/>
                <w:lang w:eastAsia="zh-CN"/>
              </w:rPr>
            </w:pPr>
          </w:p>
        </w:tc>
        <w:tc>
          <w:tcPr>
            <w:tcW w:w="5969" w:type="dxa"/>
            <w:noWrap w:val="0"/>
            <w:vAlign w:val="top"/>
          </w:tcPr>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7.产品主要特点：</w:t>
            </w:r>
          </w:p>
          <w:p>
            <w:pPr>
              <w:widowControl/>
              <w:tabs>
                <w:tab w:val="left" w:pos="0"/>
              </w:tabs>
              <w:snapToGrid w:val="0"/>
              <w:spacing w:line="300" w:lineRule="auto"/>
              <w:ind w:left="-7" w:firstLine="7"/>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1）快速存取：只需在读卡感应区出示卡片感应，可直接打开对应箱门存取物品；</w:t>
            </w:r>
          </w:p>
          <w:p>
            <w:pPr>
              <w:widowControl/>
              <w:tabs>
                <w:tab w:val="left" w:pos="540"/>
              </w:tabs>
              <w:snapToGrid w:val="0"/>
              <w:spacing w:line="300" w:lineRule="auto"/>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2）灵活扩展：采用主拖副方式分体设计，一个主柜可扩展多个副柜。</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sz w:val="21"/>
                <w:szCs w:val="21"/>
                <w:lang w:eastAsia="zh-CN"/>
              </w:rPr>
              <w:t>3）</w:t>
            </w:r>
            <w:r>
              <w:rPr>
                <w:rFonts w:ascii="宋体" w:eastAsia="宋体" w:hAnsi="宋体" w:cs="宋体" w:hint="eastAsia"/>
                <w:kern w:val="2"/>
                <w:sz w:val="21"/>
                <w:szCs w:val="21"/>
                <w:lang w:eastAsia="zh-CN"/>
              </w:rPr>
              <w:t>高速主控芯片，停电仍保持数据。</w:t>
            </w:r>
          </w:p>
          <w:p>
            <w:pPr>
              <w:widowControl/>
              <w:tabs>
                <w:tab w:val="left" w:pos="540"/>
              </w:tabs>
              <w:snapToGrid w:val="0"/>
              <w:spacing w:line="300" w:lineRule="auto"/>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4）嵌入式系统控制：运行速度块、使用效率高、产品稳定性好。</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5）配备常亮指示灯，为用户正常开机使用，提供直观性。</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6）使用方便安全：操作全过程均有相应数据对比实现对应箱门打开。</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7）坚固耐用：采用特殊结构设计，锁紧机构安装在柜体内，开门操作由微主控心片控制，在紧急情况下，可通过特殊途径进行机械应急开锁。</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8）电源管理安全，市电220V经过柜体内安装的开关电源变压器转换后，输送到柜内各部分硬件电压不超过18V。</w:t>
            </w:r>
          </w:p>
          <w:p>
            <w:pPr>
              <w:widowControl w:val="0"/>
              <w:snapToGrid w:val="0"/>
              <w:spacing w:line="30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9）支持远程升级：提供终身无偿的增值服务，通过远程升级功能。</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noWrap w:val="0"/>
            <w:vAlign w:val="center"/>
          </w:tcPr>
          <w:p>
            <w:pPr>
              <w:widowControl w:val="0"/>
              <w:jc w:val="center"/>
              <w:rPr>
                <w:rFonts w:ascii="宋体" w:eastAsia="宋体" w:hAnsi="宋体" w:cs="宋体" w:hint="eastAsia"/>
                <w:kern w:val="2"/>
                <w:sz w:val="21"/>
                <w:szCs w:val="21"/>
                <w:lang w:eastAsia="zh-CN"/>
              </w:rPr>
            </w:pPr>
          </w:p>
        </w:tc>
        <w:tc>
          <w:tcPr>
            <w:tcW w:w="1725" w:type="dxa"/>
            <w:vMerge/>
            <w:noWrap w:val="0"/>
            <w:vAlign w:val="center"/>
          </w:tcPr>
          <w:p>
            <w:pPr>
              <w:widowControl/>
              <w:jc w:val="center"/>
              <w:textAlignment w:val="center"/>
              <w:rPr>
                <w:rFonts w:ascii="宋体" w:eastAsia="宋体" w:hAnsi="宋体" w:cs="宋体" w:hint="eastAsia"/>
                <w:kern w:val="2"/>
                <w:sz w:val="21"/>
                <w:szCs w:val="21"/>
                <w:lang w:eastAsia="zh-CN"/>
              </w:rPr>
            </w:pPr>
          </w:p>
        </w:tc>
        <w:tc>
          <w:tcPr>
            <w:tcW w:w="5969" w:type="dxa"/>
            <w:noWrap w:val="0"/>
            <w:vAlign w:val="top"/>
          </w:tcPr>
          <w:p>
            <w:pPr>
              <w:widowControl/>
              <w:snapToGrid w:val="0"/>
              <w:spacing w:line="300" w:lineRule="auto"/>
              <w:ind w:left="1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8.主要硬件接口类型：</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1）主板支持</w:t>
            </w:r>
            <w:r>
              <w:rPr>
                <w:rFonts w:ascii="Calibri" w:eastAsia="宋体" w:hAnsi="Calibri" w:cstheme="minorBidi" w:hint="eastAsia"/>
                <w:kern w:val="2"/>
                <w:sz w:val="21"/>
                <w:szCs w:val="22"/>
                <w:lang w:eastAsia="zh-CN"/>
              </w:rPr>
              <w:t>≥</w:t>
            </w:r>
            <w:r>
              <w:rPr>
                <w:rFonts w:ascii="宋体" w:eastAsia="宋体" w:hAnsi="宋体" w:cs="宋体" w:hint="eastAsia"/>
                <w:kern w:val="2"/>
                <w:sz w:val="21"/>
                <w:szCs w:val="21"/>
                <w:lang w:eastAsia="zh-CN"/>
              </w:rPr>
              <w:t>20块电磁锁控制板；电源DC8-16V；接口类型：DR9/232/PS2/RJ45/M1/RFID/</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2）电磁锁控制板 支持</w:t>
            </w:r>
            <w:r>
              <w:rPr>
                <w:rFonts w:ascii="Calibri" w:eastAsia="宋体" w:hAnsi="Calibri" w:cstheme="minorBidi" w:hint="eastAsia"/>
                <w:kern w:val="2"/>
                <w:sz w:val="21"/>
                <w:szCs w:val="22"/>
                <w:lang w:eastAsia="zh-CN"/>
              </w:rPr>
              <w:t>≥</w:t>
            </w:r>
            <w:r>
              <w:rPr>
                <w:rFonts w:ascii="宋体" w:eastAsia="宋体" w:hAnsi="宋体" w:cs="宋体" w:hint="eastAsia"/>
                <w:kern w:val="2"/>
                <w:sz w:val="21"/>
                <w:szCs w:val="21"/>
                <w:lang w:eastAsia="zh-CN"/>
              </w:rPr>
              <w:t>18位电磁锁控制</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3）读卡器接口类型：USB接口；取电方式：USB取电感应速度&lt;0.1S</w:t>
            </w:r>
          </w:p>
          <w:p>
            <w:pPr>
              <w:widowControl/>
              <w:snapToGrid w:val="0"/>
              <w:spacing w:line="300" w:lineRule="auto"/>
              <w:jc w:val="left"/>
              <w:rPr>
                <w:rFonts w:ascii="宋体" w:eastAsia="宋体" w:hAnsi="宋体" w:cs="宋体" w:hint="eastAsia"/>
                <w:sz w:val="21"/>
                <w:szCs w:val="21"/>
                <w:lang w:eastAsia="zh-CN"/>
              </w:rPr>
            </w:pPr>
            <w:r>
              <w:rPr>
                <w:rFonts w:ascii="宋体" w:eastAsia="宋体" w:hAnsi="宋体" w:cs="宋体" w:hint="eastAsia"/>
                <w:kern w:val="2"/>
                <w:sz w:val="21"/>
                <w:szCs w:val="21"/>
                <w:lang w:eastAsia="zh-CN"/>
              </w:rPr>
              <w:t>4）电控锁开锁检测：内置开锁位置检测；自弹式设计：弹力可调，可适用于0.5~4Kg重的门自弹。</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noWrap w:val="0"/>
            <w:vAlign w:val="center"/>
          </w:tcPr>
          <w:p>
            <w:pPr>
              <w:widowControl w:val="0"/>
              <w:jc w:val="center"/>
              <w:rPr>
                <w:rFonts w:ascii="宋体" w:eastAsia="宋体" w:hAnsi="宋体" w:cs="宋体" w:hint="eastAsia"/>
                <w:kern w:val="2"/>
                <w:sz w:val="21"/>
                <w:szCs w:val="21"/>
                <w:lang w:eastAsia="zh-CN"/>
              </w:rPr>
            </w:pPr>
          </w:p>
        </w:tc>
        <w:tc>
          <w:tcPr>
            <w:tcW w:w="1725" w:type="dxa"/>
            <w:vMerge/>
            <w:noWrap w:val="0"/>
            <w:vAlign w:val="center"/>
          </w:tcPr>
          <w:p>
            <w:pPr>
              <w:widowControl/>
              <w:jc w:val="center"/>
              <w:textAlignment w:val="center"/>
              <w:rPr>
                <w:rFonts w:ascii="宋体" w:eastAsia="宋体" w:hAnsi="宋体" w:cs="宋体" w:hint="eastAsia"/>
                <w:kern w:val="2"/>
                <w:sz w:val="21"/>
                <w:szCs w:val="21"/>
                <w:lang w:eastAsia="zh-CN"/>
              </w:rPr>
            </w:pPr>
          </w:p>
        </w:tc>
        <w:tc>
          <w:tcPr>
            <w:tcW w:w="5969" w:type="dxa"/>
            <w:noWrap w:val="0"/>
            <w:vAlign w:val="top"/>
          </w:tcPr>
          <w:p>
            <w:pPr>
              <w:widowControl/>
              <w:snapToGrid w:val="0"/>
              <w:spacing w:line="300" w:lineRule="auto"/>
              <w:ind w:left="1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9.</w:t>
            </w:r>
            <w:r>
              <w:rPr>
                <w:rFonts w:ascii="宋体" w:eastAsia="宋体" w:hAnsi="宋体" w:cs="宋体" w:hint="eastAsia"/>
                <w:b/>
                <w:kern w:val="2"/>
                <w:sz w:val="21"/>
                <w:szCs w:val="21"/>
                <w:lang w:eastAsia="zh-CN"/>
              </w:rPr>
              <w:t>机柜性能参数：</w:t>
            </w:r>
          </w:p>
          <w:p>
            <w:pPr>
              <w:widowControl/>
              <w:snapToGrid w:val="0"/>
              <w:spacing w:line="300" w:lineRule="auto"/>
              <w:ind w:left="1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1）电源220V/AC、输出12V/AC</w:t>
            </w:r>
          </w:p>
          <w:p>
            <w:pPr>
              <w:widowControl/>
              <w:snapToGrid w:val="0"/>
              <w:spacing w:line="300" w:lineRule="auto"/>
              <w:ind w:left="1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工作频率13.56MHZ通讯速率≥9.6Kbps</w:t>
            </w:r>
          </w:p>
          <w:p>
            <w:pPr>
              <w:widowControl/>
              <w:snapToGrid w:val="0"/>
              <w:spacing w:line="300" w:lineRule="auto"/>
              <w:ind w:left="1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总功率20W掉电数据保持时间</w:t>
            </w:r>
            <w:r>
              <w:rPr>
                <w:rFonts w:ascii="Calibri" w:eastAsia="宋体" w:hAnsi="Calibri" w:cstheme="minorBidi" w:hint="eastAsia"/>
                <w:kern w:val="2"/>
                <w:sz w:val="21"/>
                <w:szCs w:val="22"/>
                <w:lang w:eastAsia="zh-CN"/>
              </w:rPr>
              <w:t>≥</w:t>
            </w:r>
            <w:r>
              <w:rPr>
                <w:rFonts w:ascii="宋体" w:eastAsia="宋体" w:hAnsi="宋体" w:cs="宋体" w:hint="eastAsia"/>
                <w:kern w:val="2"/>
                <w:sz w:val="21"/>
                <w:szCs w:val="21"/>
                <w:lang w:eastAsia="zh-CN"/>
              </w:rPr>
              <w:t>10年</w:t>
            </w:r>
          </w:p>
          <w:p>
            <w:pPr>
              <w:widowControl/>
              <w:snapToGrid w:val="0"/>
              <w:spacing w:line="300" w:lineRule="auto"/>
              <w:ind w:left="1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温度范围-20℃-60℃读写时间小于0.3s</w:t>
            </w:r>
          </w:p>
          <w:p>
            <w:pPr>
              <w:widowControl/>
              <w:snapToGrid w:val="0"/>
              <w:spacing w:line="300" w:lineRule="auto"/>
              <w:ind w:left="1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2）采用≤4.3英寸高清触控一体屏幕，（480×800）±5mm像素点阵、16.7M色、电容触摸屏、标准指令集（TA）/DGUSⅡ系统；</w:t>
            </w:r>
          </w:p>
          <w:p>
            <w:pPr>
              <w:widowControl/>
              <w:snapToGrid w:val="0"/>
              <w:spacing w:line="300" w:lineRule="auto"/>
              <w:ind w:left="1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3）存储器类别：Flash存储器（TA/DGUS二代系统通用），典型值：≥16Mbytes.功能：字库存储空间典型值4-12MB,图片存储空间典型值：12-4MB</w:t>
            </w:r>
          </w:p>
          <w:p>
            <w:pPr>
              <w:widowControl/>
              <w:snapToGrid w:val="0"/>
              <w:spacing w:line="300" w:lineRule="auto"/>
              <w:ind w:left="1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RAM存储器:≥128KB，功能：变量存储空间</w:t>
            </w:r>
          </w:p>
          <w:p>
            <w:pPr>
              <w:widowControl w:val="0"/>
              <w:snapToGrid w:val="0"/>
              <w:spacing w:line="300" w:lineRule="auto"/>
              <w:jc w:val="both"/>
              <w:rPr>
                <w:rFonts w:ascii="宋体" w:eastAsia="宋体" w:hAnsi="宋体" w:cs="宋体" w:hint="eastAsia"/>
                <w:sz w:val="21"/>
                <w:szCs w:val="21"/>
                <w:lang w:eastAsia="zh-CN"/>
              </w:rPr>
            </w:pPr>
            <w:r>
              <w:rPr>
                <w:rFonts w:ascii="宋体" w:eastAsia="宋体" w:hAnsi="宋体" w:cs="宋体" w:hint="eastAsia"/>
                <w:kern w:val="2"/>
                <w:sz w:val="21"/>
                <w:szCs w:val="21"/>
                <w:lang w:eastAsia="zh-CN"/>
              </w:rPr>
              <w:t>NorFlash存储器：</w:t>
            </w:r>
            <w:r>
              <w:rPr>
                <w:rFonts w:ascii="Calibri" w:eastAsia="宋体" w:hAnsi="Calibri" w:cstheme="minorBidi" w:hint="eastAsia"/>
                <w:kern w:val="2"/>
                <w:sz w:val="21"/>
                <w:szCs w:val="22"/>
                <w:lang w:eastAsia="zh-CN"/>
              </w:rPr>
              <w:t>≥</w:t>
            </w:r>
            <w:r>
              <w:rPr>
                <w:rFonts w:ascii="宋体" w:eastAsia="宋体" w:hAnsi="宋体" w:cs="宋体" w:hint="eastAsia"/>
                <w:kern w:val="2"/>
                <w:sz w:val="21"/>
                <w:szCs w:val="21"/>
                <w:lang w:eastAsia="zh-CN"/>
              </w:rPr>
              <w:t>320KB功能：用户数据库，掉电保存。</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noWrap w:val="0"/>
            <w:vAlign w:val="center"/>
          </w:tcPr>
          <w:p>
            <w:pPr>
              <w:widowControl w:val="0"/>
              <w:jc w:val="center"/>
              <w:rPr>
                <w:rFonts w:ascii="宋体" w:eastAsia="宋体" w:hAnsi="宋体" w:cs="宋体" w:hint="eastAsia"/>
                <w:kern w:val="2"/>
                <w:sz w:val="21"/>
                <w:szCs w:val="21"/>
                <w:lang w:eastAsia="zh-CN"/>
              </w:rPr>
            </w:pPr>
          </w:p>
        </w:tc>
        <w:tc>
          <w:tcPr>
            <w:tcW w:w="1725" w:type="dxa"/>
            <w:vMerge/>
            <w:noWrap w:val="0"/>
            <w:vAlign w:val="center"/>
          </w:tcPr>
          <w:p>
            <w:pPr>
              <w:widowControl/>
              <w:jc w:val="center"/>
              <w:textAlignment w:val="center"/>
              <w:rPr>
                <w:rFonts w:ascii="宋体" w:eastAsia="宋体" w:hAnsi="宋体" w:cs="宋体" w:hint="eastAsia"/>
                <w:kern w:val="2"/>
                <w:sz w:val="21"/>
                <w:szCs w:val="21"/>
                <w:lang w:eastAsia="zh-CN"/>
              </w:rPr>
            </w:pPr>
          </w:p>
        </w:tc>
        <w:tc>
          <w:tcPr>
            <w:tcW w:w="5969" w:type="dxa"/>
            <w:noWrap w:val="0"/>
            <w:vAlign w:val="top"/>
          </w:tcPr>
          <w:p>
            <w:pPr>
              <w:widowControl/>
              <w:snapToGrid w:val="0"/>
              <w:spacing w:line="300" w:lineRule="auto"/>
              <w:ind w:left="10"/>
              <w:jc w:val="both"/>
              <w:rPr>
                <w:rFonts w:ascii="宋体" w:eastAsia="宋体" w:hAnsi="宋体" w:cs="宋体" w:hint="eastAsia"/>
                <w:kern w:val="2"/>
                <w:sz w:val="21"/>
                <w:szCs w:val="21"/>
                <w:lang w:eastAsia="zh-CN"/>
              </w:rPr>
            </w:pPr>
            <w:r>
              <w:rPr>
                <w:rFonts w:ascii="宋体" w:eastAsia="宋体" w:hAnsi="宋体" w:cs="宋体" w:hint="eastAsia"/>
                <w:sz w:val="21"/>
                <w:szCs w:val="21"/>
                <w:lang w:eastAsia="zh-CN"/>
              </w:rPr>
              <w:t>10.</w:t>
            </w:r>
            <w:r>
              <w:rPr>
                <w:rFonts w:ascii="宋体" w:eastAsia="宋体" w:hAnsi="宋体" w:cs="宋体" w:hint="eastAsia"/>
                <w:b/>
                <w:kern w:val="2"/>
                <w:sz w:val="21"/>
                <w:szCs w:val="21"/>
                <w:lang w:eastAsia="zh-CN"/>
              </w:rPr>
              <w:t>智能储物柜系统应用功能标准</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1）IC刷卡距离≤1CM；</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2）每个箱门可以授权1张学生卡。</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3）智能储物柜带标准网线接口，具备联网管理和脱机使用功能；</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4）断网时学生可以正常的开箱；</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5）不联网时，通过管理员可以在储物柜系统对所有箱门进行授权员工卡.</w:t>
            </w:r>
          </w:p>
          <w:p>
            <w:pPr>
              <w:widowControl/>
              <w:snapToGrid w:val="0"/>
              <w:spacing w:line="300" w:lineRule="auto"/>
              <w:ind w:left="10" w:left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6）不联网时，通过管理员可以在储物柜系统应急打开所有箱门或任意一个箱门。</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noWrap w:val="0"/>
            <w:vAlign w:val="center"/>
          </w:tcPr>
          <w:p>
            <w:pPr>
              <w:widowControl w:val="0"/>
              <w:jc w:val="center"/>
              <w:rPr>
                <w:rFonts w:ascii="宋体" w:eastAsia="宋体" w:hAnsi="宋体" w:cs="宋体" w:hint="eastAsia"/>
                <w:kern w:val="2"/>
                <w:sz w:val="21"/>
                <w:szCs w:val="21"/>
                <w:lang w:eastAsia="zh-CN"/>
              </w:rPr>
            </w:pPr>
          </w:p>
        </w:tc>
        <w:tc>
          <w:tcPr>
            <w:tcW w:w="1725" w:type="dxa"/>
            <w:vMerge/>
            <w:noWrap w:val="0"/>
            <w:vAlign w:val="center"/>
          </w:tcPr>
          <w:p>
            <w:pPr>
              <w:widowControl/>
              <w:jc w:val="center"/>
              <w:textAlignment w:val="center"/>
              <w:rPr>
                <w:rFonts w:ascii="宋体" w:eastAsia="宋体" w:hAnsi="宋体" w:cs="宋体" w:hint="eastAsia"/>
                <w:kern w:val="2"/>
                <w:sz w:val="21"/>
                <w:szCs w:val="21"/>
                <w:lang w:eastAsia="zh-CN"/>
              </w:rPr>
            </w:pPr>
          </w:p>
        </w:tc>
        <w:tc>
          <w:tcPr>
            <w:tcW w:w="5969" w:type="dxa"/>
            <w:noWrap w:val="0"/>
            <w:vAlign w:val="top"/>
          </w:tcPr>
          <w:p>
            <w:pPr>
              <w:widowControl w:val="0"/>
              <w:snapToGrid w:val="0"/>
              <w:spacing w:line="300" w:lineRule="auto"/>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11.</w:t>
            </w:r>
            <w:r>
              <w:rPr>
                <w:rFonts w:ascii="宋体" w:eastAsia="宋体" w:hAnsi="宋体" w:cs="宋体" w:hint="eastAsia"/>
                <w:b/>
                <w:kern w:val="2"/>
                <w:sz w:val="21"/>
                <w:szCs w:val="21"/>
                <w:lang w:eastAsia="zh-CN"/>
              </w:rPr>
              <w:t>智能储物柜管理软件应用功能标准：</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1）单台储物柜采用标准TCP/IP网线连接到服务器电脑（服务器电脑不限储物柜的连接数量）；</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2）储物柜网络与学校网络可以对接，共用同一网关；</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3）储物柜管理软件分为普通管理员和高级管理员，高级管理员可对普通管理员设制操作权限。</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4）储物柜管理软件中能实时显示每台储物柜当前的箱门使用状态（正在使用、空箱、故障）；</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5）储物柜管理软件具备分区和柜号标识的功能；</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6）储物柜管理软件中有员工IC卡管理功能；</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7）储物柜管理软件中有开箱记录查询功能、管理员操作日志查询功能；</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8）储物柜管理软件中有箱门使用记录和学生箱门授权表、柜子参数的数据备份和统计导出的功能。</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9）储物柜管理软件中可实时查看后台管理软件与储物柜的连接状态。</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10）储物柜管理软件中可分区批量导入员工信息、可批量自动授权、或单独授权。</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11）储物柜管理软件可与学校人事系统作人员数据对接。</w:t>
            </w:r>
          </w:p>
          <w:p>
            <w:pPr>
              <w:widowControl w:val="0"/>
              <w:snapToGrid w:val="0"/>
              <w:spacing w:line="300" w:lineRule="auto"/>
              <w:jc w:val="both"/>
              <w:rPr>
                <w:rFonts w:ascii="宋体" w:eastAsia="宋体" w:hAnsi="宋体" w:cs="宋体" w:hint="eastAsia"/>
                <w:sz w:val="21"/>
                <w:szCs w:val="21"/>
                <w:lang w:eastAsia="zh-CN"/>
              </w:rPr>
            </w:pPr>
            <w:r>
              <w:rPr>
                <w:rFonts w:ascii="宋体" w:eastAsia="宋体" w:hAnsi="宋体" w:cs="宋体" w:hint="eastAsia"/>
                <w:kern w:val="2"/>
                <w:sz w:val="21"/>
                <w:szCs w:val="21"/>
                <w:lang w:eastAsia="zh-CN"/>
              </w:rPr>
              <w:t>12）储物柜管理软件可设定</w:t>
            </w:r>
            <w:r>
              <w:rPr>
                <w:rFonts w:ascii="宋体" w:eastAsia="宋体" w:hAnsi="宋体" w:cs="宋体" w:hint="eastAsia"/>
                <w:kern w:val="2"/>
                <w:sz w:val="21"/>
                <w:lang w:eastAsia="zh-CN"/>
              </w:rPr>
              <w:t>≥</w:t>
            </w:r>
            <w:r>
              <w:rPr>
                <w:rFonts w:ascii="宋体" w:eastAsia="宋体" w:hAnsi="宋体" w:cs="宋体" w:hint="eastAsia"/>
                <w:kern w:val="2"/>
                <w:sz w:val="21"/>
                <w:szCs w:val="21"/>
                <w:lang w:eastAsia="zh-CN"/>
              </w:rPr>
              <w:t>5张管理员IC卡。</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noWrap w:val="0"/>
            <w:vAlign w:val="top"/>
          </w:tcPr>
          <w:p>
            <w:pPr>
              <w:widowControl w:val="0"/>
              <w:jc w:val="center"/>
              <w:rPr>
                <w:rFonts w:ascii="宋体" w:eastAsia="宋体" w:hAnsi="宋体" w:cs="宋体" w:hint="eastAsia"/>
                <w:kern w:val="2"/>
                <w:sz w:val="21"/>
                <w:szCs w:val="21"/>
                <w:lang w:eastAsia="zh-CN"/>
              </w:rPr>
            </w:pPr>
          </w:p>
        </w:tc>
        <w:tc>
          <w:tcPr>
            <w:tcW w:w="1725" w:type="dxa"/>
            <w:vMerge/>
            <w:noWrap w:val="0"/>
            <w:vAlign w:val="top"/>
          </w:tcPr>
          <w:p>
            <w:pPr>
              <w:widowControl/>
              <w:jc w:val="center"/>
              <w:textAlignment w:val="center"/>
              <w:rPr>
                <w:rFonts w:ascii="宋体" w:eastAsia="宋体" w:hAnsi="宋体" w:cs="宋体" w:hint="eastAsia"/>
                <w:kern w:val="2"/>
                <w:sz w:val="21"/>
                <w:szCs w:val="21"/>
                <w:lang w:eastAsia="zh-CN"/>
              </w:rPr>
            </w:pPr>
          </w:p>
        </w:tc>
        <w:tc>
          <w:tcPr>
            <w:tcW w:w="5969" w:type="dxa"/>
            <w:noWrap w:val="0"/>
            <w:vAlign w:val="top"/>
          </w:tcPr>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▲12.提供符合以下要求的检测报告：</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柜体调节脚符合GB/T228.1-2021标准，满足要求塑性延伸强度检测结果≥280MPa，抗拉强度≥450MPa，断后伸长率≥29%。书包柜感应控制器符合GB/T17626.2-2018、GB/T 17626.3-2016或GB/T 17626.3-2023、GB/T17626.4-2018、GB/T17626.5-2019检测标准，静电放电（ESD）抗扰度、射频电磁场辐射抗扰度、电快速瞬变脉冲群抗扰度、浪涌（冲击）抗扰度的试验结论符合要求。喷涂粉末符合GB18581-2020、GB/T30647-2014、GB/T23991-2009检测标准，满足要求有害物质限量总铅（Pb）含量、可溶性铬（Cr）、可溶性镉（Cd）、可溶性汞（Hg）未检出。门板符合QB/T4767-2014《家具用钢构件》，满足要求产品喷涂件外观无漏喷、锈蚀，涂层光滑均匀、色泽一致、无流挂、疙瘩、皱皮、飞漆等缺陷；金属喷涂层</w:t>
            </w:r>
            <w:r>
              <w:rPr>
                <w:rFonts w:ascii="宋体" w:eastAsia="宋体" w:hAnsi="宋体" w:cs="宋体" w:hint="eastAsia"/>
                <w:kern w:val="2"/>
                <w:sz w:val="21"/>
                <w:lang w:eastAsia="zh-CN"/>
              </w:rPr>
              <w:t>≥</w:t>
            </w:r>
            <w:r>
              <w:rPr>
                <w:rFonts w:ascii="宋体" w:eastAsia="宋体" w:hAnsi="宋体" w:cs="宋体" w:hint="eastAsia"/>
                <w:kern w:val="2"/>
                <w:sz w:val="21"/>
                <w:szCs w:val="21"/>
                <w:lang w:eastAsia="zh-CN"/>
              </w:rPr>
              <w:t>24h中性盐雾试验要求涂层本身的耐腐蚀等级</w:t>
            </w:r>
            <w:r>
              <w:rPr>
                <w:rFonts w:ascii="宋体" w:eastAsia="宋体" w:hAnsi="宋体" w:cs="宋体" w:hint="eastAsia"/>
                <w:kern w:val="2"/>
                <w:sz w:val="21"/>
                <w:lang w:eastAsia="zh-CN"/>
              </w:rPr>
              <w:t>≥</w:t>
            </w:r>
            <w:r>
              <w:rPr>
                <w:rFonts w:ascii="宋体" w:eastAsia="宋体" w:hAnsi="宋体" w:cs="宋体" w:hint="eastAsia"/>
                <w:kern w:val="2"/>
                <w:sz w:val="21"/>
                <w:szCs w:val="21"/>
                <w:lang w:eastAsia="zh-CN"/>
              </w:rPr>
              <w:t>10级，涂层对基体的保护等级</w:t>
            </w:r>
            <w:r>
              <w:rPr>
                <w:rFonts w:ascii="宋体" w:eastAsia="宋体" w:hAnsi="宋体" w:cs="宋体" w:hint="eastAsia"/>
                <w:kern w:val="2"/>
                <w:sz w:val="21"/>
                <w:lang w:eastAsia="zh-CN"/>
              </w:rPr>
              <w:t>≥</w:t>
            </w:r>
            <w:r>
              <w:rPr>
                <w:rFonts w:ascii="宋体" w:eastAsia="宋体" w:hAnsi="宋体" w:cs="宋体" w:hint="eastAsia"/>
                <w:kern w:val="2"/>
                <w:sz w:val="21"/>
                <w:szCs w:val="21"/>
                <w:lang w:eastAsia="zh-CN"/>
              </w:rPr>
              <w:t>10级；产品表面涂层的可溶性元素（包含铅、镉、铬、汞）均未检出。PP塑料原材料符合QB/T4371-2012检测标准，金黄色葡萄球菌、肺炎克雷伯氏菌、大肠杆菌均≥99%。钢板符合QB/T3826-1999、QB/T3832-1999、GB/T1741-2020、GB/T21866-2008标准，满足要求中性盐雾试验连续喷雾</w:t>
            </w:r>
            <w:r>
              <w:rPr>
                <w:rFonts w:ascii="宋体" w:eastAsia="宋体" w:hAnsi="宋体" w:cs="宋体" w:hint="eastAsia"/>
                <w:kern w:val="2"/>
                <w:sz w:val="21"/>
                <w:lang w:eastAsia="zh-CN"/>
              </w:rPr>
              <w:t>≥</w:t>
            </w:r>
            <w:r>
              <w:rPr>
                <w:rFonts w:ascii="宋体" w:eastAsia="宋体" w:hAnsi="宋体" w:cs="宋体" w:hint="eastAsia"/>
                <w:kern w:val="2"/>
                <w:sz w:val="21"/>
                <w:szCs w:val="21"/>
                <w:lang w:eastAsia="zh-CN"/>
              </w:rPr>
              <w:t>200h镀层对基体的保护等级为</w:t>
            </w:r>
            <w:r>
              <w:rPr>
                <w:rFonts w:ascii="宋体" w:eastAsia="宋体" w:hAnsi="宋体" w:cs="宋体" w:hint="eastAsia"/>
                <w:kern w:val="2"/>
                <w:sz w:val="21"/>
                <w:lang w:eastAsia="zh-CN"/>
              </w:rPr>
              <w:t>≥</w:t>
            </w:r>
            <w:r>
              <w:rPr>
                <w:rFonts w:ascii="宋体" w:eastAsia="宋体" w:hAnsi="宋体" w:cs="宋体" w:hint="eastAsia"/>
                <w:kern w:val="2"/>
                <w:sz w:val="21"/>
                <w:szCs w:val="21"/>
                <w:lang w:eastAsia="zh-CN"/>
              </w:rPr>
              <w:t>10级，镀层本身耐腐蚀等级为</w:t>
            </w:r>
            <w:r>
              <w:rPr>
                <w:rFonts w:ascii="宋体" w:eastAsia="宋体" w:hAnsi="宋体" w:cs="宋体" w:hint="eastAsia"/>
                <w:kern w:val="2"/>
                <w:sz w:val="21"/>
                <w:lang w:eastAsia="zh-CN"/>
              </w:rPr>
              <w:t>≥</w:t>
            </w:r>
            <w:r>
              <w:rPr>
                <w:rFonts w:ascii="宋体" w:eastAsia="宋体" w:hAnsi="宋体" w:cs="宋体" w:hint="eastAsia"/>
                <w:kern w:val="2"/>
                <w:sz w:val="21"/>
                <w:szCs w:val="21"/>
                <w:lang w:eastAsia="zh-CN"/>
              </w:rPr>
              <w:t>10级；抗细菌率金黄色葡萄球菌≥99%；耐霉菌性等级为</w:t>
            </w:r>
            <w:r>
              <w:rPr>
                <w:rFonts w:ascii="宋体" w:eastAsia="宋体" w:hAnsi="宋体" w:cs="宋体" w:hint="eastAsia"/>
                <w:kern w:val="2"/>
                <w:sz w:val="21"/>
                <w:lang w:eastAsia="zh-CN"/>
              </w:rPr>
              <w:t>≥</w:t>
            </w:r>
            <w:r>
              <w:rPr>
                <w:rFonts w:ascii="宋体" w:eastAsia="宋体" w:hAnsi="宋体" w:cs="宋体" w:hint="eastAsia"/>
                <w:kern w:val="2"/>
                <w:sz w:val="21"/>
                <w:szCs w:val="21"/>
                <w:lang w:eastAsia="zh-CN"/>
              </w:rPr>
              <w:t>0级。</w:t>
            </w:r>
          </w:p>
          <w:p>
            <w:pPr>
              <w:widowControl w:val="0"/>
              <w:snapToGrid w:val="0"/>
              <w:spacing w:line="300" w:lineRule="auto"/>
              <w:jc w:val="both"/>
              <w:rPr>
                <w:rFonts w:ascii="宋体" w:eastAsia="宋体" w:hAnsi="宋体" w:cs="宋体" w:hint="eastAsia"/>
                <w:kern w:val="2"/>
                <w:sz w:val="21"/>
                <w:szCs w:val="22"/>
                <w:lang w:eastAsia="zh-CN"/>
              </w:rPr>
            </w:pPr>
            <w:r>
              <w:rPr>
                <w:rFonts w:ascii="宋体" w:eastAsia="宋体" w:hAnsi="宋体" w:cs="宋体" w:hint="eastAsia"/>
                <w:kern w:val="2"/>
                <w:sz w:val="21"/>
                <w:szCs w:val="21"/>
                <w:lang w:eastAsia="zh-CN"/>
              </w:rPr>
              <w:t>投标时提供2022年1月1日至投标截止之日的第三方检测机构出具的具有CMA标识的检测报告扫描件，检测报告内容符合以上检测要求。同时需要提供在全国认证认可信息公共服务平台（认e云-http://cx.cnca.cn/）检测报告查询截图，原件备查。</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val="restart"/>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p>
        </w:tc>
        <w:tc>
          <w:tcPr>
            <w:tcW w:w="1725" w:type="dxa"/>
            <w:vMerge w:val="restart"/>
            <w:noWrap w:val="0"/>
            <w:vAlign w:val="center"/>
          </w:tcPr>
          <w:p>
            <w:pPr>
              <w:widowControl/>
              <w:jc w:val="center"/>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智能书包柜主机及系统</w:t>
            </w:r>
          </w:p>
        </w:tc>
        <w:tc>
          <w:tcPr>
            <w:tcW w:w="5969" w:type="dxa"/>
            <w:noWrap w:val="0"/>
            <w:vAlign w:val="top"/>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1.规格：(W1300*D400*H1900)mm±20mm；</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noWrap w:val="0"/>
            <w:vAlign w:val="top"/>
          </w:tcPr>
          <w:p>
            <w:pPr>
              <w:widowControl w:val="0"/>
              <w:jc w:val="center"/>
              <w:rPr>
                <w:rFonts w:ascii="宋体" w:eastAsia="宋体" w:hAnsi="宋体" w:cs="宋体" w:hint="eastAsia"/>
                <w:kern w:val="2"/>
                <w:sz w:val="21"/>
                <w:szCs w:val="21"/>
                <w:lang w:eastAsia="zh-CN"/>
              </w:rPr>
            </w:pPr>
          </w:p>
        </w:tc>
        <w:tc>
          <w:tcPr>
            <w:tcW w:w="1725" w:type="dxa"/>
            <w:vMerge/>
            <w:noWrap w:val="0"/>
            <w:vAlign w:val="top"/>
          </w:tcPr>
          <w:p>
            <w:pPr>
              <w:widowControl/>
              <w:jc w:val="center"/>
              <w:textAlignment w:val="center"/>
              <w:rPr>
                <w:rFonts w:ascii="宋体" w:eastAsia="宋体" w:hAnsi="宋体" w:cs="宋体" w:hint="eastAsia"/>
                <w:kern w:val="2"/>
                <w:sz w:val="21"/>
                <w:szCs w:val="21"/>
                <w:lang w:eastAsia="zh-CN"/>
              </w:rPr>
            </w:pPr>
          </w:p>
        </w:tc>
        <w:tc>
          <w:tcPr>
            <w:tcW w:w="5969" w:type="dxa"/>
            <w:noWrap w:val="0"/>
            <w:vAlign w:val="top"/>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2.整体采用≥1.0mm厚冷轧钢板，经折弯、冲压加工成型后，用二氧化碳保护焊焊接装配而成。</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noWrap w:val="0"/>
            <w:vAlign w:val="top"/>
          </w:tcPr>
          <w:p>
            <w:pPr>
              <w:widowControl w:val="0"/>
              <w:jc w:val="center"/>
              <w:rPr>
                <w:rFonts w:ascii="宋体" w:eastAsia="宋体" w:hAnsi="宋体" w:cs="宋体" w:hint="eastAsia"/>
                <w:kern w:val="2"/>
                <w:sz w:val="21"/>
                <w:szCs w:val="21"/>
                <w:lang w:eastAsia="zh-CN"/>
              </w:rPr>
            </w:pPr>
          </w:p>
        </w:tc>
        <w:tc>
          <w:tcPr>
            <w:tcW w:w="1725" w:type="dxa"/>
            <w:vMerge/>
            <w:noWrap w:val="0"/>
            <w:vAlign w:val="top"/>
          </w:tcPr>
          <w:p>
            <w:pPr>
              <w:widowControl/>
              <w:jc w:val="center"/>
              <w:textAlignment w:val="center"/>
              <w:rPr>
                <w:rFonts w:ascii="宋体" w:eastAsia="宋体" w:hAnsi="宋体" w:cs="宋体" w:hint="eastAsia"/>
                <w:kern w:val="2"/>
                <w:sz w:val="21"/>
                <w:szCs w:val="21"/>
                <w:lang w:eastAsia="zh-CN"/>
              </w:rPr>
            </w:pPr>
          </w:p>
        </w:tc>
        <w:tc>
          <w:tcPr>
            <w:tcW w:w="5969" w:type="dxa"/>
            <w:noWrap w:val="0"/>
            <w:vAlign w:val="top"/>
          </w:tcPr>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3.储物柜</w:t>
            </w:r>
            <w:r>
              <w:rPr>
                <w:rFonts w:ascii="宋体" w:eastAsia="宋体" w:hAnsi="宋体" w:cs="宋体" w:hint="eastAsia"/>
                <w:sz w:val="21"/>
                <w:szCs w:val="21"/>
                <w:lang w:eastAsia="zh-CN"/>
              </w:rPr>
              <w:t>顶板经折弯后厚度≤30mm，侧面板经折弯后厚度≤15mm，主柜应急维护门宽度≤130mm，副柜应急维护门宽度≤30mm，门柱内侧加装2.0mm±0.5mm折边，门销为不锈钢材质，箱门两侧呈一定角度的弧线外形，增强箱门的防撞击能力，电控锁采用棘爪式。整组柜子应用螺丝连接，并与墙壁固定。所有钢材焊接口打磨光滑，钢材经除油、除锈、水基脱脂、水基中和，表面调整、磷化等工序后静电喷环氧型树脂粉沫涂料，经200℃高温固化而成，塑膜的光泽度、附着力、硬度、耐冲力等均符合GB/T3325-2017《金属家具通用技术条件》检验标准，柜门板应有编号。</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noWrap w:val="0"/>
            <w:vAlign w:val="top"/>
          </w:tcPr>
          <w:p>
            <w:pPr>
              <w:widowControl w:val="0"/>
              <w:jc w:val="center"/>
              <w:rPr>
                <w:rFonts w:ascii="宋体" w:eastAsia="宋体" w:hAnsi="宋体" w:cs="宋体" w:hint="eastAsia"/>
                <w:kern w:val="2"/>
                <w:sz w:val="21"/>
                <w:szCs w:val="21"/>
                <w:lang w:eastAsia="zh-CN"/>
              </w:rPr>
            </w:pPr>
          </w:p>
        </w:tc>
        <w:tc>
          <w:tcPr>
            <w:tcW w:w="1725" w:type="dxa"/>
            <w:vMerge/>
            <w:noWrap w:val="0"/>
            <w:vAlign w:val="top"/>
          </w:tcPr>
          <w:p>
            <w:pPr>
              <w:widowControl/>
              <w:jc w:val="center"/>
              <w:textAlignment w:val="center"/>
              <w:rPr>
                <w:rFonts w:ascii="宋体" w:eastAsia="宋体" w:hAnsi="宋体" w:cs="宋体" w:hint="eastAsia"/>
                <w:kern w:val="2"/>
                <w:sz w:val="21"/>
                <w:szCs w:val="21"/>
                <w:lang w:eastAsia="zh-CN"/>
              </w:rPr>
            </w:pPr>
          </w:p>
        </w:tc>
        <w:tc>
          <w:tcPr>
            <w:tcW w:w="5969" w:type="dxa"/>
            <w:noWrap w:val="0"/>
            <w:vAlign w:val="top"/>
          </w:tcPr>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r>
              <w:rPr>
                <w:rFonts w:ascii="宋体" w:eastAsia="宋体" w:hAnsi="宋体" w:cs="宋体" w:hint="eastAsia"/>
                <w:sz w:val="21"/>
                <w:szCs w:val="21"/>
                <w:lang w:eastAsia="zh-CN"/>
              </w:rPr>
              <w:t>柜体带有可旋转的地脚以保证设备放置平稳（柜底调节，非柜内调节）；</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noWrap w:val="0"/>
            <w:vAlign w:val="top"/>
          </w:tcPr>
          <w:p>
            <w:pPr>
              <w:widowControl w:val="0"/>
              <w:jc w:val="center"/>
              <w:rPr>
                <w:rFonts w:ascii="宋体" w:eastAsia="宋体" w:hAnsi="宋体" w:cs="宋体" w:hint="eastAsia"/>
                <w:kern w:val="2"/>
                <w:sz w:val="21"/>
                <w:szCs w:val="21"/>
                <w:lang w:eastAsia="zh-CN"/>
              </w:rPr>
            </w:pPr>
          </w:p>
        </w:tc>
        <w:tc>
          <w:tcPr>
            <w:tcW w:w="1725" w:type="dxa"/>
            <w:vMerge/>
            <w:noWrap w:val="0"/>
            <w:vAlign w:val="top"/>
          </w:tcPr>
          <w:p>
            <w:pPr>
              <w:widowControl/>
              <w:jc w:val="center"/>
              <w:textAlignment w:val="center"/>
              <w:rPr>
                <w:rFonts w:ascii="宋体" w:eastAsia="宋体" w:hAnsi="宋体" w:cs="宋体" w:hint="eastAsia"/>
                <w:kern w:val="2"/>
                <w:sz w:val="21"/>
                <w:szCs w:val="21"/>
                <w:lang w:eastAsia="zh-CN"/>
              </w:rPr>
            </w:pPr>
          </w:p>
        </w:tc>
        <w:tc>
          <w:tcPr>
            <w:tcW w:w="5969" w:type="dxa"/>
            <w:noWrap w:val="0"/>
            <w:vAlign w:val="top"/>
          </w:tcPr>
          <w:p>
            <w:pPr>
              <w:widowControl w:val="0"/>
              <w:snapToGrid w:val="0"/>
              <w:spacing w:line="300" w:lineRule="auto"/>
              <w:ind w:firstLine="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5.系统框架描述和设计方案</w:t>
            </w:r>
          </w:p>
          <w:p>
            <w:pPr>
              <w:widowControl w:val="0"/>
              <w:snapToGrid w:val="0"/>
              <w:spacing w:line="30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1）单片机集成系统的基础上，基于T5LISIC的≥4.3英寸480*80016.7M色、IPS、标准指令集（TA）/DGUS二代系统、智能屏。</w:t>
            </w:r>
          </w:p>
          <w:p>
            <w:pPr>
              <w:widowControl w:val="0"/>
              <w:snapToGrid w:val="0"/>
              <w:spacing w:line="30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2）电性能参数:工作电压：4.6-5.5区间内（单位：V）</w:t>
            </w:r>
          </w:p>
          <w:p>
            <w:pPr>
              <w:widowControl w:val="0"/>
              <w:snapToGrid w:val="0"/>
              <w:spacing w:line="30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3）工作电流：Typ:170-200区间内（单位：mA）</w:t>
            </w:r>
          </w:p>
          <w:p>
            <w:pPr>
              <w:widowControl w:val="0"/>
              <w:snapToGrid w:val="0"/>
              <w:spacing w:line="30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4）串口波特率:3150-3225600区间内（单位：bps）</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sz w:val="21"/>
                <w:szCs w:val="21"/>
                <w:lang w:eastAsia="zh-CN"/>
              </w:rPr>
              <w:t>5）用户接口方式：至少包含10Pin_1.0mmFCC座子10Pin_1.0mmFCCSocker</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noWrap w:val="0"/>
            <w:vAlign w:val="top"/>
          </w:tcPr>
          <w:p>
            <w:pPr>
              <w:widowControl w:val="0"/>
              <w:jc w:val="center"/>
              <w:rPr>
                <w:rFonts w:ascii="宋体" w:eastAsia="宋体" w:hAnsi="宋体" w:cs="宋体" w:hint="eastAsia"/>
                <w:kern w:val="2"/>
                <w:sz w:val="21"/>
                <w:szCs w:val="21"/>
                <w:lang w:eastAsia="zh-CN"/>
              </w:rPr>
            </w:pPr>
          </w:p>
        </w:tc>
        <w:tc>
          <w:tcPr>
            <w:tcW w:w="1725" w:type="dxa"/>
            <w:vMerge/>
            <w:noWrap w:val="0"/>
            <w:vAlign w:val="top"/>
          </w:tcPr>
          <w:p>
            <w:pPr>
              <w:widowControl/>
              <w:jc w:val="center"/>
              <w:textAlignment w:val="center"/>
              <w:rPr>
                <w:rFonts w:ascii="宋体" w:eastAsia="宋体" w:hAnsi="宋体" w:cs="宋体" w:hint="eastAsia"/>
                <w:kern w:val="2"/>
                <w:sz w:val="21"/>
                <w:szCs w:val="21"/>
                <w:lang w:eastAsia="zh-CN"/>
              </w:rPr>
            </w:pPr>
          </w:p>
        </w:tc>
        <w:tc>
          <w:tcPr>
            <w:tcW w:w="5969" w:type="dxa"/>
            <w:noWrap w:val="0"/>
            <w:vAlign w:val="top"/>
          </w:tcPr>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sz w:val="21"/>
                <w:szCs w:val="21"/>
                <w:lang w:eastAsia="zh-CN"/>
              </w:rPr>
              <w:t>6.</w:t>
            </w:r>
            <w:r>
              <w:rPr>
                <w:rFonts w:ascii="宋体" w:eastAsia="宋体" w:hAnsi="宋体" w:cs="宋体" w:hint="eastAsia"/>
                <w:kern w:val="2"/>
                <w:sz w:val="21"/>
                <w:szCs w:val="21"/>
                <w:lang w:eastAsia="zh-CN"/>
              </w:rPr>
              <w:t>设计方案：</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1）主控板和锁控板分离设计，FT12锁控板和EV19锁板级联控制电控锁。</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2）锁控制主板采用的主芯片存储器具有中等密度程序和数据存储器</w:t>
            </w:r>
            <w:r>
              <w:rPr>
                <w:rFonts w:ascii="Calibri" w:eastAsia="宋体" w:hAnsi="Calibri" w:cstheme="minorBidi" w:hint="eastAsia"/>
                <w:kern w:val="2"/>
                <w:sz w:val="21"/>
                <w:szCs w:val="22"/>
                <w:lang w:eastAsia="zh-CN"/>
              </w:rPr>
              <w:t>≥</w:t>
            </w:r>
            <w:r>
              <w:rPr>
                <w:rFonts w:ascii="宋体" w:eastAsia="宋体" w:hAnsi="宋体" w:cs="宋体" w:hint="eastAsia"/>
                <w:kern w:val="2"/>
                <w:sz w:val="21"/>
                <w:szCs w:val="21"/>
                <w:lang w:eastAsia="zh-CN"/>
              </w:rPr>
              <w:t>32K字节Flash，</w:t>
            </w:r>
            <w:r>
              <w:rPr>
                <w:rFonts w:ascii="Calibri" w:eastAsia="宋体" w:hAnsi="Calibri" w:cstheme="minorBidi" w:hint="eastAsia"/>
                <w:kern w:val="2"/>
                <w:sz w:val="21"/>
                <w:szCs w:val="22"/>
                <w:lang w:eastAsia="zh-CN"/>
              </w:rPr>
              <w:t>≥</w:t>
            </w:r>
            <w:r>
              <w:rPr>
                <w:rFonts w:ascii="宋体" w:eastAsia="宋体" w:hAnsi="宋体" w:cs="宋体" w:hint="eastAsia"/>
                <w:kern w:val="2"/>
                <w:sz w:val="21"/>
                <w:szCs w:val="21"/>
                <w:lang w:eastAsia="zh-CN"/>
              </w:rPr>
              <w:t>10K次擦写后在55°C环境下数据可保存≥20年数据存储器：</w:t>
            </w:r>
            <w:r>
              <w:rPr>
                <w:rFonts w:ascii="Calibri" w:eastAsia="宋体" w:hAnsi="Calibri" w:cstheme="minorBidi" w:hint="eastAsia"/>
                <w:kern w:val="2"/>
                <w:sz w:val="21"/>
                <w:szCs w:val="22"/>
                <w:lang w:eastAsia="zh-CN"/>
              </w:rPr>
              <w:t>≥</w:t>
            </w:r>
            <w:r>
              <w:rPr>
                <w:rFonts w:ascii="宋体" w:eastAsia="宋体" w:hAnsi="宋体" w:cs="宋体" w:hint="eastAsia"/>
                <w:kern w:val="2"/>
                <w:sz w:val="21"/>
                <w:szCs w:val="21"/>
                <w:lang w:eastAsia="zh-CN"/>
              </w:rPr>
              <w:t>1K字节真正的数据EEPROM；</w:t>
            </w:r>
            <w:r>
              <w:rPr>
                <w:rFonts w:ascii="Calibri" w:eastAsia="宋体" w:hAnsi="Calibri" w:cstheme="minorBidi" w:hint="eastAsia"/>
                <w:kern w:val="2"/>
                <w:sz w:val="21"/>
                <w:szCs w:val="22"/>
                <w:lang w:eastAsia="zh-CN"/>
              </w:rPr>
              <w:t>≥</w:t>
            </w:r>
            <w:r>
              <w:rPr>
                <w:rFonts w:ascii="宋体" w:eastAsia="宋体" w:hAnsi="宋体" w:cs="宋体" w:hint="eastAsia"/>
                <w:kern w:val="2"/>
                <w:sz w:val="21"/>
                <w:szCs w:val="21"/>
                <w:lang w:eastAsia="zh-CN"/>
              </w:rPr>
              <w:t>30万次擦写。</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3）FT12电路板具有反接保护，具有数据加密功能。</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4）供电：额定12V。极限情况下10V-18V。一般工作电流20mA。</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5）使用RS232接口，标准的DB9串口母座，与安卓机交互通信。</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6）通讯方式：RS485总线，</w:t>
            </w:r>
            <w:r>
              <w:rPr>
                <w:rFonts w:ascii="Calibri" w:eastAsia="宋体" w:hAnsi="Calibri" w:cstheme="minorBidi" w:hint="eastAsia"/>
                <w:kern w:val="2"/>
                <w:sz w:val="21"/>
                <w:szCs w:val="22"/>
                <w:lang w:eastAsia="zh-CN"/>
              </w:rPr>
              <w:t>≥</w:t>
            </w:r>
            <w:r>
              <w:rPr>
                <w:rFonts w:ascii="宋体" w:eastAsia="宋体" w:hAnsi="宋体" w:cs="宋体" w:hint="eastAsia"/>
                <w:kern w:val="2"/>
                <w:sz w:val="21"/>
                <w:szCs w:val="21"/>
                <w:lang w:eastAsia="zh-CN"/>
              </w:rPr>
              <w:t>9600bps；RS232总线，</w:t>
            </w:r>
            <w:r>
              <w:rPr>
                <w:rFonts w:ascii="Calibri" w:eastAsia="宋体" w:hAnsi="Calibri" w:cstheme="minorBidi" w:hint="eastAsia"/>
                <w:kern w:val="2"/>
                <w:sz w:val="21"/>
                <w:szCs w:val="22"/>
                <w:lang w:eastAsia="zh-CN"/>
              </w:rPr>
              <w:t>≥</w:t>
            </w:r>
            <w:r>
              <w:rPr>
                <w:rFonts w:ascii="宋体" w:eastAsia="宋体" w:hAnsi="宋体" w:cs="宋体" w:hint="eastAsia"/>
                <w:kern w:val="2"/>
                <w:sz w:val="21"/>
                <w:szCs w:val="21"/>
                <w:lang w:eastAsia="zh-CN"/>
              </w:rPr>
              <w:t>115200bps</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7）FT12锁控主板须有一键开启箱门功能，蜂鸣器响一次，开一个箱门。</w:t>
            </w:r>
          </w:p>
          <w:p>
            <w:pPr>
              <w:widowControl w:val="0"/>
              <w:snapToGrid w:val="0"/>
              <w:spacing w:line="300" w:lineRule="auto"/>
              <w:jc w:val="both"/>
              <w:rPr>
                <w:rFonts w:ascii="宋体" w:eastAsia="宋体" w:hAnsi="宋体" w:cs="宋体" w:hint="eastAsia"/>
                <w:sz w:val="21"/>
                <w:szCs w:val="21"/>
                <w:lang w:eastAsia="zh-CN"/>
              </w:rPr>
            </w:pPr>
            <w:r>
              <w:rPr>
                <w:rFonts w:ascii="宋体" w:eastAsia="宋体" w:hAnsi="宋体" w:cs="宋体" w:hint="eastAsia"/>
                <w:kern w:val="2"/>
                <w:sz w:val="21"/>
                <w:szCs w:val="21"/>
                <w:lang w:eastAsia="zh-CN"/>
              </w:rPr>
              <w:t>8）12合1端口EV19锁板须控制</w:t>
            </w:r>
            <w:r>
              <w:rPr>
                <w:rFonts w:ascii="Calibri" w:eastAsia="宋体" w:hAnsi="Calibri" w:cstheme="minorBidi" w:hint="eastAsia"/>
                <w:kern w:val="2"/>
                <w:sz w:val="21"/>
                <w:szCs w:val="22"/>
                <w:lang w:eastAsia="zh-CN"/>
              </w:rPr>
              <w:t>≥</w:t>
            </w:r>
            <w:r>
              <w:rPr>
                <w:rFonts w:ascii="宋体" w:eastAsia="宋体" w:hAnsi="宋体" w:cs="宋体" w:hint="eastAsia"/>
                <w:kern w:val="2"/>
                <w:sz w:val="21"/>
                <w:szCs w:val="21"/>
                <w:lang w:eastAsia="zh-CN"/>
              </w:rPr>
              <w:t>12把锁.每个锁控板须有独立的控制地址。</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noWrap w:val="0"/>
            <w:vAlign w:val="top"/>
          </w:tcPr>
          <w:p>
            <w:pPr>
              <w:widowControl w:val="0"/>
              <w:jc w:val="center"/>
              <w:rPr>
                <w:rFonts w:ascii="宋体" w:eastAsia="宋体" w:hAnsi="宋体" w:cs="宋体" w:hint="eastAsia"/>
                <w:kern w:val="2"/>
                <w:sz w:val="21"/>
                <w:szCs w:val="21"/>
                <w:lang w:eastAsia="zh-CN"/>
              </w:rPr>
            </w:pPr>
          </w:p>
        </w:tc>
        <w:tc>
          <w:tcPr>
            <w:tcW w:w="1725" w:type="dxa"/>
            <w:vMerge/>
            <w:noWrap w:val="0"/>
            <w:vAlign w:val="top"/>
          </w:tcPr>
          <w:p>
            <w:pPr>
              <w:widowControl/>
              <w:jc w:val="center"/>
              <w:textAlignment w:val="center"/>
              <w:rPr>
                <w:rFonts w:ascii="宋体" w:eastAsia="宋体" w:hAnsi="宋体" w:cs="宋体" w:hint="eastAsia"/>
                <w:kern w:val="2"/>
                <w:sz w:val="21"/>
                <w:szCs w:val="21"/>
                <w:lang w:eastAsia="zh-CN"/>
              </w:rPr>
            </w:pPr>
          </w:p>
        </w:tc>
        <w:tc>
          <w:tcPr>
            <w:tcW w:w="5969" w:type="dxa"/>
            <w:noWrap w:val="0"/>
            <w:vAlign w:val="top"/>
          </w:tcPr>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7.产品主要特点：</w:t>
            </w:r>
          </w:p>
          <w:p>
            <w:pPr>
              <w:widowControl/>
              <w:tabs>
                <w:tab w:val="left" w:pos="0"/>
              </w:tabs>
              <w:snapToGrid w:val="0"/>
              <w:spacing w:line="300" w:lineRule="auto"/>
              <w:ind w:left="-7" w:firstLine="7"/>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1）快速存取：只需在读卡感应区出示卡片感应，可直接打开对应箱门存取物品；</w:t>
            </w:r>
          </w:p>
          <w:p>
            <w:pPr>
              <w:widowControl/>
              <w:tabs>
                <w:tab w:val="left" w:pos="540"/>
              </w:tabs>
              <w:snapToGrid w:val="0"/>
              <w:spacing w:line="300" w:lineRule="auto"/>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2）灵活扩展：采用主拖副方式分体设计，一个主柜可扩展多个副柜。</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sz w:val="21"/>
                <w:szCs w:val="21"/>
                <w:lang w:eastAsia="zh-CN"/>
              </w:rPr>
              <w:t>3）</w:t>
            </w:r>
            <w:r>
              <w:rPr>
                <w:rFonts w:ascii="宋体" w:eastAsia="宋体" w:hAnsi="宋体" w:cs="宋体" w:hint="eastAsia"/>
                <w:kern w:val="2"/>
                <w:sz w:val="21"/>
                <w:szCs w:val="21"/>
                <w:lang w:eastAsia="zh-CN"/>
              </w:rPr>
              <w:t>高速主控芯片，停电仍保持数据。</w:t>
            </w:r>
          </w:p>
          <w:p>
            <w:pPr>
              <w:widowControl/>
              <w:tabs>
                <w:tab w:val="left" w:pos="540"/>
              </w:tabs>
              <w:snapToGrid w:val="0"/>
              <w:spacing w:line="300" w:lineRule="auto"/>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4）嵌入式系统控制：运行速度块、使用效率高、产品稳定性好。</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5）配备常亮指示灯。</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6）使用方便安全：操作全过程均有相应数据对比实现对应箱门打开。</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7）坚固耐用：采用特殊结构设计，锁紧机构安装在柜体内，开门操作由微主控心片控制，在紧急情况下，可通过特殊途径进行机械应急开锁。</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8）电源管理安全，市电220V经过柜体内安装的开关电源变压器转换后，输送到柜内各部分硬件电压不超过18V。</w:t>
            </w:r>
          </w:p>
          <w:p>
            <w:pPr>
              <w:widowControl w:val="0"/>
              <w:snapToGrid w:val="0"/>
              <w:spacing w:line="30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9）支持远程升级：提供终身无偿的增值服务，通过远程升级功能。</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noWrap w:val="0"/>
            <w:vAlign w:val="top"/>
          </w:tcPr>
          <w:p>
            <w:pPr>
              <w:widowControl w:val="0"/>
              <w:jc w:val="center"/>
              <w:rPr>
                <w:rFonts w:ascii="宋体" w:eastAsia="宋体" w:hAnsi="宋体" w:cs="宋体" w:hint="eastAsia"/>
                <w:kern w:val="2"/>
                <w:sz w:val="21"/>
                <w:szCs w:val="21"/>
                <w:lang w:eastAsia="zh-CN"/>
              </w:rPr>
            </w:pPr>
          </w:p>
        </w:tc>
        <w:tc>
          <w:tcPr>
            <w:tcW w:w="1725" w:type="dxa"/>
            <w:vMerge/>
            <w:noWrap w:val="0"/>
            <w:vAlign w:val="top"/>
          </w:tcPr>
          <w:p>
            <w:pPr>
              <w:widowControl/>
              <w:jc w:val="center"/>
              <w:textAlignment w:val="center"/>
              <w:rPr>
                <w:rFonts w:ascii="宋体" w:eastAsia="宋体" w:hAnsi="宋体" w:cs="宋体" w:hint="eastAsia"/>
                <w:kern w:val="2"/>
                <w:sz w:val="21"/>
                <w:szCs w:val="21"/>
                <w:lang w:eastAsia="zh-CN"/>
              </w:rPr>
            </w:pPr>
          </w:p>
        </w:tc>
        <w:tc>
          <w:tcPr>
            <w:tcW w:w="5969" w:type="dxa"/>
            <w:noWrap w:val="0"/>
            <w:vAlign w:val="top"/>
          </w:tcPr>
          <w:p>
            <w:pPr>
              <w:widowControl/>
              <w:snapToGrid w:val="0"/>
              <w:spacing w:line="300" w:lineRule="auto"/>
              <w:ind w:left="1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8.主要硬件接口类型：</w:t>
            </w:r>
          </w:p>
          <w:p>
            <w:pPr>
              <w:widowControl/>
              <w:snapToGrid w:val="0"/>
              <w:spacing w:line="300" w:lineRule="auto"/>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1）主板支持≥20块电磁锁控制板；电源DC8-16V；接口类型：DR9/232/PS2/RJ45/M1/RFID/</w:t>
            </w:r>
          </w:p>
          <w:p>
            <w:pPr>
              <w:widowControl/>
              <w:snapToGrid w:val="0"/>
              <w:spacing w:line="300" w:lineRule="auto"/>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2）电磁锁控制板 支持≥18位电磁锁控制</w:t>
            </w:r>
          </w:p>
          <w:p>
            <w:pPr>
              <w:widowControl/>
              <w:snapToGrid w:val="0"/>
              <w:spacing w:line="300" w:lineRule="auto"/>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3）读卡器接口类型：USB接口；取电方式：USB取电感应速度&lt;0.1S</w:t>
            </w:r>
          </w:p>
          <w:p>
            <w:pPr>
              <w:widowControl/>
              <w:snapToGrid w:val="0"/>
              <w:spacing w:line="300" w:lineRule="auto"/>
              <w:jc w:val="left"/>
              <w:rPr>
                <w:rFonts w:ascii="宋体" w:eastAsia="宋体" w:hAnsi="宋体" w:cs="宋体" w:hint="eastAsia"/>
                <w:sz w:val="21"/>
                <w:szCs w:val="21"/>
                <w:lang w:eastAsia="zh-CN"/>
              </w:rPr>
            </w:pPr>
            <w:r>
              <w:rPr>
                <w:rFonts w:ascii="宋体" w:eastAsia="宋体" w:hAnsi="宋体" w:cs="宋体" w:hint="eastAsia"/>
                <w:kern w:val="2"/>
                <w:sz w:val="21"/>
                <w:szCs w:val="21"/>
                <w:lang w:eastAsia="zh-CN"/>
              </w:rPr>
              <w:t>4）电控锁开锁检测：内置开锁位置检测；自弹式设计：弹力可调，可适用于0.5~4Kg重的门自弹。</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noWrap w:val="0"/>
            <w:vAlign w:val="top"/>
          </w:tcPr>
          <w:p>
            <w:pPr>
              <w:widowControl w:val="0"/>
              <w:jc w:val="center"/>
              <w:rPr>
                <w:rFonts w:ascii="宋体" w:eastAsia="宋体" w:hAnsi="宋体" w:cs="宋体" w:hint="eastAsia"/>
                <w:kern w:val="2"/>
                <w:sz w:val="21"/>
                <w:szCs w:val="21"/>
                <w:lang w:eastAsia="zh-CN"/>
              </w:rPr>
            </w:pPr>
          </w:p>
        </w:tc>
        <w:tc>
          <w:tcPr>
            <w:tcW w:w="1725" w:type="dxa"/>
            <w:vMerge/>
            <w:noWrap w:val="0"/>
            <w:vAlign w:val="top"/>
          </w:tcPr>
          <w:p>
            <w:pPr>
              <w:widowControl/>
              <w:jc w:val="center"/>
              <w:textAlignment w:val="center"/>
              <w:rPr>
                <w:rFonts w:ascii="宋体" w:eastAsia="宋体" w:hAnsi="宋体" w:cs="宋体" w:hint="eastAsia"/>
                <w:kern w:val="2"/>
                <w:sz w:val="21"/>
                <w:szCs w:val="21"/>
                <w:lang w:eastAsia="zh-CN"/>
              </w:rPr>
            </w:pPr>
          </w:p>
        </w:tc>
        <w:tc>
          <w:tcPr>
            <w:tcW w:w="5969" w:type="dxa"/>
            <w:noWrap w:val="0"/>
            <w:vAlign w:val="top"/>
          </w:tcPr>
          <w:p>
            <w:pPr>
              <w:widowControl/>
              <w:snapToGrid w:val="0"/>
              <w:spacing w:line="300" w:lineRule="auto"/>
              <w:ind w:left="1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9.</w:t>
            </w:r>
            <w:r>
              <w:rPr>
                <w:rFonts w:ascii="宋体" w:eastAsia="宋体" w:hAnsi="宋体" w:cs="宋体" w:hint="eastAsia"/>
                <w:b/>
                <w:kern w:val="2"/>
                <w:sz w:val="21"/>
                <w:szCs w:val="21"/>
                <w:lang w:eastAsia="zh-CN"/>
              </w:rPr>
              <w:t>机柜性能参数：</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1）电源220V/AC、输出12V/AC</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工作频率13.56MHZ通讯速率≥9.6Kbps</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总功率20W掉电数据保持时间≥10年</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温度范围-20℃-60℃读写时间小于0.3s</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2）采用≤4.3英寸高清触控一体屏幕，（480×800）±5mm像素点阵、16.7M色、电容触摸屏、标准指令集（TA）/DGUSⅡ系统；</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3）存储器类别：Flash存储器（TA/DGUS二代系统通用），典型值：≥16Mbytes.功能：字库存储空间典型值4-12MB,图片存储空间典型值：12-4MB</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RAM存储器:≥128KB，功能：变量存储空间</w:t>
            </w:r>
          </w:p>
          <w:p>
            <w:pPr>
              <w:widowControl w:val="0"/>
              <w:snapToGrid w:val="0"/>
              <w:spacing w:line="300" w:lineRule="auto"/>
              <w:jc w:val="both"/>
              <w:rPr>
                <w:rFonts w:ascii="宋体" w:eastAsia="宋体" w:hAnsi="宋体" w:cs="宋体" w:hint="eastAsia"/>
                <w:sz w:val="21"/>
                <w:szCs w:val="21"/>
                <w:lang w:eastAsia="zh-CN"/>
              </w:rPr>
            </w:pPr>
            <w:r>
              <w:rPr>
                <w:rFonts w:ascii="宋体" w:eastAsia="宋体" w:hAnsi="宋体" w:cs="宋体" w:hint="eastAsia"/>
                <w:kern w:val="2"/>
                <w:sz w:val="21"/>
                <w:szCs w:val="21"/>
                <w:lang w:eastAsia="zh-CN"/>
              </w:rPr>
              <w:t>NorFlash存储器：≥320KB功能：用户数据库，掉电保存。</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noWrap w:val="0"/>
            <w:vAlign w:val="top"/>
          </w:tcPr>
          <w:p>
            <w:pPr>
              <w:widowControl w:val="0"/>
              <w:jc w:val="center"/>
              <w:rPr>
                <w:rFonts w:ascii="宋体" w:eastAsia="宋体" w:hAnsi="宋体" w:cs="宋体" w:hint="eastAsia"/>
                <w:kern w:val="2"/>
                <w:sz w:val="21"/>
                <w:szCs w:val="21"/>
                <w:lang w:eastAsia="zh-CN"/>
              </w:rPr>
            </w:pPr>
          </w:p>
        </w:tc>
        <w:tc>
          <w:tcPr>
            <w:tcW w:w="1725" w:type="dxa"/>
            <w:vMerge/>
            <w:noWrap w:val="0"/>
            <w:vAlign w:val="top"/>
          </w:tcPr>
          <w:p>
            <w:pPr>
              <w:widowControl/>
              <w:jc w:val="center"/>
              <w:textAlignment w:val="center"/>
              <w:rPr>
                <w:rFonts w:ascii="宋体" w:eastAsia="宋体" w:hAnsi="宋体" w:cs="宋体" w:hint="eastAsia"/>
                <w:kern w:val="2"/>
                <w:sz w:val="21"/>
                <w:szCs w:val="21"/>
                <w:lang w:eastAsia="zh-CN"/>
              </w:rPr>
            </w:pPr>
          </w:p>
        </w:tc>
        <w:tc>
          <w:tcPr>
            <w:tcW w:w="5969" w:type="dxa"/>
            <w:noWrap w:val="0"/>
            <w:vAlign w:val="top"/>
          </w:tcPr>
          <w:p>
            <w:pPr>
              <w:widowControl/>
              <w:snapToGrid w:val="0"/>
              <w:spacing w:line="300" w:lineRule="auto"/>
              <w:ind w:left="10"/>
              <w:jc w:val="both"/>
              <w:rPr>
                <w:rFonts w:ascii="宋体" w:eastAsia="宋体" w:hAnsi="宋体" w:cs="宋体" w:hint="eastAsia"/>
                <w:kern w:val="2"/>
                <w:sz w:val="21"/>
                <w:szCs w:val="21"/>
                <w:lang w:eastAsia="zh-CN"/>
              </w:rPr>
            </w:pPr>
            <w:r>
              <w:rPr>
                <w:rFonts w:ascii="宋体" w:eastAsia="宋体" w:hAnsi="宋体" w:cs="宋体" w:hint="eastAsia"/>
                <w:sz w:val="21"/>
                <w:szCs w:val="21"/>
                <w:lang w:eastAsia="zh-CN"/>
              </w:rPr>
              <w:t>10.</w:t>
            </w:r>
            <w:r>
              <w:rPr>
                <w:rFonts w:ascii="宋体" w:eastAsia="宋体" w:hAnsi="宋体" w:cs="宋体" w:hint="eastAsia"/>
                <w:b/>
                <w:kern w:val="2"/>
                <w:sz w:val="21"/>
                <w:szCs w:val="21"/>
                <w:lang w:eastAsia="zh-CN"/>
              </w:rPr>
              <w:t>智能储物柜系统应用功能标准</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1）IC刷卡距离≤1CM，反应速度快；</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2）每个箱门可以授权1张学生卡。</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3）智能储物柜带标准网线接口，具备联网管理和脱机使用功能；</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4）断网时学生可以正常的开箱；</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5）不联网时，通过管理员可以在储物柜系统对所有箱门进行授权员工卡.</w:t>
            </w:r>
          </w:p>
          <w:p>
            <w:pPr>
              <w:widowControl/>
              <w:snapToGrid w:val="0"/>
              <w:spacing w:line="300" w:lineRule="auto"/>
              <w:ind w:left="10" w:left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6）不联网时，通过管理员可以在储物柜系统应急打开所有箱门或任意一个箱门。</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noWrap w:val="0"/>
            <w:vAlign w:val="top"/>
          </w:tcPr>
          <w:p>
            <w:pPr>
              <w:widowControl w:val="0"/>
              <w:jc w:val="center"/>
              <w:rPr>
                <w:rFonts w:ascii="宋体" w:eastAsia="宋体" w:hAnsi="宋体" w:cs="宋体" w:hint="eastAsia"/>
                <w:kern w:val="2"/>
                <w:sz w:val="21"/>
                <w:szCs w:val="21"/>
                <w:lang w:eastAsia="zh-CN"/>
              </w:rPr>
            </w:pPr>
          </w:p>
        </w:tc>
        <w:tc>
          <w:tcPr>
            <w:tcW w:w="1725" w:type="dxa"/>
            <w:vMerge/>
            <w:noWrap w:val="0"/>
            <w:vAlign w:val="top"/>
          </w:tcPr>
          <w:p>
            <w:pPr>
              <w:widowControl/>
              <w:jc w:val="center"/>
              <w:textAlignment w:val="center"/>
              <w:rPr>
                <w:rFonts w:ascii="宋体" w:eastAsia="宋体" w:hAnsi="宋体" w:cs="宋体" w:hint="eastAsia"/>
                <w:kern w:val="2"/>
                <w:sz w:val="21"/>
                <w:szCs w:val="21"/>
                <w:lang w:eastAsia="zh-CN"/>
              </w:rPr>
            </w:pPr>
          </w:p>
        </w:tc>
        <w:tc>
          <w:tcPr>
            <w:tcW w:w="5969" w:type="dxa"/>
            <w:noWrap w:val="0"/>
            <w:vAlign w:val="top"/>
          </w:tcPr>
          <w:p>
            <w:pPr>
              <w:widowControl w:val="0"/>
              <w:snapToGrid w:val="0"/>
              <w:spacing w:line="300" w:lineRule="auto"/>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11.</w:t>
            </w:r>
            <w:r>
              <w:rPr>
                <w:rFonts w:ascii="宋体" w:eastAsia="宋体" w:hAnsi="宋体" w:cs="宋体" w:hint="eastAsia"/>
                <w:b/>
                <w:kern w:val="2"/>
                <w:sz w:val="21"/>
                <w:szCs w:val="21"/>
                <w:lang w:eastAsia="zh-CN"/>
              </w:rPr>
              <w:t>智能储物柜管理软件应用功能标准：</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1）单台储物柜采用标准TCP/IP网线连接到服务器电脑（服务器电脑不限储物柜的连接数量）；</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2）储物柜网络与学校网络可以对接，共用同一网关；</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3）储物柜管理软件分为普通管理员和高级管理员，高级管理员可对普通管理员设制操作权限。</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4）储物柜管理软件中能实时显示每台储物柜当前的箱门使用状态（正在使用、空箱、故障）；</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5）储物柜管理软件具备分区和柜号标识的功能；</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6）储物柜管理软件中有员工IC卡管理功能；</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7）储物柜管理软件中有开箱记录查询功能、管理员操作日志查询功能；</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8）储物柜管理软件中有箱门使用记录和学生箱门授权表、柜子参数的数据备份和统计导出的功能。</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9）储物柜管理软件中可实时查看后台管理软件与储物柜的连接状态。</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10）储物柜管理软件中可分区批量导入员工信息、可批量自动授权、或单独授权。</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11）储物柜管理软件可与学校人事系统作人员数据对接。</w:t>
            </w:r>
          </w:p>
          <w:p>
            <w:pPr>
              <w:widowControl w:val="0"/>
              <w:snapToGrid w:val="0"/>
              <w:spacing w:line="300" w:lineRule="auto"/>
              <w:jc w:val="both"/>
              <w:rPr>
                <w:rFonts w:ascii="宋体" w:eastAsia="宋体" w:hAnsi="宋体" w:cs="宋体" w:hint="eastAsia"/>
                <w:sz w:val="21"/>
                <w:szCs w:val="21"/>
                <w:lang w:eastAsia="zh-CN"/>
              </w:rPr>
            </w:pPr>
            <w:r>
              <w:rPr>
                <w:rFonts w:ascii="宋体" w:eastAsia="宋体" w:hAnsi="宋体" w:cs="宋体" w:hint="eastAsia"/>
                <w:kern w:val="2"/>
                <w:sz w:val="21"/>
                <w:szCs w:val="21"/>
                <w:lang w:eastAsia="zh-CN"/>
              </w:rPr>
              <w:t>12）储物柜管理软件可设定5张管理员IC卡。</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val="restart"/>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p>
        </w:tc>
        <w:tc>
          <w:tcPr>
            <w:tcW w:w="1725" w:type="dxa"/>
            <w:vMerge w:val="restart"/>
            <w:noWrap w:val="0"/>
            <w:vAlign w:val="center"/>
          </w:tcPr>
          <w:p>
            <w:pPr>
              <w:widowControl/>
              <w:jc w:val="center"/>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四人位回弹</w:t>
            </w:r>
          </w:p>
          <w:p>
            <w:pPr>
              <w:widowControl/>
              <w:jc w:val="center"/>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餐桌椅</w:t>
            </w:r>
          </w:p>
        </w:tc>
        <w:tc>
          <w:tcPr>
            <w:tcW w:w="5969" w:type="dxa"/>
            <w:noWrap w:val="0"/>
            <w:vAlign w:val="center"/>
          </w:tcPr>
          <w:p>
            <w:pPr>
              <w:keepNext w:val="0"/>
              <w:keepLines w:val="0"/>
              <w:widowControl/>
              <w:suppressLineNumbers w:val="0"/>
              <w:jc w:val="left"/>
              <w:textAlignment w:val="center"/>
              <w:rPr>
                <w:rFonts w:ascii="宋体" w:eastAsia="宋体" w:hAnsi="宋体" w:cs="宋体" w:hint="eastAsia"/>
                <w:kern w:val="2"/>
                <w:lang w:eastAsia="zh-CN"/>
              </w:rPr>
            </w:pPr>
            <w:r>
              <w:rPr>
                <w:rFonts w:ascii="宋体" w:eastAsia="宋体" w:hAnsi="宋体" w:cs="宋体" w:hint="eastAsia"/>
                <w:sz w:val="21"/>
                <w:szCs w:val="21"/>
                <w:lang w:eastAsia="zh-CN" w:bidi="ar"/>
              </w:rPr>
              <w:t>1.规格：（W1200*D700*H750）mm±20mm；</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noWrap w:val="0"/>
            <w:vAlign w:val="top"/>
          </w:tcPr>
          <w:p>
            <w:pPr>
              <w:widowControl w:val="0"/>
              <w:jc w:val="center"/>
              <w:rPr>
                <w:rFonts w:ascii="宋体" w:eastAsia="宋体" w:hAnsi="宋体" w:cs="宋体" w:hint="eastAsia"/>
                <w:kern w:val="2"/>
                <w:sz w:val="21"/>
                <w:szCs w:val="21"/>
                <w:lang w:eastAsia="zh-CN"/>
              </w:rPr>
            </w:pPr>
          </w:p>
        </w:tc>
        <w:tc>
          <w:tcPr>
            <w:tcW w:w="1725" w:type="dxa"/>
            <w:vMerge/>
            <w:noWrap w:val="0"/>
            <w:vAlign w:val="top"/>
          </w:tcPr>
          <w:p>
            <w:pPr>
              <w:widowControl/>
              <w:jc w:val="center"/>
              <w:textAlignment w:val="center"/>
              <w:rPr>
                <w:rFonts w:ascii="宋体" w:eastAsia="宋体" w:hAnsi="宋体" w:cs="宋体" w:hint="eastAsia"/>
                <w:kern w:val="2"/>
                <w:sz w:val="21"/>
                <w:szCs w:val="21"/>
                <w:lang w:eastAsia="zh-CN"/>
              </w:rPr>
            </w:pPr>
          </w:p>
        </w:tc>
        <w:tc>
          <w:tcPr>
            <w:tcW w:w="5969" w:type="dxa"/>
            <w:noWrap w:val="0"/>
            <w:vAlign w:val="top"/>
          </w:tcPr>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2.桌面材质采用抗倍特一体成型，面板四倒角。主结构钢架采用圆形钢管，经满焊焊接而成；主钢管尺寸（四肢桌腿）（Φ50.8mm*T1.5mm）±1mm，主钢管调整脚垫采用PP塑料一级新料一体射出成型。坐垫采用ABS新料一体注塑成型，座垫面板直径296mm±10mm；中间有內弧造型，深度为10mm±2mm；坐垫底下回弹支撑外管尺寸（50.8mm*T1.5mm）±1mm,支撑主管（内管）尺寸：（Φ35mm*T1.5mm）±1mm；坐垫底部采用锥形支撑盘，支撑盘采用冲压拉伸成型工艺，表面镀铬工艺；座垫底下肘壁≥（Φ32mm*T1.5mm），一次弯管成型；座垫肘壁可0-270度旋转，拼桌时座椅可调整至餐桌两头就坐（桌面长向与宽向位置），入坐时，座椅的脚垫与地面接触作为支撑，坐垫可360度旋转，离开坐垫后，座椅可自动回弹升起归位，收纳时座椅的脚垫与地面无接触，座椅脚垫尺寸：（60mm*上管直径38mm*下管直径50mm）±10mm;座椅脚垫材质采用PP塑料+橡胶软垫,底部需有嵌入式防滑防刮伤软垫。</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noWrap w:val="0"/>
            <w:vAlign w:val="top"/>
          </w:tcPr>
          <w:p>
            <w:pPr>
              <w:widowControl w:val="0"/>
              <w:jc w:val="center"/>
              <w:rPr>
                <w:rFonts w:ascii="宋体" w:eastAsia="宋体" w:hAnsi="宋体" w:cs="宋体" w:hint="eastAsia"/>
                <w:kern w:val="2"/>
                <w:sz w:val="21"/>
                <w:szCs w:val="21"/>
                <w:lang w:eastAsia="zh-CN"/>
              </w:rPr>
            </w:pPr>
          </w:p>
        </w:tc>
        <w:tc>
          <w:tcPr>
            <w:tcW w:w="1725" w:type="dxa"/>
            <w:vMerge/>
            <w:noWrap w:val="0"/>
            <w:vAlign w:val="top"/>
          </w:tcPr>
          <w:p>
            <w:pPr>
              <w:widowControl/>
              <w:jc w:val="center"/>
              <w:textAlignment w:val="center"/>
              <w:rPr>
                <w:rFonts w:ascii="宋体" w:eastAsia="宋体" w:hAnsi="宋体" w:cs="宋体" w:hint="eastAsia"/>
                <w:kern w:val="2"/>
                <w:sz w:val="21"/>
                <w:szCs w:val="21"/>
                <w:lang w:eastAsia="zh-CN"/>
              </w:rPr>
            </w:pPr>
          </w:p>
        </w:tc>
        <w:tc>
          <w:tcPr>
            <w:tcW w:w="5969" w:type="dxa"/>
            <w:noWrap w:val="0"/>
            <w:vAlign w:val="top"/>
          </w:tcPr>
          <w:p>
            <w:pPr>
              <w:widowControl w:val="0"/>
              <w:snapToGrid w:val="0"/>
              <w:spacing w:line="300" w:lineRule="auto"/>
              <w:jc w:val="both"/>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3.提供符合以下要求的检测报告：检测或判定依据GB18580-2017、GB/T26696-2011，GB4806.6-2016、GB28481-2012，GB/T9345.1-2008、GB/T2411-2008，要求抗倍特板的甲醛释放量≤0.050mg/m³；理化性能的耐香烟灼烧≥1级、耐酸碱（10%碳酸钠和30%乙酸，24h）≥1级、表面耐干热≥1级、表面耐划痕≥1级。PP粒子（家具用）的多环芳烃苯并[a]芘未检出；16种多环芳烃(PAH)总量未检出；邻苯二甲酸酯（DBP、BBP、DEHP、DNOP、DINP、DIDP）均未检出；重金属（包含可溶性铅、可溶性镉、可溶性铬、可溶性汞）均未检出；感官要求色泽正常，无异臭、不洁物等，迁移试验所得浸泡液无浑浊、沉淀、异臭等感官性的劣变；悬臂梁无缺口冲击强度≥63kJ/㎡；灰分（850℃）,%≤1；邵氏硬度（D型）≥64；简支梁无缺口冲击强度≥74kJ/㎡；维卡软化温度（A50法）≥151℃，邻苯二甲酸酯迁移量均未检出。PP脚垫的灰分（600℃），%≤1.7；邵氏硬度D≥73。</w:t>
            </w:r>
          </w:p>
          <w:p>
            <w:pPr>
              <w:widowControl w:val="0"/>
              <w:snapToGrid w:val="0"/>
              <w:spacing w:line="300" w:lineRule="auto"/>
              <w:jc w:val="both"/>
              <w:rPr>
                <w:rFonts w:ascii="宋体" w:eastAsia="宋体" w:hAnsi="宋体" w:cs="宋体" w:hint="eastAsia"/>
                <w:sz w:val="21"/>
                <w:szCs w:val="21"/>
                <w:lang w:eastAsia="zh-CN" w:bidi="ar"/>
              </w:rPr>
            </w:pPr>
            <w:r>
              <w:rPr>
                <w:rFonts w:ascii="宋体" w:eastAsia="宋体" w:hAnsi="宋体" w:cs="宋体" w:hint="eastAsia"/>
                <w:kern w:val="2"/>
                <w:sz w:val="21"/>
                <w:szCs w:val="21"/>
                <w:lang w:eastAsia="zh-CN"/>
              </w:rPr>
              <w:t>投标时提供2022年1月1日至投标截止之日的第三方检测机构出具的具有CMA标识的检测报告扫描件，检测报告内容符合以上检测要求。同时需要提供在全国认证认可信息公共服务平台（认e云-http://cx.cnca.cn/）检测报告查询截图，原件备查。</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val="restart"/>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p>
        </w:tc>
        <w:tc>
          <w:tcPr>
            <w:tcW w:w="1725" w:type="dxa"/>
            <w:vMerge w:val="restart"/>
            <w:noWrap w:val="0"/>
            <w:vAlign w:val="center"/>
          </w:tcPr>
          <w:p>
            <w:pPr>
              <w:widowControl/>
              <w:jc w:val="center"/>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吧桌</w:t>
            </w:r>
          </w:p>
        </w:tc>
        <w:tc>
          <w:tcPr>
            <w:tcW w:w="5969" w:type="dxa"/>
            <w:noWrap w:val="0"/>
            <w:vAlign w:val="top"/>
          </w:tcPr>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1.规格：（W2400*D800*H1000）mm±50mm；</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noWrap w:val="0"/>
            <w:vAlign w:val="top"/>
          </w:tcPr>
          <w:p>
            <w:pPr>
              <w:widowControl w:val="0"/>
              <w:jc w:val="center"/>
              <w:rPr>
                <w:rFonts w:ascii="宋体" w:eastAsia="宋体" w:hAnsi="宋体" w:cs="宋体" w:hint="eastAsia"/>
                <w:kern w:val="2"/>
                <w:sz w:val="21"/>
                <w:szCs w:val="21"/>
                <w:lang w:eastAsia="zh-CN"/>
              </w:rPr>
            </w:pPr>
          </w:p>
        </w:tc>
        <w:tc>
          <w:tcPr>
            <w:tcW w:w="1725" w:type="dxa"/>
            <w:vMerge/>
            <w:noWrap w:val="0"/>
            <w:vAlign w:val="top"/>
          </w:tcPr>
          <w:p>
            <w:pPr>
              <w:widowControl/>
              <w:jc w:val="center"/>
              <w:textAlignment w:val="center"/>
              <w:rPr>
                <w:rFonts w:ascii="宋体" w:eastAsia="宋体" w:hAnsi="宋体" w:cs="宋体" w:hint="eastAsia"/>
                <w:kern w:val="2"/>
                <w:sz w:val="21"/>
                <w:szCs w:val="21"/>
                <w:lang w:eastAsia="zh-CN"/>
              </w:rPr>
            </w:pPr>
          </w:p>
        </w:tc>
        <w:tc>
          <w:tcPr>
            <w:tcW w:w="5969" w:type="dxa"/>
            <w:noWrap w:val="0"/>
            <w:vAlign w:val="top"/>
          </w:tcPr>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2.桌面基材采用不低于E0级实木多层板面贴防火板。采用钢制脚架，高温粉体烤漆。</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p>
        </w:tc>
        <w:tc>
          <w:tcPr>
            <w:tcW w:w="1725" w:type="dxa"/>
            <w:noWrap w:val="0"/>
            <w:vAlign w:val="center"/>
          </w:tcPr>
          <w:p>
            <w:pPr>
              <w:widowControl/>
              <w:jc w:val="center"/>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吧椅</w:t>
            </w:r>
          </w:p>
        </w:tc>
        <w:tc>
          <w:tcPr>
            <w:tcW w:w="5969" w:type="dxa"/>
            <w:noWrap w:val="0"/>
            <w:vAlign w:val="top"/>
          </w:tcPr>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1.坐高750mm±10mm，坐垫靠背采用食品级PP塑料，一体成型，圆角设计，脚架采用圆形钢管；椅背提手设计；工字型脚架科学支撑，可堆叠收纳。</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val="restart"/>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w:t>
            </w:r>
          </w:p>
        </w:tc>
        <w:tc>
          <w:tcPr>
            <w:tcW w:w="1725" w:type="dxa"/>
            <w:vMerge w:val="restart"/>
            <w:noWrap w:val="0"/>
            <w:vAlign w:val="center"/>
          </w:tcPr>
          <w:p>
            <w:pPr>
              <w:widowControl/>
              <w:jc w:val="center"/>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隔断花槽柜1</w:t>
            </w:r>
          </w:p>
        </w:tc>
        <w:tc>
          <w:tcPr>
            <w:tcW w:w="5969" w:type="dxa"/>
            <w:noWrap w:val="0"/>
            <w:vAlign w:val="top"/>
          </w:tcPr>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2"/>
                <w:lang w:eastAsia="zh-CN"/>
              </w:rPr>
              <w:t>1.规格：（W1200*D300*H1000）mm±20mm；</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noWrap w:val="0"/>
            <w:vAlign w:val="top"/>
          </w:tcPr>
          <w:p>
            <w:pPr>
              <w:widowControl w:val="0"/>
              <w:jc w:val="center"/>
              <w:rPr>
                <w:rFonts w:ascii="宋体" w:eastAsia="宋体" w:hAnsi="宋体" w:cs="宋体" w:hint="eastAsia"/>
                <w:kern w:val="2"/>
                <w:sz w:val="21"/>
                <w:szCs w:val="21"/>
                <w:lang w:eastAsia="zh-CN"/>
              </w:rPr>
            </w:pPr>
          </w:p>
        </w:tc>
        <w:tc>
          <w:tcPr>
            <w:tcW w:w="1725" w:type="dxa"/>
            <w:vMerge/>
            <w:noWrap w:val="0"/>
            <w:vAlign w:val="top"/>
          </w:tcPr>
          <w:p>
            <w:pPr>
              <w:widowControl/>
              <w:jc w:val="center"/>
              <w:textAlignment w:val="center"/>
              <w:rPr>
                <w:rFonts w:ascii="宋体" w:eastAsia="宋体" w:hAnsi="宋体" w:cs="宋体" w:hint="eastAsia"/>
                <w:kern w:val="2"/>
                <w:sz w:val="21"/>
                <w:szCs w:val="21"/>
                <w:lang w:eastAsia="zh-CN"/>
              </w:rPr>
            </w:pPr>
          </w:p>
        </w:tc>
        <w:tc>
          <w:tcPr>
            <w:tcW w:w="5969" w:type="dxa"/>
            <w:noWrap w:val="0"/>
            <w:vAlign w:val="top"/>
          </w:tcPr>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2"/>
                <w:lang w:eastAsia="zh-CN"/>
              </w:rPr>
              <w:t>2.全钢制，所有钢板采用冷轧钢板，经静电粉末喷涂工艺处理；储物柜内部设置合理置物层，所有层板底部均有加强筋。所有拉手为隐藏或暗拉手。钢制部件工艺要求：酸洗、磷化、钝化，焊接无灰渣、气孔焊瘤；无脱焊、虚焊、焊穿。环氧聚酯热固粉末高压静电喷塑。</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noWrap w:val="0"/>
            <w:vAlign w:val="top"/>
          </w:tcPr>
          <w:p>
            <w:pPr>
              <w:widowControl w:val="0"/>
              <w:jc w:val="center"/>
              <w:rPr>
                <w:rFonts w:ascii="宋体" w:eastAsia="宋体" w:hAnsi="宋体" w:cs="宋体" w:hint="eastAsia"/>
                <w:kern w:val="2"/>
                <w:sz w:val="21"/>
                <w:szCs w:val="21"/>
                <w:lang w:eastAsia="zh-CN"/>
              </w:rPr>
            </w:pPr>
          </w:p>
        </w:tc>
        <w:tc>
          <w:tcPr>
            <w:tcW w:w="1725" w:type="dxa"/>
            <w:vMerge/>
            <w:noWrap w:val="0"/>
            <w:vAlign w:val="top"/>
          </w:tcPr>
          <w:p>
            <w:pPr>
              <w:widowControl/>
              <w:jc w:val="center"/>
              <w:textAlignment w:val="center"/>
              <w:rPr>
                <w:rFonts w:ascii="宋体" w:eastAsia="宋体" w:hAnsi="宋体" w:cs="宋体" w:hint="eastAsia"/>
                <w:kern w:val="2"/>
                <w:sz w:val="21"/>
                <w:szCs w:val="21"/>
                <w:lang w:eastAsia="zh-CN"/>
              </w:rPr>
            </w:pPr>
          </w:p>
        </w:tc>
        <w:tc>
          <w:tcPr>
            <w:tcW w:w="5969" w:type="dxa"/>
            <w:noWrap w:val="0"/>
            <w:vAlign w:val="top"/>
          </w:tcPr>
          <w:p>
            <w:pPr>
              <w:widowControl w:val="0"/>
              <w:snapToGrid w:val="0"/>
              <w:spacing w:line="300" w:lineRule="auto"/>
              <w:jc w:val="both"/>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3.提供符合以下要求的检测报告：检测或判定依据GB/T3325-2017、QB/T3832-1999、GB/T10125-2021、QB/T3827-1999，HG/T2006-2006或HG/T2006-2022，要求钢板的金属件喷涂层检测符合技术要求；金属喷漆（塑）涂层硬度≥2H，冲击强度合格；耐腐蚀</w:t>
            </w:r>
            <w:r>
              <w:rPr>
                <w:rFonts w:ascii="宋体" w:eastAsia="宋体" w:hAnsi="宋体" w:cs="宋体" w:hint="eastAsia"/>
                <w:kern w:val="2"/>
                <w:sz w:val="21"/>
                <w:lang w:eastAsia="zh-CN"/>
              </w:rPr>
              <w:t>≥</w:t>
            </w:r>
            <w:r>
              <w:rPr>
                <w:rFonts w:ascii="宋体" w:eastAsia="宋体" w:hAnsi="宋体" w:cs="宋体" w:hint="eastAsia"/>
                <w:sz w:val="21"/>
                <w:szCs w:val="21"/>
                <w:lang w:eastAsia="zh-CN" w:bidi="ar"/>
              </w:rPr>
              <w:t>100h符合检测标准要求；附着力</w:t>
            </w:r>
            <w:r>
              <w:rPr>
                <w:rFonts w:ascii="宋体" w:eastAsia="宋体" w:hAnsi="宋体" w:cs="宋体" w:hint="eastAsia"/>
                <w:kern w:val="2"/>
                <w:sz w:val="21"/>
                <w:lang w:eastAsia="zh-CN"/>
              </w:rPr>
              <w:t>≥</w:t>
            </w:r>
            <w:r>
              <w:rPr>
                <w:rFonts w:ascii="宋体" w:eastAsia="宋体" w:hAnsi="宋体" w:cs="宋体" w:hint="eastAsia"/>
                <w:sz w:val="21"/>
                <w:szCs w:val="21"/>
                <w:lang w:eastAsia="zh-CN" w:bidi="ar"/>
              </w:rPr>
              <w:t>2级；金属表面耐腐蚀（乙酸盐雾连续喷雾</w:t>
            </w:r>
            <w:r>
              <w:rPr>
                <w:rFonts w:ascii="宋体" w:eastAsia="宋体" w:hAnsi="宋体" w:cs="宋体" w:hint="eastAsia"/>
                <w:kern w:val="2"/>
                <w:sz w:val="21"/>
                <w:lang w:eastAsia="zh-CN"/>
              </w:rPr>
              <w:t>≥</w:t>
            </w:r>
            <w:r>
              <w:rPr>
                <w:rFonts w:ascii="宋体" w:eastAsia="宋体" w:hAnsi="宋体" w:cs="宋体" w:hint="eastAsia"/>
                <w:sz w:val="21"/>
                <w:szCs w:val="21"/>
                <w:lang w:eastAsia="zh-CN" w:bidi="ar"/>
              </w:rPr>
              <w:t>168小时）达到：涂层本身的耐腐蚀等级和涂层对基体的保护等级均</w:t>
            </w:r>
            <w:r>
              <w:rPr>
                <w:rFonts w:ascii="宋体" w:eastAsia="宋体" w:hAnsi="宋体" w:cs="宋体" w:hint="eastAsia"/>
                <w:kern w:val="2"/>
                <w:sz w:val="21"/>
                <w:lang w:eastAsia="zh-CN"/>
              </w:rPr>
              <w:t>≥</w:t>
            </w:r>
            <w:r>
              <w:rPr>
                <w:rFonts w:ascii="宋体" w:eastAsia="宋体" w:hAnsi="宋体" w:cs="宋体" w:hint="eastAsia"/>
                <w:sz w:val="21"/>
                <w:szCs w:val="21"/>
                <w:lang w:eastAsia="zh-CN" w:bidi="ar"/>
              </w:rPr>
              <w:t>10级（10级最好，0级最差）；盐雾试验（铜加速乙酸盐雾连续喷雾</w:t>
            </w:r>
            <w:r>
              <w:rPr>
                <w:rFonts w:ascii="宋体" w:eastAsia="宋体" w:hAnsi="宋体" w:cs="宋体" w:hint="eastAsia"/>
                <w:kern w:val="2"/>
                <w:sz w:val="21"/>
                <w:lang w:eastAsia="zh-CN"/>
              </w:rPr>
              <w:t>≥</w:t>
            </w:r>
            <w:r>
              <w:rPr>
                <w:rFonts w:ascii="宋体" w:eastAsia="宋体" w:hAnsi="宋体" w:cs="宋体" w:hint="eastAsia"/>
                <w:sz w:val="21"/>
                <w:szCs w:val="21"/>
                <w:lang w:eastAsia="zh-CN" w:bidi="ar"/>
              </w:rPr>
              <w:t>24小时）达到涂层本身的耐腐蚀等级和涂层对基体的保护等级均</w:t>
            </w:r>
            <w:r>
              <w:rPr>
                <w:rFonts w:ascii="宋体" w:eastAsia="宋体" w:hAnsi="宋体" w:cs="宋体" w:hint="eastAsia"/>
                <w:kern w:val="2"/>
                <w:sz w:val="21"/>
                <w:lang w:eastAsia="zh-CN"/>
              </w:rPr>
              <w:t>≥</w:t>
            </w:r>
            <w:r>
              <w:rPr>
                <w:rFonts w:ascii="宋体" w:eastAsia="宋体" w:hAnsi="宋体" w:cs="宋体" w:hint="eastAsia"/>
                <w:sz w:val="21"/>
                <w:szCs w:val="21"/>
                <w:lang w:eastAsia="zh-CN" w:bidi="ar"/>
              </w:rPr>
              <w:t>10级（10级最好，0级最差）。塑粉的可溶性铅≤2㎎/kg，可溶性镉≤0.5㎎/kg，可溶性铬≤1㎎/kg，可溶性汞≤1㎎/kg。</w:t>
            </w:r>
          </w:p>
          <w:p>
            <w:pPr>
              <w:widowControl w:val="0"/>
              <w:snapToGrid w:val="0"/>
              <w:spacing w:line="300" w:lineRule="auto"/>
              <w:jc w:val="both"/>
              <w:rPr>
                <w:rFonts w:ascii="宋体" w:eastAsia="宋体" w:hAnsi="宋体" w:cs="宋体" w:hint="eastAsia"/>
                <w:kern w:val="2"/>
                <w:sz w:val="21"/>
                <w:szCs w:val="22"/>
                <w:lang w:eastAsia="zh-CN"/>
              </w:rPr>
            </w:pPr>
            <w:r>
              <w:rPr>
                <w:rFonts w:ascii="宋体" w:eastAsia="宋体" w:hAnsi="宋体" w:cs="宋体" w:hint="eastAsia"/>
                <w:kern w:val="2"/>
                <w:sz w:val="21"/>
                <w:szCs w:val="21"/>
                <w:lang w:eastAsia="zh-CN"/>
              </w:rPr>
              <w:t>投标时提供2022年1月1日至投标截止之日的第三方检测机构出具的具有CMA标识的检测报告扫描件，检测报告内容符合以上检测要求。同时需要提供在全国认证认可信息公共服务平台（认e云-http://cx.cnca.cn/）检测报告查询截图，原件备查。</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val="restart"/>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w:t>
            </w:r>
          </w:p>
        </w:tc>
        <w:tc>
          <w:tcPr>
            <w:tcW w:w="1725" w:type="dxa"/>
            <w:vMerge w:val="restart"/>
            <w:noWrap w:val="0"/>
            <w:vAlign w:val="center"/>
          </w:tcPr>
          <w:p>
            <w:pPr>
              <w:widowControl/>
              <w:jc w:val="center"/>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隔断花槽柜2</w:t>
            </w:r>
          </w:p>
        </w:tc>
        <w:tc>
          <w:tcPr>
            <w:tcW w:w="5969" w:type="dxa"/>
            <w:noWrap w:val="0"/>
            <w:vAlign w:val="top"/>
          </w:tcPr>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2"/>
                <w:lang w:eastAsia="zh-CN"/>
              </w:rPr>
              <w:t>1.规格：（W1300*D300*H1000）mm±20mm；</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noWrap w:val="0"/>
            <w:vAlign w:val="top"/>
          </w:tcPr>
          <w:p>
            <w:pPr>
              <w:widowControl w:val="0"/>
              <w:jc w:val="center"/>
              <w:rPr>
                <w:rFonts w:ascii="宋体" w:eastAsia="宋体" w:hAnsi="宋体" w:cs="宋体" w:hint="eastAsia"/>
                <w:kern w:val="2"/>
                <w:sz w:val="21"/>
                <w:szCs w:val="21"/>
                <w:lang w:eastAsia="zh-CN"/>
              </w:rPr>
            </w:pPr>
          </w:p>
        </w:tc>
        <w:tc>
          <w:tcPr>
            <w:tcW w:w="1725" w:type="dxa"/>
            <w:vMerge/>
            <w:noWrap w:val="0"/>
            <w:vAlign w:val="top"/>
          </w:tcPr>
          <w:p>
            <w:pPr>
              <w:widowControl/>
              <w:jc w:val="center"/>
              <w:textAlignment w:val="center"/>
              <w:rPr>
                <w:rFonts w:ascii="宋体" w:eastAsia="宋体" w:hAnsi="宋体" w:cs="宋体" w:hint="eastAsia"/>
                <w:kern w:val="2"/>
                <w:sz w:val="21"/>
                <w:szCs w:val="21"/>
                <w:lang w:eastAsia="zh-CN"/>
              </w:rPr>
            </w:pPr>
          </w:p>
        </w:tc>
        <w:tc>
          <w:tcPr>
            <w:tcW w:w="5969" w:type="dxa"/>
            <w:noWrap w:val="0"/>
            <w:vAlign w:val="top"/>
          </w:tcPr>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2"/>
                <w:lang w:eastAsia="zh-CN"/>
              </w:rPr>
              <w:t>2.全钢制，所有钢板采用冷轧钢板，经静电粉末喷涂工艺处理；储物柜内部设置合理置物层，所有层板底部均有加强筋。所有拉手为隐藏或暗拉手。钢制部件工艺要求：酸洗、磷化、钝化，焊接无灰渣、气孔焊瘤；无脱焊、虚焊、焊穿。环氧聚酯热固粉末高压静电喷塑。</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val="restart"/>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w:t>
            </w:r>
          </w:p>
        </w:tc>
        <w:tc>
          <w:tcPr>
            <w:tcW w:w="1725" w:type="dxa"/>
            <w:vMerge w:val="restart"/>
            <w:noWrap w:val="0"/>
            <w:vAlign w:val="center"/>
          </w:tcPr>
          <w:p>
            <w:pPr>
              <w:widowControl/>
              <w:jc w:val="center"/>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卡座沙发</w:t>
            </w:r>
          </w:p>
        </w:tc>
        <w:tc>
          <w:tcPr>
            <w:tcW w:w="5969" w:type="dxa"/>
            <w:noWrap w:val="0"/>
            <w:vAlign w:val="top"/>
          </w:tcPr>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2"/>
                <w:lang w:eastAsia="zh-CN"/>
              </w:rPr>
              <w:t>1.规格：（W1400*D700）mm±20mm；</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noWrap w:val="0"/>
            <w:vAlign w:val="center"/>
          </w:tcPr>
          <w:p>
            <w:pPr>
              <w:widowControl w:val="0"/>
              <w:jc w:val="center"/>
              <w:rPr>
                <w:rFonts w:ascii="宋体" w:eastAsia="宋体" w:hAnsi="宋体" w:cs="宋体" w:hint="eastAsia"/>
                <w:kern w:val="2"/>
                <w:sz w:val="21"/>
                <w:szCs w:val="21"/>
                <w:lang w:eastAsia="zh-CN"/>
              </w:rPr>
            </w:pPr>
          </w:p>
        </w:tc>
        <w:tc>
          <w:tcPr>
            <w:tcW w:w="1725" w:type="dxa"/>
            <w:vMerge/>
            <w:noWrap w:val="0"/>
            <w:vAlign w:val="center"/>
          </w:tcPr>
          <w:p>
            <w:pPr>
              <w:widowControl/>
              <w:jc w:val="center"/>
              <w:textAlignment w:val="center"/>
              <w:rPr>
                <w:rFonts w:ascii="宋体" w:eastAsia="宋体" w:hAnsi="宋体" w:cs="宋体" w:hint="eastAsia"/>
                <w:kern w:val="2"/>
                <w:sz w:val="21"/>
                <w:szCs w:val="21"/>
                <w:lang w:eastAsia="zh-CN"/>
              </w:rPr>
            </w:pPr>
          </w:p>
        </w:tc>
        <w:tc>
          <w:tcPr>
            <w:tcW w:w="5969" w:type="dxa"/>
            <w:noWrap w:val="0"/>
            <w:vAlign w:val="top"/>
          </w:tcPr>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2"/>
                <w:lang w:eastAsia="zh-CN"/>
              </w:rPr>
              <w:t>2.沙发架采用实木框架，座背采用布艺或皮革软包，高密度回弹阻燃海绵。</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noWrap w:val="0"/>
            <w:vAlign w:val="center"/>
          </w:tcPr>
          <w:p>
            <w:pPr>
              <w:widowControl w:val="0"/>
              <w:jc w:val="center"/>
              <w:rPr>
                <w:rFonts w:ascii="宋体" w:eastAsia="宋体" w:hAnsi="宋体" w:cs="宋体" w:hint="eastAsia"/>
                <w:kern w:val="2"/>
                <w:sz w:val="21"/>
                <w:szCs w:val="21"/>
                <w:lang w:eastAsia="zh-CN"/>
              </w:rPr>
            </w:pPr>
          </w:p>
        </w:tc>
        <w:tc>
          <w:tcPr>
            <w:tcW w:w="1725" w:type="dxa"/>
            <w:vMerge/>
            <w:noWrap w:val="0"/>
            <w:vAlign w:val="center"/>
          </w:tcPr>
          <w:p>
            <w:pPr>
              <w:widowControl/>
              <w:jc w:val="center"/>
              <w:textAlignment w:val="center"/>
              <w:rPr>
                <w:rFonts w:ascii="宋体" w:eastAsia="宋体" w:hAnsi="宋体" w:cs="宋体" w:hint="eastAsia"/>
                <w:kern w:val="2"/>
                <w:sz w:val="21"/>
                <w:szCs w:val="21"/>
                <w:lang w:eastAsia="zh-CN"/>
              </w:rPr>
            </w:pPr>
          </w:p>
        </w:tc>
        <w:tc>
          <w:tcPr>
            <w:tcW w:w="5969" w:type="dxa"/>
            <w:noWrap w:val="0"/>
            <w:vAlign w:val="top"/>
          </w:tcPr>
          <w:p>
            <w:pPr>
              <w:widowControl w:val="0"/>
              <w:snapToGrid w:val="0"/>
              <w:spacing w:line="300" w:lineRule="auto"/>
              <w:jc w:val="both"/>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3.提供符合以下要求的检测报告：检测或判定依据GB/T3324-2017，GB/T10802-2023、GB17927.1-2011，要求木方的木材含水率在10%±1%；木制件外观（包括贯通裂缝、虫蛀、腐朽材、树脂囊、节子、死节、孔洞、夹皮和树脂道、树胶道、其他轻微材质缺陷）均检测合格。</w:t>
            </w:r>
            <w:r>
              <w:rPr>
                <w:rFonts w:ascii="宋体" w:eastAsia="宋体" w:hAnsi="宋体" w:cs="宋体" w:hint="eastAsia"/>
                <w:kern w:val="2"/>
                <w:sz w:val="21"/>
                <w:lang w:eastAsia="zh-CN"/>
              </w:rPr>
              <w:t>阻燃海绵的表观密度偏差在±0.6kg/m³；40%压陷硬度偏差在±6N；回弹率≥45%；75%压缩永久变形≤3.5%；65%/25%压陷比≥2.5；气味等级≥7级；拉伸强度（kPa）≥85；断裂伸长率（%）≥155；撕裂强度（N/cm）≥3.0；干热老化后拉伸强度（kPa）≥111；干热老化后拉伸强度变化率≤26%；湿热老化后拉伸强度（kPa）≥87；湿热老化后拉伸强度变化率在±1.8%；灰分≤0.15%；甲醛散发检测要求未检出；软质聚氨酯泡沫塑料的座面密度≥44㎏/m³；通过香烟抗引燃特性试验。</w:t>
            </w:r>
          </w:p>
          <w:p>
            <w:pPr>
              <w:widowControl w:val="0"/>
              <w:snapToGrid w:val="0"/>
              <w:spacing w:line="300" w:lineRule="auto"/>
              <w:jc w:val="both"/>
              <w:rPr>
                <w:rFonts w:ascii="宋体" w:eastAsia="宋体" w:hAnsi="宋体" w:cs="宋体" w:hint="eastAsia"/>
                <w:kern w:val="2"/>
                <w:sz w:val="21"/>
                <w:szCs w:val="22"/>
                <w:lang w:eastAsia="zh-CN"/>
              </w:rPr>
            </w:pPr>
            <w:r>
              <w:rPr>
                <w:rFonts w:ascii="宋体" w:eastAsia="宋体" w:hAnsi="宋体" w:cs="宋体" w:hint="eastAsia"/>
                <w:kern w:val="2"/>
                <w:sz w:val="21"/>
                <w:szCs w:val="21"/>
                <w:lang w:eastAsia="zh-CN"/>
              </w:rPr>
              <w:t>投标时提供2022年1月1日至投标截止之日的第三方检测机构出具的具有CMA标识的检测报告扫描件，检测报告内容符合以上检测要求。同时需要提供在全国认证认可信息公共服务平台（认e云-http://cx.cnca.cn/）检测报告查询截图，原件备查。</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val="restart"/>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w:t>
            </w:r>
          </w:p>
        </w:tc>
        <w:tc>
          <w:tcPr>
            <w:tcW w:w="1725" w:type="dxa"/>
            <w:vMerge w:val="restart"/>
            <w:noWrap w:val="0"/>
            <w:vAlign w:val="center"/>
          </w:tcPr>
          <w:p>
            <w:pPr>
              <w:widowControl/>
              <w:jc w:val="center"/>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卡座餐桌</w:t>
            </w:r>
          </w:p>
        </w:tc>
        <w:tc>
          <w:tcPr>
            <w:tcW w:w="5969" w:type="dxa"/>
            <w:noWrap w:val="0"/>
            <w:vAlign w:val="top"/>
          </w:tcPr>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1.规格：（W1200*D600*H750）mm±20mm；</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noWrap w:val="0"/>
            <w:vAlign w:val="top"/>
          </w:tcPr>
          <w:p>
            <w:pPr>
              <w:widowControl w:val="0"/>
              <w:jc w:val="center"/>
              <w:rPr>
                <w:rFonts w:ascii="宋体" w:eastAsia="宋体" w:hAnsi="宋体" w:cs="宋体" w:hint="eastAsia"/>
                <w:kern w:val="2"/>
                <w:sz w:val="21"/>
                <w:szCs w:val="21"/>
                <w:lang w:eastAsia="zh-CN"/>
              </w:rPr>
            </w:pPr>
          </w:p>
        </w:tc>
        <w:tc>
          <w:tcPr>
            <w:tcW w:w="1725" w:type="dxa"/>
            <w:vMerge/>
            <w:noWrap w:val="0"/>
            <w:vAlign w:val="top"/>
          </w:tcPr>
          <w:p>
            <w:pPr>
              <w:widowControl/>
              <w:jc w:val="center"/>
              <w:textAlignment w:val="center"/>
              <w:rPr>
                <w:rFonts w:ascii="宋体" w:eastAsia="宋体" w:hAnsi="宋体" w:cs="宋体" w:hint="eastAsia"/>
                <w:kern w:val="2"/>
                <w:sz w:val="21"/>
                <w:szCs w:val="21"/>
                <w:lang w:eastAsia="zh-CN"/>
              </w:rPr>
            </w:pPr>
          </w:p>
        </w:tc>
        <w:tc>
          <w:tcPr>
            <w:tcW w:w="5969" w:type="dxa"/>
            <w:noWrap w:val="0"/>
            <w:vAlign w:val="top"/>
          </w:tcPr>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2.桌面基材采用不低于E0级实木多层板面贴防火板。采用钢制脚架，高温粉体烤漆。</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noWrap w:val="0"/>
            <w:vAlign w:val="top"/>
          </w:tcPr>
          <w:p>
            <w:pPr>
              <w:widowControl w:val="0"/>
              <w:jc w:val="center"/>
              <w:rPr>
                <w:rFonts w:ascii="宋体" w:eastAsia="宋体" w:hAnsi="宋体" w:cs="宋体" w:hint="eastAsia"/>
                <w:kern w:val="2"/>
                <w:sz w:val="21"/>
                <w:szCs w:val="21"/>
                <w:lang w:eastAsia="zh-CN"/>
              </w:rPr>
            </w:pPr>
          </w:p>
        </w:tc>
        <w:tc>
          <w:tcPr>
            <w:tcW w:w="1725" w:type="dxa"/>
            <w:vMerge/>
            <w:noWrap w:val="0"/>
            <w:vAlign w:val="top"/>
          </w:tcPr>
          <w:p>
            <w:pPr>
              <w:widowControl/>
              <w:jc w:val="center"/>
              <w:textAlignment w:val="center"/>
              <w:rPr>
                <w:rFonts w:ascii="宋体" w:eastAsia="宋体" w:hAnsi="宋体" w:cs="宋体" w:hint="eastAsia"/>
                <w:kern w:val="2"/>
                <w:sz w:val="21"/>
                <w:szCs w:val="21"/>
                <w:lang w:eastAsia="zh-CN"/>
              </w:rPr>
            </w:pPr>
          </w:p>
        </w:tc>
        <w:tc>
          <w:tcPr>
            <w:tcW w:w="5969" w:type="dxa"/>
            <w:noWrap w:val="0"/>
            <w:vAlign w:val="top"/>
          </w:tcPr>
          <w:p>
            <w:pPr>
              <w:widowControl w:val="0"/>
              <w:snapToGrid w:val="0"/>
              <w:spacing w:line="300" w:lineRule="auto"/>
              <w:jc w:val="both"/>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3.提供符合以下要求的检测报告：检测或判定依据GB/T24821-2009、GB18584-2001，GB18580-2017、GB/T9846-2015、GB/T35601-2017、GB/T39600-2021，要求餐桌的主要尺寸的桌面宽度≥1400mm，桌面深度≥700mm，桌面高度为750mm，桌下净空高度≥650mm；翘曲度≤1.2mm；邻边垂直度≤1mm；平整度≤0.08mm；着地平稳性≤0.30mm；人造板件、金属件（管材、焊接件、冲压件、喷涂层）、塑料件、表面装饰层、其他外观要求均检测合格；软硬质覆面耐液（24h，试验液体包括15%氯化钠、10%碳酸钠、10%乙酸、标准餐具洗涤剂）均合格，耐冷热循环、耐干热、耐划痕、耐磨、耐香烟灼烧、抗冲击均检测合格；桌类强度和耐久性（包括桌面垂直静载荷、桌面水平静载荷、桌面垂直冲击、桌腿跌落）、桌类稳定性均检测合格；木制件甲醛释放量≤0.1mg/L。多层板（胶合板）的胶合强度合格试件数与有效试件数总数之比为92%；含水率合格数与试件数之比为100%，静曲强度顺纹与横纹的合格数与试件数之比均为100%、弹性模量顺纹与横纹的合格数与试件数之比均为100%；甲醛释放量≤0.050mg/m³；挥发性有机化合物（72h）的苯、甲苯、二甲苯未检出、TVOC未检出。防火板的甲醛释放量（气候箱法）≤0.025mg/m³。</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时提供2022年1月1日至投标截止之日的第三方检测机构出具的具有CMA标识的检测报告扫描件，检测报告内容符合以上检测要求。同时需要提供在全国认证认可信息公共服务平台（认e云-http://cx.cnca.cn/）检测报告查询截图，原件备查。</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val="restart"/>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w:t>
            </w:r>
          </w:p>
        </w:tc>
        <w:tc>
          <w:tcPr>
            <w:tcW w:w="1725" w:type="dxa"/>
            <w:vMerge w:val="restart"/>
            <w:noWrap w:val="0"/>
            <w:vAlign w:val="center"/>
          </w:tcPr>
          <w:p>
            <w:pPr>
              <w:widowControl/>
              <w:jc w:val="center"/>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12人位圆桌（大）</w:t>
            </w:r>
          </w:p>
        </w:tc>
        <w:tc>
          <w:tcPr>
            <w:tcW w:w="5969" w:type="dxa"/>
            <w:noWrap w:val="0"/>
            <w:vAlign w:val="top"/>
          </w:tcPr>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1.规格：φ2400mm±5%；电动遥控转盘；</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noWrap w:val="0"/>
            <w:vAlign w:val="top"/>
          </w:tcPr>
          <w:p>
            <w:pPr>
              <w:widowControl w:val="0"/>
              <w:jc w:val="center"/>
              <w:rPr>
                <w:rFonts w:ascii="宋体" w:eastAsia="宋体" w:hAnsi="宋体" w:cs="宋体" w:hint="eastAsia"/>
                <w:kern w:val="2"/>
                <w:sz w:val="21"/>
                <w:szCs w:val="21"/>
                <w:lang w:eastAsia="zh-CN"/>
              </w:rPr>
            </w:pPr>
          </w:p>
        </w:tc>
        <w:tc>
          <w:tcPr>
            <w:tcW w:w="1725" w:type="dxa"/>
            <w:vMerge/>
            <w:noWrap w:val="0"/>
            <w:vAlign w:val="top"/>
          </w:tcPr>
          <w:p>
            <w:pPr>
              <w:widowControl/>
              <w:jc w:val="center"/>
              <w:textAlignment w:val="center"/>
              <w:rPr>
                <w:rFonts w:ascii="宋体" w:eastAsia="宋体" w:hAnsi="宋体" w:cs="宋体" w:hint="eastAsia"/>
                <w:kern w:val="2"/>
                <w:sz w:val="21"/>
                <w:szCs w:val="21"/>
                <w:lang w:eastAsia="zh-CN"/>
              </w:rPr>
            </w:pPr>
          </w:p>
        </w:tc>
        <w:tc>
          <w:tcPr>
            <w:tcW w:w="5969" w:type="dxa"/>
            <w:noWrap w:val="0"/>
            <w:vAlign w:val="top"/>
          </w:tcPr>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2.材质：橡胶木框架，桌面：岩板；转盘：岩板：底座：不锈钢猛钢底座；台圈：电镀不锈钢台圈；电磁炉采用火锅专用品牌电磁炉；油漆：采用环保水性漆,表面采用"五底三面"精心涂装处理。</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val="restart"/>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11</w:t>
            </w:r>
          </w:p>
        </w:tc>
        <w:tc>
          <w:tcPr>
            <w:tcW w:w="1725" w:type="dxa"/>
            <w:vMerge w:val="restart"/>
            <w:noWrap w:val="0"/>
            <w:vAlign w:val="center"/>
          </w:tcPr>
          <w:p>
            <w:pPr>
              <w:widowControl/>
              <w:jc w:val="center"/>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餐椅1</w:t>
            </w:r>
          </w:p>
        </w:tc>
        <w:tc>
          <w:tcPr>
            <w:tcW w:w="5969" w:type="dxa"/>
            <w:noWrap w:val="0"/>
            <w:vAlign w:val="top"/>
          </w:tcPr>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1.采用实木框架、脚架，实木表面处理：环保净味漆。布艺或皮革软包，包覆高回弹泡棉。</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noWrap w:val="0"/>
            <w:vAlign w:val="center"/>
          </w:tcPr>
          <w:p>
            <w:pPr>
              <w:widowControl w:val="0"/>
              <w:jc w:val="center"/>
              <w:rPr>
                <w:rFonts w:ascii="宋体" w:eastAsia="宋体" w:hAnsi="宋体" w:cs="宋体" w:hint="eastAsia"/>
                <w:kern w:val="2"/>
                <w:sz w:val="21"/>
                <w:szCs w:val="21"/>
                <w:lang w:eastAsia="zh-CN"/>
              </w:rPr>
            </w:pPr>
          </w:p>
        </w:tc>
        <w:tc>
          <w:tcPr>
            <w:tcW w:w="1725" w:type="dxa"/>
            <w:vMerge/>
            <w:noWrap w:val="0"/>
            <w:vAlign w:val="center"/>
          </w:tcPr>
          <w:p>
            <w:pPr>
              <w:widowControl/>
              <w:jc w:val="center"/>
              <w:textAlignment w:val="center"/>
              <w:rPr>
                <w:rFonts w:ascii="宋体" w:eastAsia="宋体" w:hAnsi="宋体" w:cs="宋体" w:hint="eastAsia"/>
                <w:kern w:val="2"/>
                <w:sz w:val="21"/>
                <w:szCs w:val="21"/>
                <w:lang w:eastAsia="zh-CN"/>
              </w:rPr>
            </w:pPr>
          </w:p>
        </w:tc>
        <w:tc>
          <w:tcPr>
            <w:tcW w:w="5969" w:type="dxa"/>
            <w:noWrap w:val="0"/>
            <w:vAlign w:val="top"/>
          </w:tcPr>
          <w:p>
            <w:pPr>
              <w:widowControl w:val="0"/>
              <w:snapToGrid w:val="0"/>
              <w:spacing w:line="300" w:lineRule="auto"/>
              <w:jc w:val="both"/>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提供符合以下要求的检测报告：检测或判定依据GB/T24821-2009，GB/T16799-2018、HJ507-2009、QB/T2709-2005，要求餐椅的主要尺寸椅（凳）面宽度≥445mm，椅（凳）面深度≥410mm；着地平稳性≤0.20mm；金属件（焊接件、冲压件、电镀层）、塑料件、其他外观要求、金属电镀层抗盐雾</w:t>
            </w:r>
            <w:r>
              <w:rPr>
                <w:rFonts w:ascii="宋体" w:eastAsia="宋体" w:hAnsi="宋体" w:cs="宋体" w:hint="eastAsia"/>
                <w:kern w:val="2"/>
                <w:sz w:val="21"/>
                <w:lang w:eastAsia="zh-CN"/>
              </w:rPr>
              <w:t>≥</w:t>
            </w:r>
            <w:r>
              <w:rPr>
                <w:rFonts w:ascii="宋体" w:eastAsia="宋体" w:hAnsi="宋体" w:cs="宋体" w:hint="eastAsia"/>
                <w:sz w:val="21"/>
                <w:szCs w:val="21"/>
                <w:lang w:eastAsia="zh-CN" w:bidi="ar"/>
              </w:rPr>
              <w:t>24h、椅凳类强度和耐久性（家用型座面静载荷、椅背静载荷、椅腿向前静载荷、椅凳腿跌落、椅背冲击）、椅凳类稳定性合格。</w:t>
            </w:r>
            <w:r>
              <w:rPr>
                <w:rFonts w:ascii="宋体" w:eastAsia="宋体" w:hAnsi="宋体" w:cs="宋体" w:hint="eastAsia"/>
                <w:kern w:val="2"/>
                <w:sz w:val="21"/>
                <w:szCs w:val="21"/>
                <w:lang w:eastAsia="zh-CN"/>
              </w:rPr>
              <w:t>皮革的摩擦色牢度（干擦、湿擦、碱性汗液）均≥4级；耐光性合格；涂层粘着牢度（干态≥5.2N/10mm，湿态≥4.1N/10mm）；耐折牢度</w:t>
            </w:r>
            <w:r>
              <w:rPr>
                <w:rFonts w:ascii="宋体" w:eastAsia="宋体" w:hAnsi="宋体" w:cs="宋体" w:hint="eastAsia"/>
                <w:kern w:val="2"/>
                <w:sz w:val="21"/>
                <w:lang w:eastAsia="zh-CN"/>
              </w:rPr>
              <w:t>≥</w:t>
            </w:r>
            <w:r>
              <w:rPr>
                <w:rFonts w:ascii="宋体" w:eastAsia="宋体" w:hAnsi="宋体" w:cs="宋体" w:hint="eastAsia"/>
                <w:kern w:val="2"/>
                <w:sz w:val="21"/>
                <w:szCs w:val="21"/>
                <w:lang w:eastAsia="zh-CN"/>
              </w:rPr>
              <w:t>（50000次）无裂纹；耐磨性合格；撕裂力≥37.5N；气味≤2级；pH≥4.31；禁用偶氮染料未检出，游离甲醛未检出；挥发性有机物（VOC）≤12.7mg/kg；感官要求合格；厚度实测值≥1.2mm；可萃取重金属未检出以下项：六价铬、镉、汞、铅、砷、镍、钴、铜，可萃取重金属锑≤1.3mg/kg；五氯苯酚（PCP）未检出。</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时提供2022年1月1日至投标截止之日的第三方检测机构出具的具有CMA标识的检测报告扫描件，检测报告内容符合以上检测要求。同时需要提供在全国认证认可信息公共服务平台（认e云-http://cx.cnca.cn/）检测报告查询截图，原件备查。</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val="restart"/>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12</w:t>
            </w:r>
          </w:p>
        </w:tc>
        <w:tc>
          <w:tcPr>
            <w:tcW w:w="1725" w:type="dxa"/>
            <w:vMerge w:val="restart"/>
            <w:noWrap w:val="0"/>
            <w:vAlign w:val="center"/>
          </w:tcPr>
          <w:p>
            <w:pPr>
              <w:widowControl/>
              <w:jc w:val="center"/>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茶台</w:t>
            </w:r>
          </w:p>
        </w:tc>
        <w:tc>
          <w:tcPr>
            <w:tcW w:w="5969" w:type="dxa"/>
            <w:noWrap w:val="0"/>
            <w:vAlign w:val="top"/>
          </w:tcPr>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1.规格：（W2200*D750*H750）mm±20mm；</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noWrap w:val="0"/>
            <w:vAlign w:val="top"/>
          </w:tcPr>
          <w:p>
            <w:pPr>
              <w:widowControl w:val="0"/>
              <w:jc w:val="center"/>
              <w:rPr>
                <w:rFonts w:ascii="宋体" w:eastAsia="宋体" w:hAnsi="宋体" w:cs="宋体" w:hint="eastAsia"/>
                <w:kern w:val="2"/>
                <w:sz w:val="21"/>
                <w:szCs w:val="21"/>
                <w:lang w:eastAsia="zh-CN"/>
              </w:rPr>
            </w:pPr>
          </w:p>
        </w:tc>
        <w:tc>
          <w:tcPr>
            <w:tcW w:w="1725" w:type="dxa"/>
            <w:vMerge/>
            <w:noWrap w:val="0"/>
            <w:vAlign w:val="top"/>
          </w:tcPr>
          <w:p>
            <w:pPr>
              <w:widowControl/>
              <w:jc w:val="center"/>
              <w:textAlignment w:val="center"/>
              <w:rPr>
                <w:rFonts w:ascii="宋体" w:eastAsia="宋体" w:hAnsi="宋体" w:cs="宋体" w:hint="eastAsia"/>
                <w:kern w:val="2"/>
                <w:sz w:val="21"/>
                <w:szCs w:val="21"/>
                <w:lang w:eastAsia="zh-CN"/>
              </w:rPr>
            </w:pPr>
          </w:p>
        </w:tc>
        <w:tc>
          <w:tcPr>
            <w:tcW w:w="5969" w:type="dxa"/>
            <w:noWrap w:val="0"/>
            <w:vAlign w:val="top"/>
          </w:tcPr>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2.采用天然纯实木框架；油漆：采用环保水性油漆。木皮饰面，乌金石嵌入式茶盘。</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noWrap w:val="0"/>
            <w:vAlign w:val="top"/>
          </w:tcPr>
          <w:p>
            <w:pPr>
              <w:widowControl w:val="0"/>
              <w:jc w:val="center"/>
              <w:rPr>
                <w:rFonts w:ascii="宋体" w:eastAsia="宋体" w:hAnsi="宋体" w:cs="宋体" w:hint="eastAsia"/>
                <w:kern w:val="2"/>
                <w:sz w:val="21"/>
                <w:szCs w:val="21"/>
                <w:lang w:eastAsia="zh-CN"/>
              </w:rPr>
            </w:pPr>
          </w:p>
        </w:tc>
        <w:tc>
          <w:tcPr>
            <w:tcW w:w="1725" w:type="dxa"/>
            <w:vMerge/>
            <w:noWrap w:val="0"/>
            <w:vAlign w:val="top"/>
          </w:tcPr>
          <w:p>
            <w:pPr>
              <w:widowControl/>
              <w:jc w:val="center"/>
              <w:textAlignment w:val="center"/>
              <w:rPr>
                <w:rFonts w:ascii="宋体" w:eastAsia="宋体" w:hAnsi="宋体" w:cs="宋体" w:hint="eastAsia"/>
                <w:kern w:val="2"/>
                <w:sz w:val="21"/>
                <w:szCs w:val="21"/>
                <w:lang w:eastAsia="zh-CN"/>
              </w:rPr>
            </w:pPr>
          </w:p>
        </w:tc>
        <w:tc>
          <w:tcPr>
            <w:tcW w:w="5969" w:type="dxa"/>
            <w:noWrap w:val="0"/>
            <w:vAlign w:val="top"/>
          </w:tcPr>
          <w:p>
            <w:pPr>
              <w:widowControl w:val="0"/>
              <w:snapToGrid w:val="0"/>
              <w:spacing w:line="300" w:lineRule="auto"/>
              <w:jc w:val="both"/>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▲3.提供符合以下要求的检测报告：检测或判定依据GB/T 23986-2009或GB/T 23986.2-2023、GB18581-2020、GB/T23993-2009、GB/T23990-2009B法、GB/T31414-2015，要求</w:t>
            </w:r>
            <w:r>
              <w:rPr>
                <w:rFonts w:ascii="宋体" w:eastAsia="宋体" w:hAnsi="宋体" w:cs="宋体" w:hint="eastAsia"/>
                <w:kern w:val="2"/>
                <w:sz w:val="21"/>
                <w:lang w:eastAsia="zh-CN"/>
              </w:rPr>
              <w:t>水性面漆底漆</w:t>
            </w:r>
            <w:r>
              <w:rPr>
                <w:rFonts w:ascii="宋体" w:eastAsia="宋体" w:hAnsi="宋体" w:cs="宋体" w:hint="eastAsia"/>
                <w:sz w:val="21"/>
                <w:szCs w:val="21"/>
                <w:lang w:eastAsia="zh-CN" w:bidi="ar"/>
              </w:rPr>
              <w:t>的VOC含量≤111g/L；甲醛含量≤5mg/kg；乙二醇醚及醚酯总和含量≤80mg/kg；苯系物总和含量≤50mg/kg；烷基酚聚氧乙烯醚总和含量≤5mg/kg。</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时提供2022年1月1日至投标截止之日的第三方检测机构出具的具有CMA标识的检测报告扫描件，检测报告内容符合以上检测要求。同时需要提供在全国认证认可信息公共服务平台（认e云-http://cx.cnca.cn/）检测报告查询截图，原件备查。</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13</w:t>
            </w:r>
          </w:p>
        </w:tc>
        <w:tc>
          <w:tcPr>
            <w:tcW w:w="1725" w:type="dxa"/>
            <w:noWrap w:val="0"/>
            <w:vAlign w:val="center"/>
          </w:tcPr>
          <w:p>
            <w:pPr>
              <w:widowControl/>
              <w:jc w:val="center"/>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主茶椅</w:t>
            </w:r>
          </w:p>
        </w:tc>
        <w:tc>
          <w:tcPr>
            <w:tcW w:w="5969" w:type="dxa"/>
            <w:noWrap w:val="0"/>
            <w:vAlign w:val="top"/>
          </w:tcPr>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1.规格：常规；座面布艺或皮革软包，包覆高回弹泡棉；采用实木框架、脚架，实木表面处理：环保净味漆。</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14</w:t>
            </w:r>
          </w:p>
        </w:tc>
        <w:tc>
          <w:tcPr>
            <w:tcW w:w="1725" w:type="dxa"/>
            <w:noWrap w:val="0"/>
            <w:vAlign w:val="center"/>
          </w:tcPr>
          <w:p>
            <w:pPr>
              <w:widowControl/>
              <w:jc w:val="center"/>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茶椅</w:t>
            </w:r>
          </w:p>
        </w:tc>
        <w:tc>
          <w:tcPr>
            <w:tcW w:w="5969" w:type="dxa"/>
            <w:noWrap w:val="0"/>
            <w:vAlign w:val="top"/>
          </w:tcPr>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1.规格：常规；座面布艺或皮革软包，包覆高回弹泡棉；采用实木框架、脚架，实木表面处理：环保净味漆。</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val="restart"/>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15</w:t>
            </w:r>
          </w:p>
        </w:tc>
        <w:tc>
          <w:tcPr>
            <w:tcW w:w="1725" w:type="dxa"/>
            <w:vMerge w:val="restart"/>
            <w:noWrap w:val="0"/>
            <w:vAlign w:val="center"/>
          </w:tcPr>
          <w:p>
            <w:pPr>
              <w:widowControl/>
              <w:jc w:val="center"/>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8人位圆桌（小）</w:t>
            </w:r>
          </w:p>
        </w:tc>
        <w:tc>
          <w:tcPr>
            <w:tcW w:w="5969" w:type="dxa"/>
            <w:noWrap w:val="0"/>
            <w:vAlign w:val="top"/>
          </w:tcPr>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2"/>
                <w:lang w:eastAsia="zh-CN"/>
              </w:rPr>
              <w:t>1.规格：（φ1800mm*H750mm）±20mm；</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noWrap w:val="0"/>
            <w:vAlign w:val="center"/>
          </w:tcPr>
          <w:p>
            <w:pPr>
              <w:widowControl w:val="0"/>
              <w:jc w:val="center"/>
              <w:rPr>
                <w:rFonts w:ascii="宋体" w:eastAsia="宋体" w:hAnsi="宋体" w:cs="宋体" w:hint="eastAsia"/>
                <w:kern w:val="2"/>
                <w:sz w:val="21"/>
                <w:szCs w:val="21"/>
                <w:lang w:eastAsia="zh-CN"/>
              </w:rPr>
            </w:pPr>
          </w:p>
        </w:tc>
        <w:tc>
          <w:tcPr>
            <w:tcW w:w="1725" w:type="dxa"/>
            <w:vMerge/>
            <w:noWrap w:val="0"/>
            <w:vAlign w:val="center"/>
          </w:tcPr>
          <w:p>
            <w:pPr>
              <w:widowControl/>
              <w:jc w:val="center"/>
              <w:textAlignment w:val="center"/>
              <w:rPr>
                <w:rFonts w:ascii="宋体" w:eastAsia="宋体" w:hAnsi="宋体" w:cs="宋体" w:hint="eastAsia"/>
                <w:kern w:val="2"/>
                <w:sz w:val="21"/>
                <w:szCs w:val="21"/>
                <w:lang w:eastAsia="zh-CN"/>
              </w:rPr>
            </w:pPr>
          </w:p>
        </w:tc>
        <w:tc>
          <w:tcPr>
            <w:tcW w:w="5969" w:type="dxa"/>
            <w:noWrap w:val="0"/>
            <w:vAlign w:val="top"/>
          </w:tcPr>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2"/>
                <w:lang w:eastAsia="zh-CN"/>
              </w:rPr>
              <w:t>2.采用实木框架，岩板台面，电动旋转电机。</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16</w:t>
            </w:r>
          </w:p>
        </w:tc>
        <w:tc>
          <w:tcPr>
            <w:tcW w:w="1725" w:type="dxa"/>
            <w:noWrap w:val="0"/>
            <w:vAlign w:val="center"/>
          </w:tcPr>
          <w:p>
            <w:pPr>
              <w:widowControl/>
              <w:jc w:val="center"/>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餐椅2</w:t>
            </w:r>
          </w:p>
        </w:tc>
        <w:tc>
          <w:tcPr>
            <w:tcW w:w="5969" w:type="dxa"/>
            <w:noWrap w:val="0"/>
            <w:vAlign w:val="top"/>
          </w:tcPr>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1.采用实木框架、脚架，实木表面处理：环保净味漆。布艺或皮革软包，包覆高回弹泡棉；扶手与椅面连接处采用金属连接。</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val="restart"/>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17</w:t>
            </w:r>
          </w:p>
        </w:tc>
        <w:tc>
          <w:tcPr>
            <w:tcW w:w="1725" w:type="dxa"/>
            <w:vMerge w:val="restart"/>
            <w:noWrap w:val="0"/>
            <w:vAlign w:val="center"/>
          </w:tcPr>
          <w:p>
            <w:pPr>
              <w:widowControl/>
              <w:jc w:val="center"/>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三人位沙发</w:t>
            </w:r>
          </w:p>
        </w:tc>
        <w:tc>
          <w:tcPr>
            <w:tcW w:w="5969" w:type="dxa"/>
            <w:noWrap w:val="0"/>
            <w:vAlign w:val="top"/>
          </w:tcPr>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1.规格：（W2000*D850*H880）mm±20mm；</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noWrap w:val="0"/>
            <w:vAlign w:val="center"/>
          </w:tcPr>
          <w:p>
            <w:pPr>
              <w:widowControl w:val="0"/>
              <w:jc w:val="center"/>
              <w:rPr>
                <w:rFonts w:ascii="宋体" w:eastAsia="宋体" w:hAnsi="宋体" w:cs="宋体" w:hint="eastAsia"/>
                <w:kern w:val="2"/>
                <w:sz w:val="21"/>
                <w:szCs w:val="21"/>
                <w:lang w:eastAsia="zh-CN"/>
              </w:rPr>
            </w:pPr>
          </w:p>
        </w:tc>
        <w:tc>
          <w:tcPr>
            <w:tcW w:w="1725" w:type="dxa"/>
            <w:vMerge/>
            <w:noWrap w:val="0"/>
            <w:vAlign w:val="center"/>
          </w:tcPr>
          <w:p>
            <w:pPr>
              <w:widowControl/>
              <w:jc w:val="center"/>
              <w:textAlignment w:val="center"/>
              <w:rPr>
                <w:rFonts w:ascii="宋体" w:eastAsia="宋体" w:hAnsi="宋体" w:cs="宋体" w:hint="eastAsia"/>
                <w:kern w:val="2"/>
                <w:sz w:val="21"/>
                <w:szCs w:val="21"/>
                <w:lang w:eastAsia="zh-CN"/>
              </w:rPr>
            </w:pPr>
          </w:p>
        </w:tc>
        <w:tc>
          <w:tcPr>
            <w:tcW w:w="5969" w:type="dxa"/>
            <w:noWrap w:val="0"/>
            <w:vAlign w:val="top"/>
          </w:tcPr>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2.采用布艺或皮革软包材质，高密度阻燃海绵；内架为烘干实木架结合多层夹板；钢制脚架。</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noWrap w:val="0"/>
            <w:vAlign w:val="center"/>
          </w:tcPr>
          <w:p>
            <w:pPr>
              <w:widowControl w:val="0"/>
              <w:jc w:val="center"/>
              <w:rPr>
                <w:rFonts w:ascii="宋体" w:eastAsia="宋体" w:hAnsi="宋体" w:cs="宋体" w:hint="eastAsia"/>
                <w:kern w:val="2"/>
                <w:sz w:val="21"/>
                <w:szCs w:val="21"/>
                <w:lang w:eastAsia="zh-CN"/>
              </w:rPr>
            </w:pPr>
          </w:p>
        </w:tc>
        <w:tc>
          <w:tcPr>
            <w:tcW w:w="1725" w:type="dxa"/>
            <w:vMerge/>
            <w:noWrap w:val="0"/>
            <w:vAlign w:val="center"/>
          </w:tcPr>
          <w:p>
            <w:pPr>
              <w:widowControl/>
              <w:jc w:val="center"/>
              <w:textAlignment w:val="center"/>
              <w:rPr>
                <w:rFonts w:ascii="宋体" w:eastAsia="宋体" w:hAnsi="宋体" w:cs="宋体" w:hint="eastAsia"/>
                <w:kern w:val="2"/>
                <w:sz w:val="21"/>
                <w:szCs w:val="21"/>
                <w:lang w:eastAsia="zh-CN"/>
              </w:rPr>
            </w:pPr>
          </w:p>
        </w:tc>
        <w:tc>
          <w:tcPr>
            <w:tcW w:w="5969" w:type="dxa"/>
            <w:noWrap w:val="0"/>
            <w:vAlign w:val="top"/>
          </w:tcPr>
          <w:p>
            <w:pPr>
              <w:widowControl w:val="0"/>
              <w:snapToGrid w:val="0"/>
              <w:spacing w:line="300" w:lineRule="auto"/>
              <w:jc w:val="both"/>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3.提供符合以下要求的检测报告：检测或判定依据QB/T1952.1-2023，要求布艺沙发的主要尺寸、外形对称度、木制件用料合格，木材含水率在11%(±1%)，铺垫料合格，泡沫塑料（表观密度座面≥36kg/m³、其他部位≥36kg/m³、回弹性能≥45%、压缩永久变形≤3.5%），防锈处理、摩擦声、面料、缝纫和包覆、金属件合格，饰面金属件金属五金件及其配件符合检测标准，五金配件及其配件安装合格；纺织面料色牢度耐干摩擦、耐酸汗渍、耐碱汗渍≥4级，起毛起球≥4级，耐磨性≥10000次无破损，pH值在6(±1)；力学性能（沙发坐背及扶手耐久性合格，压缩量合格）；结构安全性能合格；甲醛释放量≤0.01mg/m³，苯、甲苯、二甲苯、纺织品可分解致癌芳香胺染料未检出，总挥发性有机化合物（TVOC）≤0.01mg/m³；阻燃性家用产品符合GB17927.1中的要求。</w:t>
            </w:r>
          </w:p>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时提供2022年1月1日至投标截止之日的第三方检测机构出具的具有CMA标识的检测报告扫描件，检测报告内容符合以上检测要求。同时需要提供在全国认证认可信息公共服务平台（认e云-http://cx.cnca.cn/）检测报告查询截图，原件备查。</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val="restart"/>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18</w:t>
            </w:r>
          </w:p>
        </w:tc>
        <w:tc>
          <w:tcPr>
            <w:tcW w:w="1725" w:type="dxa"/>
            <w:vMerge w:val="restart"/>
            <w:noWrap w:val="0"/>
            <w:vAlign w:val="center"/>
          </w:tcPr>
          <w:p>
            <w:pPr>
              <w:widowControl/>
              <w:jc w:val="center"/>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圆形茶几</w:t>
            </w:r>
          </w:p>
        </w:tc>
        <w:tc>
          <w:tcPr>
            <w:tcW w:w="5969" w:type="dxa"/>
            <w:noWrap w:val="0"/>
            <w:vAlign w:val="top"/>
          </w:tcPr>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2"/>
                <w:lang w:eastAsia="zh-CN"/>
              </w:rPr>
              <w:t>1.规格：（W880*D880*H550）mm±10mm；</w:t>
            </w:r>
          </w:p>
        </w:tc>
      </w:tr>
      <w:tr>
        <w:tblPrEx>
          <w:tblW w:w="5000" w:type="pct"/>
          <w:jc w:val="center"/>
          <w:tblLayout w:type="fixed"/>
          <w:tblCellMar>
            <w:top w:w="0" w:type="dxa"/>
            <w:left w:w="108" w:type="dxa"/>
            <w:bottom w:w="0" w:type="dxa"/>
            <w:right w:w="108" w:type="dxa"/>
          </w:tblCellMar>
        </w:tblPrEx>
        <w:trPr>
          <w:trHeight w:val="307"/>
          <w:jc w:val="center"/>
        </w:trPr>
        <w:tc>
          <w:tcPr>
            <w:tcW w:w="1081" w:type="dxa"/>
            <w:vMerge/>
            <w:noWrap w:val="0"/>
            <w:vAlign w:val="center"/>
          </w:tcPr>
          <w:p>
            <w:pPr>
              <w:widowControl w:val="0"/>
              <w:jc w:val="center"/>
              <w:rPr>
                <w:rFonts w:ascii="宋体" w:eastAsia="宋体" w:hAnsi="宋体" w:cs="宋体" w:hint="eastAsia"/>
                <w:kern w:val="2"/>
                <w:sz w:val="21"/>
                <w:szCs w:val="21"/>
                <w:lang w:eastAsia="zh-CN"/>
              </w:rPr>
            </w:pPr>
          </w:p>
        </w:tc>
        <w:tc>
          <w:tcPr>
            <w:tcW w:w="1725" w:type="dxa"/>
            <w:vMerge/>
            <w:noWrap w:val="0"/>
            <w:vAlign w:val="center"/>
          </w:tcPr>
          <w:p>
            <w:pPr>
              <w:widowControl/>
              <w:jc w:val="center"/>
              <w:textAlignment w:val="center"/>
              <w:rPr>
                <w:rFonts w:ascii="宋体" w:eastAsia="宋体" w:hAnsi="宋体" w:cs="宋体" w:hint="eastAsia"/>
                <w:kern w:val="2"/>
                <w:sz w:val="21"/>
                <w:szCs w:val="21"/>
                <w:lang w:eastAsia="zh-CN"/>
              </w:rPr>
            </w:pPr>
          </w:p>
        </w:tc>
        <w:tc>
          <w:tcPr>
            <w:tcW w:w="5969" w:type="dxa"/>
            <w:noWrap w:val="0"/>
            <w:vAlign w:val="top"/>
          </w:tcPr>
          <w:p>
            <w:pPr>
              <w:widowControl w:val="0"/>
              <w:snapToGrid w:val="0"/>
              <w:spacing w:line="30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2"/>
                <w:lang w:eastAsia="zh-CN"/>
              </w:rPr>
              <w:t>2.台面材质为大理石；高温烤漆钢脚，经防锈处理后静电喷涂而成，带防滑耐磨脚垫。</w:t>
            </w:r>
          </w:p>
        </w:tc>
      </w:tr>
    </w:tbl>
    <w:p>
      <w:pPr>
        <w:widowControl w:val="0"/>
        <w:jc w:val="both"/>
        <w:rPr>
          <w:rFonts w:ascii="Calibri" w:eastAsia="宋体" w:hAnsi="Calibri" w:hint="eastAsia"/>
          <w:b/>
          <w:color w:val="000000"/>
          <w:kern w:val="2"/>
          <w:sz w:val="21"/>
          <w:szCs w:val="21"/>
          <w:lang w:eastAsia="zh-CN"/>
        </w:rPr>
      </w:pPr>
    </w:p>
    <w:p>
      <w:pPr>
        <w:widowControl w:val="0"/>
        <w:spacing w:after="78"/>
        <w:jc w:val="left"/>
        <w:rPr>
          <w:rFonts w:ascii="Calibri" w:eastAsia="宋体" w:hAnsi="Calibri"/>
          <w:color w:val="FF0000"/>
          <w:kern w:val="2"/>
          <w:sz w:val="21"/>
          <w:szCs w:val="21"/>
          <w:lang w:eastAsia="zh-CN"/>
        </w:rPr>
      </w:pPr>
    </w:p>
    <w:p>
      <w:pPr>
        <w:keepNext/>
        <w:keepLines/>
        <w:widowControl w:val="0"/>
        <w:spacing w:before="120" w:beforeLines="50" w:after="120" w:afterLines="50" w:line="416" w:lineRule="auto"/>
        <w:jc w:val="center"/>
        <w:outlineLvl w:val="2"/>
        <w:rPr>
          <w:rFonts w:ascii="宋体" w:eastAsia="宋体" w:hAnsi="宋体"/>
          <w:b/>
          <w:bCs/>
          <w:kern w:val="2"/>
          <w:sz w:val="28"/>
          <w:szCs w:val="28"/>
          <w:lang w:eastAsia="zh-CN"/>
        </w:rPr>
      </w:pPr>
      <w:r>
        <w:rPr>
          <w:rFonts w:ascii="宋体" w:eastAsia="黑体" w:hAnsi="宋体"/>
          <w:b/>
          <w:bCs/>
          <w:kern w:val="44"/>
          <w:sz w:val="28"/>
          <w:szCs w:val="44"/>
          <w:lang w:eastAsia="zh-CN"/>
        </w:rPr>
        <w:br w:type="page"/>
      </w:r>
      <w:r>
        <w:rPr>
          <w:rFonts w:ascii="宋体" w:eastAsia="宋体" w:hAnsi="宋体" w:cstheme="minorBidi" w:hint="eastAsia"/>
          <w:b/>
          <w:bCs/>
          <w:kern w:val="2"/>
          <w:sz w:val="28"/>
          <w:szCs w:val="28"/>
          <w:lang w:eastAsia="zh-CN"/>
        </w:rPr>
        <w:t>六、注意事项</w:t>
      </w:r>
    </w:p>
    <w:p>
      <w:pPr>
        <w:widowControl w:val="0"/>
        <w:spacing w:line="360" w:lineRule="auto"/>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1、中标供应商不得将项目非法分包或转包给任何单位和个人。否则，采购单位有权即刻终止合同，并要求中标供应商赔偿相应损失。</w:t>
      </w:r>
    </w:p>
    <w:p>
      <w:pPr>
        <w:widowControl w:val="0"/>
        <w:spacing w:line="360" w:lineRule="auto"/>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2、投标人使用的标准必须是国际公认或国家、或地方政府颁布的同等或更高的标准，如投标人使用的标准低于上述标准,评审委员会将有权不予接受，投标人必须列表将明显的差异详细说明。</w:t>
      </w:r>
    </w:p>
    <w:p>
      <w:pPr>
        <w:widowControl w:val="0"/>
        <w:spacing w:line="360" w:lineRule="auto"/>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3、供应商须在质疑期内一次性提出针对同一采购程序环节的质疑。</w:t>
      </w:r>
    </w:p>
    <w:p>
      <w:pPr>
        <w:widowControl w:val="0"/>
        <w:ind w:firstLine="420" w:firstLineChars="200"/>
        <w:jc w:val="both"/>
        <w:rPr>
          <w:rFonts w:ascii="Calibri" w:eastAsia="宋体" w:hAnsi="Calibri"/>
          <w:bCs/>
          <w:kern w:val="2"/>
          <w:sz w:val="21"/>
          <w:szCs w:val="21"/>
          <w:lang w:eastAsia="zh-CN"/>
        </w:rPr>
      </w:pPr>
    </w:p>
    <w:p>
      <w:pPr>
        <w:widowControl w:val="0"/>
        <w:ind w:firstLine="420" w:firstLineChars="200"/>
        <w:jc w:val="both"/>
        <w:rPr>
          <w:rFonts w:ascii="Calibri" w:eastAsia="宋体" w:hAnsi="Calibri"/>
          <w:bCs/>
          <w:kern w:val="2"/>
          <w:sz w:val="21"/>
          <w:szCs w:val="21"/>
          <w:lang w:eastAsia="zh-CN"/>
        </w:rPr>
      </w:pPr>
    </w:p>
    <w:p>
      <w:pPr>
        <w:widowControl w:val="0"/>
        <w:spacing w:line="360" w:lineRule="auto"/>
        <w:jc w:val="center"/>
        <w:outlineLvl w:val="2"/>
        <w:rPr>
          <w:rFonts w:ascii="宋体" w:eastAsia="宋体" w:hAnsi="宋体" w:hint="eastAsia"/>
          <w:b/>
          <w:bCs/>
          <w:kern w:val="2"/>
          <w:sz w:val="28"/>
          <w:szCs w:val="28"/>
          <w:lang w:eastAsia="zh-CN"/>
        </w:rPr>
      </w:pPr>
      <w:r>
        <w:rPr>
          <w:rFonts w:ascii="宋体" w:eastAsia="宋体" w:hAnsi="宋体" w:cstheme="minorBidi" w:hint="eastAsia"/>
          <w:b/>
          <w:bCs/>
          <w:kern w:val="2"/>
          <w:sz w:val="28"/>
          <w:szCs w:val="28"/>
          <w:lang w:eastAsia="zh-CN"/>
        </w:rPr>
        <w:t>七、样品要求</w:t>
      </w:r>
    </w:p>
    <w:p>
      <w:pPr>
        <w:widowControl w:val="0"/>
        <w:spacing w:line="360" w:lineRule="auto"/>
        <w:jc w:val="both"/>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（一）一般性规定和要求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kern w:val="2"/>
          <w:sz w:val="21"/>
          <w:szCs w:val="21"/>
          <w:lang w:eastAsia="zh-CN"/>
        </w:rPr>
      </w:pPr>
      <w:r>
        <w:rPr>
          <w:rFonts w:ascii="宋体" w:eastAsia="宋体" w:hAnsi="宋体" w:cs="宋体" w:hint="eastAsia"/>
          <w:kern w:val="2"/>
          <w:sz w:val="21"/>
          <w:szCs w:val="21"/>
          <w:lang w:eastAsia="zh-CN"/>
        </w:rPr>
        <w:t>1.样品上应当标注“项目名称及项目编号、样品编号、样品名称”等信息，但不得显示指向任何供应商的信息、生产厂家的商标，或者其他的标记标识。需要安装的样品必须为安装完整的成品，由供应商自行组织安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2.样品递交签到：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供应商授权人需在本项目</w:t>
      </w:r>
      <w:r>
        <w:rPr>
          <w:rFonts w:ascii="宋体" w:eastAsia="宋体" w:hAnsi="宋体" w:cs="宋体" w:hint="eastAsia"/>
          <w:b/>
          <w:kern w:val="2"/>
          <w:sz w:val="21"/>
          <w:szCs w:val="21"/>
          <w:lang w:eastAsia="zh-CN"/>
        </w:rPr>
        <w:t>样品递交截止时间</w:t>
      </w:r>
      <w:r>
        <w:rPr>
          <w:rFonts w:ascii="宋体" w:eastAsia="宋体" w:hAnsi="宋体" w:cs="宋体" w:hint="eastAsia"/>
          <w:bCs/>
          <w:kern w:val="2"/>
          <w:sz w:val="21"/>
          <w:szCs w:val="21"/>
          <w:lang w:eastAsia="zh-CN"/>
        </w:rPr>
        <w:t>前，提供法定代表人（负责人）授权委托书（加盖公章）（详见下面格式）、授权委托人身份证</w:t>
      </w:r>
      <w:bookmarkStart w:id="13" w:name="_Hlk75290105"/>
      <w:r>
        <w:rPr>
          <w:rFonts w:ascii="宋体" w:eastAsia="宋体" w:hAnsi="宋体" w:cs="宋体" w:hint="eastAsia"/>
          <w:bCs/>
          <w:kern w:val="2"/>
          <w:sz w:val="21"/>
          <w:szCs w:val="21"/>
          <w:lang w:eastAsia="zh-CN"/>
        </w:rPr>
        <w:t>（港澳台居民可提供来往通行证；非中国国籍管辖范围人员，可提供公安部门认可的身份证明材料，下同）</w:t>
      </w:r>
      <w:bookmarkEnd w:id="13"/>
      <w:r>
        <w:rPr>
          <w:rFonts w:ascii="宋体" w:eastAsia="宋体" w:hAnsi="宋体" w:cs="宋体" w:hint="eastAsia"/>
          <w:bCs/>
          <w:kern w:val="2"/>
          <w:sz w:val="21"/>
          <w:szCs w:val="21"/>
          <w:lang w:eastAsia="zh-CN"/>
        </w:rPr>
        <w:t>原件、</w:t>
      </w:r>
      <w:r>
        <w:rPr>
          <w:rFonts w:ascii="宋体" w:eastAsia="宋体" w:hAnsi="宋体" w:cs="宋体" w:hint="eastAsia"/>
          <w:b/>
          <w:kern w:val="2"/>
          <w:sz w:val="21"/>
          <w:szCs w:val="21"/>
          <w:lang w:eastAsia="zh-CN"/>
        </w:rPr>
        <w:t>样品清单</w:t>
      </w:r>
      <w:r>
        <w:rPr>
          <w:rFonts w:ascii="宋体" w:eastAsia="宋体" w:hAnsi="宋体" w:cs="宋体" w:hint="eastAsia"/>
          <w:bCs/>
          <w:kern w:val="2"/>
          <w:sz w:val="21"/>
          <w:szCs w:val="21"/>
          <w:lang w:eastAsia="zh-CN"/>
        </w:rPr>
        <w:t>（加盖公章），到</w:t>
      </w:r>
      <w:r>
        <w:rPr>
          <w:rFonts w:ascii="宋体" w:eastAsia="宋体" w:hAnsi="宋体" w:cs="宋体" w:hint="eastAsia"/>
          <w:b/>
          <w:kern w:val="2"/>
          <w:sz w:val="21"/>
          <w:szCs w:val="21"/>
          <w:lang w:eastAsia="zh-CN"/>
        </w:rPr>
        <w:t>指定地点</w:t>
      </w:r>
      <w:r>
        <w:rPr>
          <w:rFonts w:ascii="宋体" w:eastAsia="宋体" w:hAnsi="宋体" w:cs="宋体" w:hint="eastAsia"/>
          <w:bCs/>
          <w:kern w:val="2"/>
          <w:sz w:val="21"/>
          <w:szCs w:val="21"/>
          <w:lang w:eastAsia="zh-CN"/>
        </w:rPr>
        <w:t>，按现场工作人员指引填写《样品递交签到表》。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特别注意事项：（1）上述资料提供不齐全的，不予签到；（2）</w:t>
      </w:r>
      <w:r>
        <w:rPr>
          <w:rFonts w:ascii="宋体" w:eastAsia="宋体" w:hAnsi="宋体" w:cs="宋体" w:hint="eastAsia"/>
          <w:b/>
          <w:kern w:val="2"/>
          <w:sz w:val="21"/>
          <w:szCs w:val="21"/>
          <w:lang w:eastAsia="zh-CN"/>
        </w:rPr>
        <w:t>样品递交截止时间</w:t>
      </w:r>
      <w:r>
        <w:rPr>
          <w:rFonts w:ascii="宋体" w:eastAsia="宋体" w:hAnsi="宋体" w:cs="宋体" w:hint="eastAsia"/>
          <w:bCs/>
          <w:kern w:val="2"/>
          <w:sz w:val="21"/>
          <w:szCs w:val="21"/>
          <w:lang w:eastAsia="zh-CN"/>
        </w:rPr>
        <w:t>后，不再受理签到；（3）未进行签到的，样品不予接收：（4）样品清单由供应商根据《样品要求表》自行确定格式，且应当列明所递交样品对应《样品要求表》的样品编号、样品名称、样品数量。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3.本项目</w:t>
      </w:r>
      <w:r>
        <w:rPr>
          <w:rFonts w:ascii="宋体" w:eastAsia="宋体" w:hAnsi="宋体" w:cs="宋体" w:hint="eastAsia"/>
          <w:b/>
          <w:kern w:val="2"/>
          <w:sz w:val="21"/>
          <w:szCs w:val="21"/>
          <w:lang w:eastAsia="zh-CN"/>
        </w:rPr>
        <w:t>样品递交截止时间</w:t>
      </w:r>
      <w:r>
        <w:rPr>
          <w:rFonts w:ascii="宋体" w:eastAsia="宋体" w:hAnsi="宋体" w:cs="宋体" w:hint="eastAsia"/>
          <w:kern w:val="2"/>
          <w:sz w:val="21"/>
          <w:szCs w:val="21"/>
          <w:lang w:eastAsia="zh-CN"/>
        </w:rPr>
        <w:t>后进行样品接收。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kern w:val="2"/>
          <w:sz w:val="21"/>
          <w:szCs w:val="21"/>
          <w:lang w:eastAsia="zh-CN"/>
        </w:rPr>
      </w:pPr>
      <w:r>
        <w:rPr>
          <w:rFonts w:ascii="宋体" w:eastAsia="宋体" w:hAnsi="宋体" w:cs="宋体" w:hint="eastAsia"/>
          <w:kern w:val="2"/>
          <w:sz w:val="21"/>
          <w:szCs w:val="21"/>
          <w:lang w:eastAsia="zh-CN"/>
        </w:rPr>
        <w:t>（1）身份核对。采购代理机构核对投标供应商授权委托人提供的法定代表人授权委托书（盖公章）和授权委托人身份证原件。资料不齐全的，不得接收样品。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kern w:val="2"/>
          <w:sz w:val="21"/>
          <w:szCs w:val="21"/>
          <w:lang w:eastAsia="zh-CN"/>
        </w:rPr>
      </w:pPr>
      <w:r>
        <w:rPr>
          <w:rFonts w:ascii="宋体" w:eastAsia="宋体" w:hAnsi="宋体" w:cs="宋体" w:hint="eastAsia"/>
          <w:kern w:val="2"/>
          <w:sz w:val="21"/>
          <w:szCs w:val="21"/>
          <w:lang w:eastAsia="zh-CN"/>
        </w:rPr>
        <w:t>（2）样品核对。采购代理机构工作人员将样品与供应商提供的</w:t>
      </w:r>
      <w:r>
        <w:rPr>
          <w:rFonts w:ascii="宋体" w:eastAsia="宋体" w:hAnsi="宋体" w:cs="宋体" w:hint="eastAsia"/>
          <w:b/>
          <w:bCs/>
          <w:kern w:val="2"/>
          <w:sz w:val="21"/>
          <w:szCs w:val="21"/>
          <w:lang w:eastAsia="zh-CN"/>
        </w:rPr>
        <w:t>《样品清单》</w:t>
      </w:r>
      <w:r>
        <w:rPr>
          <w:rFonts w:ascii="宋体" w:eastAsia="宋体" w:hAnsi="宋体" w:cs="宋体" w:hint="eastAsia"/>
          <w:kern w:val="2"/>
          <w:sz w:val="21"/>
          <w:szCs w:val="21"/>
          <w:lang w:eastAsia="zh-CN"/>
        </w:rPr>
        <w:t>（盖公章）进行一一核对。有不一致、损坏等特殊情况的，将要求供应商授权委托人在</w:t>
      </w:r>
      <w:r>
        <w:rPr>
          <w:rFonts w:ascii="宋体" w:eastAsia="宋体" w:hAnsi="宋体" w:cs="宋体" w:hint="eastAsia"/>
          <w:b/>
          <w:bCs/>
          <w:kern w:val="2"/>
          <w:sz w:val="21"/>
          <w:szCs w:val="21"/>
          <w:lang w:eastAsia="zh-CN"/>
        </w:rPr>
        <w:t>《样品清单》</w:t>
      </w:r>
      <w:r>
        <w:rPr>
          <w:rFonts w:ascii="宋体" w:eastAsia="宋体" w:hAnsi="宋体" w:cs="宋体" w:hint="eastAsia"/>
          <w:kern w:val="2"/>
          <w:sz w:val="21"/>
          <w:szCs w:val="21"/>
          <w:lang w:eastAsia="zh-CN"/>
        </w:rPr>
        <w:t>上注明。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4、采购代理机构工作人员负责组织投标样品摆样，指引供应商授权委托人将投标样品搬运到指定地点摆放、拆除包装，按要求摆放整齐。完成样品摆样后，供应商授权委托人应及时立场，不得在摆样现场滞留。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样品的退回：（1）未中标的供应商投标样品，由供应商出具授权委托书及被授权人身份证在项目结果公告发布后的三个工作日内办理退回手续。（2）中标的供应商投标样品，要求采购人代表凭中标通知书复印件及身份证在中标通知书发放后三个工作日内办理领取手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投标样品移交时，采购代理机构工作人员将再次核对供应商授权委托人或采购人代表身份、核对《样品清单》，签字确认后并取走样品。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6、未能及时退回的样品的处理：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（1）未中标供应商未在规定时间内（项目结果公告发布后的三个工作日内）内取回投标样品的，视为放弃取回，我司将定期清理。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（2）采购人未在规定时间内（中标通知书发放后三个工作日内）内领取中标供应商投标样品的，视同采购人主动放弃取回，我司将定期清理。</w:t>
      </w:r>
    </w:p>
    <w:p>
      <w:pPr>
        <w:widowControl w:val="0"/>
        <w:spacing w:line="360" w:lineRule="auto"/>
        <w:jc w:val="center"/>
        <w:rPr>
          <w:rFonts w:ascii="宋体" w:eastAsia="宋体" w:hAnsi="宋体" w:cs="宋体" w:hint="eastAsia"/>
          <w:b/>
          <w:bCs/>
          <w:kern w:val="2"/>
          <w:szCs w:val="21"/>
          <w:lang w:eastAsia="zh-CN"/>
        </w:rPr>
      </w:pPr>
    </w:p>
    <w:p>
      <w:pPr>
        <w:widowControl w:val="0"/>
        <w:ind w:firstLine="420" w:firstLineChars="200"/>
        <w:jc w:val="both"/>
        <w:rPr>
          <w:rFonts w:ascii="宋体" w:eastAsia="宋体" w:hAnsi="宋体" w:cs="宋体"/>
          <w:sz w:val="21"/>
          <w:szCs w:val="18"/>
          <w:lang w:eastAsia="zh-CN"/>
        </w:rPr>
      </w:pPr>
      <w:r>
        <w:rPr>
          <w:rFonts w:ascii="宋体" w:eastAsia="宋体" w:hAnsi="宋体" w:cs="宋体" w:hint="eastAsia"/>
          <w:sz w:val="21"/>
          <w:szCs w:val="18"/>
          <w:lang w:eastAsia="zh-CN"/>
        </w:rPr>
        <w:t>（二）样品清单：</w:t>
      </w:r>
    </w:p>
    <w:p>
      <w:pPr>
        <w:widowControl w:val="0"/>
        <w:spacing w:line="360" w:lineRule="auto"/>
        <w:jc w:val="center"/>
        <w:rPr>
          <w:rFonts w:ascii="Calibri" w:eastAsia="宋体" w:hAnsi="Calibri" w:hint="eastAsia"/>
          <w:b/>
          <w:bCs/>
          <w:kern w:val="2"/>
          <w:szCs w:val="22"/>
          <w:lang w:eastAsia="zh-CN"/>
        </w:rPr>
      </w:pPr>
      <w:r>
        <w:rPr>
          <w:rFonts w:ascii="宋体" w:eastAsia="宋体" w:hAnsi="宋体" w:cs="宋体" w:hint="eastAsia"/>
          <w:b/>
          <w:bCs/>
          <w:kern w:val="2"/>
          <w:szCs w:val="21"/>
          <w:lang w:eastAsia="zh-CN"/>
        </w:rPr>
        <w:t>样品要求表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86"/>
        <w:gridCol w:w="1391"/>
        <w:gridCol w:w="764"/>
        <w:gridCol w:w="840"/>
        <w:gridCol w:w="5175"/>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28"/>
          <w:jc w:val="center"/>
        </w:trPr>
        <w:tc>
          <w:tcPr>
            <w:tcW w:w="673" w:type="dxa"/>
            <w:noWrap w:val="0"/>
            <w:vAlign w:val="center"/>
          </w:tcPr>
          <w:p>
            <w:pPr>
              <w:widowControl/>
              <w:shd w:val="clear" w:color="auto" w:fill="FFFFFF"/>
              <w:tabs>
                <w:tab w:val="left" w:pos="426"/>
              </w:tabs>
              <w:spacing w:line="360" w:lineRule="auto"/>
              <w:jc w:val="center"/>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序号</w:t>
            </w:r>
          </w:p>
        </w:tc>
        <w:tc>
          <w:tcPr>
            <w:tcW w:w="1365" w:type="dxa"/>
            <w:noWrap w:val="0"/>
            <w:vAlign w:val="center"/>
          </w:tcPr>
          <w:p>
            <w:pPr>
              <w:widowControl/>
              <w:shd w:val="clear" w:color="auto" w:fill="FFFFFF"/>
              <w:tabs>
                <w:tab w:val="left" w:pos="426"/>
              </w:tabs>
              <w:spacing w:line="360" w:lineRule="auto"/>
              <w:jc w:val="center"/>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样品名称</w:t>
            </w:r>
          </w:p>
        </w:tc>
        <w:tc>
          <w:tcPr>
            <w:tcW w:w="750" w:type="dxa"/>
            <w:noWrap w:val="0"/>
            <w:vAlign w:val="center"/>
          </w:tcPr>
          <w:p>
            <w:pPr>
              <w:widowControl/>
              <w:shd w:val="clear" w:color="auto" w:fill="FFFFFF"/>
              <w:tabs>
                <w:tab w:val="left" w:pos="426"/>
              </w:tabs>
              <w:spacing w:line="360" w:lineRule="auto"/>
              <w:jc w:val="center"/>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数量</w:t>
            </w:r>
          </w:p>
        </w:tc>
        <w:tc>
          <w:tcPr>
            <w:tcW w:w="825" w:type="dxa"/>
            <w:noWrap w:val="0"/>
            <w:vAlign w:val="center"/>
          </w:tcPr>
          <w:p>
            <w:pPr>
              <w:widowControl/>
              <w:shd w:val="clear" w:color="auto" w:fill="FFFFFF"/>
              <w:tabs>
                <w:tab w:val="left" w:pos="426"/>
              </w:tabs>
              <w:spacing w:line="360" w:lineRule="auto"/>
              <w:jc w:val="center"/>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单位</w:t>
            </w:r>
          </w:p>
        </w:tc>
        <w:tc>
          <w:tcPr>
            <w:tcW w:w="5080" w:type="dxa"/>
            <w:noWrap w:val="0"/>
            <w:vAlign w:val="center"/>
          </w:tcPr>
          <w:p>
            <w:pPr>
              <w:widowControl/>
              <w:shd w:val="clear" w:color="auto" w:fill="FFFFFF"/>
              <w:tabs>
                <w:tab w:val="left" w:pos="426"/>
              </w:tabs>
              <w:spacing w:line="360" w:lineRule="auto"/>
              <w:jc w:val="center"/>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样品要求</w:t>
            </w:r>
          </w:p>
        </w:tc>
      </w:tr>
      <w:tr>
        <w:tblPrEx>
          <w:tblW w:w="5000" w:type="pct"/>
          <w:jc w:val="center"/>
          <w:tblLayout w:type="fixed"/>
          <w:tblCellMar>
            <w:top w:w="0" w:type="dxa"/>
            <w:left w:w="108" w:type="dxa"/>
            <w:bottom w:w="0" w:type="dxa"/>
            <w:right w:w="108" w:type="dxa"/>
          </w:tblCellMar>
        </w:tblPrEx>
        <w:trPr>
          <w:trHeight w:val="3579"/>
          <w:jc w:val="center"/>
        </w:trPr>
        <w:tc>
          <w:tcPr>
            <w:tcW w:w="673" w:type="dxa"/>
            <w:noWrap w:val="0"/>
            <w:vAlign w:val="center"/>
          </w:tcPr>
          <w:p>
            <w:pPr>
              <w:widowControl/>
              <w:shd w:val="clear" w:color="auto" w:fill="FFFFFF"/>
              <w:tabs>
                <w:tab w:val="left" w:pos="426"/>
              </w:tabs>
              <w:spacing w:line="360" w:lineRule="auto"/>
              <w:jc w:val="center"/>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1</w:t>
            </w:r>
          </w:p>
        </w:tc>
        <w:tc>
          <w:tcPr>
            <w:tcW w:w="1365" w:type="dxa"/>
            <w:noWrap w:val="0"/>
            <w:vAlign w:val="center"/>
          </w:tcPr>
          <w:p>
            <w:pPr>
              <w:widowControl/>
              <w:shd w:val="clear" w:color="auto" w:fill="FFFFFF"/>
              <w:tabs>
                <w:tab w:val="left" w:pos="426"/>
              </w:tabs>
              <w:spacing w:line="360" w:lineRule="auto"/>
              <w:jc w:val="center"/>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四人位回弹</w:t>
            </w:r>
          </w:p>
          <w:p>
            <w:pPr>
              <w:widowControl/>
              <w:shd w:val="clear" w:color="auto" w:fill="FFFFFF"/>
              <w:tabs>
                <w:tab w:val="left" w:pos="426"/>
              </w:tabs>
              <w:spacing w:line="360" w:lineRule="auto"/>
              <w:jc w:val="center"/>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餐桌椅</w:t>
            </w:r>
          </w:p>
          <w:p>
            <w:pPr>
              <w:widowControl/>
              <w:shd w:val="clear" w:color="auto" w:fill="FFFFFF"/>
              <w:tabs>
                <w:tab w:val="left" w:pos="426"/>
              </w:tabs>
              <w:spacing w:line="360" w:lineRule="auto"/>
              <w:jc w:val="center"/>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（回弹式座垫肘壁）</w:t>
            </w:r>
          </w:p>
        </w:tc>
        <w:tc>
          <w:tcPr>
            <w:tcW w:w="750" w:type="dxa"/>
            <w:noWrap w:val="0"/>
            <w:vAlign w:val="center"/>
          </w:tcPr>
          <w:p>
            <w:pPr>
              <w:widowControl/>
              <w:shd w:val="clear" w:color="auto" w:fill="FFFFFF"/>
              <w:tabs>
                <w:tab w:val="left" w:pos="426"/>
              </w:tabs>
              <w:spacing w:line="360" w:lineRule="auto"/>
              <w:jc w:val="center"/>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1</w:t>
            </w:r>
          </w:p>
        </w:tc>
        <w:tc>
          <w:tcPr>
            <w:tcW w:w="825" w:type="dxa"/>
            <w:noWrap w:val="0"/>
            <w:vAlign w:val="center"/>
          </w:tcPr>
          <w:p>
            <w:pPr>
              <w:widowControl/>
              <w:shd w:val="clear" w:color="auto" w:fill="FFFFFF"/>
              <w:tabs>
                <w:tab w:val="left" w:pos="426"/>
              </w:tabs>
              <w:spacing w:line="360" w:lineRule="auto"/>
              <w:jc w:val="center"/>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个</w:t>
            </w:r>
          </w:p>
        </w:tc>
        <w:tc>
          <w:tcPr>
            <w:tcW w:w="5080" w:type="dxa"/>
            <w:noWrap w:val="0"/>
            <w:vAlign w:val="center"/>
          </w:tcPr>
          <w:p>
            <w:pPr>
              <w:widowControl/>
              <w:shd w:val="clear" w:color="auto" w:fill="FFFFFF"/>
              <w:tabs>
                <w:tab w:val="left" w:pos="426"/>
              </w:tabs>
              <w:spacing w:line="360" w:lineRule="auto"/>
              <w:jc w:val="left"/>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①坐垫ABS材质，座面直径296mm±10；中间內弧造型，深度为10mm±2mm；</w:t>
            </w:r>
          </w:p>
          <w:p>
            <w:pPr>
              <w:widowControl/>
              <w:shd w:val="clear" w:color="auto" w:fill="FFFFFF"/>
              <w:tabs>
                <w:tab w:val="left" w:pos="426"/>
              </w:tabs>
              <w:spacing w:line="360" w:lineRule="auto"/>
              <w:jc w:val="left"/>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②坐垫底下回弹支撑外管尺寸：（Φ50.8mm*1.5mm）±1mm,支撑主管（内管）尺寸：≥(Φ35mm*T1.5mm)；</w:t>
            </w:r>
          </w:p>
          <w:p>
            <w:pPr>
              <w:widowControl/>
              <w:shd w:val="clear" w:color="auto" w:fill="FFFFFF"/>
              <w:tabs>
                <w:tab w:val="left" w:pos="426"/>
              </w:tabs>
              <w:spacing w:line="360" w:lineRule="auto"/>
              <w:jc w:val="left"/>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③座垫底下肘壁：≥（Φ32mm*T1.5mm)，一次弯管成型，座垫肘壁可0-270度旋转，坐垫可360度旋转，座椅可自动回弹升起归位。</w:t>
            </w:r>
          </w:p>
        </w:tc>
      </w:tr>
      <w:tr>
        <w:tblPrEx>
          <w:tblW w:w="5000" w:type="pct"/>
          <w:jc w:val="center"/>
          <w:tblLayout w:type="fixed"/>
          <w:tblCellMar>
            <w:top w:w="0" w:type="dxa"/>
            <w:left w:w="108" w:type="dxa"/>
            <w:bottom w:w="0" w:type="dxa"/>
            <w:right w:w="108" w:type="dxa"/>
          </w:tblCellMar>
        </w:tblPrEx>
        <w:trPr>
          <w:trHeight w:val="2682"/>
          <w:jc w:val="center"/>
        </w:trPr>
        <w:tc>
          <w:tcPr>
            <w:tcW w:w="673" w:type="dxa"/>
            <w:noWrap w:val="0"/>
            <w:vAlign w:val="center"/>
          </w:tcPr>
          <w:p>
            <w:pPr>
              <w:widowControl/>
              <w:shd w:val="clear" w:color="auto" w:fill="FFFFFF"/>
              <w:tabs>
                <w:tab w:val="left" w:pos="426"/>
              </w:tabs>
              <w:spacing w:line="360" w:lineRule="auto"/>
              <w:jc w:val="center"/>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2</w:t>
            </w:r>
          </w:p>
        </w:tc>
        <w:tc>
          <w:tcPr>
            <w:tcW w:w="1365" w:type="dxa"/>
            <w:noWrap w:val="0"/>
            <w:vAlign w:val="center"/>
          </w:tcPr>
          <w:p>
            <w:pPr>
              <w:widowControl/>
              <w:shd w:val="clear" w:color="auto" w:fill="FFFFFF"/>
              <w:tabs>
                <w:tab w:val="left" w:pos="426"/>
              </w:tabs>
              <w:spacing w:line="360" w:lineRule="auto"/>
              <w:jc w:val="center"/>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吧椅</w:t>
            </w:r>
          </w:p>
          <w:p>
            <w:pPr>
              <w:widowControl w:val="0"/>
              <w:spacing w:line="360" w:lineRule="auto"/>
              <w:jc w:val="center"/>
              <w:rPr>
                <w:rFonts w:ascii="Calibri" w:eastAsia="宋体" w:hAnsi="Calibri"/>
                <w:b/>
                <w:bCs/>
                <w:kern w:val="2"/>
                <w:szCs w:val="22"/>
                <w:lang w:eastAsia="zh-CN"/>
              </w:rPr>
            </w:pPr>
            <w:r>
              <w:rPr>
                <w:rFonts w:ascii="宋体" w:eastAsia="宋体" w:hAnsi="宋体" w:cstheme="minorBidi" w:hint="eastAsia"/>
                <w:kern w:val="2"/>
                <w:sz w:val="21"/>
                <w:szCs w:val="18"/>
                <w:lang w:eastAsia="zh-CN"/>
              </w:rPr>
              <w:t>（椅面）</w:t>
            </w:r>
          </w:p>
        </w:tc>
        <w:tc>
          <w:tcPr>
            <w:tcW w:w="750" w:type="dxa"/>
            <w:noWrap w:val="0"/>
            <w:vAlign w:val="center"/>
          </w:tcPr>
          <w:p>
            <w:pPr>
              <w:widowControl/>
              <w:shd w:val="clear" w:color="auto" w:fill="FFFFFF"/>
              <w:tabs>
                <w:tab w:val="left" w:pos="426"/>
              </w:tabs>
              <w:spacing w:line="360" w:lineRule="auto"/>
              <w:jc w:val="center"/>
              <w:rPr>
                <w:rFonts w:ascii="宋体" w:eastAsia="宋体" w:hAnsi="宋体"/>
                <w:bCs/>
                <w:kern w:val="2"/>
                <w:sz w:val="21"/>
                <w:szCs w:val="21"/>
                <w:lang w:eastAsia="zh-CN"/>
              </w:rPr>
            </w:pPr>
            <w:r>
              <w:rPr>
                <w:rFonts w:ascii="宋体" w:eastAsia="宋体" w:hAnsi="宋体" w:hint="eastAsia"/>
                <w:bCs/>
                <w:kern w:val="2"/>
                <w:sz w:val="21"/>
                <w:szCs w:val="21"/>
                <w:lang w:eastAsia="zh-CN"/>
              </w:rPr>
              <w:t>1</w:t>
            </w:r>
          </w:p>
        </w:tc>
        <w:tc>
          <w:tcPr>
            <w:tcW w:w="825" w:type="dxa"/>
            <w:noWrap w:val="0"/>
            <w:vAlign w:val="center"/>
          </w:tcPr>
          <w:p>
            <w:pPr>
              <w:widowControl/>
              <w:shd w:val="clear" w:color="auto" w:fill="FFFFFF"/>
              <w:tabs>
                <w:tab w:val="left" w:pos="426"/>
              </w:tabs>
              <w:spacing w:line="360" w:lineRule="auto"/>
              <w:jc w:val="center"/>
              <w:rPr>
                <w:rFonts w:ascii="宋体" w:eastAsia="宋体" w:hAnsi="宋体"/>
                <w:bCs/>
                <w:kern w:val="2"/>
                <w:sz w:val="21"/>
                <w:szCs w:val="21"/>
                <w:lang w:eastAsia="zh-CN"/>
              </w:rPr>
            </w:pPr>
            <w:r>
              <w:rPr>
                <w:rFonts w:ascii="宋体" w:eastAsia="宋体" w:hAnsi="宋体" w:hint="eastAsia"/>
                <w:bCs/>
                <w:kern w:val="2"/>
                <w:sz w:val="21"/>
                <w:szCs w:val="21"/>
                <w:lang w:eastAsia="zh-CN"/>
              </w:rPr>
              <w:t>套</w:t>
            </w:r>
          </w:p>
        </w:tc>
        <w:tc>
          <w:tcPr>
            <w:tcW w:w="5080" w:type="dxa"/>
            <w:noWrap w:val="0"/>
            <w:vAlign w:val="center"/>
          </w:tcPr>
          <w:p>
            <w:pPr>
              <w:widowControl/>
              <w:shd w:val="clear" w:color="auto" w:fill="FFFFFF"/>
              <w:tabs>
                <w:tab w:val="left" w:pos="426"/>
              </w:tabs>
              <w:spacing w:line="360" w:lineRule="auto"/>
              <w:jc w:val="left"/>
              <w:rPr>
                <w:rFonts w:ascii="宋体" w:eastAsia="宋体" w:hAnsi="宋体"/>
                <w:bCs/>
                <w:kern w:val="2"/>
                <w:sz w:val="21"/>
                <w:szCs w:val="21"/>
                <w:lang w:eastAsia="zh-CN"/>
              </w:rPr>
            </w:pPr>
            <w:r>
              <w:rPr>
                <w:rFonts w:ascii="宋体" w:eastAsia="宋体" w:hAnsi="宋体" w:hint="eastAsia"/>
                <w:bCs/>
                <w:kern w:val="2"/>
                <w:sz w:val="21"/>
                <w:szCs w:val="21"/>
                <w:lang w:eastAsia="zh-CN"/>
              </w:rPr>
              <w:t>①座面采用PP，厚度6mm±1mm，座面宽375mm±2mm，座面前端至椅背顶端弧长495mm±5mm；</w:t>
            </w:r>
          </w:p>
          <w:p>
            <w:pPr>
              <w:widowControl/>
              <w:shd w:val="clear" w:color="auto" w:fill="FFFFFF"/>
              <w:tabs>
                <w:tab w:val="left" w:pos="426"/>
              </w:tabs>
              <w:spacing w:line="360" w:lineRule="auto"/>
              <w:jc w:val="left"/>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②椅背设一开口槽，便于提拿，开口槽尺寸（180*35）mm±2mm；</w:t>
            </w:r>
          </w:p>
        </w:tc>
      </w:tr>
    </w:tbl>
    <w:p>
      <w:pPr>
        <w:widowControl w:val="0"/>
        <w:ind w:firstLine="420" w:firstLineChars="200"/>
        <w:jc w:val="both"/>
        <w:rPr>
          <w:rFonts w:ascii="宋体" w:eastAsia="宋体" w:hAnsi="宋体" w:cs="仿宋_GB2312" w:hint="eastAsia"/>
          <w:kern w:val="2"/>
          <w:sz w:val="21"/>
          <w:szCs w:val="21"/>
          <w:lang w:eastAsia="zh-CN"/>
        </w:rPr>
      </w:pPr>
    </w:p>
    <w:p>
      <w:pPr>
        <w:widowControl w:val="0"/>
        <w:ind w:firstLine="420" w:firstLineChars="200"/>
        <w:jc w:val="both"/>
        <w:rPr>
          <w:rFonts w:ascii="微软雅黑" w:eastAsia="微软雅黑" w:hAnsi="微软雅黑" w:cs="微软雅黑"/>
          <w:b/>
          <w:bCs/>
          <w:kern w:val="2"/>
          <w:sz w:val="21"/>
          <w:szCs w:val="22"/>
          <w:lang w:eastAsia="zh-CN"/>
        </w:rPr>
      </w:pPr>
      <w:r>
        <w:rPr>
          <w:rFonts w:ascii="宋体" w:eastAsia="宋体" w:hAnsi="宋体" w:cs="仿宋_GB2312" w:hint="eastAsia"/>
          <w:kern w:val="2"/>
          <w:sz w:val="21"/>
          <w:szCs w:val="21"/>
          <w:lang w:eastAsia="zh-CN"/>
        </w:rPr>
        <w:t>（三）</w:t>
      </w:r>
      <w:r>
        <w:rPr>
          <w:rFonts w:ascii="宋体" w:eastAsia="宋体" w:hAnsi="宋体" w:cs="宋体" w:hint="eastAsia"/>
          <w:bCs/>
          <w:kern w:val="2"/>
          <w:sz w:val="21"/>
          <w:szCs w:val="21"/>
          <w:lang w:eastAsia="zh-CN"/>
        </w:rPr>
        <w:t>法定代表人（负责人）授权委托书</w:t>
      </w:r>
    </w:p>
    <w:p>
      <w:pPr>
        <w:widowControl w:val="0"/>
        <w:jc w:val="center"/>
        <w:rPr>
          <w:rFonts w:ascii="宋体" w:eastAsia="宋体" w:hAnsi="宋体" w:cs="微软雅黑" w:hint="eastAsia"/>
          <w:kern w:val="2"/>
          <w:lang w:eastAsia="zh-CN"/>
        </w:rPr>
      </w:pPr>
      <w:bookmarkStart w:id="14" w:name="_Hlk106183283"/>
      <w:bookmarkStart w:id="15" w:name="_Hlk106278670"/>
    </w:p>
    <w:p>
      <w:pPr>
        <w:widowControl w:val="0"/>
        <w:spacing w:line="720" w:lineRule="auto"/>
        <w:jc w:val="center"/>
        <w:rPr>
          <w:rFonts w:ascii="宋体" w:eastAsia="宋体" w:hAnsi="宋体" w:cs="微软雅黑"/>
          <w:b/>
          <w:bCs/>
          <w:kern w:val="2"/>
          <w:sz w:val="32"/>
          <w:szCs w:val="32"/>
          <w:lang w:eastAsia="zh-CN"/>
        </w:rPr>
      </w:pPr>
      <w:r>
        <w:rPr>
          <w:rFonts w:ascii="宋体" w:eastAsia="宋体" w:hAnsi="宋体" w:cs="微软雅黑" w:hint="eastAsia"/>
          <w:b/>
          <w:bCs/>
          <w:kern w:val="2"/>
          <w:sz w:val="32"/>
          <w:szCs w:val="32"/>
          <w:lang w:eastAsia="zh-CN"/>
        </w:rPr>
        <w:t>授权委托书</w:t>
      </w:r>
    </w:p>
    <w:bookmarkEnd w:id="14"/>
    <w:p>
      <w:pPr>
        <w:widowControl w:val="0"/>
        <w:spacing w:line="360" w:lineRule="auto"/>
        <w:ind w:firstLine="480" w:firstLineChars="200"/>
        <w:jc w:val="both"/>
        <w:rPr>
          <w:rFonts w:ascii="Calibri" w:eastAsia="宋体" w:hAnsi="Calibri"/>
          <w:kern w:val="2"/>
          <w:lang w:eastAsia="zh-CN"/>
        </w:rPr>
      </w:pPr>
      <w:r>
        <w:rPr>
          <w:rFonts w:ascii="Calibri" w:eastAsia="宋体" w:hAnsi="Calibri" w:cstheme="minorBidi" w:hint="eastAsia"/>
          <w:kern w:val="2"/>
          <w:lang w:eastAsia="zh-CN"/>
        </w:rPr>
        <w:t>本授权委托书声明：我</w:t>
      </w:r>
      <w:r>
        <w:rPr>
          <w:rFonts w:ascii="Calibri" w:eastAsia="宋体" w:hAnsi="Calibri" w:cstheme="minorBidi" w:hint="eastAsia"/>
          <w:kern w:val="2"/>
          <w:u w:val="single"/>
          <w:lang w:eastAsia="zh-CN"/>
        </w:rPr>
        <w:t xml:space="preserve">        </w:t>
      </w:r>
      <w:r>
        <w:rPr>
          <w:rFonts w:ascii="Calibri" w:eastAsia="宋体" w:hAnsi="Calibri" w:cstheme="minorBidi" w:hint="eastAsia"/>
          <w:kern w:val="2"/>
          <w:lang w:eastAsia="zh-CN"/>
        </w:rPr>
        <w:t>（姓名）系</w:t>
      </w:r>
      <w:r>
        <w:rPr>
          <w:rFonts w:ascii="Calibri" w:eastAsia="宋体" w:hAnsi="Calibri" w:cstheme="minorBidi" w:hint="eastAsia"/>
          <w:kern w:val="2"/>
          <w:u w:val="single"/>
          <w:lang w:eastAsia="zh-CN"/>
        </w:rPr>
        <w:t xml:space="preserve">               </w:t>
      </w:r>
      <w:r>
        <w:rPr>
          <w:rFonts w:ascii="Calibri" w:eastAsia="宋体" w:hAnsi="Calibri" w:cstheme="minorBidi" w:hint="eastAsia"/>
          <w:kern w:val="2"/>
          <w:lang w:eastAsia="zh-CN"/>
        </w:rPr>
        <w:t>（投标人名称）的法定代表人（负责人），现授权委托（姓名）为我单位参与</w:t>
      </w:r>
      <w:r>
        <w:rPr>
          <w:rFonts w:ascii="Calibri" w:eastAsia="宋体" w:hAnsi="Calibri" w:cstheme="minorBidi" w:hint="eastAsia"/>
          <w:kern w:val="2"/>
          <w:u w:val="single"/>
          <w:lang w:eastAsia="zh-CN"/>
        </w:rPr>
        <w:t>（此处填写项目名称）</w:t>
      </w:r>
      <w:r>
        <w:rPr>
          <w:rFonts w:ascii="Calibri" w:eastAsia="宋体" w:hAnsi="Calibri" w:cstheme="minorBidi" w:hint="eastAsia"/>
          <w:kern w:val="2"/>
          <w:lang w:eastAsia="zh-CN"/>
        </w:rPr>
        <w:t>项目，项目编号：</w:t>
      </w:r>
      <w:r>
        <w:rPr>
          <w:rFonts w:ascii="Calibri" w:eastAsia="宋体" w:hAnsi="Calibri" w:cstheme="minorBidi" w:hint="eastAsia"/>
          <w:kern w:val="2"/>
          <w:u w:val="single"/>
          <w:lang w:eastAsia="zh-CN"/>
        </w:rPr>
        <w:t>（此处填写项目编号）</w:t>
      </w:r>
      <w:r>
        <w:rPr>
          <w:rFonts w:ascii="Calibri" w:eastAsia="宋体" w:hAnsi="Calibri" w:cstheme="minorBidi" w:hint="eastAsia"/>
          <w:kern w:val="2"/>
          <w:lang w:eastAsia="zh-CN"/>
        </w:rPr>
        <w:t>样品递交的授权委托代理人，代理人全权代表我司，递交内容我司均承认。</w:t>
      </w:r>
    </w:p>
    <w:p>
      <w:pPr>
        <w:widowControl w:val="0"/>
        <w:spacing w:line="360" w:lineRule="auto"/>
        <w:ind w:firstLine="420"/>
        <w:jc w:val="both"/>
        <w:rPr>
          <w:rFonts w:ascii="Calibri" w:eastAsia="宋体" w:hAnsi="Calibri"/>
          <w:kern w:val="2"/>
          <w:lang w:eastAsia="zh-CN"/>
        </w:rPr>
      </w:pPr>
      <w:r>
        <w:rPr>
          <w:rFonts w:ascii="Calibri" w:eastAsia="宋体" w:hAnsi="Calibri" w:cstheme="minorBidi" w:hint="eastAsia"/>
          <w:kern w:val="2"/>
          <w:lang w:eastAsia="zh-CN"/>
        </w:rPr>
        <w:t>代理人无转委托权，特此委托。</w:t>
      </w:r>
    </w:p>
    <w:p>
      <w:pPr>
        <w:widowControl w:val="0"/>
        <w:spacing w:line="360" w:lineRule="auto"/>
        <w:ind w:firstLine="420"/>
        <w:jc w:val="both"/>
        <w:rPr>
          <w:rFonts w:ascii="Calibri" w:eastAsia="宋体" w:hAnsi="Calibri"/>
          <w:kern w:val="2"/>
          <w:lang w:eastAsia="zh-CN"/>
        </w:rPr>
      </w:pPr>
    </w:p>
    <w:p>
      <w:pPr>
        <w:widowControl w:val="0"/>
        <w:spacing w:line="360" w:lineRule="auto"/>
        <w:ind w:left="617" w:leftChars="257"/>
        <w:jc w:val="both"/>
        <w:rPr>
          <w:rFonts w:ascii="Calibri" w:eastAsia="宋体" w:hAnsi="Calibri" w:hint="eastAsia"/>
          <w:kern w:val="2"/>
          <w:u w:val="single"/>
          <w:lang w:eastAsia="zh-CN"/>
        </w:rPr>
      </w:pPr>
      <w:r>
        <w:rPr>
          <w:rFonts w:ascii="Calibri" w:eastAsia="宋体" w:hAnsi="Calibri" w:cstheme="minorBidi" w:hint="eastAsia"/>
          <w:kern w:val="2"/>
          <w:lang w:eastAsia="zh-CN"/>
        </w:rPr>
        <w:t>代理人：</w:t>
      </w:r>
      <w:r>
        <w:rPr>
          <w:rFonts w:ascii="Calibri" w:eastAsia="宋体" w:hAnsi="Calibri" w:cstheme="minorBidi" w:hint="eastAsia"/>
          <w:kern w:val="2"/>
          <w:u w:val="single"/>
          <w:lang w:eastAsia="zh-CN"/>
        </w:rPr>
        <w:t xml:space="preserve">               </w:t>
      </w:r>
    </w:p>
    <w:p>
      <w:pPr>
        <w:widowControl w:val="0"/>
        <w:spacing w:line="360" w:lineRule="auto"/>
        <w:ind w:left="617" w:leftChars="257"/>
        <w:jc w:val="both"/>
        <w:rPr>
          <w:rFonts w:ascii="Calibri" w:eastAsia="宋体" w:hAnsi="Calibri" w:hint="eastAsia"/>
          <w:kern w:val="2"/>
          <w:lang w:eastAsia="zh-CN"/>
        </w:rPr>
      </w:pPr>
      <w:r>
        <w:rPr>
          <w:rFonts w:ascii="Calibri" w:eastAsia="宋体" w:hAnsi="Calibri" w:cstheme="minorBidi" w:hint="eastAsia"/>
          <w:kern w:val="2"/>
          <w:lang w:eastAsia="zh-CN"/>
        </w:rPr>
        <w:t>联系电话：</w:t>
      </w:r>
      <w:r>
        <w:rPr>
          <w:rFonts w:ascii="Calibri" w:eastAsia="宋体" w:hAnsi="Calibri" w:cstheme="minorBidi" w:hint="eastAsia"/>
          <w:kern w:val="2"/>
          <w:u w:val="single"/>
          <w:lang w:eastAsia="zh-CN"/>
        </w:rPr>
        <w:t xml:space="preserve">               </w:t>
      </w:r>
      <w:r>
        <w:rPr>
          <w:rFonts w:ascii="Calibri" w:eastAsia="宋体" w:hAnsi="Calibri" w:cstheme="minorBidi" w:hint="eastAsia"/>
          <w:kern w:val="2"/>
          <w:lang w:eastAsia="zh-CN"/>
        </w:rPr>
        <w:t>手机：</w:t>
      </w:r>
      <w:r>
        <w:rPr>
          <w:rFonts w:ascii="Calibri" w:eastAsia="宋体" w:hAnsi="Calibri" w:cstheme="minorBidi" w:hint="eastAsia"/>
          <w:kern w:val="2"/>
          <w:u w:val="single"/>
          <w:lang w:eastAsia="zh-CN"/>
        </w:rPr>
        <w:t xml:space="preserve">               </w:t>
      </w:r>
    </w:p>
    <w:p>
      <w:pPr>
        <w:widowControl w:val="0"/>
        <w:spacing w:line="360" w:lineRule="auto"/>
        <w:ind w:left="617" w:leftChars="257"/>
        <w:jc w:val="both"/>
        <w:rPr>
          <w:rFonts w:ascii="Calibri" w:eastAsia="宋体" w:hAnsi="Calibri" w:hint="eastAsia"/>
          <w:kern w:val="2"/>
          <w:u w:val="single"/>
          <w:lang w:eastAsia="zh-CN"/>
        </w:rPr>
      </w:pPr>
      <w:r>
        <w:rPr>
          <w:rFonts w:ascii="Calibri" w:eastAsia="宋体" w:hAnsi="Calibri" w:cstheme="minorBidi" w:hint="eastAsia"/>
          <w:kern w:val="2"/>
          <w:lang w:eastAsia="zh-CN"/>
        </w:rPr>
        <w:t>身份证号码：</w:t>
      </w:r>
      <w:r>
        <w:rPr>
          <w:rFonts w:ascii="Calibri" w:eastAsia="宋体" w:hAnsi="Calibri" w:cstheme="minorBidi" w:hint="eastAsia"/>
          <w:kern w:val="2"/>
          <w:u w:val="single"/>
          <w:lang w:eastAsia="zh-CN"/>
        </w:rPr>
        <w:t xml:space="preserve">               </w:t>
      </w:r>
      <w:r>
        <w:rPr>
          <w:rFonts w:ascii="Calibri" w:eastAsia="宋体" w:hAnsi="Calibri" w:cstheme="minorBidi" w:hint="eastAsia"/>
          <w:kern w:val="2"/>
          <w:lang w:eastAsia="zh-CN"/>
        </w:rPr>
        <w:t>职务：</w:t>
      </w:r>
      <w:r>
        <w:rPr>
          <w:rFonts w:ascii="Calibri" w:eastAsia="宋体" w:hAnsi="Calibri" w:cstheme="minorBidi" w:hint="eastAsia"/>
          <w:kern w:val="2"/>
          <w:u w:val="single"/>
          <w:lang w:eastAsia="zh-CN"/>
        </w:rPr>
        <w:t xml:space="preserve">               </w:t>
      </w:r>
    </w:p>
    <w:p>
      <w:pPr>
        <w:widowControl w:val="0"/>
        <w:spacing w:line="360" w:lineRule="auto"/>
        <w:ind w:left="617" w:leftChars="257"/>
        <w:jc w:val="both"/>
        <w:rPr>
          <w:rFonts w:ascii="Calibri" w:eastAsia="宋体" w:hAnsi="Calibri"/>
          <w:kern w:val="2"/>
          <w:lang w:eastAsia="zh-CN"/>
        </w:rPr>
      </w:pPr>
      <w:r>
        <w:rPr>
          <w:rFonts w:ascii="Calibri" w:eastAsia="宋体" w:hAnsi="Calibri" w:cstheme="minorBidi" w:hint="eastAsia"/>
          <w:kern w:val="2"/>
          <w:lang w:eastAsia="zh-CN"/>
        </w:rPr>
        <w:t>授权委托日期：</w:t>
      </w:r>
      <w:r>
        <w:rPr>
          <w:rFonts w:ascii="Calibri" w:eastAsia="宋体" w:hAnsi="Calibri" w:cstheme="minorBidi" w:hint="eastAsia"/>
          <w:kern w:val="2"/>
          <w:u w:val="single"/>
          <w:lang w:eastAsia="zh-CN"/>
        </w:rPr>
        <w:t xml:space="preserve">     </w:t>
      </w:r>
      <w:r>
        <w:rPr>
          <w:rFonts w:ascii="Calibri" w:eastAsia="宋体" w:hAnsi="Calibri" w:cstheme="minorBidi" w:hint="eastAsia"/>
          <w:kern w:val="2"/>
          <w:lang w:eastAsia="zh-CN"/>
        </w:rPr>
        <w:t>年</w:t>
      </w:r>
      <w:r>
        <w:rPr>
          <w:rFonts w:ascii="Calibri" w:eastAsia="宋体" w:hAnsi="Calibri" w:cstheme="minorBidi" w:hint="eastAsia"/>
          <w:kern w:val="2"/>
          <w:u w:val="single"/>
          <w:lang w:eastAsia="zh-CN"/>
        </w:rPr>
        <w:t xml:space="preserve">     </w:t>
      </w:r>
      <w:r>
        <w:rPr>
          <w:rFonts w:ascii="Calibri" w:eastAsia="宋体" w:hAnsi="Calibri" w:cstheme="minorBidi" w:hint="eastAsia"/>
          <w:kern w:val="2"/>
          <w:lang w:eastAsia="zh-CN"/>
        </w:rPr>
        <w:t>月</w:t>
      </w:r>
      <w:r>
        <w:rPr>
          <w:rFonts w:ascii="Calibri" w:eastAsia="宋体" w:hAnsi="Calibri" w:cstheme="minorBidi" w:hint="eastAsia"/>
          <w:kern w:val="2"/>
          <w:u w:val="single"/>
          <w:lang w:eastAsia="zh-CN"/>
        </w:rPr>
        <w:t xml:space="preserve">     </w:t>
      </w:r>
      <w:r>
        <w:rPr>
          <w:rFonts w:ascii="Calibri" w:eastAsia="宋体" w:hAnsi="Calibri" w:cstheme="minorBidi" w:hint="eastAsia"/>
          <w:kern w:val="2"/>
          <w:lang w:eastAsia="zh-CN"/>
        </w:rPr>
        <w:t>日</w:t>
      </w:r>
    </w:p>
    <w:p>
      <w:pPr>
        <w:widowControl w:val="0"/>
        <w:jc w:val="both"/>
        <w:rPr>
          <w:rFonts w:ascii="Calibri" w:eastAsia="宋体" w:hAnsi="Calibri"/>
          <w:kern w:val="2"/>
          <w:sz w:val="22"/>
          <w:szCs w:val="28"/>
          <w:lang w:eastAsia="zh-CN"/>
        </w:rPr>
      </w:pPr>
    </w:p>
    <w:p>
      <w:pPr>
        <w:widowControl w:val="0"/>
        <w:spacing w:line="360" w:lineRule="auto"/>
        <w:ind w:firstLine="440" w:firstLineChars="200"/>
        <w:jc w:val="both"/>
        <w:rPr>
          <w:rFonts w:ascii="Calibri" w:eastAsia="宋体" w:hAnsi="Calibri"/>
          <w:b/>
          <w:color w:val="FF0000"/>
          <w:kern w:val="2"/>
          <w:sz w:val="22"/>
          <w:szCs w:val="22"/>
          <w:lang w:eastAsia="zh-CN"/>
        </w:rPr>
      </w:pPr>
      <w:r>
        <w:rPr>
          <w:rFonts w:ascii="Calibri" w:eastAsia="宋体" w:hAnsi="Calibri" w:cstheme="minorBidi" w:hint="eastAsia"/>
          <w:b/>
          <w:color w:val="FF0000"/>
          <w:kern w:val="2"/>
          <w:sz w:val="22"/>
          <w:szCs w:val="22"/>
          <w:lang w:eastAsia="zh-CN"/>
        </w:rPr>
        <w:t>附：中国国籍人员，请提供代理人身份证扫描件（正反两面），港澳台居民可提供来往通行证扫描件；非中国国籍人员，可提供公安部门认可的身份证明材料扫描件。要求投标供应商同时提供上述身份证明材料扫描件作为附件方为有效。</w:t>
      </w:r>
    </w:p>
    <w:p>
      <w:pPr>
        <w:widowControl w:val="0"/>
        <w:spacing w:line="360" w:lineRule="auto"/>
        <w:ind w:firstLine="420"/>
        <w:jc w:val="right"/>
        <w:rPr>
          <w:rFonts w:ascii="Calibri" w:eastAsia="宋体" w:hAnsi="Calibri"/>
          <w:kern w:val="2"/>
          <w:sz w:val="22"/>
          <w:szCs w:val="22"/>
          <w:lang w:eastAsia="zh-CN"/>
        </w:rPr>
      </w:pPr>
    </w:p>
    <w:p>
      <w:pPr>
        <w:widowControl w:val="0"/>
        <w:spacing w:line="360" w:lineRule="auto"/>
        <w:ind w:firstLine="420"/>
        <w:jc w:val="right"/>
        <w:rPr>
          <w:rFonts w:ascii="Calibri" w:eastAsia="宋体" w:hAnsi="Calibri"/>
          <w:kern w:val="2"/>
          <w:sz w:val="22"/>
          <w:szCs w:val="22"/>
          <w:lang w:eastAsia="zh-CN"/>
        </w:rPr>
      </w:pPr>
      <w:r>
        <w:rPr>
          <w:rFonts w:ascii="Calibri" w:eastAsia="宋体" w:hAnsi="Calibri" w:cstheme="minorBidi" w:hint="eastAsia"/>
          <w:kern w:val="2"/>
          <w:sz w:val="22"/>
          <w:szCs w:val="22"/>
          <w:lang w:eastAsia="zh-CN"/>
        </w:rPr>
        <w:t>（此处填写投标人名称）公司（加盖投标人公章）</w:t>
      </w:r>
    </w:p>
    <w:p>
      <w:pPr>
        <w:widowControl w:val="0"/>
        <w:spacing w:line="360" w:lineRule="auto"/>
        <w:ind w:firstLine="420"/>
        <w:jc w:val="right"/>
        <w:rPr>
          <w:rFonts w:ascii="Calibri" w:eastAsia="宋体" w:hAnsi="Calibri"/>
          <w:kern w:val="2"/>
          <w:sz w:val="22"/>
          <w:szCs w:val="22"/>
          <w:lang w:eastAsia="zh-CN"/>
        </w:rPr>
      </w:pPr>
      <w:r>
        <w:rPr>
          <w:rFonts w:ascii="Calibri" w:eastAsia="宋体" w:hAnsi="Calibri" w:cstheme="minorBidi" w:hint="eastAsia"/>
          <w:kern w:val="2"/>
          <w:sz w:val="22"/>
          <w:szCs w:val="22"/>
          <w:lang w:eastAsia="zh-CN"/>
        </w:rPr>
        <w:t>XX年XX月XX日</w:t>
      </w:r>
      <w:bookmarkEnd w:id="15"/>
    </w:p>
    <w:p>
      <w:pPr>
        <w:keepNext/>
        <w:keepLines/>
        <w:widowControl w:val="0"/>
        <w:spacing w:before="260" w:after="260" w:line="240" w:lineRule="auto"/>
        <w:jc w:val="center"/>
        <w:outlineLvl w:val="2"/>
        <w:rPr>
          <w:rFonts w:ascii="宋体" w:eastAsia="宋体" w:hAnsi="宋体"/>
          <w:b/>
          <w:bCs/>
          <w:kern w:val="2"/>
          <w:sz w:val="32"/>
          <w:szCs w:val="32"/>
          <w:lang w:eastAsia="zh-CN"/>
        </w:rPr>
      </w:pPr>
      <w:r>
        <w:rPr>
          <w:rFonts w:ascii="宋体" w:eastAsia="宋体" w:hAnsi="宋体" w:cstheme="minorBidi" w:hint="eastAsia"/>
          <w:b/>
          <w:bCs/>
          <w:kern w:val="2"/>
          <w:sz w:val="28"/>
          <w:szCs w:val="32"/>
          <w:lang w:eastAsia="zh-CN"/>
        </w:rPr>
        <w:br w:type="page"/>
      </w:r>
      <w:r>
        <w:rPr>
          <w:rFonts w:ascii="宋体" w:eastAsia="宋体" w:hAnsi="宋体" w:cstheme="minorBidi" w:hint="eastAsia"/>
          <w:b/>
          <w:bCs/>
          <w:kern w:val="2"/>
          <w:sz w:val="28"/>
          <w:szCs w:val="28"/>
          <w:lang w:eastAsia="zh-CN"/>
        </w:rPr>
        <w:t>八、图纸</w:t>
      </w:r>
    </w:p>
    <w:p>
      <w:pPr>
        <w:widowControl w:val="0"/>
        <w:jc w:val="both"/>
        <w:outlineLvl w:val="9"/>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1.包厢1、包厢2</w:t>
      </w:r>
    </w:p>
    <w:p>
      <w:pPr>
        <w:widowControl w:val="0"/>
        <w:jc w:val="both"/>
        <w:rPr>
          <w:rFonts w:ascii="Calibri" w:eastAsia="宋体" w:hAnsi="Calibri"/>
          <w:kern w:val="2"/>
          <w:sz w:val="21"/>
          <w:szCs w:val="22"/>
          <w:lang w:eastAsia="zh-CN"/>
        </w:rPr>
      </w:pPr>
      <w:r>
        <w:drawing>
          <wp:inline distT="0" distB="0" distL="114300" distR="114300">
            <wp:extent cx="5269230" cy="3890645"/>
            <wp:effectExtent l="0" t="0" r="7620"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xmlns:r="http://schemas.openxmlformats.org/officeDocument/2006/relationships" r:embed="rId4"/>
                    <a:stretch>
                      <a:fillRect/>
                    </a:stretch>
                  </pic:blipFill>
                  <pic:spPr>
                    <a:xfrm>
                      <a:off x="0" y="0"/>
                      <a:ext cx="5269230" cy="3890645"/>
                    </a:xfrm>
                    <a:prstGeom prst="rect">
                      <a:avLst/>
                    </a:prstGeom>
                    <a:noFill/>
                    <a:ln>
                      <a:noFill/>
                    </a:ln>
                  </pic:spPr>
                </pic:pic>
              </a:graphicData>
            </a:graphic>
          </wp:inline>
        </w:drawing>
      </w: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hint="eastAsia"/>
          <w:kern w:val="2"/>
          <w:sz w:val="21"/>
          <w:szCs w:val="22"/>
          <w:lang w:eastAsia="zh-CN"/>
        </w:rPr>
      </w:pPr>
    </w:p>
    <w:p>
      <w:pPr>
        <w:widowControl w:val="0"/>
        <w:spacing w:after="120" w:line="240" w:lineRule="auto"/>
        <w:ind w:left="480" w:firstLine="420" w:leftChars="200" w:firstLineChars="200"/>
        <w:jc w:val="both"/>
        <w:rPr>
          <w:rFonts w:ascii="Calibri" w:eastAsia="宋体" w:hAnsi="Calibri" w:hint="eastAsia"/>
          <w:kern w:val="2"/>
          <w:sz w:val="21"/>
          <w:szCs w:val="22"/>
          <w:lang w:eastAsia="zh-CN"/>
        </w:rPr>
      </w:pPr>
    </w:p>
    <w:p>
      <w:pPr>
        <w:widowControl w:val="0"/>
        <w:jc w:val="both"/>
        <w:rPr>
          <w:rFonts w:ascii="Calibri" w:eastAsia="宋体" w:hAnsi="Calibri" w:hint="eastAsia"/>
          <w:b/>
          <w:kern w:val="2"/>
          <w:sz w:val="21"/>
          <w:szCs w:val="22"/>
          <w:lang w:eastAsia="zh-CN"/>
        </w:rPr>
      </w:pPr>
    </w:p>
    <w:p>
      <w:pPr>
        <w:widowControl/>
        <w:jc w:val="left"/>
        <w:rPr>
          <w:rFonts w:ascii="宋体" w:eastAsia="宋体" w:hAnsi="宋体"/>
          <w:b/>
          <w:bCs/>
          <w:sz w:val="28"/>
          <w:szCs w:val="28"/>
          <w:lang w:eastAsia="zh-CN"/>
        </w:rPr>
      </w:pPr>
    </w:p>
    <w:p>
      <w:pPr>
        <w:keepNext/>
        <w:keepLines/>
        <w:widowControl w:val="0"/>
        <w:adjustRightInd w:val="0"/>
        <w:spacing w:line="320" w:lineRule="atLeast"/>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第四章  投标文件组成要求及格式</w:t>
      </w:r>
    </w:p>
    <w:p>
      <w:pPr>
        <w:widowControl w:val="0"/>
        <w:spacing w:line="360" w:lineRule="auto"/>
        <w:jc w:val="both"/>
        <w:rPr>
          <w:rFonts w:ascii="Calibri" w:eastAsia="宋体" w:hAnsi="Calibri"/>
          <w:b/>
          <w:bCs/>
          <w:kern w:val="2"/>
          <w:szCs w:val="22"/>
          <w:lang w:eastAsia="zh-CN"/>
        </w:rPr>
      </w:pPr>
      <w:bookmarkStart w:id="16" w:name="_Hlk72257167"/>
    </w:p>
    <w:bookmarkEnd w:id="16"/>
    <w:p>
      <w:pPr>
        <w:widowControl/>
        <w:spacing w:line="320" w:lineRule="atLeast"/>
        <w:jc w:val="left"/>
        <w:outlineLvl w:val="2"/>
        <w:rPr>
          <w:rFonts w:ascii="宋体" w:eastAsia="黑体" w:hAnsi="宋体"/>
          <w:bCs/>
          <w:kern w:val="44"/>
          <w:lang w:eastAsia="zh-CN"/>
        </w:rPr>
      </w:pPr>
      <w:r>
        <w:rPr>
          <w:rFonts w:ascii="宋体" w:eastAsia="黑体" w:hAnsi="宋体" w:hint="eastAsia"/>
          <w:bCs/>
          <w:kern w:val="44"/>
          <w:lang w:eastAsia="zh-CN"/>
        </w:rPr>
        <w:t>投标文件组成：</w:t>
      </w:r>
    </w:p>
    <w:p>
      <w:pPr>
        <w:widowControl w:val="0"/>
        <w:ind w:left="821" w:firstLine="1418" w:leftChars="342" w:firstLineChars="675"/>
        <w:jc w:val="both"/>
        <w:rPr>
          <w:rFonts w:ascii="Calibri" w:eastAsia="宋体" w:hAnsi="Calibri"/>
          <w:kern w:val="2"/>
          <w:sz w:val="21"/>
          <w:szCs w:val="21"/>
          <w:lang w:eastAsia="zh-CN"/>
        </w:rPr>
      </w:pPr>
      <w:bookmarkStart w:id="17" w:name="_Hlk72257771"/>
      <w:r>
        <w:rPr>
          <w:rFonts w:ascii="Calibri" w:eastAsia="宋体" w:hAnsi="Calibri" w:cstheme="minorBidi" w:hint="eastAsia"/>
          <w:kern w:val="2"/>
          <w:sz w:val="21"/>
          <w:szCs w:val="21"/>
          <w:lang w:eastAsia="zh-CN"/>
        </w:rPr>
        <w:t>（1）</w:t>
      </w:r>
      <w:bookmarkStart w:id="18" w:name="_Hlk72070784"/>
      <w:r>
        <w:rPr>
          <w:rFonts w:ascii="Calibri" w:eastAsia="宋体" w:hAnsi="Calibri" w:cstheme="minorBidi" w:hint="eastAsia"/>
          <w:kern w:val="2"/>
          <w:sz w:val="21"/>
          <w:szCs w:val="21"/>
          <w:lang w:eastAsia="zh-CN"/>
        </w:rPr>
        <w:t>投标函</w:t>
      </w:r>
      <w:bookmarkEnd w:id="18"/>
    </w:p>
    <w:p>
      <w:pPr>
        <w:widowControl w:val="0"/>
        <w:ind w:left="821" w:firstLine="1418" w:leftChars="342" w:firstLineChars="675"/>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（2）龙华区教育局自行采购投标及履约承诺函</w:t>
      </w:r>
    </w:p>
    <w:p>
      <w:pPr>
        <w:widowControl w:val="0"/>
        <w:ind w:left="821" w:firstLine="1418" w:leftChars="342" w:firstLineChars="675"/>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kern w:val="2"/>
          <w:sz w:val="21"/>
          <w:szCs w:val="21"/>
          <w:lang w:eastAsia="zh-CN"/>
        </w:rPr>
        <w:t>3</w:t>
      </w:r>
      <w:r>
        <w:rPr>
          <w:rFonts w:ascii="Calibri" w:eastAsia="宋体" w:hAnsi="Calibri" w:cstheme="minorBidi" w:hint="eastAsia"/>
          <w:kern w:val="2"/>
          <w:sz w:val="21"/>
          <w:szCs w:val="21"/>
          <w:lang w:eastAsia="zh-CN"/>
        </w:rPr>
        <w:t>）投标人情况及资格证明文件</w:t>
      </w:r>
    </w:p>
    <w:p>
      <w:pPr>
        <w:widowControl w:val="0"/>
        <w:ind w:left="821" w:firstLine="1418" w:leftChars="342" w:firstLineChars="675"/>
        <w:jc w:val="both"/>
        <w:rPr>
          <w:rFonts w:ascii="Calibri" w:eastAsia="宋体" w:hAnsi="Calibri"/>
          <w:kern w:val="2"/>
          <w:sz w:val="21"/>
          <w:szCs w:val="21"/>
          <w:lang w:eastAsia="zh-CN"/>
        </w:rPr>
      </w:pPr>
      <w:bookmarkStart w:id="19" w:name="_Hlk72257201"/>
      <w:r>
        <w:rPr>
          <w:rFonts w:ascii="Calibri" w:eastAsia="宋体" w:hAnsi="Calibri" w:cstheme="minorBidi" w:hint="eastAsia"/>
          <w:kern w:val="2"/>
          <w:sz w:val="21"/>
          <w:szCs w:val="21"/>
          <w:lang w:eastAsia="zh-CN"/>
        </w:rPr>
        <w:t>（</w:t>
      </w:r>
      <w:r>
        <w:rPr>
          <w:rFonts w:ascii="Calibri" w:eastAsia="宋体" w:hAnsi="Calibri" w:cstheme="minorBidi"/>
          <w:kern w:val="2"/>
          <w:sz w:val="21"/>
          <w:szCs w:val="21"/>
          <w:lang w:eastAsia="zh-CN"/>
        </w:rPr>
        <w:t>4</w:t>
      </w:r>
      <w:r>
        <w:rPr>
          <w:rFonts w:ascii="Calibri" w:eastAsia="宋体" w:hAnsi="Calibri" w:cstheme="minorBidi" w:hint="eastAsia"/>
          <w:kern w:val="2"/>
          <w:sz w:val="21"/>
          <w:szCs w:val="21"/>
          <w:lang w:eastAsia="zh-CN"/>
        </w:rPr>
        <w:t>）分项报价清单</w:t>
      </w:r>
    </w:p>
    <w:bookmarkEnd w:id="19"/>
    <w:p>
      <w:pPr>
        <w:widowControl w:val="0"/>
        <w:ind w:firstLine="2100" w:firstLineChars="10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（5）股东构成审查表</w:t>
      </w:r>
    </w:p>
    <w:p>
      <w:pPr>
        <w:widowControl w:val="0"/>
        <w:ind w:firstLine="2100" w:firstLineChars="10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（6）法定代表人（负责人）证明书</w:t>
      </w:r>
    </w:p>
    <w:p>
      <w:pPr>
        <w:widowControl w:val="0"/>
        <w:ind w:left="821" w:firstLine="1418" w:leftChars="342" w:firstLineChars="675"/>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（7）投标文件签署授权委托书</w:t>
      </w:r>
    </w:p>
    <w:p>
      <w:pPr>
        <w:widowControl w:val="0"/>
        <w:ind w:left="821" w:firstLine="1418" w:leftChars="342" w:firstLineChars="675"/>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（8）实质性条款响应情况表</w:t>
      </w:r>
    </w:p>
    <w:p>
      <w:pPr>
        <w:widowControl w:val="0"/>
        <w:ind w:left="821" w:firstLine="1418" w:leftChars="342" w:firstLineChars="675"/>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（9）技术要求偏离表</w:t>
      </w:r>
    </w:p>
    <w:p>
      <w:pPr>
        <w:widowControl w:val="0"/>
        <w:ind w:left="821" w:firstLine="1418" w:leftChars="342" w:firstLineChars="675"/>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（10）商务要求偏离表</w:t>
      </w:r>
    </w:p>
    <w:p>
      <w:pPr>
        <w:widowControl w:val="0"/>
        <w:ind w:left="821" w:firstLine="1418" w:leftChars="342" w:firstLineChars="675"/>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（11）技术保障措施</w:t>
      </w:r>
    </w:p>
    <w:p>
      <w:pPr>
        <w:widowControl w:val="0"/>
        <w:ind w:left="821" w:firstLine="1418" w:leftChars="342" w:firstLineChars="675"/>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（12）</w:t>
      </w:r>
      <w:r>
        <w:rPr>
          <w:rFonts w:ascii="宋体" w:eastAsia="宋体" w:hAnsi="宋体" w:cs="宋体" w:hint="eastAsia"/>
          <w:sz w:val="21"/>
          <w:szCs w:val="21"/>
          <w:lang w:eastAsia="zh-CN" w:bidi="ar"/>
        </w:rPr>
        <w:t>设计方案</w:t>
      </w:r>
    </w:p>
    <w:p>
      <w:pPr>
        <w:widowControl w:val="0"/>
        <w:ind w:left="821" w:firstLine="1418" w:leftChars="342" w:firstLineChars="675"/>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（13）</w:t>
      </w:r>
      <w:r>
        <w:rPr>
          <w:rFonts w:ascii="宋体" w:eastAsia="宋体" w:hAnsi="宋体" w:cstheme="minorBidi" w:hint="eastAsia"/>
          <w:kern w:val="2"/>
          <w:sz w:val="21"/>
          <w:szCs w:val="21"/>
          <w:lang w:eastAsia="zh-CN"/>
        </w:rPr>
        <w:t>样品（如有）</w:t>
      </w:r>
    </w:p>
    <w:p>
      <w:pPr>
        <w:widowControl w:val="0"/>
        <w:ind w:left="821" w:firstLine="1418" w:leftChars="342" w:firstLineChars="675"/>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（14）</w:t>
      </w:r>
      <w:r>
        <w:rPr>
          <w:rFonts w:ascii="宋体" w:eastAsia="宋体" w:hAnsi="宋体" w:cstheme="minorBidi" w:hint="eastAsia"/>
          <w:kern w:val="2"/>
          <w:sz w:val="21"/>
          <w:szCs w:val="21"/>
          <w:lang w:eastAsia="zh-CN"/>
        </w:rPr>
        <w:t>同类项目业绩</w:t>
      </w:r>
    </w:p>
    <w:p>
      <w:pPr>
        <w:widowControl w:val="0"/>
        <w:ind w:left="821" w:firstLine="1418" w:leftChars="342" w:firstLineChars="675"/>
        <w:jc w:val="both"/>
        <w:rPr>
          <w:rFonts w:ascii="宋体" w:eastAsia="宋体" w:hAnsi="宋体" w:cs="宋体" w:hint="eastAsia"/>
          <w:sz w:val="21"/>
          <w:szCs w:val="21"/>
          <w:lang w:eastAsia="zh-CN" w:bidi="ar"/>
        </w:rPr>
      </w:pPr>
      <w:r>
        <w:rPr>
          <w:rFonts w:ascii="Calibri" w:eastAsia="宋体" w:hAnsi="Calibri" w:cstheme="minorBidi" w:hint="eastAsia"/>
          <w:kern w:val="2"/>
          <w:sz w:val="21"/>
          <w:szCs w:val="21"/>
          <w:lang w:eastAsia="zh-CN"/>
        </w:rPr>
        <w:t>（15）</w:t>
      </w:r>
      <w:r>
        <w:rPr>
          <w:rFonts w:ascii="宋体" w:eastAsia="宋体" w:hAnsi="宋体" w:cs="宋体" w:hint="eastAsia"/>
          <w:sz w:val="21"/>
          <w:szCs w:val="21"/>
          <w:lang w:eastAsia="zh-CN" w:bidi="ar"/>
        </w:rPr>
        <w:t>履约评价情况</w:t>
      </w:r>
    </w:p>
    <w:p>
      <w:pPr>
        <w:widowControl w:val="0"/>
        <w:ind w:left="821" w:firstLine="1418" w:leftChars="342" w:firstLineChars="675"/>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（16）投标人认为需要加以说明的其他内容</w:t>
      </w:r>
    </w:p>
    <w:p>
      <w:pPr>
        <w:widowControl w:val="0"/>
        <w:spacing w:line="320" w:lineRule="atLeast"/>
        <w:jc w:val="both"/>
        <w:rPr>
          <w:rFonts w:ascii="宋体" w:eastAsia="宋体" w:hAnsi="宋体"/>
          <w:b/>
          <w:kern w:val="2"/>
          <w:lang w:eastAsia="zh-CN"/>
        </w:rPr>
      </w:pPr>
      <w:r>
        <w:rPr>
          <w:rFonts w:ascii="宋体" w:eastAsia="宋体" w:hAnsi="宋体" w:cstheme="minorBidi" w:hint="eastAsia"/>
          <w:b/>
          <w:kern w:val="2"/>
          <w:lang w:eastAsia="zh-CN"/>
        </w:rPr>
        <w:t>备注：</w:t>
      </w:r>
    </w:p>
    <w:p>
      <w:pPr>
        <w:widowControl w:val="0"/>
        <w:snapToGrid w:val="0"/>
        <w:spacing w:line="320" w:lineRule="atLeast"/>
        <w:ind w:firstLine="480" w:firstLineChars="200"/>
        <w:jc w:val="both"/>
        <w:rPr>
          <w:rFonts w:ascii="宋体" w:eastAsia="宋体" w:hAnsi="宋体"/>
          <w:b/>
          <w:kern w:val="2"/>
          <w:lang w:eastAsia="zh-CN"/>
        </w:rPr>
      </w:pPr>
      <w:r>
        <w:rPr>
          <w:rFonts w:ascii="宋体" w:eastAsia="宋体" w:hAnsi="宋体" w:cstheme="minorBidi" w:hint="eastAsia"/>
          <w:b/>
          <w:kern w:val="2"/>
          <w:lang w:eastAsia="zh-CN"/>
        </w:rPr>
        <w:t>1.本项目为网上电子投标项目，投标文件不需法人或授权委托人另行签字，无需加盖单位公章，招标文件另有规定的除外。</w:t>
      </w:r>
    </w:p>
    <w:p>
      <w:pPr>
        <w:widowControl w:val="0"/>
        <w:snapToGrid w:val="0"/>
        <w:spacing w:after="60" w:afterLines="25"/>
        <w:ind w:firstLine="480" w:firstLineChars="200"/>
        <w:jc w:val="both"/>
        <w:rPr>
          <w:rFonts w:ascii="宋体" w:eastAsia="黑体" w:hAnsi="宋体"/>
          <w:bCs/>
          <w:kern w:val="44"/>
          <w:sz w:val="32"/>
          <w:szCs w:val="32"/>
          <w:lang w:eastAsia="zh-CN"/>
        </w:rPr>
      </w:pPr>
      <w:bookmarkStart w:id="20" w:name="_Hlk72263559"/>
      <w:r>
        <w:rPr>
          <w:rFonts w:ascii="宋体" w:eastAsia="宋体" w:hAnsi="宋体" w:cstheme="minorBidi" w:hint="eastAsia"/>
          <w:b/>
          <w:kern w:val="2"/>
          <w:lang w:eastAsia="zh-CN"/>
        </w:rPr>
        <w:t>2.关于填写“开标一览表”的说明：“开标一览表”中除“投标总价”外，其他信息不作评审依据。</w:t>
      </w:r>
      <w:bookmarkEnd w:id="17"/>
      <w:bookmarkEnd w:id="20"/>
      <w:r>
        <w:rPr>
          <w:rFonts w:ascii="宋体" w:eastAsia="黑体" w:hAnsi="宋体"/>
          <w:bCs/>
          <w:kern w:val="44"/>
          <w:sz w:val="32"/>
          <w:szCs w:val="32"/>
          <w:lang w:eastAsia="zh-CN"/>
        </w:rPr>
        <w:br w:type="page"/>
      </w:r>
    </w:p>
    <w:p>
      <w:pPr>
        <w:keepNext/>
        <w:keepLines/>
        <w:widowControl w:val="0"/>
        <w:spacing w:before="120" w:after="120" w:line="240" w:lineRule="auto"/>
        <w:jc w:val="center"/>
        <w:outlineLvl w:val="2"/>
        <w:rPr>
          <w:rFonts w:ascii="黑体" w:eastAsia="黑体" w:hint="eastAsia"/>
          <w:b/>
          <w:bCs/>
          <w:kern w:val="2"/>
          <w:sz w:val="30"/>
          <w:szCs w:val="22"/>
          <w:lang w:eastAsia="zh-CN"/>
        </w:rPr>
      </w:pPr>
      <w:r>
        <w:rPr>
          <w:rFonts w:ascii="黑体" w:eastAsia="黑体" w:hint="eastAsia"/>
          <w:b/>
          <w:bCs/>
          <w:kern w:val="2"/>
          <w:sz w:val="30"/>
          <w:szCs w:val="22"/>
          <w:lang w:eastAsia="zh-CN"/>
        </w:rPr>
        <w:t>一、投标函</w:t>
      </w:r>
    </w:p>
    <w:p>
      <w:pPr>
        <w:widowControl w:val="0"/>
        <w:spacing w:line="360" w:lineRule="auto"/>
        <w:jc w:val="both"/>
        <w:rPr>
          <w:rFonts w:ascii="宋体" w:eastAsia="宋体" w:hAnsi="宋体"/>
          <w:kern w:val="2"/>
          <w:sz w:val="21"/>
          <w:szCs w:val="21"/>
          <w:lang w:eastAsia="zh-CN"/>
        </w:rPr>
      </w:pPr>
      <w:bookmarkStart w:id="21" w:name="_Hlk72257506"/>
      <w:r>
        <w:rPr>
          <w:rFonts w:ascii="宋体" w:eastAsia="宋体" w:hAnsi="宋体" w:cstheme="minorBidi" w:hint="eastAsia"/>
          <w:kern w:val="2"/>
          <w:sz w:val="21"/>
          <w:szCs w:val="21"/>
          <w:lang w:eastAsia="zh-CN"/>
        </w:rPr>
        <w:t>致：</w:t>
      </w:r>
      <w:r>
        <w:rPr>
          <w:rFonts w:ascii="宋体" w:eastAsia="宋体" w:hAnsi="宋体" w:cstheme="minorBidi" w:hint="eastAsia"/>
          <w:b/>
          <w:color w:val="000000"/>
          <w:kern w:val="2"/>
          <w:sz w:val="21"/>
          <w:szCs w:val="21"/>
          <w:u w:val="single"/>
          <w:lang w:eastAsia="zh-CN"/>
        </w:rPr>
        <w:t>深圳市千里招标代理有限公司</w:t>
      </w:r>
    </w:p>
    <w:p>
      <w:pPr>
        <w:widowControl w:val="0"/>
        <w:ind w:firstLine="420" w:firstLineChars="200"/>
        <w:jc w:val="both"/>
        <w:rPr>
          <w:rFonts w:ascii="宋体" w:eastAsia="宋体" w:hAnsi="宋体"/>
          <w:kern w:val="2"/>
          <w:sz w:val="21"/>
          <w:szCs w:val="21"/>
          <w:lang w:eastAsia="zh-CN"/>
        </w:rPr>
      </w:pPr>
      <w:bookmarkStart w:id="22" w:name="_Hlk73818812"/>
      <w:r>
        <w:rPr>
          <w:rFonts w:ascii="Calibri" w:eastAsia="宋体" w:hAnsi="Calibri" w:cstheme="minorBidi" w:hint="eastAsia"/>
          <w:kern w:val="2"/>
          <w:sz w:val="21"/>
          <w:szCs w:val="21"/>
          <w:lang w:eastAsia="zh-CN"/>
        </w:rPr>
        <w:t>1、根据已收到贵单位的项目编号为</w:t>
      </w:r>
      <w:r>
        <w:rPr>
          <w:rFonts w:ascii="Calibri" w:eastAsia="宋体" w:hAnsi="Calibri" w:cstheme="minorBidi" w:hint="eastAsia"/>
          <w:kern w:val="2"/>
          <w:sz w:val="21"/>
          <w:szCs w:val="21"/>
          <w:u w:val="single"/>
          <w:lang w:eastAsia="zh-CN"/>
        </w:rPr>
        <w:t>LHAZXDL-2024-00066</w:t>
      </w:r>
      <w:r>
        <w:rPr>
          <w:rFonts w:ascii="Calibri" w:eastAsia="宋体" w:hAnsi="Calibri" w:cstheme="minorBidi" w:hint="eastAsia"/>
          <w:kern w:val="2"/>
          <w:sz w:val="21"/>
          <w:szCs w:val="21"/>
          <w:lang w:eastAsia="zh-CN"/>
        </w:rPr>
        <w:t>的</w:t>
      </w:r>
      <w:r>
        <w:rPr>
          <w:rFonts w:ascii="Calibri" w:eastAsia="宋体" w:hAnsi="Calibri" w:cstheme="minorBidi" w:hint="eastAsia"/>
          <w:kern w:val="2"/>
          <w:sz w:val="21"/>
          <w:szCs w:val="21"/>
          <w:u w:val="thick"/>
          <w:lang w:eastAsia="zh-CN"/>
        </w:rPr>
        <w:t>师生食堂家具及书包柜增补采购</w:t>
      </w:r>
      <w:r>
        <w:rPr>
          <w:rFonts w:ascii="Calibri" w:eastAsia="宋体" w:hAnsi="Calibri" w:cstheme="minorBidi"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23" w:name="_Hlk72263588"/>
      <w:r>
        <w:rPr>
          <w:rFonts w:ascii="Calibri" w:eastAsia="宋体" w:hAnsi="Calibri" w:cstheme="minorBidi" w:hint="eastAsia"/>
          <w:kern w:val="2"/>
          <w:sz w:val="21"/>
          <w:szCs w:val="21"/>
          <w:lang w:eastAsia="zh-CN"/>
        </w:rPr>
        <w:t>愿意按照招标文件要求承包上述项目并修补其任何缺陷。</w:t>
      </w:r>
      <w:bookmarkEnd w:id="23"/>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w:t>
      </w:r>
      <w:bookmarkStart w:id="24" w:name="_Hlk73819847"/>
      <w:r>
        <w:rPr>
          <w:rFonts w:ascii="宋体" w:eastAsia="宋体" w:hAnsi="宋体" w:cstheme="minorBidi" w:hint="eastAsia"/>
          <w:kern w:val="2"/>
          <w:sz w:val="21"/>
          <w:szCs w:val="21"/>
          <w:lang w:eastAsia="zh-CN"/>
        </w:rPr>
        <w:t>投标价格见</w:t>
      </w:r>
      <w:r>
        <w:rPr>
          <w:rFonts w:ascii="Calibri" w:eastAsia="宋体" w:hAnsi="Calibri" w:cstheme="minorBidi" w:hint="eastAsia"/>
          <w:kern w:val="2"/>
          <w:sz w:val="21"/>
          <w:szCs w:val="21"/>
          <w:lang w:eastAsia="zh-CN"/>
        </w:rPr>
        <w:t>投标书编制软件中《开标一览表》中填写的投标总价。</w:t>
      </w:r>
      <w:bookmarkEnd w:id="24"/>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3、如果我单位中标，我单位将按照招标文件的要求足额提交履约担保。</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5、除非另外达成协议并生效，贵单位的中标通知书和本投标文件将构成合同的重要内容。</w:t>
      </w:r>
    </w:p>
    <w:p>
      <w:pPr>
        <w:widowControl w:val="0"/>
        <w:ind w:left="480" w:left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6、我单位理解贵单位将不受必须接受所收到的最低报价或其它任何投标文件的约束。</w:t>
      </w:r>
      <w:bookmarkEnd w:id="22"/>
    </w:p>
    <w:p>
      <w:pPr>
        <w:widowControl w:val="0"/>
        <w:ind w:left="480" w:left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7</w:t>
      </w:r>
      <w:r>
        <w:rPr>
          <w:rFonts w:ascii="宋体" w:eastAsia="宋体" w:hAnsi="宋体" w:cstheme="minorBidi"/>
          <w:b/>
          <w:kern w:val="2"/>
          <w:sz w:val="21"/>
          <w:szCs w:val="21"/>
          <w:lang w:eastAsia="zh-CN"/>
        </w:rPr>
        <w:t>、如我单位提交样品，且未在规定时间内取回样品的，视同放弃取回，同意深圳市千里招标代理有限公司对我单位提交的样品进行清理。</w:t>
      </w:r>
    </w:p>
    <w:p>
      <w:pPr>
        <w:widowControl w:val="0"/>
        <w:ind w:left="480" w:firstLine="210" w:leftChars="200" w:firstLineChars="100"/>
        <w:jc w:val="both"/>
        <w:rPr>
          <w:rFonts w:ascii="Calibri" w:eastAsia="宋体" w:hAnsi="Calibri"/>
          <w:kern w:val="2"/>
          <w:sz w:val="21"/>
          <w:szCs w:val="21"/>
          <w:lang w:eastAsia="zh-CN"/>
        </w:rPr>
      </w:pPr>
    </w:p>
    <w:p>
      <w:pPr>
        <w:widowControl w:val="0"/>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投标人：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；单位地址：</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法定代表人（负责人）或其授权委托代理人：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kern w:val="2"/>
          <w:sz w:val="21"/>
          <w:szCs w:val="21"/>
          <w:lang w:eastAsia="zh-CN"/>
        </w:rPr>
      </w:pPr>
      <w:r>
        <w:rPr>
          <w:rFonts w:eastAsia="宋体" w:hAnsi="Calibri" w:cstheme="minorBidi" w:hint="eastAsia"/>
          <w:kern w:val="2"/>
          <w:sz w:val="21"/>
          <w:szCs w:val="21"/>
          <w:lang w:eastAsia="zh-CN"/>
        </w:rPr>
        <w:t>开户银行名称：</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kern w:val="2"/>
          <w:sz w:val="21"/>
          <w:szCs w:val="21"/>
          <w:lang w:eastAsia="zh-CN"/>
        </w:rPr>
      </w:pPr>
      <w:r>
        <w:rPr>
          <w:rFonts w:eastAsia="宋体" w:hAnsi="Calibri" w:cstheme="minorBidi" w:hint="eastAsia"/>
          <w:kern w:val="2"/>
          <w:sz w:val="21"/>
          <w:szCs w:val="21"/>
          <w:lang w:eastAsia="zh-CN"/>
        </w:rPr>
        <w:t>开户银行账号：</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邮政编码：</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传真：</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kern w:val="2"/>
          <w:szCs w:val="22"/>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bookmarkEnd w:id="21"/>
    <w:p>
      <w:pPr>
        <w:keepNext/>
        <w:keepLines/>
        <w:widowControl w:val="0"/>
        <w:spacing w:before="120" w:after="120" w:line="240" w:lineRule="auto"/>
        <w:jc w:val="center"/>
        <w:outlineLvl w:val="2"/>
        <w:rPr>
          <w:rFonts w:ascii="黑体" w:eastAsia="黑体" w:hint="eastAsia"/>
          <w:b/>
          <w:bCs/>
          <w:kern w:val="2"/>
          <w:sz w:val="30"/>
          <w:szCs w:val="22"/>
          <w:lang w:eastAsia="zh-CN"/>
        </w:rPr>
      </w:pPr>
      <w:r>
        <w:rPr>
          <w:rFonts w:ascii="黑体" w:eastAsia="黑体" w:hint="eastAsia"/>
          <w:b/>
          <w:bCs/>
          <w:kern w:val="2"/>
          <w:sz w:val="30"/>
          <w:szCs w:val="22"/>
          <w:lang w:eastAsia="zh-CN"/>
        </w:rPr>
        <w:t>二、龙华区教育局自行采购投标及履约承诺函</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致：</w:t>
      </w:r>
      <w:r>
        <w:rPr>
          <w:rFonts w:ascii="宋体" w:eastAsia="宋体" w:hAnsi="宋体" w:cs="宋体" w:hint="eastAsia"/>
          <w:kern w:val="2"/>
          <w:sz w:val="21"/>
          <w:szCs w:val="21"/>
          <w:u w:val="single"/>
          <w:lang w:eastAsia="zh-CN"/>
        </w:rPr>
        <w:t>深圳市千里招标代理有限公司</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我单位承诺：</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1.我单位本招标项目所提供的货物或服务未侵犯知识产权。</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2.我单位参与本项目投标前三年内，在经营活动中没有重大违法记录。</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3.我单位参与本项目政府采购活动时不存在被有关部门禁止参与政府采购活动且在有效期内的情况。</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4.我单位具备《中华人民共和国政府采购法》第二十二条第一款规定的六项条件。</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5.我单位未被列入失信被执行人、重大税收违法案件当事人名单（税收违法黑名单）、政府采购严重违法失信行为记录名单。</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我单位严格遵守政府采购相关法律，投标做到诚实，不造假，不围标、串标、陪标，不存在编制、加密或上传标书的设备mac地址与其他投标人相同的情形。</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9.</w:t>
      </w:r>
      <w:r>
        <w:rPr>
          <w:rFonts w:ascii="宋体" w:eastAsia="宋体" w:hAnsi="宋体" w:cstheme="minorBidi" w:hint="eastAsia"/>
          <w:kern w:val="2"/>
          <w:sz w:val="21"/>
          <w:szCs w:val="21"/>
          <w:lang w:eastAsia="zh-CN"/>
        </w:rPr>
        <w:t>我单位承诺参与本项目非联合体投标，不选用进口产品参与投标，中标后项目不转包，未经采购人同意不进行分包。</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11.我单位保证，若所投货物涉及《财政部生态环境部关于印发节能产品政府采购品目清单的通知》（财库〔2019〕19号）列明的政府采购强制产品，则所投该产品符合节能产品的认证要求，则所投该产品符合节能产品的认证要求。若所投产品包括数据中心相关设备的，应满足财政部《绿色数据中心政府采购需求标准（试行）》（财办库〔2023〕7号）要求。</w:t>
      </w:r>
    </w:p>
    <w:p>
      <w:pPr>
        <w:widowControl w:val="0"/>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12.我单位承诺，为采购项目提供整体设计、规范编制或者项目管理、监理、检测等服务的供应商，不再参加该采购项目同一合同项下的其他采购活动。</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13.我单位承诺，符合《中华人民共和国政府采购法实施条例》第十八条第一款规定，不存在我单位与其他供应商的负责人为同一人或者存在直接控股、管理关系的情况。</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14.所投标（响应）的货物、工程或服务，不存在侵犯知识产权的情况；已知悉并同意中标（成交）结果信息公示（公开）的内容。</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15.本单位（公司）不存在《深圳市财政局政府采购供应商信用信息管理办法》（深财规</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2023〕3号）列明的严重违法失信行为：（一）供应商因违法经营受到刑事处罚或者责令停产停业、吊销许可证或者执照、较大数额罚款等行政处罚的；（二）供应商受到财政部门禁止参与政府采购活动行政处罚的（处罚期限届满的除外）；（三）供应商被列入失信被执行人名单的；（四）供应商被列入重大税收违法案件当事人名单的；（五）依法应予联合惩戒的其他严重失信行为。</w:t>
      </w:r>
    </w:p>
    <w:p>
      <w:pPr>
        <w:widowControl w:val="0"/>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16.我单位自愿遵照龙华区教育系统自行采购的有关管理制度和规定，并自愿接受龙华区教育局和财政部门的有关监督。</w:t>
      </w:r>
    </w:p>
    <w:p>
      <w:pPr>
        <w:widowControl w:val="0"/>
        <w:ind w:firstLine="645"/>
        <w:jc w:val="both"/>
        <w:rPr>
          <w:rFonts w:ascii="宋体" w:eastAsia="宋体" w:hAnsi="宋体" w:cs="宋体"/>
          <w:kern w:val="2"/>
          <w:sz w:val="21"/>
          <w:szCs w:val="21"/>
          <w:lang w:eastAsia="zh-CN"/>
        </w:rPr>
      </w:pPr>
      <w:r>
        <w:rPr>
          <w:rFonts w:ascii="宋体" w:eastAsia="宋体" w:hAnsi="宋体" w:cstheme="minorBidi" w:hint="eastAsia"/>
          <w:color w:val="FF0000"/>
          <w:sz w:val="21"/>
          <w:szCs w:val="22"/>
          <w:lang w:eastAsia="zh-CN"/>
        </w:rPr>
        <w:t>17.如果我单位中标，将依照本项目招标文件要求，在接到深圳市千里招标代理有限公司通知（包括但不限于电话、短信通知）后3个工作日内，缴纳招标代理服务费。</w:t>
      </w:r>
    </w:p>
    <w:p>
      <w:pPr>
        <w:widowControl w:val="0"/>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以上承诺，如有违反，采购单位或龙华区教育局或财政部门可暂停我方两年内参与龙华区教育系统自行采购和深圳政府采购智慧平台深圳政府采购自行采购系统的投标资格，并愿承担由此给采购人带来的损失。以上承诺，如有违反，愿依照国家相关法律法规处理。</w:t>
      </w:r>
    </w:p>
    <w:p>
      <w:pPr>
        <w:widowControl w:val="0"/>
        <w:spacing w:line="560" w:lineRule="exact"/>
        <w:jc w:val="both"/>
        <w:rPr>
          <w:rFonts w:ascii="宋体" w:eastAsia="宋体" w:hAnsi="宋体" w:cs="宋体"/>
          <w:kern w:val="2"/>
          <w:sz w:val="18"/>
          <w:szCs w:val="18"/>
          <w:lang w:eastAsia="zh-CN"/>
        </w:rPr>
      </w:pPr>
    </w:p>
    <w:p>
      <w:pPr>
        <w:widowControl w:val="0"/>
        <w:spacing w:before="60" w:beforeLines="25" w:after="60" w:afterLines="25"/>
        <w:jc w:val="right"/>
        <w:rPr>
          <w:rFonts w:ascii="Calibri" w:eastAsia="宋体" w:hAnsi="Calibri" w:hint="eastAsia"/>
          <w:kern w:val="2"/>
          <w:sz w:val="21"/>
          <w:szCs w:val="22"/>
          <w:lang w:eastAsia="zh-CN"/>
        </w:rPr>
      </w:pPr>
      <w:r>
        <w:rPr>
          <w:rFonts w:ascii="Calibri" w:eastAsia="宋体" w:hAnsi="Calibri" w:cstheme="minorBidi" w:hint="eastAsia"/>
          <w:kern w:val="2"/>
          <w:sz w:val="21"/>
          <w:szCs w:val="21"/>
          <w:lang w:eastAsia="zh-CN"/>
        </w:rPr>
        <w:t>投标人：</w:t>
      </w:r>
      <w:r>
        <w:rPr>
          <w:rFonts w:ascii="宋体" w:eastAsia="宋体" w:hAnsi="宋体" w:cstheme="minorBidi" w:hint="eastAsia"/>
          <w:kern w:val="2"/>
          <w:sz w:val="21"/>
          <w:szCs w:val="21"/>
          <w:u w:val="single"/>
          <w:lang w:eastAsia="zh-CN"/>
        </w:rPr>
        <w:t xml:space="preserve">                </w:t>
      </w:r>
      <w:r>
        <w:rPr>
          <w:rFonts w:ascii="Calibri" w:eastAsia="宋体" w:hAnsi="Calibri" w:cstheme="minorBidi" w:hint="eastAsia"/>
          <w:color w:val="FFFFFF"/>
          <w:kern w:val="2"/>
          <w:sz w:val="21"/>
          <w:szCs w:val="21"/>
          <w:u w:val="single"/>
          <w:lang w:eastAsia="zh-CN"/>
        </w:rPr>
        <w:t>.</w:t>
      </w:r>
    </w:p>
    <w:p>
      <w:pPr>
        <w:widowControl w:val="0"/>
        <w:ind w:firstLine="645"/>
        <w:jc w:val="right"/>
        <w:rPr>
          <w:rFonts w:ascii="宋体" w:eastAsia="宋体" w:hAnsi="宋体"/>
          <w:kern w:val="2"/>
          <w:sz w:val="21"/>
          <w:szCs w:val="21"/>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jc w:val="both"/>
        <w:rPr>
          <w:rFonts w:ascii="宋体" w:eastAsia="宋体" w:hAnsi="宋体" w:cs="宋体"/>
          <w:b/>
          <w:bCs/>
          <w:color w:val="FF0000"/>
          <w:kern w:val="2"/>
          <w:sz w:val="21"/>
          <w:szCs w:val="21"/>
          <w:lang w:eastAsia="zh-CN"/>
        </w:rPr>
      </w:pPr>
    </w:p>
    <w:p>
      <w:pPr>
        <w:widowControl w:val="0"/>
        <w:jc w:val="right"/>
        <w:rPr>
          <w:rFonts w:ascii="宋体" w:eastAsia="宋体" w:hAnsi="宋体"/>
          <w:color w:val="FF0000"/>
          <w:kern w:val="2"/>
          <w:sz w:val="21"/>
          <w:szCs w:val="21"/>
          <w:lang w:eastAsia="zh-CN"/>
        </w:rPr>
      </w:pPr>
      <w:r>
        <w:rPr>
          <w:rFonts w:ascii="宋体" w:eastAsia="宋体" w:hAnsi="宋体" w:cs="宋体" w:hint="eastAsia"/>
          <w:b/>
          <w:bCs/>
          <w:color w:val="FF0000"/>
          <w:kern w:val="2"/>
          <w:sz w:val="21"/>
          <w:szCs w:val="21"/>
          <w:lang w:eastAsia="zh-CN"/>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widowControl w:val="0"/>
        <w:ind w:firstLine="645"/>
        <w:jc w:val="both"/>
        <w:rPr>
          <w:rFonts w:ascii="宋体" w:eastAsia="宋体" w:hAnsi="宋体"/>
          <w:kern w:val="2"/>
          <w:sz w:val="21"/>
          <w:szCs w:val="21"/>
          <w:lang w:eastAsia="zh-CN"/>
        </w:rPr>
      </w:pPr>
    </w:p>
    <w:p>
      <w:pPr>
        <w:widowControl w:val="0"/>
        <w:jc w:val="both"/>
        <w:rPr>
          <w:rFonts w:ascii="宋体" w:eastAsia="宋体" w:hAnsi="Calibri"/>
          <w:b/>
          <w:kern w:val="2"/>
          <w:sz w:val="21"/>
          <w:szCs w:val="21"/>
          <w:lang w:eastAsia="zh-CN"/>
        </w:rPr>
      </w:pPr>
    </w:p>
    <w:p>
      <w:pPr>
        <w:widowControl w:val="0"/>
        <w:ind w:firstLine="480" w:firstLineChars="200"/>
        <w:jc w:val="center"/>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keepNext/>
        <w:keepLines/>
        <w:widowControl w:val="0"/>
        <w:spacing w:before="260" w:after="260" w:line="240" w:lineRule="auto"/>
        <w:jc w:val="center"/>
        <w:outlineLvl w:val="2"/>
        <w:rPr>
          <w:rFonts w:ascii="黑体" w:eastAsia="黑体" w:hAnsi="宋体"/>
          <w:b/>
          <w:kern w:val="2"/>
          <w:sz w:val="30"/>
          <w:szCs w:val="30"/>
          <w:lang w:eastAsia="zh-CN"/>
        </w:rPr>
      </w:pPr>
      <w:r>
        <w:rPr>
          <w:rFonts w:ascii="黑体" w:eastAsia="黑体" w:hAnsi="宋体" w:cstheme="minorBidi" w:hint="eastAsia"/>
          <w:b/>
          <w:kern w:val="2"/>
          <w:sz w:val="30"/>
          <w:szCs w:val="30"/>
          <w:lang w:eastAsia="zh-CN"/>
        </w:rPr>
        <w:t>三、投标人情况及资格证明文件</w:t>
      </w:r>
    </w:p>
    <w:p>
      <w:pPr>
        <w:widowControl w:val="0"/>
        <w:jc w:val="both"/>
        <w:rPr>
          <w:rFonts w:ascii="Calibri" w:eastAsia="宋体" w:hAnsi="Calibri"/>
          <w:b/>
          <w:bCs/>
          <w:kern w:val="2"/>
          <w:szCs w:val="22"/>
          <w:lang w:eastAsia="zh-CN"/>
        </w:rPr>
      </w:pPr>
    </w:p>
    <w:p>
      <w:pPr>
        <w:widowControl w:val="0"/>
        <w:ind w:firstLine="2640" w:firstLineChars="1100"/>
        <w:jc w:val="both"/>
        <w:outlineLvl w:val="3"/>
        <w:rPr>
          <w:rFonts w:ascii="黑体" w:eastAsia="黑体" w:hAnsi="宋体"/>
          <w:bCs/>
          <w:szCs w:val="32"/>
          <w:lang w:eastAsia="zh-CN"/>
        </w:rPr>
      </w:pPr>
      <w:bookmarkStart w:id="25" w:name="_Hlk72257590"/>
      <w:r>
        <w:rPr>
          <w:rFonts w:ascii="黑体" w:eastAsia="黑体" w:hAnsi="宋体" w:cstheme="minorBidi" w:hint="eastAsia"/>
          <w:bCs/>
          <w:szCs w:val="32"/>
          <w:lang w:eastAsia="zh-CN"/>
        </w:rPr>
        <w:t>（一）投标人资格证明文件</w:t>
      </w:r>
    </w:p>
    <w:p>
      <w:pPr>
        <w:widowControl w:val="0"/>
        <w:spacing w:before="120" w:beforeLines="50"/>
        <w:ind w:firstLine="420" w:firstLineChars="200"/>
        <w:jc w:val="both"/>
        <w:rPr>
          <w:rFonts w:ascii="Calibri" w:eastAsia="宋体" w:hAnsi="Calibri"/>
          <w:b/>
          <w:bCs/>
          <w:color w:val="FF0000"/>
          <w:kern w:val="2"/>
          <w:sz w:val="21"/>
          <w:szCs w:val="22"/>
          <w:lang w:eastAsia="zh-CN"/>
        </w:rPr>
      </w:pPr>
      <w:r>
        <w:rPr>
          <w:rFonts w:ascii="Calibri" w:eastAsia="宋体" w:hAnsi="Calibri" w:cstheme="minorBidi" w:hint="eastAsia"/>
          <w:b/>
          <w:bCs/>
          <w:color w:val="FF0000"/>
          <w:kern w:val="2"/>
          <w:sz w:val="21"/>
          <w:szCs w:val="22"/>
          <w:lang w:eastAsia="zh-CN"/>
        </w:rPr>
        <w:t>（特别提示：投标人须按本招标文件第一册第一章招标公告“申请人的资格要求”（即投标人资格要求）提供相关的资格证明资料，未提供或提供不完整、不符合要求的，将作投标无效处理，其中要求提供《龙华区教育局自行采购投标及履约承诺函》且已在“二、龙华区教育局自行采购投标及履约承诺函”章节中提供了，此处可不重复提供。）</w:t>
      </w:r>
    </w:p>
    <w:p>
      <w:pPr>
        <w:widowControl w:val="0"/>
        <w:jc w:val="both"/>
        <w:rPr>
          <w:rFonts w:ascii="Calibri" w:eastAsia="宋体" w:hAnsi="Calibri"/>
          <w:b/>
          <w:bCs/>
          <w:kern w:val="2"/>
          <w:szCs w:val="22"/>
          <w:lang w:eastAsia="zh-CN"/>
        </w:rPr>
      </w:pPr>
    </w:p>
    <w:p>
      <w:pPr>
        <w:widowControl w:val="0"/>
        <w:ind w:firstLine="480" w:firstLineChars="200"/>
        <w:jc w:val="both"/>
        <w:outlineLvl w:val="3"/>
        <w:rPr>
          <w:rFonts w:ascii="黑体" w:eastAsia="黑体" w:hAnsi="宋体"/>
          <w:bCs/>
          <w:szCs w:val="32"/>
          <w:lang w:eastAsia="zh-CN"/>
        </w:rPr>
      </w:pPr>
      <w:bookmarkStart w:id="26" w:name="_Hlk72257908"/>
      <w:r>
        <w:rPr>
          <w:rFonts w:ascii="黑体" w:eastAsia="黑体" w:hAnsi="宋体" w:cstheme="minorBidi" w:hint="eastAsia"/>
          <w:bCs/>
          <w:szCs w:val="32"/>
          <w:lang w:eastAsia="zh-CN"/>
        </w:rPr>
        <w:t>（二）中小企业声明函、残疾人福利性单位声明函及监狱企业声明函</w:t>
      </w:r>
    </w:p>
    <w:bookmarkEnd w:id="25"/>
    <w:p>
      <w:pPr>
        <w:widowControl w:val="0"/>
        <w:jc w:val="both"/>
        <w:rPr>
          <w:rFonts w:ascii="Calibri" w:eastAsia="宋体" w:hAnsi="Calibri"/>
          <w:sz w:val="21"/>
          <w:szCs w:val="22"/>
          <w:lang w:eastAsia="zh-CN"/>
        </w:rPr>
      </w:pPr>
      <w:r>
        <w:rPr>
          <w:rFonts w:ascii="Calibri" w:eastAsia="宋体" w:hAnsi="Calibri" w:cstheme="minorBidi" w:hint="eastAsia"/>
          <w:sz w:val="21"/>
          <w:szCs w:val="22"/>
          <w:lang w:eastAsia="zh-CN"/>
        </w:rPr>
        <w:t>填写指引：</w:t>
      </w:r>
    </w:p>
    <w:p>
      <w:pPr>
        <w:widowControl w:val="0"/>
        <w:jc w:val="both"/>
        <w:rPr>
          <w:rFonts w:ascii="Calibri" w:eastAsia="宋体" w:hAnsi="Calibri"/>
          <w:kern w:val="2"/>
          <w:sz w:val="21"/>
          <w:szCs w:val="22"/>
          <w:lang w:eastAsia="zh-CN"/>
        </w:rPr>
      </w:pPr>
      <w:r>
        <w:rPr>
          <w:rFonts w:ascii="Calibri" w:eastAsia="宋体" w:hAnsi="宋体" w:cstheme="minorBidi" w:hint="eastAsia"/>
          <w:bCs/>
          <w:sz w:val="21"/>
          <w:szCs w:val="22"/>
          <w:lang w:eastAsia="zh-CN"/>
        </w:rPr>
        <w:t>1、该部分内容由投标人根据自身实际情况填写，不符合要求的投标人可以不填写或直接删除相应的声明函。</w:t>
      </w:r>
      <w:r>
        <w:rPr>
          <w:rFonts w:ascii="Calibri" w:eastAsia="宋体" w:hAnsi="Calibri" w:cstheme="minorBidi" w:hint="eastAsia"/>
          <w:kern w:val="2"/>
          <w:sz w:val="21"/>
          <w:szCs w:val="22"/>
          <w:lang w:eastAsia="zh-CN"/>
        </w:rPr>
        <w:t>投标人提供的声明函不属实的，属于提供虚假资料谋取中标，依照《中华人民共和国政府采购法》等国家有关规定追究相应责任。</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2、该部分内容填写需要参考的相关文件：</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1</w:t>
      </w:r>
      <w:r>
        <w:rPr>
          <w:rFonts w:ascii="Calibri" w:eastAsia="宋体" w:hAnsi="Calibri" w:cstheme="minorBidi" w:hint="eastAsia"/>
          <w:kern w:val="2"/>
          <w:sz w:val="21"/>
          <w:szCs w:val="22"/>
          <w:lang w:eastAsia="zh-CN"/>
        </w:rPr>
        <w:t>)财政部《政府采购促进中小企业发展管理办法》（财库〔2020〕46号）；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2</w:t>
      </w:r>
      <w:r>
        <w:rPr>
          <w:rFonts w:ascii="Calibri" w:eastAsia="宋体" w:hAnsi="Calibri" w:cstheme="minorBidi" w:hint="eastAsia"/>
          <w:kern w:val="2"/>
          <w:sz w:val="21"/>
          <w:szCs w:val="22"/>
          <w:lang w:eastAsia="zh-CN"/>
        </w:rPr>
        <w:t>)《工业和信息化部、国家统计局、国家发展和改革委员会、财政部关于印发中小企业划型标准规定的通知》（工信部联企业〔2011〕300号，以下简称3</w:t>
      </w:r>
      <w:r>
        <w:rPr>
          <w:rFonts w:ascii="Calibri" w:eastAsia="宋体" w:hAnsi="Calibri" w:cstheme="minorBidi"/>
          <w:kern w:val="2"/>
          <w:sz w:val="21"/>
          <w:szCs w:val="22"/>
          <w:lang w:eastAsia="zh-CN"/>
        </w:rPr>
        <w:t>00</w:t>
      </w:r>
      <w:r>
        <w:rPr>
          <w:rFonts w:ascii="Calibri" w:eastAsia="宋体" w:hAnsi="Calibri" w:cstheme="minorBidi" w:hint="eastAsia"/>
          <w:kern w:val="2"/>
          <w:sz w:val="21"/>
          <w:szCs w:val="22"/>
          <w:lang w:eastAsia="zh-CN"/>
        </w:rPr>
        <w:t>号文）；</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(3)《统计上大中小微型企业划分办法(2017)》（国统字〔2017〕213号）；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(4)《关于促进残疾人就业政府采购政策的通知》（财库〔2017〕141号）；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(5)《关于政府采购支持监狱企业发展有关问题的通知》（财库〔2014〕68号）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3、请依照提供的格式和内容填写声明函，不要随意变更格式；声明函不需要盖章或签字；满足多项优惠政策的投标人，不重复享受多项价格扣除政策。</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4、声明函具体填写要求：</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（1）声明是中小企业须填写《中小企业声明函》的以下内容：</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第一处，在“单位名称”下划线处如实填写采购人名称（深圳市千里招标代理有限公司不是本项目的采购人，而是组织实施机构）；</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第二处，在“项目名称”下划线处如实填写采购项目名称；</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第四处，在“招标文件中明确的所属行业”下划线处填写采购标的对应的中小企业划分标准所属行业（所属行业可在招标文件第一册第二章“对通用条款的补充内容及其他关键信息”章节查看）；</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中小企业声明函》中制造商所属行业应当与招标文件要求的行业相一致，供应商如有疑问，可根据《国民经济行业分类》（GB/T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（2）声明是残疾人福利性单位须填写《残疾人福利性单位声明函》的相关内容，具体参照以上《中小企业声明函》填写要求执行。</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（3）声明是监狱企业须填写《监狱企业声明函》的三项内容（填写位置的字体已加粗），具体参照以上《中小企业声明函》填写要求执行。</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rPr>
          <w:rFonts w:ascii="Calibri" w:eastAsia="宋体" w:hAnsi="Calibri"/>
          <w:kern w:val="2"/>
          <w:sz w:val="21"/>
          <w:szCs w:val="22"/>
          <w:lang w:eastAsia="zh-CN"/>
        </w:rPr>
      </w:pPr>
    </w:p>
    <w:p>
      <w:pPr>
        <w:widowControl w:val="0"/>
        <w:numPr>
          <w:ilvl w:val="0"/>
          <w:numId w:val="1"/>
        </w:numPr>
        <w:jc w:val="center"/>
        <w:outlineLvl w:val="3"/>
        <w:rPr>
          <w:rFonts w:ascii="Calibri" w:eastAsia="宋体" w:hAnsi="Calibri"/>
          <w:b/>
          <w:kern w:val="2"/>
          <w:szCs w:val="22"/>
          <w:lang w:eastAsia="zh-CN"/>
        </w:rPr>
      </w:pPr>
      <w:r>
        <w:rPr>
          <w:rFonts w:ascii="Calibri" w:eastAsia="宋体" w:hAnsi="Calibri" w:cstheme="minorBidi"/>
          <w:b/>
          <w:kern w:val="2"/>
          <w:szCs w:val="22"/>
          <w:lang w:eastAsia="zh-CN"/>
        </w:rPr>
        <w:t>中小企业声明函（货物）</w:t>
      </w:r>
    </w:p>
    <w:p>
      <w:pPr>
        <w:widowControl w:val="0"/>
        <w:spacing w:line="360" w:lineRule="auto"/>
        <w:jc w:val="both"/>
        <w:rPr>
          <w:rFonts w:ascii="Calibri" w:eastAsia="宋体" w:hAnsi="Calibri"/>
          <w:b/>
          <w:bCs/>
          <w:kern w:val="2"/>
          <w:szCs w:val="22"/>
          <w:lang w:eastAsia="zh-CN"/>
        </w:rPr>
      </w:pP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本公司（联合体）郑重声明，根据《政府采购促进中小企业发展管理办法》（财库﹝2020﹞46号）的规定，本公司（联合体）参加</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kern w:val="2"/>
          <w:sz w:val="21"/>
          <w:szCs w:val="21"/>
          <w:lang w:eastAsia="zh-CN"/>
        </w:rPr>
        <w:t>采购活动，提供的货物全部由符合政策要求的中小企业制造。相关企业（含联合体中的中小企业、签订分包意向协议的中小企业）的具体情况如下：</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（工业）</w:t>
      </w:r>
      <w:r>
        <w:rPr>
          <w:rFonts w:ascii="宋体" w:eastAsia="宋体" w:hAnsi="宋体" w:cs="宋体" w:hint="eastAsia"/>
          <w:kern w:val="2"/>
          <w:sz w:val="21"/>
          <w:szCs w:val="21"/>
          <w:lang w:eastAsia="zh-CN"/>
        </w:rPr>
        <w:t>行业；</w:t>
      </w:r>
      <w:r>
        <w:rPr>
          <w:rFonts w:ascii="宋体" w:eastAsia="宋体" w:hAnsi="宋体" w:cs="宋体" w:hint="eastAsia"/>
          <w:b/>
          <w:kern w:val="2"/>
          <w:sz w:val="21"/>
          <w:szCs w:val="21"/>
          <w:lang w:eastAsia="zh-CN"/>
        </w:rPr>
        <w:t>制造商</w:t>
      </w:r>
      <w:r>
        <w:rPr>
          <w:rFonts w:ascii="宋体" w:eastAsia="宋体" w:hAnsi="宋体" w:cs="宋体" w:hint="eastAsia"/>
          <w:kern w:val="2"/>
          <w:sz w:val="21"/>
          <w:szCs w:val="21"/>
          <w:lang w:eastAsia="zh-CN"/>
        </w:rPr>
        <w:t>为</w:t>
      </w:r>
      <w:r>
        <w:rPr>
          <w:rFonts w:ascii="宋体" w:eastAsia="宋体" w:hAnsi="宋体" w:cs="宋体" w:hint="eastAsia"/>
          <w:b/>
          <w:bCs/>
          <w:i/>
          <w:iCs/>
          <w:kern w:val="2"/>
          <w:sz w:val="21"/>
          <w:szCs w:val="21"/>
          <w:u w:val="single"/>
          <w:lang w:eastAsia="zh-CN"/>
        </w:rPr>
        <w:t>（企业名称，要求制造商本身所属行业应当与招标文件要求的行业相一致）</w:t>
      </w:r>
      <w:r>
        <w:rPr>
          <w:rFonts w:ascii="宋体" w:eastAsia="宋体" w:hAnsi="宋体" w:cs="宋体" w:hint="eastAsia"/>
          <w:kern w:val="2"/>
          <w:sz w:val="21"/>
          <w:szCs w:val="21"/>
          <w:lang w:eastAsia="zh-CN"/>
        </w:rPr>
        <w:t>，从业人员人，营业收入为万元，资产总额为万元，属于</w:t>
      </w:r>
      <w:r>
        <w:rPr>
          <w:rFonts w:ascii="宋体" w:eastAsia="宋体" w:hAnsi="宋体" w:cs="宋体" w:hint="eastAsia"/>
          <w:b/>
          <w:bCs/>
          <w:i/>
          <w:iCs/>
          <w:kern w:val="2"/>
          <w:sz w:val="21"/>
          <w:szCs w:val="21"/>
          <w:u w:val="single"/>
          <w:lang w:eastAsia="zh-CN"/>
        </w:rPr>
        <w:t>（中型企业、小型企业、微型企业）</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（工业）</w:t>
      </w:r>
      <w:r>
        <w:rPr>
          <w:rFonts w:ascii="宋体" w:eastAsia="宋体" w:hAnsi="宋体" w:cs="宋体" w:hint="eastAsia"/>
          <w:kern w:val="2"/>
          <w:sz w:val="21"/>
          <w:szCs w:val="21"/>
          <w:lang w:eastAsia="zh-CN"/>
        </w:rPr>
        <w:t>行业；</w:t>
      </w:r>
      <w:r>
        <w:rPr>
          <w:rFonts w:ascii="宋体" w:eastAsia="宋体" w:hAnsi="宋体" w:cs="宋体" w:hint="eastAsia"/>
          <w:b/>
          <w:kern w:val="2"/>
          <w:sz w:val="21"/>
          <w:szCs w:val="21"/>
          <w:lang w:eastAsia="zh-CN"/>
        </w:rPr>
        <w:t>制造商</w:t>
      </w:r>
      <w:r>
        <w:rPr>
          <w:rFonts w:ascii="宋体" w:eastAsia="宋体" w:hAnsi="宋体" w:cs="宋体" w:hint="eastAsia"/>
          <w:kern w:val="2"/>
          <w:sz w:val="21"/>
          <w:szCs w:val="21"/>
          <w:lang w:eastAsia="zh-CN"/>
        </w:rPr>
        <w:t>为</w:t>
      </w:r>
      <w:r>
        <w:rPr>
          <w:rFonts w:ascii="宋体" w:eastAsia="宋体" w:hAnsi="宋体" w:cs="宋体" w:hint="eastAsia"/>
          <w:b/>
          <w:bCs/>
          <w:i/>
          <w:iCs/>
          <w:kern w:val="2"/>
          <w:sz w:val="21"/>
          <w:szCs w:val="21"/>
          <w:u w:val="single"/>
          <w:lang w:eastAsia="zh-CN"/>
        </w:rPr>
        <w:t>（企业名称，要求制造商本身所属行业应当与招标文件要求的行业相一致）</w:t>
      </w:r>
      <w:r>
        <w:rPr>
          <w:rFonts w:ascii="宋体" w:eastAsia="宋体" w:hAnsi="宋体" w:cs="宋体" w:hint="eastAsia"/>
          <w:kern w:val="2"/>
          <w:sz w:val="21"/>
          <w:szCs w:val="21"/>
          <w:lang w:eastAsia="zh-CN"/>
        </w:rPr>
        <w:t>，从业人员人，营业收入为万元，资产总额为万元，属于</w:t>
      </w:r>
      <w:r>
        <w:rPr>
          <w:rFonts w:ascii="宋体" w:eastAsia="宋体" w:hAnsi="宋体" w:cs="宋体" w:hint="eastAsia"/>
          <w:b/>
          <w:bCs/>
          <w:i/>
          <w:iCs/>
          <w:kern w:val="2"/>
          <w:sz w:val="21"/>
          <w:szCs w:val="21"/>
          <w:u w:val="single"/>
          <w:lang w:eastAsia="zh-CN"/>
        </w:rPr>
        <w:t>（中型企业、小型企业、微型企业）</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以上企业，不属于大企业的分支机构，不存在控股股东为大企业的情形，也不存在与大企业的负责人为同一人的情形。</w:t>
      </w:r>
    </w:p>
    <w:p>
      <w:pPr>
        <w:widowControl w:val="0"/>
        <w:spacing w:line="360" w:lineRule="auto"/>
        <w:ind w:firstLine="420" w:firstLineChars="200"/>
        <w:jc w:val="both"/>
        <w:rPr>
          <w:rFonts w:ascii="宋体" w:eastAsia="宋体" w:hAnsi="宋体" w:cs="宋体"/>
          <w:kern w:val="2"/>
          <w:sz w:val="21"/>
          <w:szCs w:val="21"/>
          <w:lang w:eastAsia="zh-CN"/>
        </w:rPr>
      </w:pPr>
      <w:bookmarkStart w:id="27" w:name="_Hlk73562203"/>
      <w:r>
        <w:rPr>
          <w:rFonts w:ascii="Calibri" w:eastAsia="宋体" w:hAnsi="Calibri" w:cstheme="minorBidi" w:hint="eastAsia"/>
          <w:color w:val="FF0000"/>
          <w:kern w:val="2"/>
          <w:sz w:val="21"/>
          <w:szCs w:val="22"/>
          <w:lang w:eastAsia="zh-CN"/>
        </w:rPr>
        <w:t>本项目所属行业：工业；</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本投标人对上述声明内容的真实性负责。如有虚假，将依法承担相应责任。</w:t>
      </w:r>
    </w:p>
    <w:p>
      <w:pPr>
        <w:widowControl w:val="0"/>
        <w:spacing w:line="360" w:lineRule="auto"/>
        <w:ind w:firstLine="420" w:firstLineChars="200"/>
        <w:jc w:val="both"/>
        <w:rPr>
          <w:rFonts w:eastAsia="宋体"/>
          <w:kern w:val="2"/>
          <w:lang w:eastAsia="zh-CN"/>
        </w:rPr>
      </w:pPr>
      <w:r>
        <w:rPr>
          <w:rFonts w:ascii="宋体" w:eastAsia="宋体" w:hAnsi="宋体" w:cs="宋体" w:hint="eastAsia"/>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投标人按照本办法规定提供声明函内容不实的，属于提供虚假材料谋取中标，依照《政府采购法》等政府采购有关法律法规规定追究相应责任。</w:t>
      </w:r>
      <w:bookmarkEnd w:id="27"/>
    </w:p>
    <w:p>
      <w:pPr>
        <w:widowControl w:val="0"/>
        <w:jc w:val="center"/>
        <w:outlineLvl w:val="3"/>
        <w:rPr>
          <w:rFonts w:ascii="Calibri" w:eastAsia="宋体" w:hAnsi="Calibri"/>
          <w:b/>
          <w:kern w:val="2"/>
          <w:szCs w:val="22"/>
          <w:lang w:eastAsia="zh-CN"/>
        </w:rPr>
      </w:pPr>
      <w:r>
        <w:rPr>
          <w:rFonts w:ascii="Calibri" w:eastAsia="宋体" w:hAnsi="Calibri" w:cstheme="minorBidi" w:hint="eastAsia"/>
          <w:b/>
          <w:kern w:val="2"/>
          <w:szCs w:val="22"/>
          <w:lang w:eastAsia="zh-CN"/>
        </w:rPr>
        <w:t>2、残疾人福利性单位声明函（货物类）</w:t>
      </w:r>
    </w:p>
    <w:p>
      <w:pPr>
        <w:widowControl w:val="0"/>
        <w:jc w:val="both"/>
        <w:rPr>
          <w:rFonts w:ascii="Calibri" w:eastAsia="宋体" w:hAnsi="Calibri"/>
          <w:b/>
          <w:bCs/>
          <w:kern w:val="2"/>
          <w:sz w:val="21"/>
          <w:szCs w:val="22"/>
          <w:lang w:eastAsia="zh-CN"/>
        </w:rPr>
      </w:pPr>
    </w:p>
    <w:p>
      <w:pPr>
        <w:widowControl w:val="0"/>
        <w:spacing w:line="360" w:lineRule="auto"/>
        <w:ind w:firstLine="420" w:firstLineChars="200"/>
        <w:jc w:val="both"/>
        <w:rPr>
          <w:rFonts w:ascii="宋体" w:eastAsia="宋体" w:hAnsi="宋体" w:cs="宋体"/>
          <w:kern w:val="2"/>
          <w:sz w:val="21"/>
          <w:szCs w:val="21"/>
          <w:lang w:eastAsia="zh-CN"/>
        </w:rPr>
      </w:pPr>
      <w:bookmarkStart w:id="28" w:name="_Hlk73562331"/>
      <w:bookmarkStart w:id="29" w:name="_Hlk73562245"/>
      <w:r>
        <w:rPr>
          <w:rFonts w:ascii="宋体" w:eastAsia="宋体" w:hAnsi="宋体" w:cs="宋体" w:hint="eastAsia"/>
          <w:kern w:val="2"/>
          <w:sz w:val="21"/>
          <w:szCs w:val="21"/>
          <w:lang w:eastAsia="zh-CN"/>
        </w:rPr>
        <w:t>本单位郑重声明，根据《财政部民政部中国残疾人联合会关于促进残疾人就业政府采购政策的通知》（财库〔2017〕141号）的规定，本单位为符合条件的残疾人福利性单位，且本单位参加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28"/>
    </w:p>
    <w:bookmarkEnd w:id="29"/>
    <w:p>
      <w:pPr>
        <w:widowControl w:val="0"/>
        <w:ind w:firstLine="420" w:firstLineChars="200"/>
        <w:jc w:val="both"/>
        <w:rPr>
          <w:rFonts w:ascii="宋体" w:eastAsia="宋体" w:hAnsi="宋体"/>
          <w:kern w:val="2"/>
          <w:sz w:val="21"/>
          <w:szCs w:val="21"/>
          <w:lang w:eastAsia="zh-CN"/>
        </w:rPr>
      </w:pPr>
    </w:p>
    <w:p>
      <w:pPr>
        <w:widowControl w:val="0"/>
        <w:ind w:firstLine="420" w:firstLineChars="200"/>
        <w:jc w:val="both"/>
        <w:rPr>
          <w:rFonts w:ascii="宋体" w:eastAsia="宋体" w:hAnsi="宋体"/>
          <w:kern w:val="2"/>
          <w:sz w:val="21"/>
          <w:szCs w:val="21"/>
          <w:lang w:eastAsia="zh-CN"/>
        </w:rPr>
      </w:pPr>
    </w:p>
    <w:p>
      <w:pPr>
        <w:widowControl w:val="0"/>
        <w:jc w:val="center"/>
        <w:outlineLvl w:val="3"/>
        <w:rPr>
          <w:rFonts w:ascii="Calibri" w:eastAsia="宋体" w:hAnsi="Calibri"/>
          <w:b/>
          <w:kern w:val="2"/>
          <w:szCs w:val="22"/>
          <w:lang w:eastAsia="zh-CN"/>
        </w:rPr>
      </w:pPr>
      <w:r>
        <w:rPr>
          <w:rFonts w:ascii="Calibri" w:eastAsia="宋体" w:hAnsi="Calibri" w:cstheme="minorBidi" w:hint="eastAsia"/>
          <w:b/>
          <w:kern w:val="2"/>
          <w:szCs w:val="22"/>
          <w:lang w:eastAsia="zh-CN"/>
        </w:rPr>
        <w:t>3、监狱企业声明函【货物类，提供监狱企业货物的供应商如需享受优惠政策，还须另行提供省级以上监狱管理局、戒毒管理局（含新疆生产建设兵团）出具的监狱企业证明文件】</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本投标人郑重声明，根据《财政部司法部关于政府采购支持监狱企业发展有关问题的通知》（财库〔</w:t>
      </w:r>
      <w:r>
        <w:rPr>
          <w:rFonts w:ascii="宋体" w:eastAsia="宋体" w:hAnsi="宋体" w:cstheme="minorBidi"/>
          <w:kern w:val="2"/>
          <w:sz w:val="21"/>
          <w:szCs w:val="21"/>
          <w:lang w:eastAsia="zh-CN"/>
        </w:rPr>
        <w:t>2014</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68</w:t>
      </w:r>
      <w:r>
        <w:rPr>
          <w:rFonts w:ascii="宋体" w:eastAsia="宋体" w:hAnsi="宋体" w:cstheme="minorBidi"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采购人</w:t>
      </w:r>
      <w:r>
        <w:rPr>
          <w:rFonts w:ascii="宋体" w:eastAsia="宋体" w:hAnsi="宋体" w:cstheme="minorBidi"/>
          <w:b/>
          <w:bCs/>
          <w:i/>
          <w:iCs/>
          <w:kern w:val="2"/>
          <w:sz w:val="21"/>
          <w:szCs w:val="21"/>
          <w:u w:val="single"/>
          <w:lang w:eastAsia="zh-CN"/>
        </w:rPr>
        <w:t>名称）</w:t>
      </w:r>
      <w:r>
        <w:rPr>
          <w:rFonts w:ascii="宋体" w:eastAsia="宋体" w:hAnsi="宋体" w:cstheme="minorBidi"/>
          <w:kern w:val="2"/>
          <w:sz w:val="21"/>
          <w:szCs w:val="21"/>
          <w:lang w:eastAsia="zh-CN"/>
        </w:rPr>
        <w:t>的</w:t>
      </w:r>
      <w:r>
        <w:rPr>
          <w:rFonts w:ascii="宋体" w:eastAsia="宋体" w:hAnsi="宋体" w:cstheme="minorBidi"/>
          <w:b/>
          <w:bCs/>
          <w:i/>
          <w:iCs/>
          <w:kern w:val="2"/>
          <w:sz w:val="21"/>
          <w:szCs w:val="21"/>
          <w:u w:val="single"/>
          <w:lang w:eastAsia="zh-CN"/>
        </w:rPr>
        <w:t>（项目名称）</w:t>
      </w:r>
      <w:r>
        <w:rPr>
          <w:rFonts w:ascii="宋体" w:eastAsia="宋体" w:hAnsi="宋体" w:cstheme="minorBidi"/>
          <w:kern w:val="2"/>
          <w:sz w:val="21"/>
          <w:szCs w:val="21"/>
          <w:lang w:eastAsia="zh-CN"/>
        </w:rPr>
        <w:t>采购活动，提供的货物全部由符合政策要求的</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制造。相关</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的具体情况如下：</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b/>
          <w:bCs/>
          <w:i/>
          <w:iCs/>
          <w:kern w:val="2"/>
          <w:sz w:val="21"/>
          <w:szCs w:val="21"/>
          <w:u w:val="single"/>
          <w:lang w:eastAsia="zh-CN"/>
        </w:rPr>
        <w:t>（标的名称）</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企业</w:t>
      </w:r>
      <w:r>
        <w:rPr>
          <w:rFonts w:ascii="宋体" w:eastAsia="宋体" w:hAnsi="宋体" w:cstheme="minorBidi"/>
          <w:b/>
          <w:bCs/>
          <w:i/>
          <w:iCs/>
          <w:kern w:val="2"/>
          <w:sz w:val="21"/>
          <w:szCs w:val="21"/>
          <w:u w:val="single"/>
          <w:lang w:eastAsia="zh-CN"/>
        </w:rPr>
        <w:t>名称）</w:t>
      </w:r>
      <w:r>
        <w:rPr>
          <w:rFonts w:ascii="宋体" w:eastAsia="宋体" w:hAnsi="宋体" w:cstheme="minorBidi"/>
          <w:kern w:val="2"/>
          <w:sz w:val="21"/>
          <w:szCs w:val="21"/>
          <w:lang w:eastAsia="zh-CN"/>
        </w:rPr>
        <w:t>，属于</w:t>
      </w:r>
      <w:r>
        <w:rPr>
          <w:rFonts w:ascii="宋体" w:eastAsia="宋体" w:hAnsi="宋体" w:cstheme="minorBidi" w:hint="eastAsia"/>
          <w:b/>
          <w:bCs/>
          <w:kern w:val="2"/>
          <w:sz w:val="21"/>
          <w:szCs w:val="21"/>
          <w:u w:val="single"/>
          <w:lang w:eastAsia="zh-CN"/>
        </w:rPr>
        <w:t>监狱企业</w:t>
      </w:r>
      <w:r>
        <w:rPr>
          <w:rFonts w:ascii="宋体" w:eastAsia="宋体" w:hAnsi="宋体" w:cstheme="minorBidi"/>
          <w:kern w:val="2"/>
          <w:sz w:val="21"/>
          <w:szCs w:val="21"/>
          <w:lang w:eastAsia="zh-CN"/>
        </w:rPr>
        <w:t>；</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b/>
          <w:bCs/>
          <w:i/>
          <w:iCs/>
          <w:kern w:val="2"/>
          <w:sz w:val="21"/>
          <w:szCs w:val="21"/>
          <w:u w:val="single"/>
          <w:lang w:eastAsia="zh-CN"/>
        </w:rPr>
        <w:t>（标的名称）</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企业</w:t>
      </w:r>
      <w:r>
        <w:rPr>
          <w:rFonts w:ascii="宋体" w:eastAsia="宋体" w:hAnsi="宋体" w:cstheme="minorBidi"/>
          <w:b/>
          <w:bCs/>
          <w:i/>
          <w:iCs/>
          <w:kern w:val="2"/>
          <w:sz w:val="21"/>
          <w:szCs w:val="21"/>
          <w:u w:val="single"/>
          <w:lang w:eastAsia="zh-CN"/>
        </w:rPr>
        <w:t>名称）</w:t>
      </w:r>
      <w:r>
        <w:rPr>
          <w:rFonts w:ascii="宋体" w:eastAsia="宋体" w:hAnsi="宋体" w:cstheme="minorBidi"/>
          <w:kern w:val="2"/>
          <w:sz w:val="21"/>
          <w:szCs w:val="21"/>
          <w:lang w:eastAsia="zh-CN"/>
        </w:rPr>
        <w:t>，属于</w:t>
      </w:r>
      <w:r>
        <w:rPr>
          <w:rFonts w:ascii="宋体" w:eastAsia="宋体" w:hAnsi="宋体" w:cstheme="minorBidi" w:hint="eastAsia"/>
          <w:b/>
          <w:bCs/>
          <w:kern w:val="2"/>
          <w:sz w:val="21"/>
          <w:szCs w:val="21"/>
          <w:u w:val="single"/>
          <w:lang w:eastAsia="zh-CN"/>
        </w:rPr>
        <w:t>监狱企业</w:t>
      </w:r>
      <w:r>
        <w:rPr>
          <w:rFonts w:ascii="宋体" w:eastAsia="宋体" w:hAnsi="宋体" w:cstheme="minorBidi" w:hint="eastAsia"/>
          <w:kern w:val="2"/>
          <w:sz w:val="21"/>
          <w:szCs w:val="21"/>
          <w:lang w:eastAsia="zh-CN"/>
        </w:rPr>
        <w:t>。</w:t>
      </w:r>
    </w:p>
    <w:p>
      <w:pPr>
        <w:widowControl w:val="0"/>
        <w:jc w:val="both"/>
        <w:rPr>
          <w:rFonts w:ascii="Calibri" w:eastAsia="宋体" w:hAnsi="Calibri" w:hint="eastAsia"/>
          <w:kern w:val="2"/>
          <w:sz w:val="21"/>
          <w:szCs w:val="22"/>
          <w:lang w:eastAsia="zh-CN"/>
        </w:rPr>
      </w:pPr>
      <w:r>
        <w:rPr>
          <w:rFonts w:ascii="Calibri" w:eastAsia="宋体" w:hAnsi="Calibri" w:cstheme="minorBidi"/>
          <w:kern w:val="2"/>
          <w:sz w:val="21"/>
          <w:szCs w:val="22"/>
          <w:lang w:eastAsia="zh-CN"/>
        </w:rPr>
        <w:t>……</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cstheme="minorBidi"/>
          <w:kern w:val="2"/>
          <w:sz w:val="21"/>
          <w:szCs w:val="21"/>
          <w:lang w:eastAsia="zh-CN"/>
        </w:rPr>
        <w:t>对上述声明内容的真实性负责。如有虚假，将依法承担相应责任。</w:t>
      </w:r>
    </w:p>
    <w:p>
      <w:pPr>
        <w:widowControl w:val="0"/>
        <w:spacing w:line="360" w:lineRule="auto"/>
        <w:ind w:firstLine="420" w:firstLineChars="200"/>
        <w:jc w:val="both"/>
        <w:rPr>
          <w:rFonts w:ascii="Calibri" w:eastAsia="宋体" w:hAnsi="Calibri"/>
          <w:b/>
          <w:bCs/>
          <w:color w:val="FF0000"/>
          <w:kern w:val="2"/>
          <w:sz w:val="21"/>
          <w:szCs w:val="21"/>
          <w:lang w:eastAsia="zh-CN"/>
        </w:rPr>
      </w:pPr>
      <w:r>
        <w:rPr>
          <w:rFonts w:ascii="宋体" w:eastAsia="宋体" w:hAnsi="宋体" w:cstheme="minorBidi" w:hint="eastAsia"/>
          <w:kern w:val="2"/>
          <w:sz w:val="21"/>
          <w:szCs w:val="21"/>
          <w:lang w:eastAsia="zh-CN"/>
        </w:rPr>
        <w:t>附：省级以上监狱管理局、戒毒管理局（含新疆生产建设兵团）出具的监狱企业证明文件。</w:t>
      </w:r>
      <w:bookmarkEnd w:id="26"/>
    </w:p>
    <w:p>
      <w:pPr>
        <w:keepNext/>
        <w:keepLines/>
        <w:pageBreakBefore/>
        <w:widowControl w:val="0"/>
        <w:adjustRightInd w:val="0"/>
        <w:snapToGrid w:val="0"/>
        <w:spacing w:line="360" w:lineRule="auto"/>
        <w:jc w:val="center"/>
        <w:textAlignment w:val="baseline"/>
        <w:outlineLvl w:val="2"/>
        <w:rPr>
          <w:rFonts w:ascii="黑体" w:eastAsia="黑体" w:hAnsi="宋体" w:hint="eastAsia"/>
          <w:b/>
          <w:kern w:val="2"/>
          <w:sz w:val="30"/>
          <w:szCs w:val="30"/>
          <w:lang w:eastAsia="zh-CN"/>
        </w:rPr>
      </w:pPr>
      <w:r>
        <w:rPr>
          <w:rFonts w:ascii="黑体" w:eastAsia="黑体" w:hAnsi="宋体" w:cstheme="minorBidi" w:hint="eastAsia"/>
          <w:b/>
          <w:kern w:val="2"/>
          <w:sz w:val="30"/>
          <w:szCs w:val="30"/>
          <w:lang w:eastAsia="zh-CN"/>
        </w:rPr>
        <w:t>四、分项报价清单</w:t>
      </w:r>
    </w:p>
    <w:p>
      <w:pPr>
        <w:widowControl w:val="0"/>
        <w:spacing w:after="60" w:afterLines="25" w:line="300" w:lineRule="auto"/>
        <w:jc w:val="both"/>
        <w:rPr>
          <w:rFonts w:ascii="Arial" w:eastAsia="宋体" w:hAnsi="Arial" w:cs="Arial"/>
          <w:kern w:val="2"/>
          <w:sz w:val="21"/>
          <w:lang w:eastAsia="zh-CN"/>
        </w:rPr>
      </w:pPr>
      <w:r>
        <w:rPr>
          <w:rFonts w:ascii="Arial" w:eastAsia="宋体" w:hAnsi="Arial" w:cs="Arial" w:hint="eastAsia"/>
          <w:color w:val="000000"/>
          <w:kern w:val="2"/>
          <w:sz w:val="21"/>
          <w:lang w:eastAsia="zh-CN"/>
        </w:rPr>
        <w:t>投标单位（投标人）名称：</w:t>
      </w:r>
    </w:p>
    <w:p>
      <w:pPr>
        <w:widowControl w:val="0"/>
        <w:tabs>
          <w:tab w:val="left" w:pos="720"/>
        </w:tabs>
        <w:spacing w:after="60" w:afterLines="25" w:line="300" w:lineRule="auto"/>
        <w:jc w:val="center"/>
        <w:rPr>
          <w:rFonts w:ascii="Arial" w:eastAsia="宋体" w:hAnsi="Arial"/>
          <w:b/>
          <w:kern w:val="2"/>
          <w:lang w:eastAsia="zh-CN"/>
        </w:rPr>
      </w:pPr>
      <w:r>
        <w:rPr>
          <w:rFonts w:ascii="Arial" w:eastAsia="宋体" w:hAnsi="Arial" w:hint="eastAsia"/>
          <w:b/>
          <w:kern w:val="2"/>
          <w:lang w:eastAsia="zh-CN"/>
        </w:rPr>
        <w:t>（一）项目报价表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74"/>
        <w:gridCol w:w="760"/>
        <w:gridCol w:w="760"/>
        <w:gridCol w:w="760"/>
        <w:gridCol w:w="760"/>
        <w:gridCol w:w="760"/>
        <w:gridCol w:w="760"/>
        <w:gridCol w:w="760"/>
        <w:gridCol w:w="836"/>
        <w:gridCol w:w="836"/>
        <w:gridCol w:w="99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85"/>
          <w:jc w:val="center"/>
        </w:trPr>
        <w:tc>
          <w:tcPr>
            <w:tcW w:w="49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序号</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货物名称</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品牌</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规格/型号</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制造商名称</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原产地</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数量</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单位</w:t>
            </w:r>
          </w:p>
        </w:tc>
        <w:tc>
          <w:tcPr>
            <w:tcW w:w="472"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单价(元)</w:t>
            </w:r>
          </w:p>
        </w:tc>
        <w:tc>
          <w:tcPr>
            <w:tcW w:w="472"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合价(元)</w:t>
            </w:r>
          </w:p>
        </w:tc>
        <w:tc>
          <w:tcPr>
            <w:tcW w:w="558"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预算金额（元）</w:t>
            </w:r>
          </w:p>
        </w:tc>
      </w:tr>
      <w:tr>
        <w:tblPrEx>
          <w:tblW w:w="5000" w:type="pct"/>
          <w:jc w:val="center"/>
          <w:tblLayout w:type="fixed"/>
          <w:tblCellMar>
            <w:top w:w="0" w:type="dxa"/>
            <w:left w:w="108" w:type="dxa"/>
            <w:bottom w:w="0" w:type="dxa"/>
            <w:right w:w="108" w:type="dxa"/>
          </w:tblCellMar>
        </w:tblPrEx>
        <w:trPr>
          <w:trHeight w:val="90"/>
          <w:jc w:val="center"/>
        </w:trPr>
        <w:tc>
          <w:tcPr>
            <w:tcW w:w="49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1</w:t>
            </w: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558" w:type="pct"/>
            <w:vMerge w:val="restart"/>
            <w:vAlign w:val="center"/>
          </w:tcPr>
          <w:p>
            <w:pPr>
              <w:widowControl w:val="0"/>
              <w:jc w:val="both"/>
              <w:rPr>
                <w:rFonts w:ascii="Calibri"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50"/>
          <w:jc w:val="center"/>
        </w:trPr>
        <w:tc>
          <w:tcPr>
            <w:tcW w:w="49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2</w:t>
            </w: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558" w:type="pct"/>
            <w:vMerge/>
            <w:vAlign w:val="center"/>
          </w:tcPr>
          <w:p>
            <w:pPr>
              <w:widowControl w:val="0"/>
              <w:jc w:val="both"/>
              <w:rPr>
                <w:rFonts w:ascii="Calibri"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00"/>
          <w:jc w:val="center"/>
        </w:trPr>
        <w:tc>
          <w:tcPr>
            <w:tcW w:w="49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3</w:t>
            </w: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558" w:type="pct"/>
            <w:vMerge/>
            <w:vAlign w:val="center"/>
          </w:tcPr>
          <w:p>
            <w:pPr>
              <w:widowControl w:val="0"/>
              <w:jc w:val="both"/>
              <w:rPr>
                <w:rFonts w:ascii="Calibri"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320"/>
          <w:jc w:val="center"/>
        </w:trPr>
        <w:tc>
          <w:tcPr>
            <w:tcW w:w="49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w:t>
            </w: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558" w:type="pct"/>
            <w:vMerge/>
            <w:vAlign w:val="center"/>
          </w:tcPr>
          <w:p>
            <w:pPr>
              <w:widowControl w:val="0"/>
              <w:jc w:val="both"/>
              <w:rPr>
                <w:rFonts w:ascii="Calibri"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50"/>
          <w:jc w:val="center"/>
        </w:trPr>
        <w:tc>
          <w:tcPr>
            <w:tcW w:w="2639" w:type="pct"/>
            <w:gridSpan w:val="6"/>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投标总价（以上各项之和；币种：人民币；单位：元）</w:t>
            </w:r>
          </w:p>
        </w:tc>
        <w:tc>
          <w:tcPr>
            <w:tcW w:w="2361" w:type="pct"/>
            <w:gridSpan w:val="5"/>
            <w:vAlign w:val="center"/>
          </w:tcPr>
          <w:p>
            <w:pPr>
              <w:widowControl w:val="0"/>
              <w:jc w:val="both"/>
              <w:rPr>
                <w:rFonts w:ascii="Calibri" w:eastAsia="宋体" w:hAnsi="Calibri"/>
                <w:kern w:val="2"/>
                <w:sz w:val="21"/>
                <w:szCs w:val="21"/>
                <w:lang w:eastAsia="zh-CN"/>
              </w:rPr>
            </w:pPr>
          </w:p>
        </w:tc>
      </w:tr>
    </w:tbl>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填写说明：</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1.本表可根据实际需要增加相关内容，但原有的格式内容不得删减；</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2.“品牌”可以与商标一致，也可以填写便于区分其他公司商品的制造商简称或者制造商认可的品牌名称。</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3.如所投货物属于定制类的非量产货物或无具体型号的货物，可以在“规格/型号”一栏仅填写规格信息而不填写型号信息（型号信息用“定制”描述即可）；此类填写错误或缺漏（所投货物为定制类的非量产货物但供应商却错误填报了型号）可能带来的不利后果由供应商承担。</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4.“原产地”是指该货物的实际生产加工地，而非品牌所在地。</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5.所投货物均应填写制造商名称。“制造商”是指产品制造厂商，产品代工制造的，应填写接受委托生产制造的制造商。</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6.以上分项报价表的投标总价应当与开标一览表的投标总价一致。</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7.单价、合价和投标总价为包干价，即三者均应包含货物的价款、包装、运输、装卸、安装、调试、技术指导、培训、咨询、服务、保险、税费、检测、验收合格交付使用之前以及技术和售后服务等其他各项有关费用。</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8.所有价格应按“招标文件”中规定的货币单位填写；投标总价应为以上各分项价格之和；投标总价和项目报价表中单个采购预算条目报价均不得超过对应的预算金额（或设定的预算金额下的最高限价），否则将导致投标无效。</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★9.如未提供《（一）项目报价表》或者不按《第三章用户需求书：二、货物需求明细》要求填报、漏报或错报的将作投标无效处理。</w:t>
      </w:r>
    </w:p>
    <w:p>
      <w:pPr>
        <w:widowControl w:val="0"/>
        <w:spacing w:after="120" w:line="240" w:lineRule="auto"/>
        <w:ind w:left="480" w:firstLine="420" w:leftChars="200" w:firstLineChars="200"/>
        <w:jc w:val="both"/>
        <w:rPr>
          <w:rFonts w:eastAsia="宋体" w:hint="eastAsia"/>
          <w:kern w:val="2"/>
          <w:sz w:val="21"/>
          <w:lang w:eastAsia="zh-CN"/>
        </w:rPr>
      </w:pPr>
    </w:p>
    <w:p>
      <w:pPr>
        <w:widowControl w:val="0"/>
        <w:spacing w:after="120" w:line="240" w:lineRule="auto"/>
        <w:ind w:left="0" w:firstLine="0" w:leftChars="0" w:firstLineChars="0"/>
        <w:jc w:val="both"/>
        <w:rPr>
          <w:rFonts w:eastAsia="宋体" w:hint="eastAsia"/>
          <w:kern w:val="2"/>
          <w:sz w:val="21"/>
          <w:lang w:eastAsia="zh-CN"/>
        </w:rPr>
      </w:pPr>
    </w:p>
    <w:p>
      <w:pPr>
        <w:widowControl w:val="0"/>
        <w:spacing w:after="120" w:line="240" w:lineRule="auto"/>
        <w:ind w:left="0" w:firstLine="0" w:leftChars="0" w:firstLineChars="0"/>
        <w:jc w:val="both"/>
        <w:rPr>
          <w:rFonts w:eastAsia="宋体" w:hint="eastAsia"/>
          <w:kern w:val="2"/>
          <w:sz w:val="21"/>
          <w:lang w:eastAsia="zh-CN"/>
        </w:rPr>
      </w:pPr>
    </w:p>
    <w:p>
      <w:pPr>
        <w:widowControl w:val="0"/>
        <w:spacing w:after="120" w:line="240" w:lineRule="auto"/>
        <w:ind w:left="0" w:firstLine="0" w:leftChars="0" w:firstLineChars="0"/>
        <w:jc w:val="both"/>
        <w:rPr>
          <w:rFonts w:eastAsia="宋体" w:hint="eastAsia"/>
          <w:kern w:val="2"/>
          <w:sz w:val="21"/>
          <w:lang w:eastAsia="zh-CN"/>
        </w:rPr>
      </w:pPr>
    </w:p>
    <w:p>
      <w:pPr>
        <w:widowControl w:val="0"/>
        <w:tabs>
          <w:tab w:val="left" w:pos="720"/>
        </w:tabs>
        <w:spacing w:after="60" w:afterLines="25" w:line="300" w:lineRule="auto"/>
        <w:jc w:val="center"/>
        <w:rPr>
          <w:rFonts w:ascii="Arial" w:eastAsia="宋体" w:hAnsi="Arial" w:hint="eastAsia"/>
          <w:b/>
          <w:kern w:val="2"/>
          <w:lang w:eastAsia="zh-CN"/>
        </w:rPr>
      </w:pPr>
      <w:r>
        <w:rPr>
          <w:rFonts w:ascii="Arial" w:eastAsia="宋体" w:hAnsi="Arial" w:hint="eastAsia"/>
          <w:b/>
          <w:kern w:val="2"/>
          <w:lang w:eastAsia="zh-CN"/>
        </w:rPr>
        <w:t>（二）核心产品品牌</w:t>
      </w:r>
    </w:p>
    <w:p>
      <w:pPr>
        <w:widowControl w:val="0"/>
        <w:spacing w:after="120" w:line="240" w:lineRule="auto"/>
        <w:ind w:left="480" w:firstLine="420" w:leftChars="200" w:firstLineChars="200"/>
        <w:jc w:val="both"/>
        <w:rPr>
          <w:rFonts w:ascii="Calibri" w:eastAsia="宋体" w:hAnsi="Calibri" w:hint="eastAsia"/>
          <w:kern w:val="2"/>
          <w:sz w:val="21"/>
          <w:szCs w:val="22"/>
          <w:lang w:eastAsia="zh-CN"/>
        </w:rPr>
      </w:pPr>
    </w:p>
    <w:p>
      <w:pPr>
        <w:widowControl w:val="0"/>
        <w:ind w:firstLine="480" w:firstLineChars="200"/>
        <w:jc w:val="both"/>
        <w:rPr>
          <w:rFonts w:ascii="宋体" w:eastAsia="宋体" w:hAnsi="宋体"/>
          <w:b/>
          <w:kern w:val="2"/>
          <w:szCs w:val="22"/>
          <w:lang w:eastAsia="zh-CN"/>
        </w:rPr>
      </w:pPr>
      <w:r>
        <w:rPr>
          <w:rFonts w:ascii="Calibri" w:eastAsia="宋体" w:hAnsi="Calibri" w:cstheme="minorBidi" w:hint="eastAsia"/>
          <w:b/>
          <w:kern w:val="2"/>
          <w:szCs w:val="22"/>
          <w:lang w:eastAsia="zh-CN"/>
        </w:rPr>
        <w:t>我单位所投核心产品的品牌为：</w:t>
      </w:r>
      <w:r>
        <w:rPr>
          <w:rFonts w:ascii="Calibri" w:eastAsia="宋体" w:hAnsi="Calibri" w:cstheme="minorBidi" w:hint="eastAsia"/>
          <w:b/>
          <w:kern w:val="2"/>
          <w:szCs w:val="22"/>
          <w:u w:val="single"/>
          <w:lang w:eastAsia="zh-CN"/>
        </w:rPr>
        <w:t xml:space="preserve">               </w:t>
      </w:r>
      <w:r>
        <w:rPr>
          <w:rFonts w:ascii="Calibri" w:eastAsia="宋体" w:hAnsi="Calibri" w:cstheme="minorBidi" w:hint="eastAsia"/>
          <w:b/>
          <w:kern w:val="2"/>
          <w:szCs w:val="22"/>
          <w:lang w:eastAsia="zh-CN"/>
        </w:rPr>
        <w:t>。</w:t>
      </w:r>
    </w:p>
    <w:p>
      <w:pPr>
        <w:widowControl/>
        <w:wordWrap w:val="0"/>
        <w:autoSpaceDE w:val="0"/>
        <w:autoSpaceDN w:val="0"/>
        <w:spacing w:line="400" w:lineRule="exact"/>
        <w:ind w:right="808" w:firstLine="420" w:firstLineChars="200"/>
        <w:jc w:val="both"/>
        <w:rPr>
          <w:rFonts w:ascii="Arial" w:eastAsia="宋体" w:hAnsi="Arial"/>
          <w:b/>
          <w:kern w:val="2"/>
          <w:sz w:val="21"/>
          <w:lang w:eastAsia="zh-CN"/>
        </w:rPr>
      </w:pPr>
      <w:r>
        <w:rPr>
          <w:rFonts w:eastAsia="宋体" w:hint="eastAsia"/>
          <w:kern w:val="2"/>
          <w:sz w:val="21"/>
          <w:lang w:eastAsia="zh-CN"/>
        </w:rPr>
        <w:t>备注：单一产品采购项目，核心产品即为该单一产品。</w:t>
      </w: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val="0"/>
        <w:tabs>
          <w:tab w:val="left" w:pos="720"/>
        </w:tabs>
        <w:spacing w:after="60" w:afterLines="25" w:line="300" w:lineRule="auto"/>
        <w:jc w:val="center"/>
        <w:rPr>
          <w:rFonts w:ascii="Arial" w:eastAsia="宋体" w:hAnsi="Arial" w:hint="eastAsia"/>
          <w:b/>
          <w:kern w:val="2"/>
          <w:lang w:eastAsia="zh-CN"/>
        </w:rPr>
      </w:pPr>
      <w:r>
        <w:rPr>
          <w:rFonts w:ascii="Arial" w:eastAsia="宋体" w:hAnsi="Arial" w:hint="eastAsia"/>
          <w:b/>
          <w:kern w:val="2"/>
          <w:lang w:eastAsia="zh-CN"/>
        </w:rPr>
        <w:t>（三）可选配件报价清单（非项目需求要求的必备配件，此部分不包括在总报价内）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注：格式可以参照《（一）项目报价表》表格，并提供相应的品牌/规格/型号、原产地、制造商信息（没有品牌、型号的，用“定制”描述即可）、单价等详细信息</w:t>
      </w: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val="0"/>
        <w:tabs>
          <w:tab w:val="left" w:pos="720"/>
        </w:tabs>
        <w:spacing w:after="60" w:afterLines="25" w:line="300" w:lineRule="auto"/>
        <w:jc w:val="center"/>
        <w:rPr>
          <w:rFonts w:ascii="Arial" w:eastAsia="宋体" w:hAnsi="Arial" w:hint="eastAsia"/>
          <w:b/>
          <w:kern w:val="2"/>
          <w:lang w:eastAsia="zh-CN"/>
        </w:rPr>
      </w:pPr>
      <w:r>
        <w:rPr>
          <w:rFonts w:ascii="Arial" w:eastAsia="宋体" w:hAnsi="Arial" w:hint="eastAsia"/>
          <w:b/>
          <w:kern w:val="2"/>
          <w:lang w:eastAsia="zh-CN"/>
        </w:rPr>
        <w:t>（四）供应商认为需要涉及的其他内容报价清单</w:t>
      </w: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keepNext/>
        <w:keepLines/>
        <w:widowControl/>
        <w:spacing w:before="260" w:after="260"/>
        <w:jc w:val="center"/>
        <w:outlineLvl w:val="2"/>
        <w:rPr>
          <w:rFonts w:ascii="黑体" w:eastAsia="黑体" w:hAnsi="宋体"/>
          <w:b/>
          <w:kern w:val="2"/>
          <w:sz w:val="30"/>
          <w:szCs w:val="30"/>
          <w:lang w:eastAsia="zh-CN"/>
        </w:rPr>
      </w:pPr>
      <w:r>
        <w:rPr>
          <w:rFonts w:ascii="黑体" w:eastAsia="黑体" w:hAnsi="宋体" w:hint="eastAsia"/>
          <w:b/>
          <w:kern w:val="2"/>
          <w:sz w:val="30"/>
          <w:szCs w:val="30"/>
          <w:lang w:eastAsia="zh-CN"/>
        </w:rPr>
        <w:t>五、股东构成审查表</w:t>
      </w:r>
    </w:p>
    <w:p>
      <w:pPr>
        <w:keepNext/>
        <w:keepLines/>
        <w:widowControl w:val="0"/>
        <w:numPr>
          <w:ilvl w:val="0"/>
          <w:numId w:val="2"/>
        </w:numPr>
        <w:kinsoku/>
        <w:overflowPunct/>
        <w:topLinePunct w:val="0"/>
        <w:bidi w:val="0"/>
        <w:spacing w:before="0" w:beforeAutospacing="0" w:after="0" w:afterAutospacing="0" w:line="360" w:lineRule="auto"/>
        <w:ind w:left="0" w:right="0" w:firstLine="0" w:leftChars="0" w:firstLineChars="0"/>
        <w:jc w:val="both"/>
        <w:outlineLvl w:val="2"/>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提供投标人所在地的市场监督管理部门“商事登记簿查询（商事主体登记及备案信息查询）”查询截图或提供国家企业信用信息公示系统截图；</w:t>
      </w:r>
    </w:p>
    <w:p>
      <w:pPr>
        <w:keepNext/>
        <w:keepLines/>
        <w:widowControl w:val="0"/>
        <w:numPr>
          <w:ilvl w:val="0"/>
          <w:numId w:val="0"/>
        </w:numPr>
        <w:kinsoku/>
        <w:overflowPunct/>
        <w:topLinePunct w:val="0"/>
        <w:bidi w:val="0"/>
        <w:spacing w:before="0" w:beforeAutospacing="0" w:after="0" w:afterAutospacing="0" w:line="360" w:lineRule="auto"/>
        <w:ind w:left="0" w:right="0" w:firstLine="0" w:leftChars="0" w:rightChars="0"/>
        <w:jc w:val="both"/>
        <w:outlineLvl w:val="9"/>
        <w:rPr>
          <w:rFonts w:ascii="宋体" w:eastAsia="宋体" w:hAnsi="宋体" w:cs="宋体" w:hint="eastAsia"/>
          <w:kern w:val="2"/>
          <w:sz w:val="21"/>
          <w:szCs w:val="22"/>
          <w:lang w:eastAsia="zh-CN"/>
        </w:rPr>
      </w:pPr>
      <w:r>
        <w:rPr>
          <w:rFonts w:ascii="宋体" w:eastAsia="宋体" w:hAnsi="宋体" w:cs="宋体" w:hint="eastAsia"/>
          <w:b/>
          <w:bCs/>
          <w:kern w:val="2"/>
          <w:sz w:val="21"/>
          <w:szCs w:val="22"/>
          <w:lang w:eastAsia="zh-CN"/>
        </w:rPr>
        <w:t>参考示例1：</w:t>
      </w:r>
      <w:r>
        <w:rPr>
          <w:rFonts w:ascii="宋体" w:eastAsia="宋体" w:hAnsi="宋体" w:cs="宋体" w:hint="eastAsia"/>
          <w:kern w:val="2"/>
          <w:sz w:val="21"/>
          <w:szCs w:val="22"/>
          <w:lang w:eastAsia="zh-CN"/>
        </w:rPr>
        <w:t>“深圳市市场监督管理局——商事登记簿查询（商事主体登记及备案信息查询）：</w:t>
      </w:r>
      <w:hyperlink r:id="rId5" w:history="1">
        <w:r>
          <w:rPr>
            <w:rFonts w:ascii="宋体" w:eastAsia="宋体" w:hAnsi="宋体" w:cs="宋体" w:hint="eastAsia"/>
            <w:color w:val="0000FF"/>
            <w:kern w:val="2"/>
            <w:sz w:val="21"/>
            <w:szCs w:val="22"/>
            <w:u w:val="single"/>
            <w:lang w:eastAsia="zh-CN"/>
          </w:rPr>
          <w:t>https://amr.sz.gov.cn/outer/entSelect/gs.html”。</w:t>
        </w:r>
      </w:hyperlink>
    </w:p>
    <w:p>
      <w:pPr>
        <w:widowControl/>
        <w:spacing w:line="360" w:lineRule="auto"/>
        <w:ind w:firstLine="480" w:firstLineChars="200"/>
        <w:jc w:val="left"/>
        <w:rPr>
          <w:rFonts w:ascii="宋体" w:eastAsia="宋体" w:hAnsi="宋体"/>
          <w:bCs/>
          <w:kern w:val="2"/>
          <w:sz w:val="21"/>
          <w:szCs w:val="21"/>
          <w:lang w:eastAsia="zh-CN"/>
        </w:rPr>
      </w:pPr>
      <w:r>
        <w:rPr>
          <w:rFonts w:ascii="宋体" w:eastAsia="宋体" w:hAnsi="宋体" w:cs="Times New Roman"/>
          <w:szCs w:val="21"/>
        </w:rPr>
        <w:drawing>
          <wp:inline distT="0" distB="0" distL="0" distR="0">
            <wp:extent cx="4886325" cy="4972050"/>
            <wp:effectExtent l="0" t="0" r="9525" b="0"/>
            <wp:docPr id="21" name="图片 21" descr="12e5581987e7a988a89e173886a93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2e5581987e7a988a89e173886a93ac"/>
                    <pic:cNvPicPr>
                      <a:picLocks noChangeAspect="1" noChangeArrowheads="1"/>
                    </pic:cNvPicPr>
                  </pic:nvPicPr>
                  <pic:blipFill>
                    <a:blip xmlns:r="http://schemas.openxmlformats.org/officeDocument/2006/relationships" r:embed="rId6"/>
                    <a:stretch>
                      <a:fillRect/>
                    </a:stretch>
                  </pic:blipFill>
                  <pic:spPr>
                    <a:xfrm>
                      <a:off x="0" y="0"/>
                      <a:ext cx="4886325" cy="4972050"/>
                    </a:xfrm>
                    <a:prstGeom prst="rect">
                      <a:avLst/>
                    </a:prstGeom>
                    <a:noFill/>
                    <a:ln w="9525">
                      <a:noFill/>
                      <a:miter lim="800000"/>
                      <a:headEnd/>
                      <a:tailEnd/>
                    </a:ln>
                  </pic:spPr>
                </pic:pic>
              </a:graphicData>
            </a:graphic>
          </wp:inline>
        </w:drawing>
      </w:r>
    </w:p>
    <w:p>
      <w:pPr>
        <w:widowControl/>
        <w:jc w:val="left"/>
        <w:rPr>
          <w:rFonts w:ascii="Calibri" w:eastAsia="宋体" w:hAnsi="Calibri"/>
          <w:kern w:val="2"/>
          <w:sz w:val="21"/>
          <w:szCs w:val="22"/>
          <w:lang w:eastAsia="zh-CN"/>
        </w:rPr>
      </w:pPr>
      <w:r>
        <w:rPr>
          <w:rFonts w:ascii="宋体" w:eastAsia="宋体" w:hAnsi="宋体" w:cs="Times New Roman"/>
          <w:kern w:val="0"/>
          <w:szCs w:val="21"/>
        </w:rPr>
        <w:drawing>
          <wp:inline distT="0" distB="0" distL="0" distR="0">
            <wp:extent cx="5267325" cy="2543175"/>
            <wp:effectExtent l="0" t="0" r="9525" b="9525"/>
            <wp:docPr id="22" name="图片 22" descr="d908ea879b86cdd1bf2ab4494434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d908ea879b86cdd1bf2ab4494434741"/>
                    <pic:cNvPicPr>
                      <a:picLocks noChangeAspect="1" noChangeArrowheads="1"/>
                    </pic:cNvPicPr>
                  </pic:nvPicPr>
                  <pic:blipFill>
                    <a:blip xmlns:r="http://schemas.openxmlformats.org/officeDocument/2006/relationships" r:embed="rId7"/>
                    <a:stretch>
                      <a:fillRect/>
                    </a:stretch>
                  </pic:blipFill>
                  <pic:spPr>
                    <a:xfrm>
                      <a:off x="0" y="0"/>
                      <a:ext cx="5267325" cy="2543175"/>
                    </a:xfrm>
                    <a:prstGeom prst="rect">
                      <a:avLst/>
                    </a:prstGeom>
                    <a:noFill/>
                    <a:ln w="9525">
                      <a:noFill/>
                      <a:miter lim="800000"/>
                      <a:headEnd/>
                      <a:tailEnd/>
                    </a:ln>
                  </pic:spPr>
                </pic:pic>
              </a:graphicData>
            </a:graphic>
          </wp:inline>
        </w:drawing>
      </w:r>
    </w:p>
    <w:p>
      <w:pPr>
        <w:widowControl w:val="0"/>
        <w:spacing w:line="360" w:lineRule="auto"/>
        <w:jc w:val="left"/>
        <w:rPr>
          <w:rFonts w:ascii="宋体" w:eastAsia="宋体" w:hAnsi="宋体" w:cs="宋体"/>
          <w:color w:val="0000FF"/>
          <w:kern w:val="2"/>
          <w:sz w:val="21"/>
          <w:szCs w:val="21"/>
          <w:u w:val="single"/>
          <w:lang w:eastAsia="zh-CN"/>
        </w:rPr>
      </w:pPr>
      <w:r>
        <w:rPr>
          <w:rFonts w:ascii="宋体" w:eastAsia="宋体" w:hAnsi="宋体" w:cs="宋体" w:hint="eastAsia"/>
          <w:b/>
          <w:bCs/>
          <w:kern w:val="2"/>
          <w:sz w:val="21"/>
          <w:szCs w:val="21"/>
          <w:lang w:eastAsia="zh-CN"/>
        </w:rPr>
        <w:t>参考示例2：</w:t>
      </w:r>
      <w:r>
        <w:rPr>
          <w:rFonts w:ascii="宋体" w:eastAsia="宋体" w:hAnsi="宋体" w:cs="宋体" w:hint="eastAsia"/>
          <w:kern w:val="2"/>
          <w:sz w:val="21"/>
          <w:szCs w:val="21"/>
          <w:lang w:eastAsia="zh-CN"/>
        </w:rPr>
        <w:t>提供国家企业信用信息公示系统截图。网址：</w:t>
      </w:r>
      <w:hyperlink r:id="rId8" w:history="1">
        <w:r>
          <w:rPr>
            <w:rFonts w:ascii="宋体" w:eastAsia="宋体" w:hAnsi="宋体" w:cs="宋体" w:hint="eastAsia"/>
            <w:color w:val="0000FF"/>
            <w:kern w:val="2"/>
            <w:sz w:val="21"/>
            <w:szCs w:val="21"/>
            <w:u w:val="single"/>
            <w:lang w:eastAsia="zh-CN"/>
          </w:rPr>
          <w:t>https://www.gsxt.gov.cn/corp-query-homepage.html</w:t>
        </w:r>
      </w:hyperlink>
    </w:p>
    <w:p>
      <w:pPr>
        <w:widowControl w:val="0"/>
        <w:spacing w:line="360" w:lineRule="auto"/>
        <w:jc w:val="both"/>
        <w:rPr>
          <w:rFonts w:ascii="Calibri" w:eastAsia="宋体" w:hAnsi="Calibri"/>
          <w:b/>
          <w:bCs/>
          <w:kern w:val="2"/>
          <w:sz w:val="21"/>
          <w:szCs w:val="22"/>
          <w:lang w:eastAsia="zh-CN"/>
        </w:rPr>
      </w:pPr>
      <w:r>
        <w:drawing>
          <wp:inline distT="0" distB="0" distL="114300" distR="114300">
            <wp:extent cx="5471795" cy="4735830"/>
            <wp:effectExtent l="0" t="0" r="14605" b="762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xmlns:r="http://schemas.openxmlformats.org/officeDocument/2006/relationships" r:embed="rId9"/>
                    <a:stretch>
                      <a:fillRect/>
                    </a:stretch>
                  </pic:blipFill>
                  <pic:spPr>
                    <a:xfrm>
                      <a:off x="0" y="0"/>
                      <a:ext cx="5471795" cy="4735830"/>
                    </a:xfrm>
                    <a:prstGeom prst="rect">
                      <a:avLst/>
                    </a:prstGeom>
                    <a:noFill/>
                    <a:ln>
                      <a:noFill/>
                    </a:ln>
                  </pic:spPr>
                </pic:pic>
              </a:graphicData>
            </a:graphic>
          </wp:inline>
        </w:drawing>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color w:val="FF0000"/>
          <w:kern w:val="2"/>
          <w:sz w:val="21"/>
          <w:szCs w:val="22"/>
          <w:highlight w:val="yellow"/>
          <w:lang w:eastAsia="zh-CN"/>
        </w:rPr>
      </w:pPr>
      <w:r>
        <w:rPr>
          <w:rFonts w:ascii="宋体" w:eastAsia="宋体" w:hAnsi="宋体" w:cs="宋体" w:hint="eastAsia"/>
          <w:b/>
          <w:bCs/>
          <w:color w:val="FF0000"/>
          <w:kern w:val="2"/>
          <w:sz w:val="21"/>
          <w:szCs w:val="22"/>
          <w:highlight w:val="yellow"/>
          <w:lang w:eastAsia="zh-CN"/>
        </w:rPr>
        <w:t>提示：如果投标供应商存在单位负责人为同一人，或者存在直接控股、间接控股、管理关系等情形，将被纳入交易监管平台产生示警信息，由此产生的负面影响，由投标人自行承担。</w:t>
      </w:r>
    </w:p>
    <w:p>
      <w:pPr>
        <w:widowControl w:val="0"/>
        <w:jc w:val="both"/>
        <w:rPr>
          <w:rFonts w:ascii="Calibri" w:eastAsia="宋体" w:hAnsi="Calibri"/>
          <w:kern w:val="2"/>
          <w:sz w:val="21"/>
          <w:szCs w:val="22"/>
          <w:lang w:eastAsia="zh-CN"/>
        </w:rPr>
      </w:pPr>
    </w:p>
    <w:p>
      <w:pPr>
        <w:widowControl w:val="0"/>
        <w:spacing w:line="360" w:lineRule="auto"/>
        <w:jc w:val="both"/>
        <w:rPr>
          <w:rFonts w:ascii="Calibri" w:eastAsia="宋体" w:hAnsi="Calibri"/>
          <w:color w:val="FF0000"/>
          <w:kern w:val="2"/>
          <w:sz w:val="21"/>
          <w:szCs w:val="22"/>
          <w:lang w:eastAsia="zh-CN"/>
        </w:rPr>
      </w:pPr>
      <w:r>
        <w:rPr>
          <w:rFonts w:ascii="宋体" w:eastAsia="宋体" w:hAnsi="宋体" w:cstheme="minorBidi" w:hint="eastAsia"/>
          <w:b/>
          <w:color w:val="FF0000"/>
          <w:kern w:val="2"/>
          <w:sz w:val="21"/>
          <w:szCs w:val="22"/>
          <w:lang w:eastAsia="zh-CN"/>
        </w:rPr>
        <w:t>注：</w:t>
      </w:r>
      <w:r>
        <w:rPr>
          <w:rFonts w:ascii="宋体" w:eastAsia="宋体" w:hAnsi="宋体" w:cstheme="minorBidi" w:hint="eastAsia"/>
          <w:b/>
          <w:color w:val="FF0000"/>
          <w:kern w:val="2"/>
          <w:sz w:val="21"/>
          <w:szCs w:val="22"/>
          <w:highlight w:val="yellow"/>
          <w:lang w:eastAsia="zh-CN"/>
        </w:rPr>
        <w:t>若投标供应商因自身的单位性质无法截图的，无需提供截图，例如事业单位或协会等社会组织。</w:t>
      </w:r>
    </w:p>
    <w:p>
      <w:pPr>
        <w:widowControl w:val="0"/>
        <w:spacing w:after="120"/>
        <w:ind w:left="0" w:firstLine="0" w:leftChars="0" w:firstLineChars="0"/>
        <w:jc w:val="both"/>
        <w:rPr>
          <w:rFonts w:ascii="宋体" w:eastAsia="宋体" w:hAnsi="宋体" w:cs="宋体" w:hint="eastAsia"/>
          <w:kern w:val="2"/>
          <w:sz w:val="21"/>
          <w:szCs w:val="22"/>
          <w:lang w:eastAsia="zh-CN"/>
        </w:rPr>
      </w:pPr>
    </w:p>
    <w:p>
      <w:pPr>
        <w:keepNext/>
        <w:keepLines/>
        <w:widowControl w:val="0"/>
        <w:kinsoku/>
        <w:overflowPunct/>
        <w:topLinePunct w:val="0"/>
        <w:bidi w:val="0"/>
        <w:spacing w:before="0" w:beforeAutospacing="0" w:after="0" w:afterAutospacing="0" w:line="360" w:lineRule="auto"/>
        <w:ind w:left="0" w:right="0" w:firstLine="0" w:leftChars="0" w:firstLineChars="0"/>
        <w:jc w:val="both"/>
        <w:outlineLvl w:val="2"/>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2、股东构成审查表</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2299"/>
        <w:gridCol w:w="6557"/>
      </w:tblGrid>
      <w:tr>
        <w:tblPrEx>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589"/>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投标人名称</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94"/>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本单位负责人（法定代表人）姓名</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418"/>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是否存在本单位的控股股东</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u w:val="single"/>
                <w:lang w:eastAsia="zh-CN"/>
              </w:rPr>
            </w:pPr>
            <w:r>
              <w:rPr>
                <w:rFonts w:ascii="宋体" w:eastAsia="宋体" w:hAnsi="宋体" w:cs="宋体" w:hint="eastAsia"/>
                <w:color w:val="000000"/>
                <w:kern w:val="2"/>
                <w:sz w:val="21"/>
                <w:szCs w:val="21"/>
                <w:lang w:eastAsia="zh-CN"/>
              </w:rPr>
              <w:t>□是，其控股股东为：</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szCs w:val="21"/>
                <w:lang w:eastAsia="zh-CN"/>
              </w:rPr>
              <w:t>，股份占比：</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szCs w:val="21"/>
                <w:lang w:eastAsia="zh-CN"/>
              </w:rPr>
              <w:t>；</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其他主要股东及其股份占比：</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szCs w:val="21"/>
                <w:lang w:eastAsia="zh-CN"/>
              </w:rPr>
              <w:t>。</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color w:val="000000"/>
                <w:kern w:val="2"/>
                <w:sz w:val="21"/>
                <w:szCs w:val="21"/>
                <w:lang w:eastAsia="zh-CN"/>
              </w:rPr>
              <w:t>□否</w:t>
            </w:r>
          </w:p>
        </w:tc>
      </w:tr>
      <w:tr>
        <w:tblPrEx>
          <w:tblW w:w="5000" w:type="pct"/>
          <w:tblInd w:w="0" w:type="dxa"/>
          <w:tblLayout w:type="fixed"/>
          <w:tblCellMar>
            <w:top w:w="0" w:type="dxa"/>
            <w:left w:w="108" w:type="dxa"/>
            <w:bottom w:w="0" w:type="dxa"/>
            <w:right w:w="108" w:type="dxa"/>
          </w:tblCellMar>
        </w:tblPrEx>
        <w:trPr>
          <w:trHeight w:val="1136"/>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是否存在“与本单位存在管理关系的单位”</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u w:val="single"/>
                <w:lang w:eastAsia="zh-CN"/>
              </w:rPr>
            </w:pPr>
            <w:r>
              <w:rPr>
                <w:rFonts w:ascii="宋体" w:eastAsia="宋体" w:hAnsi="宋体" w:cs="宋体" w:hint="eastAsia"/>
                <w:color w:val="000000"/>
                <w:kern w:val="2"/>
                <w:sz w:val="21"/>
                <w:szCs w:val="21"/>
                <w:lang w:eastAsia="zh-CN"/>
              </w:rPr>
              <w:t>□是，该单位为：</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color w:val="000000"/>
                <w:kern w:val="2"/>
                <w:sz w:val="21"/>
                <w:szCs w:val="21"/>
                <w:lang w:eastAsia="zh-CN"/>
              </w:rPr>
              <w:t>□否</w:t>
            </w:r>
          </w:p>
        </w:tc>
      </w:tr>
      <w:tr>
        <w:tblPrEx>
          <w:tblW w:w="5000" w:type="pct"/>
          <w:tblInd w:w="0" w:type="dxa"/>
          <w:tblLayout w:type="fixed"/>
          <w:tblCellMar>
            <w:top w:w="0" w:type="dxa"/>
            <w:left w:w="108" w:type="dxa"/>
            <w:bottom w:w="0" w:type="dxa"/>
            <w:right w:w="108" w:type="dxa"/>
          </w:tblCellMar>
        </w:tblPrEx>
        <w:trPr>
          <w:trHeight w:val="1077"/>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是否存在“与招标人有利害关系”的情况</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u w:val="single"/>
                <w:lang w:eastAsia="zh-CN"/>
              </w:rPr>
            </w:pPr>
            <w:r>
              <w:rPr>
                <w:rFonts w:ascii="宋体" w:eastAsia="宋体" w:hAnsi="宋体" w:cs="宋体" w:hint="eastAsia"/>
                <w:color w:val="000000"/>
                <w:kern w:val="2"/>
                <w:sz w:val="21"/>
                <w:szCs w:val="21"/>
                <w:lang w:eastAsia="zh-CN"/>
              </w:rPr>
              <w:t>□是，与招标人的关系为：</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□否</w:t>
            </w:r>
          </w:p>
        </w:tc>
      </w:tr>
    </w:tbl>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注：</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2、投标人需如实填写上述信息，如查实上述信息与实际不符，视为提供虚假证明材料骗取中标，投标人应承担相应法律后果。</w:t>
      </w:r>
    </w:p>
    <w:p>
      <w:pPr>
        <w:widowControl/>
        <w:spacing w:line="360" w:lineRule="auto"/>
        <w:jc w:val="left"/>
        <w:rPr>
          <w:rFonts w:ascii="宋体" w:eastAsia="宋体" w:hAnsi="宋体" w:cs="宋体"/>
          <w:b/>
          <w:color w:val="000000"/>
          <w:kern w:val="2"/>
          <w:sz w:val="21"/>
          <w:szCs w:val="21"/>
          <w:lang w:eastAsia="zh-CN"/>
        </w:rPr>
      </w:pPr>
    </w:p>
    <w:p>
      <w:pPr>
        <w:widowControl w:val="0"/>
        <w:spacing w:after="60" w:afterLines="25" w:line="300" w:lineRule="auto"/>
        <w:jc w:val="center"/>
        <w:rPr>
          <w:rFonts w:ascii="Arial" w:eastAsia="宋体" w:hAnsi="Arial"/>
          <w:b/>
          <w:kern w:val="2"/>
          <w:sz w:val="21"/>
          <w:szCs w:val="22"/>
          <w:lang w:eastAsia="zh-CN"/>
        </w:rPr>
      </w:pPr>
    </w:p>
    <w:p>
      <w:pPr>
        <w:widowControl/>
        <w:jc w:val="center"/>
        <w:rPr>
          <w:rFonts w:ascii="Arial" w:eastAsia="宋体" w:hAnsi="Arial"/>
          <w:kern w:val="2"/>
          <w:sz w:val="21"/>
          <w:lang w:eastAsia="zh-CN"/>
        </w:rPr>
      </w:pPr>
      <w:r>
        <w:rPr>
          <w:rFonts w:ascii="Arial" w:eastAsia="宋体" w:hAnsi="Arial" w:cstheme="minorBidi"/>
          <w:kern w:val="2"/>
          <w:sz w:val="21"/>
          <w:szCs w:val="22"/>
          <w:lang w:eastAsia="zh-CN"/>
        </w:rPr>
        <w:br w:type="page"/>
      </w:r>
    </w:p>
    <w:p>
      <w:pPr>
        <w:keepNext/>
        <w:keepLines/>
        <w:widowControl w:val="0"/>
        <w:spacing w:before="260" w:after="260" w:line="240" w:lineRule="auto"/>
        <w:jc w:val="center"/>
        <w:outlineLvl w:val="2"/>
        <w:rPr>
          <w:rFonts w:ascii="黑体" w:eastAsia="黑体" w:hAnsi="宋体"/>
          <w:b/>
          <w:kern w:val="2"/>
          <w:sz w:val="30"/>
          <w:szCs w:val="30"/>
          <w:lang w:eastAsia="zh-CN"/>
        </w:rPr>
      </w:pPr>
      <w:r>
        <w:rPr>
          <w:rFonts w:ascii="黑体" w:eastAsia="黑体" w:hAnsi="宋体" w:cstheme="minorBidi" w:hint="eastAsia"/>
          <w:b/>
          <w:kern w:val="2"/>
          <w:sz w:val="30"/>
          <w:szCs w:val="30"/>
          <w:lang w:eastAsia="zh-CN"/>
        </w:rPr>
        <w:t>六、</w:t>
      </w:r>
      <w:bookmarkStart w:id="30" w:name="_Hlk72092499"/>
      <w:r>
        <w:rPr>
          <w:rFonts w:ascii="黑体" w:eastAsia="黑体" w:hAnsi="宋体" w:cstheme="minorBidi" w:hint="eastAsia"/>
          <w:b/>
          <w:kern w:val="2"/>
          <w:sz w:val="30"/>
          <w:szCs w:val="30"/>
          <w:lang w:eastAsia="zh-CN"/>
        </w:rPr>
        <w:t>法定代表人（负责人）证明书</w:t>
      </w:r>
      <w:bookmarkEnd w:id="30"/>
    </w:p>
    <w:p>
      <w:pPr>
        <w:widowControl w:val="0"/>
        <w:jc w:val="both"/>
        <w:rPr>
          <w:rFonts w:ascii="Calibri" w:eastAsia="宋体" w:hAnsi="Calibri"/>
          <w:kern w:val="2"/>
          <w:szCs w:val="22"/>
          <w:lang w:eastAsia="zh-CN"/>
        </w:rPr>
      </w:pPr>
    </w:p>
    <w:p>
      <w:pPr>
        <w:widowControl w:val="0"/>
        <w:spacing w:line="360" w:lineRule="auto"/>
        <w:jc w:val="both"/>
        <w:rPr>
          <w:rFonts w:ascii="Calibri" w:eastAsia="宋体" w:hAnsi="Calibri"/>
          <w:kern w:val="2"/>
          <w:sz w:val="21"/>
          <w:szCs w:val="21"/>
          <w:lang w:eastAsia="zh-CN"/>
        </w:rPr>
      </w:pP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（姓名），现任我单位职务，为法定代表人（负责人），身份证件号为：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特此证明。</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说明：1、法定代表人为投标人（企业事业单位、国家机关、社会团体）的主要行政负责人。</w:t>
      </w:r>
    </w:p>
    <w:p>
      <w:pPr>
        <w:widowControl w:val="0"/>
        <w:numPr>
          <w:ilvl w:val="0"/>
          <w:numId w:val="3"/>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本证明书要供法定代表人（负责人）相关身份证明文件：身份证扫描件（正反两面）；港澳台居民可提供来往通行证扫描件；非中国国籍管辖范围人员，可提供公安部门认可的身份证明材料扫描件。</w:t>
      </w:r>
    </w:p>
    <w:p>
      <w:pPr>
        <w:widowControl w:val="0"/>
        <w:numPr>
          <w:ilvl w:val="0"/>
          <w:numId w:val="3"/>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本项目投标授权代表为法定代表人（负责人）的，无需提供《投标文件签署授权委托书》。</w:t>
      </w:r>
    </w:p>
    <w:p>
      <w:pPr>
        <w:widowControl w:val="0"/>
        <w:numPr>
          <w:ilvl w:val="0"/>
          <w:numId w:val="3"/>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28"/>
        <w:gridCol w:w="4428"/>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268"/>
        </w:trPr>
        <w:tc>
          <w:tcPr>
            <w:tcW w:w="4529"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证件扫描件正面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c>
          <w:tcPr>
            <w:tcW w:w="4530"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证件扫描件反面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r>
    </w:tbl>
    <w:p>
      <w:pPr>
        <w:widowControl w:val="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0" w:firstLine="0" w:leftChars="0" w:firstLineChars="0"/>
        <w:jc w:val="both"/>
        <w:rPr>
          <w:rFonts w:ascii="Calibri" w:eastAsia="宋体" w:hAnsi="Calibri"/>
          <w:kern w:val="2"/>
          <w:szCs w:val="22"/>
          <w:lang w:eastAsia="zh-CN"/>
        </w:rPr>
      </w:pPr>
    </w:p>
    <w:p>
      <w:pPr>
        <w:keepNext/>
        <w:keepLines/>
        <w:widowControl w:val="0"/>
        <w:spacing w:before="120" w:after="120" w:line="240" w:lineRule="auto"/>
        <w:jc w:val="center"/>
        <w:outlineLvl w:val="2"/>
        <w:rPr>
          <w:rFonts w:ascii="黑体" w:eastAsia="黑体" w:hint="eastAsia"/>
          <w:b/>
          <w:bCs/>
          <w:kern w:val="2"/>
          <w:sz w:val="30"/>
          <w:szCs w:val="22"/>
          <w:lang w:eastAsia="zh-CN"/>
        </w:rPr>
      </w:pPr>
      <w:r>
        <w:rPr>
          <w:rFonts w:ascii="黑体" w:eastAsia="黑体" w:hint="eastAsia"/>
          <w:b/>
          <w:bCs/>
          <w:kern w:val="2"/>
          <w:sz w:val="30"/>
          <w:szCs w:val="22"/>
          <w:lang w:eastAsia="zh-CN"/>
        </w:rPr>
        <w:t>七、投标文件签署授权委托书</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本授权委托书声明：我</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（姓名）系</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（投标人名称）的法定代表人（负责人），现授权委托</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代理人无转委托权，特此委托。</w:t>
      </w:r>
    </w:p>
    <w:p>
      <w:pPr>
        <w:widowControl w:val="0"/>
        <w:spacing w:line="360" w:lineRule="auto"/>
        <w:ind w:firstLine="420" w:firstLineChars="200"/>
        <w:jc w:val="both"/>
        <w:rPr>
          <w:rFonts w:ascii="Calibri" w:eastAsia="宋体" w:hAnsi="Calibri" w:hint="eastAsia"/>
          <w:kern w:val="2"/>
          <w:sz w:val="21"/>
          <w:szCs w:val="21"/>
          <w:lang w:eastAsia="zh-CN"/>
        </w:rPr>
      </w:pP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代理人：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身份证件号：</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，职务：</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，手机：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，电子邮箱：</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授权委托日期：</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年</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月</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日。</w:t>
      </w:r>
    </w:p>
    <w:p>
      <w:pPr>
        <w:widowControl w:val="0"/>
        <w:spacing w:line="360" w:lineRule="auto"/>
        <w:ind w:firstLine="420" w:firstLineChars="200"/>
        <w:jc w:val="both"/>
        <w:rPr>
          <w:rFonts w:ascii="Calibri" w:eastAsia="宋体" w:hAnsi="Calibri"/>
          <w:b/>
          <w:color w:val="FF0000"/>
          <w:kern w:val="2"/>
          <w:sz w:val="21"/>
          <w:szCs w:val="21"/>
          <w:lang w:eastAsia="zh-CN"/>
        </w:rPr>
      </w:pPr>
      <w:r>
        <w:rPr>
          <w:rFonts w:ascii="Calibri" w:eastAsia="宋体" w:hAnsi="Calibri" w:cstheme="minorBidi"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27"/>
        <w:gridCol w:w="442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218"/>
        </w:trPr>
        <w:tc>
          <w:tcPr>
            <w:tcW w:w="4269" w:type="dxa"/>
          </w:tcPr>
          <w:p>
            <w:pPr>
              <w:jc w:val="center"/>
              <w:rPr>
                <w:rFonts w:ascii="Calibri" w:hAnsi="Calibri"/>
                <w:kern w:val="2"/>
                <w:sz w:val="21"/>
                <w:szCs w:val="22"/>
                <w:lang w:eastAsia="zh-CN"/>
              </w:rPr>
            </w:pPr>
            <w:r>
              <w:rPr>
                <w:rFonts w:hAnsi="Calibri" w:cstheme="minorBidi" w:hint="eastAsia"/>
                <w:kern w:val="2"/>
                <w:sz w:val="21"/>
                <w:szCs w:val="22"/>
                <w:lang w:eastAsia="zh-CN"/>
              </w:rPr>
              <w:t>证件扫描件正面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c>
          <w:tcPr>
            <w:tcW w:w="4270" w:type="dxa"/>
          </w:tcPr>
          <w:p>
            <w:pPr>
              <w:jc w:val="center"/>
              <w:rPr>
                <w:rFonts w:ascii="Calibri" w:hAnsi="Calibri"/>
                <w:kern w:val="2"/>
                <w:sz w:val="21"/>
                <w:szCs w:val="22"/>
                <w:lang w:eastAsia="zh-CN"/>
              </w:rPr>
            </w:pPr>
            <w:r>
              <w:rPr>
                <w:rFonts w:hAnsi="Calibri" w:cstheme="minorBidi" w:hint="eastAsia"/>
                <w:kern w:val="2"/>
                <w:sz w:val="21"/>
                <w:szCs w:val="22"/>
                <w:lang w:eastAsia="zh-CN"/>
              </w:rPr>
              <w:t>证件扫描件反面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r>
    </w:tbl>
    <w:p>
      <w:pPr>
        <w:widowControl w:val="0"/>
        <w:tabs>
          <w:tab w:val="left" w:pos="651"/>
        </w:tabs>
        <w:snapToGrid w:val="0"/>
        <w:jc w:val="center"/>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jc w:val="center"/>
        <w:rPr>
          <w:rFonts w:ascii="黑体" w:eastAsia="黑体" w:hAnsi="Calibri"/>
          <w:b/>
          <w:kern w:val="2"/>
          <w:sz w:val="30"/>
          <w:szCs w:val="22"/>
          <w:lang w:eastAsia="zh-CN"/>
        </w:rPr>
      </w:pPr>
      <w:r>
        <w:rPr>
          <w:rFonts w:ascii="黑体" w:eastAsia="黑体" w:hAnsi="Calibri" w:cstheme="minorBidi" w:hint="eastAsia"/>
          <w:b/>
          <w:kern w:val="2"/>
          <w:sz w:val="30"/>
          <w:szCs w:val="22"/>
          <w:lang w:eastAsia="zh-CN"/>
        </w:rPr>
        <w:t>八、</w:t>
      </w:r>
      <w:bookmarkStart w:id="31" w:name="_Hlk72092634"/>
      <w:r>
        <w:rPr>
          <w:rFonts w:ascii="黑体" w:eastAsia="黑体" w:hAnsi="Calibri" w:cstheme="minorBidi" w:hint="eastAsia"/>
          <w:b/>
          <w:kern w:val="2"/>
          <w:sz w:val="30"/>
          <w:szCs w:val="22"/>
          <w:lang w:eastAsia="zh-CN"/>
        </w:rPr>
        <w:t>实质性条款响应情况表</w:t>
      </w:r>
      <w:bookmarkEnd w:id="31"/>
    </w:p>
    <w:p>
      <w:pPr>
        <w:widowControl w:val="0"/>
        <w:snapToGrid w:val="0"/>
        <w:jc w:val="both"/>
        <w:rPr>
          <w:rFonts w:ascii="Arial" w:eastAsia="宋体" w:hAnsi="Arial" w:cs="Arial"/>
          <w:kern w:val="2"/>
          <w:lang w:eastAsia="zh-CN"/>
        </w:rPr>
      </w:pPr>
      <w:r>
        <w:rPr>
          <w:rFonts w:ascii="Arial" w:eastAsia="宋体" w:hAnsi="Arial" w:cs="Arial" w:hint="eastAsia"/>
          <w:color w:val="000000"/>
          <w:kern w:val="2"/>
          <w:lang w:eastAsia="zh-CN"/>
        </w:rPr>
        <w:t>投标单位（投标人）名称：</w:t>
      </w:r>
    </w:p>
    <w:p>
      <w:pPr>
        <w:widowControl w:val="0"/>
        <w:snapToGrid w:val="0"/>
        <w:jc w:val="both"/>
        <w:rPr>
          <w:rFonts w:ascii="宋体" w:eastAsia="宋体" w:hAnsi="宋体"/>
          <w:b/>
          <w:kern w:val="2"/>
          <w:lang w:eastAsia="zh-CN"/>
        </w:rPr>
      </w:pPr>
    </w:p>
    <w:tbl>
      <w:tblPr>
        <w:tblStyle w:val="TableNormal"/>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
      <w:tblGrid>
        <w:gridCol w:w="578"/>
        <w:gridCol w:w="3657"/>
        <w:gridCol w:w="2047"/>
        <w:gridCol w:w="1632"/>
        <w:gridCol w:w="942"/>
      </w:tblGrid>
      <w:tr>
        <w:tblPrEx>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Ex>
        <w:trPr>
          <w:trHeight w:val="529"/>
          <w:jc w:val="center"/>
        </w:trPr>
        <w:tc>
          <w:tcPr>
            <w:tcW w:w="602" w:type="dxa"/>
            <w:vAlign w:val="center"/>
          </w:tcPr>
          <w:p>
            <w:pPr>
              <w:widowControl w:val="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序号</w:t>
            </w:r>
          </w:p>
        </w:tc>
        <w:tc>
          <w:tcPr>
            <w:tcW w:w="3901" w:type="dxa"/>
            <w:vAlign w:val="center"/>
          </w:tcPr>
          <w:p>
            <w:pPr>
              <w:widowControl w:val="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实质性条款具体内容</w:t>
            </w:r>
          </w:p>
        </w:tc>
        <w:tc>
          <w:tcPr>
            <w:tcW w:w="2176" w:type="dxa"/>
            <w:vAlign w:val="center"/>
          </w:tcPr>
          <w:p>
            <w:pPr>
              <w:widowControl w:val="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投标文件响应</w:t>
            </w:r>
          </w:p>
        </w:tc>
        <w:tc>
          <w:tcPr>
            <w:tcW w:w="1732" w:type="dxa"/>
          </w:tcPr>
          <w:p>
            <w:pPr>
              <w:widowControl w:val="0"/>
              <w:spacing w:before="120" w:beforeLines="5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偏离情况</w:t>
            </w:r>
          </w:p>
        </w:tc>
        <w:tc>
          <w:tcPr>
            <w:tcW w:w="992" w:type="dxa"/>
            <w:vAlign w:val="center"/>
          </w:tcPr>
          <w:p>
            <w:pPr>
              <w:widowControl w:val="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说明</w:t>
            </w:r>
          </w:p>
        </w:tc>
      </w:tr>
      <w:tr>
        <w:tblPrEx>
          <w:tblW w:w="5000" w:type="pct"/>
          <w:jc w:val="center"/>
          <w:tblLayout w:type="fixed"/>
          <w:tblCellMar>
            <w:top w:w="0" w:type="dxa"/>
            <w:left w:w="108" w:type="dxa"/>
            <w:bottom w:w="0" w:type="dxa"/>
            <w:right w:w="108" w:type="dxa"/>
          </w:tblCellMar>
        </w:tblPrEx>
        <w:trPr>
          <w:trHeight w:val="1060"/>
          <w:jc w:val="center"/>
        </w:trPr>
        <w:tc>
          <w:tcPr>
            <w:tcW w:w="602" w:type="dxa"/>
            <w:vAlign w:val="center"/>
          </w:tcPr>
          <w:p>
            <w:pPr>
              <w:widowControl w:val="0"/>
              <w:spacing w:line="300" w:lineRule="auto"/>
              <w:jc w:val="center"/>
              <w:rPr>
                <w:rFonts w:ascii="宋体" w:eastAsia="宋体" w:hAnsi="宋体"/>
                <w:b/>
                <w:color w:val="FF0000"/>
                <w:sz w:val="21"/>
                <w:szCs w:val="21"/>
                <w:lang w:eastAsia="zh-CN"/>
              </w:rPr>
            </w:pPr>
            <w:r>
              <w:rPr>
                <w:rFonts w:ascii="宋体" w:eastAsia="宋体" w:hAnsi="宋体" w:hint="eastAsia"/>
                <w:b/>
                <w:color w:val="FF0000"/>
                <w:sz w:val="21"/>
                <w:szCs w:val="21"/>
                <w:lang w:eastAsia="zh-CN"/>
              </w:rPr>
              <w:t>1</w:t>
            </w:r>
          </w:p>
        </w:tc>
        <w:tc>
          <w:tcPr>
            <w:tcW w:w="3901" w:type="dxa"/>
            <w:vAlign w:val="center"/>
          </w:tcPr>
          <w:p>
            <w:pPr>
              <w:widowControl w:val="0"/>
              <w:spacing w:line="300" w:lineRule="auto"/>
              <w:jc w:val="center"/>
              <w:rPr>
                <w:rFonts w:ascii="宋体" w:eastAsia="宋体" w:hAnsi="宋体"/>
                <w:b/>
                <w:color w:val="FF0000"/>
                <w:sz w:val="21"/>
                <w:szCs w:val="21"/>
                <w:lang w:eastAsia="zh-CN"/>
              </w:rPr>
            </w:pPr>
            <w:r>
              <w:rPr>
                <w:rFonts w:ascii="宋体" w:eastAsia="宋体" w:hAnsi="宋体" w:hint="eastAsia"/>
                <w:b/>
                <w:color w:val="FF0000"/>
                <w:sz w:val="21"/>
                <w:szCs w:val="21"/>
                <w:lang w:eastAsia="zh-CN"/>
              </w:rPr>
              <w:t>本项目招标文件中所有带★号条款内容</w:t>
            </w:r>
          </w:p>
        </w:tc>
        <w:tc>
          <w:tcPr>
            <w:tcW w:w="2176" w:type="dxa"/>
            <w:vAlign w:val="center"/>
          </w:tcPr>
          <w:p>
            <w:pPr>
              <w:widowControl w:val="0"/>
              <w:spacing w:line="300" w:lineRule="auto"/>
              <w:jc w:val="center"/>
              <w:rPr>
                <w:rFonts w:ascii="宋体" w:eastAsia="宋体" w:hAnsi="宋体"/>
                <w:b/>
                <w:sz w:val="21"/>
                <w:szCs w:val="21"/>
                <w:lang w:eastAsia="zh-CN"/>
              </w:rPr>
            </w:pPr>
            <w:r>
              <w:rPr>
                <w:rFonts w:ascii="宋体" w:eastAsia="宋体" w:hAnsi="宋体" w:hint="eastAsia"/>
                <w:b/>
                <w:sz w:val="21"/>
                <w:szCs w:val="21"/>
                <w:lang w:eastAsia="zh-CN"/>
              </w:rPr>
              <w:t>完全响应</w:t>
            </w:r>
          </w:p>
        </w:tc>
        <w:tc>
          <w:tcPr>
            <w:tcW w:w="1732" w:type="dxa"/>
            <w:vAlign w:val="center"/>
          </w:tcPr>
          <w:p>
            <w:pPr>
              <w:widowControl w:val="0"/>
              <w:spacing w:line="300" w:lineRule="auto"/>
              <w:jc w:val="center"/>
              <w:rPr>
                <w:rFonts w:ascii="宋体" w:eastAsia="宋体" w:hAnsi="宋体"/>
                <w:b/>
                <w:sz w:val="21"/>
                <w:szCs w:val="21"/>
                <w:lang w:eastAsia="zh-CN"/>
              </w:rPr>
            </w:pPr>
            <w:r>
              <w:rPr>
                <w:rFonts w:ascii="宋体" w:eastAsia="宋体" w:hAnsi="宋体" w:hint="eastAsia"/>
                <w:b/>
                <w:sz w:val="21"/>
                <w:szCs w:val="21"/>
                <w:lang w:eastAsia="zh-CN"/>
              </w:rPr>
              <w:t>无偏离</w:t>
            </w:r>
          </w:p>
        </w:tc>
        <w:tc>
          <w:tcPr>
            <w:tcW w:w="992" w:type="dxa"/>
            <w:vAlign w:val="center"/>
          </w:tcPr>
          <w:p>
            <w:pPr>
              <w:widowControl w:val="0"/>
              <w:spacing w:line="300" w:lineRule="auto"/>
              <w:jc w:val="center"/>
              <w:rPr>
                <w:rFonts w:ascii="宋体" w:eastAsia="宋体" w:hAnsi="宋体"/>
                <w:b/>
                <w:color w:val="FF0000"/>
                <w:sz w:val="21"/>
                <w:szCs w:val="21"/>
                <w:lang w:eastAsia="zh-CN"/>
              </w:rPr>
            </w:pPr>
          </w:p>
        </w:tc>
      </w:tr>
    </w:tbl>
    <w:p>
      <w:pPr>
        <w:widowControl w:val="0"/>
        <w:snapToGrid w:val="0"/>
        <w:jc w:val="both"/>
        <w:rPr>
          <w:rFonts w:ascii="宋体" w:eastAsia="宋体" w:hAnsi="宋体"/>
          <w:kern w:val="2"/>
          <w:lang w:eastAsia="zh-CN"/>
        </w:rPr>
      </w:pPr>
    </w:p>
    <w:p>
      <w:pPr>
        <w:widowControl w:val="0"/>
        <w:snapToGrid w:val="0"/>
        <w:jc w:val="both"/>
        <w:rPr>
          <w:rFonts w:ascii="宋体" w:eastAsia="宋体" w:hAnsi="宋体"/>
          <w:b/>
          <w:kern w:val="2"/>
          <w:lang w:eastAsia="zh-CN"/>
        </w:rPr>
      </w:pPr>
      <w:r>
        <w:rPr>
          <w:rFonts w:ascii="宋体" w:eastAsia="宋体" w:hAnsi="宋体" w:hint="eastAsia"/>
          <w:b/>
          <w:kern w:val="2"/>
          <w:lang w:eastAsia="zh-CN"/>
        </w:rPr>
        <w:t>填写说明：</w:t>
      </w:r>
    </w:p>
    <w:p>
      <w:pPr>
        <w:widowControl w:val="0"/>
        <w:spacing w:line="276"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1、上表所列各项均为不可负偏离条款。</w:t>
      </w:r>
    </w:p>
    <w:p>
      <w:pPr>
        <w:widowControl w:val="0"/>
        <w:spacing w:line="276"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2、“投标文件响应”一栏应当详细填写投标人自身响应情况，而不能不合理照搬照抄招标文件实质性条款具体内容。</w:t>
      </w:r>
      <w:r>
        <w:rPr>
          <w:rFonts w:ascii="宋体" w:eastAsia="宋体" w:hAnsi="宋体" w:cs="宋体" w:hint="eastAsia"/>
          <w:b/>
          <w:bCs/>
          <w:kern w:val="2"/>
          <w:lang w:eastAsia="zh-CN"/>
        </w:rPr>
        <w:t>如完全满足实质性条款具体内容可填写“完全响应”，除招标文件另有注明外，不强制要求逐条列出响应。</w:t>
      </w:r>
    </w:p>
    <w:p>
      <w:pPr>
        <w:widowControl w:val="0"/>
        <w:spacing w:line="276"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3、“偏离情况”一栏应填写</w:t>
      </w:r>
      <w:r>
        <w:rPr>
          <w:rFonts w:ascii="宋体" w:eastAsia="宋体" w:hAnsi="宋体" w:cs="宋体" w:hint="eastAsia"/>
          <w:kern w:val="2"/>
          <w:lang w:eastAsia="zh-CN"/>
        </w:rPr>
        <w:t>“</w:t>
      </w:r>
      <w:r>
        <w:rPr>
          <w:rFonts w:ascii="宋体" w:eastAsia="宋体" w:hAnsi="宋体" w:cs="宋体" w:hint="eastAsia"/>
          <w:b/>
          <w:bCs/>
          <w:kern w:val="2"/>
          <w:lang w:eastAsia="zh-CN"/>
        </w:rPr>
        <w:t>正偏离</w:t>
      </w:r>
      <w:r>
        <w:rPr>
          <w:rFonts w:ascii="宋体" w:eastAsia="宋体" w:hAnsi="宋体" w:cs="宋体" w:hint="eastAsia"/>
          <w:kern w:val="2"/>
          <w:lang w:eastAsia="zh-CN"/>
        </w:rPr>
        <w:t>”或“</w:t>
      </w:r>
      <w:r>
        <w:rPr>
          <w:rFonts w:ascii="宋体" w:eastAsia="宋体" w:hAnsi="宋体" w:cs="宋体" w:hint="eastAsia"/>
          <w:b/>
          <w:bCs/>
          <w:kern w:val="2"/>
          <w:lang w:eastAsia="zh-CN"/>
        </w:rPr>
        <w:t>负偏离</w:t>
      </w:r>
      <w:r>
        <w:rPr>
          <w:rFonts w:ascii="宋体" w:eastAsia="宋体" w:hAnsi="宋体" w:cs="宋体" w:hint="eastAsia"/>
          <w:kern w:val="2"/>
          <w:lang w:eastAsia="zh-CN"/>
        </w:rPr>
        <w:t>”或“</w:t>
      </w:r>
      <w:r>
        <w:rPr>
          <w:rFonts w:ascii="宋体" w:eastAsia="宋体" w:hAnsi="宋体" w:cs="宋体" w:hint="eastAsia"/>
          <w:b/>
          <w:bCs/>
          <w:kern w:val="2"/>
          <w:lang w:eastAsia="zh-CN"/>
        </w:rPr>
        <w:t>无偏离</w:t>
      </w:r>
      <w:r>
        <w:rPr>
          <w:rFonts w:ascii="宋体" w:eastAsia="宋体" w:hAnsi="宋体" w:cs="宋体" w:hint="eastAsia"/>
          <w:kern w:val="2"/>
          <w:lang w:eastAsia="zh-CN"/>
        </w:rPr>
        <w:t>”</w:t>
      </w:r>
      <w:r>
        <w:rPr>
          <w:rFonts w:ascii="宋体" w:eastAsia="宋体" w:hAnsi="宋体" w:cs="宋体" w:hint="eastAsia"/>
          <w:bCs/>
          <w:kern w:val="2"/>
          <w:lang w:eastAsia="zh-CN"/>
        </w:rPr>
        <w:t>，“正偏离”表示“投标响应优于实质性条款具体内容要求”，“负偏离”表示“投标响应不满足实质性条款具体内容要求”，“无偏离”表示“投标响应与实质性条款具体内容要求一致”。</w:t>
      </w:r>
    </w:p>
    <w:p>
      <w:pPr>
        <w:widowControl w:val="0"/>
        <w:spacing w:line="276"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4、评审委员会有权对投标响应情况作出判断。</w:t>
      </w:r>
    </w:p>
    <w:p>
      <w:pPr>
        <w:widowControl w:val="0"/>
        <w:spacing w:line="276"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5、实质性响应条款“投标响应情况”与投标文件其它内容冲突的，以实质性响应条款“投标响应情况”为准。</w:t>
      </w:r>
    </w:p>
    <w:p>
      <w:pPr>
        <w:widowControl w:val="0"/>
        <w:spacing w:line="276"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6、以上实质性条款中要求提供证明材料，需如实提供证明材料扫描件，在“说明”一栏中列明证明材料的位置，以便评审；未要求提供证明材料的，投标人可以不提供。</w:t>
      </w:r>
    </w:p>
    <w:p>
      <w:pPr>
        <w:widowControl w:val="0"/>
        <w:jc w:val="both"/>
        <w:rPr>
          <w:rFonts w:ascii="宋体" w:eastAsia="宋体" w:hAnsi="宋体"/>
          <w:b/>
          <w:bCs/>
          <w:szCs w:val="20"/>
          <w:lang w:eastAsia="zh-CN"/>
        </w:rPr>
      </w:pPr>
      <w:r>
        <w:rPr>
          <w:rFonts w:ascii="宋体" w:eastAsia="宋体" w:hAnsi="宋体" w:hint="eastAsia"/>
          <w:b/>
          <w:bCs/>
          <w:szCs w:val="20"/>
          <w:lang w:eastAsia="zh-CN"/>
        </w:rPr>
        <w:br w:type="page"/>
      </w:r>
    </w:p>
    <w:p>
      <w:pPr>
        <w:keepNext/>
        <w:keepLines/>
        <w:widowControl w:val="0"/>
        <w:spacing w:before="260" w:after="260" w:line="240" w:lineRule="auto"/>
        <w:jc w:val="center"/>
        <w:outlineLvl w:val="2"/>
        <w:rPr>
          <w:rFonts w:ascii="黑体" w:eastAsia="黑体" w:hAnsi="宋体"/>
          <w:b/>
          <w:kern w:val="2"/>
          <w:sz w:val="30"/>
          <w:szCs w:val="30"/>
          <w:lang w:eastAsia="zh-CN"/>
        </w:rPr>
      </w:pPr>
      <w:r>
        <w:rPr>
          <w:rFonts w:ascii="黑体" w:eastAsia="黑体" w:hAnsi="宋体" w:cstheme="minorBidi" w:hint="eastAsia"/>
          <w:b/>
          <w:kern w:val="2"/>
          <w:sz w:val="30"/>
          <w:szCs w:val="30"/>
          <w:lang w:eastAsia="zh-CN"/>
        </w:rPr>
        <w:t>九、技术要求偏离表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2"/>
        <w:gridCol w:w="1125"/>
        <w:gridCol w:w="2646"/>
        <w:gridCol w:w="2519"/>
        <w:gridCol w:w="1077"/>
        <w:gridCol w:w="787"/>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36"/>
          <w:jc w:val="center"/>
        </w:trPr>
        <w:tc>
          <w:tcPr>
            <w:tcW w:w="77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序号</w:t>
            </w:r>
          </w:p>
        </w:tc>
        <w:tc>
          <w:tcPr>
            <w:tcW w:w="126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货物名称</w:t>
            </w:r>
          </w:p>
        </w:tc>
        <w:tc>
          <w:tcPr>
            <w:tcW w:w="3028"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招标技术要求</w:t>
            </w:r>
          </w:p>
        </w:tc>
        <w:tc>
          <w:tcPr>
            <w:tcW w:w="2881"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投标技术响应</w:t>
            </w:r>
          </w:p>
        </w:tc>
        <w:tc>
          <w:tcPr>
            <w:tcW w:w="1210"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偏离情况</w:t>
            </w:r>
          </w:p>
        </w:tc>
        <w:tc>
          <w:tcPr>
            <w:tcW w:w="874"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说明</w:t>
            </w:r>
          </w:p>
        </w:tc>
      </w:tr>
      <w:tr>
        <w:tblPrEx>
          <w:tblW w:w="5000" w:type="pct"/>
          <w:jc w:val="center"/>
          <w:tblLayout w:type="fixed"/>
          <w:tblCellMar>
            <w:top w:w="0" w:type="dxa"/>
            <w:left w:w="108" w:type="dxa"/>
            <w:bottom w:w="0" w:type="dxa"/>
            <w:right w:w="108" w:type="dxa"/>
          </w:tblCellMar>
        </w:tblPrEx>
        <w:trPr>
          <w:trHeight w:val="119"/>
          <w:jc w:val="center"/>
        </w:trPr>
        <w:tc>
          <w:tcPr>
            <w:tcW w:w="776" w:type="dxa"/>
            <w:vMerge w:val="restart"/>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1266" w:type="dxa"/>
            <w:vMerge w:val="restart"/>
            <w:vAlign w:val="center"/>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19"/>
          <w:jc w:val="center"/>
        </w:trPr>
        <w:tc>
          <w:tcPr>
            <w:tcW w:w="776" w:type="dxa"/>
            <w:vMerge/>
            <w:vAlign w:val="center"/>
          </w:tcPr>
          <w:p>
            <w:pPr>
              <w:widowControl w:val="0"/>
              <w:jc w:val="both"/>
              <w:rPr>
                <w:rFonts w:ascii="Calibri" w:eastAsia="宋体" w:hAnsi="Calibri"/>
                <w:kern w:val="2"/>
                <w:sz w:val="21"/>
                <w:szCs w:val="22"/>
                <w:lang w:eastAsia="zh-CN"/>
              </w:rPr>
            </w:pPr>
          </w:p>
        </w:tc>
        <w:tc>
          <w:tcPr>
            <w:tcW w:w="1266" w:type="dxa"/>
            <w:vMerge/>
            <w:vAlign w:val="center"/>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19"/>
          <w:jc w:val="center"/>
        </w:trPr>
        <w:tc>
          <w:tcPr>
            <w:tcW w:w="776" w:type="dxa"/>
            <w:vMerge/>
          </w:tcPr>
          <w:p>
            <w:pPr>
              <w:widowControl w:val="0"/>
              <w:jc w:val="both"/>
              <w:rPr>
                <w:rFonts w:ascii="Calibri" w:eastAsia="宋体" w:hAnsi="Calibri"/>
                <w:kern w:val="2"/>
                <w:sz w:val="21"/>
                <w:szCs w:val="22"/>
                <w:lang w:eastAsia="zh-CN"/>
              </w:rPr>
            </w:pPr>
          </w:p>
        </w:tc>
        <w:tc>
          <w:tcPr>
            <w:tcW w:w="1266" w:type="dxa"/>
            <w:vMerge/>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22"/>
          <w:jc w:val="center"/>
        </w:trPr>
        <w:tc>
          <w:tcPr>
            <w:tcW w:w="776" w:type="dxa"/>
            <w:vMerge/>
          </w:tcPr>
          <w:p>
            <w:pPr>
              <w:widowControl w:val="0"/>
              <w:jc w:val="both"/>
              <w:rPr>
                <w:rFonts w:ascii="Calibri" w:eastAsia="宋体" w:hAnsi="Calibri"/>
                <w:kern w:val="2"/>
                <w:sz w:val="21"/>
                <w:szCs w:val="22"/>
                <w:lang w:eastAsia="zh-CN"/>
              </w:rPr>
            </w:pPr>
          </w:p>
        </w:tc>
        <w:tc>
          <w:tcPr>
            <w:tcW w:w="1266" w:type="dxa"/>
            <w:vMerge/>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22"/>
          <w:jc w:val="center"/>
        </w:trPr>
        <w:tc>
          <w:tcPr>
            <w:tcW w:w="776" w:type="dxa"/>
            <w:vMerge w:val="restart"/>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1266" w:type="dxa"/>
            <w:vMerge w:val="restart"/>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22"/>
          <w:jc w:val="center"/>
        </w:trPr>
        <w:tc>
          <w:tcPr>
            <w:tcW w:w="776" w:type="dxa"/>
            <w:vMerge/>
          </w:tcPr>
          <w:p>
            <w:pPr>
              <w:widowControl w:val="0"/>
              <w:jc w:val="both"/>
              <w:rPr>
                <w:rFonts w:ascii="Calibri" w:eastAsia="宋体" w:hAnsi="Calibri"/>
                <w:kern w:val="2"/>
                <w:sz w:val="21"/>
                <w:szCs w:val="22"/>
                <w:lang w:eastAsia="zh-CN"/>
              </w:rPr>
            </w:pPr>
          </w:p>
        </w:tc>
        <w:tc>
          <w:tcPr>
            <w:tcW w:w="1266" w:type="dxa"/>
            <w:vMerge/>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bl>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填写说明：</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1、技术要求偏离表的序号、货物名称、招标技术要求等栏目对应“用户需求书”中的“技术要求部分”章节相关内容。</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投标技术响应”一栏必须一一对照“招标技术要求”，详细填写投标人自身投标货物的具体参数，而不能不合理照搬照抄招标文件的技术要求，以体现具体响应情况。“投标技术响应”必须与所投产品客观实际保持一致，响应不实且情节严重的，经查实，将依法记入供应商诚信档案或受到行政处罚。</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3、“偏离情况”一栏填写如实填写</w:t>
      </w:r>
      <w:r>
        <w:rPr>
          <w:rFonts w:ascii="Calibri" w:eastAsia="宋体" w:hAnsi="Calibri" w:cstheme="minorBidi" w:hint="eastAsia"/>
          <w:b/>
          <w:kern w:val="2"/>
          <w:sz w:val="21"/>
          <w:szCs w:val="22"/>
          <w:lang w:eastAsia="zh-CN"/>
        </w:rPr>
        <w:t>“正偏离”、“负偏离”或“无偏离”</w:t>
      </w:r>
      <w:r>
        <w:rPr>
          <w:rFonts w:ascii="Calibri" w:eastAsia="宋体" w:hAnsi="Calibri" w:cstheme="minorBidi" w:hint="eastAsia"/>
          <w:kern w:val="2"/>
          <w:sz w:val="21"/>
          <w:szCs w:val="22"/>
          <w:lang w:eastAsia="zh-CN"/>
        </w:rPr>
        <w:t>，其中：“正偏离”表示“投标响应优于招标技术要求”，“负偏离”表示“投标响应不满足招标技术要求”，“无偏离”表示“投标响应与招标技术要求一致”。“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偏离情况”必须与所投产品客观实际保持一致，响应不实且情节严重的，经查实，将依法记入供应商诚信档案或受到行政处罚。</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4、未要求提供证明资料的招标技术要求，可以不提供证明资料（如实响应即可）。</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证明资料条款响应要求：要求提供证明资料（且已对证明资料的形式、内容作出明确要求）进行响应的条款，应当在“说明”一栏中列明是否提供了符合要求的证明资料，以及所提供证明资料在投标文件的所在节点（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6、投标人提供的证明资料，均要求原件备查。</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7、评审委员会有权对投标人是否存在虚假响应予以认定，并视情况经招标机构报主管部门进行处理；</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8、除招标文件另有注明外，投标文件其它位置如出现与本表中投标参数不一致的信息，均以本表信息为准。</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keepNext/>
        <w:keepLines/>
        <w:widowControl w:val="0"/>
        <w:spacing w:before="260" w:after="260" w:line="240" w:lineRule="auto"/>
        <w:jc w:val="center"/>
        <w:outlineLvl w:val="2"/>
        <w:rPr>
          <w:rFonts w:ascii="黑体" w:eastAsia="黑体" w:hAnsi="宋体"/>
          <w:b/>
          <w:bCs/>
          <w:kern w:val="2"/>
          <w:sz w:val="30"/>
          <w:szCs w:val="30"/>
          <w:lang w:eastAsia="zh-CN"/>
        </w:rPr>
      </w:pPr>
      <w:r>
        <w:rPr>
          <w:rFonts w:ascii="黑体" w:eastAsia="黑体" w:hAnsi="宋体" w:cstheme="minorBidi" w:hint="eastAsia"/>
          <w:b/>
          <w:bCs/>
          <w:kern w:val="2"/>
          <w:sz w:val="30"/>
          <w:szCs w:val="30"/>
          <w:lang w:eastAsia="zh-CN"/>
        </w:rPr>
        <w:t>十、商务要求偏离表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42"/>
        <w:gridCol w:w="1456"/>
        <w:gridCol w:w="2484"/>
        <w:gridCol w:w="2404"/>
        <w:gridCol w:w="1172"/>
        <w:gridCol w:w="698"/>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69"/>
          <w:jc w:val="center"/>
        </w:trPr>
        <w:tc>
          <w:tcPr>
            <w:tcW w:w="681"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序号</w:t>
            </w:r>
          </w:p>
        </w:tc>
        <w:tc>
          <w:tcPr>
            <w:tcW w:w="1573" w:type="dxa"/>
            <w:vAlign w:val="center"/>
          </w:tcPr>
          <w:p>
            <w:pPr>
              <w:widowControl w:val="0"/>
              <w:jc w:val="both"/>
              <w:rPr>
                <w:rFonts w:ascii="Calibri" w:eastAsia="宋体" w:hAnsi="Calibri"/>
                <w:kern w:val="2"/>
                <w:sz w:val="21"/>
                <w:szCs w:val="22"/>
                <w:lang w:eastAsia="zh-CN"/>
              </w:rPr>
            </w:pPr>
            <w:r>
              <w:rPr>
                <w:rFonts w:eastAsia="宋体" w:hint="eastAsia"/>
                <w:kern w:val="2"/>
                <w:sz w:val="21"/>
                <w:lang w:eastAsia="zh-CN"/>
              </w:rPr>
              <w:t>目录</w:t>
            </w:r>
          </w:p>
        </w:tc>
        <w:tc>
          <w:tcPr>
            <w:tcW w:w="2700" w:type="dxa"/>
            <w:vAlign w:val="center"/>
          </w:tcPr>
          <w:p>
            <w:pPr>
              <w:widowControl w:val="0"/>
              <w:jc w:val="both"/>
              <w:rPr>
                <w:rFonts w:ascii="Calibri" w:eastAsia="宋体" w:hAnsi="Calibri"/>
                <w:b/>
                <w:kern w:val="2"/>
                <w:sz w:val="21"/>
                <w:szCs w:val="22"/>
                <w:lang w:eastAsia="zh-CN"/>
              </w:rPr>
            </w:pPr>
            <w:r>
              <w:rPr>
                <w:rFonts w:eastAsia="宋体" w:hint="eastAsia"/>
                <w:kern w:val="2"/>
                <w:sz w:val="21"/>
                <w:lang w:eastAsia="zh-CN"/>
              </w:rPr>
              <w:t>采购</w:t>
            </w:r>
            <w:r>
              <w:rPr>
                <w:rFonts w:ascii="Calibri" w:eastAsia="宋体" w:hAnsi="Calibri" w:cstheme="minorBidi" w:hint="eastAsia"/>
                <w:kern w:val="2"/>
                <w:sz w:val="21"/>
                <w:szCs w:val="22"/>
                <w:lang w:eastAsia="zh-CN"/>
              </w:rPr>
              <w:t>商务要求</w:t>
            </w:r>
          </w:p>
        </w:tc>
        <w:tc>
          <w:tcPr>
            <w:tcW w:w="2613"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投标商务响应</w:t>
            </w:r>
          </w:p>
        </w:tc>
        <w:tc>
          <w:tcPr>
            <w:tcW w:w="1262"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偏离情况</w:t>
            </w:r>
          </w:p>
        </w:tc>
        <w:tc>
          <w:tcPr>
            <w:tcW w:w="743"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说明</w:t>
            </w:r>
          </w:p>
        </w:tc>
      </w:tr>
      <w:tr>
        <w:tblPrEx>
          <w:tblW w:w="5000" w:type="pct"/>
          <w:jc w:val="center"/>
          <w:tblLayout w:type="fixed"/>
          <w:tblCellMar>
            <w:top w:w="0" w:type="dxa"/>
            <w:left w:w="108" w:type="dxa"/>
            <w:bottom w:w="0" w:type="dxa"/>
            <w:right w:w="108" w:type="dxa"/>
          </w:tblCellMar>
        </w:tblPrEx>
        <w:trPr>
          <w:trHeight w:val="187"/>
          <w:jc w:val="center"/>
        </w:trPr>
        <w:tc>
          <w:tcPr>
            <w:tcW w:w="9572" w:type="dxa"/>
            <w:gridSpan w:val="6"/>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（一）免费保修期内售后服务要求</w:t>
            </w:r>
          </w:p>
        </w:tc>
      </w:tr>
      <w:tr>
        <w:tblPrEx>
          <w:tblW w:w="5000" w:type="pct"/>
          <w:jc w:val="center"/>
          <w:tblLayout w:type="fixed"/>
          <w:tblCellMar>
            <w:top w:w="0" w:type="dxa"/>
            <w:left w:w="108" w:type="dxa"/>
            <w:bottom w:w="0" w:type="dxa"/>
            <w:right w:w="108" w:type="dxa"/>
          </w:tblCellMar>
        </w:tblPrEx>
        <w:trPr>
          <w:trHeight w:val="187"/>
          <w:jc w:val="center"/>
        </w:trPr>
        <w:tc>
          <w:tcPr>
            <w:tcW w:w="681"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w:t>
            </w:r>
          </w:p>
        </w:tc>
        <w:tc>
          <w:tcPr>
            <w:tcW w:w="2700" w:type="dxa"/>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87"/>
          <w:jc w:val="center"/>
        </w:trPr>
        <w:tc>
          <w:tcPr>
            <w:tcW w:w="681" w:type="dxa"/>
            <w:vAlign w:val="center"/>
          </w:tcPr>
          <w:p>
            <w:pPr>
              <w:widowControl w:val="0"/>
              <w:jc w:val="both"/>
              <w:rPr>
                <w:rFonts w:ascii="Calibri" w:eastAsia="宋体" w:hAnsi="Calibri"/>
                <w:kern w:val="2"/>
                <w:sz w:val="21"/>
                <w:szCs w:val="22"/>
                <w:lang w:eastAsia="zh-CN"/>
              </w:rPr>
            </w:pPr>
            <w:r>
              <w:rPr>
                <w:rFonts w:ascii="Calibri" w:eastAsia="宋体" w:hAnsi="Calibri" w:cstheme="minorBidi"/>
                <w:kern w:val="2"/>
                <w:sz w:val="21"/>
                <w:szCs w:val="22"/>
                <w:lang w:eastAsia="zh-CN"/>
              </w:rPr>
              <w:t>2</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bCs/>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87"/>
          <w:jc w:val="center"/>
        </w:trPr>
        <w:tc>
          <w:tcPr>
            <w:tcW w:w="681"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bCs/>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87"/>
          <w:jc w:val="center"/>
        </w:trPr>
        <w:tc>
          <w:tcPr>
            <w:tcW w:w="9572" w:type="dxa"/>
            <w:gridSpan w:val="6"/>
          </w:tcPr>
          <w:p>
            <w:pPr>
              <w:widowControl w:val="0"/>
              <w:jc w:val="both"/>
              <w:rPr>
                <w:rFonts w:ascii="Calibri" w:eastAsia="宋体" w:hAnsi="Calibri"/>
                <w:bCs/>
                <w:kern w:val="2"/>
                <w:sz w:val="21"/>
                <w:szCs w:val="22"/>
                <w:lang w:eastAsia="zh-CN"/>
              </w:rPr>
            </w:pPr>
            <w:r>
              <w:rPr>
                <w:rFonts w:ascii="Calibri" w:eastAsia="宋体" w:hAnsi="Calibri" w:cstheme="minorBidi" w:hint="eastAsia"/>
                <w:kern w:val="2"/>
                <w:sz w:val="21"/>
                <w:szCs w:val="22"/>
                <w:lang w:eastAsia="zh-CN"/>
              </w:rPr>
              <w:t>（二）其他商务要求</w:t>
            </w:r>
          </w:p>
        </w:tc>
      </w:tr>
      <w:tr>
        <w:tblPrEx>
          <w:tblW w:w="5000" w:type="pct"/>
          <w:jc w:val="center"/>
          <w:tblLayout w:type="fixed"/>
          <w:tblCellMar>
            <w:top w:w="0" w:type="dxa"/>
            <w:left w:w="108" w:type="dxa"/>
            <w:bottom w:w="0" w:type="dxa"/>
            <w:right w:w="108" w:type="dxa"/>
          </w:tblCellMar>
        </w:tblPrEx>
        <w:trPr>
          <w:trHeight w:val="191"/>
          <w:jc w:val="center"/>
        </w:trPr>
        <w:tc>
          <w:tcPr>
            <w:tcW w:w="681"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91"/>
          <w:jc w:val="center"/>
        </w:trPr>
        <w:tc>
          <w:tcPr>
            <w:tcW w:w="681"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91"/>
          <w:jc w:val="center"/>
        </w:trPr>
        <w:tc>
          <w:tcPr>
            <w:tcW w:w="681"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91"/>
          <w:jc w:val="center"/>
        </w:trPr>
        <w:tc>
          <w:tcPr>
            <w:tcW w:w="681"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bl>
    <w:p>
      <w:pPr>
        <w:widowControl w:val="0"/>
        <w:jc w:val="both"/>
        <w:rPr>
          <w:rFonts w:ascii="Calibri" w:eastAsia="宋体" w:hAnsi="Calibri"/>
          <w:kern w:val="2"/>
          <w:sz w:val="21"/>
          <w:szCs w:val="22"/>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《商务要求偏离表》编制指引：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1、商务要求偏离表的序号、目录、招标商务要求等栏目对应“用户需求书”中的“商务要求”章节相关内容。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2、“投标商务响应”一栏必须一一对照“采购商务要求”，详细填写自身响应情况，而不能不合理照搬照抄招标文件的商务要求，以体现具体响应情况。</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3、“偏离情况”一栏填写如实填写</w:t>
      </w:r>
      <w:r>
        <w:rPr>
          <w:rFonts w:eastAsia="宋体" w:hint="eastAsia"/>
          <w:b/>
          <w:kern w:val="2"/>
          <w:sz w:val="21"/>
          <w:lang w:eastAsia="zh-CN"/>
        </w:rPr>
        <w:t>“正偏离”、“负偏离”或“无偏离”，</w:t>
      </w:r>
      <w:r>
        <w:rPr>
          <w:rFonts w:eastAsia="宋体" w:hint="eastAsia"/>
          <w:kern w:val="2"/>
          <w:sz w:val="21"/>
          <w:lang w:eastAsia="zh-CN"/>
        </w:rPr>
        <w:t>其中：“正偏离”表示“投标响应优于招标商务要求”，“负偏离”表示“投标响应不满足招标商务要求”，“无偏离”表示“投标响应与招标商务要求一致”。</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“投标商务响应”对比“采购商务要求”存在响应不全（包括未响应整项招标商务要求或者未响应一项招标商务要求的部分内容），均视为“负偏离”。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4、带★号条款为不可偏离条款，如未响应或出现负偏离的，将作投标无效处理。</w:t>
      </w:r>
    </w:p>
    <w:p>
      <w:pPr>
        <w:widowControl w:val="0"/>
        <w:ind w:firstLine="420" w:firstLineChars="200"/>
        <w:jc w:val="both"/>
        <w:rPr>
          <w:rFonts w:ascii="Calibri" w:eastAsia="宋体" w:hAnsi="Calibri"/>
          <w:bCs/>
          <w:kern w:val="2"/>
          <w:sz w:val="21"/>
          <w:szCs w:val="21"/>
          <w:lang w:eastAsia="zh-CN"/>
        </w:rPr>
      </w:pPr>
    </w:p>
    <w:p>
      <w:pPr>
        <w:keepNext/>
        <w:keepLines/>
        <w:widowControl w:val="0"/>
        <w:spacing w:before="260" w:after="260" w:line="240" w:lineRule="auto"/>
        <w:jc w:val="center"/>
        <w:outlineLvl w:val="2"/>
        <w:rPr>
          <w:rFonts w:ascii="黑体" w:eastAsia="黑体" w:hAnsi="宋体"/>
          <w:kern w:val="2"/>
          <w:szCs w:val="20"/>
          <w:lang w:eastAsia="zh-CN"/>
        </w:rPr>
      </w:pPr>
      <w:r>
        <w:rPr>
          <w:rFonts w:ascii="黑体" w:eastAsia="黑体" w:hAnsi="宋体" w:cstheme="minorBidi" w:hint="eastAsia"/>
          <w:kern w:val="2"/>
          <w:szCs w:val="20"/>
          <w:lang w:eastAsia="zh-CN"/>
        </w:rPr>
        <w:t>十一、技术保障措施</w:t>
      </w:r>
    </w:p>
    <w:p>
      <w:pPr>
        <w:keepNext/>
        <w:keepLines/>
        <w:widowControl w:val="0"/>
        <w:spacing w:before="260" w:after="260" w:line="240" w:lineRule="auto"/>
        <w:jc w:val="center"/>
        <w:outlineLvl w:val="2"/>
        <w:rPr>
          <w:rFonts w:ascii="黑体" w:eastAsia="黑体" w:hAnsi="宋体" w:hint="eastAsia"/>
          <w:kern w:val="2"/>
          <w:szCs w:val="20"/>
          <w:lang w:eastAsia="zh-CN"/>
        </w:rPr>
      </w:pPr>
      <w:r>
        <w:rPr>
          <w:rFonts w:ascii="黑体" w:eastAsia="黑体" w:hAnsi="宋体" w:cstheme="minorBidi" w:hint="eastAsia"/>
          <w:kern w:val="2"/>
          <w:szCs w:val="20"/>
          <w:lang w:eastAsia="zh-CN"/>
        </w:rPr>
        <w:t>十二、设计方案</w:t>
      </w:r>
    </w:p>
    <w:p>
      <w:pPr>
        <w:keepNext/>
        <w:keepLines/>
        <w:widowControl w:val="0"/>
        <w:spacing w:before="260" w:after="260" w:line="240" w:lineRule="auto"/>
        <w:jc w:val="center"/>
        <w:outlineLvl w:val="2"/>
        <w:rPr>
          <w:rFonts w:ascii="黑体" w:eastAsia="黑体" w:hAnsi="宋体" w:hint="eastAsia"/>
          <w:kern w:val="2"/>
          <w:szCs w:val="20"/>
          <w:lang w:eastAsia="zh-CN"/>
        </w:rPr>
      </w:pPr>
      <w:r>
        <w:rPr>
          <w:rFonts w:ascii="黑体" w:eastAsia="黑体" w:hAnsi="宋体" w:cstheme="minorBidi" w:hint="eastAsia"/>
          <w:kern w:val="2"/>
          <w:szCs w:val="20"/>
          <w:lang w:eastAsia="zh-CN"/>
        </w:rPr>
        <w:t>十三、样品（如有）</w:t>
      </w:r>
    </w:p>
    <w:p>
      <w:pPr>
        <w:widowControl w:val="0"/>
        <w:jc w:val="both"/>
        <w:outlineLvl w:val="3"/>
        <w:rPr>
          <w:rFonts w:ascii="Calibri" w:eastAsia="宋体" w:hAnsi="Calibri"/>
          <w:b/>
          <w:color w:val="FF0000"/>
          <w:kern w:val="2"/>
          <w:sz w:val="22"/>
          <w:szCs w:val="22"/>
          <w:lang w:eastAsia="zh-CN"/>
        </w:rPr>
      </w:pPr>
      <w:r>
        <w:rPr>
          <w:rFonts w:ascii="Calibri" w:eastAsia="宋体" w:hAnsi="Calibri" w:cstheme="minorBidi" w:hint="eastAsia"/>
          <w:b/>
          <w:color w:val="FF0000"/>
          <w:kern w:val="2"/>
          <w:sz w:val="22"/>
          <w:szCs w:val="22"/>
          <w:lang w:eastAsia="zh-CN"/>
        </w:rPr>
        <w:t>（特别提示：投标人须按本招标文件评标信息中这一评审因素要求，提交样品）</w:t>
      </w:r>
    </w:p>
    <w:p>
      <w:pPr>
        <w:keepNext/>
        <w:keepLines/>
        <w:widowControl w:val="0"/>
        <w:spacing w:before="260" w:after="260" w:line="240" w:lineRule="auto"/>
        <w:jc w:val="center"/>
        <w:outlineLvl w:val="2"/>
        <w:rPr>
          <w:rFonts w:ascii="黑体" w:eastAsia="黑体" w:hAnsi="宋体" w:hint="eastAsia"/>
          <w:kern w:val="2"/>
          <w:szCs w:val="20"/>
          <w:lang w:eastAsia="zh-CN"/>
        </w:rPr>
      </w:pPr>
      <w:r>
        <w:rPr>
          <w:rFonts w:ascii="黑体" w:eastAsia="黑体" w:hAnsi="宋体" w:cstheme="minorBidi" w:hint="eastAsia"/>
          <w:kern w:val="2"/>
          <w:szCs w:val="20"/>
          <w:lang w:eastAsia="zh-CN"/>
        </w:rPr>
        <w:t>十四、同类项目业绩</w:t>
      </w:r>
    </w:p>
    <w:p>
      <w:pPr>
        <w:keepNext/>
        <w:keepLines/>
        <w:widowControl w:val="0"/>
        <w:spacing w:before="260" w:after="260" w:line="240" w:lineRule="auto"/>
        <w:jc w:val="center"/>
        <w:outlineLvl w:val="2"/>
        <w:rPr>
          <w:rFonts w:ascii="宋体" w:eastAsia="宋体" w:hAnsi="宋体"/>
          <w:b/>
          <w:bCs/>
          <w:kern w:val="2"/>
          <w:sz w:val="28"/>
          <w:szCs w:val="32"/>
          <w:lang w:eastAsia="zh-CN"/>
        </w:rPr>
      </w:pPr>
      <w:r>
        <w:rPr>
          <w:rFonts w:ascii="黑体" w:eastAsia="黑体" w:hAnsi="宋体" w:cstheme="minorBidi" w:hint="eastAsia"/>
          <w:kern w:val="2"/>
          <w:szCs w:val="20"/>
          <w:lang w:eastAsia="zh-CN"/>
        </w:rPr>
        <w:t>十五、履约评价情况</w:t>
      </w:r>
    </w:p>
    <w:p>
      <w:pPr>
        <w:keepNext/>
        <w:keepLines/>
        <w:widowControl w:val="0"/>
        <w:spacing w:before="260" w:after="260" w:line="240" w:lineRule="auto"/>
        <w:jc w:val="center"/>
        <w:outlineLvl w:val="2"/>
        <w:rPr>
          <w:rFonts w:ascii="黑体" w:eastAsia="黑体" w:hAnsi="宋体"/>
          <w:b/>
          <w:bCs/>
          <w:kern w:val="2"/>
          <w:sz w:val="30"/>
          <w:szCs w:val="30"/>
          <w:lang w:eastAsia="zh-CN"/>
        </w:rPr>
      </w:pPr>
      <w:r>
        <w:rPr>
          <w:rFonts w:ascii="黑体" w:eastAsia="黑体" w:hAnsi="宋体" w:cstheme="minorBidi" w:hint="eastAsia"/>
          <w:b/>
          <w:bCs/>
          <w:kern w:val="2"/>
          <w:sz w:val="30"/>
          <w:szCs w:val="30"/>
          <w:lang w:eastAsia="zh-CN"/>
        </w:rPr>
        <w:t>十六、</w:t>
      </w:r>
      <w:bookmarkStart w:id="32" w:name="_Hlk72062872"/>
      <w:r>
        <w:rPr>
          <w:rFonts w:ascii="黑体" w:eastAsia="黑体" w:hAnsi="宋体" w:cstheme="minorBidi" w:hint="eastAsia"/>
          <w:b/>
          <w:bCs/>
          <w:kern w:val="2"/>
          <w:sz w:val="30"/>
          <w:szCs w:val="30"/>
          <w:lang w:eastAsia="zh-CN"/>
        </w:rPr>
        <w:t>投标人认为需要加以说明的其他内容</w:t>
      </w:r>
      <w:bookmarkEnd w:id="32"/>
    </w:p>
    <w:p>
      <w:pPr>
        <w:widowControl/>
        <w:jc w:val="center"/>
        <w:rPr>
          <w:rFonts w:ascii="黑体" w:eastAsia="黑体" w:hAnsi="宋体"/>
          <w:szCs w:val="20"/>
          <w:lang w:eastAsia="zh-CN"/>
        </w:rPr>
      </w:pPr>
      <w:r>
        <w:rPr>
          <w:rFonts w:ascii="黑体" w:eastAsia="黑体" w:hAnsi="宋体" w:cstheme="minorBidi" w:hint="eastAsia"/>
          <w:szCs w:val="20"/>
          <w:lang w:eastAsia="zh-CN"/>
        </w:rPr>
        <w:t>（一）政府采购违法行为风险知悉确认书</w:t>
      </w:r>
    </w:p>
    <w:p>
      <w:pPr>
        <w:widowControl/>
        <w:jc w:val="center"/>
        <w:rPr>
          <w:rFonts w:ascii="黑体" w:eastAsia="黑体" w:hAnsi="宋体"/>
          <w:szCs w:val="20"/>
          <w:lang w:eastAsia="zh-CN"/>
        </w:rPr>
      </w:pPr>
    </w:p>
    <w:p>
      <w:pPr>
        <w:widowControl w:val="0"/>
        <w:spacing w:line="579" w:lineRule="exact"/>
        <w:ind w:firstLine="480" w:firstLineChars="200"/>
        <w:jc w:val="both"/>
        <w:rPr>
          <w:rFonts w:ascii="宋体" w:eastAsia="宋体" w:hAnsi="宋体" w:cs="仿宋_GB2312"/>
          <w:lang w:eastAsia="zh-CN"/>
        </w:rPr>
      </w:pPr>
      <w:r>
        <w:rPr>
          <w:rFonts w:ascii="宋体" w:eastAsia="宋体" w:hAnsi="宋体" w:cs="仿宋_GB2312" w:hint="eastAsia"/>
          <w:kern w:val="2"/>
          <w:lang w:eastAsia="zh-CN"/>
        </w:rPr>
        <w:t>本公司在投标前已充分知悉以下情形为参与政府采购活动时的重大风险事项，并承诺已对下述风险提示事项重点排查，做到严谨、诚信、依法依规参与政府采购活动。</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b/>
          <w:bCs/>
          <w:kern w:val="2"/>
          <w:lang w:eastAsia="zh-CN"/>
        </w:rPr>
        <w:t>一、本公司已充分知悉“隐瞒真实情况，提供虚假资料”的法定情形，相关情形包括但不限于</w:t>
      </w:r>
      <w:r>
        <w:rPr>
          <w:rFonts w:ascii="宋体" w:eastAsia="宋体" w:hAnsi="宋体" w:cs="仿宋_GB2312" w:hint="eastAsia"/>
          <w:kern w:val="2"/>
          <w:lang w:eastAsia="zh-CN"/>
        </w:rPr>
        <w:t>：</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（一）通过转让或者租借等方式从其他单位获取资格或者资质证书投标的。</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（二）由其他单位或者其他单位负责人在投标供应商编制的投标文件上加盖印章或者签字的。</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（三）项目负责人或者主要技术人员不是本单位人员的。</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（四）投标保证金不是从投标供应商基本账户转出的。</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（五）其他隐瞒真实情况、提供虚假资料的行为。</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b/>
          <w:bCs/>
          <w:kern w:val="2"/>
          <w:lang w:eastAsia="zh-CN"/>
        </w:rPr>
        <w:t>二、本公司已充分知悉“与其他采购参加人串通投标”的法定情形，相关情形包括但不限于：</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（一）投标供应商之间相互约定给予未中标的供应商利益补偿。</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（二）不同投标供应商的法定代表人、主要经营负责人、项目投标授权代表人、项目负责人、主要技术人员为同一人、属同一单位或者在同一单位缴纳社会保险。</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（三）不同投标供应商的投标文件由同一单位或者同一人编制，或者由同一人分阶段参与编制的。</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（四）不同投标供应商的投标文件或部分投标文件相互混装。</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（五）不同投标供应商的投标文件内容存在非正常一致。</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（六）由同一单位工作人员为两家以上（含两家）供应商进行同一项投标活动的。</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（七）不同投标人的投标报价呈规律性差异。</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（八）不同投标人的投标保证金从同一单位或者个人的账户转出。</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（九）主管部门依照法律、法规认定的其他情形。</w:t>
      </w:r>
    </w:p>
    <w:p>
      <w:pPr>
        <w:widowControl w:val="0"/>
        <w:spacing w:line="579" w:lineRule="exact"/>
        <w:ind w:firstLine="480" w:firstLineChars="200"/>
        <w:jc w:val="both"/>
        <w:rPr>
          <w:rFonts w:ascii="宋体" w:eastAsia="宋体" w:hAnsi="宋体" w:cs="仿宋_GB2312"/>
          <w:b/>
          <w:bCs/>
          <w:kern w:val="2"/>
          <w:lang w:eastAsia="zh-CN"/>
        </w:rPr>
      </w:pPr>
      <w:r>
        <w:rPr>
          <w:rFonts w:ascii="宋体" w:eastAsia="宋体" w:hAnsi="宋体" w:cs="仿宋_GB2312" w:hint="eastAsia"/>
          <w:b/>
          <w:bCs/>
          <w:kern w:val="2"/>
          <w:lang w:eastAsia="zh-CN"/>
        </w:rPr>
        <w:t>三、本公司已充分知悉下列情形所对应的法律风险，并在投标前已对相关风险事项进行排查。</w:t>
      </w:r>
    </w:p>
    <w:p>
      <w:pPr>
        <w:widowControl w:val="0"/>
        <w:spacing w:line="579" w:lineRule="exact"/>
        <w:ind w:firstLine="480" w:firstLineChars="200"/>
        <w:jc w:val="both"/>
        <w:rPr>
          <w:rFonts w:ascii="宋体" w:eastAsia="宋体" w:hAnsi="宋体" w:cs="仿宋_GB2312"/>
          <w:b/>
          <w:bCs/>
          <w:kern w:val="2"/>
          <w:lang w:eastAsia="zh-CN"/>
        </w:rPr>
      </w:pPr>
      <w:r>
        <w:rPr>
          <w:rFonts w:ascii="宋体" w:eastAsia="宋体" w:hAnsi="宋体" w:cs="仿宋_GB2312" w:hint="eastAsia"/>
          <w:kern w:val="2"/>
          <w:lang w:eastAsia="zh-CN"/>
        </w:rPr>
        <w:t>（一）对于</w:t>
      </w:r>
      <w:r>
        <w:rPr>
          <w:rFonts w:ascii="宋体" w:eastAsia="宋体" w:hAnsi="宋体" w:hint="eastAsia"/>
          <w:kern w:val="2"/>
          <w:lang w:eastAsia="zh-CN"/>
        </w:rPr>
        <w:t>从</w:t>
      </w:r>
      <w:r>
        <w:rPr>
          <w:rFonts w:ascii="宋体" w:eastAsia="宋体" w:hAnsi="宋体" w:cs="仿宋_GB2312" w:hint="eastAsia"/>
          <w:kern w:val="2"/>
          <w:lang w:eastAsia="zh-CN"/>
        </w:rPr>
        <w:t>其他主体</w:t>
      </w:r>
      <w:r>
        <w:rPr>
          <w:rFonts w:ascii="宋体" w:eastAsia="宋体" w:hAnsi="宋体" w:hint="eastAsia"/>
          <w:kern w:val="2"/>
          <w:lang w:eastAsia="zh-CN"/>
        </w:rPr>
        <w:t>获取</w:t>
      </w:r>
      <w:r>
        <w:rPr>
          <w:rFonts w:ascii="宋体" w:eastAsia="宋体" w:hAnsi="宋体" w:cs="仿宋_GB2312" w:hint="eastAsia"/>
          <w:kern w:val="2"/>
          <w:lang w:eastAsia="zh-CN"/>
        </w:rPr>
        <w:t>的投标资料，供应商应审慎核查，确保投标资料的真实性。</w:t>
      </w:r>
      <w:r>
        <w:rPr>
          <w:rFonts w:ascii="宋体" w:eastAsia="宋体" w:hAnsi="宋体" w:cs="仿宋_GB2312" w:hint="eastAsia"/>
          <w:b/>
          <w:bCs/>
          <w:kern w:val="2"/>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（三）对于涉及安全生产、特种作业、抢险救灾、防疫等政府采购项目，供应商实施提供虚假资料、串通投标等违法行为的，主管部门将依法从严处理。</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（四）供应商应严格规范项目授权代表、员工参与招标投标的行为，加强对投标文件的审核。项目授权代表、员工</w:t>
      </w:r>
      <w:r>
        <w:rPr>
          <w:rFonts w:ascii="宋体" w:eastAsia="宋体" w:hAnsi="宋体" w:hint="eastAsia"/>
          <w:kern w:val="2"/>
          <w:lang w:eastAsia="zh-CN"/>
        </w:rPr>
        <w:t>编制、上传</w:t>
      </w:r>
      <w:r>
        <w:rPr>
          <w:rFonts w:ascii="宋体" w:eastAsia="宋体" w:hAnsi="宋体" w:cs="仿宋_GB2312" w:hint="eastAsia"/>
          <w:kern w:val="2"/>
          <w:lang w:eastAsia="zh-CN"/>
        </w:rPr>
        <w:t>投标文件</w:t>
      </w:r>
      <w:r>
        <w:rPr>
          <w:rFonts w:ascii="宋体" w:eastAsia="宋体" w:hAnsi="宋体" w:hint="eastAsia"/>
          <w:kern w:val="2"/>
          <w:lang w:eastAsia="zh-CN"/>
        </w:rPr>
        <w:t>等行为</w:t>
      </w:r>
      <w:r>
        <w:rPr>
          <w:rFonts w:ascii="宋体" w:eastAsia="宋体" w:hAnsi="宋体" w:cs="仿宋_GB2312" w:hint="eastAsia"/>
          <w:kern w:val="2"/>
          <w:lang w:eastAsia="zh-CN"/>
        </w:rPr>
        <w:t>违反政府采购法律法规或招标文件要求的，投标供应商应当依法承担相应法律责任。</w:t>
      </w:r>
    </w:p>
    <w:p>
      <w:pPr>
        <w:widowControl w:val="0"/>
        <w:spacing w:line="579" w:lineRule="exact"/>
        <w:ind w:firstLine="480" w:firstLineChars="200"/>
        <w:jc w:val="left"/>
        <w:rPr>
          <w:rFonts w:ascii="宋体" w:eastAsia="宋体" w:hAnsi="宋体" w:cs="仿宋_GB2312"/>
          <w:kern w:val="2"/>
          <w:lang w:eastAsia="zh-CN"/>
        </w:rPr>
      </w:pPr>
      <w:r>
        <w:rPr>
          <w:rFonts w:ascii="宋体" w:eastAsia="宋体" w:hAnsi="宋体" w:cs="仿宋_GB2312" w:hint="eastAsia"/>
          <w:kern w:val="2"/>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widowControl w:val="0"/>
        <w:spacing w:line="579" w:lineRule="exact"/>
        <w:ind w:firstLine="480" w:firstLineChars="200"/>
        <w:jc w:val="both"/>
        <w:rPr>
          <w:rFonts w:ascii="宋体" w:eastAsia="宋体" w:hAnsi="宋体" w:cs="仿宋_GB2312"/>
          <w:kern w:val="2"/>
          <w:lang w:eastAsia="zh-CN"/>
        </w:rPr>
      </w:pPr>
      <w:r>
        <w:rPr>
          <w:rFonts w:ascii="宋体" w:eastAsia="宋体" w:hAnsi="宋体" w:cs="仿宋_GB2312" w:hint="eastAsia"/>
          <w:kern w:val="2"/>
          <w:lang w:eastAsia="zh-CN"/>
        </w:rPr>
        <w:t>（六）单位负责人为同一人或者存在直接控股、管理关系的不同供应商，不得参加同一合同项下的政府采购活动。相关情形</w:t>
      </w:r>
      <w:r>
        <w:rPr>
          <w:rFonts w:ascii="宋体" w:eastAsia="宋体" w:hAnsi="宋体" w:hint="eastAsia"/>
          <w:kern w:val="2"/>
          <w:lang w:eastAsia="zh-CN"/>
        </w:rPr>
        <w:t>如</w:t>
      </w:r>
      <w:r>
        <w:rPr>
          <w:rFonts w:ascii="宋体" w:eastAsia="宋体" w:hAnsi="宋体" w:cs="仿宋_GB2312" w:hint="eastAsia"/>
          <w:kern w:val="2"/>
          <w:lang w:eastAsia="zh-CN"/>
        </w:rPr>
        <w:t>查实，依法作投标无效处理；涉嫌串通投标等违法行为的，主管部门将依法调查处理。</w:t>
      </w:r>
    </w:p>
    <w:p>
      <w:pPr>
        <w:widowControl w:val="0"/>
        <w:spacing w:line="579" w:lineRule="exact"/>
        <w:ind w:firstLine="480" w:firstLineChars="200"/>
        <w:jc w:val="both"/>
        <w:rPr>
          <w:rFonts w:ascii="宋体" w:eastAsia="宋体" w:hAnsi="宋体" w:cs="仿宋_GB2312"/>
          <w:b/>
          <w:bCs/>
          <w:kern w:val="2"/>
          <w:lang w:eastAsia="zh-CN"/>
        </w:rPr>
      </w:pPr>
      <w:r>
        <w:rPr>
          <w:rFonts w:ascii="宋体" w:eastAsia="宋体" w:hAnsi="宋体" w:cs="仿宋_GB2312" w:hint="eastAsia"/>
          <w:b/>
          <w:bCs/>
          <w:kern w:val="2"/>
          <w:lang w:eastAsia="zh-CN"/>
        </w:rPr>
        <w:t>四、本公司已充分知悉政府采购违法、违规行为的法律后果。</w:t>
      </w:r>
      <w:r>
        <w:rPr>
          <w:rFonts w:ascii="宋体" w:eastAsia="宋体" w:hAnsi="宋体" w:cs="仿宋_GB2312" w:hint="eastAsia"/>
          <w:kern w:val="2"/>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widowControl w:val="0"/>
        <w:spacing w:line="579" w:lineRule="exact"/>
        <w:ind w:firstLine="480" w:firstLineChars="200"/>
        <w:jc w:val="both"/>
        <w:rPr>
          <w:rFonts w:ascii="宋体" w:eastAsia="宋体" w:hAnsi="宋体" w:cs="仿宋_GB2312"/>
          <w:color w:val="FF0000"/>
          <w:kern w:val="2"/>
          <w:lang w:eastAsia="zh-CN"/>
        </w:rPr>
      </w:pPr>
      <w:r>
        <w:rPr>
          <w:rFonts w:ascii="宋体" w:eastAsia="宋体" w:hAnsi="宋体" w:cs="仿宋_GB2312" w:hint="eastAsia"/>
          <w:color w:val="FF0000"/>
          <w:kern w:val="2"/>
          <w:lang w:eastAsia="zh-CN"/>
        </w:rPr>
        <w:t>我司已阅读并确认：“本公司已仔细阅读《政府采购违法行为风险知悉确认书》，充分知悉违法行为的法律后果，并承诺将严谨、诚信、依法依规参与政府采购活动”。</w:t>
      </w:r>
    </w:p>
    <w:p>
      <w:pPr>
        <w:widowControl w:val="0"/>
        <w:spacing w:line="579" w:lineRule="exact"/>
        <w:jc w:val="both"/>
        <w:rPr>
          <w:rFonts w:ascii="宋体" w:eastAsia="宋体" w:hAnsi="宋体" w:cs="仿宋_GB2312"/>
          <w:kern w:val="2"/>
          <w:u w:val="single"/>
          <w:lang w:eastAsia="zh-CN"/>
        </w:rPr>
      </w:pPr>
    </w:p>
    <w:p>
      <w:pPr>
        <w:widowControl w:val="0"/>
        <w:spacing w:line="560" w:lineRule="exact"/>
        <w:jc w:val="both"/>
        <w:rPr>
          <w:rFonts w:ascii="宋体" w:eastAsia="宋体" w:hAnsi="宋体" w:cs="宋体"/>
          <w:kern w:val="2"/>
          <w:sz w:val="18"/>
          <w:szCs w:val="18"/>
          <w:lang w:eastAsia="zh-CN"/>
        </w:rPr>
      </w:pPr>
    </w:p>
    <w:p>
      <w:pPr>
        <w:widowControl w:val="0"/>
        <w:spacing w:before="60" w:beforeLines="25" w:after="60" w:afterLines="25"/>
        <w:jc w:val="right"/>
        <w:rPr>
          <w:rFonts w:ascii="Calibri" w:eastAsia="宋体" w:hAnsi="Calibri" w:hint="eastAsia"/>
          <w:kern w:val="2"/>
          <w:sz w:val="21"/>
          <w:szCs w:val="22"/>
          <w:lang w:eastAsia="zh-CN"/>
        </w:rPr>
      </w:pPr>
      <w:r>
        <w:rPr>
          <w:rFonts w:ascii="Calibri" w:eastAsia="宋体" w:hAnsi="Calibri" w:cstheme="minorBidi" w:hint="eastAsia"/>
          <w:kern w:val="2"/>
          <w:sz w:val="21"/>
          <w:szCs w:val="21"/>
          <w:lang w:eastAsia="zh-CN"/>
        </w:rPr>
        <w:t>投标人：</w:t>
      </w:r>
      <w:r>
        <w:rPr>
          <w:rFonts w:ascii="宋体" w:eastAsia="宋体" w:hAnsi="宋体" w:cstheme="minorBidi" w:hint="eastAsia"/>
          <w:kern w:val="2"/>
          <w:sz w:val="21"/>
          <w:szCs w:val="21"/>
          <w:u w:val="single"/>
          <w:lang w:eastAsia="zh-CN"/>
        </w:rPr>
        <w:t xml:space="preserve">                </w:t>
      </w:r>
      <w:r>
        <w:rPr>
          <w:rFonts w:ascii="Calibri" w:eastAsia="宋体" w:hAnsi="Calibri" w:cstheme="minorBidi" w:hint="eastAsia"/>
          <w:color w:val="FFFFFF"/>
          <w:kern w:val="2"/>
          <w:sz w:val="21"/>
          <w:szCs w:val="21"/>
          <w:u w:val="single"/>
          <w:lang w:eastAsia="zh-CN"/>
        </w:rPr>
        <w:t>.</w:t>
      </w:r>
    </w:p>
    <w:p>
      <w:pPr>
        <w:widowControl w:val="0"/>
        <w:ind w:firstLine="645"/>
        <w:jc w:val="right"/>
        <w:rPr>
          <w:rFonts w:ascii="宋体" w:eastAsia="宋体" w:hAnsi="宋体"/>
          <w:kern w:val="2"/>
          <w:sz w:val="21"/>
          <w:szCs w:val="21"/>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adjustRightInd w:val="0"/>
        <w:snapToGrid w:val="0"/>
        <w:spacing w:line="360" w:lineRule="auto"/>
        <w:ind w:firstLine="494" w:firstLineChars="206"/>
        <w:jc w:val="left"/>
        <w:rPr>
          <w:rFonts w:ascii="宋体" w:eastAsia="宋体" w:hAnsi="宋体" w:cs="仿宋_GB2312"/>
          <w:kern w:val="2"/>
          <w:lang w:eastAsia="zh-CN"/>
        </w:rPr>
      </w:pPr>
    </w:p>
    <w:p>
      <w:pPr>
        <w:widowControl/>
        <w:autoSpaceDE w:val="0"/>
        <w:autoSpaceDN w:val="0"/>
        <w:spacing w:line="400" w:lineRule="exact"/>
        <w:ind w:firstLine="480" w:firstLineChars="200"/>
        <w:jc w:val="left"/>
        <w:rPr>
          <w:rFonts w:ascii="宋体" w:eastAsia="宋体" w:hAnsi="宋体"/>
          <w:color w:val="FF0000"/>
          <w:spacing w:val="-4"/>
          <w:sz w:val="21"/>
          <w:szCs w:val="21"/>
          <w:lang w:eastAsia="zh-CN"/>
        </w:rPr>
      </w:pPr>
      <w:r>
        <w:rPr>
          <w:rFonts w:ascii="宋体" w:eastAsia="宋体" w:hAnsi="宋体" w:cs="仿宋_GB2312" w:hint="eastAsia"/>
          <w:kern w:val="2"/>
          <w:lang w:eastAsia="zh-CN"/>
        </w:rPr>
        <w:t>注：根据《深圳市财政局关于采购文件增加风险告知有关事项的通知》（深财购〔2022〕22号），该风险知悉确认书用于对供应商违法行为的警示，不作为供应商资格性审查及符合性审查条件。</w:t>
      </w:r>
    </w:p>
    <w:p>
      <w:pPr>
        <w:widowControl/>
        <w:jc w:val="center"/>
        <w:rPr>
          <w:rFonts w:ascii="黑体" w:eastAsia="黑体" w:hAnsi="宋体"/>
          <w:szCs w:val="20"/>
          <w:lang w:eastAsia="zh-CN"/>
        </w:rPr>
      </w:pPr>
      <w:r>
        <w:rPr>
          <w:rFonts w:ascii="黑体" w:eastAsia="黑体" w:hAnsi="宋体" w:cstheme="minorBidi" w:hint="eastAsia"/>
          <w:szCs w:val="20"/>
          <w:lang w:eastAsia="zh-CN"/>
        </w:rPr>
        <w:t>（二）投标人认为需要加以说明的其他内容（格式自定）</w:t>
      </w:r>
    </w:p>
    <w:p>
      <w:pPr>
        <w:widowControl w:val="0"/>
        <w:spacing w:after="60" w:afterLines="25" w:line="300" w:lineRule="auto"/>
        <w:jc w:val="both"/>
        <w:rPr>
          <w:rFonts w:ascii="Arial" w:eastAsia="宋体" w:hAnsi="Arial"/>
          <w:kern w:val="2"/>
          <w:lang w:eastAsia="zh-CN"/>
        </w:rPr>
      </w:pP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第五章  合同条款及格式</w:t>
      </w:r>
    </w:p>
    <w:p>
      <w:pPr>
        <w:widowControl w:val="0"/>
        <w:jc w:val="center"/>
        <w:rPr>
          <w:rFonts w:ascii="宋体" w:eastAsia="宋体" w:hAnsi="宋体"/>
          <w:b/>
          <w:kern w:val="2"/>
          <w:sz w:val="21"/>
          <w:szCs w:val="21"/>
          <w:lang w:eastAsia="zh-CN"/>
        </w:rPr>
      </w:pPr>
      <w:r>
        <w:rPr>
          <w:rFonts w:ascii="宋体" w:eastAsia="宋体" w:hAnsi="宋体" w:hint="eastAsia"/>
          <w:b/>
          <w:kern w:val="2"/>
          <w:sz w:val="21"/>
          <w:szCs w:val="21"/>
          <w:lang w:eastAsia="zh-CN"/>
        </w:rPr>
        <w:t>有专业类别的格式合同范本请选择相应的合同</w:t>
      </w:r>
    </w:p>
    <w:p>
      <w:pPr>
        <w:widowControl w:val="0"/>
        <w:jc w:val="center"/>
        <w:rPr>
          <w:rFonts w:ascii="宋体" w:eastAsia="宋体" w:hAnsi="宋体"/>
          <w:b/>
          <w:kern w:val="2"/>
          <w:sz w:val="21"/>
          <w:szCs w:val="21"/>
          <w:lang w:eastAsia="zh-CN"/>
        </w:rPr>
      </w:pPr>
      <w:r>
        <w:rPr>
          <w:rFonts w:ascii="宋体" w:eastAsia="宋体" w:hAnsi="宋体" w:hint="eastAsia"/>
          <w:b/>
          <w:kern w:val="2"/>
          <w:sz w:val="21"/>
          <w:szCs w:val="21"/>
          <w:lang w:eastAsia="zh-CN"/>
        </w:rPr>
        <w:t>（仅供参考，采购单位需填写项目关键信息和违约责任条款）</w:t>
      </w:r>
    </w:p>
    <w:p>
      <w:pPr>
        <w:widowControl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采购人：</w:t>
      </w:r>
    </w:p>
    <w:p>
      <w:pPr>
        <w:widowControl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w:t>
      </w:r>
    </w:p>
    <w:p>
      <w:pPr>
        <w:widowControl w:val="0"/>
        <w:jc w:val="left"/>
        <w:rPr>
          <w:rFonts w:ascii="宋体" w:eastAsia="宋体" w:hAnsi="宋体"/>
          <w:kern w:val="2"/>
          <w:sz w:val="21"/>
          <w:szCs w:val="21"/>
          <w:lang w:eastAsia="zh-CN"/>
        </w:rPr>
      </w:pP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根据深圳市</w:t>
      </w:r>
      <w:r>
        <w:rPr>
          <w:rFonts w:ascii="宋体" w:eastAsia="宋体" w:hAnsi="宋体" w:cs="宋体" w:hint="eastAsia"/>
          <w:kern w:val="2"/>
          <w:sz w:val="21"/>
          <w:szCs w:val="21"/>
          <w:lang w:eastAsia="zh-CN"/>
        </w:rPr>
        <w:t>****</w:t>
      </w:r>
      <w:r>
        <w:rPr>
          <w:rFonts w:ascii="宋体" w:eastAsia="宋体" w:hAnsi="宋体" w:hint="eastAsia"/>
          <w:kern w:val="2"/>
          <w:sz w:val="21"/>
          <w:szCs w:val="21"/>
          <w:lang w:eastAsia="zh-CN"/>
        </w:rPr>
        <w:t>号采购项目的投标结果，由单位为中标方。按照有关规定，经深圳市（以下简称甲方）和单位（以下简称乙方）协商，达成以下合同条款：</w:t>
      </w: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第一条合同标的</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乙方根据甲方需求提供下列货物：</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货物名称、规格及数量详见。</w:t>
      </w: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第二条合同价款</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本合同项下总价款为（大写）人民币，分项价款详见。本合同总价款已包括乙方为履行本合同义务所发生的一切费用，系固定不变价格，且不随通货膨胀的影响而波动。</w:t>
      </w: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第三条权利保证</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第四条质量保证</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1、乙方所提供的货物的技术规格符合采购文件规定的技术规格，货物符合中华人民共和国的设计和制造生产标准或行业标准。</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2、乙方应保证货物是全新、未使用过的原装合格正品（包括零部件），并完全符合甲方要求的质量、规格和性能的要求。如货物安装或配置了软件的，乙方保证相关软件均为正版软件。</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3、乙方保证交货时一并提供货物的质量合格凭证或文件。</w:t>
      </w:r>
    </w:p>
    <w:p>
      <w:pPr>
        <w:widowControl w:val="0"/>
        <w:spacing w:line="360" w:lineRule="auto"/>
        <w:jc w:val="left"/>
        <w:rPr>
          <w:rFonts w:ascii="宋体" w:eastAsia="宋体" w:hAnsi="宋体"/>
          <w:kern w:val="2"/>
          <w:sz w:val="21"/>
          <w:szCs w:val="21"/>
          <w:lang w:eastAsia="zh-CN"/>
        </w:rPr>
      </w:pP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第五条交货和验收</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1、乙方应按照本合同或招投标文件规定的时间和方式向甲方交付货物，交货地点由甲方指定。因交货产生的费用由乙方自行承担。</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2、乙方交付的货物应当完全符合招投标文件所规定的货物、数量、质量和规格要求。乙方提供的货物不符合招投标文件和合同规定的，甲方有权拒收货物，由此引起的风险，由乙方承担。</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4、甲方应当在到货后的个工作日内对货物进行验收；需要乙方对货物或系统进行安装调试的，甲方应在货物安装调试完毕后的个工作日内进行质量验收。</w:t>
      </w: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第六条保修及其他服务</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1、乙方应按照国家有关法律法规规章和“三包”规定和采购文件的要求及乙方在投标文件的相关承诺提供保修及其他服务。</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2、</w:t>
      </w:r>
      <w:r>
        <w:rPr>
          <w:rFonts w:ascii="宋体" w:eastAsia="宋体" w:hAnsi="宋体"/>
          <w:kern w:val="2"/>
          <w:sz w:val="21"/>
          <w:szCs w:val="21"/>
          <w:lang w:eastAsia="zh-CN"/>
        </w:rPr>
        <w:t>保修期内，乙方负责对其提供的货物进行维修和系统维护，不再收取任何费用。</w:t>
      </w:r>
      <w:r>
        <w:rPr>
          <w:rFonts w:ascii="宋体" w:eastAsia="宋体" w:hAnsi="宋体" w:hint="eastAsia"/>
          <w:kern w:val="2"/>
          <w:sz w:val="21"/>
          <w:szCs w:val="21"/>
          <w:lang w:eastAsia="zh-CN"/>
        </w:rPr>
        <w:t>所有货物保修服务方式均为乙方上门保修，即由乙方派员到货物使用现场维修，由此产生的一切费用均由乙方承担。保修期后的货物维护另行协商。</w:t>
      </w: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第七条履约保证金</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1、乙方应在签订本合同之日，向甲方或甲方指定的机构提交履约保证金_________元。</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2、如乙方未能履行合同规定的义务，甲方有权从履约保证金中取得补偿。</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3、甲方在乙方履行完毕本合同项下全部义务后______天内无息退还乙方。</w:t>
      </w:r>
    </w:p>
    <w:p>
      <w:pPr>
        <w:widowControl w:val="0"/>
        <w:spacing w:line="360" w:lineRule="auto"/>
        <w:ind w:firstLine="560"/>
        <w:jc w:val="left"/>
        <w:rPr>
          <w:rFonts w:ascii="宋体" w:eastAsia="宋体" w:hAnsi="宋体"/>
          <w:kern w:val="2"/>
          <w:sz w:val="21"/>
          <w:szCs w:val="21"/>
          <w:lang w:eastAsia="zh-CN"/>
        </w:rPr>
      </w:pP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第八条付款方式</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按照招标文件规定的付款方式进行支付。</w:t>
      </w: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第九条违约责任</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１、甲方无正当理由拒收货物、拒付货物款的，由甲方向乙方偿付合同总价的【】%违约金。</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２、甲方未按合同规定的期限向乙方支付货款的，每逾期1天甲方向乙方偿付欠款总额的【】‰滞纳金，但累计滞纳金总额不超过欠款总额的【】%。</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３、</w:t>
      </w:r>
      <w:r>
        <w:rPr>
          <w:rFonts w:ascii="宋体" w:eastAsia="宋体" w:hAnsi="宋体"/>
          <w:kern w:val="2"/>
          <w:sz w:val="21"/>
          <w:szCs w:val="21"/>
          <w:lang w:eastAsia="zh-CN"/>
        </w:rPr>
        <w:t>乙方逾期交付货物的，每逾期1天，乙方向甲方偿付逾期交货部分货款总额的</w:t>
      </w:r>
      <w:r>
        <w:rPr>
          <w:rFonts w:ascii="宋体" w:eastAsia="宋体" w:hAnsi="宋体" w:hint="eastAsia"/>
          <w:kern w:val="2"/>
          <w:sz w:val="21"/>
          <w:szCs w:val="21"/>
          <w:lang w:eastAsia="zh-CN"/>
        </w:rPr>
        <w:t>【】</w:t>
      </w:r>
      <w:r>
        <w:rPr>
          <w:rFonts w:ascii="宋体" w:eastAsia="宋体" w:hAnsi="宋体"/>
          <w:kern w:val="2"/>
          <w:sz w:val="21"/>
          <w:szCs w:val="21"/>
          <w:lang w:eastAsia="zh-CN"/>
        </w:rPr>
        <w:t>‰的滞纳金</w:t>
      </w:r>
      <w:r>
        <w:rPr>
          <w:rFonts w:ascii="宋体" w:eastAsia="宋体" w:hAnsi="宋体" w:hint="eastAsia"/>
          <w:kern w:val="2"/>
          <w:sz w:val="21"/>
          <w:szCs w:val="21"/>
          <w:lang w:eastAsia="zh-CN"/>
        </w:rPr>
        <w:t>。如乙方逾期交货达天，甲方有权解除合同，履约保证金不予退回，同时乙方应向甲方支付合同总价【】％的违约金。</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4、乙方所交付的货物品种、型号、规格不符合合同规定的，甲方有权拒收。甲方拒收的，乙方应向甲方支付货款总额【】%的违约金。</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5、在乙方承诺的或国家规定的质量保证期内（取两者中最长的期限），</w:t>
      </w:r>
      <w:r>
        <w:rPr>
          <w:rFonts w:ascii="宋体" w:eastAsia="宋体" w:hAnsi="宋体"/>
          <w:kern w:val="2"/>
          <w:sz w:val="21"/>
          <w:szCs w:val="21"/>
          <w:lang w:eastAsia="zh-CN"/>
        </w:rPr>
        <w:t>如经乙方两次维修</w:t>
      </w:r>
      <w:r>
        <w:rPr>
          <w:rFonts w:ascii="宋体" w:eastAsia="宋体" w:hAnsi="宋体" w:hint="eastAsia"/>
          <w:kern w:val="2"/>
          <w:sz w:val="21"/>
          <w:szCs w:val="21"/>
          <w:lang w:eastAsia="zh-CN"/>
        </w:rPr>
        <w:t>或更换</w:t>
      </w:r>
      <w:r>
        <w:rPr>
          <w:rFonts w:ascii="宋体" w:eastAsia="宋体" w:hAnsi="宋体"/>
          <w:kern w:val="2"/>
          <w:sz w:val="21"/>
          <w:szCs w:val="21"/>
          <w:lang w:eastAsia="zh-CN"/>
        </w:rPr>
        <w:t>，货物仍不能达到合同约定</w:t>
      </w:r>
      <w:r>
        <w:rPr>
          <w:rFonts w:ascii="宋体" w:eastAsia="宋体" w:hAnsi="宋体" w:hint="eastAsia"/>
          <w:kern w:val="2"/>
          <w:sz w:val="21"/>
          <w:szCs w:val="21"/>
          <w:lang w:eastAsia="zh-CN"/>
        </w:rPr>
        <w:t>的</w:t>
      </w:r>
      <w:r>
        <w:rPr>
          <w:rFonts w:ascii="宋体" w:eastAsia="宋体" w:hAnsi="宋体"/>
          <w:kern w:val="2"/>
          <w:sz w:val="21"/>
          <w:szCs w:val="21"/>
          <w:lang w:eastAsia="zh-CN"/>
        </w:rPr>
        <w:t>质量标准，甲方有权退货，乙方</w:t>
      </w:r>
      <w:r>
        <w:rPr>
          <w:rFonts w:ascii="宋体" w:eastAsia="宋体" w:hAnsi="宋体" w:hint="eastAsia"/>
          <w:kern w:val="2"/>
          <w:sz w:val="21"/>
          <w:szCs w:val="21"/>
          <w:lang w:eastAsia="zh-CN"/>
        </w:rPr>
        <w:t>应</w:t>
      </w:r>
      <w:r>
        <w:rPr>
          <w:rFonts w:ascii="宋体" w:eastAsia="宋体" w:hAnsi="宋体"/>
          <w:kern w:val="2"/>
          <w:sz w:val="21"/>
          <w:szCs w:val="21"/>
          <w:lang w:eastAsia="zh-CN"/>
        </w:rPr>
        <w:t>退回全部货款</w:t>
      </w:r>
      <w:r>
        <w:rPr>
          <w:rFonts w:ascii="宋体" w:eastAsia="宋体" w:hAnsi="宋体" w:hint="eastAsia"/>
          <w:kern w:val="2"/>
          <w:sz w:val="21"/>
          <w:szCs w:val="21"/>
          <w:lang w:eastAsia="zh-CN"/>
        </w:rPr>
        <w:t>并</w:t>
      </w:r>
      <w:r>
        <w:rPr>
          <w:rFonts w:ascii="宋体" w:eastAsia="宋体" w:hAnsi="宋体"/>
          <w:kern w:val="2"/>
          <w:sz w:val="21"/>
          <w:szCs w:val="21"/>
          <w:lang w:eastAsia="zh-CN"/>
        </w:rPr>
        <w:t>赔偿甲方因此遭受的损失。</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6、乙方未履行本合同项下的其他义务或违反其在投标文件中的相关承诺的，应按合同总价款的【】%向甲方承担违约责任。</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7、乙方在承担上述一项或多项违约责任后，仍应继续履行合同规定的义务（甲方解除合同的除外）。甲方未能及时追究乙方的任何一项违约责任并不表明甲方放弃追究乙方该项或其他违约责任。</w:t>
      </w: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第十条合同的变更和终止</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除《中华人民共和国政府采购法》第４９条、第５０条第二款规定的情形外，本合同一经签订，甲乙双方不得擅自变更、中止或终止合同。</w:t>
      </w: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第十一条争议的解决</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1、因货物的质量问题发生争议的，应当邀请国家认可的质量检测机构对货物质量进行鉴定。货物符合标准的，鉴定费由甲方承担；货物不符合质量标准的，鉴定费由乙方承担。</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2、因履行本合同引起的或与本合同有关的争议，甲、乙双方应首先通过友好协商解决，如果协商不能解决争议，则向甲方所在地有管辖权的人民法院提起诉讼；</w:t>
      </w: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第十二条合同生效及其他</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1、下列文件均为本合同的重要组成部分：</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（1）本项目的采购文件、答疑及补充通知；</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（2）本项目中标的投标文件；</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（3）本合同执行中共同签署的补充与修正文件。</w:t>
      </w:r>
    </w:p>
    <w:p>
      <w:pPr>
        <w:widowControl w:val="0"/>
        <w:spacing w:line="360" w:lineRule="auto"/>
        <w:jc w:val="both"/>
        <w:rPr>
          <w:rFonts w:ascii="宋体" w:eastAsia="宋体" w:hAnsi="宋体"/>
          <w:b/>
          <w:bCs/>
          <w:kern w:val="2"/>
          <w:sz w:val="21"/>
          <w:szCs w:val="21"/>
          <w:lang w:eastAsia="zh-CN"/>
        </w:rPr>
      </w:pPr>
      <w:r>
        <w:rPr>
          <w:rFonts w:ascii="宋体" w:eastAsia="宋体" w:hAnsi="宋体" w:hint="eastAsia"/>
          <w:bCs/>
          <w:kern w:val="2"/>
          <w:sz w:val="21"/>
          <w:szCs w:val="21"/>
          <w:lang w:eastAsia="zh-CN"/>
        </w:rPr>
        <w:t>以上文件互为补充，如果出现内容冲突的情况，为准的优先顺序为（2）、（1）、（3）。</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2、本合同一式___份，甲、乙方双方各执份，具有同等法律效力。本合同自双方法人代表签字（盖章）认可之日起生效。</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3、本合同未尽事宜，双方友好协商，达成解决方案，经双方签字后，可作为本合同的有效附件。</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本合同未尽事宜，双方友好协商，达成解决方案，经双方签字后，可作为本合同的有效附件。</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甲方（采购人）：（盖章）               乙方（供应商）：（盖章）</w:t>
      </w:r>
    </w:p>
    <w:p>
      <w:pPr>
        <w:widowControl w:val="0"/>
        <w:spacing w:line="360" w:lineRule="auto"/>
        <w:ind w:firstLine="56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法定代表人：                           法定代表人：</w:t>
      </w:r>
    </w:p>
    <w:p>
      <w:pPr>
        <w:widowControl w:val="0"/>
        <w:spacing w:line="360" w:lineRule="auto"/>
        <w:ind w:firstLine="56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委托代理人：                           委托代理人：</w:t>
      </w:r>
    </w:p>
    <w:p>
      <w:pPr>
        <w:widowControl w:val="0"/>
        <w:spacing w:line="360" w:lineRule="auto"/>
        <w:ind w:firstLine="560"/>
        <w:jc w:val="left"/>
        <w:rPr>
          <w:rFonts w:ascii="宋体" w:eastAsia="宋体" w:hAnsi="宋体" w:cs="宋体"/>
          <w:kern w:val="2"/>
          <w:sz w:val="21"/>
          <w:szCs w:val="21"/>
          <w:lang w:eastAsia="zh-CN"/>
        </w:rPr>
      </w:pPr>
      <w:r>
        <w:rPr>
          <w:rFonts w:ascii="宋体" w:eastAsia="宋体" w:hAnsi="宋体" w:hint="eastAsia"/>
          <w:kern w:val="2"/>
          <w:sz w:val="21"/>
          <w:szCs w:val="21"/>
          <w:lang w:eastAsia="zh-CN"/>
        </w:rPr>
        <w:t>日期：</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日               日期：</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日</w:t>
      </w:r>
    </w:p>
    <w:p>
      <w:pPr>
        <w:widowControl w:val="0"/>
        <w:spacing w:line="360" w:lineRule="auto"/>
        <w:jc w:val="both"/>
        <w:rPr>
          <w:rFonts w:ascii="宋体" w:eastAsia="宋体" w:hAnsi="宋体"/>
          <w:kern w:val="2"/>
          <w:sz w:val="21"/>
          <w:szCs w:val="21"/>
          <w:lang w:eastAsia="zh-CN"/>
        </w:rPr>
      </w:pPr>
    </w:p>
    <w:p>
      <w:pPr>
        <w:widowControl/>
        <w:jc w:val="center"/>
        <w:rPr>
          <w:rFonts w:ascii="仿宋" w:eastAsia="仿宋" w:hAnsi="仿宋"/>
          <w:kern w:val="2"/>
          <w:sz w:val="28"/>
          <w:szCs w:val="28"/>
          <w:lang w:eastAsia="zh-CN"/>
        </w:rPr>
      </w:pPr>
      <w:r>
        <w:rPr>
          <w:rFonts w:ascii="宋体" w:eastAsia="宋体" w:hAnsi="宋体" w:hint="eastAsia"/>
          <w:b/>
          <w:kern w:val="2"/>
          <w:sz w:val="21"/>
          <w:szCs w:val="21"/>
          <w:lang w:eastAsia="zh-CN"/>
        </w:rPr>
        <w:t>注：本合同样本仅供参考，具体条款内容由采购单位和中标单位协商确定。</w:t>
      </w:r>
      <w:bookmarkStart w:id="33" w:name="_GoBack"/>
      <w:bookmarkEnd w:id="33"/>
    </w:p>
    <w:p>
      <w:pPr>
        <w:keepNext/>
        <w:keepLines/>
        <w:widowControl w:val="0"/>
        <w:spacing w:before="340" w:after="60"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第二册  通用条款（公开招标）</w:t>
      </w: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34" w:name="_Toc1312"/>
      <w:r>
        <w:rPr>
          <w:rFonts w:ascii="Arial" w:eastAsia="宋体" w:hAnsi="Arial" w:hint="eastAsia"/>
          <w:b/>
          <w:kern w:val="2"/>
          <w:sz w:val="32"/>
          <w:lang w:eastAsia="zh-CN"/>
        </w:rPr>
        <w:t>第一章  总则</w:t>
      </w:r>
      <w:bookmarkEnd w:id="34"/>
    </w:p>
    <w:p>
      <w:pPr>
        <w:widowControl/>
        <w:wordWrap w:val="0"/>
        <w:autoSpaceDE w:val="0"/>
        <w:autoSpaceDN w:val="0"/>
        <w:spacing w:line="360" w:lineRule="auto"/>
        <w:ind w:right="808" w:firstLine="480" w:firstLineChars="200"/>
        <w:jc w:val="both"/>
        <w:rPr>
          <w:rFonts w:eastAsia="宋体"/>
          <w:b/>
          <w:kern w:val="2"/>
          <w:lang w:eastAsia="zh-CN"/>
        </w:rPr>
      </w:pPr>
      <w:r>
        <w:rPr>
          <w:rFonts w:eastAsia="宋体"/>
          <w:b/>
          <w:kern w:val="2"/>
          <w:lang w:eastAsia="zh-CN"/>
        </w:rPr>
        <w:t>1.通用条款说明</w:t>
      </w:r>
    </w:p>
    <w:p>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1.1采购代理机构发出招标文件通用条款版本，列出深圳市政府采购项目进行招标采购所适用的通用条款内容。如有需要，采购代理机构可以对通用条款的内容进行补充。</w:t>
      </w:r>
    </w:p>
    <w:p>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1.2招标文件分为第一册“专用条款”和第二册“通用条款”。</w:t>
      </w:r>
    </w:p>
    <w:p>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1.3“专用条款”是对本次采购项目的具体要求，包含招标公告、对通用条款的补充内容及其他关键信息、用户需求书、投标文件格式及附件、合同条款及格式等内容。</w:t>
      </w:r>
    </w:p>
    <w:p>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1.4“通用条款”是适用于政府采购公开招标项目的基础性条款，具有普遍性和通用性。</w:t>
      </w:r>
    </w:p>
    <w:p>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1.5“专用条款”和“通用条款”表述不一致或有冲突时，以“专用条款”为准。</w:t>
      </w:r>
    </w:p>
    <w:p>
      <w:pPr>
        <w:widowControl/>
        <w:wordWrap w:val="0"/>
        <w:autoSpaceDE w:val="0"/>
        <w:autoSpaceDN w:val="0"/>
        <w:spacing w:line="360" w:lineRule="auto"/>
        <w:ind w:right="808" w:firstLine="480" w:firstLineChars="200"/>
        <w:jc w:val="both"/>
        <w:rPr>
          <w:rFonts w:eastAsia="宋体"/>
          <w:b/>
          <w:kern w:val="2"/>
          <w:lang w:eastAsia="zh-CN"/>
        </w:rPr>
      </w:pPr>
      <w:r>
        <w:rPr>
          <w:rFonts w:eastAsia="宋体"/>
          <w:b/>
          <w:kern w:val="2"/>
          <w:lang w:eastAsia="zh-CN"/>
        </w:rPr>
        <w:t>2．招标说明</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本项目按照《深圳经济特区政府采购条例》、《深圳经济特区政府采购条例实施细则》及政府采购其他法律法规，通过公开招标方式确定中标供应商。</w:t>
      </w:r>
    </w:p>
    <w:p>
      <w:pPr>
        <w:widowControl/>
        <w:wordWrap w:val="0"/>
        <w:autoSpaceDE w:val="0"/>
        <w:autoSpaceDN w:val="0"/>
        <w:spacing w:line="360" w:lineRule="auto"/>
        <w:ind w:right="808" w:firstLine="480" w:firstLineChars="200"/>
        <w:jc w:val="both"/>
        <w:rPr>
          <w:rFonts w:eastAsia="宋体"/>
          <w:b/>
          <w:kern w:val="2"/>
          <w:lang w:eastAsia="zh-CN"/>
        </w:rPr>
      </w:pPr>
      <w:r>
        <w:rPr>
          <w:rFonts w:eastAsia="宋体"/>
          <w:b/>
          <w:kern w:val="2"/>
          <w:lang w:eastAsia="zh-CN"/>
        </w:rPr>
        <w:t>3．定义</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招标文件中下列术语应解释为：</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3.1“采购人”：指利用财政性资金依法进行政府采购的国家机关、事业单位、团体组织；</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3.2“采购代理机构”是</w:t>
      </w:r>
      <w:r>
        <w:rPr>
          <w:rFonts w:eastAsia="宋体" w:hint="eastAsia"/>
          <w:kern w:val="2"/>
          <w:lang w:eastAsia="zh-CN"/>
        </w:rPr>
        <w:t>指根据采购人的委托，代理采购事宜的机构</w:t>
      </w:r>
      <w:r>
        <w:rPr>
          <w:rFonts w:eastAsia="宋体"/>
          <w:kern w:val="2"/>
          <w:lang w:eastAsia="zh-CN"/>
        </w:rPr>
        <w:t>；本文件所述的“采购代理机构”指</w:t>
      </w:r>
      <w:r>
        <w:rPr>
          <w:rFonts w:eastAsia="宋体" w:hint="eastAsia"/>
          <w:kern w:val="2"/>
          <w:lang w:eastAsia="zh-CN"/>
        </w:rPr>
        <w:t>深圳市千里招标代理有限公司</w:t>
      </w:r>
      <w:r>
        <w:rPr>
          <w:rFonts w:eastAsia="宋体"/>
          <w:kern w:val="2"/>
          <w:lang w:eastAsia="zh-CN"/>
        </w:rPr>
        <w:t>；</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3.3“投标人”，即供应商，指参加投标竞争并愿意按照招标文件要求向采购人提供货物、工程或者服务的依法成立的法人、其他组织或者自然人；</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3.4“评审委员会”是依据《深圳经济特区政府采购条例》、《深圳经济特区政府采购条例实施细则》等有关规定组建的专门负责本次招标其评审工作的临时性机构；</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3.5“日期”指公历日；</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3.6“合同”指由本次招标所产生的合同或合约文件；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3.7“电子投标文件”指利用深圳政府采购自行采购系统投标文件制作专用软件（以下简称：投标文件制作软件）制作的投标文件,适用于网上投标；（投标文件制作软件可从“下载地址：https://zxcg.szggzy.com/home/index.html深圳市自行采购系统投标文件编制工具”下载）</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3.8“网上投标”指通过深圳市自行采购系统网站上传电子投标文件；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3.9招标文件中的标题或题名仅起引导作用，而不应视为对招标文件内容的理解和解释。</w:t>
      </w:r>
    </w:p>
    <w:p>
      <w:pPr>
        <w:widowControl/>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4.政府采购供应商责任</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4.1欢迎诚信、有实力和有社会责任心的供应商参与政府采购事业。</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4.2投标人应当遵循公平竞争的原则，不得恶意串通，不得妨碍其他投标人的竞争行为，不得损害采购人或者其他投标人的合法权益。如违反上述要求，经核实后，供应商的投标无效。</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5．投标人参加政府采购的条件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5.1投标人应在投标前在深圳交易集团有限公司政府采购业务分公司进行注册并办理电子密钥。《供应商注册及信息变更指引》详见www.szggzy.com网站“交易服务指南-政府采购”。</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5.2投标人资格要求</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参加本项目的投标人应具备的资格条件详见本项目招标公告中“投标人资格要求”（即申请人的资格要求）的内容。</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5.3联合体投标</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5.3.1以下有关联合体投标的条款仅适用于允许投标人组成联合体投标的项目。</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5.3.2由两个或两个以上的自然人、法人或者其他组织可以组成一个联合体，以一个供应商的身份共同投标时，应符合以下原则：</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（1）投标联合体各方参加政府采购活动应当具备下列条件：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1、具有独立承担民事责任的能力；</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2、有良好的商业信誉和健全的财务会计制度；</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3、具有履行合同所必需的设备和专业技术能力；</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4、有依法缴纳税收和社会保障资金的良好记录；</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5、参加政府采购活动前三年内，在经营活动中没有重大违法记录；</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6、法律、行政法规规定的其他条件。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（2）在投标截止前，投标联合体各方均应注册成采购代理机构供应商；</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（3）联合体中有同类资质的供应商按照联合体分工承担相同工作的，应当按照资质等级较低的供应商确定资质等级；</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（4）是否允许联合体参加投标，应当由采购人和采购代理机构根据项目的实际情况和潜在供应商的数量自主决定，如果决定接受联合体投标则应当在招标公告中明示；</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（5）投标人的投标文件及中标后签署的合同协议对联合体各方均具有法律约束力；</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（6）联合体各方应当签订联合体投标协议，明确约定各方拟承担的工作和责任，并将该协议随投标文件一并递交给采购代理机构；</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（7）联合体中标后，联合体各方应当共同与采购人签订合同，就中标项目向采购人承担连带责任；</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（9）本通用条款中“投标人”一词亦指联合体各方，专用条款另有规定或说明的除外。</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6．政策导向</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6.1政府采购支持本国产品、支持中小企业、监狱企业和残疾人福利性单位发展，支持乡村产业振兴，支持创新、节能减排、绿色环保等。</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6.2本项目落实深圳市政府采购供应商诚信管理政策要求。</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6.3本项目支持投标人性别平等的相关政策。</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7.本项目若涉及采购货物，则合格的货物及相应服务应满足以下要求：</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7.1必须是全新、未使用过的原装合格正品（包括零部件），如安装或配置了软件的，须为正版软件。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7.2国产的货物及其有关服务必须符合中华人民共和国的设计、制造生产标准及行业标准。招标公告有其他要求的，亦应符合其要求。</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7.4投标人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7.5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7.6工期要求：投标人在投标时对其所投项目应提交交货进度、交货计划等，在合同规定的时间内完成项目实施工作。</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7.7投标人必须承担的设备运输、安装调试、验收检测和提供设备操作说明书、图纸等其他相关及类似的义务。</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8．投标费用</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不论投标结果如何，投标人应承担其编制投标文件与递交投标文件所涉及的一切费用。</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9．踏勘现场</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9.1如有需要（详见专用条款），采购人或采购代理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9.2投标人及其人员经过采购人的允许，可以进入采购人的项目现场踏勘。若招标文件要求投标人于统一时间地点踏勘现场的，投标人应当按时前往。</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9.3采购人应当通过采购代理机构向投标人提供有关现场的书面资料和数据。</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9.4任何人或任何组织在踏勘现场时向投标人提供的任何书面资料或口头承诺，未经采购代理机构在网上发布或书面通知，均作无效处理。</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9.5未参与踏勘现场不作为否定投标人资格的理由。</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10．标前会议</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10.1如采购人或采购代理机构认为有必要组织标前会议，投标人应按照招标文件规定的时间或采购代理机构另行书面通知（包括采购代理机构网站发布方式，如更正公告等）的时间和地点，参与标前会议。</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10.2任何人或任何组织在标前会议时向投标人提供的任何书面资料或口头承诺，未经采购代理机构在网上发布或书面通知，均作无效处理。</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10.3未参与标前会议不作为否定投标人资格的理由。</w:t>
      </w:r>
      <w:r>
        <w:rPr>
          <w:rFonts w:eastAsia="宋体" w:hint="eastAsia"/>
          <w:kern w:val="2"/>
          <w:lang w:eastAsia="zh-CN"/>
        </w:rPr>
        <w:br w:type="page"/>
      </w: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35" w:name="_Toc696"/>
      <w:r>
        <w:rPr>
          <w:rFonts w:ascii="Arial" w:eastAsia="宋体" w:hAnsi="Arial" w:hint="eastAsia"/>
          <w:b/>
          <w:kern w:val="2"/>
          <w:sz w:val="32"/>
          <w:lang w:eastAsia="zh-CN"/>
        </w:rPr>
        <w:t>第二章</w:t>
      </w:r>
      <w:bookmarkStart w:id="36" w:name="_Toc16272"/>
      <w:bookmarkStart w:id="37" w:name="_Toc4237"/>
      <w:bookmarkStart w:id="38" w:name="_Toc25500"/>
      <w:r>
        <w:rPr>
          <w:rFonts w:ascii="Arial" w:eastAsia="宋体" w:hAnsi="Arial" w:hint="eastAsia"/>
          <w:b/>
          <w:kern w:val="2"/>
          <w:sz w:val="32"/>
          <w:lang w:eastAsia="zh-CN"/>
        </w:rPr>
        <w:t xml:space="preserve">  招标文件</w:t>
      </w:r>
      <w:bookmarkEnd w:id="35"/>
      <w:bookmarkEnd w:id="36"/>
      <w:bookmarkEnd w:id="37"/>
      <w:bookmarkEnd w:id="38"/>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w:t>
      </w:r>
      <w:bookmarkStart w:id="39" w:name="_Hlk72399819"/>
      <w:r>
        <w:rPr>
          <w:rFonts w:eastAsia="宋体" w:hint="eastAsia"/>
          <w:kern w:val="2"/>
          <w:sz w:val="21"/>
          <w:lang w:eastAsia="zh-CN"/>
        </w:rPr>
        <w:t>招标文件的编制与组成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.1招标文件除以下内容外，采购代理机构在招标期间发出的澄清或修改等相关公告或通知内容，均是招标文件的组成部分，对投标人起约束作用；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招标文件包括下列内容：</w:t>
      </w:r>
    </w:p>
    <w:p>
      <w:pPr>
        <w:widowControl w:val="0"/>
        <w:ind w:left="480" w:firstLine="412" w:leftChars="200" w:firstLineChars="196"/>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第一册  专用条款</w:t>
      </w:r>
    </w:p>
    <w:p>
      <w:pPr>
        <w:widowControl w:val="0"/>
        <w:ind w:left="1234" w:leftChars="514"/>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招标公告</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对通用条款的补充内容及其他关键信息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用户需求书</w:t>
      </w:r>
    </w:p>
    <w:p>
      <w:pPr>
        <w:widowControl w:val="0"/>
        <w:ind w:left="720" w:firstLine="412" w:leftChars="300" w:firstLineChars="196"/>
        <w:jc w:val="both"/>
        <w:rPr>
          <w:rFonts w:ascii="宋体" w:eastAsia="宋体" w:hAnsi="宋体"/>
          <w:kern w:val="2"/>
          <w:sz w:val="21"/>
          <w:szCs w:val="21"/>
          <w:lang w:eastAsia="zh-CN"/>
        </w:rPr>
      </w:pPr>
      <w:r>
        <w:rPr>
          <w:rFonts w:ascii="Calibri" w:eastAsia="宋体" w:hAnsi="Calibri" w:cstheme="minorBidi" w:hint="eastAsia"/>
          <w:kern w:val="2"/>
          <w:sz w:val="21"/>
          <w:szCs w:val="22"/>
          <w:lang w:eastAsia="zh-CN"/>
        </w:rPr>
        <w:t xml:space="preserve">第四章 </w:t>
      </w:r>
      <w:r>
        <w:rPr>
          <w:rFonts w:ascii="Calibri" w:eastAsia="宋体" w:hAnsi="Calibri" w:cstheme="minorBidi"/>
          <w:kern w:val="2"/>
          <w:sz w:val="21"/>
          <w:szCs w:val="22"/>
          <w:lang w:eastAsia="zh-CN"/>
        </w:rPr>
        <w:t xml:space="preserve"> </w:t>
      </w:r>
      <w:r>
        <w:rPr>
          <w:rFonts w:ascii="Calibri" w:eastAsia="宋体" w:hAnsi="Calibri" w:cstheme="minorBidi" w:hint="eastAsia"/>
          <w:kern w:val="2"/>
          <w:sz w:val="21"/>
          <w:szCs w:val="22"/>
          <w:lang w:eastAsia="zh-CN"/>
        </w:rPr>
        <w:t>投标文件格式及附件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合同条款及格式</w:t>
      </w:r>
    </w:p>
    <w:p>
      <w:pPr>
        <w:widowControl w:val="0"/>
        <w:ind w:left="480" w:firstLine="412" w:leftChars="200" w:firstLineChars="196"/>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第二册  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总则</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招标文件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投标文件的编制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  投标文件的递交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第六章  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第八章  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第九章  公开采购失败的后续处理</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第十章  合同的授予与备案</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第十一章  质疑处理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2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wordWrap w:val="0"/>
        <w:autoSpaceDE w:val="0"/>
        <w:autoSpaceDN w:val="0"/>
        <w:spacing w:line="400" w:lineRule="exact"/>
        <w:ind w:right="808" w:firstLine="420" w:firstLineChars="200"/>
        <w:jc w:val="both"/>
        <w:rPr>
          <w:rFonts w:eastAsia="宋体"/>
          <w:kern w:val="2"/>
          <w:sz w:val="21"/>
          <w:szCs w:val="21"/>
          <w:lang w:eastAsia="zh-CN"/>
        </w:rPr>
      </w:pPr>
      <w:r>
        <w:rPr>
          <w:rFonts w:eastAsia="宋体" w:hint="eastAsia"/>
          <w:kern w:val="2"/>
          <w:sz w:val="21"/>
          <w:szCs w:val="21"/>
          <w:lang w:eastAsia="zh-CN"/>
        </w:rPr>
        <w:t>1</w:t>
      </w:r>
      <w:r>
        <w:rPr>
          <w:rFonts w:eastAsia="宋体"/>
          <w:kern w:val="2"/>
          <w:sz w:val="21"/>
          <w:szCs w:val="21"/>
          <w:lang w:eastAsia="zh-CN"/>
        </w:rPr>
        <w:t>1</w:t>
      </w:r>
      <w:r>
        <w:rPr>
          <w:rFonts w:eastAsia="宋体" w:hint="eastAsia"/>
          <w:kern w:val="2"/>
          <w:sz w:val="21"/>
          <w:szCs w:val="21"/>
          <w:lang w:eastAsia="zh-CN"/>
        </w:rPr>
        <w:t>.3</w:t>
      </w:r>
      <w:r>
        <w:rPr>
          <w:rFonts w:eastAsia="宋体" w:hint="eastAsia"/>
          <w:kern w:val="2"/>
          <w:sz w:val="21"/>
          <w:lang w:eastAsia="zh-CN"/>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．招标文件的澄清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.1招标文件澄清的目的是澄清、解答投标人在查阅招标文件后或现场踏勘中可能提出的与投标有关的疑问或询问。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.2投标人如对招标文件内容有疑问，应当在招标公告规定的澄清（提问）截止时间前以网上提问的形式通过网上政府采购系统提交采购代理机构。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w:t>
      </w:r>
      <w:r>
        <w:rPr>
          <w:rFonts w:eastAsia="宋体"/>
          <w:kern w:val="2"/>
          <w:sz w:val="21"/>
          <w:lang w:eastAsia="zh-CN"/>
        </w:rPr>
        <w:t>3.3</w:t>
      </w:r>
      <w:r>
        <w:rPr>
          <w:rFonts w:eastAsia="宋体" w:hint="eastAsia"/>
          <w:kern w:val="2"/>
          <w:sz w:val="21"/>
          <w:lang w:eastAsia="zh-CN"/>
        </w:rPr>
        <w:t>、1</w:t>
      </w:r>
      <w:r>
        <w:rPr>
          <w:rFonts w:eastAsia="宋体"/>
          <w:kern w:val="2"/>
          <w:sz w:val="21"/>
          <w:lang w:eastAsia="zh-CN"/>
        </w:rPr>
        <w:t>3.4</w:t>
      </w:r>
      <w:r>
        <w:rPr>
          <w:rFonts w:eastAsia="宋体" w:hint="eastAsia"/>
          <w:kern w:val="2"/>
          <w:sz w:val="21"/>
          <w:lang w:eastAsia="zh-CN"/>
        </w:rPr>
        <w:t>款规定执行。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3．招标文件的修改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3.1招标文件发出后，在投标截止日期前任何时候，确需要变更招标文件内容的，采购代理机构可主动或在解答投标人提出的澄清问题时对招标文件进行修改。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3.2招标文件的修改以书面形式（包括采购代理机构网站发布方式，如更正公告等）发送给所有投标人，招标文件的修改内容作为招标文件的组成部分，并具有约束力。</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39"/>
    </w:p>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40" w:name="_Toc18814"/>
      <w:bookmarkStart w:id="41" w:name="_Toc17279"/>
      <w:bookmarkStart w:id="42" w:name="_Toc31413"/>
      <w:bookmarkStart w:id="43" w:name="_Toc13741"/>
      <w:r>
        <w:rPr>
          <w:rFonts w:ascii="Arial" w:eastAsia="宋体" w:hAnsi="Arial" w:hint="eastAsia"/>
          <w:b/>
          <w:kern w:val="2"/>
          <w:sz w:val="32"/>
          <w:lang w:eastAsia="zh-CN"/>
        </w:rPr>
        <w:t>第三章  投标文件的编制</w:t>
      </w:r>
      <w:bookmarkEnd w:id="40"/>
      <w:bookmarkEnd w:id="41"/>
      <w:bookmarkEnd w:id="42"/>
      <w:bookmarkEnd w:id="43"/>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w:t>
      </w:r>
      <w:bookmarkStart w:id="44" w:name="_Hlk72400236"/>
      <w:r>
        <w:rPr>
          <w:rFonts w:eastAsia="宋体" w:hint="eastAsia"/>
          <w:kern w:val="2"/>
          <w:sz w:val="21"/>
          <w:lang w:eastAsia="zh-CN"/>
        </w:rPr>
        <w:t>投标文件的语言及度量单位</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14.1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14.2除技术规范另有规定外，投标文件使用的度量单位，均采用中华人民共和国法定计量单位。</w:t>
      </w:r>
    </w:p>
    <w:bookmarkEnd w:id="44"/>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15．</w:t>
      </w:r>
      <w:bookmarkStart w:id="45" w:name="_Hlk72401567"/>
      <w:r>
        <w:rPr>
          <w:rFonts w:eastAsia="宋体" w:hint="eastAsia"/>
          <w:kern w:val="2"/>
          <w:sz w:val="21"/>
          <w:lang w:eastAsia="zh-CN"/>
        </w:rPr>
        <w:t>投标文件的组成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具体内容在招标文件专用条款中进行规定。</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16．投标文件格式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投标文件包括本通用条款第</w:t>
      </w:r>
      <w:r>
        <w:rPr>
          <w:rFonts w:eastAsia="宋体"/>
          <w:kern w:val="2"/>
          <w:sz w:val="21"/>
          <w:lang w:eastAsia="zh-CN"/>
        </w:rPr>
        <w:t>15条中规定的内容。如招标文件提供了投标文件格式，则</w:t>
      </w:r>
      <w:r>
        <w:rPr>
          <w:rFonts w:eastAsia="宋体" w:hint="eastAsia"/>
          <w:b/>
          <w:bCs/>
          <w:kern w:val="2"/>
          <w:sz w:val="21"/>
          <w:lang w:eastAsia="zh-CN"/>
        </w:rPr>
        <w:t>投标人提交的投标文件应毫无例外地使用招标文件所提供的相应格式</w:t>
      </w:r>
      <w:r>
        <w:rPr>
          <w:rFonts w:eastAsia="宋体" w:hint="eastAsia"/>
          <w:kern w:val="2"/>
          <w:sz w:val="21"/>
          <w:lang w:eastAsia="zh-CN"/>
        </w:rPr>
        <w:t>（表格均可按同样格式扩展）。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17．投标货币</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本项目的投标报价应以人民币计。</w:t>
      </w:r>
    </w:p>
    <w:bookmarkEnd w:id="45"/>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w:t>
      </w:r>
      <w:bookmarkStart w:id="46" w:name="_Hlk72401735"/>
      <w:r>
        <w:rPr>
          <w:rFonts w:eastAsia="宋体" w:hint="eastAsia"/>
          <w:kern w:val="2"/>
          <w:sz w:val="21"/>
          <w:lang w:eastAsia="zh-CN"/>
        </w:rPr>
        <w:t>证明投标文件投标技术方案的合格性和符合招标文件规定的文件要求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w:t>
      </w:r>
      <w:r>
        <w:rPr>
          <w:rFonts w:eastAsia="宋体"/>
          <w:kern w:val="2"/>
          <w:sz w:val="21"/>
          <w:lang w:eastAsia="zh-CN"/>
        </w:rPr>
        <w:t>.1</w:t>
      </w:r>
      <w:r>
        <w:rPr>
          <w:rFonts w:eastAsia="宋体" w:hint="eastAsia"/>
          <w:kern w:val="2"/>
          <w:sz w:val="21"/>
          <w:lang w:eastAsia="zh-CN"/>
        </w:rPr>
        <w:t>投标人应提交证明文件，证明其投标技术方案项下的货物和服务的合格性符合招标文件规定。该投标技术方案及其证明文件均作为投标文件组成部分。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8</w:t>
      </w:r>
      <w:r>
        <w:rPr>
          <w:rFonts w:eastAsia="宋体"/>
          <w:kern w:val="2"/>
          <w:sz w:val="21"/>
          <w:lang w:eastAsia="zh-CN"/>
        </w:rPr>
        <w:t>.2</w:t>
      </w:r>
      <w:r>
        <w:rPr>
          <w:rFonts w:eastAsia="宋体" w:hint="eastAsia"/>
          <w:kern w:val="2"/>
          <w:sz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18.2.1主要技术指标和性能的详细说明。</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w:t>
      </w:r>
      <w:r>
        <w:rPr>
          <w:rFonts w:eastAsia="宋体"/>
          <w:kern w:val="2"/>
          <w:sz w:val="21"/>
          <w:lang w:eastAsia="zh-CN"/>
        </w:rPr>
        <w:t>2</w:t>
      </w:r>
      <w:r>
        <w:rPr>
          <w:rFonts w:eastAsia="宋体" w:hint="eastAsia"/>
          <w:kern w:val="2"/>
          <w:sz w:val="21"/>
          <w:lang w:eastAsia="zh-CN"/>
        </w:rPr>
        <w:t>投标产品从采购人开始使用至招标文件中规定的周期内正常、连续地使用所必须的备件和专用工具清单，包括备件和专用工具的货源及现行价格。</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w:t>
      </w:r>
      <w:r>
        <w:rPr>
          <w:rFonts w:eastAsia="宋体"/>
          <w:kern w:val="2"/>
          <w:sz w:val="21"/>
          <w:lang w:eastAsia="zh-CN"/>
        </w:rPr>
        <w:t>3</w:t>
      </w:r>
      <w:r>
        <w:rPr>
          <w:rFonts w:eastAsia="宋体" w:hint="eastAsia"/>
          <w:kern w:val="2"/>
          <w:sz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要求能够使用电脑阅读、识别和判断；</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18.3相关资料不符合18.2款要求的，评审委员会有权认定为投标技术方案不合格响应，其相关分数予以扣减或作投标无效处理。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8</w:t>
      </w:r>
      <w:r>
        <w:rPr>
          <w:rFonts w:eastAsia="宋体"/>
          <w:kern w:val="2"/>
          <w:sz w:val="21"/>
          <w:lang w:eastAsia="zh-CN"/>
        </w:rPr>
        <w:t>.</w:t>
      </w:r>
      <w:r>
        <w:rPr>
          <w:rFonts w:eastAsia="宋体" w:hint="eastAsia"/>
          <w:kern w:val="2"/>
          <w:sz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审委员会来评判。</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18.5除非另有规定或说明，投标人对同一项目投标时，不得同时提供两套或两套以上的投标方案。</w:t>
      </w:r>
    </w:p>
    <w:bookmarkEnd w:id="46"/>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19．</w:t>
      </w:r>
      <w:bookmarkStart w:id="47" w:name="_Hlk72402034"/>
      <w:r>
        <w:rPr>
          <w:rFonts w:eastAsia="宋体" w:hint="eastAsia"/>
          <w:kern w:val="2"/>
          <w:sz w:val="21"/>
          <w:lang w:eastAsia="zh-CN"/>
        </w:rPr>
        <w:t>投标文件其他证明文件的要求</w:t>
      </w:r>
    </w:p>
    <w:p>
      <w:pPr>
        <w:widowControl/>
        <w:wordWrap w:val="0"/>
        <w:autoSpaceDE w:val="0"/>
        <w:autoSpaceDN w:val="0"/>
        <w:spacing w:line="400" w:lineRule="exact"/>
        <w:ind w:right="808" w:firstLine="420" w:firstLineChars="200"/>
        <w:jc w:val="both"/>
        <w:rPr>
          <w:rFonts w:eastAsia="宋体"/>
          <w:color w:val="FF0000"/>
          <w:kern w:val="2"/>
          <w:sz w:val="21"/>
          <w:lang w:eastAsia="zh-CN"/>
        </w:rPr>
      </w:pPr>
      <w:r>
        <w:rPr>
          <w:rFonts w:eastAsia="宋体" w:hint="eastAsia"/>
          <w:kern w:val="2"/>
          <w:sz w:val="21"/>
          <w:lang w:eastAsia="zh-CN"/>
        </w:rPr>
        <w:t>19.1</w:t>
      </w:r>
      <w:bookmarkStart w:id="48" w:name="_Hlk71407299"/>
      <w:r>
        <w:rPr>
          <w:rFonts w:eastAsia="宋体" w:hint="eastAsia"/>
          <w:kern w:val="2"/>
          <w:sz w:val="21"/>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48"/>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20．投标有效期</w:t>
      </w:r>
    </w:p>
    <w:bookmarkEnd w:id="47"/>
    <w:p>
      <w:pPr>
        <w:widowControl/>
        <w:wordWrap w:val="0"/>
        <w:autoSpaceDE w:val="0"/>
        <w:autoSpaceDN w:val="0"/>
        <w:spacing w:line="400" w:lineRule="exact"/>
        <w:ind w:right="808" w:firstLine="420" w:firstLineChars="200"/>
        <w:jc w:val="both"/>
        <w:rPr>
          <w:rFonts w:eastAsia="宋体"/>
          <w:kern w:val="2"/>
          <w:sz w:val="21"/>
          <w:lang w:eastAsia="zh-CN"/>
        </w:rPr>
      </w:pPr>
      <w:bookmarkStart w:id="49" w:name="_Hlk72402214"/>
      <w:r>
        <w:rPr>
          <w:rFonts w:eastAsia="宋体" w:hint="eastAsia"/>
          <w:kern w:val="2"/>
          <w:sz w:val="21"/>
          <w:lang w:eastAsia="zh-CN"/>
        </w:rPr>
        <w:t>20.1投标有效期为</w:t>
      </w:r>
      <w:r>
        <w:rPr>
          <w:rFonts w:ascii="Arial" w:eastAsia="宋体" w:hAnsi="Arial" w:cs="Arial" w:hint="eastAsia"/>
          <w:kern w:val="2"/>
          <w:sz w:val="21"/>
          <w:lang w:eastAsia="zh-CN"/>
        </w:rPr>
        <w:t>从投标截止之日算起的日历天数。</w:t>
      </w:r>
      <w:r>
        <w:rPr>
          <w:rFonts w:eastAsia="宋体" w:hint="eastAsia"/>
          <w:kern w:val="2"/>
          <w:sz w:val="21"/>
          <w:lang w:eastAsia="zh-CN"/>
        </w:rPr>
        <w:t>在此期限内，所有投标文件均保持有效。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20.2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w:t>
      </w:r>
      <w:r>
        <w:rPr>
          <w:rFonts w:eastAsia="宋体"/>
          <w:kern w:val="2"/>
          <w:sz w:val="21"/>
          <w:lang w:eastAsia="zh-CN"/>
        </w:rPr>
        <w:t>.3</w:t>
      </w:r>
      <w:r>
        <w:rPr>
          <w:rFonts w:eastAsia="宋体" w:hint="eastAsia"/>
          <w:kern w:val="2"/>
          <w:sz w:val="21"/>
          <w:lang w:eastAsia="zh-CN"/>
        </w:rPr>
        <w:t>中标供应商的投标文件有效期，截止于完成本招标文件规定的全部项目内容，并通过竣工验收及保修期结束。</w:t>
      </w:r>
    </w:p>
    <w:bookmarkEnd w:id="49"/>
    <w:p>
      <w:pPr>
        <w:widowControl/>
        <w:wordWrap w:val="0"/>
        <w:autoSpaceDE w:val="0"/>
        <w:autoSpaceDN w:val="0"/>
        <w:spacing w:line="400" w:lineRule="exact"/>
        <w:ind w:right="808" w:firstLine="420" w:firstLineChars="200"/>
        <w:jc w:val="both"/>
        <w:rPr>
          <w:rFonts w:eastAsia="宋体" w:hint="eastAsia"/>
          <w:kern w:val="2"/>
          <w:sz w:val="21"/>
          <w:lang w:eastAsia="zh-CN"/>
        </w:rPr>
      </w:pPr>
      <w:r>
        <w:rPr>
          <w:rFonts w:eastAsia="宋体" w:hint="eastAsia"/>
          <w:kern w:val="2"/>
          <w:sz w:val="21"/>
          <w:lang w:eastAsia="zh-CN"/>
        </w:rPr>
        <w:t>21．</w:t>
      </w:r>
      <w:bookmarkStart w:id="50" w:name="_Hlk72402325"/>
      <w:r>
        <w:rPr>
          <w:rFonts w:eastAsia="宋体" w:hint="eastAsia"/>
          <w:kern w:val="2"/>
          <w:sz w:val="21"/>
          <w:lang w:eastAsia="zh-CN"/>
        </w:rPr>
        <w:t>关于投标保证金</w:t>
      </w:r>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21.1</w:t>
      </w:r>
      <w:r>
        <w:rPr>
          <w:rFonts w:eastAsia="宋体" w:hint="eastAsia"/>
          <w:kern w:val="2"/>
          <w:sz w:val="21"/>
          <w:lang w:eastAsia="zh-CN"/>
        </w:rPr>
        <w:t>根据《深圳市财政局关于调整政府采购投标（响应）保证金管理政策的通知》（深财购〔2021〕51号）文的规定，本项目不收取投标保证金。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22．投标人的替代方案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22.2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0"/>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w:t>
      </w:r>
      <w:bookmarkStart w:id="51" w:name="_Hlk72402860"/>
      <w:r>
        <w:rPr>
          <w:rFonts w:eastAsia="宋体"/>
          <w:kern w:val="2"/>
          <w:sz w:val="21"/>
          <w:lang w:eastAsia="zh-CN"/>
        </w:rPr>
        <w:t>投标文件的</w:t>
      </w:r>
      <w:r>
        <w:rPr>
          <w:rFonts w:eastAsia="宋体" w:hint="eastAsia"/>
          <w:kern w:val="2"/>
          <w:sz w:val="21"/>
          <w:lang w:eastAsia="zh-CN"/>
        </w:rPr>
        <w:t>制作</w:t>
      </w:r>
      <w:r>
        <w:rPr>
          <w:rFonts w:eastAsia="宋体"/>
          <w:kern w:val="2"/>
          <w:sz w:val="21"/>
          <w:lang w:eastAsia="zh-CN"/>
        </w:rPr>
        <w:t>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23.1投标人应准备所投项目的电子投标文件一份。</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23.2投标人在使用《投标书编制软件》编制投标书时须注意：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23.2.2不能用非本公司的电子密钥加密本公司的投标文件，或者用其它公司的登录用户上传本公司的投标文件。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23.2.3要求用《投标书编制软件》编制投标书的包，不能用其它方式编制投标书。编制投标文件时，电脑须连通互联网。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23.2.4投标文件不能带病毒。采购代理机构将用专业杀毒软件对投标文件进行病毒检测，如果这两种软件均报告发现病毒，则采购代理机构认为该投标文件带病毒。</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23.2.6投标人在编辑投标文件时，在投标文件目录中属于本节点内容的必须在本节点中填写，填写到其他节点或附件，一切后果由供应商自行承担。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23.2.7投标文件编写完成后，必须用属于投标人的电子密钥或电子营业执照进行加密，否则视同未盖公章，将导致投标文件无效。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23.2.8采购代理机构不接受投标截止时间后递交的纸质、电子、传真等所有形式的投标文件。由于对网上政府采购系统操作不熟悉或自身电脑、网络等原因导致不能在投标截止时间之前上传投标文件，采购代理机构概不负责。建议于开标前一个工作日完成投标文件的制作与上传，如上传确有困难，请及时咨询。</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23.2.9如果开标时出现网络故障、技术故障，影响了政府采购活动，采购代理机构有权采取措施如延期、接受无法从网上上传的投标书等，以保障政府采购活动的公开、公平和公正。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23.3电报、电话、传真形式的投标概不接受。</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23.4经投标人电子密钥或电子营业执照加密的投标文件无须盖章或签字，专用条款另有要求的除外。</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b/>
          <w:kern w:val="2"/>
          <w:sz w:val="21"/>
          <w:lang w:eastAsia="zh-CN"/>
        </w:rPr>
        <w:t>23.5</w:t>
      </w:r>
      <w:r>
        <w:rPr>
          <w:rFonts w:eastAsia="宋体" w:hint="eastAsia"/>
          <w:kern w:val="2"/>
          <w:sz w:val="21"/>
          <w:lang w:eastAsia="zh-CN"/>
        </w:rPr>
        <w:t>各类资格（资质）文件提供扫描件，专用条款另有要求的除外。</w:t>
      </w:r>
      <w:bookmarkEnd w:id="51"/>
    </w:p>
    <w:p>
      <w:pPr>
        <w:widowControl/>
        <w:wordWrap w:val="0"/>
        <w:autoSpaceDE w:val="0"/>
        <w:autoSpaceDN w:val="0"/>
        <w:spacing w:line="360" w:lineRule="auto"/>
        <w:ind w:right="808" w:firstLine="480" w:firstLineChars="200"/>
        <w:jc w:val="both"/>
        <w:rPr>
          <w:rFonts w:eastAsia="宋体"/>
          <w:b/>
          <w:kern w:val="2"/>
          <w:lang w:eastAsia="zh-CN"/>
        </w:rPr>
      </w:pPr>
    </w:p>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52" w:name="_Toc18062"/>
      <w:bookmarkStart w:id="53" w:name="_Toc21427"/>
      <w:bookmarkStart w:id="54" w:name="_Toc28552"/>
      <w:bookmarkStart w:id="55" w:name="_Toc26761"/>
      <w:r>
        <w:rPr>
          <w:rFonts w:ascii="Arial" w:eastAsia="宋体" w:hAnsi="Arial" w:hint="eastAsia"/>
          <w:b/>
          <w:kern w:val="2"/>
          <w:sz w:val="32"/>
          <w:lang w:eastAsia="zh-CN"/>
        </w:rPr>
        <w:t>第四章</w:t>
      </w:r>
      <w:bookmarkStart w:id="56" w:name="_Toc30105"/>
      <w:r>
        <w:rPr>
          <w:rFonts w:ascii="Arial" w:eastAsia="宋体" w:hAnsi="Arial" w:hint="eastAsia"/>
          <w:b/>
          <w:kern w:val="2"/>
          <w:sz w:val="32"/>
          <w:lang w:eastAsia="zh-CN"/>
        </w:rPr>
        <w:t xml:space="preserve">  投标文件的</w:t>
      </w:r>
      <w:bookmarkEnd w:id="52"/>
      <w:r>
        <w:rPr>
          <w:rFonts w:ascii="Arial" w:eastAsia="宋体" w:hAnsi="Arial" w:hint="eastAsia"/>
          <w:b/>
          <w:kern w:val="2"/>
          <w:sz w:val="32"/>
          <w:lang w:eastAsia="zh-CN"/>
        </w:rPr>
        <w:t>递交</w:t>
      </w:r>
      <w:bookmarkEnd w:id="53"/>
      <w:bookmarkEnd w:id="54"/>
      <w:bookmarkEnd w:id="55"/>
      <w:bookmarkEnd w:id="56"/>
    </w:p>
    <w:p>
      <w:pPr>
        <w:widowControl/>
        <w:wordWrap w:val="0"/>
        <w:autoSpaceDE w:val="0"/>
        <w:autoSpaceDN w:val="0"/>
        <w:spacing w:line="400" w:lineRule="exact"/>
        <w:ind w:right="808" w:firstLine="420" w:firstLineChars="200"/>
        <w:jc w:val="both"/>
        <w:rPr>
          <w:rFonts w:eastAsia="宋体"/>
          <w:kern w:val="2"/>
          <w:sz w:val="21"/>
          <w:lang w:eastAsia="zh-CN"/>
        </w:rPr>
      </w:pPr>
      <w:bookmarkStart w:id="57" w:name="_Hlk72405459"/>
      <w:r>
        <w:rPr>
          <w:rFonts w:eastAsia="宋体" w:hint="eastAsia"/>
          <w:kern w:val="2"/>
          <w:sz w:val="21"/>
          <w:lang w:eastAsia="zh-CN"/>
        </w:rPr>
        <w:t>24．投标文件的保密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w:t>
      </w:r>
      <w:r>
        <w:rPr>
          <w:rFonts w:eastAsia="宋体" w:hint="eastAsia"/>
          <w:kern w:val="2"/>
          <w:sz w:val="21"/>
          <w:highlight w:val="yellow"/>
          <w:lang w:eastAsia="zh-CN"/>
        </w:rPr>
        <w:t>(注意：加密的投标文件开标时须使用加密文件时使用的锁在项目规定时间内解密！)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24.2若采购项目出现延期情况：</w:t>
      </w:r>
    </w:p>
    <w:p>
      <w:pPr>
        <w:widowControl/>
        <w:wordWrap w:val="0"/>
        <w:autoSpaceDE w:val="0"/>
        <w:autoSpaceDN w:val="0"/>
        <w:spacing w:line="400" w:lineRule="exact"/>
        <w:ind w:right="808" w:firstLine="420" w:firstLineChars="200"/>
        <w:jc w:val="both"/>
        <w:rPr>
          <w:rFonts w:ascii="黑体" w:eastAsia="黑体"/>
          <w:kern w:val="2"/>
          <w:lang w:eastAsia="zh-CN"/>
        </w:rPr>
      </w:pPr>
      <w:r>
        <w:rPr>
          <w:rFonts w:eastAsia="宋体" w:hint="eastAsia"/>
          <w:kern w:val="2"/>
          <w:sz w:val="21"/>
          <w:lang w:eastAsia="zh-CN"/>
        </w:rPr>
        <w:t>如果供下载的招标文件有更新，投标人必须重新下载招标文件、重新制作投标文件、重新加密投标文件、重新上传投标文件。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25．上传投标文件及投标截止日期</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w:t>
      </w:r>
      <w:r>
        <w:rPr>
          <w:rFonts w:eastAsia="宋体"/>
          <w:kern w:val="2"/>
          <w:sz w:val="21"/>
          <w:lang w:eastAsia="zh-CN"/>
        </w:rPr>
        <w:t>.</w:t>
      </w:r>
      <w:r>
        <w:rPr>
          <w:rFonts w:eastAsia="宋体" w:hint="eastAsia"/>
          <w:kern w:val="2"/>
          <w:sz w:val="21"/>
          <w:lang w:eastAsia="zh-CN"/>
        </w:rPr>
        <w:t>1实行网上投标，</w:t>
      </w:r>
      <w:r>
        <w:rPr>
          <w:rFonts w:eastAsia="宋体"/>
          <w:kern w:val="2"/>
          <w:sz w:val="21"/>
          <w:lang w:eastAsia="zh-CN"/>
        </w:rPr>
        <w:t>投标人必须</w:t>
      </w:r>
      <w:r>
        <w:rPr>
          <w:rFonts w:eastAsia="宋体" w:hint="eastAsia"/>
          <w:kern w:val="2"/>
          <w:sz w:val="21"/>
          <w:lang w:eastAsia="zh-CN"/>
        </w:rPr>
        <w:t>在招标</w:t>
      </w:r>
      <w:r>
        <w:rPr>
          <w:rFonts w:eastAsia="宋体"/>
          <w:kern w:val="2"/>
          <w:sz w:val="21"/>
          <w:lang w:eastAsia="zh-CN"/>
        </w:rPr>
        <w:t>文件规定的投标截止时间前</w:t>
      </w:r>
      <w:r>
        <w:rPr>
          <w:rFonts w:eastAsia="宋体" w:hint="eastAsia"/>
          <w:kern w:val="2"/>
          <w:sz w:val="21"/>
          <w:lang w:eastAsia="zh-CN"/>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ascii="宋体" w:eastAsia="宋体" w:hAnsi="宋体" w:cstheme="minorBidi" w:hint="eastAsia"/>
          <w:b/>
          <w:bCs/>
          <w:kern w:val="2"/>
          <w:sz w:val="21"/>
          <w:szCs w:val="21"/>
          <w:lang w:eastAsia="zh-CN"/>
        </w:rPr>
        <w:t>深圳公共资源交易中心（深圳交易集团有限公司政府采购业务分公司）</w:t>
      </w:r>
      <w:r>
        <w:rPr>
          <w:rFonts w:ascii="宋体" w:eastAsia="宋体" w:hAnsi="宋体" w:cstheme="minorBidi" w:hint="eastAsia"/>
          <w:b/>
          <w:bCs/>
          <w:kern w:val="2"/>
          <w:sz w:val="21"/>
          <w:szCs w:val="22"/>
          <w:lang w:eastAsia="zh-CN"/>
        </w:rPr>
        <w:t>（地址：深圳市南山区沙河西路3185号南山智谷A座（深圳交易集团总部大楼）3楼）</w:t>
      </w:r>
      <w:r>
        <w:rPr>
          <w:rFonts w:eastAsia="宋体" w:hint="eastAsia"/>
          <w:b/>
          <w:bCs/>
          <w:kern w:val="2"/>
          <w:sz w:val="21"/>
          <w:szCs w:val="21"/>
          <w:lang w:eastAsia="zh-CN"/>
        </w:rPr>
        <w:t>协助上传，但上传过程中投标截止时间到达仍无法上传成功的，由投标人自行负责。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25.2采购代理机构可以按本通用条款第13条规定，通过修改招标文件自行决定酌情延长投标截止期。在此情况下，采购代理机构、采购人和投标人受投标截止期制约的所有权利和义务均应延长至新的截止期。</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w:t>
      </w:r>
      <w:r>
        <w:rPr>
          <w:rFonts w:eastAsia="宋体"/>
          <w:kern w:val="2"/>
          <w:sz w:val="21"/>
          <w:lang w:eastAsia="zh-CN"/>
        </w:rPr>
        <w:t>.</w:t>
      </w:r>
      <w:r>
        <w:rPr>
          <w:rFonts w:eastAsia="宋体" w:hint="eastAsia"/>
          <w:kern w:val="2"/>
          <w:sz w:val="21"/>
          <w:lang w:eastAsia="zh-CN"/>
        </w:rPr>
        <w:t>3投标截止时间以后不得上传投标文件。</w:t>
      </w:r>
    </w:p>
    <w:bookmarkEnd w:id="57"/>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26.样品、现场演示、方案讲解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26.1样品、现场演示、方案讲解等事项在招标文件专用条款中进行规定。</w:t>
      </w:r>
    </w:p>
    <w:p>
      <w:pPr>
        <w:widowControl/>
        <w:wordWrap w:val="0"/>
        <w:autoSpaceDE w:val="0"/>
        <w:autoSpaceDN w:val="0"/>
        <w:spacing w:line="400" w:lineRule="exact"/>
        <w:ind w:right="808" w:firstLine="420" w:firstLineChars="200"/>
        <w:jc w:val="both"/>
        <w:rPr>
          <w:rFonts w:eastAsia="宋体"/>
          <w:kern w:val="2"/>
          <w:sz w:val="21"/>
          <w:lang w:eastAsia="zh-CN"/>
        </w:rPr>
      </w:pPr>
      <w:bookmarkStart w:id="58" w:name="_Hlk72428346"/>
      <w:r>
        <w:rPr>
          <w:rFonts w:eastAsia="宋体"/>
          <w:kern w:val="2"/>
          <w:sz w:val="21"/>
          <w:lang w:eastAsia="zh-CN"/>
        </w:rPr>
        <w:t>2</w:t>
      </w:r>
      <w:r>
        <w:rPr>
          <w:rFonts w:eastAsia="宋体" w:hint="eastAsia"/>
          <w:kern w:val="2"/>
          <w:sz w:val="21"/>
          <w:lang w:eastAsia="zh-CN"/>
        </w:rPr>
        <w:t>7．</w:t>
      </w:r>
      <w:r>
        <w:rPr>
          <w:rFonts w:eastAsia="宋体"/>
          <w:kern w:val="2"/>
          <w:sz w:val="21"/>
          <w:lang w:eastAsia="zh-CN"/>
        </w:rPr>
        <w:t>投标文件的修改和撤销</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1</w:t>
      </w:r>
      <w:r>
        <w:rPr>
          <w:rFonts w:eastAsia="宋体"/>
          <w:kern w:val="2"/>
          <w:sz w:val="21"/>
          <w:lang w:eastAsia="zh-CN"/>
        </w:rPr>
        <w:t>投标方在提交投标文件后可对其投标文件进行修改</w:t>
      </w:r>
      <w:r>
        <w:rPr>
          <w:rFonts w:eastAsia="宋体" w:hint="eastAsia"/>
          <w:kern w:val="2"/>
          <w:sz w:val="21"/>
          <w:lang w:eastAsia="zh-CN"/>
        </w:rPr>
        <w:t>并重新上传投标文件</w:t>
      </w:r>
      <w:r>
        <w:rPr>
          <w:rFonts w:eastAsia="宋体"/>
          <w:kern w:val="2"/>
          <w:sz w:val="21"/>
          <w:lang w:eastAsia="zh-CN"/>
        </w:rPr>
        <w:t>或</w:t>
      </w:r>
      <w:r>
        <w:rPr>
          <w:rFonts w:eastAsia="宋体" w:hint="eastAsia"/>
          <w:kern w:val="2"/>
          <w:sz w:val="21"/>
          <w:lang w:eastAsia="zh-CN"/>
        </w:rPr>
        <w:t>在网上进行</w:t>
      </w:r>
      <w:r>
        <w:rPr>
          <w:rFonts w:eastAsia="宋体"/>
          <w:kern w:val="2"/>
          <w:sz w:val="21"/>
          <w:lang w:eastAsia="zh-CN"/>
        </w:rPr>
        <w:t>撤销</w:t>
      </w:r>
      <w:r>
        <w:rPr>
          <w:rFonts w:eastAsia="宋体" w:hint="eastAsia"/>
          <w:kern w:val="2"/>
          <w:sz w:val="21"/>
          <w:lang w:eastAsia="zh-CN"/>
        </w:rPr>
        <w:t>投标的操作</w:t>
      </w:r>
      <w:r>
        <w:rPr>
          <w:rFonts w:eastAsia="宋体"/>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2</w:t>
      </w:r>
      <w:r>
        <w:rPr>
          <w:rFonts w:eastAsia="宋体"/>
          <w:kern w:val="2"/>
          <w:sz w:val="21"/>
          <w:lang w:eastAsia="zh-CN"/>
        </w:rPr>
        <w:t>投标截止时间以后不得修改投标文件。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3从投标截止期至投标人在投标文件中确定的投标有效期之间的这段时间内，投标人不得撤回其投标。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27.4采购代理机构不退还投标文件，专用条款另有规定的除外。</w:t>
      </w:r>
    </w:p>
    <w:bookmarkEnd w:id="58"/>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59" w:name="第五章1"/>
      <w:bookmarkEnd w:id="59"/>
      <w:bookmarkStart w:id="60" w:name="_Toc73518144"/>
      <w:bookmarkStart w:id="61" w:name="_Toc14713"/>
      <w:bookmarkStart w:id="62" w:name="_Toc101074881"/>
      <w:bookmarkStart w:id="63" w:name="_Toc13806"/>
      <w:bookmarkStart w:id="64" w:name="_Toc73517666"/>
      <w:bookmarkStart w:id="65" w:name="_Toc2041"/>
      <w:bookmarkStart w:id="66" w:name="_Toc100052391"/>
      <w:bookmarkStart w:id="67" w:name="_Toc1658"/>
      <w:r>
        <w:rPr>
          <w:rFonts w:ascii="Arial" w:eastAsia="宋体" w:hAnsi="Arial" w:hint="eastAsia"/>
          <w:b/>
          <w:kern w:val="2"/>
          <w:sz w:val="32"/>
          <w:lang w:eastAsia="zh-CN"/>
        </w:rPr>
        <w:t>第五章</w:t>
      </w:r>
      <w:bookmarkStart w:id="68" w:name="_Toc4434"/>
      <w:r>
        <w:rPr>
          <w:rFonts w:ascii="Arial" w:eastAsia="宋体" w:hAnsi="Arial" w:hint="eastAsia"/>
          <w:b/>
          <w:kern w:val="2"/>
          <w:sz w:val="32"/>
          <w:lang w:eastAsia="zh-CN"/>
        </w:rPr>
        <w:t xml:space="preserve">  开标</w:t>
      </w:r>
      <w:bookmarkEnd w:id="60"/>
      <w:bookmarkEnd w:id="61"/>
      <w:bookmarkEnd w:id="62"/>
      <w:bookmarkEnd w:id="63"/>
      <w:bookmarkEnd w:id="64"/>
      <w:bookmarkEnd w:id="65"/>
      <w:bookmarkEnd w:id="66"/>
      <w:bookmarkEnd w:id="67"/>
      <w:bookmarkEnd w:id="68"/>
    </w:p>
    <w:p>
      <w:pPr>
        <w:widowControl/>
        <w:wordWrap w:val="0"/>
        <w:autoSpaceDE w:val="0"/>
        <w:autoSpaceDN w:val="0"/>
        <w:spacing w:line="400" w:lineRule="exact"/>
        <w:ind w:right="808" w:firstLine="420" w:firstLineChars="200"/>
        <w:jc w:val="both"/>
        <w:rPr>
          <w:rFonts w:eastAsia="宋体"/>
          <w:kern w:val="2"/>
          <w:sz w:val="21"/>
          <w:lang w:eastAsia="zh-CN"/>
        </w:rPr>
      </w:pPr>
      <w:bookmarkStart w:id="69" w:name="_Toc73518146"/>
      <w:bookmarkStart w:id="70" w:name="_Toc73517668"/>
      <w:bookmarkStart w:id="71" w:name="_Toc100052393"/>
      <w:bookmarkStart w:id="72" w:name="_Toc101074882"/>
      <w:r>
        <w:rPr>
          <w:rFonts w:eastAsia="宋体" w:hint="eastAsia"/>
          <w:kern w:val="2"/>
          <w:sz w:val="21"/>
          <w:lang w:eastAsia="zh-CN"/>
        </w:rPr>
        <w:t>28．开标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8</w:t>
      </w:r>
      <w:r>
        <w:rPr>
          <w:rFonts w:eastAsia="宋体"/>
          <w:kern w:val="2"/>
          <w:sz w:val="21"/>
          <w:lang w:eastAsia="zh-CN"/>
        </w:rPr>
        <w:t>.</w:t>
      </w:r>
      <w:r>
        <w:rPr>
          <w:rFonts w:eastAsia="宋体" w:hint="eastAsia"/>
          <w:kern w:val="2"/>
          <w:sz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28.2采购代理机构将在满足开标条件（①解密时间结束，解密后的投标供应商数量满足开标要求或②解密时间结束前所有投标供应商均完成投标文件解密）后，对投标文件进行开标，并在网上公布开标结果。</w:t>
      </w:r>
    </w:p>
    <w:p>
      <w:pPr>
        <w:widowControl/>
        <w:wordWrap w:val="0"/>
        <w:autoSpaceDE w:val="0"/>
        <w:autoSpaceDN w:val="0"/>
        <w:spacing w:line="360" w:lineRule="auto"/>
        <w:ind w:right="808" w:firstLine="480" w:firstLineChars="200"/>
        <w:jc w:val="both"/>
        <w:rPr>
          <w:rFonts w:eastAsia="宋体"/>
          <w:b/>
          <w:kern w:val="2"/>
          <w:lang w:eastAsia="zh-CN"/>
        </w:rPr>
      </w:pPr>
    </w:p>
    <w:bookmarkEnd w:id="69"/>
    <w:bookmarkEnd w:id="70"/>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73" w:name="第六章1"/>
      <w:bookmarkEnd w:id="73"/>
      <w:bookmarkStart w:id="74" w:name="_Toc7319"/>
      <w:bookmarkStart w:id="75" w:name="_Toc27869"/>
      <w:bookmarkStart w:id="76" w:name="_Toc29197"/>
      <w:bookmarkStart w:id="77" w:name="_Toc20179"/>
      <w:r>
        <w:rPr>
          <w:rFonts w:ascii="Arial" w:eastAsia="宋体" w:hAnsi="Arial" w:hint="eastAsia"/>
          <w:b/>
          <w:kern w:val="2"/>
          <w:sz w:val="32"/>
          <w:lang w:eastAsia="zh-CN"/>
        </w:rPr>
        <w:t>第六章</w:t>
      </w:r>
      <w:bookmarkStart w:id="78" w:name="_Toc29225"/>
      <w:r>
        <w:rPr>
          <w:rFonts w:ascii="Arial" w:eastAsia="宋体" w:hAnsi="Arial" w:hint="eastAsia"/>
          <w:b/>
          <w:kern w:val="2"/>
          <w:sz w:val="32"/>
          <w:lang w:eastAsia="zh-CN"/>
        </w:rPr>
        <w:t xml:space="preserve">  评审要求</w:t>
      </w:r>
      <w:bookmarkEnd w:id="71"/>
      <w:bookmarkEnd w:id="72"/>
      <w:bookmarkEnd w:id="74"/>
      <w:bookmarkEnd w:id="75"/>
      <w:bookmarkEnd w:id="76"/>
      <w:bookmarkEnd w:id="77"/>
      <w:bookmarkEnd w:id="78"/>
    </w:p>
    <w:p>
      <w:pPr>
        <w:widowControl/>
        <w:wordWrap w:val="0"/>
        <w:autoSpaceDE w:val="0"/>
        <w:autoSpaceDN w:val="0"/>
        <w:spacing w:line="400" w:lineRule="exact"/>
        <w:ind w:right="808" w:firstLine="420" w:firstLineChars="200"/>
        <w:jc w:val="both"/>
        <w:rPr>
          <w:rFonts w:eastAsia="宋体"/>
          <w:kern w:val="2"/>
          <w:sz w:val="21"/>
          <w:lang w:eastAsia="zh-CN"/>
        </w:rPr>
      </w:pPr>
      <w:bookmarkStart w:id="79" w:name="第七章1"/>
      <w:bookmarkEnd w:id="79"/>
      <w:bookmarkStart w:id="80" w:name="_Toc100052397"/>
      <w:bookmarkStart w:id="81" w:name="_Toc19125"/>
      <w:bookmarkStart w:id="82" w:name="_Toc1296"/>
      <w:bookmarkStart w:id="83" w:name="_Toc20125"/>
      <w:bookmarkStart w:id="84" w:name="_Toc101074883"/>
      <w:r>
        <w:rPr>
          <w:rFonts w:eastAsia="宋体" w:hint="eastAsia"/>
          <w:kern w:val="2"/>
          <w:sz w:val="21"/>
          <w:lang w:eastAsia="zh-CN"/>
        </w:rPr>
        <w:t>29．评审委员会组成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29.1网上开标结束后召开评审会议，</w:t>
      </w:r>
      <w:r>
        <w:rPr>
          <w:rFonts w:eastAsia="宋体" w:hint="eastAsia"/>
          <w:kern w:val="2"/>
          <w:sz w:val="21"/>
          <w:szCs w:val="21"/>
          <w:lang w:eastAsia="zh-CN"/>
        </w:rPr>
        <w:t>评审委员会</w:t>
      </w:r>
      <w:r>
        <w:rPr>
          <w:rFonts w:eastAsia="宋体" w:hint="eastAsia"/>
          <w:kern w:val="2"/>
          <w:sz w:val="21"/>
          <w:lang w:eastAsia="zh-CN"/>
        </w:rPr>
        <w:t>由采购代理机构依法组建，负责评审活动。</w:t>
      </w:r>
    </w:p>
    <w:p>
      <w:pPr>
        <w:widowControl/>
        <w:wordWrap w:val="0"/>
        <w:autoSpaceDE w:val="0"/>
        <w:autoSpaceDN w:val="0"/>
        <w:spacing w:line="400" w:lineRule="exact"/>
        <w:ind w:right="808" w:firstLine="420" w:firstLineChars="200"/>
        <w:jc w:val="both"/>
        <w:rPr>
          <w:rFonts w:eastAsia="宋体"/>
          <w:kern w:val="2"/>
          <w:sz w:val="21"/>
          <w:lang w:eastAsia="zh-CN"/>
        </w:rPr>
      </w:pPr>
      <w:bookmarkStart w:id="85" w:name="_Hlk72436580"/>
      <w:r>
        <w:rPr>
          <w:rFonts w:eastAsia="宋体" w:hint="eastAsia"/>
          <w:kern w:val="2"/>
          <w:sz w:val="21"/>
          <w:lang w:eastAsia="zh-CN"/>
        </w:rPr>
        <w:t>评审委员会由采购人代表和评审专家组成，成员人数应当为5人以上单数（部分条件下为7人以上单数），其中评审专家不得少于成员总数的三分之二。</w:t>
      </w:r>
      <w:bookmarkEnd w:id="85"/>
      <w:r>
        <w:rPr>
          <w:rFonts w:eastAsia="宋体" w:hint="eastAsia"/>
          <w:kern w:val="2"/>
          <w:sz w:val="21"/>
          <w:lang w:eastAsia="zh-CN"/>
        </w:rPr>
        <w:t>评定分离项目</w:t>
      </w:r>
      <w:r>
        <w:rPr>
          <w:rFonts w:eastAsia="宋体"/>
          <w:kern w:val="2"/>
          <w:sz w:val="21"/>
          <w:lang w:eastAsia="zh-CN"/>
        </w:rPr>
        <w:t>评审专家</w:t>
      </w:r>
      <w:r>
        <w:rPr>
          <w:rFonts w:eastAsia="宋体" w:hint="eastAsia"/>
          <w:kern w:val="2"/>
          <w:sz w:val="21"/>
          <w:lang w:eastAsia="zh-CN"/>
        </w:rPr>
        <w:t>均</w:t>
      </w:r>
      <w:r>
        <w:rPr>
          <w:rFonts w:eastAsia="宋体"/>
          <w:kern w:val="2"/>
          <w:sz w:val="21"/>
          <w:lang w:eastAsia="zh-CN"/>
        </w:rPr>
        <w:t>由</w:t>
      </w:r>
      <w:r>
        <w:rPr>
          <w:rFonts w:eastAsia="宋体" w:hint="eastAsia"/>
          <w:kern w:val="2"/>
          <w:sz w:val="21"/>
          <w:lang w:eastAsia="zh-CN"/>
        </w:rPr>
        <w:t>评审专家组成。</w:t>
      </w:r>
      <w:r>
        <w:rPr>
          <w:rFonts w:eastAsia="宋体" w:hint="eastAsia"/>
          <w:kern w:val="2"/>
          <w:sz w:val="21"/>
          <w:szCs w:val="21"/>
          <w:lang w:eastAsia="zh-CN"/>
        </w:rPr>
        <w:t>评审专家一般是</w:t>
      </w:r>
      <w:r>
        <w:rPr>
          <w:rFonts w:eastAsia="宋体" w:hint="eastAsia"/>
          <w:kern w:val="2"/>
          <w:sz w:val="21"/>
          <w:lang w:eastAsia="zh-CN"/>
        </w:rPr>
        <w:t>从深圳市政府采购评审专家库中随机抽取。采购人代表须持本单位签发的《评审授权书》参加评审。</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29.2评审定标应当遵循公平、公正、科学、择优的原则。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29.3评审活动依法进行，任何单位和个人不得非法干预评标过程和结果。</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29.4评审过程中不允许违背评标程序或采用招标文件未载明的评标方法或评标因素进行评标。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29.5开标后，直到签订合同为止，凡属于对投标文件的审查、澄清、评价和比较的有关资料以及中标候选人的推荐情况、与评审有关的其他任何情况均严格保密（信息公开的内容除外）。</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30．向评审委员会提供的资料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30.1公开发布的招标文件，包括图纸、服务清单、答疑文件等；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30.2其他评标必须的资料。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30.3</w:t>
      </w:r>
      <w:r>
        <w:rPr>
          <w:rFonts w:eastAsia="宋体" w:hint="eastAsia"/>
          <w:kern w:val="2"/>
          <w:sz w:val="21"/>
          <w:szCs w:val="21"/>
          <w:lang w:eastAsia="zh-CN"/>
        </w:rPr>
        <w:t>评审委员会</w:t>
      </w:r>
      <w:r>
        <w:rPr>
          <w:rFonts w:eastAsia="宋体" w:hint="eastAsia"/>
          <w:kern w:val="2"/>
          <w:sz w:val="21"/>
          <w:lang w:eastAsia="zh-CN"/>
        </w:rPr>
        <w:t>应当认真研究招标文件，至少应了解熟悉以下内容：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（1）招标的目的；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（2）招标项目需求的范围和性质；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（3）招标文件规定的投标人的资格、财政预算限额、商务条款；</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（4）招标文件规定的评标程序、评标方法和评标因素；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（5）招标文件所列示的资格性审查表及符合性审查表。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31．独立评审</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w:t>
      </w:r>
      <w:r>
        <w:rPr>
          <w:rFonts w:eastAsia="宋体"/>
          <w:kern w:val="2"/>
          <w:sz w:val="21"/>
          <w:lang w:eastAsia="zh-CN"/>
        </w:rPr>
        <w:t>1</w:t>
      </w:r>
      <w:r>
        <w:rPr>
          <w:rFonts w:eastAsia="宋体" w:hint="eastAsia"/>
          <w:kern w:val="2"/>
          <w:sz w:val="21"/>
          <w:lang w:eastAsia="zh-CN"/>
        </w:rPr>
        <w:t>.1</w:t>
      </w:r>
      <w:r>
        <w:rPr>
          <w:rFonts w:eastAsia="宋体" w:hint="eastAsia"/>
          <w:kern w:val="2"/>
          <w:sz w:val="21"/>
          <w:szCs w:val="21"/>
          <w:lang w:eastAsia="zh-CN"/>
        </w:rPr>
        <w:t>评审委员会</w:t>
      </w:r>
      <w:r>
        <w:rPr>
          <w:rFonts w:eastAsia="宋体" w:hint="eastAsia"/>
          <w:kern w:val="2"/>
          <w:sz w:val="21"/>
          <w:lang w:eastAsia="zh-CN"/>
        </w:rPr>
        <w:t>成员的评标活动应当独立进行，并应遵循投标文件初审、澄清有关问题、比较与评价、确定中标供应商、编写评审报告的工作程序。</w:t>
      </w: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86" w:name="_Toc18761"/>
      <w:r>
        <w:rPr>
          <w:rFonts w:ascii="Arial" w:eastAsia="宋体" w:hAnsi="Arial" w:hint="eastAsia"/>
          <w:b/>
          <w:kern w:val="2"/>
          <w:sz w:val="32"/>
          <w:lang w:eastAsia="zh-CN"/>
        </w:rPr>
        <w:t>第七章</w:t>
      </w:r>
      <w:bookmarkStart w:id="87" w:name="_Toc26636"/>
      <w:r>
        <w:rPr>
          <w:rFonts w:ascii="Arial" w:eastAsia="宋体" w:hAnsi="Arial" w:hint="eastAsia"/>
          <w:b/>
          <w:kern w:val="2"/>
          <w:sz w:val="32"/>
          <w:lang w:eastAsia="zh-CN"/>
        </w:rPr>
        <w:t xml:space="preserve">  评审程序</w:t>
      </w:r>
      <w:bookmarkStart w:id="88" w:name="_Toc73517671"/>
      <w:bookmarkStart w:id="89" w:name="_Toc73518149"/>
      <w:r>
        <w:rPr>
          <w:rFonts w:ascii="Arial" w:eastAsia="宋体" w:hAnsi="Arial" w:hint="eastAsia"/>
          <w:b/>
          <w:kern w:val="2"/>
          <w:sz w:val="32"/>
          <w:lang w:eastAsia="zh-CN"/>
        </w:rPr>
        <w:t>及评审方法</w:t>
      </w:r>
      <w:bookmarkEnd w:id="80"/>
      <w:bookmarkEnd w:id="81"/>
      <w:bookmarkEnd w:id="82"/>
      <w:bookmarkEnd w:id="83"/>
      <w:bookmarkEnd w:id="84"/>
      <w:bookmarkEnd w:id="86"/>
      <w:bookmarkEnd w:id="87"/>
    </w:p>
    <w:bookmarkEnd w:id="88"/>
    <w:bookmarkEnd w:id="89"/>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32．投标文件初审</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32.1投标文件初审包括资格性审查和符合性审查。</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资格性审查：依据法律法规和招标文件的规定，对投标文件中的资格证明等进行审查，以确定投标供应商是否具备投标资格。</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符合性审查：依据招标文件的规定，对投标文件的有效性、完整性和对招标文件的响应程度进行审查，以确定是否满足符合性审查的要求。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32.2投标文件初审内容请详见《资格性审查表》和《符合性审查表》部分。投标人若有一条审查不通过则按投标无效处理。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32.3投标文件初审中关于供应商家数的计算：</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eastAsia="宋体" w:hint="eastAsia"/>
          <w:kern w:val="2"/>
          <w:sz w:val="21"/>
          <w:szCs w:val="21"/>
          <w:lang w:eastAsia="zh-CN"/>
        </w:rPr>
        <w:t>评审委员会</w:t>
      </w:r>
      <w:r>
        <w:rPr>
          <w:rFonts w:eastAsia="宋体" w:hint="eastAsia"/>
          <w:kern w:val="2"/>
          <w:sz w:val="21"/>
          <w:lang w:eastAsia="zh-CN"/>
        </w:rPr>
        <w:t>按照招标文件规定的方式确定一个投标人获得中标人推荐资格，招标文件未规定的采取随机抽取方式确定，其他同品牌投标人不作为中标候选人。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32.4投标人投标文件作无效处理的情形，具体包括但不限于以下：</w:t>
      </w:r>
    </w:p>
    <w:p>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hint="eastAsia"/>
          <w:kern w:val="2"/>
          <w:sz w:val="21"/>
          <w:lang w:eastAsia="zh-CN"/>
        </w:rPr>
        <w:t>32.4.1</w:t>
      </w:r>
      <w:r>
        <w:rPr>
          <w:rFonts w:eastAsia="宋体" w:hint="eastAsia"/>
          <w:kern w:val="2"/>
          <w:sz w:val="21"/>
          <w:lang w:eastAsia="zh-CN"/>
        </w:rPr>
        <w:t>不同投标人的投标文件由同一单位或者同一个人编制，或者由同一个人分阶段参与编制；</w:t>
      </w:r>
    </w:p>
    <w:p>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kern w:val="2"/>
          <w:sz w:val="21"/>
          <w:lang w:eastAsia="zh-CN"/>
        </w:rPr>
        <w:t>32.4.</w:t>
      </w:r>
      <w:r>
        <w:rPr>
          <w:rFonts w:ascii="宋体" w:eastAsia="宋体" w:hAnsi="宋体" w:hint="eastAsia"/>
          <w:kern w:val="2"/>
          <w:sz w:val="21"/>
          <w:lang w:eastAsia="zh-CN"/>
        </w:rPr>
        <w:t>2</w:t>
      </w:r>
      <w:r>
        <w:rPr>
          <w:rFonts w:eastAsia="宋体" w:hint="eastAsia"/>
          <w:kern w:val="2"/>
          <w:sz w:val="21"/>
          <w:lang w:eastAsia="zh-CN"/>
        </w:rPr>
        <w:t>不同投标人委托同一单位或者个人办理投标事宜；</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32.4.3不同投标人的投标文件载明的项目管理成员或者联系人员为同一人；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32.4.4不同投标人的投标文件异常一致或者投标报价呈规律性差异；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32.4.5</w:t>
      </w:r>
      <w:r>
        <w:rPr>
          <w:rFonts w:eastAsia="宋体"/>
          <w:kern w:val="2"/>
          <w:sz w:val="21"/>
          <w:lang w:eastAsia="zh-CN"/>
        </w:rPr>
        <w:t>不同投标供应商的投标文件或部分投标文件相互混装</w:t>
      </w:r>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32.4.6投标供应商之间相互约定给予未中标的供应商利益补偿；</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32.4.7不同投标供应商的法定代表人、主要经营负责人、项目投标授权代表人、项目负责人、主要技术人员为同一人、属同一单位或者同一单位缴纳社会保险；</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32.4.8不同投标供应商的投标文件内容存在非正常一致；</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32.4.9在同一单位工作人员为两家以上（含两家）供应商进行同一项投标活动；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32.4.10主管部门依照法律、法规认定的其他情形。</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32.5对不属于《资格性审查表》和《符合性审查表》所列的其他情形，除专用条款另有规定和32.4条款所列情形外，不得作为投标无效的理由。</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33．澄清有关问题</w:t>
      </w:r>
    </w:p>
    <w:p>
      <w:pPr>
        <w:widowControl/>
        <w:wordWrap w:val="0"/>
        <w:autoSpaceDE w:val="0"/>
        <w:autoSpaceDN w:val="0"/>
        <w:spacing w:line="400" w:lineRule="exact"/>
        <w:ind w:right="808" w:firstLine="420" w:firstLineChars="200"/>
        <w:jc w:val="both"/>
        <w:rPr>
          <w:rFonts w:eastAsia="宋体"/>
          <w:kern w:val="2"/>
          <w:sz w:val="21"/>
          <w:lang w:eastAsia="zh-CN"/>
        </w:rPr>
      </w:pPr>
      <w:bookmarkStart w:id="90" w:name="_Hlk71407321"/>
      <w:r>
        <w:rPr>
          <w:rFonts w:eastAsia="宋体" w:hint="eastAsia"/>
          <w:kern w:val="2"/>
          <w:sz w:val="21"/>
          <w:lang w:eastAsia="zh-CN"/>
        </w:rPr>
        <w:t>3</w:t>
      </w:r>
      <w:r>
        <w:rPr>
          <w:rFonts w:eastAsia="宋体"/>
          <w:kern w:val="2"/>
          <w:sz w:val="21"/>
          <w:lang w:eastAsia="zh-CN"/>
        </w:rPr>
        <w:t>3.1</w:t>
      </w:r>
      <w:r>
        <w:rPr>
          <w:rFonts w:eastAsia="宋体" w:hint="eastAsia"/>
          <w:kern w:val="2"/>
          <w:sz w:val="21"/>
          <w:lang w:eastAsia="zh-CN"/>
        </w:rPr>
        <w:t>对招标文件中描述有歧义或前后不一致的地方（不含</w:t>
      </w:r>
      <w:r>
        <w:rPr>
          <w:rFonts w:eastAsia="宋体"/>
          <w:kern w:val="2"/>
          <w:sz w:val="21"/>
          <w:szCs w:val="21"/>
          <w:lang w:eastAsia="zh-CN"/>
        </w:rPr>
        <w:t>招标文件存在歧义、重大缺陷导致评</w:t>
      </w:r>
      <w:r>
        <w:rPr>
          <w:rFonts w:eastAsia="宋体" w:hint="eastAsia"/>
          <w:kern w:val="2"/>
          <w:sz w:val="21"/>
          <w:szCs w:val="21"/>
          <w:lang w:eastAsia="zh-CN"/>
        </w:rPr>
        <w:t>审</w:t>
      </w:r>
      <w:r>
        <w:rPr>
          <w:rFonts w:eastAsia="宋体"/>
          <w:kern w:val="2"/>
          <w:sz w:val="21"/>
          <w:szCs w:val="21"/>
          <w:lang w:eastAsia="zh-CN"/>
        </w:rPr>
        <w:t>工作无法进行</w:t>
      </w:r>
      <w:r>
        <w:rPr>
          <w:rFonts w:eastAsia="宋体" w:hint="eastAsia"/>
          <w:kern w:val="2"/>
          <w:sz w:val="21"/>
          <w:szCs w:val="21"/>
          <w:lang w:eastAsia="zh-CN"/>
        </w:rPr>
        <w:t>的情况）</w:t>
      </w:r>
      <w:r>
        <w:rPr>
          <w:rFonts w:eastAsia="宋体" w:hint="eastAsia"/>
          <w:kern w:val="2"/>
          <w:sz w:val="21"/>
          <w:lang w:eastAsia="zh-CN"/>
        </w:rPr>
        <w:t>，评审委员会有权进行评判，但对同一条款的评判应适用于每个投标人。</w:t>
      </w:r>
      <w:bookmarkEnd w:id="90"/>
    </w:p>
    <w:p>
      <w:pPr>
        <w:widowControl/>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3.2</w:t>
      </w:r>
      <w:r>
        <w:rPr>
          <w:rFonts w:eastAsia="宋体"/>
          <w:kern w:val="2"/>
          <w:sz w:val="21"/>
          <w:lang w:eastAsia="zh-CN"/>
        </w:rPr>
        <w:t>评</w:t>
      </w:r>
      <w:r>
        <w:rPr>
          <w:rFonts w:eastAsia="宋体" w:hint="eastAsia"/>
          <w:kern w:val="2"/>
          <w:sz w:val="21"/>
          <w:lang w:eastAsia="zh-CN"/>
        </w:rPr>
        <w:t>审</w:t>
      </w:r>
      <w:r>
        <w:rPr>
          <w:rFonts w:eastAsia="宋体"/>
          <w:kern w:val="2"/>
          <w:sz w:val="21"/>
          <w:lang w:eastAsia="zh-CN"/>
        </w:rPr>
        <w:t>委员会发现招标文件存在歧义、重大缺陷导致评</w:t>
      </w:r>
      <w:r>
        <w:rPr>
          <w:rFonts w:eastAsia="宋体" w:hint="eastAsia"/>
          <w:kern w:val="2"/>
          <w:sz w:val="21"/>
          <w:lang w:eastAsia="zh-CN"/>
        </w:rPr>
        <w:t>审</w:t>
      </w:r>
      <w:r>
        <w:rPr>
          <w:rFonts w:eastAsia="宋体"/>
          <w:kern w:val="2"/>
          <w:sz w:val="21"/>
          <w:lang w:eastAsia="zh-CN"/>
        </w:rPr>
        <w:t>工作无法进行，或者招标文件内容违反国家有关强制性规定的，应当停止评</w:t>
      </w:r>
      <w:r>
        <w:rPr>
          <w:rFonts w:eastAsia="宋体" w:hint="eastAsia"/>
          <w:kern w:val="2"/>
          <w:sz w:val="21"/>
          <w:lang w:eastAsia="zh-CN"/>
        </w:rPr>
        <w:t>审</w:t>
      </w:r>
      <w:r>
        <w:rPr>
          <w:rFonts w:eastAsia="宋体"/>
          <w:kern w:val="2"/>
          <w:sz w:val="21"/>
          <w:lang w:eastAsia="zh-CN"/>
        </w:rPr>
        <w:t>工作，与</w:t>
      </w:r>
      <w:r>
        <w:rPr>
          <w:rFonts w:eastAsia="宋体" w:hint="eastAsia"/>
          <w:kern w:val="2"/>
          <w:sz w:val="21"/>
          <w:lang w:eastAsia="zh-CN"/>
        </w:rPr>
        <w:t>采购代理机构</w:t>
      </w:r>
      <w:r>
        <w:rPr>
          <w:rFonts w:eastAsia="宋体"/>
          <w:kern w:val="2"/>
          <w:sz w:val="21"/>
          <w:lang w:eastAsia="zh-CN"/>
        </w:rPr>
        <w:t>沟通并作书面记录。</w:t>
      </w:r>
      <w:r>
        <w:rPr>
          <w:rFonts w:eastAsia="宋体" w:hint="eastAsia"/>
          <w:kern w:val="2"/>
          <w:sz w:val="21"/>
          <w:lang w:eastAsia="zh-CN"/>
        </w:rPr>
        <w:t>经</w:t>
      </w:r>
      <w:r>
        <w:rPr>
          <w:rFonts w:eastAsia="宋体"/>
          <w:kern w:val="2"/>
          <w:sz w:val="21"/>
          <w:lang w:eastAsia="zh-CN"/>
        </w:rPr>
        <w:t>确认后，</w:t>
      </w:r>
      <w:r>
        <w:rPr>
          <w:rFonts w:eastAsia="宋体" w:hint="eastAsia"/>
          <w:kern w:val="2"/>
          <w:sz w:val="21"/>
          <w:lang w:eastAsia="zh-CN"/>
        </w:rPr>
        <w:t>项目</w:t>
      </w:r>
      <w:r>
        <w:rPr>
          <w:rFonts w:eastAsia="宋体"/>
          <w:kern w:val="2"/>
          <w:sz w:val="21"/>
          <w:lang w:eastAsia="zh-CN"/>
        </w:rPr>
        <w:t>应当修改招标文件，重新组织采购活动。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33.3</w:t>
      </w:r>
      <w:r>
        <w:rPr>
          <w:rFonts w:eastAsia="宋体" w:hint="eastAsia"/>
          <w:kern w:val="2"/>
          <w:sz w:val="21"/>
          <w:lang w:eastAsia="zh-CN"/>
        </w:rPr>
        <w:t>对于投标文件中含义不明确、同类问题表述不一致或者有明显文字和计算错误的内容，评审委员会应当以书面形式要求投标人作出必要的澄清、说明或者补正。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根据本通用条款第34条，凡属于评审委员会在评审中发现的算术错误进行核实的修改不在此列。</w:t>
      </w:r>
    </w:p>
    <w:p>
      <w:pPr>
        <w:widowControl/>
        <w:wordWrap w:val="0"/>
        <w:autoSpaceDE w:val="0"/>
        <w:autoSpaceDN w:val="0"/>
        <w:spacing w:line="400" w:lineRule="exact"/>
        <w:ind w:right="808" w:firstLine="420" w:firstLineChars="200"/>
        <w:jc w:val="both"/>
        <w:rPr>
          <w:rFonts w:eastAsia="宋体"/>
          <w:kern w:val="2"/>
          <w:sz w:val="21"/>
          <w:lang w:eastAsia="zh-CN"/>
        </w:rPr>
      </w:pPr>
      <w:bookmarkStart w:id="91" w:name="_Toc73521581"/>
      <w:bookmarkStart w:id="92" w:name="_Toc73518151"/>
      <w:bookmarkStart w:id="93" w:name="_Toc100052400"/>
      <w:bookmarkStart w:id="94" w:name="_Toc73517673"/>
      <w:bookmarkStart w:id="95" w:name="_Toc73521669"/>
      <w:r>
        <w:rPr>
          <w:rFonts w:eastAsia="宋体" w:hint="eastAsia"/>
          <w:kern w:val="2"/>
          <w:sz w:val="21"/>
          <w:lang w:eastAsia="zh-CN"/>
        </w:rPr>
        <w:t>34．错误的修正</w:t>
      </w:r>
      <w:bookmarkEnd w:id="91"/>
      <w:bookmarkEnd w:id="92"/>
      <w:bookmarkEnd w:id="93"/>
      <w:bookmarkEnd w:id="94"/>
      <w:bookmarkEnd w:id="95"/>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投标文件报价出现前后不一致的，除专用条款另有规定外，按照下列规定修正：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34.1投标文件中开标一览表投标报价内容与投标文件中投标报价相应内容不一致的，以开标一览表为准；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34.2大写金额和小写金额不一致的，以大写金额为准；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34.3单价金额小数点或者百分比有明显错位，以开标一览表的总价为准，并修改单价；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34.4总价金额与按单价汇总金额不一致的，以单价金额计算结果为准。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34.5同时出现两种以上不一致的，按照前款规定的顺序修正。修正后的报价按照本通用条款33条的规定，经投标人确认后产生约束力，投标人不确认的，其投标无效。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35．投标文件的比较与评价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评审委员会成员对需要共同认定的事项存在争议的，应当按照少数服从多数的原则作出结论。持不同意见的评审委员会成员应当书面作出说明，否则视为无异议。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36.实地考察或资料查验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36.1在评审过程中，评审委员会有权决定是否对本项目投标人进行实地考察或资料查验（原件）。投标人应随时做好接受实地考察或资料查验的准备。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37．评审方法</w:t>
      </w:r>
    </w:p>
    <w:p>
      <w:pPr>
        <w:widowControl/>
        <w:wordWrap w:val="0"/>
        <w:autoSpaceDE w:val="0"/>
        <w:autoSpaceDN w:val="0"/>
        <w:spacing w:line="400" w:lineRule="exact"/>
        <w:ind w:right="808" w:firstLine="420" w:firstLineChars="200"/>
        <w:jc w:val="both"/>
        <w:rPr>
          <w:rFonts w:eastAsia="宋体"/>
          <w:kern w:val="2"/>
          <w:sz w:val="21"/>
          <w:lang w:eastAsia="zh-CN"/>
        </w:rPr>
      </w:pPr>
      <w:bookmarkStart w:id="96" w:name="_Hlk72438142"/>
      <w:r>
        <w:rPr>
          <w:rFonts w:eastAsia="宋体" w:hint="eastAsia"/>
          <w:kern w:val="2"/>
          <w:sz w:val="21"/>
          <w:lang w:eastAsia="zh-CN"/>
        </w:rPr>
        <w:t>37.1.1最低价法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最低价法，是指完全满足招标文件实质性要求，按照报价由低到高的顺序，依据招标文件中规定的数量或者比例推荐候选中标供应商。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37.1.2综合评分法</w:t>
      </w:r>
    </w:p>
    <w:bookmarkEnd w:id="96"/>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综合评分法，是指在满足招标文件全部实质性要求的前提下，按照招标文件中规定的各项因素进行综合评审，评审总得分排名前列的投标人，作为推荐的候选中标供应商。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37.2本项目采用的评审方法见本项目招标文件第一册“专用条款”的相关内容。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37.3重新评审的情形</w:t>
      </w:r>
    </w:p>
    <w:p>
      <w:pPr>
        <w:widowControl/>
        <w:wordWrap w:val="0"/>
        <w:autoSpaceDE w:val="0"/>
        <w:autoSpaceDN w:val="0"/>
        <w:spacing w:line="400" w:lineRule="exact"/>
        <w:ind w:right="808" w:firstLine="420" w:firstLineChars="200"/>
        <w:jc w:val="both"/>
        <w:rPr>
          <w:rFonts w:eastAsia="宋体"/>
          <w:b/>
          <w:bCs/>
          <w:kern w:val="2"/>
          <w:sz w:val="21"/>
          <w:lang w:eastAsia="zh-CN"/>
        </w:rPr>
      </w:pPr>
      <w:r>
        <w:rPr>
          <w:rFonts w:eastAsia="宋体" w:hint="eastAsia"/>
          <w:sz w:val="21"/>
          <w:lang w:eastAsia="zh-CN"/>
        </w:rPr>
        <w:t>评审结果汇总完成后，除下列情形外，任何人不得修改评审结果：</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37.3.1分值汇总计算错误的；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37.3.2分项评分超出评分标准范围的；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37.3.3评审委员会成员对客观评审因素评分不一致的；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37.3.4经评审委员会认定评分畸高、畸低的。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投标人对本条第一款情形提出质疑的，采购人或者采购代理机构可以组织原评审委员会进行重新评审，重新评审改变评审结果的，应当书面报告本级财政部门。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37.4重新组建评审委员会的情形</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评审委员会或者其成员存在下列情形导致评审结果无效的，重新组建评审委员会进行评标，并书面报告本级财政部门：</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37.4.1评审委员会组成不符合《政府采购货物和服务招标投标管理办法》规定的；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37.4.2有《政府采购货物和服务招标投标管理办法》第六十二条第一至五项情形的；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37.4.3评审委员会及其成员独立评标受到非法干预的；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37.4.4有政府采购法实施条例第七十五条规定的违法行为的。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有违法违规行为的原评审委员会成员不得参加重新组建的评审委员会。</w:t>
      </w:r>
    </w:p>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97" w:name="第八章1"/>
      <w:bookmarkEnd w:id="97"/>
      <w:bookmarkStart w:id="98" w:name="_Toc1513"/>
      <w:bookmarkStart w:id="99" w:name="_Toc30568"/>
      <w:bookmarkStart w:id="100" w:name="_Toc13341"/>
      <w:bookmarkStart w:id="101" w:name="_Toc26094"/>
      <w:r>
        <w:rPr>
          <w:rFonts w:ascii="Arial" w:eastAsia="宋体" w:hAnsi="Arial" w:hint="eastAsia"/>
          <w:b/>
          <w:kern w:val="2"/>
          <w:sz w:val="32"/>
          <w:lang w:eastAsia="zh-CN"/>
        </w:rPr>
        <w:t>第八章</w:t>
      </w:r>
      <w:bookmarkStart w:id="102" w:name="_Toc24537"/>
      <w:r>
        <w:rPr>
          <w:rFonts w:ascii="Arial" w:eastAsia="宋体" w:hAnsi="Arial" w:hint="eastAsia"/>
          <w:b/>
          <w:kern w:val="2"/>
          <w:sz w:val="32"/>
          <w:lang w:eastAsia="zh-CN"/>
        </w:rPr>
        <w:t xml:space="preserve">  定标及公示</w:t>
      </w:r>
      <w:bookmarkEnd w:id="98"/>
      <w:bookmarkEnd w:id="99"/>
      <w:bookmarkEnd w:id="100"/>
      <w:bookmarkEnd w:id="101"/>
      <w:bookmarkEnd w:id="102"/>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38．定标方法</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03" w:name="_Hlk73782795"/>
      <w:r>
        <w:rPr>
          <w:rFonts w:eastAsia="宋体" w:hint="eastAsia"/>
          <w:kern w:val="2"/>
          <w:sz w:val="21"/>
          <w:lang w:eastAsia="zh-CN"/>
        </w:rPr>
        <w:t>38.1非评定分离项目定标方法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w:t>
      </w:r>
      <w:r>
        <w:rPr>
          <w:rFonts w:eastAsia="宋体"/>
          <w:kern w:val="2"/>
          <w:sz w:val="21"/>
          <w:lang w:eastAsia="zh-CN"/>
        </w:rPr>
        <w:t>.</w:t>
      </w:r>
      <w:r>
        <w:rPr>
          <w:rFonts w:eastAsia="宋体" w:hint="eastAsia"/>
          <w:kern w:val="2"/>
          <w:sz w:val="21"/>
          <w:lang w:eastAsia="zh-CN"/>
        </w:rPr>
        <w:t>1.1评审委员会依据本项目招标文件所约定的评审方法进行评审和比较，向采购代理机构提交书面评审报告，并根据评审方法比较评价结果从优到劣进行排序，确定候选中标供应商。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38.1.2采用最低价法的，评审结果按投标报价由低到高顺序排列。投标报价相同的并列。投标文件满足招标文件全部实质性要求且投标报价最低的投标人为唯一候选中标供应商。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唯一候选中标供应商。出现得分且投标报价相同的并列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38.2评定分离项目定标方法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kern w:val="2"/>
          <w:sz w:val="21"/>
          <w:szCs w:val="21"/>
          <w:lang w:eastAsia="zh-CN"/>
        </w:rPr>
        <w:t>38.2.2</w:t>
      </w:r>
      <w:bookmarkStart w:id="104" w:name="_Hlk71469733"/>
      <w:r>
        <w:rPr>
          <w:rFonts w:eastAsia="宋体"/>
          <w:kern w:val="2"/>
          <w:sz w:val="21"/>
          <w:lang w:eastAsia="zh-CN"/>
        </w:rPr>
        <w:t>适用评定分离的政府采购项目，采用综合评分法评</w:t>
      </w:r>
      <w:r>
        <w:rPr>
          <w:rFonts w:eastAsia="宋体" w:hint="eastAsia"/>
          <w:kern w:val="2"/>
          <w:sz w:val="21"/>
          <w:lang w:eastAsia="zh-CN"/>
        </w:rPr>
        <w:t>审。</w:t>
      </w:r>
      <w:r>
        <w:rPr>
          <w:rFonts w:ascii="宋体" w:eastAsia="宋体" w:hAnsi="宋体" w:hint="eastAsia"/>
          <w:kern w:val="2"/>
          <w:sz w:val="21"/>
          <w:szCs w:val="21"/>
          <w:lang w:eastAsia="zh-CN"/>
        </w:rPr>
        <w:t>评审委员会按照评审结果，推荐</w:t>
      </w:r>
      <w:r>
        <w:rPr>
          <w:rFonts w:eastAsia="宋体"/>
          <w:kern w:val="2"/>
          <w:sz w:val="21"/>
          <w:lang w:eastAsia="zh-CN"/>
        </w:rPr>
        <w:t>三个合格的候选中标供应商。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38.2.3</w:t>
      </w:r>
      <w:bookmarkStart w:id="105" w:name="_Hlk71469688"/>
      <w:r>
        <w:rPr>
          <w:rFonts w:eastAsia="宋体"/>
          <w:kern w:val="2"/>
          <w:sz w:val="21"/>
          <w:lang w:eastAsia="zh-CN"/>
        </w:rPr>
        <w:t>适用评定分离的政府采购项目，</w:t>
      </w:r>
      <w:r>
        <w:rPr>
          <w:rFonts w:eastAsia="宋体" w:hint="eastAsia"/>
          <w:kern w:val="2"/>
          <w:sz w:val="21"/>
          <w:lang w:eastAsia="zh-CN"/>
        </w:rPr>
        <w:t>按照自定法确定中标供应商：自定法是指采购人组织定标委员会，由定标委员会在三家候选中标供应商中确定中标供应商。</w:t>
      </w:r>
      <w:bookmarkEnd w:id="104"/>
      <w:bookmarkEnd w:id="105"/>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38.2.4</w:t>
      </w:r>
      <w:r>
        <w:rPr>
          <w:rFonts w:ascii="宋体" w:eastAsia="宋体" w:hAnsi="宋体" w:hint="eastAsia"/>
          <w:kern w:val="2"/>
          <w:sz w:val="21"/>
          <w:szCs w:val="21"/>
          <w:lang w:eastAsia="zh-CN"/>
        </w:rPr>
        <w:t>采购代理机构</w:t>
      </w:r>
      <w:r>
        <w:rPr>
          <w:rFonts w:eastAsia="宋体"/>
          <w:kern w:val="2"/>
          <w:sz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eastAsia="宋体"/>
          <w:kern w:val="2"/>
          <w:sz w:val="21"/>
          <w:lang w:eastAsia="zh-CN"/>
        </w:rPr>
        <w:t>采购人应当安排专人对定标过程进行书面记录，形成定标报告，作为采购文件的组成部分存档，并及时将定标结果反馈</w:t>
      </w:r>
      <w:r>
        <w:rPr>
          <w:rFonts w:eastAsia="宋体" w:hint="eastAsia"/>
          <w:kern w:val="2"/>
          <w:sz w:val="21"/>
          <w:lang w:eastAsia="zh-CN"/>
        </w:rPr>
        <w:t>采购代理机构。具体定标程序及相关要求以按照《</w:t>
      </w:r>
      <w:r>
        <w:rPr>
          <w:rFonts w:eastAsia="宋体"/>
          <w:kern w:val="2"/>
          <w:sz w:val="21"/>
          <w:lang w:eastAsia="zh-CN"/>
        </w:rPr>
        <w:t>深圳市财政局关于印发</w:t>
      </w:r>
      <w:r>
        <w:rPr>
          <w:rFonts w:ascii="宋体" w:eastAsia="宋体" w:hAnsi="宋体" w:hint="eastAsia"/>
          <w:kern w:val="2"/>
          <w:sz w:val="21"/>
          <w:lang w:eastAsia="zh-CN"/>
        </w:rPr>
        <w:t>〈</w:t>
      </w:r>
      <w:r>
        <w:rPr>
          <w:rFonts w:eastAsia="宋体"/>
          <w:kern w:val="2"/>
          <w:sz w:val="21"/>
          <w:lang w:eastAsia="zh-CN"/>
        </w:rPr>
        <w:t>深圳市政府采购评标定标分离管理办法</w:t>
      </w:r>
      <w:r>
        <w:rPr>
          <w:rFonts w:ascii="宋体" w:eastAsia="宋体" w:hAnsi="宋体" w:hint="eastAsia"/>
          <w:kern w:val="2"/>
          <w:sz w:val="21"/>
          <w:lang w:eastAsia="zh-CN"/>
        </w:rPr>
        <w:t>〉</w:t>
      </w:r>
      <w:r>
        <w:rPr>
          <w:rFonts w:eastAsia="宋体"/>
          <w:kern w:val="2"/>
          <w:sz w:val="21"/>
          <w:lang w:eastAsia="zh-CN"/>
        </w:rPr>
        <w:t>的通知</w:t>
      </w:r>
      <w:r>
        <w:rPr>
          <w:rFonts w:eastAsia="宋体" w:hint="eastAsia"/>
          <w:kern w:val="2"/>
          <w:sz w:val="21"/>
          <w:lang w:eastAsia="zh-CN"/>
        </w:rPr>
        <w:t>》（深财规【2</w:t>
      </w:r>
      <w:r>
        <w:rPr>
          <w:rFonts w:eastAsia="宋体"/>
          <w:kern w:val="2"/>
          <w:sz w:val="21"/>
          <w:lang w:eastAsia="zh-CN"/>
        </w:rPr>
        <w:t>020</w:t>
      </w:r>
      <w:r>
        <w:rPr>
          <w:rFonts w:eastAsia="宋体" w:hint="eastAsia"/>
          <w:kern w:val="2"/>
          <w:sz w:val="21"/>
          <w:lang w:eastAsia="zh-CN"/>
        </w:rPr>
        <w:t>】1号）执行。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说明：采购人及投标供应商应按照上述方法提前做好相关准备。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38.3专用条款另有规定的，按专用条款相关要求定标。</w:t>
      </w:r>
      <w:bookmarkEnd w:id="103"/>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39．编写评审报告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40．中标公告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40.1</w:t>
      </w:r>
      <w:bookmarkStart w:id="106" w:name="_Hlk72438709"/>
      <w:r>
        <w:rPr>
          <w:rFonts w:eastAsia="宋体" w:hint="eastAsia"/>
          <w:kern w:val="2"/>
          <w:sz w:val="21"/>
          <w:lang w:eastAsia="zh-CN"/>
        </w:rPr>
        <w:t>为体现“公开、公平、公正”的原则，评审结束后经采购人确认（确定）评审结果，采购代理机构将在</w:t>
      </w:r>
      <w:r>
        <w:rPr>
          <w:rFonts w:eastAsia="宋体" w:hint="eastAsia"/>
          <w:b/>
          <w:bCs/>
          <w:kern w:val="2"/>
          <w:sz w:val="21"/>
          <w:lang w:eastAsia="zh-CN"/>
        </w:rPr>
        <w:t>深圳政府采购自行采购系统（https://zxcg.szggzy.com/home/index.html）</w:t>
      </w:r>
      <w:r>
        <w:rPr>
          <w:rFonts w:eastAsia="宋体" w:hint="eastAsia"/>
          <w:kern w:val="2"/>
          <w:sz w:val="21"/>
          <w:lang w:eastAsia="zh-CN"/>
        </w:rPr>
        <w:t>上发布中标结果公告。</w:t>
      </w:r>
      <w:bookmarkEnd w:id="106"/>
      <w:bookmarkStart w:id="107" w:name="_Hlk72438751"/>
      <w:r>
        <w:rPr>
          <w:rFonts w:eastAsia="宋体" w:hint="eastAsia"/>
          <w:kern w:val="2"/>
          <w:sz w:val="21"/>
          <w:lang w:eastAsia="zh-CN"/>
        </w:rPr>
        <w:t>供应商如对评审结果有异议，</w:t>
      </w:r>
      <w:r>
        <w:rPr>
          <w:rFonts w:eastAsia="宋体"/>
          <w:kern w:val="2"/>
          <w:sz w:val="21"/>
          <w:lang w:eastAsia="zh-CN"/>
        </w:rPr>
        <w:t>可在发布公示日期起</w:t>
      </w:r>
      <w:r>
        <w:rPr>
          <w:rFonts w:eastAsia="宋体" w:hint="eastAsia"/>
          <w:kern w:val="2"/>
          <w:sz w:val="21"/>
          <w:lang w:eastAsia="zh-CN"/>
        </w:rPr>
        <w:t>七</w:t>
      </w:r>
      <w:r>
        <w:rPr>
          <w:rFonts w:eastAsia="宋体"/>
          <w:kern w:val="2"/>
          <w:sz w:val="21"/>
          <w:lang w:eastAsia="zh-CN"/>
        </w:rPr>
        <w:t>个工作日内向</w:t>
      </w:r>
      <w:r>
        <w:rPr>
          <w:rFonts w:eastAsia="宋体" w:hint="eastAsia"/>
          <w:kern w:val="2"/>
          <w:sz w:val="21"/>
          <w:lang w:eastAsia="zh-CN"/>
        </w:rPr>
        <w:t>采购代理机构</w:t>
      </w:r>
      <w:r>
        <w:rPr>
          <w:rFonts w:eastAsia="宋体"/>
          <w:kern w:val="2"/>
          <w:sz w:val="21"/>
          <w:lang w:eastAsia="zh-CN"/>
        </w:rPr>
        <w:t>提出。监督电话：0755-21070507。</w:t>
      </w:r>
      <w:r>
        <w:rPr>
          <w:rFonts w:eastAsia="宋体" w:hint="eastAsia"/>
          <w:kern w:val="2"/>
          <w:sz w:val="21"/>
          <w:lang w:eastAsia="zh-CN"/>
        </w:rPr>
        <w:t>若在公示期内未提出质疑，则视为认同该评审结果。</w:t>
      </w:r>
    </w:p>
    <w:bookmarkEnd w:id="107"/>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40.2质疑、投诉供应商应保证质疑、投诉内容的真实性和可靠性，并承担相应的法律责任。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41．中标通知书</w:t>
      </w:r>
    </w:p>
    <w:p>
      <w:pPr>
        <w:widowControl/>
        <w:wordWrap w:val="0"/>
        <w:autoSpaceDE w:val="0"/>
        <w:autoSpaceDN w:val="0"/>
        <w:spacing w:line="400" w:lineRule="exact"/>
        <w:ind w:right="808" w:firstLine="420" w:firstLineChars="200"/>
        <w:jc w:val="both"/>
        <w:rPr>
          <w:rFonts w:eastAsia="宋体"/>
          <w:kern w:val="2"/>
          <w:sz w:val="21"/>
          <w:szCs w:val="21"/>
          <w:lang w:eastAsia="zh-CN"/>
        </w:rPr>
      </w:pPr>
      <w:r>
        <w:rPr>
          <w:rFonts w:eastAsia="宋体" w:hint="eastAsia"/>
          <w:kern w:val="2"/>
          <w:sz w:val="21"/>
          <w:szCs w:val="21"/>
          <w:lang w:eastAsia="zh-CN"/>
        </w:rPr>
        <w:t>41</w:t>
      </w:r>
      <w:r>
        <w:rPr>
          <w:rFonts w:eastAsia="宋体"/>
          <w:kern w:val="2"/>
          <w:sz w:val="21"/>
          <w:szCs w:val="21"/>
          <w:lang w:eastAsia="zh-CN"/>
        </w:rPr>
        <w:t>.</w:t>
      </w:r>
      <w:r>
        <w:rPr>
          <w:rFonts w:eastAsia="宋体" w:hint="eastAsia"/>
          <w:kern w:val="2"/>
          <w:sz w:val="21"/>
          <w:szCs w:val="21"/>
          <w:lang w:eastAsia="zh-CN"/>
        </w:rPr>
        <w:t>1</w:t>
      </w:r>
      <w:bookmarkStart w:id="108" w:name="_Hlk72438863"/>
      <w:r>
        <w:rPr>
          <w:rFonts w:eastAsia="宋体" w:hint="eastAsia"/>
          <w:kern w:val="2"/>
          <w:sz w:val="21"/>
          <w:szCs w:val="21"/>
          <w:lang w:eastAsia="zh-CN"/>
        </w:rPr>
        <w:t>中标公告公布以后无异常的情况下，中标供应商和采购人可自行登录</w:t>
      </w:r>
      <w:r>
        <w:rPr>
          <w:rFonts w:eastAsia="宋体" w:hint="eastAsia"/>
          <w:b/>
          <w:bCs/>
          <w:kern w:val="2"/>
          <w:sz w:val="21"/>
          <w:szCs w:val="21"/>
          <w:lang w:eastAsia="zh-CN"/>
        </w:rPr>
        <w:t>“</w:t>
      </w:r>
      <w:r>
        <w:rPr>
          <w:rFonts w:eastAsia="宋体" w:hint="eastAsia"/>
          <w:kern w:val="2"/>
          <w:sz w:val="21"/>
          <w:lang w:eastAsia="zh-CN"/>
        </w:rPr>
        <w:t>深圳政府采购自行采购系统（https://trade.szggzy.com/ggzy/center/#/login）</w:t>
      </w:r>
      <w:r>
        <w:rPr>
          <w:rFonts w:eastAsia="宋体" w:hint="eastAsia"/>
          <w:b/>
          <w:bCs/>
          <w:kern w:val="2"/>
          <w:sz w:val="21"/>
          <w:szCs w:val="21"/>
          <w:lang w:eastAsia="zh-CN"/>
        </w:rPr>
        <w:t>”</w:t>
      </w:r>
      <w:r>
        <w:rPr>
          <w:rFonts w:eastAsia="宋体" w:hint="eastAsia"/>
          <w:kern w:val="2"/>
          <w:sz w:val="21"/>
          <w:szCs w:val="21"/>
          <w:lang w:eastAsia="zh-CN"/>
        </w:rPr>
        <w:t>上打印</w:t>
      </w:r>
      <w:r>
        <w:rPr>
          <w:rFonts w:eastAsia="宋体" w:hint="eastAsia"/>
          <w:b/>
          <w:kern w:val="2"/>
          <w:sz w:val="21"/>
          <w:szCs w:val="21"/>
          <w:lang w:eastAsia="zh-CN"/>
        </w:rPr>
        <w:t>《数字中标通知书》</w:t>
      </w:r>
      <w:r>
        <w:rPr>
          <w:rFonts w:eastAsia="宋体" w:hint="eastAsia"/>
          <w:kern w:val="2"/>
          <w:sz w:val="21"/>
          <w:szCs w:val="21"/>
          <w:lang w:eastAsia="zh-CN"/>
        </w:rPr>
        <w:t>。</w:t>
      </w:r>
      <w:bookmarkEnd w:id="108"/>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41</w:t>
      </w:r>
      <w:r>
        <w:rPr>
          <w:rFonts w:eastAsia="宋体"/>
          <w:kern w:val="2"/>
          <w:sz w:val="21"/>
          <w:lang w:eastAsia="zh-CN"/>
        </w:rPr>
        <w:t>.2</w:t>
      </w:r>
      <w:r>
        <w:rPr>
          <w:rFonts w:eastAsia="宋体" w:hint="eastAsia"/>
          <w:kern w:val="2"/>
          <w:sz w:val="21"/>
          <w:lang w:eastAsia="zh-CN"/>
        </w:rPr>
        <w:t>中标通知书是合同的重要组成部分。</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09" w:name="_Hlk71407340"/>
      <w:r>
        <w:rPr>
          <w:rFonts w:eastAsia="宋体" w:hint="eastAsia"/>
          <w:kern w:val="2"/>
          <w:sz w:val="21"/>
          <w:lang w:eastAsia="zh-CN"/>
        </w:rPr>
        <w:t>41.3因质疑投诉或其它原因导致项目结果变更或采购终止的，采购代理机构有权吊销中标通知书。</w:t>
      </w:r>
    </w:p>
    <w:bookmarkEnd w:id="109"/>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10" w:name="第九章1"/>
      <w:bookmarkEnd w:id="110"/>
      <w:bookmarkStart w:id="111" w:name="_Toc25733"/>
      <w:bookmarkStart w:id="112" w:name="_Toc11736"/>
      <w:bookmarkStart w:id="113" w:name="_Toc20277"/>
      <w:bookmarkStart w:id="114" w:name="_Toc24474"/>
      <w:bookmarkStart w:id="115" w:name="_Toc17412"/>
      <w:bookmarkStart w:id="116" w:name="_Toc73517678"/>
      <w:bookmarkStart w:id="117" w:name="_Toc101074884"/>
      <w:bookmarkStart w:id="118" w:name="_Toc100052407"/>
      <w:r>
        <w:rPr>
          <w:rFonts w:ascii="Arial" w:eastAsia="宋体" w:hAnsi="Arial" w:hint="eastAsia"/>
          <w:b/>
          <w:kern w:val="2"/>
          <w:sz w:val="32"/>
          <w:lang w:eastAsia="zh-CN"/>
        </w:rPr>
        <w:t>第九章  公开采购失败的后续处理</w:t>
      </w:r>
      <w:bookmarkEnd w:id="111"/>
      <w:bookmarkEnd w:id="112"/>
      <w:bookmarkEnd w:id="113"/>
      <w:bookmarkEnd w:id="114"/>
      <w:bookmarkEnd w:id="115"/>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42．公开招标失败的处理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szCs w:val="21"/>
          <w:lang w:eastAsia="zh-CN"/>
        </w:rPr>
        <w:t>42.1本项目公开招标过程中若由于投标截止后</w:t>
      </w:r>
      <w:r>
        <w:rPr>
          <w:rFonts w:eastAsia="宋体" w:hint="eastAsia"/>
          <w:kern w:val="2"/>
          <w:sz w:val="21"/>
          <w:lang w:eastAsia="zh-CN"/>
        </w:rPr>
        <w:t>实际递交</w:t>
      </w:r>
      <w:r>
        <w:rPr>
          <w:rFonts w:eastAsia="宋体"/>
          <w:kern w:val="2"/>
          <w:sz w:val="21"/>
          <w:lang w:eastAsia="zh-CN"/>
        </w:rPr>
        <w:t>投标</w:t>
      </w:r>
      <w:r>
        <w:rPr>
          <w:rFonts w:eastAsia="宋体" w:hint="eastAsia"/>
          <w:kern w:val="2"/>
          <w:sz w:val="21"/>
          <w:lang w:eastAsia="zh-CN"/>
        </w:rPr>
        <w:t>文件的供应商数量不足、经</w:t>
      </w:r>
      <w:r>
        <w:rPr>
          <w:rFonts w:eastAsia="宋体" w:hint="eastAsia"/>
          <w:kern w:val="2"/>
          <w:sz w:val="21"/>
          <w:szCs w:val="21"/>
          <w:lang w:eastAsia="zh-CN"/>
        </w:rPr>
        <w:t>评审委员会</w:t>
      </w:r>
      <w:r>
        <w:rPr>
          <w:rFonts w:eastAsia="宋体" w:hint="eastAsia"/>
          <w:kern w:val="2"/>
          <w:sz w:val="21"/>
          <w:lang w:eastAsia="zh-CN"/>
        </w:rPr>
        <w:t>评审对招标文件作实质响应的供应商不足等原因造成公开招标失败，可由</w:t>
      </w:r>
      <w:r>
        <w:rPr>
          <w:rFonts w:eastAsia="宋体" w:cs="宋体" w:hint="eastAsia"/>
          <w:kern w:val="2"/>
          <w:sz w:val="21"/>
          <w:lang w:eastAsia="zh-CN"/>
        </w:rPr>
        <w:t>采购代理机构</w:t>
      </w:r>
      <w:r>
        <w:rPr>
          <w:rFonts w:eastAsia="宋体" w:hint="eastAsia"/>
          <w:kern w:val="2"/>
          <w:sz w:val="21"/>
          <w:lang w:eastAsia="zh-CN"/>
        </w:rPr>
        <w:t>重新组织采购。</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42.3重新组织采购有以下两种组织形式：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（1）由采购代理机构重新组织公开招标；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（2）根据实际情况需要向同级财政部门提出非公开招标方式申请，经同级财政部门批准，公开招标失败采购项目可转为竞争性谈判或单一来源谈判方式采购。</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42.4公开招标失败的采购项目重新组织公开招标，由采购代理机构重新按公开招标流程组织采购活动。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42.5公开招标失败的采购项目经同级财政部门批准转为竞争性谈判或单一来源谈判方式采购的，按规定要求组织政府采购工作。</w:t>
      </w:r>
    </w:p>
    <w:p>
      <w:pPr>
        <w:widowControl/>
        <w:wordWrap w:val="0"/>
        <w:autoSpaceDE w:val="0"/>
        <w:autoSpaceDN w:val="0"/>
        <w:spacing w:line="360" w:lineRule="auto"/>
        <w:ind w:right="808" w:firstLine="480" w:firstLineChars="200"/>
        <w:jc w:val="both"/>
        <w:rPr>
          <w:rFonts w:eastAsia="宋体"/>
          <w:b/>
          <w:kern w:val="2"/>
          <w:lang w:eastAsia="zh-CN"/>
        </w:rPr>
      </w:pPr>
    </w:p>
    <w:bookmarkEnd w:id="116"/>
    <w:bookmarkEnd w:id="117"/>
    <w:bookmarkEnd w:id="118"/>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19" w:name="第十章1"/>
      <w:bookmarkEnd w:id="119"/>
      <w:bookmarkStart w:id="120" w:name="_Toc13677"/>
      <w:bookmarkStart w:id="121" w:name="_Toc27904"/>
      <w:bookmarkStart w:id="122" w:name="_Toc9122"/>
      <w:bookmarkStart w:id="123" w:name="_Toc26432"/>
      <w:bookmarkStart w:id="124" w:name="_Toc26814"/>
      <w:r>
        <w:rPr>
          <w:rFonts w:ascii="Arial" w:eastAsia="宋体" w:hAnsi="Arial" w:hint="eastAsia"/>
          <w:b/>
          <w:kern w:val="2"/>
          <w:sz w:val="32"/>
          <w:lang w:eastAsia="zh-CN"/>
        </w:rPr>
        <w:t>第十章  合同的授予与备案</w:t>
      </w:r>
      <w:bookmarkEnd w:id="120"/>
      <w:bookmarkEnd w:id="121"/>
      <w:bookmarkEnd w:id="122"/>
      <w:bookmarkEnd w:id="123"/>
      <w:bookmarkEnd w:id="124"/>
    </w:p>
    <w:p>
      <w:pPr>
        <w:widowControl/>
        <w:wordWrap w:val="0"/>
        <w:autoSpaceDE w:val="0"/>
        <w:autoSpaceDN w:val="0"/>
        <w:spacing w:line="400" w:lineRule="exact"/>
        <w:ind w:right="808" w:firstLine="420" w:firstLineChars="200"/>
        <w:jc w:val="both"/>
        <w:rPr>
          <w:rFonts w:eastAsia="宋体"/>
          <w:kern w:val="2"/>
          <w:sz w:val="21"/>
          <w:lang w:eastAsia="zh-CN"/>
        </w:rPr>
      </w:pPr>
      <w:bookmarkStart w:id="125" w:name="_33._合同授予标准"/>
      <w:bookmarkEnd w:id="125"/>
      <w:bookmarkStart w:id="126" w:name="_Toc73517679"/>
      <w:bookmarkStart w:id="127" w:name="_Toc100052408"/>
      <w:bookmarkStart w:id="128" w:name="_Toc73521674"/>
      <w:bookmarkStart w:id="129" w:name="_Toc73521586"/>
      <w:bookmarkStart w:id="130" w:name="_Toc73518157"/>
      <w:bookmarkStart w:id="131" w:name="_Hlk72439088"/>
      <w:r>
        <w:rPr>
          <w:rFonts w:eastAsia="宋体" w:hint="eastAsia"/>
          <w:kern w:val="2"/>
          <w:sz w:val="21"/>
          <w:lang w:eastAsia="zh-CN"/>
        </w:rPr>
        <w:t>43．合同授予标准</w:t>
      </w:r>
      <w:bookmarkEnd w:id="126"/>
      <w:bookmarkEnd w:id="127"/>
      <w:bookmarkEnd w:id="128"/>
      <w:bookmarkEnd w:id="129"/>
      <w:bookmarkEnd w:id="130"/>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本项目的合同将授予经本招标文件规定评审确定的中标供应商。</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32" w:name="_Toc100052409"/>
      <w:bookmarkStart w:id="133" w:name="_Toc73521675"/>
      <w:bookmarkStart w:id="134" w:name="_Toc73521587"/>
      <w:bookmarkStart w:id="135" w:name="_Toc73518158"/>
      <w:bookmarkStart w:id="136" w:name="_Toc73517680"/>
      <w:r>
        <w:rPr>
          <w:rFonts w:eastAsia="宋体" w:hint="eastAsia"/>
          <w:kern w:val="2"/>
          <w:sz w:val="21"/>
          <w:lang w:eastAsia="zh-CN"/>
        </w:rPr>
        <w:t>44．</w:t>
      </w:r>
      <w:bookmarkEnd w:id="132"/>
      <w:bookmarkEnd w:id="133"/>
      <w:bookmarkEnd w:id="134"/>
      <w:bookmarkEnd w:id="135"/>
      <w:bookmarkEnd w:id="136"/>
      <w:r>
        <w:rPr>
          <w:rFonts w:eastAsia="宋体" w:hint="eastAsia"/>
          <w:kern w:val="2"/>
          <w:sz w:val="21"/>
          <w:lang w:eastAsia="zh-CN"/>
        </w:rPr>
        <w:t>接受和拒绝任何或所有投标的权力</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37" w:name="_Toc73521589"/>
      <w:bookmarkStart w:id="138" w:name="_Toc73518160"/>
      <w:bookmarkStart w:id="139" w:name="_Toc73521677"/>
      <w:bookmarkStart w:id="140" w:name="_Toc100052410"/>
      <w:bookmarkStart w:id="141" w:name="_Toc73517682"/>
      <w:r>
        <w:rPr>
          <w:rFonts w:eastAsia="宋体" w:hint="eastAsia"/>
          <w:kern w:val="2"/>
          <w:sz w:val="21"/>
          <w:lang w:eastAsia="zh-CN"/>
        </w:rPr>
        <w:t>45．合同的签订</w:t>
      </w:r>
      <w:bookmarkEnd w:id="137"/>
      <w:bookmarkEnd w:id="138"/>
      <w:bookmarkEnd w:id="139"/>
      <w:bookmarkEnd w:id="140"/>
      <w:bookmarkEnd w:id="141"/>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45.1中标人将于中标通知书发出之日起十个工作日内，按照采购文件（招标文件和投标文件等）内容与采购人签订政府采购合同；合同的实质性内容应当符合招标文件的规定；</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45.2中标人如不按本通用条款第45</w:t>
      </w:r>
      <w:r>
        <w:rPr>
          <w:rFonts w:eastAsia="宋体"/>
          <w:kern w:val="2"/>
          <w:sz w:val="21"/>
          <w:lang w:eastAsia="zh-CN"/>
        </w:rPr>
        <w:t>.1</w:t>
      </w:r>
      <w:r>
        <w:rPr>
          <w:rFonts w:eastAsia="宋体" w:hint="eastAsia"/>
          <w:kern w:val="2"/>
          <w:sz w:val="21"/>
          <w:lang w:eastAsia="zh-CN"/>
        </w:rPr>
        <w:t>款的规定与采购人签订合同，</w:t>
      </w:r>
      <w:r>
        <w:rPr>
          <w:rFonts w:eastAsia="宋体" w:cs="宋体"/>
          <w:sz w:val="21"/>
          <w:lang w:eastAsia="zh-CN"/>
        </w:rPr>
        <w:t>情节严重的，由</w:t>
      </w:r>
      <w:r>
        <w:rPr>
          <w:rFonts w:eastAsia="宋体" w:cs="宋体" w:hint="eastAsia"/>
          <w:sz w:val="21"/>
          <w:lang w:eastAsia="zh-CN"/>
        </w:rPr>
        <w:t>同级财政</w:t>
      </w:r>
      <w:r>
        <w:rPr>
          <w:rFonts w:eastAsia="宋体" w:cs="宋体"/>
          <w:sz w:val="21"/>
          <w:lang w:eastAsia="zh-CN"/>
        </w:rPr>
        <w:t>部门记入供应商诚信档案，予以通报</w:t>
      </w:r>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45.3中标人应当按照合同约定履行义务，完成中标项目，不得将中标项目转让（转包）给他人。</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42" w:name="_Toc100052411"/>
      <w:bookmarkStart w:id="143" w:name="_Toc73521590"/>
      <w:bookmarkStart w:id="144" w:name="_Toc73517683"/>
      <w:bookmarkStart w:id="145" w:name="_Toc73521678"/>
      <w:bookmarkStart w:id="146" w:name="_Toc73518161"/>
      <w:r>
        <w:rPr>
          <w:rFonts w:eastAsia="宋体" w:hint="eastAsia"/>
          <w:kern w:val="2"/>
          <w:sz w:val="21"/>
          <w:lang w:eastAsia="zh-CN"/>
        </w:rPr>
        <w:t>46．履约担保</w:t>
      </w:r>
      <w:bookmarkEnd w:id="142"/>
      <w:bookmarkEnd w:id="143"/>
      <w:bookmarkEnd w:id="144"/>
      <w:bookmarkEnd w:id="145"/>
      <w:bookmarkEnd w:id="146"/>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46.1在签订项目合同的同时，中标人应按“对通用条款的补充内容”中规定的金额向采购人提交履约担保；</w:t>
      </w:r>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eastAsia="宋体"/>
          <w:kern w:val="2"/>
          <w:sz w:val="21"/>
          <w:lang w:eastAsia="zh-CN"/>
        </w:rPr>
        <w:t>中标</w:t>
      </w:r>
      <w:r>
        <w:rPr>
          <w:rFonts w:eastAsia="宋体" w:hint="eastAsia"/>
          <w:kern w:val="2"/>
          <w:sz w:val="21"/>
          <w:lang w:eastAsia="zh-CN"/>
        </w:rPr>
        <w:t>人</w:t>
      </w:r>
      <w:r>
        <w:rPr>
          <w:rFonts w:eastAsia="宋体"/>
          <w:kern w:val="2"/>
          <w:sz w:val="21"/>
          <w:lang w:eastAsia="zh-CN"/>
        </w:rPr>
        <w:t>提交履约</w:t>
      </w:r>
      <w:r>
        <w:rPr>
          <w:rFonts w:eastAsia="宋体" w:hint="eastAsia"/>
          <w:kern w:val="2"/>
          <w:sz w:val="21"/>
          <w:lang w:eastAsia="zh-CN"/>
        </w:rPr>
        <w:t>担保不是</w:t>
      </w:r>
      <w:r>
        <w:rPr>
          <w:rFonts w:eastAsia="宋体"/>
          <w:kern w:val="2"/>
          <w:sz w:val="21"/>
          <w:lang w:eastAsia="zh-CN"/>
        </w:rPr>
        <w:t>合同签订的</w:t>
      </w:r>
      <w:r>
        <w:rPr>
          <w:rFonts w:eastAsia="宋体" w:hint="eastAsia"/>
          <w:kern w:val="2"/>
          <w:sz w:val="21"/>
          <w:lang w:eastAsia="zh-CN"/>
        </w:rPr>
        <w:t>前提</w:t>
      </w:r>
      <w:r>
        <w:rPr>
          <w:rFonts w:eastAsia="宋体"/>
          <w:kern w:val="2"/>
          <w:sz w:val="21"/>
          <w:lang w:eastAsia="zh-CN"/>
        </w:rPr>
        <w:t>条件，不要求中标</w:t>
      </w:r>
      <w:r>
        <w:rPr>
          <w:rFonts w:eastAsia="宋体" w:hint="eastAsia"/>
          <w:kern w:val="2"/>
          <w:sz w:val="21"/>
          <w:lang w:eastAsia="zh-CN"/>
        </w:rPr>
        <w:t>人</w:t>
      </w:r>
      <w:r>
        <w:rPr>
          <w:rFonts w:eastAsia="宋体"/>
          <w:kern w:val="2"/>
          <w:sz w:val="21"/>
          <w:lang w:eastAsia="zh-CN"/>
        </w:rPr>
        <w:t>提供除法律、法规明确规定外的其他担保</w:t>
      </w:r>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47.合同备案</w:t>
      </w:r>
    </w:p>
    <w:p>
      <w:pPr>
        <w:widowControl/>
        <w:wordWrap w:val="0"/>
        <w:autoSpaceDE w:val="0"/>
        <w:autoSpaceDN w:val="0"/>
        <w:spacing w:line="400" w:lineRule="exact"/>
        <w:ind w:right="808" w:firstLine="420" w:firstLineChars="200"/>
        <w:jc w:val="both"/>
        <w:rPr>
          <w:rFonts w:ascii="黑体" w:eastAsia="黑体"/>
          <w:kern w:val="2"/>
          <w:lang w:eastAsia="zh-CN"/>
        </w:rPr>
      </w:pPr>
      <w:r>
        <w:rPr>
          <w:rFonts w:eastAsia="宋体" w:hint="eastAsia"/>
          <w:kern w:val="2"/>
          <w:sz w:val="21"/>
          <w:lang w:eastAsia="zh-CN"/>
        </w:rPr>
        <w:t>采购人与中标供应商自中标通知书发出之日起10个工作日内签订政府采购合同，并按财政部门规定提交备案。</w:t>
      </w:r>
      <w:r>
        <w:rPr>
          <w:rFonts w:ascii="黑体" w:eastAsia="黑体" w:hint="eastAsia"/>
          <w:kern w:val="2"/>
          <w:lang w:eastAsia="zh-CN"/>
        </w:rPr>
        <w:t>48.合同变更</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合同变更事宜按《深圳市财政局关于优化政府采购合同备案的通知》（深财发保〔2022〕2号）相关规定执行。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49.项目验收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49.1采购人应当按照招标文件和合同规定的标准和方法，及时组织验收。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50.宣传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凡与政府采购活动有关的宣传或广告，若当中提及政府采购，</w:t>
      </w:r>
      <w:r>
        <w:rPr>
          <w:rFonts w:eastAsia="宋体"/>
          <w:kern w:val="2"/>
          <w:sz w:val="21"/>
          <w:lang w:eastAsia="zh-CN"/>
        </w:rPr>
        <w:t>必须事先将具体对外宣传方案报</w:t>
      </w:r>
      <w:r>
        <w:rPr>
          <w:rFonts w:eastAsia="宋体" w:hint="eastAsia"/>
          <w:kern w:val="2"/>
          <w:sz w:val="21"/>
          <w:lang w:eastAsia="zh-CN"/>
        </w:rPr>
        <w:t>同级财政部门</w:t>
      </w:r>
      <w:r>
        <w:rPr>
          <w:rFonts w:eastAsia="宋体"/>
          <w:kern w:val="2"/>
          <w:sz w:val="21"/>
          <w:lang w:eastAsia="zh-CN"/>
        </w:rPr>
        <w:t>和</w:t>
      </w:r>
      <w:r>
        <w:rPr>
          <w:rFonts w:eastAsia="宋体" w:hint="eastAsia"/>
          <w:kern w:val="2"/>
          <w:sz w:val="21"/>
          <w:lang w:eastAsia="zh-CN"/>
        </w:rPr>
        <w:t>采购代理机构</w:t>
      </w:r>
      <w:r>
        <w:rPr>
          <w:rFonts w:eastAsia="宋体"/>
          <w:kern w:val="2"/>
          <w:sz w:val="21"/>
          <w:lang w:eastAsia="zh-CN"/>
        </w:rPr>
        <w:t>，并征得其同意。对外市场宣传包括但不限于以下形式：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a.名片、宣传册、广告标语等；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b.案例介绍、推广等；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c.工作</w:t>
      </w:r>
      <w:r>
        <w:rPr>
          <w:rFonts w:eastAsia="宋体"/>
          <w:kern w:val="2"/>
          <w:sz w:val="21"/>
          <w:lang w:eastAsia="zh-CN"/>
        </w:rPr>
        <w:t>人员向其他消费群体宣传。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51.供应商违法责任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w:t>
      </w:r>
      <w:r>
        <w:rPr>
          <w:rFonts w:eastAsia="宋体"/>
          <w:kern w:val="2"/>
          <w:sz w:val="21"/>
          <w:lang w:eastAsia="zh-CN"/>
        </w:rPr>
        <w:t>1.1</w:t>
      </w:r>
      <w:r>
        <w:rPr>
          <w:rFonts w:eastAsia="宋体" w:hint="eastAsia"/>
          <w:kern w:val="2"/>
          <w:sz w:val="21"/>
          <w:lang w:eastAsia="zh-CN"/>
        </w:rPr>
        <w:t>《深圳经济特区政府采购条例》第五十七条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（1）在采购活动中应当回避而未回避的；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（2）未按本条例规定签订、履行采购合同，造成严重后果的；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（3）隐瞒真实情况，提供虚假资料的；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（4）以非法手段排斥其他供应商参与竞争的；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（5）与其他采购参加人串通投标的；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（6）恶意投诉的；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（7）向采购项目相关人行贿或者提供其他不当利益的；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（8）阻碍、抗拒主管部门监督检查的；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（9）其他违反本条例规定的行为。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w:t>
      </w:r>
      <w:r>
        <w:rPr>
          <w:rFonts w:eastAsia="宋体"/>
          <w:kern w:val="2"/>
          <w:sz w:val="21"/>
          <w:lang w:eastAsia="zh-CN"/>
        </w:rPr>
        <w:t>1.2</w:t>
      </w:r>
      <w:r>
        <w:rPr>
          <w:rFonts w:eastAsia="宋体" w:hint="eastAsia"/>
          <w:kern w:val="2"/>
          <w:sz w:val="21"/>
          <w:lang w:eastAsia="zh-CN"/>
        </w:rPr>
        <w:t>根据《深圳市财政局关于调整政府采购投标（响应）保证金管理政策的通知》（深财购〔2021〕51号）的要求，供应商在政府采购活动中出现《深圳经济特区政府采购条例实施细则》第八十条所列情形的，</w:t>
      </w:r>
      <w:bookmarkStart w:id="147" w:name="_Hlk72440769"/>
      <w:r>
        <w:rPr>
          <w:rFonts w:eastAsia="宋体" w:hint="eastAsia"/>
          <w:kern w:val="2"/>
          <w:sz w:val="21"/>
          <w:lang w:eastAsia="zh-CN"/>
        </w:rPr>
        <w:t>采购代理机构或采购人不予退还其交纳的谈判保证金，情节严重的，并由主管部门</w:t>
      </w:r>
      <w:bookmarkEnd w:id="147"/>
      <w:r>
        <w:rPr>
          <w:rFonts w:eastAsia="宋体" w:hint="eastAsia"/>
          <w:kern w:val="2"/>
          <w:sz w:val="21"/>
          <w:lang w:eastAsia="zh-CN"/>
        </w:rPr>
        <w:t>记入供应商诚信档案，予以通报：</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）投标截止后，撤销投标的；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2</w:t>
      </w:r>
      <w:r>
        <w:rPr>
          <w:rFonts w:eastAsia="宋体"/>
          <w:kern w:val="2"/>
          <w:sz w:val="21"/>
          <w:lang w:eastAsia="zh-CN"/>
        </w:rPr>
        <w:t>）中标后无正当理由未在规定期限内签订合同的；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3</w:t>
      </w:r>
      <w:r>
        <w:rPr>
          <w:rFonts w:eastAsia="宋体"/>
          <w:kern w:val="2"/>
          <w:sz w:val="21"/>
          <w:lang w:eastAsia="zh-CN"/>
        </w:rPr>
        <w:t>）将中标项目转让给他人、或者在投标文件中未说明且未经采购人、采购招标机构同意，将中标项目分包给他人的；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4</w:t>
      </w:r>
      <w:r>
        <w:rPr>
          <w:rFonts w:eastAsia="宋体"/>
          <w:kern w:val="2"/>
          <w:sz w:val="21"/>
          <w:lang w:eastAsia="zh-CN"/>
        </w:rPr>
        <w:t>）拒绝履行合同义务的</w:t>
      </w:r>
      <w:r>
        <w:rPr>
          <w:rFonts w:eastAsia="宋体" w:hint="eastAsia"/>
          <w:kern w:val="2"/>
          <w:sz w:val="21"/>
          <w:lang w:eastAsia="zh-CN"/>
        </w:rPr>
        <w:t>。</w:t>
      </w:r>
    </w:p>
    <w:bookmarkEnd w:id="131"/>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48" w:name="_Toc19433"/>
      <w:r>
        <w:rPr>
          <w:rFonts w:ascii="Arial" w:eastAsia="宋体" w:hAnsi="Arial" w:hint="eastAsia"/>
          <w:b/>
          <w:kern w:val="2"/>
          <w:sz w:val="32"/>
          <w:lang w:eastAsia="zh-CN"/>
        </w:rPr>
        <w:t>第十一章  质疑处理</w:t>
      </w:r>
      <w:bookmarkEnd w:id="148"/>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52.质疑提出与答复</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52.1提出质疑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参与政府采购活动的供应商认为自己的权益在采购活动中受到损害的，应当自知道或者应当知道其权益受到损害之日起七个工作日内向采购人、采购代理机构以书面形式提出质疑。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52.2</w:t>
      </w:r>
      <w:r>
        <w:rPr>
          <w:rFonts w:eastAsia="宋体"/>
          <w:kern w:val="2"/>
          <w:sz w:val="21"/>
          <w:lang w:eastAsia="zh-CN"/>
        </w:rPr>
        <w:t>法律依据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《中华人民共和国政府采购法》、《中华人民共和国政府采购法实施条例》、</w:t>
      </w:r>
      <w:r>
        <w:rPr>
          <w:rFonts w:eastAsia="宋体"/>
          <w:kern w:val="2"/>
          <w:sz w:val="21"/>
          <w:lang w:eastAsia="zh-CN"/>
        </w:rPr>
        <w:t>《</w:t>
      </w:r>
      <w:r>
        <w:rPr>
          <w:rFonts w:eastAsia="宋体" w:hint="eastAsia"/>
          <w:kern w:val="2"/>
          <w:sz w:val="21"/>
          <w:lang w:eastAsia="zh-CN"/>
        </w:rPr>
        <w:t>深圳经济特区政府采购</w:t>
      </w:r>
      <w:r>
        <w:rPr>
          <w:rFonts w:eastAsia="宋体"/>
          <w:kern w:val="2"/>
          <w:sz w:val="21"/>
          <w:lang w:eastAsia="zh-CN"/>
        </w:rPr>
        <w:t>条例</w:t>
      </w:r>
      <w:r>
        <w:rPr>
          <w:rFonts w:eastAsia="宋体" w:hint="eastAsia"/>
          <w:kern w:val="2"/>
          <w:sz w:val="21"/>
          <w:lang w:eastAsia="zh-CN"/>
        </w:rPr>
        <w:t>》、《深圳经济特区政府采购条例实施细则》、《政府采购质疑和投诉办法》（财政部令第94号）和其他有关法律法规规定。</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52.3质疑条件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52.3.1提出质疑的供应商应当是参与所质疑项目采购活动的供应商；</w:t>
      </w:r>
      <w:bookmarkStart w:id="149" w:name="_Hlk75374941"/>
      <w:r>
        <w:rPr>
          <w:rFonts w:eastAsia="宋体" w:hint="eastAsia"/>
          <w:kern w:val="2"/>
          <w:sz w:val="21"/>
          <w:lang w:eastAsia="zh-CN"/>
        </w:rPr>
        <w:t>以联合体形式参与的，质疑应当由组成联合体的所有成员共同提出</w:t>
      </w:r>
      <w:bookmarkEnd w:id="149"/>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52.3.3应提交书面质疑函，质疑函应当包括以下内容：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（1）供应商的名称（或者姓名）、地址、邮编、邮箱、联系人及联系电话；</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（2）质疑项目的名称、编号；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（3）具体、明确的质疑对象、质疑事项和质疑请求；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（4）因质疑事项而受损害的权益；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（5）事实依据；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（6）必要的法律依据；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（7）提出质疑的日期。</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供应商为自然人的，应当由本人签字；供应商为法人或者其他组织的，应当由法定代表人（负责人），或者其授权代理人签字或者盖章，并加盖公章。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52.4提交</w:t>
      </w:r>
      <w:r>
        <w:rPr>
          <w:rFonts w:eastAsia="宋体"/>
          <w:kern w:val="2"/>
          <w:sz w:val="21"/>
          <w:lang w:eastAsia="zh-CN"/>
        </w:rPr>
        <w:t>材料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供应商可以委托代理人进行质疑。</w:t>
      </w:r>
      <w:r>
        <w:rPr>
          <w:rFonts w:eastAsia="宋体"/>
          <w:kern w:val="2"/>
          <w:sz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52.5收文地点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地址：深圳市千里招标代理有限公司（地址：深圳市龙华区民治街道民强社区梅龙路和民旺路相交处民治商贸广场B2102）。</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52.6收文办理</w:t>
      </w:r>
      <w:r>
        <w:rPr>
          <w:rFonts w:eastAsia="宋体"/>
          <w:kern w:val="2"/>
          <w:sz w:val="21"/>
          <w:lang w:eastAsia="zh-CN"/>
        </w:rPr>
        <w:t>程序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pPr>
        <w:widowControl/>
        <w:wordWrap w:val="0"/>
        <w:autoSpaceDE w:val="0"/>
        <w:autoSpaceDN w:val="0"/>
        <w:spacing w:line="400" w:lineRule="exact"/>
        <w:ind w:right="808" w:firstLine="420" w:firstLineChars="200"/>
        <w:jc w:val="both"/>
        <w:rPr>
          <w:rFonts w:ascii="仿宋" w:eastAsia="仿宋" w:hAnsi="仿宋"/>
          <w:kern w:val="2"/>
          <w:sz w:val="28"/>
          <w:szCs w:val="28"/>
          <w:lang w:eastAsia="zh-CN"/>
        </w:rPr>
      </w:pPr>
      <w:r>
        <w:rPr>
          <w:rFonts w:eastAsia="宋体" w:hint="eastAsia"/>
          <w:kern w:val="2"/>
          <w:sz w:val="21"/>
          <w:lang w:eastAsia="zh-CN"/>
        </w:rPr>
        <w:t>52.6.2供应商提交的质疑材料不符合质疑条件的，视情况处理：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供应商提交的质疑材料不全或者未按要求签字或者盖章的，采购代理机构应当一次性告知供应商需补正的内容和补正期限。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供应商提交的质疑存在下列情形之一的，不予受理：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（1）质疑主体不满足要求的；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（2）供应商自身权益未受到损害的；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（3）供应商未在法定质疑期限内提出质疑的；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（4）质疑材料不全或者未按要求签字或者盖章的情况下，要求补正后，逾期未补正或者补正后仍不符合规定的；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（5）其他不符合受理条件情形的。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质疑事项不予受理的，采购代理机构应当向供应商出具不符合质疑条件告知书。</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52.7质疑答复时限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自收文之日起七个工作日内。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52.8投诉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对质疑答复不满意或者未在规定时间内答复的，提出质疑的供应商可以在答复期满后15个工作日内向本项目预算主管单位投诉。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53.质疑后续处理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53.1供应商质疑不成立，或者成立但未对中标、成交结果构成影响的，继续开展采购活动。</w:t>
      </w:r>
    </w:p>
    <w:p>
      <w:pPr>
        <w:widowControl/>
        <w:wordWrap w:val="0"/>
        <w:autoSpaceDE w:val="0"/>
        <w:autoSpaceDN w:val="0"/>
        <w:spacing w:line="400" w:lineRule="exact"/>
        <w:ind w:right="808" w:firstLine="420" w:firstLineChars="200"/>
        <w:jc w:val="both"/>
        <w:rPr>
          <w:rFonts w:ascii="微软雅黑" w:eastAsia="微软雅黑" w:hAnsi="微软雅黑" w:cs="微软雅黑"/>
          <w:color w:val="333333"/>
          <w:lang w:val="en" w:eastAsia="en"/>
        </w:rPr>
        <w:sectPr>
          <w:headerReference w:type="default" r:id="rId10"/>
          <w:footerReference w:type="default" r:id="rId11"/>
          <w:pgMar w:top="1440" w:right="1800" w:bottom="1440" w:left="1800" w:header="708" w:footer="708" w:gutter="0"/>
          <w:cols w:num="1" w:space="708"/>
        </w:sectPr>
      </w:pPr>
      <w:r>
        <w:rPr>
          <w:rFonts w:eastAsia="宋体" w:hint="eastAsia"/>
          <w:kern w:val="2"/>
          <w:sz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师生食堂家具及书包柜增补采购-A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龙华区教育局自行采购投标及履约承诺函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分项报价清单</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股东构成审查表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技术保障措施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设计方案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样品（如有）</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履约评价情况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LHAZXDL-2024-00066-001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师生食堂家具及书包柜增补采购-A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具有独立法人资格或具有独立承担民事责任的能力的其它组织（提供营业执照或事业单位法人证等法人证明扫描件，原件备查）。：</w:t>
            </w:r>
            <w:r>
              <w:rPr>
                <w:rFonts w:ascii="FangSong" w:eastAsia="FangSong" w:hAnsi="FangSong" w:cs="FangSong"/>
                <w:color w:val="666666"/>
                <w:lang w:val="en" w:eastAsia="en"/>
              </w:rPr>
              <w:br/>
            </w:r>
            <w:r>
              <w:rPr>
                <w:rFonts w:ascii="FangSong" w:eastAsia="FangSong" w:hAnsi="FangSong" w:cs="FangSong"/>
                <w:color w:val="666666"/>
                <w:lang w:val="en" w:eastAsia="en"/>
              </w:rPr>
              <w:t>具有独立法人资格或具有独立承担民事责任的能力的其它组织（提供营业执照或事业单位法人证等法人证明扫描件，原件备查）。</w:t>
            </w:r>
            <w:r>
              <w:rPr>
                <w:rFonts w:ascii="FangSong" w:eastAsia="FangSong" w:hAnsi="FangSong" w:cs="FangSong"/>
                <w:color w:val="666666"/>
                <w:lang w:val="en" w:eastAsia="en"/>
              </w:rPr>
              <w:br/>
            </w:r>
            <w:r>
              <w:rPr>
                <w:rFonts w:ascii="FangSong" w:eastAsia="FangSong" w:hAnsi="FangSong" w:cs="FangSong"/>
                <w:color w:val="666666"/>
                <w:lang w:val="en" w:eastAsia="en"/>
              </w:rPr>
              <w:t>参与本项目投标前三年内，在经营活动中没有重大违法记录（由供应商在《龙华区教育局自行采购投标及履约承诺函》中作出声明）。：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参与本项目投标前三年内，在经营活动中没有重大违法记录（由供应商在《龙华区教育局自行采购投标及履约承诺函》中作出声明）。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未被列入失信被执行人、重大税收违法失信主体、政府采购严重违法失信行为记录名单（由供应商在《龙华区教育局自行采购投标及履约承诺函》中作出承诺）。备注：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未被列入失信被执行人、重大税收违法失信主体、政府采购严重违法失信行为记录名单（由供应商在《龙华区教育局自行采购投标及履约承诺函》中作出承诺）。备注：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ascii="FangSong" w:eastAsia="FangSong" w:hAnsi="FangSong" w:cs="FangSong"/>
                <w:color w:val="666666"/>
                <w:lang w:val="en" w:eastAsia="en"/>
              </w:rPr>
              <w:br/>
            </w:r>
            <w:r>
              <w:rPr>
                <w:rFonts w:ascii="FangSong" w:eastAsia="FangSong" w:hAnsi="FangSong" w:cs="FangSong"/>
                <w:color w:val="666666"/>
                <w:lang w:val="en" w:eastAsia="en"/>
              </w:rPr>
              <w:t>为采购项目提供整体设计、规范编制或者项目管理、监理、检测等服务的供应商，不得再参加该采购项目同一合同项下的其他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为采购项目提供整体设计、规范编制或者项目管理、监理、检测等服务的供应商，不得再参加该采购项目同一合同项下的其他采购活动。（由供应商在《龙华区教育局自行采购投标及履约承诺函》中作出承诺）；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单位负责人为同一人或者存在直接控股、管理关系的不同供应商，不得参加同一合同项下的政府采购活动。（由供应商在《龙华区教育局自行采购投标及履约承诺函》中作出承诺）；：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单位负责人为同一人或者存在直接控股、管理关系的不同供应商，不得参加同一合同项下的政府采购活动。（由供应商在《龙华区教育局自行采购投标及履约承诺函》中作出承诺）；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本项目属于专门面向中小微企业采购项目，非中小微企业不得投标。（需提供符合要求的《中小微企业声明函》格式详见招标文件（按本项目规定的所属行业填写），其中企业类型为中型、小型或微型；残疾人福利单位、监狱企业视同小型、微型企业，提供残疾人福利性单位声明函或监狱企业声明函及监狱企业证明文件）。：</w:t>
            </w:r>
            <w:r>
              <w:rPr>
                <w:rFonts w:ascii="FangSong" w:eastAsia="FangSong" w:hAnsi="FangSong" w:cs="FangSong"/>
                <w:color w:val="666666"/>
                <w:lang w:val="en" w:eastAsia="en"/>
              </w:rPr>
              <w:br/>
            </w:r>
            <w:r>
              <w:rPr>
                <w:rFonts w:ascii="FangSong" w:eastAsia="FangSong" w:hAnsi="FangSong" w:cs="FangSong"/>
                <w:color w:val="666666"/>
                <w:lang w:val="en" w:eastAsia="en"/>
              </w:rPr>
              <w:t>本项目属于专门面向中小微企业采购项目，非中小微企业不得投标。（需提供符合要求的《中小微企业声明函》格式详见招标文件（按本项目规定的所属行业填写），其中企业类型为中型、小型或微型；残疾人福利单位、监狱企业视同小型、微型企业，提供残疾人福利性单位声明函或监狱企业声明函及监狱企业证明文件）。</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本项目不接受联合体投标，不接受进口产品参与投标，不允许转包、分包。（由供应商在《龙华区教育局自行采购投标及履约承诺函》中作出承诺）；：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本项目不接受联合体投标，不接受进口产品参与投标，不允许转包、分包。（由供应商在《龙华区教育局自行采购投标及履约承诺函》中作出承诺）；</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符合性审查</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未按招标文件所提供的样式填写《投标函》、《股东构成审查表》；未按招标文件所提供的《龙华区教育局自行采购投标及履约承诺函》进行承诺；未按招标文件对投标文件组成的要求提供投标文件；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未按招标文件所提供的样式填写《投标函》、《股东构成审查表》；未按招标文件所提供的《龙华区教育局自行采购投标及履约承诺函》进行承诺；未按招标文件对投标文件组成的要求提供投标文件；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技术规格偏离情况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评审小组根据《技术规格偏离表》（以下简称偏离表”）响应情况进行打分，全部满足的得100分，一般参数负偏离一项扣0.58分，重点技术参数▲项负偏离一项扣9分。扣完为止。 证明文件： 偏离表应如实对应填写所投产品的具体参数。如要求提供厂家网站截图说明书厂家出具的参数文件检验报告”等证明资料的，需按要求提供相关证明资料；提供的证明资料与所填写内容不一致的，以证明资料为准，原件备查。未提供或未按要求提供或提供的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技术保障措施</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评审委员会根据投标单位的技术保障措施进行评审，包括但不限于以下方案： （1）技术团队构架、技术人员安排 （2）服务方案 （3）售后服务方案 评分依据： 提供以上3点内容得30分，缺项不得分。 在此基础上，专家根据内容的合理性进行评分 （1）方案符合实际、完整、规范、思路清晰，内容合理性强，评价为优加70分； （2）方案较符合实际、较完整规范、思路较清晰，内容合理性较强，评价为良加40分； （3）方案较普通、完整性规范性一般，思路不够清晰，内容合理性一般，评价为中加20分； （4）方案不完整、不规范，思路不清晰，内容合理性较差或未提供，评价为差不加分。 未提供不得分。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设计方案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1.投标人应根据招标货物对应的技术要求或图纸进行规划设计： ①需体现出序号1智能书包柜1：提供相关设计产品图，须在产品图中清晰标注好对应尺寸； ②包厢1：需体现出序号10、11、12、13、14；提供以上货物的平面布局图（1张）及效果图（3张、不同角度展示）； ③包厢2：需体现出序号15、16、17、18；提供以上货物的平面布局图（1张）及效果图（3张、不同角度展示）； 此项提供齐全满足要求的图纸得30分,缺项不得分。 2.在此基础上，评审小组根据投标人所提供的产品图响应情况，进一步评审： （1）优评分标准：设计图全面完善、整体配置清晰为优，得70分； （2）良评分标准：设计图较为完善、整体配置比较清晰为良，得30分； （3）中评分标准：方案不够具体、整体配置不够清晰的为中，得5分； （4）差评分标准：未按要求提供或提供的材料不能证明相关情况的或提供不清晰导致专家无法判断的不得分。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样品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评审委员会对投标人提供的样品进行综合评审打分： 1、投标人提供符合要求的样品得30分，不提供样品不得分，样品不合格不得分。 ①样品名称：四人位回弹餐桌椅（回弹式座垫肘壁）；数量要求1个；规格材质详见样品要求表； ②样品名称：吧椅（椅面）；数量要求1套；规格材质详见样品要求表。 2、在此基础上，评标委员会对各供应商提供的样品按以下标准进行评分： （1）优评分标准：样品材质和工艺质量好，且制作工艺和设计合理精美的，加70分； （2）良评分标准：样品材质和工艺质量较好，且制作工艺和设计较合理精美的，加30分； （3）中评分标准：样品材质和工艺质量一般，且制作工艺和设计基本合理精美的，加5分； （4）差评分标准：样品材质和工艺质量差，且制作工艺和设计差的，不加分。 以上累计最高得100分。 注意事项：（提交时间：开标当日140000—143000，联系电话：0755-21075754，提交地点：深圳市龙华区振华时代广场802）；递交人需提交法定法定代表人授权委托书（盖公章）和授权委托人身份证原件，样品上应当标注项目名称及项目编号、样品编号、样品名称”等信息。</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商务条款偏离情况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投标人应如实填写《商务条款偏离情况》，评审小组根据响应情况进行打分，全部满足要求的得100分，每负偏离一项扣20分。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2021年1月1日至本项目投标截止日（以合同签订日期为准），投标人具有家具类项目业绩的，每提供1个得34分，最高得100分。 证明文件： 要求提供中标通知书、合同关键信息（包括但不限于合同标的、签订时间、双方签章页）及验收报告扫描件，通过合同关键信息无法判断是否得分的，还须同时提供能证明得分的其它证明资料，如合同甲方出具的证明文件或项目报告，原件备查。未提供或未按要求提供或提供的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履约评价情况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2021年1月1日至本项目投标截止日前，投标人具有上述同类项目经验中经评审有效得分的业绩，并经用户单位考核评价为优或满意或其他最高等级评价的，每提供1项得34分，最高得100分。 证明文件： 要求提供以上项目合同关键页（包括但不限于合同标的、签订时间、双方签章页）及盖有用户单位公章或加盖职能部门或下属机构业务章的履约评价扫描件，原件备查。未提供或未按要求提供或提供的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30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评标价计算公式：评标价=投标函中的投标报价（有修正投标报价的取修正后的投标报价）</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pPr>
  </w:p>
  <w:p>
    <w:pPr>
      <w:pStyle w:val="Footer"/>
      <w:spacing w:after="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09221C"/>
    <w:multiLevelType w:val="singleLevel"/>
    <w:tmpl w:val="B609221C"/>
    <w:lvl w:ilvl="0">
      <w:start w:val="1"/>
      <w:numFmt w:val="decimal"/>
      <w:suff w:val="nothing"/>
      <w:lvlText w:val="%1、"/>
      <w:lvlJc w:val="left"/>
    </w:lvl>
  </w:abstractNum>
  <w:abstractNum w:abstractNumId="1">
    <w:nsid w:val="B9358C2E"/>
    <w:multiLevelType w:val="singleLevel"/>
    <w:tmpl w:val="B9358C2E"/>
    <w:lvl w:ilvl="0">
      <w:start w:val="2"/>
      <w:numFmt w:val="decimal"/>
      <w:suff w:val="nothing"/>
      <w:lvlText w:val="%1、"/>
      <w:lvlJc w:val="left"/>
    </w:lvl>
  </w:abstractNum>
  <w:abstractNum w:abstractNumId="2">
    <w:nsid w:val="721CBBE0"/>
    <w:multiLevelType w:val="singleLevel"/>
    <w:tmpl w:val="721CBBE0"/>
    <w:lvl w:ilvl="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Char"/>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DefaultParagraphFont"/>
    <w:link w:val="Header"/>
    <w:uiPriority w:val="99"/>
    <w:qFormat/>
    <w:rPr>
      <w:rFonts w:eastAsia="宋体"/>
      <w:sz w:val="18"/>
      <w:szCs w:val="18"/>
    </w:rPr>
  </w:style>
  <w:style w:type="paragraph" w:styleId="Footer">
    <w:name w:val="footer"/>
    <w:basedOn w:val="Normal"/>
    <w:link w:val="Char0"/>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DefaultParagraphFont"/>
    <w:link w:val="Footer"/>
    <w:uiPriority w:val="99"/>
    <w:qFormat/>
    <w:rPr>
      <w:rFonts w:eastAsia="宋体"/>
      <w:sz w:val="18"/>
      <w:szCs w:val="18"/>
    </w:rPr>
  </w:style>
  <w:style w:type="table" w:styleId="TableGrid">
    <w:name w:val="Table Grid"/>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amr.sz.gov.cn/outer/entSelect/gs.html" TargetMode="External"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hyperlink" Target="https://www.gsxt.gov.cn/corp-query-homepage.html" TargetMode="External"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