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9900C">
      <w:pPr>
        <w:tabs>
          <w:tab w:val="left" w:pos="8640"/>
        </w:tabs>
        <w:rPr>
          <w:rFonts w:eastAsia="等线"/>
          <w:color w:val="auto"/>
        </w:rPr>
      </w:pPr>
    </w:p>
    <w:p w14:paraId="61623AF9">
      <w:pPr>
        <w:rPr>
          <w:rFonts w:eastAsia="等线"/>
          <w:color w:val="auto"/>
        </w:rPr>
      </w:pPr>
    </w:p>
    <w:p w14:paraId="23CB9613">
      <w:pPr>
        <w:rPr>
          <w:rFonts w:eastAsia="等线"/>
          <w:color w:val="auto"/>
        </w:rPr>
      </w:pPr>
    </w:p>
    <w:p w14:paraId="67A93B69">
      <w:pPr>
        <w:rPr>
          <w:rFonts w:eastAsia="等线"/>
          <w:color w:val="auto"/>
        </w:rPr>
      </w:pPr>
    </w:p>
    <w:p w14:paraId="3E383977">
      <w:pPr>
        <w:rPr>
          <w:rFonts w:eastAsia="等线"/>
          <w:color w:val="auto"/>
        </w:rPr>
      </w:pPr>
    </w:p>
    <w:p w14:paraId="48D0FE1E">
      <w:pPr>
        <w:rPr>
          <w:rFonts w:eastAsia="等线"/>
          <w:color w:val="auto"/>
        </w:rPr>
      </w:pPr>
    </w:p>
    <w:p w14:paraId="239B38AC">
      <w:pPr>
        <w:rPr>
          <w:b/>
          <w:bCs/>
          <w:color w:val="auto"/>
          <w:sz w:val="44"/>
          <w:szCs w:val="44"/>
        </w:rPr>
      </w:pPr>
    </w:p>
    <w:p w14:paraId="6EB4CA9D">
      <w:pP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深圳市盐田区危险边坡和建筑挡墙人工监测服务</w:t>
      </w:r>
      <w:r>
        <w:rPr>
          <w:rFonts w:hint="eastAsia" w:ascii="宋体" w:hAnsi="宋体" w:eastAsia="宋体" w:cs="宋体"/>
          <w:b/>
          <w:bCs/>
          <w:color w:val="auto"/>
          <w:sz w:val="44"/>
          <w:szCs w:val="44"/>
        </w:rPr>
        <w:t>招标文件信息</w:t>
      </w:r>
    </w:p>
    <w:p w14:paraId="090EE8BF">
      <w:pPr>
        <w:pStyle w:val="25"/>
        <w:rPr>
          <w:color w:val="auto"/>
        </w:rPr>
      </w:pPr>
    </w:p>
    <w:p w14:paraId="2B6E9F2F">
      <w:pPr>
        <w:pStyle w:val="25"/>
        <w:rPr>
          <w:color w:val="auto"/>
        </w:rPr>
      </w:pPr>
    </w:p>
    <w:p w14:paraId="06C41785">
      <w:pPr>
        <w:pStyle w:val="25"/>
        <w:rPr>
          <w:color w:val="auto"/>
        </w:rPr>
      </w:pPr>
    </w:p>
    <w:tbl>
      <w:tblPr>
        <w:tblStyle w:val="18"/>
        <w:tblW w:w="7943" w:type="dxa"/>
        <w:jc w:val="center"/>
        <w:tblCellSpacing w:w="0" w:type="dxa"/>
        <w:tblLayout w:type="fixed"/>
        <w:tblCellMar>
          <w:top w:w="45" w:type="dxa"/>
          <w:left w:w="45" w:type="dxa"/>
          <w:bottom w:w="45" w:type="dxa"/>
          <w:right w:w="45" w:type="dxa"/>
        </w:tblCellMar>
      </w:tblPr>
      <w:tblGrid>
        <w:gridCol w:w="2723"/>
        <w:gridCol w:w="5220"/>
      </w:tblGrid>
      <w:tr w14:paraId="2EB807FC">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5BC366C">
            <w:pPr>
              <w:rPr>
                <w:color w:val="auto"/>
              </w:rPr>
            </w:pPr>
            <w:r>
              <w:rPr>
                <w:rFonts w:hint="eastAsia" w:eastAsia="宋体"/>
                <w:color w:val="auto"/>
              </w:rPr>
              <w:t>项目编号：</w:t>
            </w:r>
          </w:p>
        </w:tc>
        <w:tc>
          <w:tcPr>
            <w:tcW w:w="5220" w:type="dxa"/>
            <w:vAlign w:val="center"/>
          </w:tcPr>
          <w:p w14:paraId="5F656669">
            <w:pPr>
              <w:rPr>
                <w:rFonts w:hint="default" w:eastAsia="宋体"/>
                <w:color w:val="auto"/>
                <w:lang w:val="en-US" w:eastAsia="zh-CN"/>
              </w:rPr>
            </w:pPr>
            <w:r>
              <w:rPr>
                <w:rFonts w:hint="eastAsia" w:eastAsia="宋体"/>
                <w:color w:val="auto"/>
                <w:highlight w:val="none"/>
                <w:lang w:eastAsia="zh-CN"/>
              </w:rPr>
              <w:t>YTYJGL-20250718</w:t>
            </w:r>
          </w:p>
        </w:tc>
      </w:tr>
      <w:tr w14:paraId="3D8111C8">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C8404E8">
            <w:pPr>
              <w:rPr>
                <w:color w:val="auto"/>
              </w:rPr>
            </w:pPr>
            <w:r>
              <w:rPr>
                <w:rFonts w:hint="eastAsia" w:eastAsia="宋体"/>
                <w:color w:val="auto"/>
              </w:rPr>
              <w:t>项目名称：</w:t>
            </w:r>
          </w:p>
        </w:tc>
        <w:tc>
          <w:tcPr>
            <w:tcW w:w="5220" w:type="dxa"/>
            <w:vAlign w:val="center"/>
          </w:tcPr>
          <w:p w14:paraId="2840ACAF">
            <w:pPr>
              <w:rPr>
                <w:rFonts w:hint="eastAsia" w:eastAsia="宋体"/>
                <w:color w:val="auto"/>
                <w:lang w:eastAsia="zh-CN"/>
              </w:rPr>
            </w:pPr>
            <w:r>
              <w:rPr>
                <w:rFonts w:hint="eastAsia" w:eastAsia="宋体"/>
                <w:color w:val="auto"/>
                <w:lang w:eastAsia="zh-CN"/>
              </w:rPr>
              <w:t>深圳市盐田区危险边坡和建筑挡墙人工监测服务</w:t>
            </w:r>
          </w:p>
        </w:tc>
      </w:tr>
      <w:tr w14:paraId="0C9C6552">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71494528">
            <w:pPr>
              <w:rPr>
                <w:color w:val="auto"/>
              </w:rPr>
            </w:pPr>
            <w:r>
              <w:rPr>
                <w:rFonts w:hint="eastAsia" w:eastAsia="宋体"/>
                <w:color w:val="auto"/>
              </w:rPr>
              <w:t>项目类型：</w:t>
            </w:r>
          </w:p>
        </w:tc>
        <w:tc>
          <w:tcPr>
            <w:tcW w:w="5220" w:type="dxa"/>
            <w:vAlign w:val="center"/>
          </w:tcPr>
          <w:p w14:paraId="3EA0BD9B">
            <w:pPr>
              <w:rPr>
                <w:color w:val="auto"/>
              </w:rPr>
            </w:pPr>
            <w:r>
              <w:rPr>
                <w:rFonts w:hint="eastAsia" w:eastAsia="宋体"/>
                <w:color w:val="auto"/>
              </w:rPr>
              <w:t>服务类</w:t>
            </w:r>
          </w:p>
        </w:tc>
      </w:tr>
      <w:tr w14:paraId="7FAC1E0D">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63B25AB">
            <w:pPr>
              <w:rPr>
                <w:color w:val="auto"/>
              </w:rPr>
            </w:pPr>
            <w:r>
              <w:rPr>
                <w:rFonts w:hint="eastAsia" w:eastAsia="宋体"/>
                <w:color w:val="auto"/>
              </w:rPr>
              <w:t>采购方式：</w:t>
            </w:r>
          </w:p>
        </w:tc>
        <w:tc>
          <w:tcPr>
            <w:tcW w:w="5220" w:type="dxa"/>
            <w:vAlign w:val="center"/>
          </w:tcPr>
          <w:p w14:paraId="7EC5BC85">
            <w:pPr>
              <w:rPr>
                <w:color w:val="auto"/>
              </w:rPr>
            </w:pPr>
            <w:r>
              <w:rPr>
                <w:rFonts w:hint="eastAsia" w:eastAsia="宋体"/>
                <w:color w:val="auto"/>
              </w:rPr>
              <w:t>公开招标</w:t>
            </w:r>
          </w:p>
        </w:tc>
      </w:tr>
      <w:tr w14:paraId="47EAE82D">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9A54789">
            <w:pPr>
              <w:rPr>
                <w:color w:val="auto"/>
              </w:rPr>
            </w:pPr>
            <w:r>
              <w:rPr>
                <w:rFonts w:hint="eastAsia" w:eastAsia="宋体"/>
                <w:color w:val="auto"/>
              </w:rPr>
              <w:t>货币类型：</w:t>
            </w:r>
          </w:p>
        </w:tc>
        <w:tc>
          <w:tcPr>
            <w:tcW w:w="5220" w:type="dxa"/>
            <w:vAlign w:val="center"/>
          </w:tcPr>
          <w:p w14:paraId="5E2D9DAA">
            <w:pPr>
              <w:rPr>
                <w:color w:val="auto"/>
              </w:rPr>
            </w:pPr>
            <w:r>
              <w:rPr>
                <w:rFonts w:hint="eastAsia" w:eastAsia="宋体"/>
                <w:color w:val="auto"/>
              </w:rPr>
              <w:t>人民币</w:t>
            </w:r>
          </w:p>
        </w:tc>
      </w:tr>
      <w:tr w14:paraId="3DD3C203">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64F3CCA">
            <w:pPr>
              <w:rPr>
                <w:color w:val="auto"/>
              </w:rPr>
            </w:pPr>
            <w:r>
              <w:rPr>
                <w:rFonts w:hint="eastAsia" w:eastAsia="宋体"/>
                <w:color w:val="auto"/>
              </w:rPr>
              <w:t>评标方法：</w:t>
            </w:r>
          </w:p>
        </w:tc>
        <w:tc>
          <w:tcPr>
            <w:tcW w:w="5220" w:type="dxa"/>
            <w:vAlign w:val="center"/>
          </w:tcPr>
          <w:p w14:paraId="25F07B4B">
            <w:pPr>
              <w:rPr>
                <w:color w:val="auto"/>
              </w:rPr>
            </w:pPr>
            <w:r>
              <w:rPr>
                <w:rFonts w:hint="eastAsia" w:eastAsia="宋体"/>
                <w:color w:val="auto"/>
              </w:rPr>
              <w:t>综合评分法</w:t>
            </w:r>
          </w:p>
        </w:tc>
      </w:tr>
    </w:tbl>
    <w:p w14:paraId="637F6567">
      <w:pPr>
        <w:rPr>
          <w:rFonts w:eastAsia="黑体"/>
          <w:color w:val="auto"/>
        </w:rPr>
      </w:pPr>
    </w:p>
    <w:p w14:paraId="1BE28C30">
      <w:pPr>
        <w:rPr>
          <w:rFonts w:eastAsia="黑体"/>
          <w:color w:val="auto"/>
        </w:rPr>
      </w:pPr>
    </w:p>
    <w:p w14:paraId="750F9AAB">
      <w:pPr>
        <w:rPr>
          <w:rFonts w:eastAsia="黑体"/>
          <w:color w:val="auto"/>
        </w:rPr>
      </w:pPr>
    </w:p>
    <w:p w14:paraId="4FC3A8E6">
      <w:pPr>
        <w:pStyle w:val="25"/>
        <w:rPr>
          <w:color w:val="auto"/>
        </w:rPr>
      </w:pPr>
    </w:p>
    <w:p w14:paraId="6937A195">
      <w:pPr>
        <w:pStyle w:val="25"/>
        <w:rPr>
          <w:color w:val="auto"/>
        </w:rPr>
      </w:pPr>
    </w:p>
    <w:p w14:paraId="349C4A7D">
      <w:pPr>
        <w:pStyle w:val="25"/>
        <w:rPr>
          <w:color w:val="auto"/>
        </w:rPr>
      </w:pPr>
    </w:p>
    <w:p w14:paraId="2E70EAC7">
      <w:pPr>
        <w:rPr>
          <w:rFonts w:eastAsia="黑体"/>
          <w:color w:val="auto"/>
          <w:sz w:val="36"/>
          <w:szCs w:val="36"/>
        </w:rPr>
      </w:pPr>
    </w:p>
    <w:p w14:paraId="18F09478">
      <w:pPr>
        <w:rPr>
          <w:rFonts w:eastAsia="黑体"/>
          <w:color w:val="auto"/>
          <w:sz w:val="36"/>
          <w:szCs w:val="36"/>
        </w:rPr>
      </w:pPr>
      <w:r>
        <w:rPr>
          <w:rFonts w:hint="eastAsia" w:eastAsia="黑体"/>
          <w:color w:val="auto"/>
          <w:sz w:val="36"/>
          <w:szCs w:val="36"/>
        </w:rPr>
        <w:t>深圳市城投全过程工程咨询有限公司</w:t>
      </w:r>
    </w:p>
    <w:p w14:paraId="1DE6099C">
      <w:pPr>
        <w:rPr>
          <w:rFonts w:eastAsia="黑体"/>
          <w:color w:val="auto"/>
          <w:sz w:val="36"/>
          <w:szCs w:val="36"/>
        </w:rPr>
      </w:pPr>
      <w:r>
        <w:rPr>
          <w:rFonts w:hint="eastAsia" w:eastAsia="黑体"/>
          <w:color w:val="auto"/>
          <w:sz w:val="36"/>
          <w:szCs w:val="36"/>
        </w:rPr>
        <w:t>202</w:t>
      </w:r>
      <w:r>
        <w:rPr>
          <w:rFonts w:hint="eastAsia" w:eastAsia="黑体"/>
          <w:color w:val="auto"/>
          <w:sz w:val="36"/>
          <w:szCs w:val="36"/>
          <w:lang w:val="en-US" w:eastAsia="zh-CN"/>
        </w:rPr>
        <w:t>5</w:t>
      </w:r>
      <w:r>
        <w:rPr>
          <w:rFonts w:hint="eastAsia" w:eastAsia="黑体"/>
          <w:color w:val="auto"/>
          <w:sz w:val="36"/>
          <w:szCs w:val="36"/>
        </w:rPr>
        <w:t>年</w:t>
      </w:r>
      <w:r>
        <w:rPr>
          <w:rFonts w:hint="eastAsia" w:eastAsia="黑体"/>
          <w:color w:val="auto"/>
          <w:sz w:val="36"/>
          <w:szCs w:val="36"/>
          <w:lang w:val="en-US" w:eastAsia="zh-CN"/>
        </w:rPr>
        <w:t>7</w:t>
      </w:r>
      <w:r>
        <w:rPr>
          <w:rFonts w:hint="eastAsia" w:eastAsia="黑体"/>
          <w:color w:val="auto"/>
          <w:sz w:val="36"/>
          <w:szCs w:val="36"/>
        </w:rPr>
        <w:t>月</w:t>
      </w:r>
    </w:p>
    <w:p w14:paraId="685AF0CB">
      <w:pPr>
        <w:rPr>
          <w:rFonts w:eastAsia="黑体"/>
          <w:color w:val="auto"/>
        </w:rPr>
      </w:pPr>
    </w:p>
    <w:p w14:paraId="2C883BAD">
      <w:pPr>
        <w:pStyle w:val="15"/>
        <w:rPr>
          <w:rFonts w:eastAsia="黑体"/>
          <w:color w:val="auto"/>
        </w:rPr>
        <w:sectPr>
          <w:pgSz w:w="11906" w:h="16838"/>
          <w:pgMar w:top="1440" w:right="1080" w:bottom="1440" w:left="1080" w:header="851" w:footer="340" w:gutter="0"/>
          <w:pgNumType w:start="1"/>
          <w:cols w:space="720" w:num="1"/>
          <w:docGrid w:linePitch="312" w:charSpace="0"/>
        </w:sectPr>
      </w:pPr>
    </w:p>
    <w:p w14:paraId="51EBB18D">
      <w:pPr>
        <w:pStyle w:val="15"/>
        <w:rPr>
          <w:rFonts w:eastAsia="黑体"/>
          <w:color w:val="auto"/>
        </w:rPr>
      </w:pPr>
      <w:r>
        <w:rPr>
          <w:rFonts w:hint="eastAsia" w:eastAsia="黑体"/>
          <w:color w:val="auto"/>
        </w:rPr>
        <w:t>资格性审查表</w:t>
      </w:r>
    </w:p>
    <w:tbl>
      <w:tblPr>
        <w:tblStyle w:val="18"/>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6498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54E0F36">
            <w:pPr>
              <w:rPr>
                <w:color w:val="auto"/>
              </w:rPr>
            </w:pPr>
            <w:r>
              <w:rPr>
                <w:rFonts w:hint="eastAsia" w:eastAsia="宋体"/>
                <w:color w:val="auto"/>
              </w:rPr>
              <w:t>序</w:t>
            </w:r>
            <w:r>
              <w:rPr>
                <w:rFonts w:hint="eastAsia" w:ascii="宋体" w:hAnsi="宋体" w:eastAsia="宋体" w:cs="宋体"/>
                <w:color w:val="auto"/>
              </w:rPr>
              <w:t>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0DE3938">
            <w:pPr>
              <w:rPr>
                <w:color w:val="auto"/>
              </w:rPr>
            </w:pPr>
            <w:r>
              <w:rPr>
                <w:rFonts w:hint="eastAsia" w:eastAsia="宋体"/>
                <w:color w:val="auto"/>
              </w:rPr>
              <w:t>内</w:t>
            </w:r>
            <w:r>
              <w:rPr>
                <w:rFonts w:hint="eastAsia" w:ascii="宋体" w:hAnsi="宋体" w:eastAsia="宋体" w:cs="宋体"/>
                <w:color w:val="auto"/>
              </w:rPr>
              <w:t>容</w:t>
            </w:r>
          </w:p>
        </w:tc>
      </w:tr>
      <w:tr w14:paraId="2423B4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06B09A5">
            <w:pPr>
              <w:rPr>
                <w:rFonts w:ascii="宋体" w:hAnsi="宋体" w:cs="宋体"/>
                <w:color w:val="auto"/>
              </w:rPr>
            </w:pPr>
            <w:r>
              <w:rPr>
                <w:color w:val="auto"/>
              </w:rPr>
              <w:t>1</w:t>
            </w:r>
          </w:p>
        </w:tc>
        <w:tc>
          <w:tcPr>
            <w:tcW w:w="8278" w:type="dxa"/>
            <w:tcBorders>
              <w:top w:val="single" w:color="000000" w:sz="8" w:space="0"/>
              <w:left w:val="single" w:color="000000" w:sz="8" w:space="0"/>
              <w:bottom w:val="single" w:color="000000" w:sz="8" w:space="0"/>
              <w:right w:val="single" w:color="000000" w:sz="8" w:space="0"/>
            </w:tcBorders>
          </w:tcPr>
          <w:p w14:paraId="2FEBB52D">
            <w:pPr>
              <w:rPr>
                <w:color w:val="auto"/>
              </w:rPr>
            </w:pPr>
            <w:r>
              <w:rPr>
                <w:rFonts w:hint="eastAsia" w:eastAsia="宋体"/>
                <w:color w:val="auto"/>
              </w:rPr>
              <w:t>投标人不符合资格要求，或未提交相应的资格证明资料（详见招标公告投标人资格要求，即申请人的资格要求）</w:t>
            </w:r>
          </w:p>
        </w:tc>
      </w:tr>
    </w:tbl>
    <w:p w14:paraId="08A6D52F">
      <w:pPr>
        <w:pStyle w:val="15"/>
        <w:rPr>
          <w:rFonts w:eastAsia="黑体"/>
          <w:color w:val="auto"/>
        </w:rPr>
      </w:pPr>
      <w:bookmarkStart w:id="0" w:name="OLE_LINK1"/>
      <w:bookmarkStart w:id="1" w:name="OLE_LINK2"/>
      <w:r>
        <w:rPr>
          <w:rFonts w:hint="eastAsia" w:eastAsia="黑体"/>
          <w:color w:val="auto"/>
        </w:rPr>
        <w:t>符合性审查表</w:t>
      </w:r>
    </w:p>
    <w:tbl>
      <w:tblPr>
        <w:tblStyle w:val="18"/>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924F0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022D7565">
            <w:pPr>
              <w:rPr>
                <w:rFonts w:eastAsia="宋体"/>
                <w:color w:val="auto"/>
              </w:rPr>
            </w:pPr>
            <w:r>
              <w:rPr>
                <w:rFonts w:hint="eastAsia" w:eastAsia="宋体"/>
                <w:color w:val="auto"/>
              </w:rPr>
              <w:t>有以下条款之一的废标</w:t>
            </w:r>
          </w:p>
        </w:tc>
      </w:tr>
      <w:bookmarkEnd w:id="0"/>
      <w:bookmarkEnd w:id="1"/>
      <w:tr w14:paraId="5878C7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BBE8951">
            <w:pPr>
              <w:rPr>
                <w:color w:val="auto"/>
              </w:rPr>
            </w:pPr>
            <w:r>
              <w:rPr>
                <w:rFonts w:hint="eastAsia" w:eastAsia="宋体"/>
                <w:color w:val="auto"/>
              </w:rPr>
              <w:t>序</w:t>
            </w:r>
            <w:r>
              <w:rPr>
                <w:rFonts w:hint="eastAsia" w:ascii="宋体" w:hAnsi="宋体" w:eastAsia="宋体" w:cs="宋体"/>
                <w:color w:val="auto"/>
              </w:rPr>
              <w:t>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34D1E60">
            <w:pPr>
              <w:rPr>
                <w:color w:val="auto"/>
              </w:rPr>
            </w:pPr>
            <w:r>
              <w:rPr>
                <w:rFonts w:hint="eastAsia" w:eastAsia="宋体"/>
                <w:color w:val="auto"/>
              </w:rPr>
              <w:t>内</w:t>
            </w:r>
            <w:r>
              <w:rPr>
                <w:rFonts w:hint="eastAsia" w:ascii="宋体" w:hAnsi="宋体" w:eastAsia="宋体" w:cs="宋体"/>
                <w:color w:val="auto"/>
              </w:rPr>
              <w:t>容</w:t>
            </w:r>
          </w:p>
        </w:tc>
      </w:tr>
      <w:tr w14:paraId="44BE6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0032580">
            <w:pPr>
              <w:rPr>
                <w:rFonts w:ascii="宋体" w:hAnsi="宋体" w:cs="宋体"/>
                <w:color w:val="auto"/>
              </w:rPr>
            </w:pPr>
            <w:r>
              <w:rPr>
                <w:color w:val="auto"/>
              </w:rPr>
              <w:t>1</w:t>
            </w:r>
          </w:p>
        </w:tc>
        <w:tc>
          <w:tcPr>
            <w:tcW w:w="8278" w:type="dxa"/>
            <w:tcBorders>
              <w:top w:val="single" w:color="000000" w:sz="8" w:space="0"/>
              <w:left w:val="single" w:color="000000" w:sz="8" w:space="0"/>
              <w:bottom w:val="single" w:color="000000" w:sz="8" w:space="0"/>
              <w:right w:val="single" w:color="000000" w:sz="8" w:space="0"/>
            </w:tcBorders>
          </w:tcPr>
          <w:p w14:paraId="7FF0589A">
            <w:pPr>
              <w:jc w:val="both"/>
              <w:rPr>
                <w:color w:val="auto"/>
                <w:szCs w:val="21"/>
              </w:rPr>
            </w:pPr>
            <w:r>
              <w:rPr>
                <w:rFonts w:hint="eastAsia" w:eastAsia="宋体"/>
                <w:color w:val="auto"/>
              </w:rPr>
              <w:t>将一个包或一个标段的内容拆开投标；</w:t>
            </w:r>
          </w:p>
        </w:tc>
      </w:tr>
      <w:tr w14:paraId="77752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BAD0C9">
            <w:pPr>
              <w:rPr>
                <w:rFonts w:ascii="宋体" w:hAnsi="宋体" w:cs="宋体"/>
                <w:color w:val="auto"/>
              </w:rPr>
            </w:pPr>
            <w:r>
              <w:rPr>
                <w:color w:val="auto"/>
              </w:rPr>
              <w:t>2</w:t>
            </w:r>
          </w:p>
        </w:tc>
        <w:tc>
          <w:tcPr>
            <w:tcW w:w="8278" w:type="dxa"/>
            <w:tcBorders>
              <w:top w:val="single" w:color="000000" w:sz="8" w:space="0"/>
              <w:left w:val="single" w:color="000000" w:sz="8" w:space="0"/>
              <w:bottom w:val="single" w:color="000000" w:sz="8" w:space="0"/>
              <w:right w:val="single" w:color="000000" w:sz="8" w:space="0"/>
            </w:tcBorders>
          </w:tcPr>
          <w:p w14:paraId="57C4D6D5">
            <w:pPr>
              <w:jc w:val="both"/>
              <w:rPr>
                <w:color w:val="auto"/>
              </w:rPr>
            </w:pPr>
            <w:r>
              <w:rPr>
                <w:rFonts w:hint="eastAsia" w:eastAsia="宋体"/>
                <w:color w:val="auto"/>
              </w:rPr>
              <w:t>对同一项目投标时，提供两套以上的投标方案（招标文件另有规定的除外）；</w:t>
            </w:r>
          </w:p>
        </w:tc>
      </w:tr>
      <w:tr w14:paraId="1AC6EE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769E3A7">
            <w:pPr>
              <w:rPr>
                <w:rFonts w:ascii="宋体" w:hAnsi="宋体" w:cs="宋体"/>
                <w:color w:val="auto"/>
              </w:rPr>
            </w:pPr>
            <w:r>
              <w:rPr>
                <w:color w:val="auto"/>
              </w:rPr>
              <w:t>3</w:t>
            </w:r>
          </w:p>
        </w:tc>
        <w:tc>
          <w:tcPr>
            <w:tcW w:w="8278" w:type="dxa"/>
            <w:tcBorders>
              <w:top w:val="single" w:color="000000" w:sz="8" w:space="0"/>
              <w:left w:val="single" w:color="000000" w:sz="8" w:space="0"/>
              <w:bottom w:val="single" w:color="000000" w:sz="8" w:space="0"/>
              <w:right w:val="single" w:color="000000" w:sz="8" w:space="0"/>
            </w:tcBorders>
          </w:tcPr>
          <w:p w14:paraId="6B061820">
            <w:pPr>
              <w:jc w:val="both"/>
              <w:rPr>
                <w:color w:val="auto"/>
              </w:rPr>
            </w:pPr>
            <w:r>
              <w:rPr>
                <w:rFonts w:hint="eastAsia" w:eastAsia="宋体"/>
                <w:color w:val="auto"/>
              </w:rPr>
              <w:t>分项报价或投标总价高于相应财政预算金额（或设定的财政预算金额下的最高限价）；</w:t>
            </w:r>
          </w:p>
        </w:tc>
      </w:tr>
      <w:tr w14:paraId="61561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E3AE8DC">
            <w:pPr>
              <w:rPr>
                <w:rFonts w:ascii="宋体" w:hAnsi="宋体" w:cs="宋体"/>
                <w:color w:val="auto"/>
              </w:rPr>
            </w:pPr>
            <w:r>
              <w:rPr>
                <w:color w:val="auto"/>
              </w:rPr>
              <w:t>4</w:t>
            </w:r>
          </w:p>
        </w:tc>
        <w:tc>
          <w:tcPr>
            <w:tcW w:w="8278" w:type="dxa"/>
            <w:tcBorders>
              <w:top w:val="single" w:color="000000" w:sz="8" w:space="0"/>
              <w:left w:val="single" w:color="000000" w:sz="8" w:space="0"/>
              <w:bottom w:val="single" w:color="000000" w:sz="8" w:space="0"/>
              <w:right w:val="single" w:color="000000" w:sz="8" w:space="0"/>
            </w:tcBorders>
          </w:tcPr>
          <w:p w14:paraId="50D2AACD">
            <w:pPr>
              <w:jc w:val="both"/>
              <w:rPr>
                <w:color w:val="auto"/>
              </w:rPr>
            </w:pPr>
            <w:r>
              <w:rPr>
                <w:rFonts w:hint="eastAsia" w:eastAsia="宋体"/>
                <w:color w:val="auto"/>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w:t>
            </w:r>
            <w:r>
              <w:rPr>
                <w:color w:val="auto"/>
              </w:rPr>
              <w:t>“</w:t>
            </w:r>
            <w:r>
              <w:rPr>
                <w:rFonts w:hint="eastAsia" w:eastAsia="宋体"/>
                <w:color w:val="auto"/>
              </w:rPr>
              <w:t>少数服从多数</w:t>
            </w:r>
            <w:r>
              <w:rPr>
                <w:color w:val="auto"/>
              </w:rPr>
              <w:t>”</w:t>
            </w:r>
            <w:r>
              <w:rPr>
                <w:rFonts w:hint="eastAsia" w:eastAsia="宋体"/>
                <w:color w:val="auto"/>
              </w:rPr>
              <w:t>的原则确定评审委员会的意见）；</w:t>
            </w:r>
          </w:p>
        </w:tc>
      </w:tr>
      <w:tr w14:paraId="6E9585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919FC28">
            <w:pPr>
              <w:rPr>
                <w:rFonts w:ascii="宋体" w:hAnsi="宋体" w:cs="宋体"/>
                <w:color w:val="auto"/>
              </w:rPr>
            </w:pPr>
            <w:r>
              <w:rPr>
                <w:color w:val="auto"/>
              </w:rPr>
              <w:t>5</w:t>
            </w:r>
          </w:p>
        </w:tc>
        <w:tc>
          <w:tcPr>
            <w:tcW w:w="8278" w:type="dxa"/>
            <w:tcBorders>
              <w:top w:val="single" w:color="000000" w:sz="8" w:space="0"/>
              <w:left w:val="single" w:color="000000" w:sz="8" w:space="0"/>
              <w:bottom w:val="single" w:color="000000" w:sz="8" w:space="0"/>
              <w:right w:val="single" w:color="000000" w:sz="8" w:space="0"/>
            </w:tcBorders>
          </w:tcPr>
          <w:p w14:paraId="7465C153">
            <w:pPr>
              <w:jc w:val="both"/>
              <w:rPr>
                <w:color w:val="auto"/>
              </w:rPr>
            </w:pPr>
            <w:r>
              <w:rPr>
                <w:rFonts w:hint="eastAsia" w:eastAsia="宋体"/>
                <w:color w:val="auto"/>
              </w:rPr>
              <w:t>所投货物、服务在技术、商务等方面没有实质性满足招标文件要求的（是否实质性满足招标文件要求，由评审委员会根据《实质性条款响应情况表》做出评判）；</w:t>
            </w:r>
          </w:p>
        </w:tc>
      </w:tr>
      <w:tr w14:paraId="4F2AC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58D65EA">
            <w:pPr>
              <w:rPr>
                <w:rFonts w:ascii="宋体" w:hAnsi="宋体" w:cs="宋体"/>
                <w:color w:val="auto"/>
              </w:rPr>
            </w:pPr>
            <w:r>
              <w:rPr>
                <w:color w:val="auto"/>
              </w:rPr>
              <w:t>6</w:t>
            </w:r>
          </w:p>
        </w:tc>
        <w:tc>
          <w:tcPr>
            <w:tcW w:w="8278" w:type="dxa"/>
            <w:tcBorders>
              <w:top w:val="single" w:color="000000" w:sz="8" w:space="0"/>
              <w:left w:val="single" w:color="000000" w:sz="8" w:space="0"/>
              <w:bottom w:val="single" w:color="000000" w:sz="8" w:space="0"/>
              <w:right w:val="single" w:color="000000" w:sz="8" w:space="0"/>
            </w:tcBorders>
          </w:tcPr>
          <w:p w14:paraId="1EFE148D">
            <w:pPr>
              <w:jc w:val="both"/>
              <w:rPr>
                <w:color w:val="auto"/>
              </w:rPr>
            </w:pPr>
            <w:r>
              <w:rPr>
                <w:rFonts w:hint="eastAsia" w:eastAsia="宋体"/>
                <w:color w:val="auto"/>
              </w:rPr>
              <w:t>未按招标文件所提供的样式填写《投标函》；未按招标文件所提供的《履约承诺函》进行承诺；未按招标文件对投标文件组成的要求提供投标文件；</w:t>
            </w:r>
          </w:p>
        </w:tc>
      </w:tr>
      <w:tr w14:paraId="1F611A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12E5A3F">
            <w:pPr>
              <w:rPr>
                <w:rFonts w:ascii="宋体" w:hAnsi="宋体" w:cs="宋体"/>
                <w:color w:val="auto"/>
              </w:rPr>
            </w:pPr>
            <w:r>
              <w:rPr>
                <w:color w:val="auto"/>
              </w:rPr>
              <w:t>7</w:t>
            </w:r>
          </w:p>
        </w:tc>
        <w:tc>
          <w:tcPr>
            <w:tcW w:w="8278" w:type="dxa"/>
            <w:tcBorders>
              <w:top w:val="single" w:color="000000" w:sz="8" w:space="0"/>
              <w:left w:val="single" w:color="000000" w:sz="8" w:space="0"/>
              <w:bottom w:val="single" w:color="000000" w:sz="8" w:space="0"/>
              <w:right w:val="single" w:color="000000" w:sz="8" w:space="0"/>
            </w:tcBorders>
          </w:tcPr>
          <w:p w14:paraId="113B53C5">
            <w:pPr>
              <w:jc w:val="both"/>
              <w:rPr>
                <w:color w:val="auto"/>
              </w:rPr>
            </w:pPr>
            <w:r>
              <w:rPr>
                <w:rFonts w:hint="eastAsia" w:eastAsia="宋体"/>
                <w:color w:val="auto"/>
              </w:rPr>
              <w:t>投标报价有缺漏项目</w:t>
            </w:r>
            <w:r>
              <w:rPr>
                <w:rFonts w:hint="eastAsia"/>
                <w:color w:val="auto"/>
              </w:rPr>
              <w:t>,</w:t>
            </w:r>
            <w:r>
              <w:rPr>
                <w:rFonts w:hint="eastAsia" w:eastAsia="宋体"/>
                <w:color w:val="auto"/>
              </w:rPr>
              <w:t>或者对招标文件规定的项目需求内容或者需求数量进行修改，评审委员会判定投标响应不满足采购需求；</w:t>
            </w:r>
          </w:p>
        </w:tc>
      </w:tr>
      <w:tr w14:paraId="751BA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3F3273A">
            <w:pPr>
              <w:rPr>
                <w:rFonts w:ascii="宋体" w:hAnsi="宋体" w:eastAsia="宋体" w:cs="宋体"/>
                <w:color w:val="auto"/>
              </w:rPr>
            </w:pPr>
            <w:bookmarkStart w:id="2" w:name="_Hlk107480239"/>
            <w:r>
              <w:rPr>
                <w:rFonts w:hint="eastAsia" w:eastAsia="宋体"/>
                <w:color w:val="auto"/>
              </w:rPr>
              <w:t>8</w:t>
            </w:r>
          </w:p>
        </w:tc>
        <w:tc>
          <w:tcPr>
            <w:tcW w:w="8278" w:type="dxa"/>
            <w:tcBorders>
              <w:top w:val="single" w:color="000000" w:sz="8" w:space="0"/>
              <w:left w:val="single" w:color="000000" w:sz="8" w:space="0"/>
              <w:bottom w:val="single" w:color="000000" w:sz="8" w:space="0"/>
              <w:right w:val="single" w:color="000000" w:sz="8" w:space="0"/>
            </w:tcBorders>
          </w:tcPr>
          <w:p w14:paraId="2DD9B3C3">
            <w:pPr>
              <w:jc w:val="both"/>
              <w:rPr>
                <w:color w:val="auto"/>
                <w:szCs w:val="21"/>
              </w:rPr>
            </w:pPr>
            <w:r>
              <w:rPr>
                <w:rFonts w:hint="eastAsia" w:eastAsia="宋体"/>
                <w:color w:val="auto"/>
              </w:rPr>
              <w:t>法律、法规、规章、规范性文件规定的其他情形。</w:t>
            </w:r>
          </w:p>
        </w:tc>
      </w:tr>
      <w:bookmarkEnd w:id="2"/>
    </w:tbl>
    <w:p w14:paraId="348F3BB9">
      <w:pPr>
        <w:pStyle w:val="9"/>
        <w:rPr>
          <w:color w:val="auto"/>
        </w:rPr>
      </w:pPr>
    </w:p>
    <w:p w14:paraId="11B2374E">
      <w:pPr>
        <w:rPr>
          <w:rFonts w:eastAsia="黑体"/>
          <w:color w:val="auto"/>
        </w:rPr>
      </w:pPr>
      <w:r>
        <w:rPr>
          <w:rFonts w:hint="eastAsia" w:eastAsia="黑体"/>
          <w:color w:val="auto"/>
        </w:rPr>
        <w:br w:type="page"/>
      </w:r>
    </w:p>
    <w:p w14:paraId="3471895E">
      <w:pPr>
        <w:pStyle w:val="15"/>
        <w:rPr>
          <w:rFonts w:eastAsia="黑体"/>
          <w:color w:val="auto"/>
          <w:sz w:val="36"/>
          <w:szCs w:val="36"/>
        </w:rPr>
      </w:pPr>
      <w:r>
        <w:rPr>
          <w:rFonts w:hint="eastAsia" w:eastAsia="黑体"/>
          <w:color w:val="auto"/>
          <w:sz w:val="36"/>
          <w:szCs w:val="36"/>
        </w:rPr>
        <w:t>评标信息</w:t>
      </w:r>
    </w:p>
    <w:tbl>
      <w:tblPr>
        <w:tblStyle w:val="18"/>
        <w:tblW w:w="10706" w:type="dxa"/>
        <w:jc w:val="center"/>
        <w:tblCellSpacing w:w="0" w:type="dxa"/>
        <w:tblLayout w:type="autofit"/>
        <w:tblCellMar>
          <w:top w:w="45" w:type="dxa"/>
          <w:left w:w="45" w:type="dxa"/>
          <w:bottom w:w="45" w:type="dxa"/>
          <w:right w:w="45" w:type="dxa"/>
        </w:tblCellMar>
      </w:tblPr>
      <w:tblGrid>
        <w:gridCol w:w="9237"/>
        <w:gridCol w:w="1469"/>
      </w:tblGrid>
      <w:tr w14:paraId="688FE8AF">
        <w:tblPrEx>
          <w:tblCellMar>
            <w:top w:w="45" w:type="dxa"/>
            <w:left w:w="45" w:type="dxa"/>
            <w:bottom w:w="45" w:type="dxa"/>
            <w:right w:w="45" w:type="dxa"/>
          </w:tblCellMar>
        </w:tblPrEx>
        <w:trPr>
          <w:tblCellSpacing w:w="0" w:type="dxa"/>
          <w:jc w:val="center"/>
        </w:trPr>
        <w:tc>
          <w:tcPr>
            <w:tcW w:w="9237" w:type="dxa"/>
            <w:tcBorders>
              <w:top w:val="single" w:color="000000" w:sz="8" w:space="0"/>
              <w:left w:val="single" w:color="auto" w:sz="0" w:space="0"/>
              <w:bottom w:val="nil"/>
              <w:right w:val="nil"/>
            </w:tcBorders>
            <w:vAlign w:val="center"/>
          </w:tcPr>
          <w:p w14:paraId="7757F4A1">
            <w:pPr>
              <w:jc w:val="left"/>
              <w:rPr>
                <w:rFonts w:cs="宋体" w:asciiTheme="minorEastAsia" w:hAnsiTheme="minorEastAsia" w:eastAsiaTheme="minorEastAsia"/>
                <w:b/>
                <w:bCs/>
                <w:sz w:val="24"/>
              </w:rPr>
            </w:pPr>
            <w:r>
              <w:rPr>
                <w:rFonts w:asciiTheme="minorEastAsia" w:hAnsiTheme="minorEastAsia" w:eastAsiaTheme="minorEastAsia"/>
                <w:b/>
                <w:bCs/>
              </w:rPr>
              <w:t>评标方法：综合评分法（新价格分算法）</w:t>
            </w:r>
          </w:p>
        </w:tc>
        <w:tc>
          <w:tcPr>
            <w:tcW w:w="1469" w:type="dxa"/>
            <w:tcBorders>
              <w:top w:val="single" w:color="000000" w:sz="8" w:space="0"/>
              <w:left w:val="nil"/>
              <w:bottom w:val="nil"/>
              <w:right w:val="single" w:color="000000" w:sz="8" w:space="0"/>
            </w:tcBorders>
            <w:vAlign w:val="center"/>
          </w:tcPr>
          <w:p w14:paraId="336037A2">
            <w:pPr>
              <w:jc w:val="right"/>
              <w:rPr>
                <w:rFonts w:cs="宋体" w:asciiTheme="minorEastAsia" w:hAnsiTheme="minorEastAsia" w:eastAsiaTheme="minorEastAsia"/>
                <w:b/>
                <w:bCs/>
                <w:sz w:val="24"/>
              </w:rPr>
            </w:pPr>
          </w:p>
        </w:tc>
      </w:tr>
      <w:tr w14:paraId="51448DC4">
        <w:tblPrEx>
          <w:tblCellMar>
            <w:top w:w="45" w:type="dxa"/>
            <w:left w:w="45" w:type="dxa"/>
            <w:bottom w:w="45" w:type="dxa"/>
            <w:right w:w="45" w:type="dxa"/>
          </w:tblCellMar>
        </w:tblPrEx>
        <w:trPr>
          <w:tblCellSpacing w:w="0" w:type="dxa"/>
          <w:jc w:val="center"/>
        </w:trPr>
        <w:tc>
          <w:tcPr>
            <w:tcW w:w="10706" w:type="dxa"/>
            <w:gridSpan w:val="2"/>
            <w:tcBorders>
              <w:top w:val="nil"/>
              <w:left w:val="single" w:color="000000" w:sz="4" w:space="0"/>
              <w:bottom w:val="single" w:color="000000" w:sz="8" w:space="0"/>
              <w:right w:val="single" w:color="000000" w:sz="8" w:space="0"/>
            </w:tcBorders>
            <w:vAlign w:val="center"/>
          </w:tcPr>
          <w:p w14:paraId="69F9EAEC">
            <w:pPr>
              <w:jc w:val="left"/>
              <w:rPr>
                <w:rFonts w:asciiTheme="minorEastAsia" w:hAnsiTheme="minorEastAsia" w:eastAsiaTheme="minorEastAsia"/>
              </w:rPr>
            </w:pPr>
            <w:r>
              <w:rPr>
                <w:rFonts w:asciiTheme="minorEastAsia" w:hAnsiTheme="minorEastAsia" w:eastAsiaTheme="minorEastAsia"/>
              </w:rPr>
              <w:t xml:space="preserve">综合评分法，是指投标文件满足招标文件全部实质性要求，且按照评审因素的量化指标评审得分最高的投标人为中标候选人的评标方法。 </w:t>
            </w:r>
          </w:p>
          <w:p w14:paraId="420EF2D6">
            <w:pPr>
              <w:jc w:val="left"/>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价格分计算方法：</w:t>
            </w:r>
          </w:p>
          <w:p w14:paraId="491C89FC">
            <w:pPr>
              <w:jc w:val="left"/>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采用低价优先法计算，即满足招标文件要求且投标价格最低的投标报价为评标基准价，其价格分为满分。其他投标人的价格分统一按照下列公式计算： </w:t>
            </w:r>
            <w:r>
              <w:rPr>
                <w:rFonts w:asciiTheme="minorEastAsia" w:hAnsiTheme="minorEastAsia" w:eastAsiaTheme="minorEastAsia"/>
              </w:rPr>
              <w:br w:type="textWrapping"/>
            </w:r>
            <w:r>
              <w:rPr>
                <w:rFonts w:hint="eastAsia" w:asciiTheme="minorEastAsia" w:hAnsiTheme="minorEastAsia" w:eastAsiaTheme="minorEastAsia"/>
              </w:rPr>
              <w:t xml:space="preserve">    </w:t>
            </w:r>
            <w:r>
              <w:rPr>
                <w:rFonts w:asciiTheme="minorEastAsia" w:hAnsiTheme="minorEastAsia" w:eastAsiaTheme="minorEastAsia"/>
              </w:rPr>
              <w:t xml:space="preserve">投标报价得分=(评标基准价／投标报价)×100 </w:t>
            </w:r>
            <w:r>
              <w:rPr>
                <w:rFonts w:asciiTheme="minorEastAsia" w:hAnsiTheme="minorEastAsia" w:eastAsiaTheme="minorEastAsia"/>
              </w:rPr>
              <w:br w:type="textWrapping"/>
            </w:r>
            <w:r>
              <w:rPr>
                <w:rFonts w:hint="eastAsia" w:asciiTheme="minorEastAsia" w:hAnsiTheme="minorEastAsia" w:eastAsiaTheme="minorEastAsia"/>
              </w:rPr>
              <w:t xml:space="preserve">    </w:t>
            </w:r>
            <w:r>
              <w:rPr>
                <w:rFonts w:asciiTheme="minorEastAsia" w:hAnsiTheme="minorEastAsia" w:eastAsiaTheme="minorEastAsia"/>
              </w:rPr>
              <w:t xml:space="preserve">评标总得分＝F1×A1＋F2×A2＋……＋Fn×An </w:t>
            </w:r>
            <w:r>
              <w:rPr>
                <w:rFonts w:asciiTheme="minorEastAsia" w:hAnsiTheme="minorEastAsia" w:eastAsiaTheme="minorEastAsia"/>
              </w:rPr>
              <w:br w:type="textWrapping"/>
            </w:r>
            <w:r>
              <w:rPr>
                <w:rFonts w:hint="eastAsia" w:asciiTheme="minorEastAsia" w:hAnsiTheme="minorEastAsia" w:eastAsiaTheme="minorEastAsia"/>
              </w:rPr>
              <w:t xml:space="preserve">    </w:t>
            </w:r>
            <w:r>
              <w:rPr>
                <w:rFonts w:asciiTheme="minorEastAsia" w:hAnsiTheme="minorEastAsia" w:eastAsiaTheme="minorEastAsia"/>
              </w:rPr>
              <w:t xml:space="preserve">F1、F2……Fn分别为各项评审因素的得分； </w:t>
            </w:r>
            <w:r>
              <w:rPr>
                <w:rFonts w:asciiTheme="minorEastAsia" w:hAnsiTheme="minorEastAsia" w:eastAsiaTheme="minorEastAsia"/>
              </w:rPr>
              <w:br w:type="textWrapping"/>
            </w:r>
            <w:r>
              <w:rPr>
                <w:rFonts w:hint="eastAsia" w:asciiTheme="minorEastAsia" w:hAnsiTheme="minorEastAsia" w:eastAsiaTheme="minorEastAsia"/>
              </w:rPr>
              <w:t xml:space="preserve">    </w:t>
            </w:r>
            <w:r>
              <w:rPr>
                <w:rFonts w:asciiTheme="minorEastAsia" w:hAnsiTheme="minorEastAsia" w:eastAsiaTheme="minorEastAsia"/>
              </w:rPr>
              <w:t xml:space="preserve">A1、A2、……An 分别为各项评审因素所占的权重(A1＋A2＋……＋An＝1)。 </w:t>
            </w:r>
            <w:r>
              <w:rPr>
                <w:rFonts w:asciiTheme="minorEastAsia" w:hAnsiTheme="minorEastAsia" w:eastAsiaTheme="minorEastAsia"/>
              </w:rPr>
              <w:br w:type="textWrapping"/>
            </w:r>
            <w:r>
              <w:rPr>
                <w:rFonts w:hint="eastAsia" w:asciiTheme="minorEastAsia" w:hAnsiTheme="minorEastAsia" w:eastAsiaTheme="minorEastAsia"/>
              </w:rPr>
              <w:t xml:space="preserve">    </w:t>
            </w:r>
            <w:r>
              <w:rPr>
                <w:rFonts w:asciiTheme="minorEastAsia" w:hAnsiTheme="minorEastAsia" w:eastAsiaTheme="minorEastAsia"/>
              </w:rPr>
              <w:t xml:space="preserve">评标过程中，不得去掉报价中的最高报价和最低报价。 </w:t>
            </w:r>
            <w:r>
              <w:rPr>
                <w:rFonts w:asciiTheme="minorEastAsia" w:hAnsiTheme="minorEastAsia" w:eastAsiaTheme="minorEastAsia"/>
              </w:rPr>
              <w:br w:type="textWrapping"/>
            </w:r>
            <w:r>
              <w:rPr>
                <w:rFonts w:hint="eastAsia" w:asciiTheme="minorEastAsia" w:hAnsiTheme="minorEastAsia" w:eastAsiaTheme="minorEastAsia"/>
              </w:rPr>
              <w:t xml:space="preserve">    </w:t>
            </w:r>
            <w:r>
              <w:rPr>
                <w:rFonts w:asciiTheme="minorEastAsia" w:hAnsiTheme="minorEastAsia" w:eastAsiaTheme="minorEastAsia"/>
              </w:rPr>
              <w:t xml:space="preserve">此方法适用于货物类、服务类、工程类项目。 </w:t>
            </w:r>
          </w:p>
        </w:tc>
      </w:tr>
    </w:tbl>
    <w:p w14:paraId="3FE2AE75">
      <w:pPr>
        <w:rPr>
          <w:rFonts w:asciiTheme="minorEastAsia" w:hAnsiTheme="minorEastAsia" w:eastAsiaTheme="minorEastAsia"/>
          <w:vanish/>
        </w:rPr>
      </w:pPr>
    </w:p>
    <w:tbl>
      <w:tblPr>
        <w:tblStyle w:val="18"/>
        <w:tblW w:w="5355" w:type="pct"/>
        <w:tblInd w:w="-3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1829"/>
        <w:gridCol w:w="638"/>
        <w:gridCol w:w="886"/>
        <w:gridCol w:w="6371"/>
      </w:tblGrid>
      <w:tr w14:paraId="08D7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14"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53A11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评分项</w:t>
            </w:r>
          </w:p>
        </w:tc>
        <w:tc>
          <w:tcPr>
            <w:tcW w:w="298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6FF4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权重</w:t>
            </w:r>
          </w:p>
        </w:tc>
      </w:tr>
      <w:tr w14:paraId="51A9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14" w:type="pct"/>
            <w:gridSpan w:val="4"/>
            <w:tcBorders>
              <w:top w:val="nil"/>
              <w:left w:val="single" w:color="000000" w:sz="8" w:space="0"/>
              <w:bottom w:val="single" w:color="000000" w:sz="8" w:space="0"/>
              <w:right w:val="single" w:color="000000" w:sz="8" w:space="0"/>
            </w:tcBorders>
            <w:shd w:val="clear" w:color="auto" w:fill="auto"/>
            <w:vAlign w:val="center"/>
          </w:tcPr>
          <w:p w14:paraId="4EABA2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价格</w:t>
            </w: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5358A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DF2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14" w:type="pct"/>
            <w:gridSpan w:val="4"/>
            <w:tcBorders>
              <w:top w:val="nil"/>
              <w:left w:val="single" w:color="000000" w:sz="8" w:space="0"/>
              <w:bottom w:val="single" w:color="000000" w:sz="8" w:space="0"/>
              <w:right w:val="single" w:color="000000" w:sz="8" w:space="0"/>
            </w:tcBorders>
            <w:shd w:val="clear" w:color="auto" w:fill="auto"/>
            <w:vAlign w:val="center"/>
          </w:tcPr>
          <w:p w14:paraId="6D1226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技术服务部分</w:t>
            </w: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38F70D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322A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tcBorders>
              <w:top w:val="nil"/>
              <w:left w:val="single" w:color="000000" w:sz="8" w:space="0"/>
              <w:bottom w:val="single" w:color="000000" w:sz="8" w:space="0"/>
              <w:right w:val="single" w:color="000000" w:sz="8" w:space="0"/>
            </w:tcBorders>
            <w:shd w:val="clear" w:color="auto" w:fill="auto"/>
            <w:vAlign w:val="center"/>
          </w:tcPr>
          <w:p w14:paraId="43969C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57" w:type="pct"/>
            <w:tcBorders>
              <w:top w:val="nil"/>
              <w:left w:val="single" w:color="000000" w:sz="8" w:space="0"/>
              <w:bottom w:val="single" w:color="000000" w:sz="8" w:space="0"/>
              <w:right w:val="single" w:color="000000" w:sz="8" w:space="0"/>
            </w:tcBorders>
            <w:shd w:val="clear" w:color="auto" w:fill="auto"/>
            <w:vAlign w:val="center"/>
          </w:tcPr>
          <w:p w14:paraId="05D00F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评分因素</w:t>
            </w:r>
          </w:p>
        </w:tc>
        <w:tc>
          <w:tcPr>
            <w:tcW w:w="2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1858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权重</w:t>
            </w:r>
          </w:p>
        </w:tc>
        <w:tc>
          <w:tcPr>
            <w:tcW w:w="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6CB4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评分方式</w:t>
            </w:r>
          </w:p>
        </w:tc>
        <w:tc>
          <w:tcPr>
            <w:tcW w:w="298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2ED7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评分准则</w:t>
            </w:r>
          </w:p>
        </w:tc>
      </w:tr>
      <w:tr w14:paraId="01CD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43" w:type="pct"/>
            <w:vMerge w:val="restart"/>
            <w:tcBorders>
              <w:top w:val="nil"/>
              <w:left w:val="single" w:color="000000" w:sz="8" w:space="0"/>
              <w:right w:val="single" w:color="000000" w:sz="8" w:space="0"/>
            </w:tcBorders>
            <w:shd w:val="clear" w:color="auto" w:fill="auto"/>
            <w:vAlign w:val="center"/>
          </w:tcPr>
          <w:p w14:paraId="639A76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pct"/>
            <w:vMerge w:val="restart"/>
            <w:tcBorders>
              <w:top w:val="nil"/>
              <w:left w:val="single" w:color="000000" w:sz="8" w:space="0"/>
              <w:bottom w:val="single" w:color="000000" w:sz="8" w:space="0"/>
              <w:right w:val="single" w:color="000000" w:sz="8" w:space="0"/>
            </w:tcBorders>
            <w:shd w:val="clear" w:color="auto" w:fill="auto"/>
            <w:vAlign w:val="center"/>
          </w:tcPr>
          <w:p w14:paraId="7C932C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实施方案</w:t>
            </w:r>
          </w:p>
        </w:tc>
        <w:tc>
          <w:tcPr>
            <w:tcW w:w="299" w:type="pct"/>
            <w:vMerge w:val="restart"/>
            <w:tcBorders>
              <w:top w:val="nil"/>
              <w:left w:val="single" w:color="000000" w:sz="8" w:space="0"/>
              <w:bottom w:val="single" w:color="000000" w:sz="8" w:space="0"/>
              <w:right w:val="single" w:color="000000" w:sz="8" w:space="0"/>
            </w:tcBorders>
            <w:shd w:val="clear" w:color="auto" w:fill="auto"/>
            <w:vAlign w:val="center"/>
          </w:tcPr>
          <w:p w14:paraId="3D6733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vMerge w:val="restart"/>
            <w:tcBorders>
              <w:top w:val="nil"/>
              <w:left w:val="single" w:color="000000" w:sz="8" w:space="0"/>
              <w:bottom w:val="single" w:color="000000" w:sz="8" w:space="0"/>
              <w:right w:val="single" w:color="000000" w:sz="8" w:space="0"/>
            </w:tcBorders>
            <w:shd w:val="clear" w:color="auto" w:fill="auto"/>
            <w:vAlign w:val="center"/>
          </w:tcPr>
          <w:p w14:paraId="33B693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nil"/>
              <w:right w:val="single" w:color="000000" w:sz="8" w:space="0"/>
            </w:tcBorders>
            <w:shd w:val="clear" w:color="auto" w:fill="auto"/>
            <w:vAlign w:val="center"/>
          </w:tcPr>
          <w:p w14:paraId="5664ECC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（一）评分内容：</w:t>
            </w:r>
          </w:p>
        </w:tc>
      </w:tr>
      <w:tr w14:paraId="318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left w:val="single" w:color="000000" w:sz="8" w:space="0"/>
              <w:right w:val="single" w:color="000000" w:sz="8" w:space="0"/>
            </w:tcBorders>
            <w:shd w:val="clear" w:color="auto" w:fill="auto"/>
            <w:vAlign w:val="center"/>
          </w:tcPr>
          <w:p w14:paraId="30260142">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2B19C7D">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44B02A67">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02986800">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59BC3FF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1.对盐田区地质环境条件总体认识评价，明确重点区域重点时段。</w:t>
            </w:r>
          </w:p>
        </w:tc>
      </w:tr>
      <w:tr w14:paraId="2A20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left w:val="single" w:color="000000" w:sz="8" w:space="0"/>
              <w:right w:val="single" w:color="000000" w:sz="8" w:space="0"/>
            </w:tcBorders>
            <w:shd w:val="clear" w:color="auto" w:fill="auto"/>
            <w:vAlign w:val="center"/>
          </w:tcPr>
          <w:p w14:paraId="2259B701">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6755EE48">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5CBF18E8">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46D2058A">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6DB341C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2.制定有日常边坡监测方案；</w:t>
            </w:r>
          </w:p>
        </w:tc>
      </w:tr>
      <w:tr w14:paraId="6B24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left w:val="single" w:color="000000" w:sz="8" w:space="0"/>
              <w:right w:val="single" w:color="000000" w:sz="8" w:space="0"/>
            </w:tcBorders>
            <w:shd w:val="clear" w:color="auto" w:fill="auto"/>
            <w:vAlign w:val="center"/>
          </w:tcPr>
          <w:p w14:paraId="01BC13CD">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204579DB">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3DD37EAF">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48979D54">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3E51222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3.制定有应急监测方案。</w:t>
            </w:r>
          </w:p>
        </w:tc>
      </w:tr>
      <w:tr w14:paraId="2657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left w:val="single" w:color="000000" w:sz="8" w:space="0"/>
              <w:right w:val="single" w:color="000000" w:sz="8" w:space="0"/>
            </w:tcBorders>
            <w:shd w:val="clear" w:color="auto" w:fill="auto"/>
            <w:vAlign w:val="center"/>
          </w:tcPr>
          <w:p w14:paraId="04CE3201">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00511728">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4119D13D">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154A6BCE">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5899ED0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（二）评分依据：</w:t>
            </w:r>
          </w:p>
        </w:tc>
      </w:tr>
      <w:tr w14:paraId="08DE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43" w:type="pct"/>
            <w:vMerge w:val="continue"/>
            <w:tcBorders>
              <w:left w:val="single" w:color="000000" w:sz="8" w:space="0"/>
              <w:bottom w:val="single" w:color="000000" w:sz="8" w:space="0"/>
              <w:right w:val="single" w:color="000000" w:sz="8" w:space="0"/>
            </w:tcBorders>
            <w:shd w:val="clear" w:color="auto" w:fill="auto"/>
            <w:vAlign w:val="center"/>
          </w:tcPr>
          <w:p w14:paraId="42E8D82D">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5F5D7954">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1DD7C53B">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1B22CBF5">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02DBCA2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评标委员会根据响应情况进行打分，满足3点得6分，满足2点得4分，满足1点得2分，未满足不得分。在此基础上，专家根据各供应商的具体响应内容按照量化的评审因素指标进一步评审，评审为优的加4分，评审为良的加3分，评审为中的加2分，评审为差的得 1分。如果评审为差，专家书面说明理由，并记录在档。</w:t>
            </w:r>
          </w:p>
        </w:tc>
      </w:tr>
      <w:tr w14:paraId="1302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vMerge w:val="restart"/>
            <w:tcBorders>
              <w:top w:val="nil"/>
              <w:left w:val="single" w:color="000000" w:sz="8" w:space="0"/>
              <w:bottom w:val="single" w:color="000000" w:sz="8" w:space="0"/>
              <w:right w:val="single" w:color="000000" w:sz="8" w:space="0"/>
            </w:tcBorders>
            <w:shd w:val="clear" w:color="auto" w:fill="auto"/>
            <w:vAlign w:val="center"/>
          </w:tcPr>
          <w:p w14:paraId="2D3CB1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pct"/>
            <w:vMerge w:val="restart"/>
            <w:tcBorders>
              <w:top w:val="nil"/>
              <w:left w:val="single" w:color="000000" w:sz="8" w:space="0"/>
              <w:bottom w:val="single" w:color="000000" w:sz="8" w:space="0"/>
              <w:right w:val="single" w:color="000000" w:sz="8" w:space="0"/>
            </w:tcBorders>
            <w:shd w:val="clear" w:color="auto" w:fill="auto"/>
            <w:vAlign w:val="center"/>
          </w:tcPr>
          <w:p w14:paraId="6BD1FE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项目重点难点分析、应对措施及相关的合理化建议</w:t>
            </w:r>
          </w:p>
        </w:tc>
        <w:tc>
          <w:tcPr>
            <w:tcW w:w="299" w:type="pct"/>
            <w:vMerge w:val="restart"/>
            <w:tcBorders>
              <w:top w:val="nil"/>
              <w:left w:val="single" w:color="000000" w:sz="8" w:space="0"/>
              <w:bottom w:val="single" w:color="000000" w:sz="8" w:space="0"/>
              <w:right w:val="single" w:color="000000" w:sz="8" w:space="0"/>
            </w:tcBorders>
            <w:shd w:val="clear" w:color="auto" w:fill="auto"/>
            <w:vAlign w:val="center"/>
          </w:tcPr>
          <w:p w14:paraId="1BEAC0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vMerge w:val="restart"/>
            <w:tcBorders>
              <w:top w:val="nil"/>
              <w:left w:val="single" w:color="000000" w:sz="8" w:space="0"/>
              <w:bottom w:val="single" w:color="000000" w:sz="8" w:space="0"/>
              <w:right w:val="single" w:color="000000" w:sz="8" w:space="0"/>
            </w:tcBorders>
            <w:shd w:val="clear" w:color="auto" w:fill="auto"/>
            <w:vAlign w:val="center"/>
          </w:tcPr>
          <w:p w14:paraId="659207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nil"/>
              <w:right w:val="single" w:color="000000" w:sz="8" w:space="0"/>
            </w:tcBorders>
            <w:shd w:val="clear" w:color="auto" w:fill="auto"/>
            <w:vAlign w:val="center"/>
          </w:tcPr>
          <w:p w14:paraId="58B1034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（一）评分内容：</w:t>
            </w:r>
          </w:p>
        </w:tc>
      </w:tr>
      <w:tr w14:paraId="0C57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405BF204">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4494D478">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4397AA4B">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589A46BB">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0705518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1.针对本项目的特点分析重点难点；</w:t>
            </w:r>
          </w:p>
        </w:tc>
      </w:tr>
      <w:tr w14:paraId="6F14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7DA1811B">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251E6A47">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6BEB9F4A">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7F21C6A0">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71E09CD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2.针对本项目的特点制定有日常边坡监测技术要求和监测技术措施；</w:t>
            </w:r>
          </w:p>
        </w:tc>
      </w:tr>
      <w:tr w14:paraId="1FFD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7DC38820">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5D37670A">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27F3058D">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05A9D9FB">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0C548EC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3.制定有应急监测技术要求和应急监测技术措施。</w:t>
            </w:r>
          </w:p>
        </w:tc>
      </w:tr>
      <w:tr w14:paraId="1804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3C112465">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97B24FA">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65E840A4">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43E1856F">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4A0D86B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（二）评分依据：</w:t>
            </w:r>
          </w:p>
        </w:tc>
      </w:tr>
      <w:tr w14:paraId="3739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7"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4031959C">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315A4F16">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46DF782D">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5E4AE3F">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3E5A1AE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评标委员会根据响应情况进行打分，满足3点得6分，满足2点得4分，满足1点得2分，未满足不得分。在此基础上，专家根据各供应商的具体响应内容按照量化的评审因素指标进一步评审，评审为优的加4分，评审为良的加 3分，评审为中的加2分，评审为差的得 1</w:t>
            </w:r>
            <w:r>
              <w:rPr>
                <w:rStyle w:val="48"/>
                <w:color w:val="auto"/>
                <w:kern w:val="0"/>
                <w:lang w:val="en-US" w:eastAsia="zh-CN" w:bidi="ar"/>
              </w:rPr>
              <w:t xml:space="preserve"> 分。如果评审为差，专家书面说明理由，并记录在档。</w:t>
            </w:r>
          </w:p>
        </w:tc>
      </w:tr>
      <w:tr w14:paraId="08AB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BC20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2D34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质量（完成时间、安全、环保）保障</w:t>
            </w:r>
          </w:p>
        </w:tc>
        <w:tc>
          <w:tcPr>
            <w:tcW w:w="29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1BD3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3D6C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single" w:color="000000" w:sz="8" w:space="0"/>
              <w:left w:val="single" w:color="000000" w:sz="8" w:space="0"/>
              <w:bottom w:val="nil"/>
              <w:right w:val="single" w:color="000000" w:sz="8" w:space="0"/>
            </w:tcBorders>
            <w:shd w:val="clear" w:color="auto" w:fill="auto"/>
            <w:vAlign w:val="center"/>
          </w:tcPr>
          <w:p w14:paraId="26A2318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（一）评分内容：</w:t>
            </w:r>
          </w:p>
        </w:tc>
      </w:tr>
      <w:tr w14:paraId="4E7C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3F12559D">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653EE5F8">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74CF7B10">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05545E8">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1CE1C4B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投标人须针对本项目需求提供质量保障措施方案，包括下述内容：</w:t>
            </w:r>
          </w:p>
        </w:tc>
      </w:tr>
      <w:tr w14:paraId="0B28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6C7547B7">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3E82CF5B">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6077021F">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2806C510">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55586B8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1.完成时间保障措施；</w:t>
            </w:r>
          </w:p>
        </w:tc>
      </w:tr>
      <w:tr w14:paraId="7D8C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503BC41B">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595791C">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56818501">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2C63FA2A">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203F15B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2.项目实施安全保障措施；</w:t>
            </w:r>
          </w:p>
        </w:tc>
      </w:tr>
      <w:tr w14:paraId="66F1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0004CCEB">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B572CF6">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08C05218">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D229392">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4C85109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3.完成质量保障措施。</w:t>
            </w:r>
          </w:p>
        </w:tc>
      </w:tr>
      <w:tr w14:paraId="71A1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23F59469">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20E7CBD">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1767A7A9">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02ABEE61">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76D5362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（二）评分依据：</w:t>
            </w:r>
          </w:p>
        </w:tc>
      </w:tr>
      <w:tr w14:paraId="1472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602802DB">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41A2A446">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738DB6F7">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0DEDB8D0">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23E0223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评标委员会根据响应情况进行打分，满足3点得3分，满足2点得2分，满足1点得1分，未满足不得分。在此基础上，专家根据各供应商的具体响应内容按照量化的评审因素指标进一步评审，评审为优的加2分，评审为良的加1.5分，评审为中的加1分，评审为差的得0.5分。如果评审为差，专家书面说明理由，并记录在档。</w:t>
            </w:r>
          </w:p>
        </w:tc>
      </w:tr>
      <w:tr w14:paraId="24D3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vMerge w:val="restart"/>
            <w:tcBorders>
              <w:top w:val="nil"/>
              <w:left w:val="single" w:color="000000" w:sz="8" w:space="0"/>
              <w:bottom w:val="single" w:color="000000" w:sz="8" w:space="0"/>
              <w:right w:val="single" w:color="000000" w:sz="8" w:space="0"/>
            </w:tcBorders>
            <w:shd w:val="clear" w:color="auto" w:fill="auto"/>
            <w:vAlign w:val="center"/>
          </w:tcPr>
          <w:p w14:paraId="1E6068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7" w:type="pct"/>
            <w:vMerge w:val="restart"/>
            <w:tcBorders>
              <w:top w:val="nil"/>
              <w:left w:val="single" w:color="000000" w:sz="8" w:space="0"/>
              <w:bottom w:val="single" w:color="000000" w:sz="8" w:space="0"/>
              <w:right w:val="single" w:color="000000" w:sz="8" w:space="0"/>
            </w:tcBorders>
            <w:shd w:val="clear" w:color="auto" w:fill="auto"/>
            <w:vAlign w:val="center"/>
          </w:tcPr>
          <w:p w14:paraId="023800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违约承诺</w:t>
            </w:r>
          </w:p>
        </w:tc>
        <w:tc>
          <w:tcPr>
            <w:tcW w:w="299" w:type="pct"/>
            <w:vMerge w:val="restart"/>
            <w:tcBorders>
              <w:top w:val="nil"/>
              <w:left w:val="single" w:color="000000" w:sz="8" w:space="0"/>
              <w:bottom w:val="single" w:color="000000" w:sz="8" w:space="0"/>
              <w:right w:val="single" w:color="000000" w:sz="8" w:space="0"/>
            </w:tcBorders>
            <w:shd w:val="clear" w:color="auto" w:fill="auto"/>
            <w:vAlign w:val="center"/>
          </w:tcPr>
          <w:p w14:paraId="255402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3" w:type="pct"/>
            <w:vMerge w:val="restart"/>
            <w:tcBorders>
              <w:top w:val="nil"/>
              <w:left w:val="single" w:color="000000" w:sz="8" w:space="0"/>
              <w:bottom w:val="single" w:color="000000" w:sz="8" w:space="0"/>
              <w:right w:val="single" w:color="000000" w:sz="8" w:space="0"/>
            </w:tcBorders>
            <w:shd w:val="clear" w:color="auto" w:fill="auto"/>
            <w:vAlign w:val="center"/>
          </w:tcPr>
          <w:p w14:paraId="4FD128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nil"/>
              <w:right w:val="single" w:color="000000" w:sz="8" w:space="0"/>
            </w:tcBorders>
            <w:shd w:val="clear" w:color="auto" w:fill="auto"/>
            <w:vAlign w:val="center"/>
          </w:tcPr>
          <w:p w14:paraId="17E2E0F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（一）评分内容：</w:t>
            </w:r>
          </w:p>
        </w:tc>
      </w:tr>
      <w:tr w14:paraId="3A33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17D88779">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1F66AADA">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0A42902C">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2973ACB">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top"/>
          </w:tcPr>
          <w:p w14:paraId="5ADCD3DC">
            <w:pPr>
              <w:keepNext w:val="0"/>
              <w:keepLines w:val="0"/>
              <w:widowControl/>
              <w:suppressLineNumbers w:val="0"/>
              <w:jc w:val="left"/>
              <w:textAlignment w:val="top"/>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投标人需要提供承诺函（格式自拟），内容包括：</w:t>
            </w:r>
          </w:p>
        </w:tc>
      </w:tr>
      <w:tr w14:paraId="33BB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0D071011">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845CDAC">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6A43A3E9">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4BCCF511">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top"/>
          </w:tcPr>
          <w:p w14:paraId="163C0122">
            <w:pPr>
              <w:keepNext w:val="0"/>
              <w:keepLines w:val="0"/>
              <w:widowControl/>
              <w:suppressLineNumbers w:val="0"/>
              <w:jc w:val="left"/>
              <w:textAlignment w:val="top"/>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1.承诺中标后监测成果满足招标文件要求；</w:t>
            </w:r>
          </w:p>
        </w:tc>
      </w:tr>
      <w:tr w14:paraId="32C1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3F7AB75D">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56CBAFC2">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44A45DB3">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2936CD2F">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top"/>
          </w:tcPr>
          <w:p w14:paraId="7D2CF424">
            <w:pPr>
              <w:keepNext w:val="0"/>
              <w:keepLines w:val="0"/>
              <w:widowControl/>
              <w:suppressLineNumbers w:val="0"/>
              <w:jc w:val="left"/>
              <w:textAlignment w:val="top"/>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2.服务项目监测内容、措施合理且有针对性；</w:t>
            </w:r>
          </w:p>
        </w:tc>
      </w:tr>
      <w:tr w14:paraId="5C20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5359D8F5">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2CCDE10C">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22C0B88F">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29BDA87F">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34E2979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3.有具体的中标后未按约定要求开展工作的违约责任承诺。</w:t>
            </w:r>
          </w:p>
        </w:tc>
      </w:tr>
      <w:tr w14:paraId="73F3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792F2C8C">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52E15132">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6B77A087">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0809CDC8">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0F91246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（二）评分依据：</w:t>
            </w:r>
          </w:p>
        </w:tc>
      </w:tr>
      <w:tr w14:paraId="6FE6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15C5C083">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16E54B23">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49C3BB79">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5A984BB5">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663A45D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要求提供承诺（格式自定）作为得分依据，未提供承诺或承诺内容不满足要求不得分。</w:t>
            </w:r>
          </w:p>
        </w:tc>
      </w:tr>
      <w:tr w14:paraId="2C60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vMerge w:val="restart"/>
            <w:tcBorders>
              <w:top w:val="nil"/>
              <w:left w:val="single" w:color="000000" w:sz="8" w:space="0"/>
              <w:bottom w:val="single" w:color="000000" w:sz="8" w:space="0"/>
              <w:right w:val="single" w:color="000000" w:sz="8" w:space="0"/>
            </w:tcBorders>
            <w:shd w:val="clear" w:color="auto" w:fill="auto"/>
            <w:vAlign w:val="center"/>
          </w:tcPr>
          <w:p w14:paraId="77138E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pct"/>
            <w:vMerge w:val="restart"/>
            <w:tcBorders>
              <w:top w:val="nil"/>
              <w:left w:val="single" w:color="000000" w:sz="8" w:space="0"/>
              <w:bottom w:val="single" w:color="000000" w:sz="8" w:space="0"/>
              <w:right w:val="single" w:color="000000" w:sz="8" w:space="0"/>
            </w:tcBorders>
            <w:shd w:val="clear" w:color="auto" w:fill="auto"/>
            <w:vAlign w:val="center"/>
          </w:tcPr>
          <w:p w14:paraId="1435F7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项目拟使用的人员和设备（车辆、场地、工具、机器）情况</w:t>
            </w:r>
          </w:p>
        </w:tc>
        <w:tc>
          <w:tcPr>
            <w:tcW w:w="299" w:type="pct"/>
            <w:vMerge w:val="restart"/>
            <w:tcBorders>
              <w:top w:val="nil"/>
              <w:left w:val="single" w:color="000000" w:sz="8" w:space="0"/>
              <w:bottom w:val="single" w:color="000000" w:sz="8" w:space="0"/>
              <w:right w:val="single" w:color="000000" w:sz="8" w:space="0"/>
            </w:tcBorders>
            <w:shd w:val="clear" w:color="auto" w:fill="auto"/>
            <w:vAlign w:val="center"/>
          </w:tcPr>
          <w:p w14:paraId="152658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3" w:type="pct"/>
            <w:vMerge w:val="restart"/>
            <w:tcBorders>
              <w:top w:val="nil"/>
              <w:left w:val="single" w:color="000000" w:sz="8" w:space="0"/>
              <w:bottom w:val="single" w:color="000000" w:sz="8" w:space="0"/>
              <w:right w:val="single" w:color="000000" w:sz="8" w:space="0"/>
            </w:tcBorders>
            <w:shd w:val="clear" w:color="auto" w:fill="auto"/>
            <w:vAlign w:val="center"/>
          </w:tcPr>
          <w:p w14:paraId="1B61B6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nil"/>
              <w:right w:val="single" w:color="000000" w:sz="8" w:space="0"/>
            </w:tcBorders>
            <w:shd w:val="clear" w:color="auto" w:fill="auto"/>
            <w:vAlign w:val="center"/>
          </w:tcPr>
          <w:p w14:paraId="3164211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w:t>
            </w:r>
            <w:r>
              <w:rPr>
                <w:rStyle w:val="48"/>
                <w:color w:val="auto"/>
                <w:kern w:val="0"/>
                <w:lang w:val="en-US" w:eastAsia="zh-CN" w:bidi="ar"/>
              </w:rPr>
              <w:t>评分内容：</w:t>
            </w:r>
          </w:p>
        </w:tc>
      </w:tr>
      <w:tr w14:paraId="1CAA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4C592564">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49BE17C9">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0E2C62A0">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363A481D">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093FFC7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1.为本项目提供工作用车（自有或租赁车辆）,1台及以上粤B牌照的得1分</w:t>
            </w:r>
          </w:p>
        </w:tc>
      </w:tr>
      <w:tr w14:paraId="0FCF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2DCEF2E1">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1DBD5897">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2D369013">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56EC9919">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4F9178D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2.为本项目提供监测仪器全站仪或静力水准仪得1分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3.为本项目提供无人机拍摄设备得1分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4.为本项目提供边坡地质雷达设备得1分</w:t>
            </w:r>
          </w:p>
        </w:tc>
      </w:tr>
      <w:tr w14:paraId="7586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2588E533">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301421AA">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5E7EBD61">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1D0FD45B">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720EEC9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w:t>
            </w:r>
            <w:r>
              <w:rPr>
                <w:rStyle w:val="48"/>
                <w:color w:val="auto"/>
                <w:kern w:val="0"/>
                <w:lang w:val="en-US" w:eastAsia="zh-CN" w:bidi="ar"/>
              </w:rPr>
              <w:t>评分依据:</w:t>
            </w:r>
          </w:p>
        </w:tc>
      </w:tr>
      <w:tr w14:paraId="7FDD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4FC788AC">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5EC42EA">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207A67FA">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1C19826">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459ED99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 xml:space="preserve">1. </w:t>
            </w:r>
            <w:r>
              <w:rPr>
                <w:rStyle w:val="48"/>
                <w:color w:val="auto"/>
                <w:kern w:val="0"/>
                <w:lang w:val="en-US" w:eastAsia="zh-CN" w:bidi="ar"/>
              </w:rPr>
              <w:t>车辆要求提供购买发票或租赁合同。</w:t>
            </w:r>
          </w:p>
        </w:tc>
      </w:tr>
      <w:tr w14:paraId="07B3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1EC51115">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2E21BC2">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6D8AC3CB">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7A8F99B1">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1D3D9B0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 xml:space="preserve">2. </w:t>
            </w:r>
            <w:r>
              <w:rPr>
                <w:rStyle w:val="48"/>
                <w:color w:val="auto"/>
                <w:kern w:val="0"/>
                <w:lang w:val="en-US" w:eastAsia="zh-CN" w:bidi="ar"/>
              </w:rPr>
              <w:t>设备要求提供购买发票或租赁合同、</w:t>
            </w:r>
            <w:r>
              <w:rPr>
                <w:rStyle w:val="48"/>
                <w:rFonts w:hint="eastAsia"/>
                <w:color w:val="auto"/>
                <w:kern w:val="0"/>
                <w:lang w:val="en-US" w:eastAsia="zh-CN" w:bidi="ar"/>
              </w:rPr>
              <w:t>设备照片</w:t>
            </w:r>
            <w:r>
              <w:rPr>
                <w:rStyle w:val="48"/>
                <w:color w:val="auto"/>
                <w:kern w:val="0"/>
                <w:lang w:val="en-US" w:eastAsia="zh-CN" w:bidi="ar"/>
              </w:rPr>
              <w:t>。</w:t>
            </w:r>
          </w:p>
        </w:tc>
      </w:tr>
      <w:tr w14:paraId="7307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vMerge w:val="restart"/>
            <w:tcBorders>
              <w:top w:val="single" w:color="000000" w:sz="8" w:space="0"/>
              <w:left w:val="single" w:color="000000" w:sz="8" w:space="0"/>
              <w:bottom w:val="nil"/>
              <w:right w:val="single" w:color="000000" w:sz="8" w:space="0"/>
            </w:tcBorders>
            <w:shd w:val="clear" w:color="auto" w:fill="auto"/>
            <w:vAlign w:val="center"/>
          </w:tcPr>
          <w:p w14:paraId="2AB0B7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pct"/>
            <w:vMerge w:val="restart"/>
            <w:tcBorders>
              <w:top w:val="single" w:color="000000" w:sz="8" w:space="0"/>
              <w:left w:val="single" w:color="000000" w:sz="8" w:space="0"/>
              <w:bottom w:val="nil"/>
              <w:right w:val="single" w:color="000000" w:sz="8" w:space="0"/>
            </w:tcBorders>
            <w:shd w:val="clear" w:color="auto" w:fill="auto"/>
            <w:vAlign w:val="center"/>
          </w:tcPr>
          <w:p w14:paraId="2982B7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拟安排的项目负责人情况</w:t>
            </w:r>
          </w:p>
        </w:tc>
        <w:tc>
          <w:tcPr>
            <w:tcW w:w="299" w:type="pct"/>
            <w:vMerge w:val="restart"/>
            <w:tcBorders>
              <w:top w:val="single" w:color="000000" w:sz="8" w:space="0"/>
              <w:left w:val="single" w:color="000000" w:sz="8" w:space="0"/>
              <w:bottom w:val="nil"/>
              <w:right w:val="single" w:color="000000" w:sz="8" w:space="0"/>
            </w:tcBorders>
            <w:shd w:val="clear" w:color="auto" w:fill="auto"/>
            <w:vAlign w:val="center"/>
          </w:tcPr>
          <w:p w14:paraId="72C6E3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cs="宋体"/>
                <w:i w:val="0"/>
                <w:iCs w:val="0"/>
                <w:color w:val="000000"/>
                <w:kern w:val="0"/>
                <w:sz w:val="24"/>
                <w:szCs w:val="24"/>
                <w:u w:val="none"/>
                <w:lang w:val="en-US" w:eastAsia="zh-CN" w:bidi="ar"/>
              </w:rPr>
              <w:t>3</w:t>
            </w:r>
          </w:p>
        </w:tc>
        <w:tc>
          <w:tcPr>
            <w:tcW w:w="413" w:type="pct"/>
            <w:vMerge w:val="restart"/>
            <w:tcBorders>
              <w:top w:val="single" w:color="000000" w:sz="8" w:space="0"/>
              <w:left w:val="single" w:color="000000" w:sz="8" w:space="0"/>
              <w:bottom w:val="nil"/>
              <w:right w:val="single" w:color="000000" w:sz="8" w:space="0"/>
            </w:tcBorders>
            <w:shd w:val="clear" w:color="auto" w:fill="auto"/>
            <w:vAlign w:val="center"/>
          </w:tcPr>
          <w:p w14:paraId="00B6C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w:t>
            </w:r>
            <w:r>
              <w:rPr>
                <w:rFonts w:hint="eastAsia" w:ascii="宋体" w:hAnsi="宋体" w:eastAsia="宋体" w:cs="宋体"/>
                <w:i w:val="0"/>
                <w:iCs w:val="0"/>
                <w:color w:val="auto"/>
                <w:kern w:val="0"/>
                <w:sz w:val="24"/>
                <w:szCs w:val="24"/>
                <w:u w:val="none"/>
                <w:lang w:val="en-US" w:eastAsia="zh-CN" w:bidi="ar"/>
              </w:rPr>
              <w:t>家打分</w:t>
            </w:r>
          </w:p>
        </w:tc>
        <w:tc>
          <w:tcPr>
            <w:tcW w:w="2985" w:type="pct"/>
            <w:tcBorders>
              <w:top w:val="single" w:color="000000" w:sz="8" w:space="0"/>
              <w:left w:val="single" w:color="000000" w:sz="8" w:space="0"/>
              <w:bottom w:val="nil"/>
              <w:right w:val="single" w:color="000000" w:sz="8" w:space="0"/>
            </w:tcBorders>
            <w:shd w:val="clear" w:color="auto" w:fill="auto"/>
            <w:vAlign w:val="center"/>
          </w:tcPr>
          <w:p w14:paraId="14E750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（一）评分内容：</w:t>
            </w:r>
          </w:p>
        </w:tc>
      </w:tr>
      <w:tr w14:paraId="1675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nil"/>
              <w:right w:val="single" w:color="000000" w:sz="8" w:space="0"/>
            </w:tcBorders>
            <w:shd w:val="clear" w:color="auto" w:fill="auto"/>
            <w:vAlign w:val="center"/>
          </w:tcPr>
          <w:p w14:paraId="1CF5DFB0">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nil"/>
              <w:right w:val="single" w:color="000000" w:sz="8" w:space="0"/>
            </w:tcBorders>
            <w:shd w:val="clear" w:color="auto" w:fill="auto"/>
            <w:vAlign w:val="center"/>
          </w:tcPr>
          <w:p w14:paraId="14EBD451">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nil"/>
              <w:right w:val="single" w:color="000000" w:sz="8" w:space="0"/>
            </w:tcBorders>
            <w:shd w:val="clear" w:color="auto" w:fill="auto"/>
            <w:vAlign w:val="center"/>
          </w:tcPr>
          <w:p w14:paraId="441B9DED">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nil"/>
              <w:right w:val="single" w:color="000000" w:sz="8" w:space="0"/>
            </w:tcBorders>
            <w:shd w:val="clear" w:color="auto" w:fill="auto"/>
            <w:vAlign w:val="center"/>
          </w:tcPr>
          <w:p w14:paraId="25BE0A43">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579D6A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1.项目负责人同时具有岩土类和水工环地质类高级（或以上）职称证书得2分；</w:t>
            </w:r>
          </w:p>
        </w:tc>
      </w:tr>
      <w:tr w14:paraId="36F4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nil"/>
              <w:right w:val="single" w:color="000000" w:sz="8" w:space="0"/>
            </w:tcBorders>
            <w:shd w:val="clear" w:color="auto" w:fill="auto"/>
            <w:vAlign w:val="center"/>
          </w:tcPr>
          <w:p w14:paraId="1BD7AE1A">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nil"/>
              <w:right w:val="single" w:color="000000" w:sz="8" w:space="0"/>
            </w:tcBorders>
            <w:shd w:val="clear" w:color="auto" w:fill="auto"/>
            <w:vAlign w:val="center"/>
          </w:tcPr>
          <w:p w14:paraId="0E1DE193">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nil"/>
              <w:right w:val="single" w:color="000000" w:sz="8" w:space="0"/>
            </w:tcBorders>
            <w:shd w:val="clear" w:color="auto" w:fill="auto"/>
            <w:vAlign w:val="center"/>
          </w:tcPr>
          <w:p w14:paraId="0EF4B2B5">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nil"/>
              <w:right w:val="single" w:color="000000" w:sz="8" w:space="0"/>
            </w:tcBorders>
            <w:shd w:val="clear" w:color="auto" w:fill="auto"/>
            <w:vAlign w:val="center"/>
          </w:tcPr>
          <w:p w14:paraId="33D0D711">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42DE96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2.获得地质灾害类项目奖项的0.5分，最高得1分</w:t>
            </w:r>
          </w:p>
        </w:tc>
      </w:tr>
      <w:tr w14:paraId="77BD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nil"/>
              <w:right w:val="single" w:color="000000" w:sz="8" w:space="0"/>
            </w:tcBorders>
            <w:shd w:val="clear" w:color="auto" w:fill="auto"/>
            <w:vAlign w:val="center"/>
          </w:tcPr>
          <w:p w14:paraId="0A1B8ED3">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nil"/>
              <w:right w:val="single" w:color="000000" w:sz="8" w:space="0"/>
            </w:tcBorders>
            <w:shd w:val="clear" w:color="auto" w:fill="auto"/>
            <w:vAlign w:val="center"/>
          </w:tcPr>
          <w:p w14:paraId="0EE84710">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nil"/>
              <w:right w:val="single" w:color="000000" w:sz="8" w:space="0"/>
            </w:tcBorders>
            <w:shd w:val="clear" w:color="auto" w:fill="auto"/>
            <w:vAlign w:val="center"/>
          </w:tcPr>
          <w:p w14:paraId="476D667C">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nil"/>
              <w:right w:val="single" w:color="000000" w:sz="8" w:space="0"/>
            </w:tcBorders>
            <w:shd w:val="clear" w:color="auto" w:fill="auto"/>
            <w:vAlign w:val="center"/>
          </w:tcPr>
          <w:p w14:paraId="67DBB6B8">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0C623D6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本项最高得3分，其他不得分。</w:t>
            </w:r>
          </w:p>
        </w:tc>
      </w:tr>
      <w:tr w14:paraId="2FC4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1D99B0BC">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14024EC1">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31EC37E9">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07C18258">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6CFB2A8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评分依据：</w:t>
            </w:r>
          </w:p>
          <w:p w14:paraId="2A0AEF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 1. 提供投标单位缴纳的载有社保部门或税务部门公章的近三个月个人社保证明；如供应商为新成立单位且成立时间不足一个月的，可提供加盖公章的情况说明或者证明材料，无需提供相关人员社保，亦视为符合。 2.要求提供相关证书扫描件（原件备查）作为得分依据。评分中出现无证明资料或专家无法凭所提供资料判断是否得分的情况，一律作不得分处理。</w:t>
            </w:r>
          </w:p>
        </w:tc>
      </w:tr>
      <w:tr w14:paraId="1463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A1655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5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FEAE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拟安排的项目团队成员（项目负责人除外）情况</w:t>
            </w:r>
          </w:p>
        </w:tc>
        <w:tc>
          <w:tcPr>
            <w:tcW w:w="29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4364F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p>
        </w:tc>
        <w:tc>
          <w:tcPr>
            <w:tcW w:w="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9F0C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single" w:color="000000" w:sz="8" w:space="0"/>
              <w:left w:val="single" w:color="000000" w:sz="8" w:space="0"/>
              <w:bottom w:val="nil"/>
              <w:right w:val="single" w:color="000000" w:sz="8" w:space="0"/>
            </w:tcBorders>
            <w:shd w:val="clear" w:color="auto" w:fill="auto"/>
            <w:vAlign w:val="center"/>
          </w:tcPr>
          <w:p w14:paraId="1773D0B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w:t>
            </w:r>
            <w:r>
              <w:rPr>
                <w:rFonts w:hint="default" w:ascii="Times New Roman" w:hAnsi="Times New Roman" w:eastAsia="宋体" w:cs="Times New Roman"/>
                <w:color w:val="auto"/>
                <w:kern w:val="0"/>
                <w:sz w:val="24"/>
                <w:u w:val="none"/>
                <w:lang w:val="en-US" w:eastAsia="zh-CN" w:bidi="ar"/>
              </w:rPr>
              <w:t>评分内容：</w:t>
            </w:r>
          </w:p>
        </w:tc>
      </w:tr>
      <w:tr w14:paraId="2756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5E1034DC">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6DEC1B23">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1E76806D">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7951D7C0">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1B35245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 </w:t>
            </w:r>
            <w:r>
              <w:rPr>
                <w:rStyle w:val="48"/>
                <w:color w:val="auto"/>
                <w:kern w:val="0"/>
                <w:lang w:val="en-US" w:eastAsia="zh-CN" w:bidi="ar"/>
              </w:rPr>
              <w:t>团队成员</w:t>
            </w:r>
            <w:r>
              <w:rPr>
                <w:rFonts w:hint="default" w:ascii="Times New Roman" w:hAnsi="Times New Roman" w:eastAsia="宋体" w:cs="Times New Roman"/>
                <w:color w:val="auto"/>
                <w:kern w:val="0"/>
                <w:sz w:val="24"/>
                <w:u w:val="none"/>
                <w:lang w:val="en-US" w:eastAsia="zh-CN" w:bidi="ar"/>
              </w:rPr>
              <w:t>15</w:t>
            </w:r>
            <w:r>
              <w:rPr>
                <w:rStyle w:val="48"/>
                <w:color w:val="auto"/>
                <w:kern w:val="0"/>
                <w:lang w:val="en-US" w:eastAsia="zh-CN" w:bidi="ar"/>
              </w:rPr>
              <w:t>人以上，均要求本科及以上学历，团队成员中岩土类、水工环地质类或测绘类专业职称技术人员不得少于</w:t>
            </w:r>
            <w:r>
              <w:rPr>
                <w:rFonts w:hint="default" w:ascii="Times New Roman" w:hAnsi="Times New Roman" w:eastAsia="宋体" w:cs="Times New Roman"/>
                <w:color w:val="auto"/>
                <w:kern w:val="0"/>
                <w:sz w:val="24"/>
                <w:u w:val="none"/>
                <w:lang w:val="en-US" w:eastAsia="zh-CN" w:bidi="ar"/>
              </w:rPr>
              <w:t>50%</w:t>
            </w:r>
            <w:r>
              <w:rPr>
                <w:rStyle w:val="48"/>
                <w:color w:val="auto"/>
                <w:kern w:val="0"/>
                <w:lang w:val="en-US" w:eastAsia="zh-CN" w:bidi="ar"/>
              </w:rPr>
              <w:t>（至少</w:t>
            </w:r>
            <w:r>
              <w:rPr>
                <w:rFonts w:hint="default" w:ascii="Times New Roman" w:hAnsi="Times New Roman" w:eastAsia="宋体" w:cs="Times New Roman"/>
                <w:color w:val="auto"/>
                <w:kern w:val="0"/>
                <w:sz w:val="24"/>
                <w:u w:val="none"/>
                <w:lang w:val="en-US" w:eastAsia="zh-CN" w:bidi="ar"/>
              </w:rPr>
              <w:t>8</w:t>
            </w:r>
            <w:r>
              <w:rPr>
                <w:rStyle w:val="48"/>
                <w:color w:val="auto"/>
                <w:kern w:val="0"/>
                <w:lang w:val="en-US" w:eastAsia="zh-CN" w:bidi="ar"/>
              </w:rPr>
              <w:t>人），满足此项得</w:t>
            </w:r>
            <w:r>
              <w:rPr>
                <w:rFonts w:hint="eastAsia" w:cs="Times New Roman"/>
                <w:color w:val="auto"/>
                <w:kern w:val="0"/>
                <w:sz w:val="24"/>
                <w:u w:val="none"/>
                <w:lang w:val="en-US" w:eastAsia="zh-CN" w:bidi="ar"/>
              </w:rPr>
              <w:t>3</w:t>
            </w:r>
            <w:r>
              <w:rPr>
                <w:rStyle w:val="48"/>
                <w:color w:val="auto"/>
                <w:kern w:val="0"/>
                <w:lang w:val="en-US" w:eastAsia="zh-CN" w:bidi="ar"/>
              </w:rPr>
              <w:t>分。</w:t>
            </w:r>
            <w:r>
              <w:rPr>
                <w:rFonts w:hint="default" w:ascii="Times New Roman" w:hAnsi="Times New Roman" w:eastAsia="宋体" w:cs="Times New Roman"/>
                <w:color w:val="auto"/>
                <w:kern w:val="0"/>
                <w:sz w:val="24"/>
                <w:u w:val="none"/>
                <w:lang w:val="en-US" w:eastAsia="zh-CN" w:bidi="ar"/>
              </w:rPr>
              <w:t xml:space="preserve">  </w:t>
            </w:r>
          </w:p>
        </w:tc>
      </w:tr>
      <w:tr w14:paraId="178F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6040F4A6">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345379D">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79331A21">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26857ED">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0163A96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 </w:t>
            </w:r>
            <w:r>
              <w:rPr>
                <w:rStyle w:val="48"/>
                <w:color w:val="auto"/>
                <w:kern w:val="0"/>
                <w:lang w:val="en-US" w:eastAsia="zh-CN" w:bidi="ar"/>
              </w:rPr>
              <w:t>团队成员：具有岩土类、水工环地质或测绘类专业高级职称证书的，每人得</w:t>
            </w:r>
            <w:r>
              <w:rPr>
                <w:rFonts w:hint="default" w:ascii="Times New Roman" w:hAnsi="Times New Roman" w:eastAsia="宋体" w:cs="Times New Roman"/>
                <w:color w:val="auto"/>
                <w:kern w:val="0"/>
                <w:sz w:val="24"/>
                <w:u w:val="none"/>
                <w:lang w:val="en-US" w:eastAsia="zh-CN" w:bidi="ar"/>
              </w:rPr>
              <w:t>1</w:t>
            </w:r>
            <w:r>
              <w:rPr>
                <w:rStyle w:val="48"/>
                <w:color w:val="auto"/>
                <w:kern w:val="0"/>
                <w:lang w:val="en-US" w:eastAsia="zh-CN" w:bidi="ar"/>
              </w:rPr>
              <w:t>分，具有岩土、水工环地质或测绘专业中级职称证书的，每人得</w:t>
            </w:r>
            <w:r>
              <w:rPr>
                <w:rFonts w:hint="default" w:ascii="Times New Roman" w:hAnsi="Times New Roman" w:eastAsia="宋体" w:cs="Times New Roman"/>
                <w:color w:val="auto"/>
                <w:kern w:val="0"/>
                <w:sz w:val="24"/>
                <w:u w:val="none"/>
                <w:lang w:val="en-US" w:eastAsia="zh-CN" w:bidi="ar"/>
              </w:rPr>
              <w:t>0.5</w:t>
            </w:r>
            <w:r>
              <w:rPr>
                <w:rStyle w:val="48"/>
                <w:color w:val="auto"/>
                <w:kern w:val="0"/>
                <w:lang w:val="en-US" w:eastAsia="zh-CN" w:bidi="ar"/>
              </w:rPr>
              <w:t>分，本项最高得</w:t>
            </w:r>
            <w:r>
              <w:rPr>
                <w:rFonts w:hint="default" w:ascii="Times New Roman" w:hAnsi="Times New Roman" w:eastAsia="宋体" w:cs="Times New Roman"/>
                <w:color w:val="auto"/>
                <w:kern w:val="0"/>
                <w:sz w:val="24"/>
                <w:u w:val="none"/>
                <w:lang w:val="en-US" w:eastAsia="zh-CN" w:bidi="ar"/>
              </w:rPr>
              <w:t>6</w:t>
            </w:r>
            <w:r>
              <w:rPr>
                <w:rStyle w:val="48"/>
                <w:color w:val="auto"/>
                <w:kern w:val="0"/>
                <w:lang w:val="en-US" w:eastAsia="zh-CN" w:bidi="ar"/>
              </w:rPr>
              <w:t>分（以个人最高职称为准）。</w:t>
            </w:r>
          </w:p>
        </w:tc>
      </w:tr>
      <w:tr w14:paraId="364F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3B040465">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259CE654">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1D424F1E">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5E3F9152">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791CD61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 </w:t>
            </w:r>
            <w:r>
              <w:rPr>
                <w:rStyle w:val="48"/>
                <w:color w:val="auto"/>
                <w:kern w:val="0"/>
                <w:lang w:val="en-US" w:eastAsia="zh-CN" w:bidi="ar"/>
              </w:rPr>
              <w:t>满足以上要求后，同时还具有注册土木工程师（岩土）或者注册测绘师，每人得</w:t>
            </w:r>
            <w:r>
              <w:rPr>
                <w:rFonts w:hint="default" w:ascii="Times New Roman" w:hAnsi="Times New Roman" w:eastAsia="宋体" w:cs="Times New Roman"/>
                <w:color w:val="auto"/>
                <w:kern w:val="0"/>
                <w:sz w:val="24"/>
                <w:u w:val="none"/>
                <w:lang w:val="en-US" w:eastAsia="zh-CN" w:bidi="ar"/>
              </w:rPr>
              <w:t>1</w:t>
            </w:r>
            <w:r>
              <w:rPr>
                <w:rStyle w:val="48"/>
                <w:color w:val="auto"/>
                <w:kern w:val="0"/>
                <w:lang w:val="en-US" w:eastAsia="zh-CN" w:bidi="ar"/>
              </w:rPr>
              <w:t>分，最高得</w:t>
            </w:r>
            <w:r>
              <w:rPr>
                <w:rFonts w:hint="eastAsia" w:cs="Times New Roman"/>
                <w:color w:val="auto"/>
                <w:kern w:val="0"/>
                <w:sz w:val="24"/>
                <w:u w:val="none"/>
                <w:lang w:val="en-US" w:eastAsia="zh-CN" w:bidi="ar"/>
              </w:rPr>
              <w:t>3</w:t>
            </w:r>
            <w:r>
              <w:rPr>
                <w:rStyle w:val="48"/>
                <w:color w:val="auto"/>
                <w:kern w:val="0"/>
                <w:lang w:val="en-US" w:eastAsia="zh-CN" w:bidi="ar"/>
              </w:rPr>
              <w:t>分</w:t>
            </w:r>
          </w:p>
        </w:tc>
      </w:tr>
      <w:tr w14:paraId="05D5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5BADB7F5">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47BFDCA4">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7CCD3618">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20E7757C">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28E796D1">
            <w:pPr>
              <w:keepNext w:val="0"/>
              <w:keepLines w:val="0"/>
              <w:widowControl/>
              <w:numPr>
                <w:ilvl w:val="0"/>
                <w:numId w:val="0"/>
              </w:numPr>
              <w:suppressLineNumbers w:val="0"/>
              <w:jc w:val="left"/>
              <w:textAlignment w:val="center"/>
              <w:rPr>
                <w:rStyle w:val="48"/>
                <w:rFonts w:hint="default"/>
                <w:color w:val="auto"/>
                <w:kern w:val="0"/>
                <w:lang w:val="en-US" w:eastAsia="zh-CN" w:bidi="ar"/>
              </w:rPr>
            </w:pPr>
            <w:r>
              <w:rPr>
                <w:rStyle w:val="48"/>
                <w:rFonts w:hint="eastAsia"/>
                <w:color w:val="auto"/>
                <w:kern w:val="0"/>
                <w:lang w:val="en-US" w:eastAsia="zh-CN" w:bidi="ar"/>
              </w:rPr>
              <w:t>4.</w:t>
            </w:r>
            <w:r>
              <w:rPr>
                <w:rStyle w:val="48"/>
                <w:color w:val="auto"/>
                <w:kern w:val="0"/>
                <w:lang w:val="en-US" w:eastAsia="zh-CN" w:bidi="ar"/>
              </w:rPr>
              <w:t>团队成员每获得一项地质灾害类项目奖项，</w:t>
            </w:r>
            <w:r>
              <w:rPr>
                <w:rStyle w:val="48"/>
                <w:rFonts w:hint="eastAsia"/>
                <w:color w:val="auto"/>
                <w:kern w:val="0"/>
                <w:lang w:val="en-US" w:eastAsia="zh-CN" w:bidi="ar"/>
              </w:rPr>
              <w:t>得</w:t>
            </w:r>
            <w:r>
              <w:rPr>
                <w:rStyle w:val="48"/>
                <w:color w:val="auto"/>
                <w:kern w:val="0"/>
                <w:lang w:val="en-US" w:eastAsia="zh-CN" w:bidi="ar"/>
              </w:rPr>
              <w:t>0.5分，每人可按所获奖项数量累计计分，但本项总分最高不超过3分</w:t>
            </w:r>
          </w:p>
        </w:tc>
      </w:tr>
      <w:tr w14:paraId="105D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5C15A942">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5F69DD22">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39EAF303">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2E6B0950">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6C58825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w:t>
            </w:r>
            <w:r>
              <w:rPr>
                <w:rStyle w:val="48"/>
                <w:color w:val="auto"/>
                <w:kern w:val="0"/>
                <w:lang w:val="en-US" w:eastAsia="zh-CN" w:bidi="ar"/>
              </w:rPr>
              <w:t>评分依据</w:t>
            </w:r>
          </w:p>
        </w:tc>
      </w:tr>
      <w:tr w14:paraId="69F7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3FC8D8CB">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E012240">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1B9DC2D6">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4A6CF2A4">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7D491614">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rPr>
            </w:pPr>
            <w:r>
              <w:rPr>
                <w:rFonts w:hint="default" w:ascii="Times New Roman" w:hAnsi="Times New Roman" w:eastAsia="宋体" w:cs="Times New Roman"/>
                <w:color w:val="auto"/>
                <w:kern w:val="0"/>
                <w:sz w:val="24"/>
                <w:u w:val="none"/>
                <w:lang w:val="en-US" w:eastAsia="zh-CN" w:bidi="ar"/>
              </w:rPr>
              <w:t>提供投标单位缴纳的载有社保部门或税务部门公章的近三个月个人社保证明；如供应商为新成立单位且成立时间不足一个月的，可提供加盖公章的情况说明或者证明材料，无需提供相关人员社保，亦视为符合。 2.要求提供相关证书扫描件（原件备查）作为得分依据。评分中出现无证明资料或专家无法凭所提供资料判断是否得分的情况，一律作不得分处理。</w:t>
            </w:r>
          </w:p>
        </w:tc>
      </w:tr>
      <w:tr w14:paraId="7E78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14" w:type="pct"/>
            <w:gridSpan w:val="4"/>
            <w:tcBorders>
              <w:top w:val="nil"/>
              <w:left w:val="single" w:color="000000" w:sz="8" w:space="0"/>
              <w:bottom w:val="single" w:color="000000" w:sz="8" w:space="0"/>
              <w:right w:val="single" w:color="000000" w:sz="8" w:space="0"/>
            </w:tcBorders>
            <w:shd w:val="clear" w:color="auto" w:fill="auto"/>
            <w:vAlign w:val="center"/>
          </w:tcPr>
          <w:p w14:paraId="45CF27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服务部分</w:t>
            </w: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1F6C947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14:paraId="0B8D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43" w:type="pct"/>
            <w:tcBorders>
              <w:top w:val="nil"/>
              <w:left w:val="single" w:color="000000" w:sz="8" w:space="0"/>
              <w:bottom w:val="single" w:color="000000" w:sz="8" w:space="0"/>
              <w:right w:val="single" w:color="000000" w:sz="8" w:space="0"/>
            </w:tcBorders>
            <w:shd w:val="clear" w:color="auto" w:fill="auto"/>
            <w:vAlign w:val="center"/>
          </w:tcPr>
          <w:p w14:paraId="54CC5A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57" w:type="pct"/>
            <w:tcBorders>
              <w:top w:val="nil"/>
              <w:left w:val="single" w:color="000000" w:sz="8" w:space="0"/>
              <w:bottom w:val="single" w:color="000000" w:sz="8" w:space="0"/>
              <w:right w:val="single" w:color="000000" w:sz="8" w:space="0"/>
            </w:tcBorders>
            <w:shd w:val="clear" w:color="auto" w:fill="auto"/>
            <w:vAlign w:val="center"/>
          </w:tcPr>
          <w:p w14:paraId="01ACAC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评分因素</w:t>
            </w:r>
          </w:p>
        </w:tc>
        <w:tc>
          <w:tcPr>
            <w:tcW w:w="2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3172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权重</w:t>
            </w:r>
          </w:p>
        </w:tc>
        <w:tc>
          <w:tcPr>
            <w:tcW w:w="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A2D9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评分方式</w:t>
            </w:r>
          </w:p>
        </w:tc>
        <w:tc>
          <w:tcPr>
            <w:tcW w:w="298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C51A5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评分准则</w:t>
            </w:r>
          </w:p>
        </w:tc>
      </w:tr>
      <w:tr w14:paraId="3ED8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43" w:type="pct"/>
            <w:tcBorders>
              <w:top w:val="nil"/>
              <w:left w:val="single" w:color="000000" w:sz="8" w:space="0"/>
              <w:bottom w:val="single" w:color="000000" w:sz="8" w:space="0"/>
              <w:right w:val="single" w:color="000000" w:sz="8" w:space="0"/>
            </w:tcBorders>
            <w:shd w:val="clear" w:color="auto" w:fill="auto"/>
            <w:vAlign w:val="center"/>
          </w:tcPr>
          <w:p w14:paraId="1EC583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pct"/>
            <w:tcBorders>
              <w:top w:val="nil"/>
              <w:left w:val="single" w:color="000000" w:sz="8" w:space="0"/>
              <w:bottom w:val="single" w:color="000000" w:sz="8" w:space="0"/>
              <w:right w:val="single" w:color="000000" w:sz="8" w:space="0"/>
            </w:tcBorders>
            <w:shd w:val="clear" w:color="auto" w:fill="auto"/>
            <w:vAlign w:val="center"/>
          </w:tcPr>
          <w:p w14:paraId="69934E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服务网点（场地）</w:t>
            </w:r>
          </w:p>
        </w:tc>
        <w:tc>
          <w:tcPr>
            <w:tcW w:w="299" w:type="pct"/>
            <w:tcBorders>
              <w:top w:val="nil"/>
              <w:left w:val="single" w:color="000000" w:sz="8" w:space="0"/>
              <w:bottom w:val="single" w:color="000000" w:sz="8" w:space="0"/>
              <w:right w:val="single" w:color="000000" w:sz="8" w:space="0"/>
            </w:tcBorders>
            <w:shd w:val="clear" w:color="auto" w:fill="auto"/>
            <w:vAlign w:val="center"/>
          </w:tcPr>
          <w:p w14:paraId="09BDA1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3" w:type="pct"/>
            <w:tcBorders>
              <w:top w:val="nil"/>
              <w:left w:val="single" w:color="000000" w:sz="8" w:space="0"/>
              <w:bottom w:val="single" w:color="000000" w:sz="8" w:space="0"/>
              <w:right w:val="single" w:color="000000" w:sz="8" w:space="0"/>
            </w:tcBorders>
            <w:shd w:val="clear" w:color="auto" w:fill="auto"/>
            <w:vAlign w:val="center"/>
          </w:tcPr>
          <w:p w14:paraId="17EEB6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62F4A58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（一）评价内容：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1.投标人在深圳具有（自有或租赁）办公场所得3分。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2.投标人在深圳没有办公场所，承诺中标后在深圳成立服务网点的得1分。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（二）评分依据：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须提供办公场所证明或承诺函。</w:t>
            </w:r>
          </w:p>
        </w:tc>
      </w:tr>
      <w:tr w14:paraId="568F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vMerge w:val="restart"/>
            <w:tcBorders>
              <w:top w:val="nil"/>
              <w:left w:val="single" w:color="000000" w:sz="8" w:space="0"/>
              <w:bottom w:val="single" w:color="000000" w:sz="8" w:space="0"/>
              <w:right w:val="single" w:color="000000" w:sz="8" w:space="0"/>
            </w:tcBorders>
            <w:shd w:val="clear" w:color="auto" w:fill="auto"/>
            <w:vAlign w:val="center"/>
          </w:tcPr>
          <w:p w14:paraId="5F5DFA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pct"/>
            <w:vMerge w:val="restart"/>
            <w:tcBorders>
              <w:top w:val="nil"/>
              <w:left w:val="single" w:color="000000" w:sz="8" w:space="0"/>
              <w:bottom w:val="single" w:color="000000" w:sz="8" w:space="0"/>
              <w:right w:val="single" w:color="000000" w:sz="8" w:space="0"/>
            </w:tcBorders>
            <w:shd w:val="clear" w:color="auto" w:fill="auto"/>
            <w:vAlign w:val="center"/>
          </w:tcPr>
          <w:p w14:paraId="157B72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项目完成后的服务承诺</w:t>
            </w:r>
          </w:p>
        </w:tc>
        <w:tc>
          <w:tcPr>
            <w:tcW w:w="299" w:type="pct"/>
            <w:vMerge w:val="restart"/>
            <w:tcBorders>
              <w:top w:val="nil"/>
              <w:left w:val="single" w:color="000000" w:sz="8" w:space="0"/>
              <w:bottom w:val="single" w:color="000000" w:sz="8" w:space="0"/>
              <w:right w:val="single" w:color="000000" w:sz="8" w:space="0"/>
            </w:tcBorders>
            <w:shd w:val="clear" w:color="auto" w:fill="auto"/>
            <w:vAlign w:val="center"/>
          </w:tcPr>
          <w:p w14:paraId="1B6F90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3" w:type="pct"/>
            <w:vMerge w:val="restart"/>
            <w:tcBorders>
              <w:top w:val="nil"/>
              <w:left w:val="single" w:color="000000" w:sz="8" w:space="0"/>
              <w:bottom w:val="single" w:color="000000" w:sz="8" w:space="0"/>
              <w:right w:val="single" w:color="000000" w:sz="8" w:space="0"/>
            </w:tcBorders>
            <w:shd w:val="clear" w:color="auto" w:fill="auto"/>
            <w:vAlign w:val="center"/>
          </w:tcPr>
          <w:p w14:paraId="2D2ACF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nil"/>
              <w:right w:val="single" w:color="000000" w:sz="8" w:space="0"/>
            </w:tcBorders>
            <w:shd w:val="clear" w:color="auto" w:fill="auto"/>
            <w:vAlign w:val="center"/>
          </w:tcPr>
          <w:p w14:paraId="7C4E13E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（一）评价内容：</w:t>
            </w:r>
          </w:p>
        </w:tc>
      </w:tr>
      <w:tr w14:paraId="64EC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0A8115F2">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37A764E2">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094D89A8">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1C73C879">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top"/>
          </w:tcPr>
          <w:p w14:paraId="517579B0">
            <w:pPr>
              <w:keepNext w:val="0"/>
              <w:keepLines w:val="0"/>
              <w:widowControl/>
              <w:suppressLineNumbers w:val="0"/>
              <w:jc w:val="left"/>
              <w:textAlignment w:val="top"/>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投标人需要提供承诺函（格式自拟），内容包括：</w:t>
            </w:r>
          </w:p>
        </w:tc>
      </w:tr>
      <w:tr w14:paraId="43DA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38D04FC0">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698F31B0">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429A8B72">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3B5E7263">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28B2C4F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1.提供项目完成后服务负责人信息与联系方式；</w:t>
            </w:r>
          </w:p>
        </w:tc>
      </w:tr>
      <w:tr w14:paraId="35A0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6DC1B495">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46DEB158">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2E1E9EF8">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9EA9117">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top"/>
          </w:tcPr>
          <w:p w14:paraId="2D5F01B1">
            <w:pPr>
              <w:keepNext w:val="0"/>
              <w:keepLines w:val="0"/>
              <w:widowControl/>
              <w:suppressLineNumbers w:val="0"/>
              <w:jc w:val="left"/>
              <w:textAlignment w:val="top"/>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2.当招标方提出疑问时，中标方应在24小时内进行电话沟通并形成纸质答复；</w:t>
            </w:r>
          </w:p>
        </w:tc>
      </w:tr>
      <w:tr w14:paraId="680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1E9A59FA">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0EBA327A">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1193171F">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4CC47E5D">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4831358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3.未经招标方同意，中标方不得随意修改已经验收的成果文件。</w:t>
            </w:r>
          </w:p>
        </w:tc>
      </w:tr>
      <w:tr w14:paraId="77A7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4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A60514">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32EEB4">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6BA246">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A2EDE9">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2E648FB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（二）评审标准：要求提供承诺（格式自定）作为得分依据，未提供承诺或承诺内容不满足要求不得分。</w:t>
            </w:r>
          </w:p>
        </w:tc>
      </w:tr>
      <w:tr w14:paraId="728C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14" w:type="pct"/>
            <w:gridSpan w:val="4"/>
            <w:tcBorders>
              <w:top w:val="nil"/>
              <w:left w:val="single" w:color="000000" w:sz="8" w:space="0"/>
              <w:bottom w:val="single" w:color="000000" w:sz="8" w:space="0"/>
              <w:right w:val="single" w:color="000000" w:sz="8" w:space="0"/>
            </w:tcBorders>
            <w:shd w:val="clear" w:color="auto" w:fill="auto"/>
            <w:vAlign w:val="center"/>
          </w:tcPr>
          <w:p w14:paraId="423AB5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综合实力部分</w:t>
            </w: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273B3F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18</w:t>
            </w:r>
          </w:p>
        </w:tc>
      </w:tr>
      <w:tr w14:paraId="1E5A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tcBorders>
              <w:top w:val="nil"/>
              <w:left w:val="single" w:color="000000" w:sz="8" w:space="0"/>
              <w:bottom w:val="single" w:color="000000" w:sz="8" w:space="0"/>
              <w:right w:val="single" w:color="000000" w:sz="8" w:space="0"/>
            </w:tcBorders>
            <w:shd w:val="clear" w:color="auto" w:fill="auto"/>
            <w:vAlign w:val="center"/>
          </w:tcPr>
          <w:p w14:paraId="566D6B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57" w:type="pct"/>
            <w:tcBorders>
              <w:top w:val="nil"/>
              <w:left w:val="single" w:color="000000" w:sz="8" w:space="0"/>
              <w:bottom w:val="single" w:color="000000" w:sz="8" w:space="0"/>
              <w:right w:val="single" w:color="000000" w:sz="8" w:space="0"/>
            </w:tcBorders>
            <w:shd w:val="clear" w:color="auto" w:fill="auto"/>
            <w:vAlign w:val="center"/>
          </w:tcPr>
          <w:p w14:paraId="4F228F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评分因素</w:t>
            </w:r>
          </w:p>
        </w:tc>
        <w:tc>
          <w:tcPr>
            <w:tcW w:w="2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11FC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权重</w:t>
            </w:r>
          </w:p>
        </w:tc>
        <w:tc>
          <w:tcPr>
            <w:tcW w:w="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FE0C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评分方式</w:t>
            </w:r>
          </w:p>
        </w:tc>
        <w:tc>
          <w:tcPr>
            <w:tcW w:w="298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01BDF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评分准则</w:t>
            </w:r>
          </w:p>
        </w:tc>
      </w:tr>
      <w:tr w14:paraId="3167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4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792D9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95DE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投标人资格情况及通过相关认证情况</w:t>
            </w:r>
          </w:p>
        </w:tc>
        <w:tc>
          <w:tcPr>
            <w:tcW w:w="29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EA3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9076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single" w:color="000000" w:sz="8" w:space="0"/>
              <w:left w:val="single" w:color="000000" w:sz="8" w:space="0"/>
              <w:bottom w:val="nil"/>
              <w:right w:val="single" w:color="000000" w:sz="8" w:space="0"/>
            </w:tcBorders>
            <w:shd w:val="clear" w:color="auto" w:fill="auto"/>
            <w:vAlign w:val="center"/>
          </w:tcPr>
          <w:p w14:paraId="4DCC987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w:t>
            </w:r>
            <w:r>
              <w:rPr>
                <w:rStyle w:val="48"/>
                <w:color w:val="auto"/>
                <w:kern w:val="0"/>
                <w:lang w:val="en-US" w:eastAsia="zh-CN" w:bidi="ar"/>
              </w:rPr>
              <w:t>评分内容：投标人具有有效期内的以下证书：</w:t>
            </w:r>
          </w:p>
        </w:tc>
      </w:tr>
      <w:tr w14:paraId="7B1B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505F15B9">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582B1AC">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5237AE77">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32AAEA0">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31D2F03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1.同时具有ISO9001质量管理体系认证证书、ISO45001职业健康安全管理体系认证证书、ISO14001环境管理体系认证证书的得1分。</w:t>
            </w:r>
          </w:p>
        </w:tc>
      </w:tr>
      <w:tr w14:paraId="4F01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61898A43">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2F0E5B19">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33EA0EE3">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08A8A8AA">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010728F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2.具有信息安全管理体系认证证书，得1分。</w:t>
            </w:r>
          </w:p>
        </w:tc>
      </w:tr>
      <w:tr w14:paraId="4940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203E42CD">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12802D62">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0F044455">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0B7D9FD">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2C8A7E7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3.具有信息技术服务管理体系认证证书，得1分。</w:t>
            </w:r>
          </w:p>
        </w:tc>
      </w:tr>
      <w:tr w14:paraId="21EC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165AB1DE">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3783BD7A">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50744B77">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45EB0FC1">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3776C3D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4.具有售后服务认证证书，得1分。</w:t>
            </w:r>
          </w:p>
        </w:tc>
      </w:tr>
      <w:tr w14:paraId="4867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220839AF">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515DE002">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485C230F">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771541EC">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657E4F3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5.具有CMMI5认证证书，得1分。</w:t>
            </w:r>
          </w:p>
        </w:tc>
      </w:tr>
      <w:tr w14:paraId="2F3E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1144777B">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508BD41E">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3D365B44">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375AD347">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4B5EA08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（二）评分依据： 投标人提供以上有效的认证证书扫描件、体系证书需要提供官网截图（</w:t>
            </w:r>
            <w:r>
              <w:rPr>
                <w:rStyle w:val="48"/>
                <w:color w:val="auto"/>
                <w:kern w:val="0"/>
                <w:lang w:val="en-US" w:eastAsia="zh-CN" w:bidi="ar"/>
              </w:rPr>
              <w:t>全国认证认可信息公共服务平台查询截图），以上资料均要求加盖投标人公章。评分中出现无证明资料或专家无法凭所提供资料判断是否得分的情况，一律作不得分处理。</w:t>
            </w:r>
          </w:p>
        </w:tc>
      </w:tr>
      <w:tr w14:paraId="0878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vMerge w:val="restart"/>
            <w:tcBorders>
              <w:top w:val="nil"/>
              <w:left w:val="single" w:color="000000" w:sz="8" w:space="0"/>
              <w:bottom w:val="single" w:color="000000" w:sz="8" w:space="0"/>
              <w:right w:val="single" w:color="000000" w:sz="8" w:space="0"/>
            </w:tcBorders>
            <w:shd w:val="clear" w:color="auto" w:fill="auto"/>
            <w:vAlign w:val="center"/>
          </w:tcPr>
          <w:p w14:paraId="04BA88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pct"/>
            <w:vMerge w:val="restart"/>
            <w:tcBorders>
              <w:top w:val="nil"/>
              <w:left w:val="single" w:color="000000" w:sz="8" w:space="0"/>
              <w:bottom w:val="single" w:color="000000" w:sz="8" w:space="0"/>
              <w:right w:val="single" w:color="000000" w:sz="8" w:space="0"/>
            </w:tcBorders>
            <w:shd w:val="clear" w:color="auto" w:fill="auto"/>
            <w:vAlign w:val="center"/>
          </w:tcPr>
          <w:p w14:paraId="456EE6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投标人获奖（荣誉）情况</w:t>
            </w:r>
          </w:p>
        </w:tc>
        <w:tc>
          <w:tcPr>
            <w:tcW w:w="299" w:type="pct"/>
            <w:vMerge w:val="restart"/>
            <w:tcBorders>
              <w:top w:val="nil"/>
              <w:left w:val="single" w:color="000000" w:sz="8" w:space="0"/>
              <w:bottom w:val="single" w:color="000000" w:sz="8" w:space="0"/>
              <w:right w:val="single" w:color="000000" w:sz="8" w:space="0"/>
            </w:tcBorders>
            <w:shd w:val="clear" w:color="auto" w:fill="auto"/>
            <w:vAlign w:val="center"/>
          </w:tcPr>
          <w:p w14:paraId="6333B1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cs="宋体"/>
                <w:i w:val="0"/>
                <w:iCs w:val="0"/>
                <w:color w:val="000000"/>
                <w:kern w:val="0"/>
                <w:sz w:val="24"/>
                <w:szCs w:val="24"/>
                <w:u w:val="none"/>
                <w:lang w:val="en-US" w:eastAsia="zh-CN" w:bidi="ar"/>
              </w:rPr>
              <w:t>4</w:t>
            </w:r>
          </w:p>
        </w:tc>
        <w:tc>
          <w:tcPr>
            <w:tcW w:w="413" w:type="pct"/>
            <w:vMerge w:val="restart"/>
            <w:tcBorders>
              <w:top w:val="nil"/>
              <w:left w:val="single" w:color="000000" w:sz="8" w:space="0"/>
              <w:bottom w:val="single" w:color="000000" w:sz="8" w:space="0"/>
              <w:right w:val="single" w:color="000000" w:sz="8" w:space="0"/>
            </w:tcBorders>
            <w:shd w:val="clear" w:color="auto" w:fill="auto"/>
            <w:vAlign w:val="center"/>
          </w:tcPr>
          <w:p w14:paraId="7F08FB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nil"/>
              <w:right w:val="single" w:color="000000" w:sz="8" w:space="0"/>
            </w:tcBorders>
            <w:shd w:val="clear" w:color="auto" w:fill="auto"/>
            <w:vAlign w:val="center"/>
          </w:tcPr>
          <w:p w14:paraId="754E90A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（一）评分内容：</w:t>
            </w:r>
          </w:p>
        </w:tc>
      </w:tr>
      <w:tr w14:paraId="58E1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2192CBF2">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09661FD1">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77645EE1">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094FAC69">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5B6A943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1.投标人</w:t>
            </w:r>
            <w:r>
              <w:rPr>
                <w:rFonts w:hint="default" w:ascii="Times New Roman" w:hAnsi="Times New Roman" w:eastAsia="宋体" w:cs="Times New Roman"/>
                <w:color w:val="auto"/>
                <w:kern w:val="0"/>
                <w:sz w:val="24"/>
                <w:u w:val="none"/>
                <w:lang w:val="en-US" w:eastAsia="zh-CN" w:bidi="ar"/>
              </w:rPr>
              <w:t>2021</w:t>
            </w:r>
            <w:r>
              <w:rPr>
                <w:rStyle w:val="48"/>
                <w:color w:val="auto"/>
                <w:kern w:val="0"/>
                <w:lang w:val="en-US" w:eastAsia="zh-CN" w:bidi="ar"/>
              </w:rPr>
              <w:t>年至今获得过地质灾害监测类奖项，每有</w:t>
            </w:r>
            <w:r>
              <w:rPr>
                <w:rFonts w:hint="default" w:ascii="Times New Roman" w:hAnsi="Times New Roman" w:eastAsia="宋体" w:cs="Times New Roman"/>
                <w:color w:val="auto"/>
                <w:kern w:val="0"/>
                <w:sz w:val="24"/>
                <w:u w:val="none"/>
                <w:lang w:val="en-US" w:eastAsia="zh-CN" w:bidi="ar"/>
              </w:rPr>
              <w:t>1</w:t>
            </w:r>
            <w:r>
              <w:rPr>
                <w:rStyle w:val="48"/>
                <w:color w:val="auto"/>
                <w:kern w:val="0"/>
                <w:lang w:val="en-US" w:eastAsia="zh-CN" w:bidi="ar"/>
              </w:rPr>
              <w:t>个得</w:t>
            </w:r>
            <w:r>
              <w:rPr>
                <w:rFonts w:hint="default" w:ascii="Times New Roman" w:hAnsi="Times New Roman" w:eastAsia="宋体" w:cs="Times New Roman"/>
                <w:color w:val="auto"/>
                <w:kern w:val="0"/>
                <w:sz w:val="24"/>
                <w:u w:val="none"/>
                <w:lang w:val="en-US" w:eastAsia="zh-CN" w:bidi="ar"/>
              </w:rPr>
              <w:t>1</w:t>
            </w:r>
            <w:r>
              <w:rPr>
                <w:rStyle w:val="48"/>
                <w:color w:val="auto"/>
                <w:kern w:val="0"/>
                <w:lang w:val="en-US" w:eastAsia="zh-CN" w:bidi="ar"/>
              </w:rPr>
              <w:t>分，最高得</w:t>
            </w:r>
            <w:r>
              <w:rPr>
                <w:rFonts w:hint="eastAsia" w:cs="Times New Roman"/>
                <w:color w:val="auto"/>
                <w:kern w:val="0"/>
                <w:sz w:val="24"/>
                <w:u w:val="none"/>
                <w:lang w:val="en-US" w:eastAsia="zh-CN" w:bidi="ar"/>
              </w:rPr>
              <w:t>4</w:t>
            </w:r>
            <w:r>
              <w:rPr>
                <w:rStyle w:val="48"/>
                <w:color w:val="auto"/>
                <w:kern w:val="0"/>
                <w:lang w:val="en-US" w:eastAsia="zh-CN" w:bidi="ar"/>
              </w:rPr>
              <w:t>分</w:t>
            </w:r>
          </w:p>
        </w:tc>
      </w:tr>
      <w:tr w14:paraId="555F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41C2E3EE">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23782AB1">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78FB9B3C">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CCE8294">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1A99D2B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（二）评分依据：</w:t>
            </w:r>
          </w:p>
        </w:tc>
      </w:tr>
      <w:tr w14:paraId="434B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78B086FD">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48D3125C">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03C4D2CA">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7286F05">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35485ED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1.要求提供奖项照片或获奖（荣誉）证书等证明材料作为得分依据。</w:t>
            </w:r>
          </w:p>
        </w:tc>
      </w:tr>
      <w:tr w14:paraId="3CDB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238A8F7F">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13582B7E">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38902685">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4175507A">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794BBF8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2.以上资料均要求提供扫描件，原件备查。</w:t>
            </w:r>
          </w:p>
        </w:tc>
      </w:tr>
      <w:tr w14:paraId="35F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443" w:type="pct"/>
            <w:vMerge w:val="restart"/>
            <w:tcBorders>
              <w:top w:val="nil"/>
              <w:left w:val="single" w:color="000000" w:sz="8" w:space="0"/>
              <w:bottom w:val="single" w:color="000000" w:sz="8" w:space="0"/>
              <w:right w:val="single" w:color="000000" w:sz="8" w:space="0"/>
            </w:tcBorders>
            <w:shd w:val="clear" w:color="auto" w:fill="auto"/>
            <w:vAlign w:val="center"/>
          </w:tcPr>
          <w:p w14:paraId="581900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7" w:type="pct"/>
            <w:vMerge w:val="restart"/>
            <w:tcBorders>
              <w:top w:val="nil"/>
              <w:left w:val="single" w:color="000000" w:sz="8" w:space="0"/>
              <w:bottom w:val="single" w:color="000000" w:sz="8" w:space="0"/>
              <w:right w:val="single" w:color="000000" w:sz="8" w:space="0"/>
            </w:tcBorders>
            <w:shd w:val="clear" w:color="auto" w:fill="auto"/>
            <w:vAlign w:val="center"/>
          </w:tcPr>
          <w:p w14:paraId="5EF8A7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投标人自主知识产权产品（创新、设计）情况</w:t>
            </w:r>
          </w:p>
        </w:tc>
        <w:tc>
          <w:tcPr>
            <w:tcW w:w="299" w:type="pct"/>
            <w:vMerge w:val="restart"/>
            <w:tcBorders>
              <w:top w:val="nil"/>
              <w:left w:val="single" w:color="000000" w:sz="8" w:space="0"/>
              <w:bottom w:val="single" w:color="000000" w:sz="8" w:space="0"/>
              <w:right w:val="single" w:color="000000" w:sz="8" w:space="0"/>
            </w:tcBorders>
            <w:shd w:val="clear" w:color="auto" w:fill="auto"/>
            <w:vAlign w:val="center"/>
          </w:tcPr>
          <w:p w14:paraId="264EEA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3" w:type="pct"/>
            <w:vMerge w:val="restart"/>
            <w:tcBorders>
              <w:top w:val="nil"/>
              <w:left w:val="single" w:color="000000" w:sz="8" w:space="0"/>
              <w:bottom w:val="single" w:color="000000" w:sz="8" w:space="0"/>
              <w:right w:val="single" w:color="000000" w:sz="8" w:space="0"/>
            </w:tcBorders>
            <w:shd w:val="clear" w:color="auto" w:fill="auto"/>
            <w:vAlign w:val="center"/>
          </w:tcPr>
          <w:p w14:paraId="104360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nil"/>
              <w:right w:val="single" w:color="000000" w:sz="8" w:space="0"/>
            </w:tcBorders>
            <w:shd w:val="clear" w:color="auto" w:fill="auto"/>
            <w:vAlign w:val="center"/>
          </w:tcPr>
          <w:p w14:paraId="19F9D90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（一）评分内容：投标人2021年至今拥有的地质灾害类相关专利或软件著作权，每有一个证书得1分；最高得3分；</w:t>
            </w:r>
          </w:p>
        </w:tc>
      </w:tr>
      <w:tr w14:paraId="44EF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3C48501A">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360A30CB">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71626B1F">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2CBAEB19">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3689274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（二）评分依据：</w:t>
            </w:r>
          </w:p>
        </w:tc>
      </w:tr>
      <w:tr w14:paraId="5610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4CC157A5">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7F55C3C1">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32690658">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403C34F8">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403CB87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1.要求提供有效的知识产权（著作、专利）证书等证明材料作为得分依据。</w:t>
            </w:r>
          </w:p>
        </w:tc>
      </w:tr>
      <w:tr w14:paraId="75B3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4EBCED12">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6CA66F8B">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3A110DEB">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14DE479C">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034C8FC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2.以上资料均要求提供扫描件，原件备查。</w:t>
            </w:r>
          </w:p>
        </w:tc>
      </w:tr>
      <w:tr w14:paraId="4E57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3" w:type="pct"/>
            <w:vMerge w:val="restart"/>
            <w:tcBorders>
              <w:top w:val="nil"/>
              <w:left w:val="single" w:color="000000" w:sz="8" w:space="0"/>
              <w:bottom w:val="single" w:color="000000" w:sz="8" w:space="0"/>
              <w:right w:val="single" w:color="000000" w:sz="8" w:space="0"/>
            </w:tcBorders>
            <w:shd w:val="clear" w:color="auto" w:fill="auto"/>
            <w:vAlign w:val="center"/>
          </w:tcPr>
          <w:p w14:paraId="0AAD43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7" w:type="pct"/>
            <w:vMerge w:val="restart"/>
            <w:tcBorders>
              <w:top w:val="nil"/>
              <w:left w:val="single" w:color="000000" w:sz="8" w:space="0"/>
              <w:bottom w:val="single" w:color="000000" w:sz="8" w:space="0"/>
              <w:right w:val="single" w:color="000000" w:sz="8" w:space="0"/>
            </w:tcBorders>
            <w:shd w:val="clear" w:color="auto" w:fill="auto"/>
            <w:vAlign w:val="center"/>
          </w:tcPr>
          <w:p w14:paraId="1DF84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投标人近年同类项目业绩情况</w:t>
            </w:r>
          </w:p>
        </w:tc>
        <w:tc>
          <w:tcPr>
            <w:tcW w:w="299" w:type="pct"/>
            <w:vMerge w:val="restart"/>
            <w:tcBorders>
              <w:top w:val="nil"/>
              <w:left w:val="single" w:color="000000" w:sz="8" w:space="0"/>
              <w:bottom w:val="single" w:color="000000" w:sz="8" w:space="0"/>
              <w:right w:val="single" w:color="000000" w:sz="8" w:space="0"/>
            </w:tcBorders>
            <w:shd w:val="clear" w:color="auto" w:fill="auto"/>
            <w:vAlign w:val="center"/>
          </w:tcPr>
          <w:p w14:paraId="0A173C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cs="宋体"/>
                <w:i w:val="0"/>
                <w:iCs w:val="0"/>
                <w:color w:val="000000"/>
                <w:kern w:val="0"/>
                <w:sz w:val="24"/>
                <w:szCs w:val="24"/>
                <w:u w:val="none"/>
                <w:lang w:val="en-US" w:eastAsia="zh-CN" w:bidi="ar"/>
              </w:rPr>
              <w:t>6</w:t>
            </w:r>
          </w:p>
        </w:tc>
        <w:tc>
          <w:tcPr>
            <w:tcW w:w="413" w:type="pct"/>
            <w:vMerge w:val="restart"/>
            <w:tcBorders>
              <w:top w:val="nil"/>
              <w:left w:val="single" w:color="000000" w:sz="8" w:space="0"/>
              <w:bottom w:val="single" w:color="000000" w:sz="8" w:space="0"/>
              <w:right w:val="single" w:color="000000" w:sz="8" w:space="0"/>
            </w:tcBorders>
            <w:shd w:val="clear" w:color="auto" w:fill="auto"/>
            <w:vAlign w:val="center"/>
          </w:tcPr>
          <w:p w14:paraId="355273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nil"/>
              <w:right w:val="single" w:color="000000" w:sz="8" w:space="0"/>
            </w:tcBorders>
            <w:shd w:val="clear" w:color="auto" w:fill="auto"/>
            <w:vAlign w:val="center"/>
          </w:tcPr>
          <w:p w14:paraId="0BD6BB5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（一）评分内容：</w:t>
            </w:r>
          </w:p>
        </w:tc>
      </w:tr>
      <w:tr w14:paraId="35E5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19280532">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37C8FB96">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0D1B8409">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4B260A96">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4249580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投标人2021年至本项目投标截止日止（以合同签订时间为准）的地质灾害类业绩，每个合同0.5分，最高得</w:t>
            </w:r>
            <w:r>
              <w:rPr>
                <w:rFonts w:hint="eastAsia" w:ascii="宋体" w:hAnsi="宋体" w:cs="宋体"/>
                <w:i w:val="0"/>
                <w:iCs w:val="0"/>
                <w:color w:val="auto"/>
                <w:kern w:val="0"/>
                <w:sz w:val="24"/>
                <w:szCs w:val="24"/>
                <w:u w:val="none"/>
                <w:lang w:val="en-US" w:eastAsia="zh-CN" w:bidi="ar"/>
              </w:rPr>
              <w:t>6</w:t>
            </w:r>
            <w:r>
              <w:rPr>
                <w:rFonts w:hint="eastAsia" w:ascii="宋体" w:hAnsi="宋体" w:eastAsia="宋体" w:cs="宋体"/>
                <w:i w:val="0"/>
                <w:iCs w:val="0"/>
                <w:color w:val="auto"/>
                <w:kern w:val="0"/>
                <w:sz w:val="24"/>
                <w:szCs w:val="24"/>
                <w:u w:val="none"/>
                <w:lang w:val="en-US" w:eastAsia="zh-CN" w:bidi="ar"/>
              </w:rPr>
              <w:t>分。</w:t>
            </w:r>
          </w:p>
        </w:tc>
      </w:tr>
      <w:tr w14:paraId="5811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71C8494E">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23792D5D">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72A700FB">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69616777">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62B9908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（二）评分依据：</w:t>
            </w:r>
          </w:p>
        </w:tc>
      </w:tr>
      <w:tr w14:paraId="0940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3C138B7E">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49651978">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7ACCD188">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57A2F275">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7ED5D06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1.要求提供合同关键页签字盖章扉页作为得分依据。业绩时间以合同签订日期为准。每份证明材料在该项只能得一次分，不可重复得分。合同名称要包含“地质灾害监测”、“边坡监测”等相关字眼</w:t>
            </w:r>
          </w:p>
        </w:tc>
      </w:tr>
      <w:tr w14:paraId="1F03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43" w:type="pct"/>
            <w:vMerge w:val="continue"/>
            <w:tcBorders>
              <w:top w:val="single" w:color="000000" w:sz="8" w:space="0"/>
              <w:left w:val="single" w:color="000000" w:sz="8" w:space="0"/>
              <w:bottom w:val="nil"/>
              <w:right w:val="single" w:color="000000" w:sz="8" w:space="0"/>
            </w:tcBorders>
            <w:shd w:val="clear" w:color="auto" w:fill="auto"/>
            <w:vAlign w:val="center"/>
          </w:tcPr>
          <w:p w14:paraId="0FE96750">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single" w:color="000000" w:sz="8" w:space="0"/>
              <w:left w:val="single" w:color="000000" w:sz="8" w:space="0"/>
              <w:bottom w:val="nil"/>
              <w:right w:val="single" w:color="000000" w:sz="8" w:space="0"/>
            </w:tcBorders>
            <w:shd w:val="clear" w:color="auto" w:fill="auto"/>
            <w:vAlign w:val="center"/>
          </w:tcPr>
          <w:p w14:paraId="16BD5DE0">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single" w:color="000000" w:sz="8" w:space="0"/>
              <w:left w:val="single" w:color="000000" w:sz="8" w:space="0"/>
              <w:bottom w:val="nil"/>
              <w:right w:val="single" w:color="000000" w:sz="8" w:space="0"/>
            </w:tcBorders>
            <w:shd w:val="clear" w:color="auto" w:fill="auto"/>
            <w:vAlign w:val="center"/>
          </w:tcPr>
          <w:p w14:paraId="75B95DA5">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single" w:color="000000" w:sz="8" w:space="0"/>
              <w:left w:val="single" w:color="000000" w:sz="8" w:space="0"/>
              <w:bottom w:val="nil"/>
              <w:right w:val="single" w:color="000000" w:sz="8" w:space="0"/>
            </w:tcBorders>
            <w:shd w:val="clear" w:color="auto" w:fill="auto"/>
            <w:vAlign w:val="center"/>
          </w:tcPr>
          <w:p w14:paraId="0EB33A28">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nil"/>
              <w:right w:val="single" w:color="000000" w:sz="8" w:space="0"/>
            </w:tcBorders>
            <w:shd w:val="clear" w:color="auto" w:fill="auto"/>
            <w:vAlign w:val="center"/>
          </w:tcPr>
          <w:p w14:paraId="4564935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2.通过合同关键信息无法判断是否得分的，还须同时提供能证明得分的其它证明资料，如项目报告或合同甲方出具的证明文件等；</w:t>
            </w:r>
          </w:p>
        </w:tc>
      </w:tr>
      <w:tr w14:paraId="64B2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43" w:type="pct"/>
            <w:vMerge w:val="continue"/>
            <w:tcBorders>
              <w:top w:val="nil"/>
              <w:left w:val="single" w:color="000000" w:sz="8" w:space="0"/>
              <w:bottom w:val="single" w:color="000000" w:sz="8" w:space="0"/>
              <w:right w:val="single" w:color="000000" w:sz="8" w:space="0"/>
            </w:tcBorders>
            <w:shd w:val="clear" w:color="auto" w:fill="auto"/>
            <w:vAlign w:val="center"/>
          </w:tcPr>
          <w:p w14:paraId="3AB26689">
            <w:pPr>
              <w:widowControl/>
              <w:jc w:val="center"/>
              <w:rPr>
                <w:rFonts w:hint="eastAsia" w:ascii="宋体" w:hAnsi="宋体" w:eastAsia="宋体" w:cs="宋体"/>
                <w:i w:val="0"/>
                <w:iCs w:val="0"/>
                <w:color w:val="000000"/>
                <w:kern w:val="0"/>
                <w:sz w:val="24"/>
                <w:szCs w:val="24"/>
                <w:u w:val="none"/>
              </w:rPr>
            </w:pPr>
          </w:p>
        </w:tc>
        <w:tc>
          <w:tcPr>
            <w:tcW w:w="857" w:type="pct"/>
            <w:vMerge w:val="continue"/>
            <w:tcBorders>
              <w:top w:val="nil"/>
              <w:left w:val="single" w:color="000000" w:sz="8" w:space="0"/>
              <w:bottom w:val="single" w:color="000000" w:sz="8" w:space="0"/>
              <w:right w:val="single" w:color="000000" w:sz="8" w:space="0"/>
            </w:tcBorders>
            <w:shd w:val="clear" w:color="auto" w:fill="auto"/>
            <w:vAlign w:val="center"/>
          </w:tcPr>
          <w:p w14:paraId="63031F2F">
            <w:pPr>
              <w:widowControl/>
              <w:jc w:val="center"/>
              <w:rPr>
                <w:rFonts w:hint="eastAsia" w:ascii="宋体" w:hAnsi="宋体" w:eastAsia="宋体" w:cs="宋体"/>
                <w:i w:val="0"/>
                <w:iCs w:val="0"/>
                <w:color w:val="000000"/>
                <w:kern w:val="0"/>
                <w:sz w:val="24"/>
                <w:szCs w:val="24"/>
                <w:u w:val="none"/>
              </w:rPr>
            </w:pPr>
          </w:p>
        </w:tc>
        <w:tc>
          <w:tcPr>
            <w:tcW w:w="299" w:type="pct"/>
            <w:vMerge w:val="continue"/>
            <w:tcBorders>
              <w:top w:val="nil"/>
              <w:left w:val="single" w:color="000000" w:sz="8" w:space="0"/>
              <w:bottom w:val="single" w:color="000000" w:sz="8" w:space="0"/>
              <w:right w:val="single" w:color="000000" w:sz="8" w:space="0"/>
            </w:tcBorders>
            <w:shd w:val="clear" w:color="auto" w:fill="auto"/>
            <w:vAlign w:val="center"/>
          </w:tcPr>
          <w:p w14:paraId="1814CAE5">
            <w:pPr>
              <w:widowControl/>
              <w:jc w:val="center"/>
              <w:rPr>
                <w:rFonts w:hint="eastAsia" w:ascii="宋体" w:hAnsi="宋体" w:eastAsia="宋体" w:cs="宋体"/>
                <w:i w:val="0"/>
                <w:iCs w:val="0"/>
                <w:color w:val="000000"/>
                <w:kern w:val="0"/>
                <w:sz w:val="24"/>
                <w:szCs w:val="24"/>
                <w:u w:val="none"/>
              </w:rPr>
            </w:pPr>
          </w:p>
        </w:tc>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14:paraId="30804D24">
            <w:pPr>
              <w:widowControl/>
              <w:jc w:val="center"/>
              <w:rPr>
                <w:rFonts w:hint="eastAsia" w:ascii="宋体" w:hAnsi="宋体" w:eastAsia="宋体" w:cs="宋体"/>
                <w:i w:val="0"/>
                <w:iCs w:val="0"/>
                <w:color w:val="000000"/>
                <w:kern w:val="0"/>
                <w:sz w:val="24"/>
                <w:szCs w:val="24"/>
                <w:u w:val="none"/>
              </w:rPr>
            </w:pP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1ECC923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3.以上资料均要求提供扫描件加盖投标人公章，原件备查，未按要求提供或提供不清晰导致评委无法判断的不得分。</w:t>
            </w:r>
          </w:p>
        </w:tc>
      </w:tr>
      <w:tr w14:paraId="656C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14" w:type="pct"/>
            <w:gridSpan w:val="4"/>
            <w:tcBorders>
              <w:top w:val="nil"/>
              <w:left w:val="single" w:color="000000" w:sz="8" w:space="0"/>
              <w:bottom w:val="single" w:color="000000" w:sz="8" w:space="0"/>
              <w:right w:val="single" w:color="000000" w:sz="8" w:space="0"/>
            </w:tcBorders>
            <w:shd w:val="clear" w:color="auto" w:fill="auto"/>
            <w:vAlign w:val="center"/>
          </w:tcPr>
          <w:p w14:paraId="2041CE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供应商社会责任</w:t>
            </w: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74643F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F09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EA9D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A8FA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评分因素</w:t>
            </w:r>
          </w:p>
        </w:tc>
        <w:tc>
          <w:tcPr>
            <w:tcW w:w="2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C244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权重</w:t>
            </w:r>
          </w:p>
        </w:tc>
        <w:tc>
          <w:tcPr>
            <w:tcW w:w="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FEC8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评分方式</w:t>
            </w:r>
          </w:p>
        </w:tc>
        <w:tc>
          <w:tcPr>
            <w:tcW w:w="298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0D4D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评分准则</w:t>
            </w:r>
          </w:p>
        </w:tc>
      </w:tr>
      <w:tr w14:paraId="5145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43" w:type="pct"/>
            <w:tcBorders>
              <w:top w:val="nil"/>
              <w:left w:val="single" w:color="000000" w:sz="8" w:space="0"/>
              <w:bottom w:val="single" w:color="000000" w:sz="8" w:space="0"/>
              <w:right w:val="single" w:color="000000" w:sz="8" w:space="0"/>
            </w:tcBorders>
            <w:shd w:val="clear" w:color="auto" w:fill="auto"/>
            <w:vAlign w:val="center"/>
          </w:tcPr>
          <w:p w14:paraId="49BCF2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pct"/>
            <w:tcBorders>
              <w:top w:val="nil"/>
              <w:left w:val="single" w:color="000000" w:sz="8" w:space="0"/>
              <w:bottom w:val="single" w:color="000000" w:sz="8" w:space="0"/>
              <w:right w:val="single" w:color="000000" w:sz="8" w:space="0"/>
            </w:tcBorders>
            <w:shd w:val="clear" w:color="auto" w:fill="auto"/>
            <w:vAlign w:val="center"/>
          </w:tcPr>
          <w:p w14:paraId="6A2E3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公司诚信</w:t>
            </w:r>
          </w:p>
        </w:tc>
        <w:tc>
          <w:tcPr>
            <w:tcW w:w="299" w:type="pct"/>
            <w:tcBorders>
              <w:top w:val="nil"/>
              <w:left w:val="single" w:color="000000" w:sz="8" w:space="0"/>
              <w:bottom w:val="single" w:color="000000" w:sz="8" w:space="0"/>
              <w:right w:val="single" w:color="000000" w:sz="8" w:space="0"/>
            </w:tcBorders>
            <w:shd w:val="clear" w:color="auto" w:fill="auto"/>
            <w:vAlign w:val="center"/>
          </w:tcPr>
          <w:p w14:paraId="2DDA14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3" w:type="pct"/>
            <w:tcBorders>
              <w:top w:val="nil"/>
              <w:left w:val="single" w:color="000000" w:sz="8" w:space="0"/>
              <w:bottom w:val="single" w:color="000000" w:sz="8" w:space="0"/>
              <w:right w:val="single" w:color="000000" w:sz="8" w:space="0"/>
            </w:tcBorders>
            <w:shd w:val="clear" w:color="auto" w:fill="auto"/>
            <w:vAlign w:val="center"/>
          </w:tcPr>
          <w:p w14:paraId="7C7191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287D2D9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投标人在参与政府采购活动中存在诚信相关问题且在主管部门相关处理措施实施期限内的，本项不得分，否则得满分。投标人无需提供任何证明材料，由工作人员向评审委员会提供相关信息。</w:t>
            </w:r>
          </w:p>
        </w:tc>
      </w:tr>
      <w:tr w14:paraId="363E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43" w:type="pct"/>
            <w:tcBorders>
              <w:top w:val="nil"/>
              <w:left w:val="single" w:color="000000" w:sz="8" w:space="0"/>
              <w:bottom w:val="single" w:color="000000" w:sz="8" w:space="0"/>
              <w:right w:val="single" w:color="000000" w:sz="8" w:space="0"/>
            </w:tcBorders>
            <w:shd w:val="clear" w:color="auto" w:fill="auto"/>
            <w:vAlign w:val="center"/>
          </w:tcPr>
          <w:p w14:paraId="41A2F6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pct"/>
            <w:tcBorders>
              <w:top w:val="nil"/>
              <w:left w:val="single" w:color="000000" w:sz="8" w:space="0"/>
              <w:bottom w:val="single" w:color="000000" w:sz="8" w:space="0"/>
              <w:right w:val="single" w:color="000000" w:sz="8" w:space="0"/>
            </w:tcBorders>
            <w:shd w:val="clear" w:color="auto" w:fill="auto"/>
            <w:vAlign w:val="center"/>
          </w:tcPr>
          <w:p w14:paraId="1D213A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环保执行情况</w:t>
            </w:r>
          </w:p>
        </w:tc>
        <w:tc>
          <w:tcPr>
            <w:tcW w:w="299" w:type="pct"/>
            <w:tcBorders>
              <w:top w:val="nil"/>
              <w:left w:val="single" w:color="000000" w:sz="8" w:space="0"/>
              <w:bottom w:val="single" w:color="000000" w:sz="8" w:space="0"/>
              <w:right w:val="single" w:color="000000" w:sz="8" w:space="0"/>
            </w:tcBorders>
            <w:shd w:val="clear" w:color="auto" w:fill="auto"/>
            <w:vAlign w:val="center"/>
          </w:tcPr>
          <w:p w14:paraId="27F8DC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3" w:type="pct"/>
            <w:tcBorders>
              <w:top w:val="nil"/>
              <w:left w:val="single" w:color="000000" w:sz="8" w:space="0"/>
              <w:bottom w:val="single" w:color="000000" w:sz="8" w:space="0"/>
              <w:right w:val="single" w:color="000000" w:sz="8" w:space="0"/>
            </w:tcBorders>
            <w:shd w:val="clear" w:color="auto" w:fill="auto"/>
            <w:vAlign w:val="center"/>
          </w:tcPr>
          <w:p w14:paraId="79F616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专家打分</w:t>
            </w:r>
          </w:p>
        </w:tc>
        <w:tc>
          <w:tcPr>
            <w:tcW w:w="2985" w:type="pct"/>
            <w:tcBorders>
              <w:top w:val="nil"/>
              <w:left w:val="single" w:color="000000" w:sz="8" w:space="0"/>
              <w:bottom w:val="single" w:color="000000" w:sz="8" w:space="0"/>
              <w:right w:val="single" w:color="000000" w:sz="8" w:space="0"/>
            </w:tcBorders>
            <w:shd w:val="clear" w:color="auto" w:fill="auto"/>
            <w:vAlign w:val="center"/>
          </w:tcPr>
          <w:p w14:paraId="76E3776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要求投标人就是否受过环保主管部门行政处罚作为得分依据；以投标人在投标文件中提供的承诺作为依据；若隐瞒情况虚假应标将被废标并报主管部门处理。采取客观化评分；受过行政处罚不得分。</w:t>
            </w:r>
          </w:p>
        </w:tc>
      </w:tr>
    </w:tbl>
    <w:p w14:paraId="1658DB8D">
      <w:pPr>
        <w:rPr>
          <w:rFonts w:eastAsia="黑体"/>
          <w:color w:val="auto"/>
        </w:rPr>
      </w:pPr>
    </w:p>
    <w:p w14:paraId="0F7E0810">
      <w:pPr>
        <w:spacing w:line="360" w:lineRule="auto"/>
        <w:rPr>
          <w:color w:val="auto"/>
          <w:sz w:val="32"/>
        </w:rPr>
      </w:pPr>
      <w:r>
        <w:rPr>
          <w:rFonts w:hint="eastAsia" w:eastAsia="黑体"/>
          <w:color w:val="auto"/>
          <w:sz w:val="32"/>
          <w:szCs w:val="32"/>
        </w:rPr>
        <w:t>警示条款</w:t>
      </w:r>
    </w:p>
    <w:p w14:paraId="22C4086B">
      <w:pPr>
        <w:rPr>
          <w:color w:val="auto"/>
        </w:rPr>
      </w:pPr>
      <w:r>
        <w:rPr>
          <w:rFonts w:hint="eastAsia" w:eastAsia="宋体"/>
          <w:b/>
          <w:bCs/>
          <w:color w:val="auto"/>
        </w:rPr>
        <w:t>一、《深圳经济特区政府采购条例》第五十七条</w:t>
      </w:r>
    </w:p>
    <w:p w14:paraId="74C45006">
      <w:pPr>
        <w:ind w:firstLine="480" w:firstLineChars="200"/>
        <w:jc w:val="both"/>
        <w:rPr>
          <w:color w:val="auto"/>
        </w:rPr>
      </w:pPr>
      <w:r>
        <w:rPr>
          <w:rFonts w:hint="eastAsia" w:eastAsia="宋体"/>
          <w:color w:val="auto"/>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8E09F71">
      <w:pPr>
        <w:ind w:firstLine="480" w:firstLineChars="200"/>
        <w:jc w:val="both"/>
        <w:rPr>
          <w:color w:val="auto"/>
        </w:rPr>
      </w:pPr>
      <w:r>
        <w:rPr>
          <w:rFonts w:hint="eastAsia" w:eastAsia="宋体"/>
          <w:color w:val="auto"/>
        </w:rPr>
        <w:t>（一）在采购活动中应当回避而未回避的；</w:t>
      </w:r>
    </w:p>
    <w:p w14:paraId="35DE5B10">
      <w:pPr>
        <w:ind w:firstLine="480" w:firstLineChars="200"/>
        <w:jc w:val="both"/>
        <w:rPr>
          <w:color w:val="auto"/>
        </w:rPr>
      </w:pPr>
      <w:r>
        <w:rPr>
          <w:rFonts w:hint="eastAsia" w:eastAsia="宋体"/>
          <w:color w:val="auto"/>
        </w:rPr>
        <w:t>（二）未按本条例规定签订、履行采购合同，造成严重后果的；</w:t>
      </w:r>
    </w:p>
    <w:p w14:paraId="53C8863B">
      <w:pPr>
        <w:ind w:firstLine="480" w:firstLineChars="200"/>
        <w:jc w:val="both"/>
        <w:rPr>
          <w:rFonts w:eastAsia="宋体"/>
          <w:color w:val="auto"/>
        </w:rPr>
      </w:pPr>
      <w:r>
        <w:rPr>
          <w:rFonts w:hint="eastAsia" w:eastAsia="宋体"/>
          <w:color w:val="auto"/>
        </w:rPr>
        <w:t>（三）隐瞒真实情况，提供虚假资料的；</w:t>
      </w:r>
    </w:p>
    <w:p w14:paraId="0BEF6028">
      <w:pPr>
        <w:ind w:firstLine="480" w:firstLineChars="200"/>
        <w:jc w:val="both"/>
        <w:rPr>
          <w:rFonts w:eastAsia="宋体"/>
          <w:color w:val="auto"/>
        </w:rPr>
      </w:pPr>
      <w:r>
        <w:rPr>
          <w:rFonts w:hint="eastAsia" w:eastAsia="宋体"/>
          <w:color w:val="auto"/>
        </w:rPr>
        <w:t>（四）以非法手段排斥其他供应商参与竞争的；</w:t>
      </w:r>
    </w:p>
    <w:p w14:paraId="61B17A76">
      <w:pPr>
        <w:ind w:firstLine="480" w:firstLineChars="200"/>
        <w:jc w:val="both"/>
        <w:rPr>
          <w:rFonts w:eastAsia="宋体"/>
          <w:color w:val="auto"/>
        </w:rPr>
      </w:pPr>
      <w:r>
        <w:rPr>
          <w:rFonts w:hint="eastAsia" w:eastAsia="宋体"/>
          <w:color w:val="auto"/>
        </w:rPr>
        <w:t>（五）与其他采购参加人串通投标的；</w:t>
      </w:r>
    </w:p>
    <w:p w14:paraId="53576506">
      <w:pPr>
        <w:ind w:firstLine="480" w:firstLineChars="200"/>
        <w:jc w:val="both"/>
        <w:rPr>
          <w:rFonts w:eastAsia="宋体"/>
          <w:color w:val="auto"/>
        </w:rPr>
      </w:pPr>
      <w:r>
        <w:rPr>
          <w:rFonts w:hint="eastAsia" w:eastAsia="宋体"/>
          <w:color w:val="auto"/>
        </w:rPr>
        <w:t>（六）恶意投诉的；</w:t>
      </w:r>
    </w:p>
    <w:p w14:paraId="3654ACC1">
      <w:pPr>
        <w:ind w:firstLine="480" w:firstLineChars="200"/>
        <w:jc w:val="both"/>
        <w:rPr>
          <w:rFonts w:eastAsia="宋体"/>
          <w:color w:val="auto"/>
        </w:rPr>
      </w:pPr>
      <w:r>
        <w:rPr>
          <w:rFonts w:hint="eastAsia" w:eastAsia="宋体"/>
          <w:color w:val="auto"/>
        </w:rPr>
        <w:t>（七）向采购项目相关人行贿或者提供其他不当利益的；</w:t>
      </w:r>
    </w:p>
    <w:p w14:paraId="775EB397">
      <w:pPr>
        <w:ind w:firstLine="480" w:firstLineChars="200"/>
        <w:jc w:val="both"/>
        <w:rPr>
          <w:rFonts w:eastAsia="宋体"/>
          <w:color w:val="auto"/>
        </w:rPr>
      </w:pPr>
      <w:r>
        <w:rPr>
          <w:rFonts w:hint="eastAsia" w:eastAsia="宋体"/>
          <w:color w:val="auto"/>
        </w:rPr>
        <w:t>（八）阻碍、抗拒主管部门监督检查的；</w:t>
      </w:r>
    </w:p>
    <w:p w14:paraId="79DE13CA">
      <w:pPr>
        <w:ind w:firstLine="480" w:firstLineChars="200"/>
        <w:jc w:val="both"/>
        <w:rPr>
          <w:rFonts w:eastAsia="宋体"/>
          <w:color w:val="auto"/>
        </w:rPr>
      </w:pPr>
      <w:r>
        <w:rPr>
          <w:rFonts w:hint="eastAsia" w:eastAsia="宋体"/>
          <w:color w:val="auto"/>
        </w:rPr>
        <w:t>（九）其他违反本条例规定的行为。</w:t>
      </w:r>
    </w:p>
    <w:p w14:paraId="62A3F072">
      <w:pPr>
        <w:spacing w:before="120" w:beforeLines="50" w:after="120" w:afterLines="50"/>
        <w:rPr>
          <w:rFonts w:eastAsia="宋体"/>
          <w:b/>
          <w:bCs/>
          <w:color w:val="auto"/>
        </w:rPr>
      </w:pPr>
      <w:r>
        <w:rPr>
          <w:rFonts w:hint="eastAsia" w:eastAsia="宋体"/>
          <w:b/>
          <w:bCs/>
          <w:color w:val="auto"/>
        </w:rPr>
        <w:t>二、《深圳经济特区政府采购条例实施细则》第七十五条</w:t>
      </w:r>
    </w:p>
    <w:p w14:paraId="76930AEB">
      <w:pPr>
        <w:ind w:firstLine="480" w:firstLineChars="200"/>
        <w:jc w:val="both"/>
        <w:rPr>
          <w:rFonts w:eastAsia="宋体"/>
          <w:color w:val="auto"/>
        </w:rPr>
      </w:pPr>
      <w:r>
        <w:rPr>
          <w:rFonts w:hint="eastAsia" w:eastAsia="宋体"/>
          <w:color w:val="auto"/>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8845D7E">
      <w:pPr>
        <w:spacing w:before="120" w:beforeLines="50" w:after="120" w:afterLines="50"/>
        <w:rPr>
          <w:rFonts w:eastAsia="宋体"/>
          <w:b/>
          <w:bCs/>
          <w:color w:val="auto"/>
        </w:rPr>
      </w:pPr>
      <w:r>
        <w:rPr>
          <w:rFonts w:hint="eastAsia" w:eastAsia="宋体"/>
          <w:b/>
          <w:bCs/>
          <w:color w:val="auto"/>
        </w:rPr>
        <w:t>三、《深圳经济特区政府采购条例实施细则》第七十七条</w:t>
      </w:r>
    </w:p>
    <w:p w14:paraId="36361820">
      <w:pPr>
        <w:ind w:firstLine="480" w:firstLineChars="200"/>
        <w:jc w:val="both"/>
        <w:rPr>
          <w:rFonts w:eastAsia="宋体"/>
          <w:color w:val="auto"/>
        </w:rPr>
      </w:pPr>
      <w:r>
        <w:rPr>
          <w:rFonts w:hint="eastAsia" w:eastAsia="宋体"/>
          <w:color w:val="auto"/>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D7F1E94">
      <w:pPr>
        <w:ind w:firstLine="480" w:firstLineChars="200"/>
        <w:jc w:val="both"/>
        <w:rPr>
          <w:rFonts w:eastAsia="宋体"/>
          <w:color w:val="auto"/>
        </w:rPr>
      </w:pPr>
      <w:r>
        <w:rPr>
          <w:rFonts w:hint="eastAsia" w:eastAsia="宋体"/>
          <w:color w:val="auto"/>
        </w:rPr>
        <w:t>投标供应商不能提供项目负责人或者主要技术人员的劳动合同、社会保险等劳动关系证明材料的，视为存在前款第（三）项规定的情形。</w:t>
      </w:r>
    </w:p>
    <w:p w14:paraId="05FE1F5D">
      <w:pPr>
        <w:rPr>
          <w:color w:val="auto"/>
        </w:rPr>
      </w:pPr>
    </w:p>
    <w:p w14:paraId="45AFAF4E">
      <w:pPr>
        <w:rPr>
          <w:color w:val="auto"/>
        </w:rPr>
      </w:pPr>
      <w:r>
        <w:rPr>
          <w:rFonts w:hint="eastAsia"/>
          <w:color w:val="auto"/>
        </w:rPr>
        <w:br w:type="page"/>
      </w:r>
    </w:p>
    <w:p w14:paraId="519D256E">
      <w:pPr>
        <w:pStyle w:val="3"/>
        <w:rPr>
          <w:color w:val="auto"/>
        </w:rPr>
      </w:pPr>
      <w:r>
        <w:rPr>
          <w:rFonts w:hint="eastAsia"/>
          <w:color w:val="auto"/>
        </w:rPr>
        <w:t>目   录</w:t>
      </w:r>
    </w:p>
    <w:p w14:paraId="5D8FAF9B">
      <w:pPr>
        <w:jc w:val="left"/>
        <w:rPr>
          <w:color w:val="auto"/>
        </w:rPr>
      </w:pPr>
      <w:r>
        <w:rPr>
          <w:rFonts w:hint="eastAsia" w:eastAsia="宋体"/>
          <w:color w:val="auto"/>
        </w:rPr>
        <w:t>第一册</w:t>
      </w:r>
      <w:r>
        <w:rPr>
          <w:rFonts w:hint="eastAsia"/>
          <w:color w:val="auto"/>
        </w:rPr>
        <w:t xml:space="preserve">  </w:t>
      </w:r>
      <w:r>
        <w:rPr>
          <w:rFonts w:hint="eastAsia" w:eastAsia="宋体"/>
          <w:color w:val="auto"/>
        </w:rPr>
        <w:t>专用条款</w:t>
      </w:r>
    </w:p>
    <w:p w14:paraId="35C0AF46">
      <w:pPr>
        <w:jc w:val="left"/>
        <w:rPr>
          <w:color w:val="auto"/>
        </w:rPr>
      </w:pPr>
      <w:r>
        <w:rPr>
          <w:rFonts w:hint="eastAsia" w:eastAsia="宋体"/>
          <w:color w:val="auto"/>
        </w:rPr>
        <w:t>第一章</w:t>
      </w:r>
      <w:r>
        <w:rPr>
          <w:rFonts w:hint="eastAsia"/>
          <w:color w:val="auto"/>
        </w:rPr>
        <w:t xml:space="preserve">  </w:t>
      </w:r>
      <w:r>
        <w:rPr>
          <w:rFonts w:hint="eastAsia" w:eastAsia="宋体"/>
          <w:color w:val="auto"/>
        </w:rPr>
        <w:t>招标公告</w:t>
      </w:r>
    </w:p>
    <w:p w14:paraId="45E32D44">
      <w:pPr>
        <w:jc w:val="left"/>
        <w:rPr>
          <w:color w:val="auto"/>
        </w:rPr>
      </w:pPr>
      <w:r>
        <w:rPr>
          <w:rFonts w:hint="eastAsia" w:eastAsia="宋体"/>
          <w:color w:val="auto"/>
        </w:rPr>
        <w:t>第二章</w:t>
      </w:r>
      <w:r>
        <w:rPr>
          <w:rFonts w:hint="eastAsia"/>
          <w:color w:val="auto"/>
        </w:rPr>
        <w:t xml:space="preserve">  </w:t>
      </w:r>
      <w:bookmarkStart w:id="3" w:name="_Hlk71994379"/>
      <w:r>
        <w:rPr>
          <w:rFonts w:hint="eastAsia" w:eastAsia="宋体"/>
          <w:color w:val="auto"/>
        </w:rPr>
        <w:t>对通用条款的补充内容及其他关键信息</w:t>
      </w:r>
      <w:bookmarkEnd w:id="3"/>
    </w:p>
    <w:p w14:paraId="022959AF">
      <w:pPr>
        <w:jc w:val="left"/>
        <w:rPr>
          <w:color w:val="auto"/>
        </w:rPr>
      </w:pPr>
      <w:r>
        <w:rPr>
          <w:rFonts w:hint="eastAsia" w:eastAsia="宋体"/>
          <w:color w:val="auto"/>
        </w:rPr>
        <w:t>第三章</w:t>
      </w:r>
      <w:r>
        <w:rPr>
          <w:rFonts w:hint="eastAsia"/>
          <w:color w:val="auto"/>
        </w:rPr>
        <w:t xml:space="preserve"> </w:t>
      </w:r>
      <w:r>
        <w:rPr>
          <w:color w:val="auto"/>
        </w:rPr>
        <w:t xml:space="preserve"> </w:t>
      </w:r>
      <w:r>
        <w:rPr>
          <w:rFonts w:hint="eastAsia" w:eastAsia="宋体"/>
          <w:color w:val="auto"/>
        </w:rPr>
        <w:t>用户需求书</w:t>
      </w:r>
    </w:p>
    <w:p w14:paraId="0C0625EC">
      <w:pPr>
        <w:jc w:val="left"/>
        <w:rPr>
          <w:color w:val="auto"/>
        </w:rPr>
      </w:pPr>
      <w:r>
        <w:rPr>
          <w:rFonts w:hint="eastAsia" w:eastAsia="宋体"/>
          <w:color w:val="auto"/>
        </w:rPr>
        <w:t>第四章</w:t>
      </w:r>
      <w:r>
        <w:rPr>
          <w:rFonts w:hint="eastAsia"/>
          <w:color w:val="auto"/>
        </w:rPr>
        <w:t xml:space="preserve"> </w:t>
      </w:r>
      <w:r>
        <w:rPr>
          <w:color w:val="auto"/>
        </w:rPr>
        <w:t xml:space="preserve"> </w:t>
      </w:r>
      <w:r>
        <w:rPr>
          <w:rFonts w:hint="eastAsia" w:eastAsia="宋体"/>
          <w:color w:val="auto"/>
        </w:rPr>
        <w:t>投标文件组成要求及格式</w:t>
      </w:r>
    </w:p>
    <w:p w14:paraId="265FDD0D">
      <w:pPr>
        <w:jc w:val="left"/>
        <w:rPr>
          <w:color w:val="auto"/>
        </w:rPr>
      </w:pPr>
      <w:r>
        <w:rPr>
          <w:rFonts w:hint="eastAsia" w:eastAsia="宋体"/>
          <w:color w:val="auto"/>
        </w:rPr>
        <w:t>第五章</w:t>
      </w:r>
      <w:r>
        <w:rPr>
          <w:rFonts w:hint="eastAsia"/>
          <w:color w:val="auto"/>
        </w:rPr>
        <w:t xml:space="preserve">  </w:t>
      </w:r>
      <w:r>
        <w:rPr>
          <w:rFonts w:hint="eastAsia" w:eastAsia="宋体"/>
          <w:color w:val="auto"/>
        </w:rPr>
        <w:t>合同条款及格式</w:t>
      </w:r>
    </w:p>
    <w:p w14:paraId="5F29C1CB">
      <w:pPr>
        <w:jc w:val="left"/>
        <w:rPr>
          <w:color w:val="auto"/>
        </w:rPr>
      </w:pPr>
    </w:p>
    <w:p w14:paraId="0B05D647">
      <w:pPr>
        <w:jc w:val="left"/>
        <w:rPr>
          <w:color w:val="auto"/>
        </w:rPr>
      </w:pPr>
      <w:r>
        <w:rPr>
          <w:rFonts w:hint="eastAsia" w:eastAsia="宋体"/>
          <w:color w:val="auto"/>
        </w:rPr>
        <w:t>第二册</w:t>
      </w:r>
      <w:r>
        <w:rPr>
          <w:rFonts w:hint="eastAsia"/>
          <w:color w:val="auto"/>
        </w:rPr>
        <w:t xml:space="preserve">  </w:t>
      </w:r>
      <w:r>
        <w:rPr>
          <w:rFonts w:hint="eastAsia" w:eastAsia="宋体"/>
          <w:color w:val="auto"/>
        </w:rPr>
        <w:t>通用条款</w:t>
      </w:r>
    </w:p>
    <w:p w14:paraId="29EB882D">
      <w:pPr>
        <w:jc w:val="left"/>
        <w:rPr>
          <w:color w:val="auto"/>
        </w:rPr>
      </w:pPr>
      <w:r>
        <w:rPr>
          <w:rFonts w:hint="eastAsia" w:eastAsia="宋体"/>
          <w:color w:val="auto"/>
        </w:rPr>
        <w:t>第一章</w:t>
      </w:r>
      <w:r>
        <w:rPr>
          <w:rFonts w:hint="eastAsia"/>
          <w:color w:val="auto"/>
        </w:rPr>
        <w:t xml:space="preserve">  </w:t>
      </w:r>
      <w:r>
        <w:rPr>
          <w:rFonts w:hint="eastAsia" w:eastAsia="宋体"/>
          <w:color w:val="auto"/>
        </w:rPr>
        <w:t>总则</w:t>
      </w:r>
    </w:p>
    <w:p w14:paraId="0704E512">
      <w:pPr>
        <w:jc w:val="left"/>
        <w:rPr>
          <w:color w:val="auto"/>
        </w:rPr>
      </w:pPr>
      <w:r>
        <w:rPr>
          <w:rFonts w:hint="eastAsia" w:eastAsia="宋体"/>
          <w:color w:val="auto"/>
        </w:rPr>
        <w:t>第二章</w:t>
      </w:r>
      <w:r>
        <w:rPr>
          <w:rFonts w:hint="eastAsia"/>
          <w:color w:val="auto"/>
        </w:rPr>
        <w:t xml:space="preserve">  </w:t>
      </w:r>
      <w:r>
        <w:rPr>
          <w:rFonts w:hint="eastAsia" w:eastAsia="宋体"/>
          <w:color w:val="auto"/>
        </w:rPr>
        <w:t>招标文件</w:t>
      </w:r>
    </w:p>
    <w:p w14:paraId="3F0CEA30">
      <w:pPr>
        <w:jc w:val="left"/>
        <w:rPr>
          <w:color w:val="auto"/>
        </w:rPr>
      </w:pPr>
      <w:r>
        <w:rPr>
          <w:rFonts w:hint="eastAsia" w:eastAsia="宋体"/>
          <w:color w:val="auto"/>
        </w:rPr>
        <w:t>第三章</w:t>
      </w:r>
      <w:r>
        <w:rPr>
          <w:rFonts w:hint="eastAsia"/>
          <w:color w:val="auto"/>
        </w:rPr>
        <w:t xml:space="preserve">  </w:t>
      </w:r>
      <w:r>
        <w:rPr>
          <w:rFonts w:hint="eastAsia" w:eastAsia="宋体"/>
          <w:color w:val="auto"/>
        </w:rPr>
        <w:t>投标文件的编制</w:t>
      </w:r>
    </w:p>
    <w:p w14:paraId="2C18AF03">
      <w:pPr>
        <w:jc w:val="left"/>
        <w:rPr>
          <w:color w:val="auto"/>
        </w:rPr>
      </w:pPr>
      <w:r>
        <w:rPr>
          <w:rFonts w:hint="eastAsia" w:eastAsia="宋体"/>
          <w:color w:val="auto"/>
        </w:rPr>
        <w:t>第四章</w:t>
      </w:r>
      <w:r>
        <w:rPr>
          <w:rFonts w:hint="eastAsia"/>
          <w:color w:val="auto"/>
        </w:rPr>
        <w:t xml:space="preserve">  </w:t>
      </w:r>
      <w:r>
        <w:rPr>
          <w:rFonts w:hint="eastAsia" w:eastAsia="宋体"/>
          <w:color w:val="auto"/>
        </w:rPr>
        <w:t>投标文件的递交</w:t>
      </w:r>
    </w:p>
    <w:p w14:paraId="7C00575C">
      <w:pPr>
        <w:jc w:val="left"/>
        <w:rPr>
          <w:color w:val="auto"/>
        </w:rPr>
      </w:pPr>
      <w:r>
        <w:rPr>
          <w:rFonts w:hint="eastAsia" w:eastAsia="宋体"/>
          <w:color w:val="auto"/>
        </w:rPr>
        <w:t>第五章</w:t>
      </w:r>
      <w:r>
        <w:rPr>
          <w:rFonts w:hint="eastAsia"/>
          <w:color w:val="auto"/>
        </w:rPr>
        <w:t xml:space="preserve">  </w:t>
      </w:r>
      <w:r>
        <w:rPr>
          <w:rFonts w:hint="eastAsia" w:eastAsia="宋体"/>
          <w:color w:val="auto"/>
        </w:rPr>
        <w:t>开标</w:t>
      </w:r>
    </w:p>
    <w:p w14:paraId="0C1A1990">
      <w:pPr>
        <w:jc w:val="left"/>
        <w:rPr>
          <w:color w:val="auto"/>
        </w:rPr>
      </w:pPr>
      <w:r>
        <w:rPr>
          <w:rFonts w:hint="eastAsia" w:eastAsia="宋体"/>
          <w:color w:val="auto"/>
        </w:rPr>
        <w:t>第六章</w:t>
      </w:r>
      <w:r>
        <w:rPr>
          <w:rFonts w:hint="eastAsia"/>
          <w:color w:val="auto"/>
        </w:rPr>
        <w:t xml:space="preserve">  </w:t>
      </w:r>
      <w:r>
        <w:rPr>
          <w:rFonts w:hint="eastAsia" w:eastAsia="宋体"/>
          <w:color w:val="auto"/>
        </w:rPr>
        <w:t>评审要求</w:t>
      </w:r>
    </w:p>
    <w:p w14:paraId="748C5DC0">
      <w:pPr>
        <w:jc w:val="left"/>
        <w:rPr>
          <w:color w:val="auto"/>
        </w:rPr>
      </w:pPr>
      <w:r>
        <w:rPr>
          <w:rFonts w:hint="eastAsia" w:eastAsia="宋体"/>
          <w:color w:val="auto"/>
        </w:rPr>
        <w:t>第七章</w:t>
      </w:r>
      <w:r>
        <w:rPr>
          <w:rFonts w:hint="eastAsia"/>
          <w:color w:val="auto"/>
        </w:rPr>
        <w:t xml:space="preserve">  </w:t>
      </w:r>
      <w:r>
        <w:rPr>
          <w:rFonts w:hint="eastAsia" w:eastAsia="宋体"/>
          <w:color w:val="auto"/>
        </w:rPr>
        <w:t>评审程序及评审方法</w:t>
      </w:r>
    </w:p>
    <w:p w14:paraId="50479CE0">
      <w:pPr>
        <w:jc w:val="left"/>
        <w:rPr>
          <w:color w:val="auto"/>
        </w:rPr>
      </w:pPr>
      <w:r>
        <w:rPr>
          <w:rFonts w:hint="eastAsia" w:eastAsia="宋体"/>
          <w:color w:val="auto"/>
        </w:rPr>
        <w:t>第八章</w:t>
      </w:r>
      <w:r>
        <w:rPr>
          <w:rFonts w:hint="eastAsia"/>
          <w:color w:val="auto"/>
        </w:rPr>
        <w:t xml:space="preserve">  </w:t>
      </w:r>
      <w:r>
        <w:rPr>
          <w:rFonts w:hint="eastAsia" w:eastAsia="宋体"/>
          <w:color w:val="auto"/>
        </w:rPr>
        <w:t>定标及公示</w:t>
      </w:r>
    </w:p>
    <w:p w14:paraId="23FE1F30">
      <w:pPr>
        <w:jc w:val="left"/>
        <w:rPr>
          <w:color w:val="auto"/>
        </w:rPr>
      </w:pPr>
      <w:r>
        <w:rPr>
          <w:rFonts w:hint="eastAsia" w:eastAsia="宋体"/>
          <w:color w:val="auto"/>
        </w:rPr>
        <w:t>第九章</w:t>
      </w:r>
      <w:r>
        <w:rPr>
          <w:rFonts w:hint="eastAsia"/>
          <w:color w:val="auto"/>
        </w:rPr>
        <w:t xml:space="preserve">  </w:t>
      </w:r>
      <w:r>
        <w:rPr>
          <w:rFonts w:hint="eastAsia" w:eastAsia="宋体"/>
          <w:color w:val="auto"/>
        </w:rPr>
        <w:t>公开招标失败的后续处理</w:t>
      </w:r>
    </w:p>
    <w:p w14:paraId="6E6546AE">
      <w:pPr>
        <w:jc w:val="left"/>
        <w:rPr>
          <w:color w:val="auto"/>
        </w:rPr>
      </w:pPr>
      <w:r>
        <w:rPr>
          <w:rFonts w:hint="eastAsia" w:eastAsia="宋体"/>
          <w:color w:val="auto"/>
        </w:rPr>
        <w:t>第十章</w:t>
      </w:r>
      <w:r>
        <w:rPr>
          <w:rFonts w:hint="eastAsia"/>
          <w:color w:val="auto"/>
        </w:rPr>
        <w:t xml:space="preserve">  </w:t>
      </w:r>
      <w:r>
        <w:rPr>
          <w:rFonts w:hint="eastAsia" w:eastAsia="宋体"/>
          <w:color w:val="auto"/>
        </w:rPr>
        <w:t>合同的授予与备案</w:t>
      </w:r>
    </w:p>
    <w:p w14:paraId="4CE91616">
      <w:pPr>
        <w:jc w:val="left"/>
        <w:rPr>
          <w:color w:val="auto"/>
        </w:rPr>
      </w:pPr>
      <w:r>
        <w:rPr>
          <w:rFonts w:hint="eastAsia" w:eastAsia="宋体"/>
          <w:color w:val="auto"/>
        </w:rPr>
        <w:t>第十一章</w:t>
      </w:r>
      <w:r>
        <w:rPr>
          <w:rFonts w:hint="eastAsia"/>
          <w:color w:val="auto"/>
        </w:rPr>
        <w:t xml:space="preserve">  </w:t>
      </w:r>
      <w:r>
        <w:rPr>
          <w:rFonts w:hint="eastAsia" w:eastAsia="宋体"/>
          <w:color w:val="auto"/>
        </w:rPr>
        <w:t>质疑处理</w:t>
      </w:r>
    </w:p>
    <w:p w14:paraId="5D96C161">
      <w:pPr>
        <w:jc w:val="left"/>
        <w:rPr>
          <w:color w:val="auto"/>
        </w:rPr>
      </w:pPr>
      <w:r>
        <w:rPr>
          <w:rFonts w:hint="eastAsia" w:eastAsia="宋体"/>
          <w:color w:val="auto"/>
        </w:rPr>
        <w:t>第十二章</w:t>
      </w:r>
      <w:r>
        <w:rPr>
          <w:rFonts w:hint="eastAsia"/>
          <w:color w:val="auto"/>
        </w:rPr>
        <w:t xml:space="preserve">  </w:t>
      </w:r>
      <w:r>
        <w:rPr>
          <w:rFonts w:hint="eastAsia" w:eastAsia="宋体"/>
          <w:color w:val="auto"/>
        </w:rPr>
        <w:t>招标代理服务费（可选项）</w:t>
      </w:r>
    </w:p>
    <w:p w14:paraId="5DC51275">
      <w:pPr>
        <w:rPr>
          <w:color w:val="auto"/>
        </w:rPr>
      </w:pPr>
    </w:p>
    <w:p w14:paraId="78E1CED5">
      <w:pPr>
        <w:pStyle w:val="3"/>
        <w:spacing w:line="240" w:lineRule="auto"/>
        <w:rPr>
          <w:color w:val="auto"/>
          <w:sz w:val="24"/>
        </w:rPr>
      </w:pPr>
      <w:r>
        <w:rPr>
          <w:color w:val="auto"/>
        </w:rPr>
        <w:br w:type="page"/>
      </w:r>
      <w:bookmarkStart w:id="4" w:name="bt投标人情况介绍"/>
      <w:bookmarkEnd w:id="4"/>
      <w:bookmarkStart w:id="5" w:name="bt商务标投标文件格式"/>
      <w:bookmarkEnd w:id="5"/>
      <w:bookmarkStart w:id="6" w:name="bt投标报价汇总表"/>
      <w:bookmarkEnd w:id="6"/>
      <w:bookmarkStart w:id="7" w:name="bt投标文件签署授权委托书"/>
      <w:bookmarkEnd w:id="7"/>
      <w:bookmarkStart w:id="8" w:name="bt投标人须知"/>
      <w:bookmarkEnd w:id="8"/>
      <w:bookmarkStart w:id="9" w:name="bt本工程承诺书"/>
      <w:bookmarkEnd w:id="9"/>
      <w:bookmarkStart w:id="10" w:name="bt合同格式"/>
      <w:bookmarkEnd w:id="10"/>
      <w:bookmarkStart w:id="11" w:name="bt技术标投标文件格式"/>
      <w:bookmarkEnd w:id="11"/>
      <w:bookmarkStart w:id="12" w:name="bt其他资料由投标人自定"/>
      <w:bookmarkEnd w:id="12"/>
      <w:bookmarkStart w:id="13" w:name="bt合同条款及格式"/>
      <w:bookmarkEnd w:id="13"/>
      <w:bookmarkStart w:id="14" w:name="bt其他资料2"/>
      <w:bookmarkEnd w:id="14"/>
      <w:bookmarkStart w:id="15" w:name="bt投标函"/>
      <w:bookmarkEnd w:id="15"/>
      <w:bookmarkStart w:id="16" w:name="bt开标一览表"/>
      <w:bookmarkEnd w:id="16"/>
      <w:bookmarkStart w:id="17" w:name="bt项目管理班子配备情况"/>
      <w:bookmarkEnd w:id="17"/>
      <w:bookmarkStart w:id="18" w:name="bt合同条款"/>
      <w:bookmarkEnd w:id="18"/>
      <w:bookmarkStart w:id="19" w:name="bt说明"/>
      <w:bookmarkEnd w:id="19"/>
      <w:bookmarkStart w:id="20" w:name="合同格式"/>
      <w:bookmarkEnd w:id="20"/>
      <w:r>
        <w:rPr>
          <w:rFonts w:hint="eastAsia"/>
          <w:color w:val="auto"/>
        </w:rPr>
        <w:t>第一册专用条款</w:t>
      </w:r>
    </w:p>
    <w:p w14:paraId="0ECB73B7">
      <w:pPr>
        <w:pStyle w:val="6"/>
        <w:numPr>
          <w:ilvl w:val="0"/>
          <w:numId w:val="1"/>
        </w:numPr>
        <w:rPr>
          <w:color w:val="auto"/>
        </w:rPr>
      </w:pPr>
      <w:r>
        <w:rPr>
          <w:rFonts w:hint="eastAsia"/>
          <w:color w:val="auto"/>
        </w:rPr>
        <w:t xml:space="preserve"> 招标公告  </w:t>
      </w:r>
    </w:p>
    <w:p w14:paraId="525578C1">
      <w:pPr>
        <w:spacing w:line="360" w:lineRule="auto"/>
        <w:ind w:firstLine="0"/>
        <w:jc w:val="both"/>
        <w:rPr>
          <w:rFonts w:eastAsia="宋体"/>
          <w:b/>
          <w:bCs/>
          <w:color w:val="auto"/>
          <w:highlight w:val="none"/>
        </w:rPr>
      </w:pPr>
      <w:r>
        <w:rPr>
          <w:rFonts w:hint="default" w:eastAsia="宋体"/>
          <w:b/>
          <w:bCs/>
          <w:color w:val="auto"/>
          <w:highlight w:val="none"/>
          <w:lang w:val="en-US" w:eastAsia="zh-CN"/>
        </w:rPr>
        <w:t>一、</w:t>
      </w:r>
      <w:r>
        <w:rPr>
          <w:rFonts w:hint="default" w:eastAsia="宋体"/>
          <w:b/>
          <w:bCs/>
          <w:color w:val="auto"/>
          <w:highlight w:val="none"/>
        </w:rPr>
        <w:t>项目概况</w:t>
      </w:r>
    </w:p>
    <w:p w14:paraId="0ABA511B">
      <w:pPr>
        <w:spacing w:line="360" w:lineRule="auto"/>
        <w:ind w:firstLine="480" w:firstLineChars="200"/>
        <w:jc w:val="both"/>
        <w:rPr>
          <w:color w:val="auto"/>
          <w:szCs w:val="21"/>
          <w:highlight w:val="none"/>
        </w:rPr>
      </w:pPr>
      <w:r>
        <w:rPr>
          <w:rFonts w:hint="eastAsia" w:ascii="宋体" w:hAnsi="宋体" w:eastAsia="宋体" w:cs="宋体"/>
          <w:color w:val="auto"/>
          <w:highlight w:val="none"/>
          <w:lang w:eastAsia="zh-CN"/>
        </w:rPr>
        <w:t>深圳市盐</w:t>
      </w:r>
      <w:r>
        <w:rPr>
          <w:rFonts w:hint="eastAsia" w:ascii="宋体" w:hAnsi="宋体" w:eastAsia="宋体" w:cs="宋体"/>
          <w:color w:val="auto"/>
          <w:highlight w:val="none"/>
          <w:lang w:val="en-US" w:eastAsia="zh-CN"/>
        </w:rPr>
        <w:t>田</w:t>
      </w:r>
      <w:r>
        <w:rPr>
          <w:rFonts w:hint="eastAsia" w:ascii="宋体" w:hAnsi="宋体" w:eastAsia="宋体" w:cs="宋体"/>
          <w:color w:val="auto"/>
          <w:highlight w:val="none"/>
          <w:lang w:eastAsia="zh-CN"/>
        </w:rPr>
        <w:t>区危险边坡和建筑挡墙</w:t>
      </w:r>
      <w:r>
        <w:rPr>
          <w:rFonts w:hint="eastAsia" w:ascii="宋体" w:hAnsi="宋体" w:eastAsia="宋体" w:cs="宋体"/>
          <w:color w:val="auto"/>
          <w:highlight w:val="none"/>
          <w:lang w:val="en-US" w:eastAsia="zh-CN"/>
        </w:rPr>
        <w:t>人工</w:t>
      </w:r>
      <w:r>
        <w:rPr>
          <w:rFonts w:hint="eastAsia" w:ascii="宋体" w:hAnsi="宋体" w:eastAsia="宋体" w:cs="宋体"/>
          <w:color w:val="auto"/>
          <w:highlight w:val="none"/>
          <w:lang w:eastAsia="zh-CN"/>
        </w:rPr>
        <w:t>监测服务</w:t>
      </w:r>
      <w:r>
        <w:rPr>
          <w:rFonts w:hint="eastAsia" w:eastAsia="宋体"/>
          <w:color w:val="auto"/>
          <w:highlight w:val="none"/>
        </w:rPr>
        <w:t>招标项目的潜在投标人应在（本公告附件中）获取招标文件，并于</w:t>
      </w:r>
      <w:r>
        <w:rPr>
          <w:rFonts w:hint="eastAsia"/>
          <w:b/>
          <w:bCs/>
          <w:color w:val="auto"/>
          <w:szCs w:val="21"/>
          <w:highlight w:val="none"/>
        </w:rPr>
        <w:t>202</w:t>
      </w:r>
      <w:r>
        <w:rPr>
          <w:rFonts w:hint="eastAsia" w:eastAsia="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日</w:t>
      </w:r>
      <w:r>
        <w:rPr>
          <w:rFonts w:hint="eastAsia" w:eastAsia="宋体"/>
          <w:b/>
          <w:bCs/>
          <w:color w:val="auto"/>
          <w:szCs w:val="21"/>
          <w:highlight w:val="none"/>
          <w:lang w:val="en-US" w:eastAsia="zh-CN"/>
        </w:rPr>
        <w:t>14</w:t>
      </w:r>
      <w:r>
        <w:rPr>
          <w:rFonts w:hint="eastAsia" w:eastAsia="宋体"/>
          <w:b/>
          <w:bCs/>
          <w:color w:val="auto"/>
          <w:szCs w:val="21"/>
          <w:highlight w:val="none"/>
        </w:rPr>
        <w:t xml:space="preserve"> </w:t>
      </w:r>
      <w:r>
        <w:rPr>
          <w:rFonts w:hint="eastAsia" w:ascii="宋体" w:hAnsi="宋体" w:eastAsia="宋体" w:cs="宋体"/>
          <w:b/>
          <w:bCs/>
          <w:color w:val="auto"/>
          <w:szCs w:val="21"/>
          <w:highlight w:val="none"/>
        </w:rPr>
        <w:t>时</w:t>
      </w:r>
      <w:r>
        <w:rPr>
          <w:rFonts w:hint="eastAsia" w:eastAsia="宋体"/>
          <w:b/>
          <w:bCs/>
          <w:color w:val="auto"/>
          <w:szCs w:val="21"/>
          <w:highlight w:val="none"/>
          <w:lang w:val="en-US" w:eastAsia="zh-CN"/>
        </w:rPr>
        <w:t>3</w:t>
      </w:r>
      <w:r>
        <w:rPr>
          <w:rFonts w:hint="eastAsia"/>
          <w:b/>
          <w:bCs/>
          <w:color w:val="auto"/>
          <w:szCs w:val="21"/>
          <w:highlight w:val="none"/>
        </w:rPr>
        <w:t>0</w:t>
      </w:r>
      <w:r>
        <w:rPr>
          <w:rFonts w:hint="eastAsia" w:ascii="宋体" w:hAnsi="宋体" w:eastAsia="宋体" w:cs="宋体"/>
          <w:b/>
          <w:bCs/>
          <w:color w:val="auto"/>
          <w:szCs w:val="21"/>
          <w:highlight w:val="none"/>
        </w:rPr>
        <w:t>分</w:t>
      </w:r>
      <w:r>
        <w:rPr>
          <w:rFonts w:hint="eastAsia" w:eastAsia="宋体"/>
          <w:b/>
          <w:bCs/>
          <w:color w:val="auto"/>
          <w:highlight w:val="none"/>
        </w:rPr>
        <w:t>（北京时间）</w:t>
      </w:r>
      <w:r>
        <w:rPr>
          <w:rFonts w:hint="eastAsia" w:eastAsia="宋体"/>
          <w:color w:val="auto"/>
          <w:highlight w:val="none"/>
        </w:rPr>
        <w:t>前递交投标文件。</w:t>
      </w:r>
    </w:p>
    <w:p w14:paraId="02CFD5C1">
      <w:pPr>
        <w:spacing w:line="360" w:lineRule="auto"/>
        <w:ind w:firstLine="0"/>
        <w:jc w:val="both"/>
        <w:rPr>
          <w:rFonts w:eastAsia="宋体"/>
          <w:b/>
          <w:bCs/>
          <w:color w:val="auto"/>
          <w:highlight w:val="none"/>
        </w:rPr>
      </w:pPr>
      <w:r>
        <w:rPr>
          <w:rFonts w:hint="eastAsia" w:eastAsia="宋体"/>
          <w:b/>
          <w:bCs/>
          <w:color w:val="auto"/>
          <w:highlight w:val="none"/>
          <w:lang w:val="en-US" w:eastAsia="zh-CN"/>
        </w:rPr>
        <w:t>二</w:t>
      </w:r>
      <w:r>
        <w:rPr>
          <w:rFonts w:hint="eastAsia" w:eastAsia="宋体"/>
          <w:b/>
          <w:bCs/>
          <w:color w:val="auto"/>
          <w:highlight w:val="none"/>
        </w:rPr>
        <w:t>、项目基本情况</w:t>
      </w:r>
    </w:p>
    <w:p w14:paraId="1CF3BF0E">
      <w:pPr>
        <w:spacing w:line="360" w:lineRule="auto"/>
        <w:ind w:firstLine="48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1.项目编号：</w:t>
      </w:r>
      <w:r>
        <w:rPr>
          <w:rFonts w:hint="eastAsia" w:ascii="宋体" w:hAnsi="宋体" w:eastAsia="宋体" w:cs="宋体"/>
          <w:color w:val="auto"/>
          <w:highlight w:val="none"/>
          <w:lang w:eastAsia="zh-CN"/>
        </w:rPr>
        <w:t>YTYJGL-20250718</w:t>
      </w:r>
    </w:p>
    <w:p w14:paraId="47E7CBDF">
      <w:pPr>
        <w:spacing w:line="360" w:lineRule="auto"/>
        <w:ind w:firstLine="48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2.项目名称： </w:t>
      </w:r>
      <w:r>
        <w:rPr>
          <w:rFonts w:hint="eastAsia" w:ascii="宋体" w:hAnsi="宋体" w:eastAsia="宋体" w:cs="宋体"/>
          <w:color w:val="auto"/>
          <w:highlight w:val="none"/>
          <w:lang w:eastAsia="zh-CN"/>
        </w:rPr>
        <w:t>深圳市盐田区危险边坡和建筑挡墙人工监测服务</w:t>
      </w:r>
    </w:p>
    <w:p w14:paraId="09D8E6EA">
      <w:pPr>
        <w:spacing w:line="360" w:lineRule="auto"/>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highlight w:val="none"/>
        </w:rPr>
        <w:t>3.预算金额：</w:t>
      </w:r>
      <w:r>
        <w:rPr>
          <w:rFonts w:hint="eastAsia" w:ascii="宋体" w:hAnsi="宋体" w:eastAsia="宋体" w:cs="宋体"/>
          <w:b w:val="0"/>
          <w:bCs w:val="0"/>
          <w:color w:val="auto"/>
          <w:sz w:val="24"/>
          <w:szCs w:val="24"/>
          <w:highlight w:val="none"/>
        </w:rPr>
        <w:t>人民币</w:t>
      </w:r>
      <w:r>
        <w:rPr>
          <w:rFonts w:hint="eastAsia" w:ascii="宋体" w:hAnsi="宋体" w:eastAsia="宋体" w:cs="宋体"/>
          <w:b w:val="0"/>
          <w:bCs w:val="0"/>
          <w:color w:val="auto"/>
          <w:sz w:val="24"/>
          <w:szCs w:val="24"/>
          <w:highlight w:val="none"/>
          <w:lang w:val="en-US" w:eastAsia="zh-CN"/>
        </w:rPr>
        <w:t>壹佰叁拾万零陆仟贰佰元整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¥1,306,200.00</w:t>
      </w:r>
      <w:r>
        <w:rPr>
          <w:rFonts w:hint="eastAsia" w:ascii="宋体" w:hAnsi="宋体" w:eastAsia="宋体" w:cs="宋体"/>
          <w:b w:val="0"/>
          <w:bCs w:val="0"/>
          <w:color w:val="auto"/>
          <w:sz w:val="24"/>
          <w:szCs w:val="24"/>
          <w:highlight w:val="none"/>
          <w:lang w:eastAsia="zh-CN"/>
        </w:rPr>
        <w:t>）</w:t>
      </w:r>
    </w:p>
    <w:p w14:paraId="54D9B1BB">
      <w:pPr>
        <w:spacing w:line="360" w:lineRule="auto"/>
        <w:ind w:firstLine="480" w:firstLineChars="200"/>
        <w:jc w:val="both"/>
        <w:rPr>
          <w:rFonts w:ascii="宋体" w:hAnsi="宋体" w:eastAsia="宋体" w:cs="宋体"/>
          <w:color w:val="auto"/>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人民币</w:t>
      </w:r>
      <w:r>
        <w:rPr>
          <w:rFonts w:hint="eastAsia" w:ascii="宋体" w:hAnsi="宋体" w:eastAsia="宋体" w:cs="宋体"/>
          <w:b w:val="0"/>
          <w:bCs w:val="0"/>
          <w:color w:val="auto"/>
          <w:sz w:val="24"/>
          <w:szCs w:val="24"/>
          <w:highlight w:val="none"/>
          <w:lang w:val="en-US" w:eastAsia="zh-CN"/>
        </w:rPr>
        <w:t>壹佰叁拾万零陆仟贰佰元整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¥1,306,200.00</w:t>
      </w:r>
      <w:r>
        <w:rPr>
          <w:rFonts w:hint="eastAsia" w:ascii="宋体" w:hAnsi="宋体" w:eastAsia="宋体" w:cs="宋体"/>
          <w:b w:val="0"/>
          <w:bCs w:val="0"/>
          <w:color w:val="auto"/>
          <w:sz w:val="24"/>
          <w:szCs w:val="24"/>
          <w:highlight w:val="none"/>
          <w:lang w:eastAsia="zh-CN"/>
        </w:rPr>
        <w:t>）</w:t>
      </w:r>
    </w:p>
    <w:p w14:paraId="6D5EC7CE">
      <w:pPr>
        <w:spacing w:line="360" w:lineRule="auto"/>
        <w:ind w:firstLine="480" w:firstLineChars="200"/>
        <w:jc w:val="both"/>
        <w:rPr>
          <w:rFonts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.采购需求：</w:t>
      </w:r>
    </w:p>
    <w:tbl>
      <w:tblPr>
        <w:tblStyle w:val="18"/>
        <w:tblW w:w="9767" w:type="dxa"/>
        <w:jc w:val="center"/>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3637"/>
        <w:gridCol w:w="851"/>
        <w:gridCol w:w="660"/>
        <w:gridCol w:w="4619"/>
      </w:tblGrid>
      <w:tr w14:paraId="3748BF70">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301" w:hRule="atLeast"/>
          <w:jc w:val="center"/>
        </w:trPr>
        <w:tc>
          <w:tcPr>
            <w:tcW w:w="3637"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48415E51">
            <w:pPr>
              <w:spacing w:line="360" w:lineRule="auto"/>
              <w:rPr>
                <w:color w:val="auto"/>
                <w:highlight w:val="none"/>
              </w:rPr>
            </w:pPr>
            <w:r>
              <w:rPr>
                <w:rFonts w:hint="eastAsia" w:eastAsia="宋体"/>
                <w:color w:val="auto"/>
                <w:highlight w:val="none"/>
              </w:rPr>
              <w:t>标的名称</w:t>
            </w:r>
          </w:p>
        </w:tc>
        <w:tc>
          <w:tcPr>
            <w:tcW w:w="851"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52CB1757">
            <w:pPr>
              <w:spacing w:line="360" w:lineRule="auto"/>
              <w:rPr>
                <w:color w:val="auto"/>
                <w:highlight w:val="none"/>
              </w:rPr>
            </w:pPr>
            <w:r>
              <w:rPr>
                <w:rFonts w:hint="eastAsia" w:eastAsia="宋体"/>
                <w:color w:val="auto"/>
                <w:highlight w:val="none"/>
              </w:rPr>
              <w:t>数量</w:t>
            </w:r>
          </w:p>
        </w:tc>
        <w:tc>
          <w:tcPr>
            <w:tcW w:w="660"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770E3A83">
            <w:pPr>
              <w:spacing w:line="360" w:lineRule="auto"/>
              <w:rPr>
                <w:color w:val="auto"/>
                <w:highlight w:val="none"/>
              </w:rPr>
            </w:pPr>
            <w:r>
              <w:rPr>
                <w:rFonts w:hint="eastAsia" w:eastAsia="宋体"/>
                <w:color w:val="auto"/>
                <w:highlight w:val="none"/>
              </w:rPr>
              <w:t>单位</w:t>
            </w:r>
          </w:p>
        </w:tc>
        <w:tc>
          <w:tcPr>
            <w:tcW w:w="4619"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39EC97AF">
            <w:pPr>
              <w:spacing w:line="360" w:lineRule="auto"/>
              <w:rPr>
                <w:color w:val="auto"/>
                <w:highlight w:val="none"/>
              </w:rPr>
            </w:pPr>
            <w:r>
              <w:rPr>
                <w:rFonts w:hint="eastAsia" w:eastAsia="宋体"/>
                <w:color w:val="auto"/>
                <w:highlight w:val="none"/>
              </w:rPr>
              <w:t>简要技术需求（服务需求）</w:t>
            </w:r>
          </w:p>
        </w:tc>
      </w:tr>
      <w:tr w14:paraId="1824844B">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1525" w:hRule="atLeast"/>
          <w:jc w:val="center"/>
        </w:trPr>
        <w:tc>
          <w:tcPr>
            <w:tcW w:w="3637" w:type="dxa"/>
            <w:tcBorders>
              <w:top w:val="outset" w:color="AAAAAA" w:sz="6" w:space="0"/>
              <w:left w:val="outset" w:color="AAAAAA" w:sz="6" w:space="0"/>
              <w:bottom w:val="outset" w:color="AAAAAA" w:sz="6" w:space="0"/>
              <w:right w:val="outset" w:color="AAAAAA" w:sz="6" w:space="0"/>
            </w:tcBorders>
            <w:vAlign w:val="center"/>
          </w:tcPr>
          <w:p w14:paraId="5A34777F">
            <w:pPr>
              <w:spacing w:line="360" w:lineRule="auto"/>
              <w:rPr>
                <w:rFonts w:hint="eastAsia" w:ascii="宋体" w:hAnsi="宋体" w:eastAsia="宋体"/>
                <w:color w:val="auto"/>
                <w:highlight w:val="none"/>
                <w:lang w:eastAsia="zh-CN"/>
              </w:rPr>
            </w:pPr>
            <w:r>
              <w:rPr>
                <w:rFonts w:hint="eastAsia" w:ascii="宋体" w:hAnsi="宋体" w:eastAsia="宋体" w:cs="宋体"/>
                <w:color w:val="auto"/>
                <w:highlight w:val="none"/>
                <w:lang w:eastAsia="zh-CN"/>
              </w:rPr>
              <w:t>深圳市盐田区危险边坡和建筑挡墙人工监测服务</w:t>
            </w:r>
          </w:p>
        </w:tc>
        <w:tc>
          <w:tcPr>
            <w:tcW w:w="851" w:type="dxa"/>
            <w:tcBorders>
              <w:top w:val="outset" w:color="AAAAAA" w:sz="6" w:space="0"/>
              <w:left w:val="outset" w:color="AAAAAA" w:sz="6" w:space="0"/>
              <w:bottom w:val="outset" w:color="AAAAAA" w:sz="6" w:space="0"/>
              <w:right w:val="outset" w:color="AAAAAA" w:sz="6" w:space="0"/>
            </w:tcBorders>
            <w:vAlign w:val="center"/>
          </w:tcPr>
          <w:p w14:paraId="74749C6A">
            <w:pPr>
              <w:spacing w:line="360" w:lineRule="auto"/>
              <w:rPr>
                <w:color w:val="auto"/>
                <w:highlight w:val="none"/>
              </w:rPr>
            </w:pPr>
            <w:r>
              <w:rPr>
                <w:color w:val="auto"/>
                <w:highlight w:val="none"/>
              </w:rPr>
              <w:t>1.0</w:t>
            </w:r>
          </w:p>
        </w:tc>
        <w:tc>
          <w:tcPr>
            <w:tcW w:w="660" w:type="dxa"/>
            <w:tcBorders>
              <w:top w:val="outset" w:color="AAAAAA" w:sz="6" w:space="0"/>
              <w:left w:val="outset" w:color="AAAAAA" w:sz="6" w:space="0"/>
              <w:bottom w:val="outset" w:color="AAAAAA" w:sz="6" w:space="0"/>
              <w:right w:val="outset" w:color="AAAAAA" w:sz="6" w:space="0"/>
            </w:tcBorders>
            <w:vAlign w:val="center"/>
          </w:tcPr>
          <w:p w14:paraId="2572C2ED">
            <w:pPr>
              <w:spacing w:line="360" w:lineRule="auto"/>
              <w:rPr>
                <w:color w:val="auto"/>
                <w:highlight w:val="none"/>
              </w:rPr>
            </w:pPr>
            <w:r>
              <w:rPr>
                <w:rFonts w:hint="eastAsia" w:eastAsia="宋体"/>
                <w:color w:val="auto"/>
                <w:highlight w:val="none"/>
              </w:rPr>
              <w:t>项</w:t>
            </w:r>
          </w:p>
        </w:tc>
        <w:tc>
          <w:tcPr>
            <w:tcW w:w="4619" w:type="dxa"/>
            <w:tcBorders>
              <w:top w:val="outset" w:color="AAAAAA" w:sz="6" w:space="0"/>
              <w:left w:val="outset" w:color="AAAAAA" w:sz="6" w:space="0"/>
              <w:bottom w:val="outset" w:color="AAAAAA" w:sz="6" w:space="0"/>
              <w:right w:val="outset" w:color="AAAAAA" w:sz="6" w:space="0"/>
            </w:tcBorders>
            <w:vAlign w:val="center"/>
          </w:tcPr>
          <w:p w14:paraId="23741B61">
            <w:pPr>
              <w:spacing w:line="360" w:lineRule="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对盐⽥区48处地质灾害隐患点情况进⾏⼈⼯监测服务，为全区地质灾害监管⼯作提供科学、详细、客观的依据。协助盐⽥区地质灾害管理部⻔开展地质灾害防治宣传⼯作。</w:t>
            </w:r>
          </w:p>
        </w:tc>
      </w:tr>
    </w:tbl>
    <w:p w14:paraId="6FA92ACF">
      <w:pPr>
        <w:spacing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合同履行期限：</w:t>
      </w:r>
      <w:r>
        <w:rPr>
          <w:color w:val="auto"/>
        </w:rPr>
        <w:t>本项目为长期服务项目</w:t>
      </w:r>
      <w:r>
        <w:rPr>
          <w:rFonts w:hint="eastAsia"/>
          <w:color w:val="auto"/>
        </w:rPr>
        <w:t>，</w:t>
      </w:r>
      <w:r>
        <w:rPr>
          <w:color w:val="auto"/>
        </w:rPr>
        <w:t>此次招标服务期为</w:t>
      </w:r>
      <w:r>
        <w:rPr>
          <w:rFonts w:hint="eastAsia" w:eastAsia="宋体"/>
          <w:color w:val="auto"/>
          <w:lang w:val="en-US" w:eastAsia="zh-CN"/>
        </w:rPr>
        <w:t>1年</w:t>
      </w:r>
      <w:r>
        <w:rPr>
          <w:rFonts w:hint="eastAsia"/>
          <w:color w:val="auto"/>
        </w:rPr>
        <w:t>，</w:t>
      </w:r>
      <w:r>
        <w:rPr>
          <w:rFonts w:hint="default" w:ascii="Times New Roman" w:hAnsi="Times New Roman" w:eastAsia="Times New Roman"/>
          <w:bCs w:val="0"/>
          <w:color w:val="auto"/>
          <w:szCs w:val="24"/>
        </w:rPr>
        <w:t>总服务期限为3年</w:t>
      </w:r>
      <w:r>
        <w:rPr>
          <w:rFonts w:hint="eastAsia" w:asciiTheme="minorEastAsia" w:hAnsiTheme="minorEastAsia" w:eastAsiaTheme="minorEastAsia"/>
          <w:color w:val="auto"/>
          <w:szCs w:val="21"/>
        </w:rPr>
        <w:t>，合同将按年度签署，即一年一签。</w:t>
      </w:r>
    </w:p>
    <w:p w14:paraId="0AAFB3A7">
      <w:pPr>
        <w:spacing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落实政府采购政策需满足的资格要求：无</w:t>
      </w:r>
    </w:p>
    <w:p w14:paraId="6D45FFD4">
      <w:pPr>
        <w:spacing w:line="360" w:lineRule="auto"/>
        <w:ind w:left="0" w:leftChars="0" w:firstLine="480" w:firstLineChars="200"/>
        <w:jc w:val="both"/>
        <w:rPr>
          <w:rFonts w:hint="eastAsia" w:ascii="Times New Roman" w:hAnsi="Times New Roman" w:eastAsia="宋体" w:cs="Times New Roman"/>
          <w:b/>
          <w:bCs/>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本项目的特定资格要求：无</w:t>
      </w:r>
    </w:p>
    <w:p w14:paraId="2F89138C">
      <w:pPr>
        <w:spacing w:line="360" w:lineRule="auto"/>
        <w:ind w:firstLine="0"/>
        <w:jc w:val="both"/>
        <w:rPr>
          <w:rFonts w:eastAsia="宋体"/>
          <w:b/>
          <w:bCs/>
          <w:color w:val="auto"/>
          <w:highlight w:val="none"/>
        </w:rPr>
      </w:pPr>
      <w:r>
        <w:rPr>
          <w:rFonts w:hint="eastAsia" w:eastAsia="宋体"/>
          <w:b/>
          <w:bCs/>
          <w:color w:val="auto"/>
          <w:highlight w:val="none"/>
          <w:lang w:val="en-US" w:eastAsia="zh-CN"/>
        </w:rPr>
        <w:t>三</w:t>
      </w:r>
      <w:r>
        <w:rPr>
          <w:rFonts w:hint="eastAsia" w:eastAsia="宋体"/>
          <w:b/>
          <w:bCs/>
          <w:color w:val="auto"/>
          <w:highlight w:val="none"/>
        </w:rPr>
        <w:t>、申请人的资格要求：</w:t>
      </w:r>
    </w:p>
    <w:p w14:paraId="746816E4">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1.投标人必须是在中华人民共和国境内注册的独立法人（证明文件：须提供营业执照或法人证书复印件加盖投标人公章）；</w:t>
      </w:r>
    </w:p>
    <w:p w14:paraId="0ED4892F">
      <w:pPr>
        <w:spacing w:line="360" w:lineRule="auto"/>
        <w:ind w:left="480" w:leftChars="200" w:firstLine="0" w:firstLineChars="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2.投标人应具备以下资质(需在有效期内)：地质灾害评估和治理工程勘查设计甲级资质；3.参与投标的供应商近三年内无行贿犯罪记录、无重大违法记录（提供承诺函加盖投标人公章，格式自拟）；</w:t>
      </w:r>
    </w:p>
    <w:p w14:paraId="210C9947">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4.参与本项目政府采购活动时不存在被有关部门禁止参与政府采购活动且在有效期内的情况（提供承诺函加盖投标人公章，格式自拟）；</w:t>
      </w:r>
    </w:p>
    <w:p w14:paraId="2AD98FF3">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5.我公司具备《中华人民共和国政府采购法》第二十二条第一款的条件（提供承诺函加盖投标人公章，格式自拟）；</w:t>
      </w:r>
    </w:p>
    <w:p w14:paraId="0582F069">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6.参与政府采购项目投标的供应商未被列入失信被执行人、重大税收违法案件当事人名单、政府采购严重违法失信行为记录名单（提供承诺函加盖投标人公章，格式自拟）；</w:t>
      </w:r>
    </w:p>
    <w:p w14:paraId="42F2954D">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7.本项目不接受联合体投标，不接受投标人选用进口产品参与投标；（提供承诺函加盖投标人公章，格式自拟）；</w:t>
      </w:r>
    </w:p>
    <w:p w14:paraId="60E89E14">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8.本项目投标截止时间前，采购代理机构将提供通过查询“信用中国”网站(www.creditchina.gov.cn)没有以下任意记录名单之一：①记录失信被执行人；②重大税收违法案件当事人名单。</w:t>
      </w:r>
    </w:p>
    <w:p w14:paraId="047CFFED">
      <w:pPr>
        <w:spacing w:line="360" w:lineRule="auto"/>
        <w:ind w:firstLine="480" w:firstLineChars="200"/>
        <w:jc w:val="both"/>
        <w:rPr>
          <w:rFonts w:hint="eastAsia"/>
          <w:lang w:val="en-US" w:eastAsia="zh-CN"/>
        </w:rPr>
      </w:pPr>
      <w:r>
        <w:rPr>
          <w:rFonts w:hint="eastAsia" w:ascii="宋体" w:hAnsi="宋体" w:eastAsia="宋体" w:cs="宋体"/>
          <w:color w:val="auto"/>
          <w:highlight w:val="none"/>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35AE504">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备注：中标单位的信用信息以中标通知书发出前的查询结果为准，信用信息查询记录和证据留存的具体方式为打印网页截图，信用信息查询记录及相关证据将作为项目档案材料一并保存。</w:t>
      </w:r>
    </w:p>
    <w:p w14:paraId="4A1E5A57">
      <w:pPr>
        <w:keepNext/>
        <w:keepLines/>
        <w:spacing w:line="312" w:lineRule="auto"/>
        <w:jc w:val="left"/>
        <w:outlineLvl w:val="1"/>
        <w:rPr>
          <w:rFonts w:hint="eastAsia" w:ascii="宋体" w:hAnsi="宋体" w:cs="宋体"/>
          <w:szCs w:val="21"/>
          <w:highlight w:val="none"/>
        </w:rPr>
      </w:pPr>
      <w:r>
        <w:rPr>
          <w:rFonts w:hint="eastAsia" w:ascii="宋体" w:hAnsi="宋体" w:eastAsia="宋体" w:cs="宋体"/>
          <w:b/>
          <w:bCs/>
          <w:szCs w:val="21"/>
          <w:highlight w:val="none"/>
          <w:lang w:val="en-US" w:eastAsia="zh-CN"/>
        </w:rPr>
        <w:t>四</w:t>
      </w:r>
      <w:r>
        <w:rPr>
          <w:rFonts w:hint="eastAsia" w:ascii="宋体" w:hAnsi="宋体" w:cs="宋体"/>
          <w:b/>
          <w:bCs/>
          <w:szCs w:val="21"/>
          <w:highlight w:val="none"/>
        </w:rPr>
        <w:t>、获取招标文件的时间期限、地点及方式</w:t>
      </w:r>
    </w:p>
    <w:p w14:paraId="346E6253">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1.获取招标文件时间：2025年7月28日起至2025年8月7日，00：00～24：00（北京时间）。</w:t>
      </w:r>
    </w:p>
    <w:p w14:paraId="3CA967D1">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2.获取招标文件地点：网上获取（深圳公共资源交易中心（https://zfcg.szexgrp.com/jyfw/zfcg-view.html?id=zfcg））。</w:t>
      </w:r>
    </w:p>
    <w:p w14:paraId="1B39FF9B">
      <w:pPr>
        <w:spacing w:line="360" w:lineRule="auto"/>
        <w:ind w:firstLine="480" w:firstLineChars="200"/>
        <w:jc w:val="both"/>
        <w:rPr>
          <w:rFonts w:hint="eastAsia" w:eastAsia="宋体"/>
          <w:color w:val="auto"/>
          <w:highlight w:val="none"/>
          <w:lang w:eastAsia="zh-CN"/>
        </w:rPr>
      </w:pPr>
      <w:r>
        <w:rPr>
          <w:rFonts w:hint="eastAsia" w:ascii="宋体" w:hAnsi="宋体" w:eastAsia="宋体" w:cs="宋体"/>
          <w:color w:val="auto"/>
          <w:highlight w:val="none"/>
          <w:lang w:val="en-US" w:eastAsia="zh-CN"/>
        </w:rPr>
        <w:t xml:space="preserve">3.获取招标文件方式：网上下载。 </w:t>
      </w:r>
    </w:p>
    <w:p w14:paraId="3114339E">
      <w:pPr>
        <w:spacing w:line="360" w:lineRule="auto"/>
        <w:ind w:firstLine="0" w:firstLineChars="0"/>
        <w:jc w:val="both"/>
        <w:rPr>
          <w:rFonts w:eastAsia="宋体"/>
          <w:b/>
          <w:bCs/>
          <w:color w:val="auto"/>
          <w:highlight w:val="none"/>
        </w:rPr>
      </w:pPr>
      <w:r>
        <w:rPr>
          <w:rFonts w:hint="eastAsia" w:eastAsia="宋体"/>
          <w:b/>
          <w:bCs/>
          <w:color w:val="auto"/>
          <w:highlight w:val="none"/>
          <w:lang w:val="en-US" w:eastAsia="zh-CN"/>
        </w:rPr>
        <w:t>五</w:t>
      </w:r>
      <w:r>
        <w:rPr>
          <w:rFonts w:hint="eastAsia" w:eastAsia="宋体"/>
          <w:b/>
          <w:bCs/>
          <w:color w:val="auto"/>
          <w:highlight w:val="none"/>
        </w:rPr>
        <w:t>、提交投标文件截止时间、开标时间和地点</w:t>
      </w:r>
    </w:p>
    <w:p w14:paraId="5A976393">
      <w:pPr>
        <w:spacing w:line="360" w:lineRule="auto"/>
        <w:ind w:firstLine="480" w:firstLineChars="200"/>
        <w:jc w:val="both"/>
        <w:rPr>
          <w:color w:val="auto"/>
          <w:highlight w:val="none"/>
        </w:rPr>
      </w:pPr>
      <w:r>
        <w:rPr>
          <w:rFonts w:hint="eastAsia"/>
          <w:color w:val="auto"/>
          <w:highlight w:val="none"/>
        </w:rPr>
        <w:t>1.</w:t>
      </w:r>
      <w:r>
        <w:rPr>
          <w:rFonts w:hint="eastAsia" w:ascii="宋体" w:hAnsi="宋体" w:eastAsia="宋体" w:cs="宋体"/>
          <w:color w:val="auto"/>
          <w:highlight w:val="none"/>
        </w:rPr>
        <w:t>投标截止时间：所有投标文件应于</w:t>
      </w:r>
      <w:r>
        <w:rPr>
          <w:rFonts w:hint="eastAsia" w:eastAsia="宋体"/>
          <w:b/>
          <w:bCs/>
          <w:color w:val="auto"/>
          <w:highlight w:val="none"/>
          <w:u w:val="single"/>
        </w:rPr>
        <w:t>202</w:t>
      </w:r>
      <w:r>
        <w:rPr>
          <w:rFonts w:hint="eastAsia" w:eastAsia="宋体"/>
          <w:b/>
          <w:bCs/>
          <w:color w:val="auto"/>
          <w:highlight w:val="none"/>
          <w:u w:val="single"/>
          <w:lang w:val="en-US" w:eastAsia="zh-CN"/>
        </w:rPr>
        <w:t>5</w:t>
      </w:r>
      <w:r>
        <w:rPr>
          <w:rFonts w:hint="eastAsia" w:ascii="宋体" w:hAnsi="宋体" w:eastAsia="宋体" w:cs="宋体"/>
          <w:b/>
          <w:bCs/>
          <w:color w:val="auto"/>
          <w:highlight w:val="none"/>
          <w:u w:val="single"/>
        </w:rPr>
        <w:t>年</w:t>
      </w:r>
      <w:r>
        <w:rPr>
          <w:rFonts w:hint="eastAsia" w:ascii="宋体" w:hAnsi="宋体" w:eastAsia="宋体" w:cs="宋体"/>
          <w:b/>
          <w:bCs/>
          <w:color w:val="auto"/>
          <w:highlight w:val="none"/>
          <w:u w:val="single"/>
          <w:lang w:val="en-US" w:eastAsia="zh-CN"/>
        </w:rPr>
        <w:t>8</w:t>
      </w:r>
      <w:r>
        <w:rPr>
          <w:rFonts w:hint="eastAsia" w:ascii="宋体" w:hAnsi="宋体" w:eastAsia="宋体" w:cs="宋体"/>
          <w:b/>
          <w:bCs/>
          <w:color w:val="auto"/>
          <w:highlight w:val="none"/>
          <w:u w:val="single"/>
        </w:rPr>
        <w:t>月</w:t>
      </w:r>
      <w:r>
        <w:rPr>
          <w:rFonts w:hint="eastAsia" w:ascii="宋体" w:hAnsi="宋体" w:eastAsia="宋体" w:cs="宋体"/>
          <w:b/>
          <w:bCs/>
          <w:color w:val="auto"/>
          <w:highlight w:val="none"/>
          <w:u w:val="single"/>
          <w:lang w:val="en-US" w:eastAsia="zh-CN"/>
        </w:rPr>
        <w:t>7</w:t>
      </w:r>
      <w:r>
        <w:rPr>
          <w:rFonts w:hint="eastAsia" w:ascii="宋体" w:hAnsi="宋体" w:eastAsia="宋体" w:cs="宋体"/>
          <w:b/>
          <w:bCs/>
          <w:color w:val="auto"/>
          <w:highlight w:val="none"/>
          <w:u w:val="single"/>
        </w:rPr>
        <w:t>日</w:t>
      </w:r>
      <w:r>
        <w:rPr>
          <w:rFonts w:hint="eastAsia" w:eastAsia="宋体"/>
          <w:b/>
          <w:bCs/>
          <w:color w:val="auto"/>
          <w:highlight w:val="none"/>
          <w:u w:val="single"/>
        </w:rPr>
        <w:t xml:space="preserve"> </w:t>
      </w:r>
      <w:r>
        <w:rPr>
          <w:rFonts w:hint="eastAsia" w:eastAsia="宋体"/>
          <w:b/>
          <w:bCs/>
          <w:color w:val="auto"/>
          <w:highlight w:val="none"/>
          <w:u w:val="single"/>
          <w:lang w:val="en-US" w:eastAsia="zh-CN"/>
        </w:rPr>
        <w:t>14</w:t>
      </w:r>
      <w:r>
        <w:rPr>
          <w:rFonts w:hint="eastAsia" w:ascii="宋体" w:hAnsi="宋体" w:eastAsia="宋体" w:cs="宋体"/>
          <w:b/>
          <w:bCs/>
          <w:color w:val="auto"/>
          <w:highlight w:val="none"/>
          <w:u w:val="single"/>
        </w:rPr>
        <w:t>时</w:t>
      </w:r>
      <w:r>
        <w:rPr>
          <w:rFonts w:hint="eastAsia" w:eastAsia="宋体"/>
          <w:b/>
          <w:bCs/>
          <w:color w:val="auto"/>
          <w:highlight w:val="none"/>
          <w:u w:val="single"/>
          <w:lang w:val="en-US" w:eastAsia="zh-CN"/>
        </w:rPr>
        <w:t>3</w:t>
      </w:r>
      <w:r>
        <w:rPr>
          <w:rFonts w:hint="eastAsia"/>
          <w:b/>
          <w:bCs/>
          <w:color w:val="auto"/>
          <w:highlight w:val="none"/>
          <w:u w:val="single"/>
        </w:rPr>
        <w:t>0</w:t>
      </w:r>
      <w:r>
        <w:rPr>
          <w:rFonts w:hint="eastAsia" w:ascii="宋体" w:hAnsi="宋体" w:eastAsia="宋体" w:cs="宋体"/>
          <w:b/>
          <w:bCs/>
          <w:color w:val="auto"/>
          <w:highlight w:val="none"/>
          <w:u w:val="single"/>
        </w:rPr>
        <w:t>分</w:t>
      </w:r>
      <w:r>
        <w:rPr>
          <w:rFonts w:hint="eastAsia" w:ascii="宋体" w:hAnsi="宋体" w:eastAsia="宋体" w:cs="宋体"/>
          <w:b/>
          <w:bCs/>
          <w:color w:val="auto"/>
          <w:highlight w:val="none"/>
        </w:rPr>
        <w:t>（北京时间）（自招标文件开始发出之日起至投标人提交投标文件截止之日止，不得少于5个工作日）</w:t>
      </w:r>
    </w:p>
    <w:p w14:paraId="6F94BADE">
      <w:pPr>
        <w:spacing w:line="360" w:lineRule="auto"/>
        <w:ind w:firstLine="480" w:firstLineChars="200"/>
        <w:jc w:val="both"/>
        <w:rPr>
          <w:color w:val="auto"/>
          <w:highlight w:val="none"/>
        </w:rPr>
      </w:pPr>
      <w:r>
        <w:rPr>
          <w:rFonts w:hint="eastAsia" w:ascii="宋体" w:hAnsi="宋体" w:eastAsia="宋体" w:cs="宋体"/>
          <w:color w:val="auto"/>
          <w:highlight w:val="none"/>
        </w:rPr>
        <w:t>2.开标时间和地点：</w:t>
      </w:r>
      <w:r>
        <w:rPr>
          <w:rFonts w:hint="eastAsia" w:eastAsia="宋体"/>
          <w:b/>
          <w:bCs/>
          <w:color w:val="auto"/>
          <w:highlight w:val="none"/>
          <w:u w:val="single"/>
        </w:rPr>
        <w:t>202</w:t>
      </w:r>
      <w:r>
        <w:rPr>
          <w:rFonts w:hint="eastAsia" w:eastAsia="宋体"/>
          <w:b/>
          <w:bCs/>
          <w:color w:val="auto"/>
          <w:highlight w:val="none"/>
          <w:u w:val="single"/>
          <w:lang w:val="en-US" w:eastAsia="zh-CN"/>
        </w:rPr>
        <w:t>5</w:t>
      </w:r>
      <w:r>
        <w:rPr>
          <w:rFonts w:hint="eastAsia" w:ascii="宋体" w:hAnsi="宋体" w:eastAsia="宋体" w:cs="宋体"/>
          <w:b/>
          <w:bCs/>
          <w:color w:val="auto"/>
          <w:highlight w:val="none"/>
          <w:u w:val="single"/>
        </w:rPr>
        <w:t>年</w:t>
      </w:r>
      <w:r>
        <w:rPr>
          <w:rFonts w:hint="eastAsia" w:ascii="宋体" w:hAnsi="宋体" w:eastAsia="宋体" w:cs="宋体"/>
          <w:b/>
          <w:bCs/>
          <w:color w:val="auto"/>
          <w:highlight w:val="none"/>
          <w:u w:val="single"/>
          <w:lang w:val="en-US" w:eastAsia="zh-CN"/>
        </w:rPr>
        <w:t>8</w:t>
      </w:r>
      <w:r>
        <w:rPr>
          <w:rFonts w:hint="eastAsia" w:ascii="宋体" w:hAnsi="宋体" w:eastAsia="宋体" w:cs="宋体"/>
          <w:b/>
          <w:bCs/>
          <w:color w:val="auto"/>
          <w:highlight w:val="none"/>
          <w:u w:val="single"/>
        </w:rPr>
        <w:t>月</w:t>
      </w:r>
      <w:r>
        <w:rPr>
          <w:rFonts w:hint="eastAsia" w:ascii="宋体" w:hAnsi="宋体" w:eastAsia="宋体" w:cs="宋体"/>
          <w:b/>
          <w:bCs/>
          <w:color w:val="auto"/>
          <w:highlight w:val="none"/>
          <w:u w:val="single"/>
          <w:lang w:val="en-US" w:eastAsia="zh-CN"/>
        </w:rPr>
        <w:t>7</w:t>
      </w:r>
      <w:r>
        <w:rPr>
          <w:rFonts w:hint="eastAsia" w:ascii="宋体" w:hAnsi="宋体" w:eastAsia="宋体" w:cs="宋体"/>
          <w:b/>
          <w:bCs/>
          <w:color w:val="auto"/>
          <w:highlight w:val="none"/>
          <w:u w:val="single"/>
        </w:rPr>
        <w:t>日</w:t>
      </w:r>
      <w:r>
        <w:rPr>
          <w:rFonts w:hint="eastAsia" w:eastAsia="宋体"/>
          <w:b/>
          <w:bCs/>
          <w:color w:val="auto"/>
          <w:highlight w:val="none"/>
          <w:u w:val="single"/>
          <w:lang w:val="en-US" w:eastAsia="zh-CN"/>
        </w:rPr>
        <w:t>14</w:t>
      </w:r>
      <w:r>
        <w:rPr>
          <w:rFonts w:hint="eastAsia" w:ascii="宋体" w:hAnsi="宋体" w:eastAsia="宋体" w:cs="宋体"/>
          <w:b/>
          <w:bCs/>
          <w:color w:val="auto"/>
          <w:highlight w:val="none"/>
          <w:u w:val="single"/>
        </w:rPr>
        <w:t>时</w:t>
      </w:r>
      <w:r>
        <w:rPr>
          <w:rFonts w:hint="eastAsia" w:eastAsia="宋体"/>
          <w:b/>
          <w:bCs/>
          <w:color w:val="auto"/>
          <w:highlight w:val="none"/>
          <w:u w:val="single"/>
          <w:lang w:val="en-US" w:eastAsia="zh-CN"/>
        </w:rPr>
        <w:t>3</w:t>
      </w:r>
      <w:r>
        <w:rPr>
          <w:rFonts w:hint="eastAsia"/>
          <w:b/>
          <w:bCs/>
          <w:color w:val="auto"/>
          <w:highlight w:val="none"/>
          <w:u w:val="single"/>
        </w:rPr>
        <w:t>0</w:t>
      </w:r>
      <w:r>
        <w:rPr>
          <w:rFonts w:hint="eastAsia" w:ascii="宋体" w:hAnsi="宋体" w:eastAsia="宋体" w:cs="宋体"/>
          <w:b/>
          <w:bCs/>
          <w:color w:val="auto"/>
          <w:highlight w:val="none"/>
          <w:u w:val="single"/>
        </w:rPr>
        <w:t>分</w:t>
      </w:r>
      <w:r>
        <w:rPr>
          <w:rFonts w:hint="eastAsia" w:ascii="宋体" w:hAnsi="宋体" w:eastAsia="宋体" w:cs="宋体"/>
          <w:b/>
          <w:bCs/>
          <w:color w:val="auto"/>
          <w:highlight w:val="none"/>
        </w:rPr>
        <w:t>（北京时间）</w:t>
      </w:r>
      <w:r>
        <w:rPr>
          <w:rFonts w:hint="eastAsia" w:ascii="宋体" w:hAnsi="宋体" w:eastAsia="宋体" w:cs="宋体"/>
          <w:color w:val="auto"/>
          <w:highlight w:val="none"/>
        </w:rPr>
        <w:t>，在深圳市</w:t>
      </w:r>
      <w:r>
        <w:rPr>
          <w:rFonts w:hint="eastAsia" w:eastAsia="宋体"/>
          <w:color w:val="auto"/>
          <w:highlight w:val="none"/>
        </w:rPr>
        <w:t>盐田区沙头角街道建工大厦14楼</w:t>
      </w:r>
      <w:r>
        <w:rPr>
          <w:rFonts w:hint="eastAsia" w:ascii="宋体" w:hAnsi="宋体" w:eastAsia="宋体" w:cs="宋体"/>
          <w:color w:val="auto"/>
          <w:highlight w:val="none"/>
        </w:rPr>
        <w:t>。</w:t>
      </w:r>
    </w:p>
    <w:p w14:paraId="215679FA">
      <w:pPr>
        <w:spacing w:line="360" w:lineRule="auto"/>
        <w:ind w:firstLine="0" w:firstLineChars="0"/>
        <w:jc w:val="both"/>
        <w:rPr>
          <w:b/>
          <w:bCs/>
          <w:color w:val="auto"/>
          <w:highlight w:val="none"/>
        </w:rPr>
      </w:pPr>
      <w:r>
        <w:rPr>
          <w:rFonts w:hint="eastAsia" w:eastAsia="宋体"/>
          <w:b/>
          <w:bCs/>
          <w:color w:val="auto"/>
          <w:highlight w:val="none"/>
          <w:lang w:val="en-US" w:eastAsia="zh-CN"/>
        </w:rPr>
        <w:t>六</w:t>
      </w:r>
      <w:r>
        <w:rPr>
          <w:rFonts w:hint="eastAsia" w:eastAsia="宋体"/>
          <w:b/>
          <w:bCs/>
          <w:color w:val="auto"/>
          <w:highlight w:val="none"/>
        </w:rPr>
        <w:t>、公告期限</w:t>
      </w:r>
    </w:p>
    <w:p w14:paraId="47940A2C">
      <w:pPr>
        <w:spacing w:line="360" w:lineRule="auto"/>
        <w:ind w:firstLine="480" w:firstLineChars="200"/>
        <w:jc w:val="both"/>
        <w:rPr>
          <w:color w:val="auto"/>
          <w:highlight w:val="none"/>
        </w:rPr>
      </w:pPr>
      <w:r>
        <w:rPr>
          <w:rFonts w:hint="eastAsia" w:eastAsia="宋体"/>
          <w:color w:val="auto"/>
          <w:highlight w:val="none"/>
        </w:rPr>
        <w:t>自本公告发布之日起</w:t>
      </w:r>
      <w:r>
        <w:rPr>
          <w:rFonts w:hint="eastAsia"/>
          <w:color w:val="auto"/>
          <w:highlight w:val="none"/>
        </w:rPr>
        <w:t>5</w:t>
      </w:r>
      <w:r>
        <w:rPr>
          <w:rFonts w:hint="eastAsia" w:eastAsia="宋体"/>
          <w:color w:val="auto"/>
          <w:highlight w:val="none"/>
        </w:rPr>
        <w:t>个工作日。</w:t>
      </w:r>
    </w:p>
    <w:p w14:paraId="6F6F886F">
      <w:pPr>
        <w:spacing w:line="360" w:lineRule="auto"/>
        <w:ind w:firstLine="0" w:firstLineChars="0"/>
        <w:jc w:val="both"/>
        <w:rPr>
          <w:rFonts w:eastAsia="宋体"/>
          <w:b/>
          <w:bCs/>
          <w:color w:val="auto"/>
          <w:highlight w:val="none"/>
        </w:rPr>
      </w:pPr>
      <w:r>
        <w:rPr>
          <w:rFonts w:hint="eastAsia" w:eastAsia="宋体"/>
          <w:b/>
          <w:bCs/>
          <w:color w:val="auto"/>
          <w:highlight w:val="none"/>
          <w:lang w:val="en-US" w:eastAsia="zh-CN"/>
        </w:rPr>
        <w:t>七</w:t>
      </w:r>
      <w:r>
        <w:rPr>
          <w:rFonts w:hint="eastAsia" w:eastAsia="宋体"/>
          <w:b/>
          <w:bCs/>
          <w:color w:val="auto"/>
          <w:highlight w:val="none"/>
        </w:rPr>
        <w:t>、其他补充事宜</w:t>
      </w:r>
    </w:p>
    <w:p w14:paraId="084E715A">
      <w:pPr>
        <w:spacing w:line="360" w:lineRule="auto"/>
        <w:ind w:firstLine="480" w:firstLineChars="200"/>
        <w:jc w:val="both"/>
        <w:rPr>
          <w:rFonts w:hint="eastAsia" w:eastAsia="宋体"/>
          <w:color w:val="auto"/>
          <w:highlight w:val="none"/>
          <w:lang w:eastAsia="zh-CN"/>
        </w:rPr>
      </w:pPr>
      <w:r>
        <w:rPr>
          <w:rFonts w:hint="eastAsia" w:ascii="宋体" w:hAnsi="宋体" w:eastAsia="宋体" w:cs="宋体"/>
          <w:color w:val="auto"/>
          <w:highlight w:val="none"/>
        </w:rPr>
        <w:t>1.本项目实行</w:t>
      </w:r>
      <w:r>
        <w:rPr>
          <w:rFonts w:hint="eastAsia" w:eastAsia="宋体"/>
          <w:color w:val="auto"/>
          <w:highlight w:val="none"/>
        </w:rPr>
        <w:t>线下现场</w:t>
      </w:r>
      <w:r>
        <w:rPr>
          <w:rFonts w:hint="eastAsia" w:ascii="宋体" w:hAnsi="宋体" w:eastAsia="宋体" w:cs="宋体"/>
          <w:color w:val="auto"/>
          <w:highlight w:val="none"/>
        </w:rPr>
        <w:t>投标，采用</w:t>
      </w:r>
      <w:r>
        <w:rPr>
          <w:rFonts w:hint="eastAsia" w:eastAsia="宋体"/>
          <w:color w:val="auto"/>
          <w:highlight w:val="none"/>
        </w:rPr>
        <w:t>纸质</w:t>
      </w:r>
      <w:r>
        <w:rPr>
          <w:rFonts w:hint="eastAsia" w:ascii="宋体" w:hAnsi="宋体" w:eastAsia="宋体" w:cs="宋体"/>
          <w:color w:val="auto"/>
          <w:highlight w:val="none"/>
        </w:rPr>
        <w:t>投标文件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或邮寄投标文件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4F6FF577">
      <w:pPr>
        <w:spacing w:line="360" w:lineRule="auto"/>
        <w:ind w:firstLine="480" w:firstLineChars="200"/>
        <w:jc w:val="both"/>
        <w:rPr>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.采购</w:t>
      </w:r>
      <w:r>
        <w:rPr>
          <w:rFonts w:hint="eastAsia" w:eastAsia="宋体"/>
          <w:color w:val="auto"/>
          <w:highlight w:val="none"/>
        </w:rPr>
        <w:t>文件澄清</w:t>
      </w:r>
      <w:r>
        <w:rPr>
          <w:rFonts w:hint="eastAsia"/>
          <w:color w:val="auto"/>
          <w:highlight w:val="none"/>
        </w:rPr>
        <w:t>/</w:t>
      </w:r>
      <w:r>
        <w:rPr>
          <w:rFonts w:hint="eastAsia" w:eastAsia="宋体"/>
          <w:color w:val="auto"/>
          <w:highlight w:val="none"/>
        </w:rPr>
        <w:t>修改事项：</w:t>
      </w:r>
      <w:r>
        <w:rPr>
          <w:rFonts w:hint="eastAsia" w:eastAsia="宋体"/>
          <w:b/>
          <w:bCs/>
          <w:color w:val="auto"/>
          <w:szCs w:val="21"/>
          <w:highlight w:val="none"/>
          <w:u w:val="single"/>
        </w:rPr>
        <w:t>202</w:t>
      </w:r>
      <w:r>
        <w:rPr>
          <w:rFonts w:hint="eastAsia" w:eastAsia="宋体"/>
          <w:b/>
          <w:bCs/>
          <w:color w:val="auto"/>
          <w:szCs w:val="21"/>
          <w:highlight w:val="none"/>
          <w:u w:val="single"/>
          <w:lang w:val="en-US" w:eastAsia="zh-CN"/>
        </w:rPr>
        <w:t>5</w:t>
      </w:r>
      <w:r>
        <w:rPr>
          <w:rFonts w:hint="eastAsia" w:eastAsia="宋体"/>
          <w:b/>
          <w:bCs/>
          <w:color w:val="auto"/>
          <w:highlight w:val="none"/>
          <w:u w:val="single"/>
        </w:rPr>
        <w:t>年</w:t>
      </w:r>
      <w:r>
        <w:rPr>
          <w:rFonts w:hint="eastAsia" w:eastAsia="宋体"/>
          <w:b/>
          <w:bCs/>
          <w:color w:val="auto"/>
          <w:highlight w:val="none"/>
          <w:u w:val="single"/>
          <w:lang w:val="en-US" w:eastAsia="zh-CN"/>
        </w:rPr>
        <w:t>8</w:t>
      </w:r>
      <w:r>
        <w:rPr>
          <w:rFonts w:hint="eastAsia" w:eastAsia="宋体"/>
          <w:b/>
          <w:bCs/>
          <w:color w:val="auto"/>
          <w:highlight w:val="none"/>
          <w:u w:val="single"/>
        </w:rPr>
        <w:t>月</w:t>
      </w:r>
      <w:r>
        <w:rPr>
          <w:rFonts w:hint="eastAsia" w:eastAsia="宋体"/>
          <w:b/>
          <w:bCs/>
          <w:color w:val="auto"/>
          <w:highlight w:val="none"/>
          <w:u w:val="single"/>
          <w:lang w:val="en-US" w:eastAsia="zh-CN"/>
        </w:rPr>
        <w:t>4</w:t>
      </w:r>
      <w:r>
        <w:rPr>
          <w:rFonts w:hint="eastAsia" w:eastAsia="宋体"/>
          <w:b/>
          <w:bCs/>
          <w:color w:val="auto"/>
          <w:highlight w:val="none"/>
          <w:u w:val="single"/>
        </w:rPr>
        <w:t>日</w:t>
      </w:r>
      <w:r>
        <w:rPr>
          <w:rFonts w:hint="eastAsia" w:eastAsia="宋体"/>
          <w:b/>
          <w:bCs/>
          <w:color w:val="auto"/>
          <w:highlight w:val="none"/>
          <w:u w:val="single"/>
          <w:lang w:val="en-US" w:eastAsia="zh-CN"/>
        </w:rPr>
        <w:t>17</w:t>
      </w:r>
      <w:r>
        <w:rPr>
          <w:rFonts w:hint="eastAsia"/>
          <w:b/>
          <w:bCs/>
          <w:color w:val="auto"/>
          <w:highlight w:val="none"/>
          <w:u w:val="single"/>
        </w:rPr>
        <w:t>:</w:t>
      </w:r>
      <w:r>
        <w:rPr>
          <w:rFonts w:hint="eastAsia" w:eastAsia="宋体"/>
          <w:b/>
          <w:bCs/>
          <w:color w:val="auto"/>
          <w:highlight w:val="none"/>
          <w:u w:val="single"/>
        </w:rPr>
        <w:t xml:space="preserve"> </w:t>
      </w:r>
      <w:r>
        <w:rPr>
          <w:rFonts w:hint="eastAsia" w:eastAsia="宋体"/>
          <w:b/>
          <w:bCs/>
          <w:color w:val="auto"/>
          <w:highlight w:val="none"/>
          <w:u w:val="single"/>
          <w:lang w:val="en-US" w:eastAsia="zh-CN"/>
        </w:rPr>
        <w:t>00</w:t>
      </w:r>
      <w:r>
        <w:rPr>
          <w:rFonts w:hint="eastAsia" w:eastAsia="宋体"/>
          <w:b/>
          <w:bCs/>
          <w:color w:val="auto"/>
          <w:highlight w:val="none"/>
          <w:u w:val="single"/>
        </w:rPr>
        <w:t>（北京时间）</w:t>
      </w:r>
      <w:r>
        <w:rPr>
          <w:rFonts w:hint="eastAsia" w:eastAsia="宋体"/>
          <w:b w:val="0"/>
          <w:bCs w:val="0"/>
          <w:color w:val="auto"/>
          <w:highlight w:val="none"/>
          <w:u w:val="single"/>
        </w:rPr>
        <w:t>前</w:t>
      </w:r>
      <w:r>
        <w:rPr>
          <w:rFonts w:hint="eastAsia" w:eastAsia="宋体"/>
          <w:color w:val="auto"/>
          <w:highlight w:val="none"/>
        </w:rPr>
        <w:t>，供应商如果认为采购文件存在不明确、不清晰和前后不一致等问题，要求对招标文件作出澄清的，须提供书面文件至代理机构。</w:t>
      </w:r>
      <w:r>
        <w:rPr>
          <w:rFonts w:hint="eastAsia" w:eastAsia="宋体"/>
          <w:b/>
          <w:bCs/>
          <w:color w:val="auto"/>
          <w:szCs w:val="21"/>
          <w:highlight w:val="none"/>
          <w:u w:val="single"/>
        </w:rPr>
        <w:t>202</w:t>
      </w:r>
      <w:r>
        <w:rPr>
          <w:rFonts w:hint="eastAsia" w:eastAsia="宋体"/>
          <w:b/>
          <w:bCs/>
          <w:color w:val="auto"/>
          <w:szCs w:val="21"/>
          <w:highlight w:val="none"/>
          <w:u w:val="single"/>
          <w:lang w:val="en-US" w:eastAsia="zh-CN"/>
        </w:rPr>
        <w:t>5</w:t>
      </w:r>
      <w:r>
        <w:rPr>
          <w:rFonts w:hint="eastAsia" w:eastAsia="宋体"/>
          <w:b/>
          <w:bCs/>
          <w:color w:val="auto"/>
          <w:highlight w:val="none"/>
          <w:u w:val="single"/>
        </w:rPr>
        <w:t>年</w:t>
      </w:r>
      <w:r>
        <w:rPr>
          <w:rFonts w:hint="eastAsia" w:eastAsia="宋体"/>
          <w:b/>
          <w:bCs/>
          <w:color w:val="auto"/>
          <w:highlight w:val="none"/>
          <w:u w:val="single"/>
          <w:lang w:val="en-US" w:eastAsia="zh-CN"/>
        </w:rPr>
        <w:t>8</w:t>
      </w:r>
      <w:r>
        <w:rPr>
          <w:rFonts w:hint="eastAsia" w:eastAsia="宋体"/>
          <w:b/>
          <w:bCs/>
          <w:color w:val="auto"/>
          <w:highlight w:val="none"/>
          <w:u w:val="single"/>
        </w:rPr>
        <w:t>月</w:t>
      </w:r>
      <w:r>
        <w:rPr>
          <w:rFonts w:hint="eastAsia" w:eastAsia="宋体"/>
          <w:b/>
          <w:bCs/>
          <w:color w:val="auto"/>
          <w:highlight w:val="none"/>
          <w:u w:val="single"/>
          <w:lang w:val="en-US" w:eastAsia="zh-CN"/>
        </w:rPr>
        <w:t>5</w:t>
      </w:r>
      <w:r>
        <w:rPr>
          <w:rFonts w:hint="eastAsia" w:eastAsia="宋体"/>
          <w:b/>
          <w:bCs/>
          <w:color w:val="auto"/>
          <w:highlight w:val="none"/>
          <w:u w:val="single"/>
        </w:rPr>
        <w:t>日</w:t>
      </w:r>
      <w:r>
        <w:rPr>
          <w:rFonts w:hint="eastAsia" w:eastAsia="宋体"/>
          <w:b/>
          <w:bCs/>
          <w:color w:val="auto"/>
          <w:highlight w:val="none"/>
          <w:u w:val="single"/>
          <w:lang w:val="en-US" w:eastAsia="zh-CN"/>
        </w:rPr>
        <w:t>17</w:t>
      </w:r>
      <w:r>
        <w:rPr>
          <w:rFonts w:hint="eastAsia"/>
          <w:b/>
          <w:bCs/>
          <w:color w:val="auto"/>
          <w:highlight w:val="none"/>
          <w:u w:val="single"/>
        </w:rPr>
        <w:t>:</w:t>
      </w:r>
      <w:r>
        <w:rPr>
          <w:rFonts w:hint="eastAsia" w:eastAsia="宋体"/>
          <w:b/>
          <w:bCs/>
          <w:color w:val="auto"/>
          <w:highlight w:val="none"/>
          <w:u w:val="single"/>
        </w:rPr>
        <w:t xml:space="preserve"> </w:t>
      </w:r>
      <w:r>
        <w:rPr>
          <w:rFonts w:hint="eastAsia" w:eastAsia="宋体"/>
          <w:b/>
          <w:bCs/>
          <w:color w:val="auto"/>
          <w:highlight w:val="none"/>
          <w:u w:val="single"/>
          <w:lang w:val="en-US" w:eastAsia="zh-CN"/>
        </w:rPr>
        <w:t>00</w:t>
      </w:r>
      <w:r>
        <w:rPr>
          <w:rFonts w:hint="eastAsia" w:eastAsia="宋体"/>
          <w:b/>
          <w:bCs/>
          <w:color w:val="auto"/>
          <w:highlight w:val="none"/>
          <w:u w:val="single"/>
        </w:rPr>
        <w:t>（北京时间）</w:t>
      </w:r>
      <w:r>
        <w:rPr>
          <w:rFonts w:hint="eastAsia" w:eastAsia="宋体"/>
          <w:bCs/>
          <w:color w:val="auto"/>
          <w:highlight w:val="none"/>
          <w:u w:val="single"/>
        </w:rPr>
        <w:t>前</w:t>
      </w:r>
      <w:r>
        <w:rPr>
          <w:rFonts w:hint="eastAsia" w:eastAsia="宋体"/>
          <w:color w:val="auto"/>
          <w:highlight w:val="none"/>
        </w:rPr>
        <w:t>将采购文件澄清</w:t>
      </w:r>
      <w:r>
        <w:rPr>
          <w:rFonts w:hint="eastAsia"/>
          <w:color w:val="auto"/>
          <w:highlight w:val="none"/>
        </w:rPr>
        <w:t>/</w:t>
      </w:r>
      <w:r>
        <w:rPr>
          <w:rFonts w:hint="eastAsia" w:eastAsia="宋体"/>
          <w:color w:val="auto"/>
          <w:highlight w:val="none"/>
        </w:rPr>
        <w:t>修改文件发给各投标单位。</w:t>
      </w:r>
    </w:p>
    <w:p w14:paraId="7EF4D032">
      <w:pPr>
        <w:spacing w:line="360" w:lineRule="auto"/>
        <w:ind w:firstLine="480" w:firstLineChars="200"/>
        <w:jc w:val="both"/>
        <w:rPr>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w:t>
      </w:r>
      <w:r>
        <w:rPr>
          <w:rFonts w:hint="eastAsia" w:eastAsia="宋体"/>
          <w:color w:val="auto"/>
          <w:highlight w:val="none"/>
        </w:rPr>
        <w:t>标代理机构对投标人就本项目要求提供的相关证明资料（原件）进行审查。供应商提供虚假资料被查实的，则可能面临被取消本项目中标</w:t>
      </w:r>
      <w:bookmarkStart w:id="119" w:name="_GoBack"/>
      <w:bookmarkEnd w:id="119"/>
      <w:r>
        <w:rPr>
          <w:rFonts w:hint="eastAsia" w:eastAsia="宋体"/>
          <w:color w:val="auto"/>
          <w:highlight w:val="none"/>
        </w:rPr>
        <w:t>资格、列入不良行为记录名单和三年内禁止参与深圳市政府采购活动的风险。</w:t>
      </w:r>
      <w:r>
        <w:rPr>
          <w:rFonts w:hint="eastAsia"/>
          <w:color w:val="auto"/>
          <w:highlight w:val="none"/>
        </w:rPr>
        <w:t xml:space="preserve"> </w:t>
      </w:r>
    </w:p>
    <w:p w14:paraId="0873C156">
      <w:pPr>
        <w:spacing w:line="360" w:lineRule="auto"/>
        <w:ind w:firstLine="480" w:firstLineChars="200"/>
        <w:jc w:val="both"/>
        <w:rPr>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.本</w:t>
      </w:r>
      <w:r>
        <w:rPr>
          <w:rFonts w:hint="eastAsia" w:eastAsia="宋体"/>
          <w:color w:val="auto"/>
          <w:highlight w:val="none"/>
        </w:rPr>
        <w:t>招标公告及本项目招标文件所涉及的时间一律为北京时间。投标人有义务在招标活动期间浏览</w:t>
      </w:r>
      <w:r>
        <w:rPr>
          <w:rFonts w:hint="eastAsia" w:ascii="宋体" w:hAnsi="宋体" w:cs="宋体"/>
          <w:b w:val="0"/>
          <w:i w:val="0"/>
          <w:caps w:val="0"/>
          <w:color w:val="auto"/>
          <w:spacing w:val="0"/>
          <w:w w:val="100"/>
          <w:sz w:val="24"/>
          <w:highlight w:val="none"/>
          <w:u w:val="none"/>
        </w:rPr>
        <w:t>深圳公共资源交易中心（https://zfcg.szexgrp.com/）、深圳市城投全过程工程咨询有限公司（https://www.szctqgc.cn/）、深圳市盐田区政府在线（http://www.yantian.gov.cn/）</w:t>
      </w:r>
      <w:r>
        <w:rPr>
          <w:rFonts w:hint="eastAsia" w:eastAsia="宋体"/>
          <w:color w:val="auto"/>
          <w:highlight w:val="none"/>
        </w:rPr>
        <w:t>，网上公布的与本次招标项目有关的信息视为已送达各投标人。</w:t>
      </w:r>
    </w:p>
    <w:p w14:paraId="49354D14">
      <w:pPr>
        <w:spacing w:line="360" w:lineRule="auto"/>
        <w:ind w:firstLine="480" w:firstLineChars="200"/>
        <w:jc w:val="both"/>
        <w:rPr>
          <w:color w:val="auto"/>
          <w:highlight w:val="none"/>
        </w:rPr>
      </w:pPr>
      <w:r>
        <w:rPr>
          <w:rFonts w:hint="eastAsia" w:eastAsia="宋体"/>
          <w:color w:val="auto"/>
          <w:highlight w:val="none"/>
          <w:lang w:val="en-US" w:eastAsia="zh-CN"/>
        </w:rPr>
        <w:t>5</w:t>
      </w:r>
      <w:r>
        <w:rPr>
          <w:rFonts w:hint="eastAsia" w:ascii="宋体" w:hAnsi="宋体" w:eastAsia="宋体" w:cs="宋体"/>
          <w:color w:val="auto"/>
          <w:highlight w:val="none"/>
        </w:rPr>
        <w:t>.本</w:t>
      </w:r>
      <w:r>
        <w:rPr>
          <w:rFonts w:hint="eastAsia" w:eastAsia="宋体"/>
          <w:color w:val="auto"/>
          <w:highlight w:val="none"/>
        </w:rPr>
        <w:t>项目不需要投标保证金。</w:t>
      </w:r>
    </w:p>
    <w:p w14:paraId="6964C932">
      <w:pPr>
        <w:spacing w:line="360" w:lineRule="auto"/>
        <w:ind w:firstLine="0"/>
        <w:jc w:val="both"/>
        <w:rPr>
          <w:rFonts w:hint="eastAsia" w:eastAsia="宋体"/>
          <w:b/>
          <w:bCs/>
          <w:color w:val="auto"/>
          <w:highlight w:val="none"/>
        </w:rPr>
      </w:pPr>
      <w:r>
        <w:rPr>
          <w:rFonts w:hint="eastAsia" w:eastAsia="宋体"/>
          <w:b/>
          <w:bCs/>
          <w:color w:val="auto"/>
          <w:highlight w:val="none"/>
          <w:lang w:val="en-US" w:eastAsia="zh-CN"/>
        </w:rPr>
        <w:t>八</w:t>
      </w:r>
      <w:r>
        <w:rPr>
          <w:rFonts w:hint="eastAsia" w:eastAsia="宋体"/>
          <w:b/>
          <w:bCs/>
          <w:color w:val="auto"/>
          <w:highlight w:val="none"/>
        </w:rPr>
        <w:t>、对本次采购提出询问，请按以下方式联系</w:t>
      </w:r>
    </w:p>
    <w:p w14:paraId="292E4DED">
      <w:pPr>
        <w:spacing w:line="360" w:lineRule="auto"/>
        <w:ind w:firstLine="480" w:firstLineChars="200"/>
        <w:jc w:val="both"/>
        <w:rPr>
          <w:b/>
          <w:bCs/>
          <w:color w:val="auto"/>
          <w:highlight w:val="none"/>
        </w:rPr>
      </w:pPr>
      <w:r>
        <w:rPr>
          <w:rFonts w:hint="eastAsia"/>
          <w:b/>
          <w:bCs/>
          <w:color w:val="auto"/>
          <w:highlight w:val="none"/>
        </w:rPr>
        <w:t>1.</w:t>
      </w:r>
      <w:r>
        <w:rPr>
          <w:rFonts w:hint="eastAsia" w:eastAsia="宋体"/>
          <w:b/>
          <w:bCs/>
          <w:color w:val="auto"/>
          <w:highlight w:val="none"/>
        </w:rPr>
        <w:t>采购人信息</w:t>
      </w:r>
    </w:p>
    <w:p w14:paraId="3DB643FE">
      <w:pPr>
        <w:spacing w:line="360" w:lineRule="auto"/>
        <w:ind w:firstLine="480" w:firstLineChars="200"/>
        <w:jc w:val="both"/>
        <w:rPr>
          <w:rFonts w:eastAsia="宋体"/>
          <w:color w:val="auto"/>
          <w:highlight w:val="none"/>
          <w:u w:val="single"/>
          <w:lang w:val="en"/>
        </w:rPr>
      </w:pPr>
      <w:r>
        <w:rPr>
          <w:rFonts w:hint="eastAsia" w:eastAsia="宋体"/>
          <w:color w:val="auto"/>
          <w:highlight w:val="none"/>
        </w:rPr>
        <w:t>名　称：</w:t>
      </w:r>
      <w:r>
        <w:rPr>
          <w:rFonts w:hint="eastAsia" w:ascii="宋体" w:hAnsi="宋体" w:cs="宋体"/>
          <w:color w:val="auto"/>
          <w:szCs w:val="21"/>
          <w:highlight w:val="none"/>
          <w:lang w:eastAsia="zh-CN"/>
        </w:rPr>
        <w:t>深圳市盐田区应急管理局</w:t>
      </w:r>
    </w:p>
    <w:p w14:paraId="3805C8ED">
      <w:pPr>
        <w:spacing w:line="360" w:lineRule="auto"/>
        <w:ind w:firstLine="480" w:firstLineChars="200"/>
        <w:jc w:val="both"/>
        <w:rPr>
          <w:rFonts w:eastAsia="宋体"/>
          <w:color w:val="auto"/>
          <w:highlight w:val="none"/>
          <w:u w:val="single"/>
        </w:rPr>
      </w:pPr>
      <w:r>
        <w:rPr>
          <w:rFonts w:hint="eastAsia" w:ascii="宋体" w:hAnsi="宋体" w:eastAsia="宋体" w:cs="宋体"/>
          <w:color w:val="auto"/>
          <w:highlight w:val="none"/>
        </w:rPr>
        <w:t>地　址：</w:t>
      </w:r>
      <w:r>
        <w:rPr>
          <w:rFonts w:hint="eastAsia" w:ascii="宋体" w:hAnsi="宋体" w:cs="宋体"/>
          <w:color w:val="auto"/>
          <w:szCs w:val="21"/>
          <w:highlight w:val="none"/>
          <w:lang w:eastAsia="zh-CN"/>
        </w:rPr>
        <w:t>深圳市盐田区深盐路2130号盐田区文化馆</w:t>
      </w:r>
    </w:p>
    <w:p w14:paraId="2952F57F">
      <w:pPr>
        <w:spacing w:line="360" w:lineRule="auto"/>
        <w:ind w:firstLine="480" w:firstLineChars="200"/>
        <w:jc w:val="both"/>
        <w:rPr>
          <w:rFonts w:eastAsia="宋体"/>
          <w:color w:val="auto"/>
          <w:highlight w:val="none"/>
        </w:rPr>
      </w:pPr>
      <w:r>
        <w:rPr>
          <w:rFonts w:hint="eastAsia" w:ascii="宋体" w:hAnsi="宋体" w:eastAsia="宋体" w:cs="宋体"/>
          <w:color w:val="auto"/>
          <w:highlight w:val="none"/>
        </w:rPr>
        <w:t>联系方式：严工0755-88171551</w:t>
      </w:r>
    </w:p>
    <w:p w14:paraId="13FBDBAA">
      <w:pPr>
        <w:spacing w:line="360" w:lineRule="auto"/>
        <w:ind w:firstLine="480" w:firstLineChars="200"/>
        <w:jc w:val="both"/>
        <w:rPr>
          <w:rFonts w:hint="eastAsia"/>
          <w:b/>
          <w:bCs/>
          <w:color w:val="auto"/>
          <w:highlight w:val="none"/>
        </w:rPr>
      </w:pPr>
      <w:r>
        <w:rPr>
          <w:rFonts w:hint="eastAsia"/>
          <w:b/>
          <w:bCs/>
          <w:color w:val="auto"/>
          <w:highlight w:val="none"/>
        </w:rPr>
        <w:t>2.</w:t>
      </w:r>
      <w:r>
        <w:rPr>
          <w:rFonts w:hint="eastAsia" w:eastAsia="Times New Roman"/>
          <w:b/>
          <w:bCs/>
          <w:color w:val="auto"/>
          <w:highlight w:val="none"/>
        </w:rPr>
        <w:t>招标代理</w:t>
      </w:r>
      <w:r>
        <w:rPr>
          <w:rFonts w:hint="eastAsia" w:ascii="Times New Roman" w:hAnsi="Times New Roman" w:eastAsia="Times New Roman" w:cs="Times New Roman"/>
          <w:b/>
          <w:bCs/>
          <w:color w:val="auto"/>
          <w:highlight w:val="none"/>
        </w:rPr>
        <w:t>机构</w:t>
      </w:r>
    </w:p>
    <w:p w14:paraId="4C0DD589">
      <w:pPr>
        <w:spacing w:line="360" w:lineRule="auto"/>
        <w:ind w:firstLine="480" w:firstLineChars="200"/>
        <w:jc w:val="both"/>
        <w:rPr>
          <w:color w:val="auto"/>
          <w:highlight w:val="none"/>
        </w:rPr>
      </w:pPr>
      <w:r>
        <w:rPr>
          <w:rFonts w:hint="eastAsia" w:ascii="宋体" w:hAnsi="宋体" w:eastAsia="宋体" w:cs="宋体"/>
          <w:color w:val="auto"/>
          <w:highlight w:val="none"/>
        </w:rPr>
        <w:t>名　称：</w:t>
      </w:r>
      <w:r>
        <w:rPr>
          <w:rFonts w:hint="eastAsia" w:eastAsia="宋体"/>
          <w:color w:val="auto"/>
          <w:highlight w:val="none"/>
        </w:rPr>
        <w:t>深圳市城投全过程工程咨询有限公司</w:t>
      </w:r>
    </w:p>
    <w:p w14:paraId="6728D4A2">
      <w:pPr>
        <w:spacing w:line="360" w:lineRule="auto"/>
        <w:ind w:firstLine="480" w:firstLineChars="200"/>
        <w:jc w:val="both"/>
        <w:rPr>
          <w:rFonts w:eastAsia="宋体"/>
          <w:color w:val="auto"/>
          <w:highlight w:val="none"/>
        </w:rPr>
      </w:pPr>
      <w:r>
        <w:rPr>
          <w:rFonts w:hint="eastAsia" w:ascii="宋体" w:hAnsi="宋体" w:eastAsia="宋体" w:cs="宋体"/>
          <w:color w:val="auto"/>
          <w:highlight w:val="none"/>
        </w:rPr>
        <w:t>地　址：深圳市</w:t>
      </w:r>
      <w:r>
        <w:rPr>
          <w:rFonts w:hint="eastAsia" w:eastAsia="宋体"/>
          <w:color w:val="auto"/>
          <w:highlight w:val="none"/>
        </w:rPr>
        <w:t>盐田区沙头角街道建工大厦14楼</w:t>
      </w:r>
    </w:p>
    <w:p w14:paraId="407D759F">
      <w:pPr>
        <w:spacing w:line="360" w:lineRule="auto"/>
        <w:ind w:firstLine="480" w:firstLineChars="200"/>
        <w:jc w:val="both"/>
        <w:rPr>
          <w:rFonts w:hint="eastAsia" w:eastAsia="宋体"/>
          <w:color w:val="auto"/>
          <w:highlight w:val="none"/>
          <w:lang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 xml:space="preserve">颜工  </w:t>
      </w:r>
      <w:r>
        <w:rPr>
          <w:rFonts w:hint="default" w:eastAsia="宋体"/>
          <w:color w:val="auto"/>
          <w:highlight w:val="none"/>
          <w:lang w:val="en-US" w:eastAsia="zh-CN"/>
        </w:rPr>
        <w:t>25559696</w:t>
      </w:r>
      <w:r>
        <w:rPr>
          <w:rFonts w:hint="eastAsia" w:eastAsia="宋体"/>
          <w:color w:val="auto"/>
          <w:highlight w:val="none"/>
          <w:lang w:val="en-US" w:eastAsia="zh-CN"/>
        </w:rPr>
        <w:t>　</w:t>
      </w:r>
      <w:r>
        <w:rPr>
          <w:rFonts w:hint="eastAsia" w:eastAsia="宋体"/>
          <w:color w:val="auto"/>
          <w:highlight w:val="none"/>
          <w:lang w:val="en-US" w:eastAsia="zh-CN"/>
        </w:rPr>
        <w:fldChar w:fldCharType="begin"/>
      </w:r>
      <w:r>
        <w:rPr>
          <w:rFonts w:hint="eastAsia" w:eastAsia="宋体"/>
          <w:color w:val="auto"/>
          <w:highlight w:val="none"/>
          <w:lang w:val="en-US" w:eastAsia="zh-CN"/>
        </w:rPr>
        <w:instrText xml:space="preserve"> HYPERLINK "mailto:294848060@qq.com" </w:instrText>
      </w:r>
      <w:r>
        <w:rPr>
          <w:rFonts w:hint="eastAsia" w:eastAsia="宋体"/>
          <w:color w:val="auto"/>
          <w:highlight w:val="none"/>
          <w:lang w:val="en-US" w:eastAsia="zh-CN"/>
        </w:rPr>
        <w:fldChar w:fldCharType="separate"/>
      </w:r>
      <w:r>
        <w:rPr>
          <w:rFonts w:hint="eastAsia" w:eastAsia="宋体"/>
          <w:color w:val="auto"/>
          <w:highlight w:val="none"/>
          <w:lang w:val="en-US" w:eastAsia="zh-CN"/>
        </w:rPr>
        <w:t>294848060@qq.com</w:t>
      </w:r>
      <w:r>
        <w:rPr>
          <w:rFonts w:hint="eastAsia" w:eastAsia="宋体"/>
          <w:color w:val="auto"/>
          <w:highlight w:val="none"/>
          <w:lang w:val="en-US" w:eastAsia="zh-CN"/>
        </w:rPr>
        <w:fldChar w:fldCharType="end"/>
      </w:r>
    </w:p>
    <w:p w14:paraId="55BCFEFD">
      <w:pPr>
        <w:pStyle w:val="10"/>
        <w:rPr>
          <w:rFonts w:hint="eastAsia"/>
          <w:highlight w:val="none"/>
          <w:lang w:eastAsia="zh-CN"/>
        </w:rPr>
      </w:pPr>
    </w:p>
    <w:p w14:paraId="6F29AC54">
      <w:pPr>
        <w:pStyle w:val="10"/>
        <w:rPr>
          <w:rFonts w:hint="eastAsia"/>
          <w:highlight w:val="none"/>
          <w:lang w:eastAsia="zh-CN"/>
        </w:rPr>
      </w:pPr>
    </w:p>
    <w:p w14:paraId="63E7421B">
      <w:pPr>
        <w:pStyle w:val="7"/>
        <w:spacing w:line="360" w:lineRule="auto"/>
        <w:jc w:val="right"/>
        <w:rPr>
          <w:rFonts w:hint="eastAsia" w:eastAsia="宋体"/>
          <w:color w:val="auto"/>
          <w:highlight w:val="none"/>
          <w:lang w:val="en-US" w:eastAsia="zh-CN"/>
        </w:rPr>
      </w:pPr>
      <w:r>
        <w:rPr>
          <w:rFonts w:hint="eastAsia" w:eastAsia="宋体"/>
          <w:color w:val="auto"/>
          <w:highlight w:val="none"/>
        </w:rPr>
        <w:t>深圳市城投全过程工程咨询有限公司</w:t>
      </w:r>
    </w:p>
    <w:p w14:paraId="0D792067">
      <w:pPr>
        <w:spacing w:line="360" w:lineRule="auto"/>
        <w:ind w:left="5280" w:leftChars="2200" w:firstLine="1920" w:firstLineChars="800"/>
        <w:jc w:val="both"/>
        <w:rPr>
          <w:color w:val="auto"/>
          <w:highlight w:val="none"/>
        </w:rPr>
      </w:pPr>
      <w:r>
        <w:rPr>
          <w:rFonts w:hint="eastAsia" w:eastAsia="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日</w:t>
      </w:r>
    </w:p>
    <w:p w14:paraId="77D4978A">
      <w:pPr>
        <w:rPr>
          <w:rFonts w:hint="eastAsia"/>
          <w:color w:val="auto"/>
        </w:rPr>
      </w:pPr>
      <w:r>
        <w:rPr>
          <w:rFonts w:hint="eastAsia"/>
          <w:color w:val="auto"/>
        </w:rPr>
        <w:br w:type="page"/>
      </w:r>
    </w:p>
    <w:p w14:paraId="5886F884">
      <w:pPr>
        <w:pStyle w:val="6"/>
        <w:numPr>
          <w:ilvl w:val="-1"/>
          <w:numId w:val="0"/>
        </w:numPr>
        <w:rPr>
          <w:rFonts w:hint="eastAsia"/>
          <w:color w:val="auto"/>
        </w:rPr>
      </w:pPr>
      <w:r>
        <w:rPr>
          <w:rFonts w:hint="eastAsia"/>
          <w:color w:val="auto"/>
        </w:rPr>
        <w:t>第二章 对通用条款的补充内容及其他关键信息</w:t>
      </w:r>
    </w:p>
    <w:p w14:paraId="2DBB9F4E">
      <w:pPr>
        <w:pStyle w:val="4"/>
        <w:rPr>
          <w:color w:val="auto"/>
        </w:rPr>
      </w:pPr>
      <w:bookmarkStart w:id="21" w:name="_Toc73517639"/>
      <w:bookmarkStart w:id="22" w:name="_Toc73521547"/>
      <w:bookmarkStart w:id="23" w:name="_Toc100052364"/>
      <w:bookmarkStart w:id="24" w:name="_Toc73521635"/>
      <w:bookmarkStart w:id="25" w:name="_Toc60631620"/>
      <w:bookmarkStart w:id="26" w:name="_Toc73518117"/>
      <w:bookmarkStart w:id="27" w:name="_Toc60560625"/>
      <w:bookmarkStart w:id="28" w:name="_Toc101074876"/>
      <w:r>
        <w:rPr>
          <w:rFonts w:hint="eastAsia"/>
          <w:color w:val="auto"/>
        </w:rPr>
        <w:t>一、对通用条款的补充内容</w:t>
      </w:r>
    </w:p>
    <w:bookmarkEnd w:id="21"/>
    <w:bookmarkEnd w:id="22"/>
    <w:bookmarkEnd w:id="23"/>
    <w:bookmarkEnd w:id="24"/>
    <w:bookmarkEnd w:id="25"/>
    <w:bookmarkEnd w:id="26"/>
    <w:bookmarkEnd w:id="27"/>
    <w:bookmarkEnd w:id="28"/>
    <w:tbl>
      <w:tblPr>
        <w:tblStyle w:val="18"/>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026"/>
        <w:gridCol w:w="5363"/>
      </w:tblGrid>
      <w:tr w14:paraId="19772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B0A7DD3">
            <w:pPr>
              <w:rPr>
                <w:color w:val="auto"/>
              </w:rPr>
            </w:pPr>
            <w:r>
              <w:rPr>
                <w:rFonts w:hint="eastAsia" w:eastAsia="宋体"/>
                <w:color w:val="auto"/>
              </w:rPr>
              <w:t>通用条款序号</w:t>
            </w:r>
          </w:p>
        </w:tc>
        <w:tc>
          <w:tcPr>
            <w:tcW w:w="2026" w:type="dxa"/>
            <w:vAlign w:val="center"/>
          </w:tcPr>
          <w:p w14:paraId="394AB0E9">
            <w:pPr>
              <w:rPr>
                <w:color w:val="auto"/>
              </w:rPr>
            </w:pPr>
            <w:r>
              <w:rPr>
                <w:rFonts w:hint="eastAsia" w:eastAsia="宋体"/>
                <w:color w:val="auto"/>
              </w:rPr>
              <w:t>涉及事项</w:t>
            </w:r>
          </w:p>
        </w:tc>
        <w:tc>
          <w:tcPr>
            <w:tcW w:w="5363" w:type="dxa"/>
            <w:vAlign w:val="center"/>
          </w:tcPr>
          <w:p w14:paraId="5EBB872F">
            <w:pPr>
              <w:rPr>
                <w:color w:val="auto"/>
              </w:rPr>
            </w:pPr>
            <w:r>
              <w:rPr>
                <w:rFonts w:hint="eastAsia" w:ascii="宋体" w:hAnsi="宋体" w:eastAsia="宋体" w:cs="宋体"/>
                <w:color w:val="auto"/>
              </w:rPr>
              <w:t>具</w:t>
            </w:r>
            <w:r>
              <w:rPr>
                <w:rFonts w:hint="eastAsia"/>
                <w:color w:val="auto"/>
              </w:rPr>
              <w:t xml:space="preserve"> </w:t>
            </w:r>
            <w:r>
              <w:rPr>
                <w:color w:val="auto"/>
              </w:rPr>
              <w:t xml:space="preserve"> </w:t>
            </w:r>
            <w:r>
              <w:rPr>
                <w:rFonts w:hint="eastAsia" w:ascii="宋体" w:hAnsi="宋体" w:eastAsia="宋体" w:cs="宋体"/>
                <w:color w:val="auto"/>
              </w:rPr>
              <w:t>体</w:t>
            </w:r>
            <w:r>
              <w:rPr>
                <w:rFonts w:hint="eastAsia"/>
                <w:color w:val="auto"/>
              </w:rPr>
              <w:t xml:space="preserve"> </w:t>
            </w:r>
            <w:r>
              <w:rPr>
                <w:color w:val="auto"/>
              </w:rPr>
              <w:t xml:space="preserve"> </w:t>
            </w:r>
            <w:r>
              <w:rPr>
                <w:rFonts w:hint="eastAsia" w:ascii="宋体" w:hAnsi="宋体" w:eastAsia="宋体" w:cs="宋体"/>
                <w:color w:val="auto"/>
              </w:rPr>
              <w:t>补</w:t>
            </w:r>
            <w:r>
              <w:rPr>
                <w:rFonts w:hint="eastAsia"/>
                <w:color w:val="auto"/>
              </w:rPr>
              <w:t xml:space="preserve"> </w:t>
            </w:r>
            <w:r>
              <w:rPr>
                <w:color w:val="auto"/>
              </w:rPr>
              <w:t xml:space="preserve"> </w:t>
            </w:r>
            <w:r>
              <w:rPr>
                <w:rFonts w:hint="eastAsia" w:ascii="宋体" w:hAnsi="宋体" w:eastAsia="宋体" w:cs="宋体"/>
                <w:color w:val="auto"/>
              </w:rPr>
              <w:t>充</w:t>
            </w:r>
            <w:r>
              <w:rPr>
                <w:rFonts w:hint="eastAsia"/>
                <w:color w:val="auto"/>
              </w:rPr>
              <w:t xml:space="preserve"> </w:t>
            </w:r>
            <w:r>
              <w:rPr>
                <w:color w:val="auto"/>
              </w:rPr>
              <w:t xml:space="preserve"> </w:t>
            </w:r>
            <w:r>
              <w:rPr>
                <w:rFonts w:hint="eastAsia" w:ascii="宋体" w:hAnsi="宋体" w:eastAsia="宋体" w:cs="宋体"/>
                <w:color w:val="auto"/>
              </w:rPr>
              <w:t>内</w:t>
            </w:r>
            <w:r>
              <w:rPr>
                <w:rFonts w:hint="eastAsia"/>
                <w:color w:val="auto"/>
              </w:rPr>
              <w:t xml:space="preserve"> </w:t>
            </w:r>
            <w:r>
              <w:rPr>
                <w:color w:val="auto"/>
              </w:rPr>
              <w:t xml:space="preserve"> </w:t>
            </w:r>
            <w:r>
              <w:rPr>
                <w:rFonts w:hint="eastAsia" w:ascii="宋体" w:hAnsi="宋体" w:eastAsia="宋体" w:cs="宋体"/>
                <w:color w:val="auto"/>
              </w:rPr>
              <w:t>容</w:t>
            </w:r>
          </w:p>
        </w:tc>
      </w:tr>
      <w:tr w14:paraId="5BBDBB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53F7C7D">
            <w:pPr>
              <w:rPr>
                <w:rFonts w:hint="eastAsia" w:eastAsia="宋体"/>
                <w:color w:val="auto"/>
                <w:lang w:eastAsia="zh-CN"/>
              </w:rPr>
            </w:pPr>
            <w:r>
              <w:rPr>
                <w:rFonts w:hint="eastAsia" w:eastAsia="宋体"/>
                <w:color w:val="auto"/>
                <w:lang w:val="en-US" w:eastAsia="zh-CN"/>
              </w:rPr>
              <w:t>1</w:t>
            </w:r>
          </w:p>
        </w:tc>
        <w:tc>
          <w:tcPr>
            <w:tcW w:w="2026" w:type="dxa"/>
            <w:vAlign w:val="center"/>
          </w:tcPr>
          <w:p w14:paraId="11945826">
            <w:pPr>
              <w:rPr>
                <w:color w:val="auto"/>
              </w:rPr>
            </w:pPr>
            <w:r>
              <w:rPr>
                <w:rFonts w:hint="eastAsia" w:eastAsia="宋体"/>
                <w:color w:val="auto"/>
              </w:rPr>
              <w:t>采购人</w:t>
            </w:r>
          </w:p>
        </w:tc>
        <w:tc>
          <w:tcPr>
            <w:tcW w:w="5363" w:type="dxa"/>
            <w:vAlign w:val="center"/>
          </w:tcPr>
          <w:p w14:paraId="1DFB71F5">
            <w:pPr>
              <w:rPr>
                <w:rFonts w:eastAsia="宋体"/>
                <w:color w:val="auto"/>
              </w:rPr>
            </w:pPr>
            <w:r>
              <w:rPr>
                <w:rFonts w:hint="eastAsia" w:ascii="宋体" w:hAnsi="宋体"/>
                <w:color w:val="auto"/>
                <w:kern w:val="28"/>
                <w:szCs w:val="21"/>
                <w:highlight w:val="none"/>
                <w:lang w:eastAsia="zh-CN"/>
              </w:rPr>
              <w:t>深圳市盐田区应急管理局</w:t>
            </w:r>
          </w:p>
        </w:tc>
      </w:tr>
      <w:tr w14:paraId="4E2EC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AB4E06D">
            <w:pPr>
              <w:rPr>
                <w:rFonts w:hint="eastAsia" w:eastAsia="宋体"/>
                <w:color w:val="auto"/>
                <w:lang w:eastAsia="zh-CN"/>
              </w:rPr>
            </w:pPr>
            <w:r>
              <w:rPr>
                <w:rFonts w:hint="eastAsia" w:eastAsia="宋体"/>
                <w:color w:val="auto"/>
                <w:lang w:val="en-US" w:eastAsia="zh-CN"/>
              </w:rPr>
              <w:t>2</w:t>
            </w:r>
          </w:p>
        </w:tc>
        <w:tc>
          <w:tcPr>
            <w:tcW w:w="2026" w:type="dxa"/>
            <w:vAlign w:val="center"/>
          </w:tcPr>
          <w:p w14:paraId="314BFCB3">
            <w:pPr>
              <w:rPr>
                <w:color w:val="auto"/>
              </w:rPr>
            </w:pPr>
            <w:r>
              <w:rPr>
                <w:rFonts w:hint="eastAsia" w:eastAsia="宋体"/>
                <w:color w:val="auto"/>
              </w:rPr>
              <w:t>招标代理</w:t>
            </w:r>
            <w:r>
              <w:rPr>
                <w:rFonts w:hint="eastAsia" w:ascii="宋体" w:hAnsi="宋体" w:eastAsia="宋体" w:cs="宋体"/>
                <w:color w:val="auto"/>
              </w:rPr>
              <w:t>机构</w:t>
            </w:r>
          </w:p>
        </w:tc>
        <w:tc>
          <w:tcPr>
            <w:tcW w:w="5363" w:type="dxa"/>
            <w:vAlign w:val="center"/>
          </w:tcPr>
          <w:p w14:paraId="4FE12E65">
            <w:pPr>
              <w:rPr>
                <w:rFonts w:eastAsia="宋体"/>
                <w:color w:val="auto"/>
              </w:rPr>
            </w:pPr>
            <w:r>
              <w:rPr>
                <w:rFonts w:hint="eastAsia" w:eastAsia="宋体"/>
                <w:color w:val="auto"/>
              </w:rPr>
              <w:t>深圳市城投全过程工程咨询有限公司</w:t>
            </w:r>
          </w:p>
        </w:tc>
      </w:tr>
      <w:tr w14:paraId="6D2DDC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70028AD">
            <w:pPr>
              <w:rPr>
                <w:rFonts w:hint="eastAsia" w:eastAsia="宋体"/>
                <w:color w:val="auto"/>
                <w:lang w:eastAsia="zh-CN"/>
              </w:rPr>
            </w:pPr>
            <w:r>
              <w:rPr>
                <w:rFonts w:hint="eastAsia" w:eastAsia="宋体"/>
                <w:color w:val="auto"/>
                <w:lang w:val="en-US" w:eastAsia="zh-CN"/>
              </w:rPr>
              <w:t>3</w:t>
            </w:r>
          </w:p>
        </w:tc>
        <w:tc>
          <w:tcPr>
            <w:tcW w:w="2026" w:type="dxa"/>
            <w:vAlign w:val="center"/>
          </w:tcPr>
          <w:p w14:paraId="63D22A74">
            <w:pPr>
              <w:rPr>
                <w:color w:val="auto"/>
              </w:rPr>
            </w:pPr>
            <w:r>
              <w:rPr>
                <w:rFonts w:hint="eastAsia" w:eastAsia="宋体"/>
                <w:color w:val="auto"/>
              </w:rPr>
              <w:t>联合体投标</w:t>
            </w:r>
          </w:p>
        </w:tc>
        <w:tc>
          <w:tcPr>
            <w:tcW w:w="5363" w:type="dxa"/>
            <w:vAlign w:val="center"/>
          </w:tcPr>
          <w:p w14:paraId="6A6AA7AB">
            <w:pPr>
              <w:rPr>
                <w:color w:val="auto"/>
              </w:rPr>
            </w:pPr>
            <w:r>
              <w:rPr>
                <w:rFonts w:hint="eastAsia" w:eastAsia="宋体"/>
                <w:color w:val="auto"/>
              </w:rPr>
              <w:t>不接受</w:t>
            </w:r>
          </w:p>
        </w:tc>
      </w:tr>
      <w:tr w14:paraId="025ECF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8C139C7">
            <w:pPr>
              <w:rPr>
                <w:rFonts w:hint="eastAsia" w:eastAsia="宋体"/>
                <w:color w:val="auto"/>
                <w:lang w:eastAsia="zh-CN"/>
              </w:rPr>
            </w:pPr>
            <w:r>
              <w:rPr>
                <w:rFonts w:hint="eastAsia" w:eastAsia="宋体"/>
                <w:color w:val="auto"/>
                <w:lang w:val="en-US" w:eastAsia="zh-CN"/>
              </w:rPr>
              <w:t>4</w:t>
            </w:r>
          </w:p>
        </w:tc>
        <w:tc>
          <w:tcPr>
            <w:tcW w:w="2026" w:type="dxa"/>
            <w:vAlign w:val="center"/>
          </w:tcPr>
          <w:p w14:paraId="3500B9DE">
            <w:pPr>
              <w:rPr>
                <w:color w:val="auto"/>
              </w:rPr>
            </w:pPr>
            <w:r>
              <w:rPr>
                <w:rFonts w:hint="eastAsia" w:eastAsia="宋体"/>
                <w:color w:val="auto"/>
              </w:rPr>
              <w:t>踏勘现场</w:t>
            </w:r>
          </w:p>
        </w:tc>
        <w:tc>
          <w:tcPr>
            <w:tcW w:w="5363" w:type="dxa"/>
            <w:vAlign w:val="center"/>
          </w:tcPr>
          <w:p w14:paraId="6A7DAC1C">
            <w:pPr>
              <w:rPr>
                <w:color w:val="auto"/>
              </w:rPr>
            </w:pPr>
            <w:r>
              <w:rPr>
                <w:rFonts w:hint="eastAsia" w:eastAsia="宋体"/>
                <w:color w:val="auto"/>
              </w:rPr>
              <w:t>不组织</w:t>
            </w:r>
          </w:p>
        </w:tc>
      </w:tr>
      <w:tr w14:paraId="1182F4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DEC3CF">
            <w:pPr>
              <w:rPr>
                <w:rFonts w:hint="eastAsia" w:eastAsia="宋体"/>
                <w:color w:val="auto"/>
                <w:lang w:eastAsia="zh-CN"/>
              </w:rPr>
            </w:pPr>
            <w:r>
              <w:rPr>
                <w:rFonts w:hint="eastAsia" w:eastAsia="宋体"/>
                <w:color w:val="auto"/>
                <w:lang w:val="en-US" w:eastAsia="zh-CN"/>
              </w:rPr>
              <w:t>5</w:t>
            </w:r>
          </w:p>
        </w:tc>
        <w:tc>
          <w:tcPr>
            <w:tcW w:w="2026" w:type="dxa"/>
            <w:vAlign w:val="center"/>
          </w:tcPr>
          <w:p w14:paraId="11EE1627">
            <w:pPr>
              <w:rPr>
                <w:color w:val="auto"/>
              </w:rPr>
            </w:pPr>
            <w:r>
              <w:rPr>
                <w:rFonts w:hint="eastAsia" w:eastAsia="宋体"/>
                <w:color w:val="auto"/>
              </w:rPr>
              <w:t>标前会议</w:t>
            </w:r>
          </w:p>
        </w:tc>
        <w:tc>
          <w:tcPr>
            <w:tcW w:w="5363" w:type="dxa"/>
            <w:vAlign w:val="center"/>
          </w:tcPr>
          <w:p w14:paraId="2B5966B5">
            <w:pPr>
              <w:rPr>
                <w:color w:val="auto"/>
              </w:rPr>
            </w:pPr>
            <w:r>
              <w:rPr>
                <w:rFonts w:hint="eastAsia" w:eastAsia="宋体"/>
                <w:color w:val="auto"/>
              </w:rPr>
              <w:t>不组织</w:t>
            </w:r>
          </w:p>
        </w:tc>
      </w:tr>
      <w:tr w14:paraId="33AB6A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C2860AA">
            <w:pPr>
              <w:rPr>
                <w:rFonts w:hint="eastAsia" w:eastAsia="宋体"/>
                <w:color w:val="auto"/>
                <w:lang w:eastAsia="zh-CN"/>
              </w:rPr>
            </w:pPr>
            <w:r>
              <w:rPr>
                <w:rFonts w:hint="eastAsia" w:eastAsia="宋体"/>
                <w:color w:val="auto"/>
                <w:lang w:val="en-US" w:eastAsia="zh-CN"/>
              </w:rPr>
              <w:t>6</w:t>
            </w:r>
          </w:p>
        </w:tc>
        <w:tc>
          <w:tcPr>
            <w:tcW w:w="2026" w:type="dxa"/>
            <w:vAlign w:val="center"/>
          </w:tcPr>
          <w:p w14:paraId="50A475D8">
            <w:pPr>
              <w:rPr>
                <w:color w:val="auto"/>
              </w:rPr>
            </w:pPr>
            <w:r>
              <w:rPr>
                <w:rFonts w:hint="eastAsia" w:eastAsia="宋体"/>
                <w:color w:val="auto"/>
              </w:rPr>
              <w:t>招标文件的澄清和修改</w:t>
            </w:r>
          </w:p>
        </w:tc>
        <w:tc>
          <w:tcPr>
            <w:tcW w:w="5363" w:type="dxa"/>
            <w:vAlign w:val="center"/>
          </w:tcPr>
          <w:p w14:paraId="7F50202E">
            <w:pPr>
              <w:jc w:val="both"/>
              <w:rPr>
                <w:color w:val="auto"/>
              </w:rPr>
            </w:pPr>
            <w:r>
              <w:rPr>
                <w:rFonts w:hint="eastAsia" w:eastAsia="宋体"/>
                <w:color w:val="auto"/>
              </w:rPr>
              <w:t>投标截止日三日前（详见招标公告），投标人有义务在招标期间在</w:t>
            </w:r>
            <w:r>
              <w:rPr>
                <w:rFonts w:hint="eastAsia" w:ascii="宋体" w:hAnsi="宋体" w:cs="宋体"/>
                <w:b w:val="0"/>
                <w:i w:val="0"/>
                <w:caps w:val="0"/>
                <w:color w:val="auto"/>
                <w:spacing w:val="0"/>
                <w:w w:val="100"/>
                <w:sz w:val="24"/>
                <w:highlight w:val="none"/>
                <w:u w:val="none"/>
              </w:rPr>
              <w:t>深圳公共资源交易中心（https://zfcg.szexgrp.com/）、深圳市城投全过程工程咨询有限公司（https://www.szctqgc.cn/）、深圳市盐田区政府在线（http://www.yantian.gov.cn/）</w:t>
            </w:r>
            <w:r>
              <w:rPr>
                <w:rFonts w:hint="eastAsia" w:eastAsia="宋体"/>
                <w:color w:val="auto"/>
              </w:rPr>
              <w:t>网站浏览与本项目有关的澄清和修改信息</w:t>
            </w:r>
          </w:p>
        </w:tc>
      </w:tr>
      <w:tr w14:paraId="0F98E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35AAB5">
            <w:pPr>
              <w:rPr>
                <w:rFonts w:hint="eastAsia" w:eastAsia="宋体"/>
                <w:color w:val="auto"/>
                <w:lang w:eastAsia="zh-CN"/>
              </w:rPr>
            </w:pPr>
            <w:r>
              <w:rPr>
                <w:rFonts w:hint="eastAsia" w:eastAsia="宋体"/>
                <w:color w:val="auto"/>
                <w:lang w:val="en-US" w:eastAsia="zh-CN"/>
              </w:rPr>
              <w:t>7</w:t>
            </w:r>
          </w:p>
        </w:tc>
        <w:tc>
          <w:tcPr>
            <w:tcW w:w="2026" w:type="dxa"/>
            <w:vAlign w:val="center"/>
          </w:tcPr>
          <w:p w14:paraId="35572D97">
            <w:pPr>
              <w:rPr>
                <w:color w:val="auto"/>
              </w:rPr>
            </w:pPr>
            <w:r>
              <w:rPr>
                <w:rFonts w:hint="eastAsia" w:eastAsia="宋体"/>
                <w:color w:val="auto"/>
              </w:rPr>
              <w:t>投标有效期</w:t>
            </w:r>
          </w:p>
        </w:tc>
        <w:tc>
          <w:tcPr>
            <w:tcW w:w="5363" w:type="dxa"/>
            <w:vAlign w:val="center"/>
          </w:tcPr>
          <w:p w14:paraId="517C5942">
            <w:pPr>
              <w:rPr>
                <w:rFonts w:eastAsia="宋体"/>
                <w:color w:val="auto"/>
              </w:rPr>
            </w:pPr>
            <w:r>
              <w:rPr>
                <w:rFonts w:hint="eastAsia"/>
                <w:color w:val="auto"/>
              </w:rPr>
              <w:t>120</w:t>
            </w:r>
            <w:r>
              <w:rPr>
                <w:rFonts w:hint="eastAsia" w:ascii="宋体" w:hAnsi="宋体" w:eastAsia="宋体" w:cs="宋体"/>
                <w:color w:val="auto"/>
              </w:rPr>
              <w:t>个日历日</w:t>
            </w:r>
          </w:p>
        </w:tc>
      </w:tr>
      <w:tr w14:paraId="676271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CC67255">
            <w:pPr>
              <w:rPr>
                <w:rFonts w:hint="eastAsia" w:eastAsia="宋体"/>
                <w:color w:val="auto"/>
                <w:lang w:eastAsia="zh-CN"/>
              </w:rPr>
            </w:pPr>
            <w:r>
              <w:rPr>
                <w:rFonts w:hint="eastAsia" w:eastAsia="宋体"/>
                <w:color w:val="auto"/>
                <w:lang w:val="en-US" w:eastAsia="zh-CN"/>
              </w:rPr>
              <w:t>8</w:t>
            </w:r>
          </w:p>
        </w:tc>
        <w:tc>
          <w:tcPr>
            <w:tcW w:w="2026" w:type="dxa"/>
            <w:vAlign w:val="center"/>
          </w:tcPr>
          <w:p w14:paraId="7E5C0D8D">
            <w:pPr>
              <w:rPr>
                <w:color w:val="auto"/>
              </w:rPr>
            </w:pPr>
            <w:r>
              <w:rPr>
                <w:rFonts w:hint="eastAsia" w:eastAsia="宋体"/>
                <w:color w:val="auto"/>
              </w:rPr>
              <w:t>投标人的替代方案</w:t>
            </w:r>
          </w:p>
        </w:tc>
        <w:tc>
          <w:tcPr>
            <w:tcW w:w="5363" w:type="dxa"/>
            <w:vAlign w:val="center"/>
          </w:tcPr>
          <w:p w14:paraId="3BBC8642">
            <w:pPr>
              <w:rPr>
                <w:color w:val="auto"/>
              </w:rPr>
            </w:pPr>
            <w:r>
              <w:rPr>
                <w:rFonts w:hint="eastAsia" w:eastAsia="宋体"/>
                <w:color w:val="auto"/>
              </w:rPr>
              <w:t>不接受</w:t>
            </w:r>
          </w:p>
        </w:tc>
      </w:tr>
      <w:tr w14:paraId="56BE1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83FDD34">
            <w:pPr>
              <w:rPr>
                <w:rFonts w:hint="eastAsia" w:eastAsia="宋体"/>
                <w:color w:val="auto"/>
                <w:lang w:eastAsia="zh-CN"/>
              </w:rPr>
            </w:pPr>
            <w:r>
              <w:rPr>
                <w:rFonts w:hint="eastAsia" w:eastAsia="宋体"/>
                <w:color w:val="auto"/>
                <w:lang w:val="en-US" w:eastAsia="zh-CN"/>
              </w:rPr>
              <w:t>9</w:t>
            </w:r>
          </w:p>
        </w:tc>
        <w:tc>
          <w:tcPr>
            <w:tcW w:w="2026" w:type="dxa"/>
            <w:vAlign w:val="center"/>
          </w:tcPr>
          <w:p w14:paraId="756C5A69">
            <w:pPr>
              <w:rPr>
                <w:color w:val="auto"/>
              </w:rPr>
            </w:pPr>
            <w:r>
              <w:rPr>
                <w:rFonts w:hint="eastAsia" w:ascii="宋体" w:hAnsi="宋体"/>
                <w:b/>
                <w:bCs/>
                <w:color w:val="auto"/>
                <w:szCs w:val="21"/>
              </w:rPr>
              <w:t>投标文件份数</w:t>
            </w:r>
            <w:r>
              <w:rPr>
                <w:rFonts w:hint="eastAsia" w:ascii="宋体" w:hAnsi="宋体" w:eastAsia="宋体"/>
                <w:b/>
                <w:bCs/>
                <w:color w:val="auto"/>
                <w:szCs w:val="21"/>
                <w:lang w:val="en-US" w:eastAsia="zh-CN"/>
              </w:rPr>
              <w:t>要求</w:t>
            </w:r>
          </w:p>
        </w:tc>
        <w:tc>
          <w:tcPr>
            <w:tcW w:w="5363" w:type="dxa"/>
            <w:vAlign w:val="center"/>
          </w:tcPr>
          <w:p w14:paraId="2C8BDE0A">
            <w:pPr>
              <w:rPr>
                <w:rFonts w:eastAsia="宋体"/>
                <w:color w:val="auto"/>
              </w:rPr>
            </w:pPr>
            <w:r>
              <w:rPr>
                <w:b/>
                <w:bCs/>
                <w:color w:val="auto"/>
              </w:rPr>
              <w:t>正本一份，副本五份，电子文件一份。</w:t>
            </w:r>
          </w:p>
        </w:tc>
      </w:tr>
      <w:tr w14:paraId="388FC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36F7E3">
            <w:pPr>
              <w:rPr>
                <w:rFonts w:hint="default" w:eastAsia="宋体"/>
                <w:color w:val="auto"/>
                <w:lang w:val="en-US" w:eastAsia="zh-CN"/>
              </w:rPr>
            </w:pPr>
            <w:r>
              <w:rPr>
                <w:rFonts w:hint="eastAsia" w:eastAsia="宋体"/>
                <w:color w:val="auto"/>
                <w:lang w:val="en-US" w:eastAsia="zh-CN"/>
              </w:rPr>
              <w:t>10</w:t>
            </w:r>
          </w:p>
        </w:tc>
        <w:tc>
          <w:tcPr>
            <w:tcW w:w="2026" w:type="dxa"/>
            <w:vAlign w:val="center"/>
          </w:tcPr>
          <w:p w14:paraId="4D212972">
            <w:pPr>
              <w:rPr>
                <w:rFonts w:hint="eastAsia" w:eastAsia="宋体"/>
                <w:color w:val="auto"/>
                <w:lang w:val="en-US" w:eastAsia="zh-CN"/>
              </w:rPr>
            </w:pPr>
            <w:r>
              <w:rPr>
                <w:rFonts w:hint="eastAsia" w:ascii="宋体" w:hAnsi="宋体"/>
                <w:b/>
                <w:bCs/>
                <w:color w:val="000000" w:themeColor="text1"/>
                <w:szCs w:val="21"/>
                <w14:textFill>
                  <w14:solidFill>
                    <w14:schemeClr w14:val="tx1"/>
                  </w14:solidFill>
                </w14:textFill>
              </w:rPr>
              <w:t>电子文件</w:t>
            </w:r>
            <w:r>
              <w:rPr>
                <w:rFonts w:hint="eastAsia" w:ascii="宋体" w:hAnsi="宋体" w:eastAsia="宋体"/>
                <w:b/>
                <w:bCs/>
                <w:color w:val="000000" w:themeColor="text1"/>
                <w:szCs w:val="21"/>
                <w:lang w:val="en-US" w:eastAsia="zh-CN"/>
                <w14:textFill>
                  <w14:solidFill>
                    <w14:schemeClr w14:val="tx1"/>
                  </w14:solidFill>
                </w14:textFill>
              </w:rPr>
              <w:t>要求</w:t>
            </w:r>
          </w:p>
        </w:tc>
        <w:tc>
          <w:tcPr>
            <w:tcW w:w="5363" w:type="dxa"/>
            <w:vAlign w:val="center"/>
          </w:tcPr>
          <w:p w14:paraId="3B42A37E">
            <w:pPr>
              <w:jc w:val="left"/>
              <w:rPr>
                <w:rFonts w:hint="eastAsia" w:eastAsia="宋体"/>
                <w:color w:val="auto"/>
              </w:rPr>
            </w:pPr>
            <w:r>
              <w:rPr>
                <w:rFonts w:hint="eastAsia" w:ascii="宋体" w:hAnsi="宋体" w:cs="宋体"/>
                <w:b/>
                <w:bCs/>
                <w:color w:val="000000" w:themeColor="text1"/>
                <w:szCs w:val="21"/>
                <w:lang w:eastAsia="zh-TW"/>
                <w14:textFill>
                  <w14:solidFill>
                    <w14:schemeClr w14:val="tx1"/>
                  </w14:solidFill>
                </w14:textFill>
              </w:rPr>
              <w:t>电子文件是指将按招标文件要求</w:t>
            </w:r>
            <w:r>
              <w:rPr>
                <w:rFonts w:hint="eastAsia" w:ascii="宋体" w:hAnsi="宋体" w:cs="宋体"/>
                <w:b/>
                <w:bCs/>
                <w:color w:val="000000" w:themeColor="text1"/>
                <w:szCs w:val="21"/>
                <w:u w:val="single"/>
                <w:lang w:eastAsia="zh-TW"/>
                <w14:textFill>
                  <w14:solidFill>
                    <w14:schemeClr w14:val="tx1"/>
                  </w14:solidFill>
                </w14:textFill>
              </w:rPr>
              <w:t>签署、盖章后的正本投标文件</w:t>
            </w:r>
            <w:r>
              <w:rPr>
                <w:rFonts w:hint="eastAsia" w:ascii="宋体" w:hAnsi="宋体" w:cs="宋体"/>
                <w:b/>
                <w:bCs/>
                <w:color w:val="auto"/>
                <w:szCs w:val="21"/>
                <w:highlight w:val="none"/>
                <w:u w:val="single"/>
                <w:lang w:val="en-US" w:eastAsia="zh-CN"/>
              </w:rPr>
              <w:t>及资格审查证明文件</w:t>
            </w:r>
            <w:r>
              <w:rPr>
                <w:rFonts w:hint="eastAsia" w:ascii="宋体" w:hAnsi="宋体" w:cs="宋体"/>
                <w:b/>
                <w:bCs/>
                <w:color w:val="000000" w:themeColor="text1"/>
                <w:szCs w:val="21"/>
                <w:u w:val="single"/>
                <w:lang w:eastAsia="zh-TW"/>
                <w14:textFill>
                  <w14:solidFill>
                    <w14:schemeClr w14:val="tx1"/>
                  </w14:solidFill>
                </w14:textFill>
              </w:rPr>
              <w:t>扫描成PDF</w:t>
            </w:r>
            <w:r>
              <w:rPr>
                <w:rFonts w:hint="eastAsia" w:ascii="宋体" w:hAnsi="宋体" w:cs="宋体"/>
                <w:b/>
                <w:bCs/>
                <w:color w:val="000000" w:themeColor="text1"/>
                <w:szCs w:val="21"/>
                <w:lang w:eastAsia="zh-TW"/>
                <w14:textFill>
                  <w14:solidFill>
                    <w14:schemeClr w14:val="tx1"/>
                  </w14:solidFill>
                </w14:textFill>
              </w:rPr>
              <w:t>格式后拷贝至无病毒无密码的U盘或光盘</w:t>
            </w:r>
            <w:r>
              <w:rPr>
                <w:rFonts w:hint="eastAsia" w:ascii="宋体" w:hAnsi="宋体" w:cs="宋体"/>
                <w:b/>
                <w:bCs/>
                <w:color w:val="000000" w:themeColor="text1"/>
                <w:szCs w:val="21"/>
                <w14:textFill>
                  <w14:solidFill>
                    <w14:schemeClr w14:val="tx1"/>
                  </w14:solidFill>
                </w14:textFill>
              </w:rPr>
              <w:t>。</w:t>
            </w:r>
          </w:p>
        </w:tc>
      </w:tr>
      <w:tr w14:paraId="7900BF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3E55413">
            <w:pPr>
              <w:rPr>
                <w:rFonts w:hint="default" w:eastAsia="宋体"/>
                <w:color w:val="auto"/>
                <w:lang w:val="en-US" w:eastAsia="zh-CN"/>
              </w:rPr>
            </w:pPr>
            <w:r>
              <w:rPr>
                <w:rFonts w:hint="eastAsia" w:eastAsia="宋体"/>
                <w:color w:val="auto"/>
                <w:lang w:val="en-US" w:eastAsia="zh-CN"/>
              </w:rPr>
              <w:t>11</w:t>
            </w:r>
          </w:p>
        </w:tc>
        <w:tc>
          <w:tcPr>
            <w:tcW w:w="2026" w:type="dxa"/>
            <w:vAlign w:val="center"/>
          </w:tcPr>
          <w:p w14:paraId="040A0C33">
            <w:pPr>
              <w:rPr>
                <w:rFonts w:hint="eastAsia" w:eastAsia="宋体"/>
                <w:color w:val="auto"/>
                <w:lang w:val="en-US" w:eastAsia="zh-CN"/>
              </w:rPr>
            </w:pPr>
            <w:r>
              <w:rPr>
                <w:rFonts w:hint="eastAsia" w:ascii="宋体" w:hAnsi="宋体"/>
                <w:b/>
              </w:rPr>
              <w:t>密封资料</w:t>
            </w:r>
            <w:r>
              <w:rPr>
                <w:rFonts w:hint="eastAsia" w:ascii="宋体" w:hAnsi="宋体" w:eastAsia="宋体"/>
                <w:b/>
                <w:lang w:val="en-US" w:eastAsia="zh-CN"/>
              </w:rPr>
              <w:t>要求</w:t>
            </w:r>
          </w:p>
        </w:tc>
        <w:tc>
          <w:tcPr>
            <w:tcW w:w="5363" w:type="dxa"/>
            <w:vAlign w:val="center"/>
          </w:tcPr>
          <w:p w14:paraId="733382CA">
            <w:pPr>
              <w:jc w:val="left"/>
              <w:rPr>
                <w:rFonts w:hint="eastAsia" w:ascii="宋体" w:hAnsi="宋体" w:eastAsia="Times New Roman"/>
                <w:b/>
              </w:rPr>
            </w:pPr>
            <w:r>
              <w:rPr>
                <w:rFonts w:hint="eastAsia" w:ascii="宋体" w:hAnsi="宋体" w:eastAsia="Times New Roman"/>
                <w:b/>
              </w:rPr>
              <w:t>电子</w:t>
            </w:r>
            <w:r>
              <w:rPr>
                <w:rFonts w:hint="eastAsia" w:ascii="宋体" w:hAnsi="宋体" w:eastAsia="Times New Roman"/>
                <w:b/>
                <w:lang w:val="en-US" w:eastAsia="zh-CN"/>
              </w:rPr>
              <w:t>投标</w:t>
            </w:r>
            <w:r>
              <w:rPr>
                <w:rFonts w:hint="eastAsia" w:ascii="宋体" w:hAnsi="宋体" w:eastAsia="Times New Roman"/>
                <w:b/>
              </w:rPr>
              <w:t>文件：</w:t>
            </w:r>
          </w:p>
          <w:p w14:paraId="51553308">
            <w:pPr>
              <w:jc w:val="both"/>
              <w:rPr>
                <w:rFonts w:hint="eastAsia" w:eastAsia="宋体"/>
                <w:color w:val="auto"/>
              </w:rPr>
            </w:pPr>
            <w:r>
              <w:rPr>
                <w:rFonts w:hint="eastAsia" w:ascii="宋体" w:hAnsi="宋体" w:eastAsia="Times New Roman"/>
                <w:b/>
              </w:rPr>
              <w:t>将项目电子文件一并单独密封提交，并在信封上标明“电子</w:t>
            </w:r>
            <w:r>
              <w:rPr>
                <w:rFonts w:hint="eastAsia" w:ascii="宋体" w:hAnsi="宋体" w:eastAsia="Times New Roman"/>
                <w:b/>
                <w:lang w:val="en-US" w:eastAsia="zh-CN"/>
              </w:rPr>
              <w:t>投标</w:t>
            </w:r>
            <w:r>
              <w:rPr>
                <w:rFonts w:hint="eastAsia" w:ascii="宋体" w:hAnsi="宋体" w:eastAsia="Times New Roman"/>
                <w:b/>
              </w:rPr>
              <w:t>文件”字样。</w:t>
            </w:r>
          </w:p>
        </w:tc>
      </w:tr>
      <w:tr w14:paraId="66DBD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13789E">
            <w:pPr>
              <w:rPr>
                <w:rFonts w:hint="default" w:eastAsia="宋体"/>
                <w:color w:val="auto"/>
                <w:lang w:val="en-US" w:eastAsia="zh-CN"/>
              </w:rPr>
            </w:pPr>
            <w:r>
              <w:rPr>
                <w:rFonts w:hint="eastAsia" w:eastAsia="宋体"/>
                <w:color w:val="auto"/>
                <w:lang w:val="en-US" w:eastAsia="zh-CN"/>
              </w:rPr>
              <w:t>12</w:t>
            </w:r>
          </w:p>
        </w:tc>
        <w:tc>
          <w:tcPr>
            <w:tcW w:w="2026" w:type="dxa"/>
            <w:vAlign w:val="center"/>
          </w:tcPr>
          <w:p w14:paraId="15E69BE8">
            <w:pPr>
              <w:rPr>
                <w:color w:val="auto"/>
              </w:rPr>
            </w:pPr>
            <w:bookmarkStart w:id="29" w:name="_Hlk71664860"/>
            <w:r>
              <w:rPr>
                <w:rFonts w:hint="eastAsia" w:eastAsia="宋体"/>
                <w:color w:val="auto"/>
              </w:rPr>
              <w:t>样品、现场演示、方案讲解</w:t>
            </w:r>
            <w:bookmarkEnd w:id="29"/>
          </w:p>
        </w:tc>
        <w:tc>
          <w:tcPr>
            <w:tcW w:w="5363" w:type="dxa"/>
            <w:vAlign w:val="center"/>
          </w:tcPr>
          <w:p w14:paraId="0CF67F72">
            <w:pPr>
              <w:rPr>
                <w:color w:val="auto"/>
              </w:rPr>
            </w:pPr>
            <w:r>
              <w:rPr>
                <w:rFonts w:hint="eastAsia" w:eastAsia="宋体"/>
                <w:color w:val="auto"/>
              </w:rPr>
              <w:t>无</w:t>
            </w:r>
          </w:p>
        </w:tc>
      </w:tr>
      <w:tr w14:paraId="63BCAA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FBDE098">
            <w:pPr>
              <w:rPr>
                <w:rFonts w:hint="default" w:eastAsia="宋体"/>
                <w:color w:val="auto"/>
                <w:lang w:val="en-US" w:eastAsia="zh-CN"/>
              </w:rPr>
            </w:pPr>
            <w:r>
              <w:rPr>
                <w:rFonts w:hint="eastAsia" w:eastAsia="宋体"/>
                <w:color w:val="auto"/>
                <w:lang w:val="en-US" w:eastAsia="zh-CN"/>
              </w:rPr>
              <w:t>13</w:t>
            </w:r>
          </w:p>
        </w:tc>
        <w:tc>
          <w:tcPr>
            <w:tcW w:w="2026" w:type="dxa"/>
            <w:vAlign w:val="center"/>
          </w:tcPr>
          <w:p w14:paraId="22AF8640">
            <w:pPr>
              <w:rPr>
                <w:color w:val="auto"/>
              </w:rPr>
            </w:pPr>
            <w:r>
              <w:rPr>
                <w:rFonts w:hint="eastAsia" w:eastAsia="宋体"/>
                <w:color w:val="auto"/>
              </w:rPr>
              <w:t>评审方法</w:t>
            </w:r>
          </w:p>
        </w:tc>
        <w:tc>
          <w:tcPr>
            <w:tcW w:w="5363" w:type="dxa"/>
            <w:vAlign w:val="center"/>
          </w:tcPr>
          <w:p w14:paraId="3254D54F">
            <w:pPr>
              <w:rPr>
                <w:color w:val="auto"/>
              </w:rPr>
            </w:pPr>
            <w:r>
              <w:rPr>
                <w:rFonts w:hint="eastAsia" w:eastAsia="宋体"/>
                <w:color w:val="auto"/>
              </w:rPr>
              <w:t>综合评分法</w:t>
            </w:r>
          </w:p>
        </w:tc>
      </w:tr>
      <w:tr w14:paraId="40A30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92ED813">
            <w:pPr>
              <w:rPr>
                <w:rFonts w:hint="default" w:eastAsia="宋体"/>
                <w:color w:val="auto"/>
                <w:lang w:val="en-US" w:eastAsia="zh-CN"/>
              </w:rPr>
            </w:pPr>
            <w:r>
              <w:rPr>
                <w:rFonts w:hint="eastAsia" w:eastAsia="宋体"/>
                <w:color w:val="auto"/>
                <w:lang w:val="en-US" w:eastAsia="zh-CN"/>
              </w:rPr>
              <w:t>14</w:t>
            </w:r>
          </w:p>
        </w:tc>
        <w:tc>
          <w:tcPr>
            <w:tcW w:w="2026" w:type="dxa"/>
            <w:vAlign w:val="center"/>
          </w:tcPr>
          <w:p w14:paraId="20DA72EA">
            <w:pPr>
              <w:rPr>
                <w:color w:val="auto"/>
              </w:rPr>
            </w:pPr>
            <w:r>
              <w:rPr>
                <w:rFonts w:hint="eastAsia" w:eastAsia="宋体"/>
                <w:color w:val="auto"/>
              </w:rPr>
              <w:t>定标方法</w:t>
            </w:r>
          </w:p>
        </w:tc>
        <w:tc>
          <w:tcPr>
            <w:tcW w:w="5363" w:type="dxa"/>
            <w:vAlign w:val="center"/>
          </w:tcPr>
          <w:p w14:paraId="74E8C0E9">
            <w:pPr>
              <w:rPr>
                <w:color w:val="auto"/>
              </w:rPr>
            </w:pPr>
            <w:r>
              <w:rPr>
                <w:rFonts w:hint="eastAsia" w:eastAsia="宋体"/>
                <w:color w:val="auto"/>
              </w:rPr>
              <w:t>非评定分离</w:t>
            </w:r>
          </w:p>
        </w:tc>
      </w:tr>
      <w:tr w14:paraId="59CB5B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AB18404">
            <w:pPr>
              <w:rPr>
                <w:rFonts w:hint="default" w:eastAsia="宋体"/>
                <w:color w:val="auto"/>
                <w:lang w:val="en-US" w:eastAsia="zh-CN"/>
              </w:rPr>
            </w:pPr>
            <w:r>
              <w:rPr>
                <w:rFonts w:hint="eastAsia" w:eastAsia="宋体"/>
                <w:color w:val="auto"/>
                <w:lang w:val="en-US" w:eastAsia="zh-CN"/>
              </w:rPr>
              <w:t>15</w:t>
            </w:r>
          </w:p>
        </w:tc>
        <w:tc>
          <w:tcPr>
            <w:tcW w:w="2026" w:type="dxa"/>
            <w:vAlign w:val="center"/>
          </w:tcPr>
          <w:p w14:paraId="17B9870C">
            <w:pPr>
              <w:rPr>
                <w:color w:val="auto"/>
              </w:rPr>
            </w:pPr>
            <w:r>
              <w:rPr>
                <w:rFonts w:hint="eastAsia" w:eastAsia="宋体"/>
                <w:color w:val="auto"/>
              </w:rPr>
              <w:t>履约担保</w:t>
            </w:r>
          </w:p>
        </w:tc>
        <w:tc>
          <w:tcPr>
            <w:tcW w:w="5363" w:type="dxa"/>
            <w:vAlign w:val="center"/>
          </w:tcPr>
          <w:p w14:paraId="360198AB">
            <w:pPr>
              <w:rPr>
                <w:color w:val="auto"/>
              </w:rPr>
            </w:pPr>
            <w:r>
              <w:rPr>
                <w:rFonts w:hint="eastAsia" w:eastAsia="宋体"/>
                <w:color w:val="auto"/>
              </w:rPr>
              <w:t>本项目无需提供</w:t>
            </w:r>
            <w:bookmarkStart w:id="30" w:name="OLE_LINK157"/>
            <w:bookmarkStart w:id="31" w:name="OLE_LINK158"/>
            <w:r>
              <w:rPr>
                <w:rFonts w:hint="eastAsia" w:eastAsia="宋体"/>
                <w:color w:val="auto"/>
              </w:rPr>
              <w:t>履约保证金</w:t>
            </w:r>
            <w:bookmarkEnd w:id="30"/>
            <w:bookmarkEnd w:id="31"/>
          </w:p>
        </w:tc>
      </w:tr>
    </w:tbl>
    <w:p w14:paraId="1D4C9DED">
      <w:pPr>
        <w:ind w:firstLine="720"/>
        <w:jc w:val="both"/>
        <w:rPr>
          <w:rFonts w:hint="eastAsia" w:eastAsia="宋体"/>
          <w:color w:val="auto"/>
        </w:rPr>
      </w:pPr>
      <w:r>
        <w:rPr>
          <w:rFonts w:hint="eastAsia" w:eastAsia="宋体"/>
          <w:color w:val="auto"/>
        </w:rPr>
        <w:t>备注：本表是通用条款相关条款的补充和明确，如与通用条款内容相冲突的，以本表为准。</w:t>
      </w:r>
    </w:p>
    <w:p w14:paraId="25DF8E9E">
      <w:pPr>
        <w:ind w:firstLine="720"/>
        <w:jc w:val="both"/>
        <w:rPr>
          <w:rFonts w:hint="eastAsia" w:eastAsia="宋体"/>
          <w:color w:val="auto"/>
        </w:rPr>
      </w:pPr>
    </w:p>
    <w:p w14:paraId="04CF025B">
      <w:pPr>
        <w:ind w:firstLine="720"/>
        <w:jc w:val="both"/>
        <w:rPr>
          <w:rFonts w:hint="eastAsia" w:eastAsia="宋体"/>
          <w:color w:val="auto"/>
        </w:rPr>
      </w:pPr>
    </w:p>
    <w:p w14:paraId="7B4BAE52">
      <w:pPr>
        <w:ind w:firstLine="720"/>
        <w:jc w:val="both"/>
        <w:rPr>
          <w:rFonts w:hint="eastAsia" w:eastAsia="宋体"/>
          <w:color w:val="auto"/>
        </w:rPr>
      </w:pPr>
    </w:p>
    <w:p w14:paraId="2E7C8659">
      <w:pPr>
        <w:ind w:firstLine="720"/>
        <w:jc w:val="both"/>
        <w:rPr>
          <w:rFonts w:hint="eastAsia" w:eastAsia="宋体"/>
          <w:color w:val="auto"/>
        </w:rPr>
      </w:pPr>
    </w:p>
    <w:p w14:paraId="3DC21558">
      <w:pPr>
        <w:ind w:firstLine="720"/>
        <w:jc w:val="both"/>
        <w:rPr>
          <w:rFonts w:hint="eastAsia" w:eastAsia="宋体"/>
          <w:color w:val="auto"/>
        </w:rPr>
      </w:pPr>
    </w:p>
    <w:p w14:paraId="6295B6D1">
      <w:pPr>
        <w:ind w:firstLine="720"/>
        <w:jc w:val="both"/>
        <w:rPr>
          <w:rFonts w:hint="eastAsia" w:eastAsia="宋体"/>
          <w:color w:val="auto"/>
        </w:rPr>
      </w:pPr>
    </w:p>
    <w:p w14:paraId="2D7A938B">
      <w:pPr>
        <w:pStyle w:val="4"/>
        <w:pageBreakBefore w:val="0"/>
        <w:widowControl/>
        <w:numPr>
          <w:ilvl w:val="0"/>
          <w:numId w:val="2"/>
        </w:numPr>
        <w:kinsoku/>
        <w:wordWrap/>
        <w:overflowPunct/>
        <w:topLinePunct w:val="0"/>
        <w:autoSpaceDE/>
        <w:autoSpaceDN/>
        <w:bidi w:val="0"/>
        <w:adjustRightInd/>
        <w:snapToGrid/>
        <w:spacing w:line="300" w:lineRule="exact"/>
        <w:jc w:val="center"/>
        <w:textAlignment w:val="auto"/>
        <w:rPr>
          <w:rFonts w:hint="eastAsia"/>
          <w:color w:val="auto"/>
        </w:rPr>
      </w:pPr>
      <w:r>
        <w:rPr>
          <w:rFonts w:hint="eastAsia"/>
          <w:color w:val="auto"/>
        </w:rPr>
        <w:t>其他关键信息</w:t>
      </w:r>
    </w:p>
    <w:p w14:paraId="5618CABB">
      <w:pPr>
        <w:spacing w:line="276" w:lineRule="auto"/>
        <w:jc w:val="center"/>
        <w:rPr>
          <w:rFonts w:hint="eastAsia" w:cs="Times New Roman" w:asciiTheme="minorEastAsia" w:hAnsiTheme="minorEastAsia" w:eastAsiaTheme="minorEastAsia"/>
          <w:b/>
        </w:rPr>
      </w:pPr>
      <w:r>
        <w:rPr>
          <w:rFonts w:hint="eastAsia" w:cs="Times New Roman" w:asciiTheme="minorEastAsia" w:hAnsiTheme="minorEastAsia" w:eastAsiaTheme="minorEastAsia"/>
          <w:b/>
        </w:rPr>
        <w:t>(一)评标定标信息</w:t>
      </w:r>
    </w:p>
    <w:tbl>
      <w:tblPr>
        <w:tblStyle w:val="18"/>
        <w:tblW w:w="8613" w:type="dxa"/>
        <w:tblInd w:w="0" w:type="dxa"/>
        <w:tblLayout w:type="autofit"/>
        <w:tblCellMar>
          <w:top w:w="0" w:type="dxa"/>
          <w:left w:w="108" w:type="dxa"/>
          <w:bottom w:w="0" w:type="dxa"/>
          <w:right w:w="108" w:type="dxa"/>
        </w:tblCellMar>
      </w:tblPr>
      <w:tblGrid>
        <w:gridCol w:w="4211"/>
        <w:gridCol w:w="4402"/>
      </w:tblGrid>
      <w:tr w14:paraId="1E23F84C">
        <w:tblPrEx>
          <w:tblCellMar>
            <w:top w:w="0" w:type="dxa"/>
            <w:left w:w="108" w:type="dxa"/>
            <w:bottom w:w="0" w:type="dxa"/>
            <w:right w:w="108" w:type="dxa"/>
          </w:tblCellMar>
        </w:tblPrEx>
        <w:trPr>
          <w:trHeight w:val="70" w:hRule="atLeast"/>
        </w:trPr>
        <w:tc>
          <w:tcPr>
            <w:tcW w:w="4211" w:type="dxa"/>
            <w:tcBorders>
              <w:top w:val="single" w:color="auto" w:sz="4" w:space="0"/>
              <w:left w:val="single" w:color="auto" w:sz="4" w:space="0"/>
              <w:bottom w:val="single" w:color="auto" w:sz="4" w:space="0"/>
              <w:right w:val="single" w:color="auto" w:sz="4" w:space="0"/>
            </w:tcBorders>
            <w:vAlign w:val="center"/>
          </w:tcPr>
          <w:p w14:paraId="3D14E5F3">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评标方法</w:t>
            </w:r>
          </w:p>
        </w:tc>
        <w:tc>
          <w:tcPr>
            <w:tcW w:w="4402" w:type="dxa"/>
            <w:tcBorders>
              <w:top w:val="single" w:color="auto" w:sz="4" w:space="0"/>
              <w:left w:val="single" w:color="auto" w:sz="4" w:space="0"/>
              <w:bottom w:val="single" w:color="auto" w:sz="4" w:space="0"/>
              <w:right w:val="single" w:color="auto" w:sz="4" w:space="0"/>
            </w:tcBorders>
            <w:vAlign w:val="center"/>
          </w:tcPr>
          <w:p w14:paraId="0FA48190">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综合评分法</w:t>
            </w:r>
          </w:p>
        </w:tc>
      </w:tr>
      <w:tr w14:paraId="70F0ECBF">
        <w:tblPrEx>
          <w:tblCellMar>
            <w:top w:w="0" w:type="dxa"/>
            <w:left w:w="108" w:type="dxa"/>
            <w:bottom w:w="0" w:type="dxa"/>
            <w:right w:w="108" w:type="dxa"/>
          </w:tblCellMar>
        </w:tblPrEx>
        <w:trPr>
          <w:trHeight w:val="70" w:hRule="atLeast"/>
        </w:trPr>
        <w:tc>
          <w:tcPr>
            <w:tcW w:w="4211" w:type="dxa"/>
            <w:tcBorders>
              <w:top w:val="single" w:color="auto" w:sz="4" w:space="0"/>
              <w:left w:val="single" w:color="auto" w:sz="4" w:space="0"/>
              <w:bottom w:val="single" w:color="auto" w:sz="4" w:space="0"/>
              <w:right w:val="single" w:color="auto" w:sz="4" w:space="0"/>
            </w:tcBorders>
            <w:vAlign w:val="center"/>
          </w:tcPr>
          <w:p w14:paraId="7FE7E260">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候选中标供应商数量</w:t>
            </w:r>
          </w:p>
        </w:tc>
        <w:tc>
          <w:tcPr>
            <w:tcW w:w="4402" w:type="dxa"/>
            <w:tcBorders>
              <w:top w:val="single" w:color="auto" w:sz="4" w:space="0"/>
              <w:left w:val="single" w:color="auto" w:sz="4" w:space="0"/>
              <w:bottom w:val="single" w:color="auto" w:sz="4" w:space="0"/>
              <w:right w:val="single" w:color="auto" w:sz="4" w:space="0"/>
            </w:tcBorders>
            <w:vAlign w:val="center"/>
          </w:tcPr>
          <w:p w14:paraId="0DD58C6C">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14:paraId="0720DE20">
        <w:tblPrEx>
          <w:tblCellMar>
            <w:top w:w="0" w:type="dxa"/>
            <w:left w:w="108" w:type="dxa"/>
            <w:bottom w:w="0" w:type="dxa"/>
            <w:right w:w="108" w:type="dxa"/>
          </w:tblCellMar>
        </w:tblPrEx>
        <w:trPr>
          <w:trHeight w:val="70" w:hRule="atLeast"/>
        </w:trPr>
        <w:tc>
          <w:tcPr>
            <w:tcW w:w="4211" w:type="dxa"/>
            <w:tcBorders>
              <w:top w:val="single" w:color="auto" w:sz="4" w:space="0"/>
              <w:left w:val="single" w:color="auto" w:sz="4" w:space="0"/>
              <w:bottom w:val="single" w:color="auto" w:sz="4" w:space="0"/>
              <w:right w:val="single" w:color="auto" w:sz="4" w:space="0"/>
            </w:tcBorders>
            <w:vAlign w:val="center"/>
          </w:tcPr>
          <w:p w14:paraId="0707C656">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中标供应商数量</w:t>
            </w:r>
          </w:p>
        </w:tc>
        <w:tc>
          <w:tcPr>
            <w:tcW w:w="4402" w:type="dxa"/>
            <w:tcBorders>
              <w:top w:val="single" w:color="auto" w:sz="4" w:space="0"/>
              <w:left w:val="single" w:color="auto" w:sz="4" w:space="0"/>
              <w:bottom w:val="single" w:color="auto" w:sz="4" w:space="0"/>
              <w:right w:val="single" w:color="auto" w:sz="4" w:space="0"/>
            </w:tcBorders>
            <w:vAlign w:val="center"/>
          </w:tcPr>
          <w:p w14:paraId="5A472F83">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r>
    </w:tbl>
    <w:p w14:paraId="1FB1680F">
      <w:pPr>
        <w:spacing w:line="276" w:lineRule="auto"/>
        <w:rPr>
          <w:rFonts w:asciiTheme="minorEastAsia" w:hAnsiTheme="minorEastAsia" w:eastAsiaTheme="minorEastAsia"/>
          <w:szCs w:val="21"/>
        </w:rPr>
      </w:pPr>
    </w:p>
    <w:p w14:paraId="78CAD367">
      <w:pPr>
        <w:spacing w:line="276" w:lineRule="auto"/>
        <w:jc w:val="center"/>
        <w:rPr>
          <w:rFonts w:asciiTheme="minorEastAsia" w:hAnsiTheme="minorEastAsia" w:eastAsiaTheme="minorEastAsia"/>
          <w:b/>
        </w:rPr>
      </w:pPr>
      <w:bookmarkStart w:id="32" w:name="_Hlk60239043"/>
      <w:bookmarkEnd w:id="32"/>
      <w:r>
        <w:rPr>
          <w:rFonts w:hint="eastAsia" w:asciiTheme="minorEastAsia" w:hAnsiTheme="minorEastAsia" w:eastAsiaTheme="minorEastAsia"/>
          <w:b/>
        </w:rPr>
        <w:t>（二）评标优惠政策</w:t>
      </w:r>
    </w:p>
    <w:p w14:paraId="1D45A1EA">
      <w:pPr>
        <w:spacing w:line="276" w:lineRule="auto"/>
        <w:jc w:val="left"/>
        <w:rPr>
          <w:rFonts w:asciiTheme="minorEastAsia" w:hAnsiTheme="minorEastAsia" w:eastAsiaTheme="minorEastAsia"/>
          <w:color w:val="auto"/>
        </w:rPr>
      </w:pPr>
      <w:r>
        <w:rPr>
          <w:rFonts w:hint="eastAsia" w:asciiTheme="minorEastAsia" w:hAnsiTheme="minorEastAsia" w:eastAsiaTheme="minorEastAsia"/>
        </w:rPr>
        <w:t xml:space="preserve">    1.根据《政府采购促进中小企业发展管理办法》（财库[2020]46号）对满足价格扣除条件且在投标文件中提交了《中小企业声明函》，对于小微企业其投标报价扣除</w:t>
      </w:r>
      <w:r>
        <w:rPr>
          <w:rFonts w:hint="eastAsia" w:asciiTheme="minorEastAsia" w:hAnsiTheme="minorEastAsia" w:eastAsiaTheme="minorEastAsia"/>
          <w:color w:val="auto"/>
        </w:rPr>
        <w:t>10%后</w:t>
      </w:r>
      <w:r>
        <w:rPr>
          <w:rFonts w:hint="eastAsia" w:asciiTheme="minorEastAsia" w:hAnsiTheme="minorEastAsia" w:eastAsiaTheme="minorEastAsia"/>
        </w:rPr>
        <w:t>参与评审。根据《财政部 司法部关于政府采购支持监狱企业发展有关问题的通知》（财库〔2014〕68号）和《三部门联合发布关于促进残疾人就业政府采购政策的通知》（财库〔2017〕141号）的规定，对满足价格扣除条件且在投标文件中提交了《残疾人福利性单位声明函》或省级以上监</w:t>
      </w:r>
      <w:r>
        <w:rPr>
          <w:rFonts w:hint="eastAsia" w:asciiTheme="minorEastAsia" w:hAnsiTheme="minorEastAsia" w:eastAsiaTheme="minorEastAsia"/>
          <w:color w:val="auto"/>
        </w:rPr>
        <w:t>狱管理局、戒毒管理局（含新疆生产建设兵团）出具的属于监狱企业的证明文件的投标人，其投标报价扣除6%后参与评审。对于同时属于小微企业、监狱企业或残疾人福利性单位的，不重复进行投标报价扣除。如有其它政策支持因素（如鼓励创新等）需一并列出。</w:t>
      </w:r>
    </w:p>
    <w:p w14:paraId="197C6881">
      <w:pPr>
        <w:spacing w:line="276" w:lineRule="auto"/>
        <w:jc w:val="left"/>
        <w:rPr>
          <w:rFonts w:asciiTheme="minorEastAsia" w:hAnsiTheme="minorEastAsia" w:eastAsiaTheme="minorEastAsia"/>
          <w:color w:val="auto"/>
        </w:rPr>
      </w:pPr>
      <w:r>
        <w:rPr>
          <w:rFonts w:hint="eastAsia" w:asciiTheme="minorEastAsia" w:hAnsiTheme="minorEastAsia" w:eastAsiaTheme="minorEastAsia"/>
          <w:color w:val="auto"/>
        </w:rPr>
        <w:t xml:space="preserve">    2.联合协议中约定，小型、微型企业、残疾人福利性单位和监狱企业的协议合同金额占到联合体协议合同总金额30%以上的，可给予联合体2%的价格扣除。</w:t>
      </w:r>
    </w:p>
    <w:p w14:paraId="526BB002">
      <w:pPr>
        <w:spacing w:line="276" w:lineRule="auto"/>
        <w:jc w:val="left"/>
        <w:rPr>
          <w:rFonts w:asciiTheme="minorEastAsia" w:hAnsiTheme="minorEastAsia" w:eastAsiaTheme="minorEastAsia"/>
        </w:rPr>
      </w:pPr>
      <w:r>
        <w:rPr>
          <w:rFonts w:hint="eastAsia" w:asciiTheme="minorEastAsia" w:hAnsiTheme="minorEastAsia" w:eastAsiaTheme="minorEastAsia"/>
          <w:color w:val="auto"/>
        </w:rPr>
        <w:t xml:space="preserve">    联合体各方均为小型、微型企业和监狱企业的，联合体视同为小型、微型企业和监狱企业，均享受</w:t>
      </w:r>
      <w:r>
        <w:rPr>
          <w:rFonts w:hint="eastAsia" w:asciiTheme="minorEastAsia" w:hAnsiTheme="minorEastAsia" w:eastAsiaTheme="minorEastAsia"/>
          <w:b/>
          <w:bCs/>
          <w:color w:val="auto"/>
        </w:rPr>
        <w:t>评标优惠政策</w:t>
      </w:r>
      <w:r>
        <w:rPr>
          <w:rFonts w:hint="eastAsia" w:asciiTheme="minorEastAsia" w:hAnsiTheme="minorEastAsia" w:eastAsiaTheme="minorEastAsia"/>
          <w:color w:val="auto"/>
        </w:rPr>
        <w:t>第一款的优惠政</w:t>
      </w:r>
      <w:r>
        <w:rPr>
          <w:rFonts w:hint="eastAsia" w:asciiTheme="minorEastAsia" w:hAnsiTheme="minorEastAsia" w:eastAsiaTheme="minorEastAsia"/>
        </w:rPr>
        <w:t>策。</w:t>
      </w:r>
    </w:p>
    <w:p w14:paraId="602F55AA">
      <w:pPr>
        <w:spacing w:line="276" w:lineRule="auto"/>
        <w:rPr>
          <w:rFonts w:asciiTheme="minorEastAsia" w:hAnsiTheme="minorEastAsia" w:eastAsiaTheme="minorEastAsia"/>
          <w:b/>
        </w:rPr>
      </w:pPr>
      <w:r>
        <w:rPr>
          <w:rFonts w:hint="eastAsia" w:asciiTheme="minorEastAsia" w:hAnsiTheme="minorEastAsia" w:eastAsiaTheme="minorEastAsia"/>
          <w:b/>
        </w:rPr>
        <w:t xml:space="preserve"> </w:t>
      </w:r>
      <w:bookmarkStart w:id="33" w:name="_Hlk60239158"/>
      <w:bookmarkEnd w:id="33"/>
      <w:r>
        <w:rPr>
          <w:rFonts w:hint="eastAsia" w:asciiTheme="minorEastAsia" w:hAnsiTheme="minorEastAsia" w:eastAsiaTheme="minorEastAsia"/>
          <w:b/>
        </w:rPr>
        <w:tab/>
      </w:r>
    </w:p>
    <w:p w14:paraId="1B2EADAD">
      <w:pPr>
        <w:spacing w:line="276" w:lineRule="auto"/>
        <w:jc w:val="center"/>
        <w:rPr>
          <w:rFonts w:asciiTheme="minorEastAsia" w:hAnsiTheme="minorEastAsia" w:eastAsiaTheme="minorEastAsia"/>
          <w:b/>
        </w:rPr>
      </w:pPr>
      <w:r>
        <w:rPr>
          <w:rFonts w:hint="eastAsia" w:asciiTheme="minorEastAsia" w:hAnsiTheme="minorEastAsia" w:eastAsiaTheme="minorEastAsia"/>
          <w:b/>
        </w:rPr>
        <w:t>（三）其他说明</w:t>
      </w:r>
    </w:p>
    <w:p w14:paraId="6A030457">
      <w:pPr>
        <w:spacing w:line="276" w:lineRule="auto"/>
        <w:ind w:firstLine="480" w:firstLineChars="200"/>
        <w:jc w:val="left"/>
        <w:rPr>
          <w:rFonts w:asciiTheme="minorEastAsia" w:hAnsiTheme="minorEastAsia" w:eastAsiaTheme="minorEastAsia"/>
        </w:rPr>
      </w:pPr>
      <w:bookmarkStart w:id="34" w:name="_Hlk60328216"/>
      <w:bookmarkEnd w:id="34"/>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鼓励采购人积极运用公共信用信息，明确对信用记录良好的投标人（特别是中小微企业）免收履约保证金，确需收取履约保证金的，列明通过保函等非现金方式收取；</w:t>
      </w:r>
    </w:p>
    <w:p w14:paraId="53BDA882">
      <w:pPr>
        <w:spacing w:line="276" w:lineRule="auto"/>
        <w:ind w:firstLine="480" w:firstLineChars="200"/>
        <w:jc w:val="left"/>
        <w:rPr>
          <w:rFonts w:hint="eastAsia" w:asciiTheme="minorEastAsia" w:hAnsiTheme="minorEastAsia" w:eastAsiaTheme="minorEastAsia"/>
        </w:rPr>
      </w:pPr>
      <w:r>
        <w:rPr>
          <w:rFonts w:hint="eastAsia" w:asciiTheme="minorEastAsia" w:hAnsiTheme="minorEastAsia" w:eastAsiaTheme="minorEastAsia"/>
        </w:rPr>
        <w:t>2.在采购合同中明确对上述企业加大首付款或预付款比例，具体由采购人根据项目实际情况确定；</w:t>
      </w:r>
    </w:p>
    <w:p w14:paraId="1EC4AC5C">
      <w:pPr>
        <w:spacing w:line="276" w:lineRule="auto"/>
        <w:ind w:firstLine="480" w:firstLineChars="200"/>
        <w:jc w:val="left"/>
        <w:rPr>
          <w:rFonts w:hint="eastAsia" w:asciiTheme="minorEastAsia" w:hAnsiTheme="minorEastAsia" w:eastAsiaTheme="minorEastAsia"/>
        </w:rPr>
      </w:pPr>
      <w:r>
        <w:rPr>
          <w:rFonts w:hint="eastAsia" w:asciiTheme="minorEastAsia" w:hAnsiTheme="minorEastAsia" w:eastAsiaTheme="minorEastAsia"/>
        </w:rPr>
        <w:t>3.采购人拟采购的服务（工程）中，如涉及《关于调整优化节能产品环境标志产品政府采购执行机制的通知》（财库〔2019〕9号）中的产品，要依据该通知要求执行。</w:t>
      </w:r>
    </w:p>
    <w:p w14:paraId="67DF3709">
      <w:pPr>
        <w:spacing w:line="276" w:lineRule="auto"/>
        <w:ind w:firstLine="480" w:firstLineChars="200"/>
        <w:jc w:val="left"/>
        <w:rPr>
          <w:rFonts w:asciiTheme="minorEastAsia" w:hAnsiTheme="minorEastAsia" w:eastAsiaTheme="minorEastAsia"/>
          <w:b/>
          <w:szCs w:val="21"/>
        </w:rPr>
      </w:pP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招标文件解释权归政府集中采购机构，招标文件涉及到的采购需求部分等内容由政府集中采购机构责成采购单位解</w:t>
      </w:r>
      <w:r>
        <w:rPr>
          <w:rFonts w:hint="eastAsia" w:asciiTheme="minorEastAsia" w:hAnsiTheme="minorEastAsia" w:eastAsiaTheme="minorEastAsia"/>
          <w:color w:val="auto"/>
        </w:rPr>
        <w:t>释。</w:t>
      </w:r>
      <w:r>
        <w:rPr>
          <w:rFonts w:hint="eastAsia" w:asciiTheme="minorEastAsia" w:hAnsiTheme="minorEastAsia" w:eastAsiaTheme="minorEastAsia"/>
          <w:b/>
          <w:color w:val="auto"/>
        </w:rPr>
        <w:t>采购单位对采购需求的完整性和真实性负责</w:t>
      </w:r>
      <w:r>
        <w:rPr>
          <w:rFonts w:hint="eastAsia" w:asciiTheme="minorEastAsia" w:hAnsiTheme="minorEastAsia" w:eastAsiaTheme="minorEastAsia"/>
          <w:b/>
          <w:color w:val="FF0000"/>
        </w:rPr>
        <w:t>。</w:t>
      </w:r>
    </w:p>
    <w:p w14:paraId="45B74B8C">
      <w:pPr>
        <w:rPr>
          <w:rFonts w:hint="eastAsia" w:eastAsia="宋体"/>
          <w:color w:val="auto"/>
        </w:rPr>
      </w:pPr>
    </w:p>
    <w:p w14:paraId="1C22C9D0">
      <w:pPr>
        <w:rPr>
          <w:b/>
          <w:bCs/>
          <w:color w:val="auto"/>
        </w:rPr>
      </w:pPr>
      <w:r>
        <w:rPr>
          <w:rFonts w:hint="eastAsia" w:eastAsia="宋体"/>
          <w:b/>
          <w:bCs/>
          <w:color w:val="auto"/>
        </w:rPr>
        <w:t>（</w:t>
      </w:r>
      <w:r>
        <w:rPr>
          <w:rFonts w:hint="eastAsia" w:eastAsia="宋体"/>
          <w:b/>
          <w:bCs/>
          <w:color w:val="auto"/>
          <w:lang w:val="en-US" w:eastAsia="zh-CN"/>
        </w:rPr>
        <w:t>四</w:t>
      </w:r>
      <w:r>
        <w:rPr>
          <w:rFonts w:hint="eastAsia" w:eastAsia="宋体"/>
          <w:b/>
          <w:bCs/>
          <w:color w:val="auto"/>
        </w:rPr>
        <w:t>）其他事项</w:t>
      </w:r>
    </w:p>
    <w:p w14:paraId="68823092">
      <w:pPr>
        <w:ind w:firstLine="720"/>
        <w:jc w:val="left"/>
        <w:rPr>
          <w:color w:val="auto"/>
        </w:rPr>
      </w:pPr>
      <w:r>
        <w:rPr>
          <w:rFonts w:hint="eastAsia" w:eastAsia="宋体"/>
          <w:color w:val="auto"/>
        </w:rPr>
        <w:t>本项目为代理服务项目，将向中标供应商收取招标代理服务费（详见招标文件第十二章）。</w:t>
      </w:r>
    </w:p>
    <w:p w14:paraId="43CA1470">
      <w:pPr>
        <w:rPr>
          <w:rFonts w:hint="eastAsia"/>
          <w:color w:val="auto"/>
        </w:rPr>
      </w:pPr>
      <w:bookmarkStart w:id="35" w:name="_Toc128884461"/>
      <w:r>
        <w:rPr>
          <w:rFonts w:hint="eastAsia"/>
          <w:color w:val="auto"/>
        </w:rPr>
        <w:br w:type="page"/>
      </w:r>
    </w:p>
    <w:p w14:paraId="458712E1">
      <w:pPr>
        <w:pStyle w:val="6"/>
        <w:rPr>
          <w:color w:val="auto"/>
        </w:rPr>
      </w:pPr>
      <w:r>
        <w:rPr>
          <w:rFonts w:hint="eastAsia"/>
          <w:color w:val="auto"/>
        </w:rPr>
        <w:t>第三章 用户需求书</w:t>
      </w:r>
    </w:p>
    <w:bookmarkEnd w:id="35"/>
    <w:p w14:paraId="4AA7C78E">
      <w:pPr>
        <w:pStyle w:val="6"/>
        <w:spacing w:before="120" w:beforeLines="50" w:after="120" w:afterLines="50"/>
        <w:rPr>
          <w:rFonts w:asciiTheme="minorEastAsia" w:hAnsiTheme="minorEastAsia" w:eastAsiaTheme="minorEastAsia"/>
          <w:szCs w:val="24"/>
        </w:rPr>
      </w:pPr>
      <w:r>
        <w:rPr>
          <w:rFonts w:hint="eastAsia" w:asciiTheme="minorEastAsia" w:hAnsiTheme="minorEastAsia" w:eastAsiaTheme="minorEastAsia"/>
          <w:szCs w:val="24"/>
          <w:lang w:val="en-US" w:eastAsia="zh-CN"/>
        </w:rPr>
        <w:t>一</w:t>
      </w:r>
      <w:r>
        <w:rPr>
          <w:rFonts w:hint="eastAsia" w:asciiTheme="minorEastAsia" w:hAnsiTheme="minorEastAsia" w:eastAsiaTheme="minorEastAsia"/>
          <w:szCs w:val="24"/>
        </w:rPr>
        <w:t>、</w:t>
      </w:r>
      <w:r>
        <w:rPr>
          <w:rFonts w:hint="eastAsia" w:asciiTheme="minorEastAsia" w:hAnsiTheme="minorEastAsia" w:eastAsiaTheme="minorEastAsia"/>
          <w:bCs w:val="0"/>
          <w:szCs w:val="24"/>
        </w:rPr>
        <w:t>项目概况及管理要求</w:t>
      </w:r>
    </w:p>
    <w:p w14:paraId="4F302B4D">
      <w:pPr>
        <w:adjustRightInd w:val="0"/>
        <w:snapToGrid w:val="0"/>
        <w:spacing w:line="240" w:lineRule="atLeast"/>
        <w:ind w:firstLine="480" w:firstLineChars="200"/>
        <w:jc w:val="left"/>
        <w:rPr>
          <w:rFonts w:asciiTheme="minorEastAsia" w:hAnsiTheme="minorEastAsia" w:eastAsiaTheme="minorEastAsia"/>
          <w:color w:val="auto"/>
          <w:szCs w:val="21"/>
        </w:rPr>
      </w:pPr>
      <w:r>
        <w:rPr>
          <w:rFonts w:hint="eastAsia" w:asciiTheme="minorEastAsia" w:hAnsiTheme="minorEastAsia" w:eastAsiaTheme="minorEastAsia"/>
          <w:szCs w:val="21"/>
        </w:rPr>
        <w:t xml:space="preserve">（一）项目概况: </w:t>
      </w:r>
      <w:r>
        <w:rPr>
          <w:rFonts w:hint="eastAsia" w:ascii="宋体" w:hAnsi="宋体" w:cs="仿宋_GB2312"/>
          <w:szCs w:val="21"/>
        </w:rPr>
        <w:t>本项目服务目标是对</w:t>
      </w:r>
      <w:r>
        <w:rPr>
          <w:rFonts w:hint="eastAsia" w:ascii="Verdana" w:hAnsi="Verdana"/>
          <w:color w:val="000000"/>
          <w:szCs w:val="21"/>
          <w:shd w:val="clear" w:color="auto" w:fill="FFFFFF"/>
        </w:rPr>
        <w:t>盐田区</w:t>
      </w:r>
      <w:r>
        <w:rPr>
          <w:rFonts w:hint="eastAsia" w:ascii="宋体" w:hAnsi="宋体"/>
          <w:color w:val="000000"/>
          <w:szCs w:val="21"/>
          <w:lang w:val="en-US" w:eastAsia="zh-CN"/>
        </w:rPr>
        <w:t>48</w:t>
      </w:r>
      <w:r>
        <w:rPr>
          <w:rFonts w:hint="eastAsia" w:ascii="宋体" w:hAnsi="宋体"/>
          <w:color w:val="000000"/>
          <w:szCs w:val="21"/>
        </w:rPr>
        <w:t>处隐患点</w:t>
      </w:r>
      <w:r>
        <w:rPr>
          <w:rFonts w:hint="eastAsia" w:ascii="Verdana" w:hAnsi="Verdana"/>
          <w:color w:val="000000"/>
          <w:szCs w:val="21"/>
          <w:shd w:val="clear" w:color="auto" w:fill="FFFFFF"/>
        </w:rPr>
        <w:t>危险边坡和建筑挡墙情况进行人工监测服务</w:t>
      </w:r>
      <w:r>
        <w:rPr>
          <w:rFonts w:hint="eastAsia" w:ascii="宋体" w:hAnsi="宋体" w:cs="仿宋_GB2312"/>
          <w:szCs w:val="21"/>
        </w:rPr>
        <w:t>，为全区地质灾害监管工作提供科学、详细、客观的依据</w:t>
      </w:r>
      <w:r>
        <w:rPr>
          <w:rFonts w:hint="eastAsia" w:ascii="宋体" w:hAnsi="宋体"/>
          <w:bCs/>
          <w:color w:val="000000"/>
          <w:szCs w:val="21"/>
        </w:rPr>
        <w:t>。</w:t>
      </w:r>
      <w:r>
        <w:rPr>
          <w:rFonts w:hint="eastAsia" w:ascii="宋体" w:hAnsi="宋体"/>
          <w:color w:val="000000"/>
          <w:szCs w:val="21"/>
        </w:rPr>
        <w:t>协助盐田区地质灾害</w:t>
      </w:r>
      <w:r>
        <w:rPr>
          <w:rFonts w:hint="eastAsia" w:ascii="宋体" w:hAnsi="宋体"/>
          <w:color w:val="auto"/>
          <w:szCs w:val="21"/>
        </w:rPr>
        <w:t>管理部门开展地质灾害防治宣传工作。</w:t>
      </w:r>
    </w:p>
    <w:p w14:paraId="1A49E04C">
      <w:pPr>
        <w:adjustRightInd w:val="0"/>
        <w:snapToGrid w:val="0"/>
        <w:spacing w:line="240" w:lineRule="atLeast"/>
        <w:ind w:firstLine="408"/>
        <w:jc w:val="left"/>
        <w:rPr>
          <w:rFonts w:hint="eastAsia" w:asciiTheme="minorEastAsia" w:hAnsiTheme="minorEastAsia" w:eastAsiaTheme="minorEastAsia"/>
          <w:color w:val="auto"/>
        </w:rPr>
      </w:pPr>
      <w:r>
        <w:rPr>
          <w:rFonts w:hint="eastAsia" w:asciiTheme="minorEastAsia" w:hAnsiTheme="minorEastAsia" w:eastAsiaTheme="minorEastAsia"/>
          <w:color w:val="auto"/>
          <w:szCs w:val="21"/>
        </w:rPr>
        <w:t>（二）</w:t>
      </w:r>
      <w:r>
        <w:rPr>
          <w:rFonts w:asciiTheme="minorEastAsia" w:hAnsiTheme="minorEastAsia" w:eastAsiaTheme="minorEastAsia"/>
          <w:color w:val="auto"/>
          <w:szCs w:val="21"/>
        </w:rPr>
        <w:t>预算</w:t>
      </w:r>
      <w:r>
        <w:rPr>
          <w:rFonts w:hint="eastAsia" w:asciiTheme="minorEastAsia" w:hAnsiTheme="minorEastAsia" w:eastAsiaTheme="minorEastAsia"/>
          <w:color w:val="auto"/>
          <w:szCs w:val="21"/>
        </w:rPr>
        <w:t>金额:</w:t>
      </w:r>
      <w:r>
        <w:rPr>
          <w:rFonts w:hint="eastAsia" w:asciiTheme="minorEastAsia" w:hAnsiTheme="minorEastAsia" w:eastAsiaTheme="minorEastAsia"/>
          <w:color w:val="auto"/>
          <w:szCs w:val="21"/>
          <w:u w:val="single"/>
          <w:lang w:val="en-US" w:eastAsia="zh-CN"/>
        </w:rPr>
        <w:t>130.62</w:t>
      </w:r>
      <w:r>
        <w:rPr>
          <w:rFonts w:hint="eastAsia" w:asciiTheme="minorEastAsia" w:hAnsiTheme="minorEastAsia" w:eastAsiaTheme="minorEastAsia"/>
          <w:color w:val="auto"/>
        </w:rPr>
        <w:t>万元（</w:t>
      </w:r>
      <w:r>
        <w:rPr>
          <w:rFonts w:hint="eastAsia" w:asciiTheme="minorEastAsia" w:hAnsiTheme="minorEastAsia" w:eastAsiaTheme="minorEastAsia"/>
          <w:color w:val="auto"/>
          <w:lang w:val="en-US" w:eastAsia="zh-CN"/>
        </w:rPr>
        <w:t>1年</w:t>
      </w:r>
      <w:r>
        <w:rPr>
          <w:rFonts w:hint="eastAsia" w:asciiTheme="minorEastAsia" w:hAnsiTheme="minorEastAsia" w:eastAsiaTheme="minorEastAsia"/>
          <w:color w:val="auto"/>
        </w:rPr>
        <w:t>）</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最高投标限价</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lang w:val="en-US" w:eastAsia="zh-CN"/>
        </w:rPr>
        <w:t>1</w:t>
      </w:r>
      <w:r>
        <w:rPr>
          <w:rFonts w:hint="eastAsia" w:asciiTheme="minorEastAsia" w:hAnsiTheme="minorEastAsia" w:eastAsiaTheme="minorEastAsia"/>
          <w:color w:val="auto"/>
          <w:u w:val="single"/>
          <w:lang w:val="en-US" w:eastAsia="zh-CN"/>
        </w:rPr>
        <w:t>30.62</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万元（</w:t>
      </w:r>
      <w:r>
        <w:rPr>
          <w:rFonts w:hint="eastAsia" w:asciiTheme="minorEastAsia" w:hAnsiTheme="minorEastAsia" w:eastAsiaTheme="minorEastAsia"/>
          <w:color w:val="auto"/>
          <w:lang w:val="en-US" w:eastAsia="zh-CN"/>
        </w:rPr>
        <w:t>1年</w:t>
      </w:r>
      <w:r>
        <w:rPr>
          <w:rFonts w:hint="eastAsia" w:asciiTheme="minorEastAsia" w:hAnsiTheme="minorEastAsia" w:eastAsiaTheme="minorEastAsia"/>
          <w:color w:val="auto"/>
        </w:rPr>
        <w:t>）</w:t>
      </w:r>
    </w:p>
    <w:p w14:paraId="24F27B14">
      <w:pPr>
        <w:pStyle w:val="6"/>
        <w:spacing w:before="120" w:beforeLines="50" w:after="120" w:afterLines="50"/>
        <w:jc w:val="center"/>
        <w:rPr>
          <w:rFonts w:asciiTheme="minorEastAsia" w:hAnsiTheme="minorEastAsia" w:eastAsiaTheme="minorEastAsia"/>
          <w:color w:val="auto"/>
          <w:szCs w:val="24"/>
        </w:rPr>
      </w:pPr>
      <w:r>
        <w:rPr>
          <w:rFonts w:hint="eastAsia" w:asciiTheme="minorEastAsia" w:hAnsiTheme="minorEastAsia" w:eastAsiaTheme="minorEastAsia"/>
          <w:color w:val="auto"/>
          <w:szCs w:val="24"/>
        </w:rPr>
        <w:t>二、实质性条款</w:t>
      </w:r>
    </w:p>
    <w:tbl>
      <w:tblPr>
        <w:tblStyle w:val="18"/>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827"/>
      </w:tblGrid>
      <w:tr w14:paraId="1A7A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59ACC30">
            <w:pPr>
              <w:adjustRightInd w:val="0"/>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序号</w:t>
            </w:r>
          </w:p>
        </w:tc>
        <w:tc>
          <w:tcPr>
            <w:tcW w:w="8827" w:type="dxa"/>
          </w:tcPr>
          <w:p w14:paraId="251C76DC">
            <w:pPr>
              <w:adjustRightInd w:val="0"/>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实质性条款具体内容</w:t>
            </w:r>
          </w:p>
        </w:tc>
      </w:tr>
      <w:tr w14:paraId="08CF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DA90C6D">
            <w:pPr>
              <w:adjustRightInd w:val="0"/>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1</w:t>
            </w:r>
          </w:p>
        </w:tc>
        <w:tc>
          <w:tcPr>
            <w:tcW w:w="8827" w:type="dxa"/>
          </w:tcPr>
          <w:p w14:paraId="4091F606">
            <w:pPr>
              <w:jc w:val="left"/>
              <w:rPr>
                <w:rFonts w:asciiTheme="minorEastAsia" w:hAnsiTheme="minorEastAsia" w:eastAsiaTheme="minorEastAsia"/>
                <w:color w:val="auto"/>
                <w:kern w:val="0"/>
                <w:szCs w:val="21"/>
              </w:rPr>
            </w:pPr>
            <w:r>
              <w:rPr>
                <w:rFonts w:hint="eastAsia" w:ascii="宋体" w:hAnsi="宋体"/>
                <w:color w:val="auto"/>
                <w:szCs w:val="21"/>
              </w:rPr>
              <w:t>根据全区危险边坡及建筑挡墙情况，对全区</w:t>
            </w:r>
            <w:r>
              <w:rPr>
                <w:rFonts w:hint="eastAsia" w:ascii="宋体" w:hAnsi="宋体"/>
                <w:color w:val="auto"/>
                <w:szCs w:val="21"/>
                <w:lang w:val="en-US" w:eastAsia="zh-CN"/>
              </w:rPr>
              <w:t>48</w:t>
            </w:r>
            <w:r>
              <w:rPr>
                <w:rFonts w:hint="eastAsia" w:ascii="宋体" w:hAnsi="宋体"/>
                <w:color w:val="auto"/>
                <w:szCs w:val="21"/>
              </w:rPr>
              <w:t>处隐患点进行变形监测，后续可根据盐田区地质灾害巡查情况增加监测隐患点，中标价不变；</w:t>
            </w:r>
          </w:p>
        </w:tc>
      </w:tr>
      <w:tr w14:paraId="2000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42E3655">
            <w:pPr>
              <w:adjustRightInd w:val="0"/>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2</w:t>
            </w:r>
          </w:p>
        </w:tc>
        <w:tc>
          <w:tcPr>
            <w:tcW w:w="8827" w:type="dxa"/>
          </w:tcPr>
          <w:p w14:paraId="076E9A25">
            <w:pPr>
              <w:jc w:val="left"/>
              <w:rPr>
                <w:rFonts w:asciiTheme="minorEastAsia" w:hAnsiTheme="minorEastAsia" w:eastAsiaTheme="minorEastAsia"/>
                <w:color w:val="auto"/>
              </w:rPr>
            </w:pPr>
            <w:r>
              <w:rPr>
                <w:rFonts w:hint="eastAsia" w:ascii="宋体" w:hAnsi="宋体"/>
                <w:color w:val="auto"/>
                <w:szCs w:val="21"/>
              </w:rPr>
              <w:t>派驻2名技术人员，协助处理被监测危险边坡及建筑挡墙的巡查、管理工作。</w:t>
            </w:r>
          </w:p>
        </w:tc>
      </w:tr>
      <w:tr w14:paraId="29A5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FC08747">
            <w:pPr>
              <w:adjustRightInd w:val="0"/>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3</w:t>
            </w:r>
          </w:p>
        </w:tc>
        <w:tc>
          <w:tcPr>
            <w:tcW w:w="8827" w:type="dxa"/>
          </w:tcPr>
          <w:p w14:paraId="606F661A">
            <w:pPr>
              <w:jc w:val="left"/>
              <w:rPr>
                <w:rFonts w:asciiTheme="minorEastAsia" w:hAnsiTheme="minorEastAsia" w:eastAsiaTheme="minorEastAsia"/>
                <w:color w:val="auto"/>
              </w:rPr>
            </w:pPr>
            <w:r>
              <w:rPr>
                <w:rFonts w:hint="eastAsia" w:ascii="宋体" w:hAnsi="宋体"/>
                <w:color w:val="auto"/>
                <w:szCs w:val="21"/>
              </w:rPr>
              <w:t>派驻一台工作用车（粤B牌照），作为项目用车。</w:t>
            </w:r>
          </w:p>
        </w:tc>
      </w:tr>
    </w:tbl>
    <w:p w14:paraId="616A22E5">
      <w:pPr>
        <w:pStyle w:val="5"/>
        <w:tabs>
          <w:tab w:val="left" w:pos="765"/>
        </w:tabs>
        <w:spacing w:line="276" w:lineRule="auto"/>
        <w:jc w:val="left"/>
        <w:rPr>
          <w:rFonts w:asciiTheme="minorEastAsia" w:hAnsiTheme="minorEastAsia" w:eastAsiaTheme="minorEastAsia"/>
          <w:b/>
          <w:bCs/>
          <w:color w:val="auto"/>
          <w:sz w:val="24"/>
        </w:rPr>
      </w:pPr>
      <w:r>
        <w:rPr>
          <w:rFonts w:hint="eastAsia" w:asciiTheme="minorEastAsia" w:hAnsiTheme="minorEastAsia" w:eastAsiaTheme="minorEastAsia"/>
          <w:b w:val="0"/>
          <w:color w:val="auto"/>
          <w:kern w:val="0"/>
          <w:sz w:val="21"/>
          <w:szCs w:val="21"/>
        </w:rPr>
        <w:t>注：上表所列内容为不可负偏离条款，负偏离将视为未实质性满足招标文件要求作投标无效处理。</w:t>
      </w:r>
    </w:p>
    <w:p w14:paraId="28025622">
      <w:pPr>
        <w:pStyle w:val="6"/>
        <w:spacing w:before="120" w:beforeLines="50" w:after="120" w:afterLines="50"/>
        <w:jc w:val="center"/>
        <w:rPr>
          <w:rFonts w:asciiTheme="minorEastAsia" w:hAnsiTheme="minorEastAsia" w:eastAsiaTheme="minorEastAsia"/>
          <w:b/>
          <w:color w:val="auto"/>
          <w:sz w:val="24"/>
        </w:rPr>
      </w:pPr>
      <w:r>
        <w:rPr>
          <w:rFonts w:hint="eastAsia" w:asciiTheme="minorEastAsia" w:hAnsiTheme="minorEastAsia" w:eastAsiaTheme="minorEastAsia"/>
          <w:color w:val="auto"/>
          <w:szCs w:val="24"/>
        </w:rPr>
        <w:t>三、技术要求</w:t>
      </w:r>
    </w:p>
    <w:p w14:paraId="42EAE6F7">
      <w:pPr>
        <w:adjustRightInd w:val="0"/>
        <w:snapToGrid w:val="0"/>
        <w:spacing w:line="240" w:lineRule="atLeast"/>
        <w:ind w:firstLine="446" w:firstLineChars="186"/>
        <w:jc w:val="left"/>
        <w:rPr>
          <w:rFonts w:ascii="宋体" w:hAnsi="宋体"/>
          <w:bCs/>
          <w:color w:val="auto"/>
          <w:szCs w:val="21"/>
        </w:rPr>
      </w:pPr>
      <w:r>
        <w:rPr>
          <w:rFonts w:hint="eastAsia" w:ascii="宋体" w:hAnsi="宋体"/>
          <w:bCs/>
          <w:color w:val="auto"/>
          <w:szCs w:val="21"/>
        </w:rPr>
        <w:t>1. 监测内容：位移监测分为地表的和地下（钻孔）的绝对位移监测和相对位移监测，是监测的主要内容和重要内容。</w:t>
      </w:r>
    </w:p>
    <w:p w14:paraId="59A8AE67">
      <w:pPr>
        <w:adjustRightInd w:val="0"/>
        <w:snapToGrid w:val="0"/>
        <w:spacing w:line="240" w:lineRule="atLeast"/>
        <w:ind w:firstLine="446" w:firstLineChars="186"/>
        <w:jc w:val="left"/>
        <w:rPr>
          <w:rFonts w:ascii="宋体" w:hAnsi="宋体"/>
          <w:bCs/>
          <w:color w:val="auto"/>
          <w:szCs w:val="21"/>
        </w:rPr>
      </w:pPr>
      <w:r>
        <w:rPr>
          <w:rFonts w:hint="eastAsia" w:ascii="宋体" w:hAnsi="宋体"/>
          <w:bCs/>
          <w:color w:val="auto"/>
          <w:szCs w:val="21"/>
        </w:rPr>
        <w:t>（1）绝对位移监测：监测灾害体的三维（X、Y、Z）位移量、位移方向与位移速率。</w:t>
      </w:r>
    </w:p>
    <w:p w14:paraId="20B2C0EE">
      <w:pPr>
        <w:adjustRightInd w:val="0"/>
        <w:snapToGrid w:val="0"/>
        <w:spacing w:line="240" w:lineRule="atLeast"/>
        <w:ind w:firstLine="446" w:firstLineChars="186"/>
        <w:jc w:val="left"/>
        <w:rPr>
          <w:rFonts w:ascii="宋体" w:hAnsi="宋体"/>
          <w:bCs/>
          <w:color w:val="auto"/>
          <w:szCs w:val="21"/>
        </w:rPr>
      </w:pPr>
      <w:r>
        <w:rPr>
          <w:rFonts w:hint="eastAsia" w:ascii="宋体" w:hAnsi="宋体"/>
          <w:bCs/>
          <w:color w:val="auto"/>
          <w:szCs w:val="21"/>
        </w:rPr>
        <w:t>（2）相对位移监测：监测崩滑体重点变形部位、裂缝、崩滑带等点与点之间的相对位移量，包括张开、闭合、错动、抬升、下沉等。</w:t>
      </w:r>
    </w:p>
    <w:p w14:paraId="05D4BBE7">
      <w:pPr>
        <w:adjustRightInd w:val="0"/>
        <w:snapToGrid w:val="0"/>
        <w:spacing w:line="240" w:lineRule="atLeast"/>
        <w:ind w:firstLine="446" w:firstLineChars="186"/>
        <w:jc w:val="left"/>
        <w:rPr>
          <w:rFonts w:ascii="宋体" w:hAnsi="宋体"/>
          <w:bCs/>
          <w:color w:val="auto"/>
          <w:szCs w:val="21"/>
        </w:rPr>
      </w:pPr>
      <w:r>
        <w:rPr>
          <w:rFonts w:hint="eastAsia" w:ascii="宋体" w:hAnsi="宋体"/>
          <w:bCs/>
          <w:color w:val="auto"/>
          <w:szCs w:val="21"/>
        </w:rPr>
        <w:t>2.监测频率要求：</w:t>
      </w:r>
    </w:p>
    <w:p w14:paraId="3A000321">
      <w:pPr>
        <w:adjustRightInd w:val="0"/>
        <w:snapToGrid w:val="0"/>
        <w:spacing w:line="240" w:lineRule="atLeast"/>
        <w:ind w:firstLine="480" w:firstLineChars="200"/>
        <w:jc w:val="left"/>
        <w:rPr>
          <w:rFonts w:ascii="宋体" w:hAnsi="宋体"/>
          <w:color w:val="auto"/>
          <w:szCs w:val="21"/>
        </w:rPr>
      </w:pPr>
      <w:r>
        <w:rPr>
          <w:rFonts w:hint="eastAsia" w:ascii="宋体" w:hAnsi="宋体"/>
          <w:color w:val="auto"/>
          <w:szCs w:val="21"/>
        </w:rPr>
        <w:t>（1）根据边坡和挡墙分布情况，分别布设监测基准网，复测频率为每</w:t>
      </w:r>
      <w:r>
        <w:rPr>
          <w:rFonts w:hint="eastAsia" w:ascii="宋体" w:hAnsi="宋体"/>
          <w:color w:val="auto"/>
          <w:szCs w:val="21"/>
          <w:lang w:val="en-US" w:eastAsia="zh-CN"/>
        </w:rPr>
        <w:t>4</w:t>
      </w:r>
      <w:r>
        <w:rPr>
          <w:rFonts w:hint="eastAsia" w:ascii="宋体" w:hAnsi="宋体"/>
          <w:color w:val="auto"/>
          <w:szCs w:val="21"/>
        </w:rPr>
        <w:t>个月一次；</w:t>
      </w:r>
    </w:p>
    <w:p w14:paraId="487DEC6F">
      <w:pPr>
        <w:adjustRightInd w:val="0"/>
        <w:snapToGrid w:val="0"/>
        <w:spacing w:line="240" w:lineRule="atLeast"/>
        <w:ind w:firstLine="480" w:firstLineChars="200"/>
        <w:jc w:val="left"/>
        <w:rPr>
          <w:rFonts w:ascii="宋体" w:hAnsi="宋体"/>
          <w:color w:val="auto"/>
          <w:szCs w:val="21"/>
        </w:rPr>
      </w:pPr>
      <w:r>
        <w:rPr>
          <w:rFonts w:hint="eastAsia" w:ascii="宋体" w:hAnsi="宋体"/>
          <w:color w:val="auto"/>
          <w:szCs w:val="21"/>
        </w:rPr>
        <w:t>（2）监测点非汛期为每月1次，汛期（5月-9月）为每15天1次，在暴雨过后要进行测量1次（平均每年6次暴雨），遇异常天气及突发情况需加密监测频率，累计监测1年。</w:t>
      </w:r>
    </w:p>
    <w:p w14:paraId="658E98C3">
      <w:pPr>
        <w:adjustRightInd w:val="0"/>
        <w:snapToGrid w:val="0"/>
        <w:spacing w:line="240" w:lineRule="atLeast"/>
        <w:ind w:firstLine="446" w:firstLineChars="186"/>
        <w:jc w:val="left"/>
        <w:rPr>
          <w:rFonts w:asciiTheme="minorEastAsia" w:hAnsiTheme="minorEastAsia" w:eastAsiaTheme="minorEastAsia"/>
          <w:b/>
          <w:color w:val="auto"/>
          <w:sz w:val="24"/>
        </w:rPr>
      </w:pPr>
      <w:r>
        <w:rPr>
          <w:rFonts w:hint="eastAsia" w:ascii="宋体" w:hAnsi="宋体"/>
          <w:bCs/>
          <w:color w:val="auto"/>
          <w:szCs w:val="21"/>
        </w:rPr>
        <w:t>3.监测服务成果要求：非汛期监测报告要在测后4天内提交，汛期监测报告要在测后3天内提交，暴雨加密监测报告要在测后2天内提交，应急监测报告原则当天出报告。报告内容包括文字说明、现场图片、数据变化成果表、数据变化曲线图等内容。所有监测报告均要按照档案要求进行制作和保存。</w:t>
      </w:r>
    </w:p>
    <w:p w14:paraId="7896EEEE">
      <w:pPr>
        <w:pStyle w:val="6"/>
        <w:spacing w:before="120" w:beforeLines="50" w:after="120" w:afterLines="50"/>
        <w:jc w:val="center"/>
        <w:rPr>
          <w:rFonts w:asciiTheme="minorEastAsia" w:hAnsiTheme="minorEastAsia" w:eastAsiaTheme="minorEastAsia"/>
          <w:color w:val="auto"/>
          <w:szCs w:val="24"/>
        </w:rPr>
      </w:pPr>
      <w:r>
        <w:rPr>
          <w:rFonts w:hint="eastAsia" w:asciiTheme="minorEastAsia" w:hAnsiTheme="minorEastAsia" w:eastAsiaTheme="minorEastAsia"/>
          <w:color w:val="auto"/>
          <w:szCs w:val="24"/>
        </w:rPr>
        <w:t>四、商务要求</w:t>
      </w:r>
    </w:p>
    <w:p w14:paraId="0EB4638A">
      <w:pPr>
        <w:ind w:firstLine="480" w:firstLineChars="200"/>
        <w:jc w:val="left"/>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1</w:t>
      </w:r>
      <w:r>
        <w:rPr>
          <w:rFonts w:hint="eastAsia" w:asciiTheme="minorEastAsia" w:hAnsiTheme="minorEastAsia" w:eastAsiaTheme="minorEastAsia"/>
          <w:bCs/>
          <w:color w:val="auto"/>
          <w:szCs w:val="21"/>
          <w:lang w:eastAsia="zh-CN"/>
        </w:rPr>
        <w:t>、</w:t>
      </w:r>
      <w:r>
        <w:rPr>
          <w:rFonts w:hint="eastAsia" w:asciiTheme="minorEastAsia" w:hAnsiTheme="minorEastAsia" w:eastAsiaTheme="minorEastAsia"/>
          <w:bCs/>
          <w:color w:val="auto"/>
          <w:szCs w:val="21"/>
        </w:rPr>
        <w:t>项目</w:t>
      </w:r>
      <w:r>
        <w:rPr>
          <w:rFonts w:hint="eastAsia" w:asciiTheme="minorEastAsia" w:hAnsiTheme="minorEastAsia" w:eastAsiaTheme="minorEastAsia"/>
          <w:bCs/>
          <w:color w:val="auto"/>
          <w:szCs w:val="21"/>
          <w:lang w:eastAsia="zh-CN"/>
        </w:rPr>
        <w:t>地点</w:t>
      </w:r>
      <w:r>
        <w:rPr>
          <w:rFonts w:hint="eastAsia" w:asciiTheme="minorEastAsia" w:hAnsiTheme="minorEastAsia" w:eastAsiaTheme="minorEastAsia"/>
          <w:bCs/>
          <w:color w:val="auto"/>
          <w:szCs w:val="21"/>
        </w:rPr>
        <w:t>：深圳市盐田区。</w:t>
      </w:r>
    </w:p>
    <w:p w14:paraId="43319A12">
      <w:pPr>
        <w:ind w:firstLine="480" w:firstLineChars="200"/>
        <w:jc w:val="left"/>
        <w:rPr>
          <w:rFonts w:hint="eastAsia" w:asciiTheme="minorEastAsia" w:hAnsiTheme="minorEastAsia" w:eastAsiaTheme="minorEastAsia"/>
          <w:bCs/>
          <w:color w:val="auto"/>
          <w:szCs w:val="21"/>
          <w:u w:val="none"/>
          <w:lang w:eastAsia="zh-CN"/>
        </w:rPr>
      </w:pPr>
      <w:r>
        <w:rPr>
          <w:rFonts w:hint="eastAsia" w:asciiTheme="minorEastAsia" w:hAnsiTheme="minorEastAsia" w:eastAsiaTheme="minorEastAsia"/>
          <w:bCs/>
          <w:color w:val="auto"/>
          <w:szCs w:val="21"/>
          <w:lang w:val="en-US" w:eastAsia="zh-CN"/>
        </w:rPr>
        <w:t>2</w:t>
      </w:r>
      <w:r>
        <w:rPr>
          <w:rFonts w:hint="eastAsia" w:asciiTheme="minorEastAsia" w:hAnsiTheme="minorEastAsia" w:eastAsiaTheme="minorEastAsia"/>
          <w:bCs/>
          <w:color w:val="auto"/>
          <w:szCs w:val="21"/>
          <w:lang w:eastAsia="zh-CN"/>
        </w:rPr>
        <w:t>、</w:t>
      </w:r>
      <w:r>
        <w:rPr>
          <w:rFonts w:hint="eastAsia" w:asciiTheme="minorEastAsia" w:hAnsiTheme="minorEastAsia" w:eastAsiaTheme="minorEastAsia"/>
          <w:bCs/>
          <w:color w:val="auto"/>
          <w:szCs w:val="21"/>
        </w:rPr>
        <w:t>服务期限：</w:t>
      </w:r>
      <w:r>
        <w:rPr>
          <w:color w:val="auto"/>
        </w:rPr>
        <w:t>本项目为长期服务项目</w:t>
      </w:r>
      <w:r>
        <w:rPr>
          <w:rFonts w:hint="eastAsia"/>
          <w:color w:val="auto"/>
        </w:rPr>
        <w:t>，</w:t>
      </w:r>
      <w:r>
        <w:rPr>
          <w:color w:val="auto"/>
        </w:rPr>
        <w:t>此次招标服务期为</w:t>
      </w:r>
      <w:r>
        <w:rPr>
          <w:rFonts w:hint="eastAsia" w:eastAsia="宋体"/>
          <w:color w:val="auto"/>
          <w:lang w:val="en-US" w:eastAsia="zh-CN"/>
        </w:rPr>
        <w:t>1年</w:t>
      </w:r>
      <w:r>
        <w:rPr>
          <w:rFonts w:hint="eastAsia"/>
          <w:color w:val="auto"/>
        </w:rPr>
        <w:t>，</w:t>
      </w:r>
      <w:r>
        <w:rPr>
          <w:rFonts w:hint="default" w:ascii="Times New Roman" w:hAnsi="Times New Roman" w:eastAsia="Times New Roman"/>
          <w:bCs w:val="0"/>
          <w:color w:val="auto"/>
          <w:szCs w:val="24"/>
        </w:rPr>
        <w:t>总服务期限为3年</w:t>
      </w:r>
      <w:r>
        <w:rPr>
          <w:rFonts w:hint="eastAsia" w:asciiTheme="minorEastAsia" w:hAnsiTheme="minorEastAsia" w:eastAsiaTheme="minorEastAsia"/>
          <w:color w:val="auto"/>
          <w:szCs w:val="21"/>
        </w:rPr>
        <w:t>，合同将按年度签署，即一年一签。</w:t>
      </w:r>
    </w:p>
    <w:p w14:paraId="0A24E1F3">
      <w:pPr>
        <w:spacing w:line="560" w:lineRule="exact"/>
        <w:ind w:firstLine="480" w:firstLineChars="200"/>
        <w:jc w:val="left"/>
        <w:rPr>
          <w:rFonts w:hint="eastAsia" w:asciiTheme="minorEastAsia" w:hAnsiTheme="minorEastAsia" w:eastAsiaTheme="minorEastAsia"/>
          <w:bCs/>
          <w:color w:val="auto"/>
          <w:szCs w:val="21"/>
          <w:u w:val="none"/>
          <w:lang w:val="en-US" w:eastAsia="zh-CN"/>
        </w:rPr>
      </w:pPr>
      <w:r>
        <w:rPr>
          <w:rFonts w:hint="eastAsia" w:asciiTheme="minorEastAsia" w:hAnsiTheme="minorEastAsia" w:eastAsiaTheme="minorEastAsia"/>
          <w:bCs/>
          <w:color w:val="auto"/>
          <w:szCs w:val="21"/>
          <w:u w:val="none"/>
          <w:lang w:val="en-US" w:eastAsia="zh-CN"/>
        </w:rPr>
        <w:t>3、付款期限和方式：</w:t>
      </w:r>
    </w:p>
    <w:p w14:paraId="2677D108">
      <w:pPr>
        <w:ind w:firstLine="480" w:firstLineChars="200"/>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（1）合同签订之日起十个工作日内，甲方向乙方支付合同总价款</w:t>
      </w:r>
      <w:r>
        <w:rPr>
          <w:rFonts w:hint="eastAsia"/>
          <w:color w:val="auto"/>
          <w:lang w:val="en-US" w:eastAsia="zh-CN"/>
        </w:rPr>
        <w:t>50%</w:t>
      </w:r>
      <w:r>
        <w:rPr>
          <w:rFonts w:hint="eastAsia" w:asciiTheme="minorEastAsia" w:hAnsiTheme="minorEastAsia" w:eastAsiaTheme="minorEastAsia"/>
          <w:bCs/>
          <w:color w:val="auto"/>
          <w:szCs w:val="21"/>
        </w:rPr>
        <w:t>的款项。</w:t>
      </w:r>
    </w:p>
    <w:p w14:paraId="55E186E7">
      <w:pPr>
        <w:ind w:firstLine="480" w:firstLineChars="200"/>
        <w:jc w:val="left"/>
        <w:rPr>
          <w:rFonts w:hint="eastAsia" w:asciiTheme="minorEastAsia" w:hAnsiTheme="minorEastAsia" w:eastAsiaTheme="minorEastAsia"/>
          <w:bCs/>
          <w:color w:val="auto"/>
          <w:szCs w:val="21"/>
          <w:lang w:eastAsia="zh-CN"/>
        </w:rPr>
      </w:pPr>
      <w:r>
        <w:rPr>
          <w:rFonts w:hint="eastAsia" w:asciiTheme="minorEastAsia" w:hAnsiTheme="minorEastAsia" w:eastAsiaTheme="minorEastAsia"/>
          <w:bCs/>
          <w:color w:val="auto"/>
          <w:szCs w:val="21"/>
        </w:rPr>
        <w:t>（2）年度全部变形监测完工后，自乙方提供变形监测成果十个工作日内</w:t>
      </w:r>
      <w:r>
        <w:rPr>
          <w:rFonts w:hint="eastAsia" w:asciiTheme="minorEastAsia" w:hAnsiTheme="minorEastAsia" w:eastAsiaTheme="minorEastAsia"/>
          <w:bCs/>
          <w:color w:val="auto"/>
          <w:szCs w:val="21"/>
          <w:lang w:eastAsia="zh-CN"/>
        </w:rPr>
        <w:t>，</w:t>
      </w:r>
      <w:r>
        <w:rPr>
          <w:rFonts w:hint="eastAsia" w:asciiTheme="minorEastAsia" w:hAnsiTheme="minorEastAsia" w:eastAsiaTheme="minorEastAsia"/>
          <w:bCs/>
          <w:color w:val="auto"/>
          <w:szCs w:val="21"/>
        </w:rPr>
        <w:t>甲方向乙方支付合同总价款</w:t>
      </w:r>
      <w:r>
        <w:rPr>
          <w:rFonts w:hint="eastAsia"/>
          <w:color w:val="auto"/>
          <w:lang w:val="en-US" w:eastAsia="zh-CN"/>
        </w:rPr>
        <w:t>30%</w:t>
      </w:r>
      <w:r>
        <w:rPr>
          <w:rFonts w:hint="eastAsia" w:asciiTheme="minorEastAsia" w:hAnsiTheme="minorEastAsia" w:eastAsiaTheme="minorEastAsia"/>
          <w:bCs/>
          <w:color w:val="auto"/>
          <w:szCs w:val="21"/>
        </w:rPr>
        <w:t>的款项。</w:t>
      </w:r>
    </w:p>
    <w:p w14:paraId="29E31860">
      <w:pPr>
        <w:ind w:firstLine="480" w:firstLineChars="200"/>
        <w:jc w:val="left"/>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lang w:eastAsia="zh-CN"/>
        </w:rPr>
        <w:t>（</w:t>
      </w:r>
      <w:r>
        <w:rPr>
          <w:rFonts w:hint="eastAsia" w:asciiTheme="minorEastAsia" w:hAnsiTheme="minorEastAsia" w:eastAsiaTheme="minorEastAsia"/>
          <w:bCs/>
          <w:color w:val="auto"/>
          <w:szCs w:val="21"/>
          <w:lang w:val="en-US" w:eastAsia="zh-CN"/>
        </w:rPr>
        <w:t>3</w:t>
      </w:r>
      <w:r>
        <w:rPr>
          <w:rFonts w:hint="eastAsia" w:asciiTheme="minorEastAsia" w:hAnsiTheme="minorEastAsia" w:eastAsiaTheme="minorEastAsia"/>
          <w:bCs/>
          <w:color w:val="auto"/>
          <w:szCs w:val="21"/>
          <w:lang w:eastAsia="zh-CN"/>
        </w:rPr>
        <w:t>）</w:t>
      </w:r>
      <w:r>
        <w:rPr>
          <w:rFonts w:hint="eastAsia" w:asciiTheme="minorEastAsia" w:hAnsiTheme="minorEastAsia" w:eastAsiaTheme="minorEastAsia"/>
          <w:bCs/>
          <w:color w:val="auto"/>
          <w:szCs w:val="21"/>
        </w:rPr>
        <w:t>甲方验收合格之日起十个工作日内，甲方向乙方支付合同总价款</w:t>
      </w:r>
      <w:r>
        <w:rPr>
          <w:rFonts w:hint="eastAsia"/>
          <w:color w:val="auto"/>
          <w:lang w:val="en-US" w:eastAsia="zh-CN"/>
        </w:rPr>
        <w:t>20%</w:t>
      </w:r>
      <w:r>
        <w:rPr>
          <w:rFonts w:hint="eastAsia" w:asciiTheme="minorEastAsia" w:hAnsiTheme="minorEastAsia" w:eastAsiaTheme="minorEastAsia"/>
          <w:bCs/>
          <w:color w:val="auto"/>
          <w:szCs w:val="21"/>
        </w:rPr>
        <w:t>的款项</w:t>
      </w:r>
    </w:p>
    <w:p w14:paraId="2FE7EFD0">
      <w:pPr>
        <w:ind w:firstLine="480" w:firstLineChars="200"/>
        <w:jc w:val="left"/>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（4）乙方需要明确指定的收款账户信息。</w:t>
      </w:r>
    </w:p>
    <w:p w14:paraId="0C786F2D">
      <w:pPr>
        <w:ind w:firstLine="480" w:firstLineChars="20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4、验收条件：</w:t>
      </w:r>
    </w:p>
    <w:p w14:paraId="437A83E6">
      <w:pPr>
        <w:ind w:firstLine="480" w:firstLineChars="20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（1）按技术要求完成监测任务并提交监测成果。</w:t>
      </w:r>
    </w:p>
    <w:p w14:paraId="59715C8C">
      <w:pPr>
        <w:ind w:firstLine="480" w:firstLineChars="20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（2）年度监测完成后按提交年度监测总结成果。</w:t>
      </w:r>
    </w:p>
    <w:p w14:paraId="32B0C5C8">
      <w:pPr>
        <w:ind w:firstLine="480" w:firstLineChars="20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（3）甲方对乙方一年的服务按招标文件、乙方投标文件，以及本合同相关条款为依据，进行履约评价，等级分为优秀、优良、合格和不合格四个等级。合格以上续签合同，不合格不续签。</w:t>
      </w:r>
    </w:p>
    <w:p w14:paraId="2CFCE22E">
      <w:pPr>
        <w:pStyle w:val="11"/>
        <w:spacing w:line="240" w:lineRule="auto"/>
        <w:jc w:val="left"/>
        <w:rPr>
          <w:rFonts w:hint="eastAsia" w:ascii="宋体" w:hAnsi="宋体" w:eastAsiaTheme="minorEastAsia"/>
          <w:szCs w:val="21"/>
          <w:lang w:eastAsia="zh-CN"/>
        </w:rPr>
      </w:pPr>
      <w:r>
        <w:rPr>
          <w:rFonts w:hint="eastAsia" w:asciiTheme="minorEastAsia" w:hAnsiTheme="minorEastAsia" w:eastAsiaTheme="minorEastAsia"/>
          <w:bCs/>
          <w:szCs w:val="21"/>
          <w:lang w:val="en-US" w:eastAsia="zh-CN"/>
        </w:rPr>
        <w:t>5、</w:t>
      </w:r>
      <w:r>
        <w:rPr>
          <w:rFonts w:hint="eastAsia" w:ascii="宋体" w:hAnsi="宋体" w:eastAsiaTheme="minorEastAsia"/>
          <w:szCs w:val="21"/>
          <w:lang w:eastAsia="zh-CN"/>
        </w:rPr>
        <w:t>违约责任：</w:t>
      </w:r>
    </w:p>
    <w:p w14:paraId="1541D51F">
      <w:pPr>
        <w:pStyle w:val="11"/>
        <w:spacing w:line="240" w:lineRule="auto"/>
        <w:jc w:val="left"/>
        <w:rPr>
          <w:rFonts w:hint="eastAsia" w:ascii="宋体" w:hAnsi="宋体"/>
          <w:szCs w:val="21"/>
        </w:rPr>
      </w:pPr>
      <w:r>
        <w:rPr>
          <w:rFonts w:hint="eastAsia" w:ascii="宋体" w:hAnsi="宋体" w:eastAsiaTheme="minorEastAsia"/>
          <w:szCs w:val="21"/>
          <w:lang w:eastAsia="zh-CN"/>
        </w:rPr>
        <w:t>（</w:t>
      </w:r>
      <w:r>
        <w:rPr>
          <w:rFonts w:hint="eastAsia" w:ascii="宋体" w:hAnsi="宋体" w:eastAsiaTheme="minorEastAsia"/>
          <w:szCs w:val="21"/>
          <w:lang w:val="en-US" w:eastAsia="zh-CN"/>
        </w:rPr>
        <w:t>1</w:t>
      </w:r>
      <w:r>
        <w:rPr>
          <w:rFonts w:hint="eastAsia" w:ascii="宋体" w:hAnsi="宋体" w:eastAsiaTheme="minorEastAsia"/>
          <w:szCs w:val="21"/>
          <w:lang w:eastAsia="zh-CN"/>
        </w:rPr>
        <w:t>）</w:t>
      </w:r>
      <w:r>
        <w:rPr>
          <w:rFonts w:hint="eastAsia" w:ascii="宋体" w:hAnsi="宋体"/>
          <w:szCs w:val="21"/>
        </w:rPr>
        <w:t>因乙方原因，未能按规定时间完成有关工作的，每延误一天，甲方可在支付合同余款中扣除合同价款千分之一。</w:t>
      </w:r>
    </w:p>
    <w:p w14:paraId="61631C8B">
      <w:pPr>
        <w:ind w:firstLine="480" w:firstLineChars="20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由于乙方原因造成成果质量低劣，不能满足</w:t>
      </w:r>
      <w:r>
        <w:rPr>
          <w:rFonts w:hint="eastAsia" w:ascii="宋体" w:hAnsi="宋体"/>
          <w:szCs w:val="21"/>
          <w:lang w:eastAsia="zh-CN"/>
        </w:rPr>
        <w:t>服务</w:t>
      </w:r>
      <w:r>
        <w:rPr>
          <w:rFonts w:hint="eastAsia" w:ascii="宋体" w:hAnsi="宋体"/>
          <w:szCs w:val="21"/>
        </w:rPr>
        <w:t>要求时，应继续完善</w:t>
      </w:r>
      <w:r>
        <w:rPr>
          <w:rFonts w:hint="eastAsia" w:ascii="宋体" w:hAnsi="宋体"/>
          <w:szCs w:val="21"/>
          <w:lang w:eastAsia="zh-CN"/>
        </w:rPr>
        <w:t>监测服务</w:t>
      </w:r>
      <w:r>
        <w:rPr>
          <w:rFonts w:hint="eastAsia" w:ascii="宋体" w:hAnsi="宋体"/>
          <w:szCs w:val="21"/>
        </w:rPr>
        <w:t>工作，其费用由乙方承担。</w:t>
      </w:r>
    </w:p>
    <w:p w14:paraId="185C0EC7">
      <w:pPr>
        <w:ind w:firstLine="480" w:firstLineChars="20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若甲方发现乙方派出的服务人员或提供的</w:t>
      </w:r>
      <w:r>
        <w:rPr>
          <w:rFonts w:hint="eastAsia" w:ascii="宋体" w:hAnsi="宋体"/>
          <w:szCs w:val="21"/>
          <w:lang w:eastAsia="zh-CN"/>
        </w:rPr>
        <w:t>服务</w:t>
      </w:r>
      <w:r>
        <w:rPr>
          <w:rFonts w:hint="eastAsia" w:ascii="宋体" w:hAnsi="宋体"/>
          <w:szCs w:val="21"/>
        </w:rPr>
        <w:t>不符合合同要求，乙方应在3天之内按要求派出人员或提供满足投标文件承诺的</w:t>
      </w:r>
      <w:r>
        <w:rPr>
          <w:rFonts w:hint="eastAsia" w:ascii="宋体" w:hAnsi="宋体"/>
          <w:szCs w:val="21"/>
          <w:lang w:eastAsia="zh-CN"/>
        </w:rPr>
        <w:t>服务</w:t>
      </w:r>
      <w:r>
        <w:rPr>
          <w:rFonts w:hint="eastAsia" w:ascii="宋体" w:hAnsi="宋体"/>
          <w:szCs w:val="21"/>
        </w:rPr>
        <w:t>，否则甲方有权终止合同，并保留追究乙方责任及要求赔偿损失的权利。</w:t>
      </w:r>
    </w:p>
    <w:p w14:paraId="12B5DDE3">
      <w:pPr>
        <w:ind w:firstLine="480" w:firstLineChars="200"/>
        <w:jc w:val="left"/>
        <w:rPr>
          <w:rFonts w:asciiTheme="minorEastAsia" w:hAnsiTheme="minorEastAsia" w:eastAsiaTheme="minorEastAsia"/>
        </w:rPr>
      </w:pPr>
      <w:r>
        <w:rPr>
          <w:rFonts w:hint="eastAsia" w:asciiTheme="minorEastAsia" w:hAnsiTheme="minorEastAsia" w:eastAsiaTheme="minorEastAsia"/>
          <w:bCs/>
          <w:szCs w:val="21"/>
          <w:lang w:val="en-US" w:eastAsia="zh-CN"/>
        </w:rPr>
        <w:t>6、</w:t>
      </w:r>
      <w:r>
        <w:rPr>
          <w:rFonts w:hint="eastAsia" w:ascii="宋体" w:hAnsi="宋体" w:eastAsia="宋体"/>
          <w:szCs w:val="21"/>
        </w:rPr>
        <w:t>争议解决方法</w:t>
      </w:r>
      <w:r>
        <w:rPr>
          <w:rFonts w:hint="eastAsia" w:ascii="宋体" w:hAnsi="宋体" w:eastAsia="宋体"/>
          <w:szCs w:val="21"/>
          <w:lang w:eastAsia="zh-CN"/>
        </w:rPr>
        <w:t>：双方签订合同后，</w:t>
      </w:r>
      <w:r>
        <w:rPr>
          <w:rFonts w:hint="eastAsia" w:ascii="宋体" w:hAnsi="宋体" w:cs="Times New Roman" w:eastAsiaTheme="minorEastAsia"/>
          <w:kern w:val="2"/>
          <w:sz w:val="21"/>
          <w:szCs w:val="21"/>
          <w:lang w:val="en-US" w:eastAsia="zh-CN" w:bidi="ar-SA"/>
        </w:rPr>
        <w:t>履行合同发生的任何争议，由甲乙双方友好协商解决，协商不成，任何一方均可诉请甲方所在地有管辖权的人民法院解决。</w:t>
      </w:r>
    </w:p>
    <w:p w14:paraId="40A70FC0">
      <w:pPr>
        <w:pStyle w:val="6"/>
        <w:spacing w:before="120" w:beforeLines="50" w:after="120" w:afterLines="50"/>
        <w:jc w:val="center"/>
        <w:rPr>
          <w:rFonts w:asciiTheme="minorEastAsia" w:hAnsiTheme="minorEastAsia" w:eastAsiaTheme="minorEastAsia"/>
          <w:szCs w:val="24"/>
        </w:rPr>
      </w:pPr>
      <w:r>
        <w:rPr>
          <w:rFonts w:hint="eastAsia" w:asciiTheme="minorEastAsia" w:hAnsiTheme="minorEastAsia" w:eastAsiaTheme="minorEastAsia"/>
          <w:szCs w:val="24"/>
        </w:rPr>
        <w:t>五、其他重要条款</w:t>
      </w:r>
    </w:p>
    <w:p w14:paraId="3C23841B">
      <w:pPr>
        <w:ind w:firstLine="480" w:firstLineChars="200"/>
        <w:jc w:val="left"/>
        <w:rPr>
          <w:rFonts w:asciiTheme="minorEastAsia" w:hAnsiTheme="minorEastAsia" w:eastAsiaTheme="minorEastAsia"/>
          <w:bCs/>
          <w:szCs w:val="21"/>
        </w:rPr>
      </w:pPr>
      <w:bookmarkStart w:id="36" w:name="_Hlk72257111"/>
      <w:r>
        <w:rPr>
          <w:rFonts w:hint="eastAsia" w:asciiTheme="minorEastAsia" w:hAnsiTheme="minorEastAsia" w:eastAsiaTheme="minor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317AC0C">
      <w:pPr>
        <w:pStyle w:val="7"/>
        <w:spacing w:before="60" w:beforeLines="25" w:after="60" w:afterLines="25"/>
        <w:ind w:firstLine="448" w:firstLineChars="187"/>
        <w:jc w:val="left"/>
        <w:rPr>
          <w:rFonts w:asciiTheme="minorEastAsia" w:hAnsiTheme="minorEastAsia" w:eastAsiaTheme="minorEastAsia"/>
          <w:szCs w:val="21"/>
        </w:rPr>
      </w:pPr>
      <w:r>
        <w:rPr>
          <w:rFonts w:asciiTheme="minorEastAsia" w:hAnsiTheme="minorEastAsia" w:eastAsiaTheme="minorEastAsia"/>
          <w:bCs/>
          <w:szCs w:val="21"/>
        </w:rPr>
        <w:t>2</w:t>
      </w:r>
      <w:r>
        <w:rPr>
          <w:rFonts w:hint="eastAsia" w:asciiTheme="minorEastAsia" w:hAnsiTheme="minorEastAsia" w:eastAsiaTheme="minorEastAsia"/>
          <w:bCs/>
          <w:szCs w:val="21"/>
        </w:rPr>
        <w:t>、投标人应充分了解项目的位置、情况、道路及任何其它足以影响投标报价的情况，任何因忽视或误解项目情况而导致的索赔或服务期限延长申请将不获批准。</w:t>
      </w:r>
    </w:p>
    <w:p w14:paraId="44DB247F">
      <w:pPr>
        <w:ind w:firstLine="480" w:firstLineChars="200"/>
        <w:jc w:val="left"/>
        <w:rPr>
          <w:rFonts w:asciiTheme="minorEastAsia" w:hAnsiTheme="minorEastAsia" w:eastAsiaTheme="minorEastAsia"/>
          <w:bCs/>
          <w:szCs w:val="21"/>
        </w:rPr>
      </w:pPr>
      <w:r>
        <w:rPr>
          <w:rFonts w:asciiTheme="minorEastAsia" w:hAnsiTheme="minorEastAsia" w:eastAsiaTheme="minorEastAsia"/>
          <w:bCs/>
          <w:szCs w:val="21"/>
        </w:rPr>
        <w:t>3</w:t>
      </w:r>
      <w:r>
        <w:rPr>
          <w:rFonts w:hint="eastAsia" w:asciiTheme="minorEastAsia" w:hAnsiTheme="minorEastAsia" w:eastAsiaTheme="minor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5AF297C8">
      <w:pPr>
        <w:ind w:firstLine="480" w:firstLineChars="200"/>
        <w:jc w:val="left"/>
        <w:rPr>
          <w:rFonts w:asciiTheme="minorEastAsia" w:hAnsiTheme="minorEastAsia" w:eastAsiaTheme="minorEastAsia"/>
          <w:bCs/>
          <w:szCs w:val="21"/>
        </w:rPr>
      </w:pPr>
      <w:r>
        <w:rPr>
          <w:rFonts w:asciiTheme="minorEastAsia" w:hAnsiTheme="minorEastAsia" w:eastAsiaTheme="minorEastAsia"/>
          <w:bCs/>
          <w:szCs w:val="21"/>
        </w:rPr>
        <w:t>4</w:t>
      </w:r>
      <w:r>
        <w:rPr>
          <w:rFonts w:hint="eastAsia" w:asciiTheme="minorEastAsia" w:hAnsiTheme="minorEastAsia" w:eastAsiaTheme="minor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B1C8C18">
      <w:pPr>
        <w:ind w:firstLine="480" w:firstLineChars="200"/>
        <w:jc w:val="left"/>
        <w:rPr>
          <w:rFonts w:asciiTheme="minorEastAsia" w:hAnsiTheme="minorEastAsia" w:eastAsiaTheme="minorEastAsia"/>
          <w:bCs/>
          <w:szCs w:val="21"/>
        </w:rPr>
      </w:pPr>
      <w:r>
        <w:rPr>
          <w:rFonts w:asciiTheme="minorEastAsia" w:hAnsiTheme="minorEastAsia" w:eastAsiaTheme="minorEastAsia"/>
          <w:bCs/>
          <w:szCs w:val="21"/>
        </w:rPr>
        <w:t>5</w:t>
      </w:r>
      <w:r>
        <w:rPr>
          <w:rFonts w:hint="eastAsia" w:asciiTheme="minorEastAsia" w:hAnsiTheme="minorEastAsia" w:eastAsiaTheme="minorEastAsia"/>
          <w:bCs/>
          <w:szCs w:val="21"/>
        </w:rPr>
        <w:t>、除政府采购合同继续履行将损害国家利益和社会公共利益外，双方当事人不得擅自变更、中止或者终止合同。</w:t>
      </w:r>
    </w:p>
    <w:p w14:paraId="7B688AB3">
      <w:pPr>
        <w:pStyle w:val="7"/>
        <w:spacing w:before="60" w:beforeLines="25" w:after="60" w:afterLines="25"/>
        <w:ind w:firstLine="448" w:firstLineChars="187"/>
        <w:jc w:val="left"/>
        <w:rPr>
          <w:rFonts w:hint="eastAsia" w:asciiTheme="minorEastAsia" w:hAnsiTheme="minorEastAsia" w:eastAsiaTheme="minorEastAsia"/>
          <w:bCs/>
          <w:szCs w:val="21"/>
        </w:rPr>
      </w:pPr>
      <w:r>
        <w:rPr>
          <w:rFonts w:asciiTheme="minorEastAsia" w:hAnsiTheme="minorEastAsia" w:eastAsiaTheme="minorEastAsia"/>
          <w:bCs/>
          <w:szCs w:val="21"/>
        </w:rPr>
        <w:t>6</w:t>
      </w:r>
      <w:r>
        <w:rPr>
          <w:rFonts w:hint="eastAsia" w:asciiTheme="minorEastAsia" w:hAnsiTheme="minorEastAsia" w:eastAsiaTheme="minorEastAsia"/>
          <w:bCs/>
          <w:szCs w:val="21"/>
        </w:rPr>
        <w:t>、“信用中国”、“中国政府采购网”、“深圳信用网”以及“深圳市政府采购监管网”为供应商信用信息的查询渠道，相关信息以开标当日的查询结果为准。</w:t>
      </w:r>
      <w:bookmarkEnd w:id="36"/>
    </w:p>
    <w:p w14:paraId="6BFAE235">
      <w:pPr>
        <w:pStyle w:val="7"/>
        <w:spacing w:before="60" w:beforeLines="25" w:after="60" w:afterLines="25"/>
        <w:ind w:firstLine="448" w:firstLineChars="187"/>
        <w:jc w:val="left"/>
        <w:rPr>
          <w:rFonts w:hint="eastAsia" w:asciiTheme="minorEastAsia" w:hAnsiTheme="minorEastAsia" w:eastAsiaTheme="minorEastAsia"/>
          <w:bCs/>
          <w:szCs w:val="21"/>
        </w:rPr>
      </w:pPr>
      <w:r>
        <w:rPr>
          <w:rFonts w:hint="eastAsia"/>
          <w:color w:val="auto"/>
        </w:rPr>
        <w:t>7</w:t>
      </w:r>
      <w:r>
        <w:rPr>
          <w:rFonts w:hint="eastAsia" w:eastAsia="宋体"/>
          <w:color w:val="auto"/>
        </w:rPr>
        <w:t>、供应商提供报价合理性、澄清、说明、补正或者错误的修正的方式，包括但不限于现场提交（地址：深圳市盐田区沙头角街道建工大厦14楼）、电邮提交（邮箱：</w:t>
      </w:r>
      <w:r>
        <w:rPr>
          <w:rFonts w:hint="eastAsia" w:eastAsia="宋体"/>
          <w:color w:val="auto"/>
          <w:lang w:eastAsia="zh-CN"/>
        </w:rPr>
        <w:t>294848060@qq.com</w:t>
      </w:r>
      <w:r>
        <w:rPr>
          <w:rFonts w:hint="eastAsia" w:eastAsia="宋体"/>
          <w:color w:val="auto"/>
        </w:rPr>
        <w:t>）等便捷方式</w:t>
      </w:r>
    </w:p>
    <w:p w14:paraId="6A60646E">
      <w:pPr>
        <w:pStyle w:val="6"/>
        <w:spacing w:before="120" w:beforeLines="50" w:after="120" w:afterLines="50"/>
        <w:jc w:val="center"/>
        <w:rPr>
          <w:rFonts w:asciiTheme="minorEastAsia" w:hAnsiTheme="minorEastAsia" w:eastAsiaTheme="minorEastAsia"/>
          <w:szCs w:val="24"/>
        </w:rPr>
      </w:pPr>
      <w:r>
        <w:rPr>
          <w:rFonts w:hint="eastAsia" w:asciiTheme="minorEastAsia" w:hAnsiTheme="minorEastAsia" w:eastAsiaTheme="minorEastAsia"/>
          <w:szCs w:val="24"/>
        </w:rPr>
        <w:t>六、政策导向（根据政策进行调整具体内容）</w:t>
      </w:r>
    </w:p>
    <w:p w14:paraId="69707D47">
      <w:pPr>
        <w:adjustRightInd w:val="0"/>
        <w:snapToGrid w:val="0"/>
        <w:ind w:firstLine="470" w:firstLineChars="196"/>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根据《深圳市政府采购供应商诚信管理暂行办法》第五条，供应商在参加政府采购活动中，如有《政府采购法》第七十七条、《中华人民共和国政府采购法实施条例》第七十二条、七十三条、七十四条，或者《采购条例》第五十七条所规定的情形之一时，</w:t>
      </w:r>
      <w:r>
        <w:rPr>
          <w:rFonts w:hint="eastAsia" w:asciiTheme="minorEastAsia" w:hAnsiTheme="minorEastAsia" w:eastAsiaTheme="minorEastAsia"/>
          <w:bCs/>
          <w:color w:val="auto"/>
          <w:szCs w:val="21"/>
          <w:lang w:eastAsia="zh-CN"/>
        </w:rPr>
        <w:t>深圳市城投全过程工程咨询有限公司</w:t>
      </w:r>
      <w:r>
        <w:rPr>
          <w:rFonts w:hint="eastAsia" w:asciiTheme="minorEastAsia" w:hAnsiTheme="minorEastAsia" w:eastAsiaTheme="minorEastAsia"/>
          <w:bCs/>
          <w:color w:val="auto"/>
          <w:szCs w:val="21"/>
        </w:rPr>
        <w:t>或采购人将报政府采购主管部门按《深圳经济特区政府采购条例》、《深圳经济特区政府采购条例实施细则》等有关规定记入供应商诚信档案，并在深圳市交易集团有限公司盐田分公司官网站“不诚信行为曝光台”曝光投标人的不诚信行为。情节严重的，主管部门将取消投标人参与深圳市盐田区政府采购资格，并由市场监管部门依法吊销投标人营业执照；涉嫌犯罪的，依法移送司法机关处理。</w:t>
      </w:r>
    </w:p>
    <w:p w14:paraId="656A1778">
      <w:pPr>
        <w:adjustRightInd w:val="0"/>
        <w:snapToGrid w:val="0"/>
        <w:ind w:firstLine="470" w:firstLineChars="196"/>
        <w:jc w:val="left"/>
        <w:rPr>
          <w:rFonts w:hint="eastAsia" w:cs="Times New Roman" w:asciiTheme="minorEastAsia" w:hAnsiTheme="minorEastAsia" w:eastAsiaTheme="minorEastAsia"/>
          <w:bCs/>
          <w:color w:val="auto"/>
          <w:szCs w:val="21"/>
        </w:rPr>
      </w:pPr>
      <w:r>
        <w:rPr>
          <w:rFonts w:hint="eastAsia" w:asciiTheme="minorEastAsia" w:hAnsiTheme="minorEastAsia" w:eastAsiaTheme="minorEastAsia"/>
          <w:bCs/>
          <w:color w:val="auto"/>
          <w:szCs w:val="21"/>
        </w:rPr>
        <w:t>2.根据《深圳市政府采购供应商诚信管理暂行办法》</w:t>
      </w:r>
      <w:r>
        <w:rPr>
          <w:rFonts w:hint="eastAsia" w:asciiTheme="minorEastAsia" w:hAnsiTheme="minorEastAsia" w:eastAsiaTheme="minorEastAsia"/>
          <w:color w:val="auto"/>
          <w:szCs w:val="21"/>
        </w:rPr>
        <w:t>第六条，</w:t>
      </w:r>
      <w:r>
        <w:rPr>
          <w:rFonts w:hint="eastAsia" w:asciiTheme="minorEastAsia" w:hAnsiTheme="minorEastAsia" w:eastAsiaTheme="minorEastAsia"/>
          <w:bCs/>
          <w:color w:val="auto"/>
          <w:szCs w:val="21"/>
        </w:rPr>
        <w:t>供应商在参加政府采购活动中出现下列行为之一的，由财政部门记入供应商诚信档案：（一）投标截止后，无正当理由撤销其投标行为，导致项目无法正常开评标的；（二）未按《采购条例》规定签订、履行采购合同，严重影响采购人日常工作的；（三）在投标文件中未说明且未经采购人同意，将中标项目分包给他人，情节严重的；（四）严重违反合同约定，擅自降低货物质量等次和售后服务，货物、工程或者服务存在严重质量问题的；（五）严重违反合同约定，未能完成全部货物、服务或工程项目，中途停止配送或者变相增加费用的；（六）捏造事实、提供虚假材料进行质疑的；（</w:t>
      </w:r>
      <w:r>
        <w:rPr>
          <w:rFonts w:hint="eastAsia" w:cs="Times New Roman" w:asciiTheme="minorEastAsia" w:hAnsiTheme="minorEastAsia" w:eastAsiaTheme="minorEastAsia"/>
          <w:bCs/>
          <w:color w:val="auto"/>
          <w:szCs w:val="21"/>
        </w:rPr>
        <w:t>七）假冒他人名义质疑的；（八）无正当理由拒不配合进行质疑调查的。</w:t>
      </w:r>
    </w:p>
    <w:p w14:paraId="5252C2B9">
      <w:pPr>
        <w:adjustRightInd w:val="0"/>
        <w:snapToGrid w:val="0"/>
        <w:ind w:firstLine="470" w:firstLineChars="196"/>
        <w:jc w:val="left"/>
        <w:rPr>
          <w:rFonts w:hint="eastAsia" w:cs="Times New Roman" w:asciiTheme="minorEastAsia" w:hAnsiTheme="minorEastAsia" w:eastAsiaTheme="minorEastAsia"/>
          <w:bCs/>
          <w:color w:val="auto"/>
          <w:szCs w:val="21"/>
        </w:rPr>
      </w:pPr>
      <w:r>
        <w:rPr>
          <w:rFonts w:hint="eastAsia" w:cs="Times New Roman" w:asciiTheme="minorEastAsia" w:hAnsiTheme="minorEastAsia" w:eastAsiaTheme="minorEastAsia"/>
          <w:bCs/>
          <w:color w:val="auto"/>
          <w:szCs w:val="21"/>
        </w:rPr>
        <w:t>3.采购人拟采购的服务（工程）中，如涉及《关于调整优化节能产品环境标志产品政府采购执行机制的通知》（财库〔2019〕9号）中的产品，要依据该通知要求执行。</w:t>
      </w:r>
    </w:p>
    <w:p w14:paraId="6A9F2139">
      <w:pPr>
        <w:adjustRightInd w:val="0"/>
        <w:snapToGrid w:val="0"/>
        <w:ind w:firstLine="470" w:firstLineChars="196"/>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根据</w:t>
      </w:r>
      <w:r>
        <w:rPr>
          <w:rFonts w:hint="eastAsia" w:asciiTheme="minorEastAsia" w:hAnsiTheme="minorEastAsia" w:eastAsiaTheme="minorEastAsia"/>
          <w:bCs/>
          <w:color w:val="auto"/>
          <w:szCs w:val="21"/>
        </w:rPr>
        <w:t>《深圳市政府采购供应商诚信管理暂行办法》</w:t>
      </w:r>
      <w:r>
        <w:rPr>
          <w:rFonts w:hint="eastAsia" w:asciiTheme="minorEastAsia" w:hAnsiTheme="minorEastAsia" w:eastAsiaTheme="minorEastAsia"/>
          <w:color w:val="auto"/>
          <w:szCs w:val="21"/>
        </w:rPr>
        <w:t>第七条，</w:t>
      </w:r>
      <w:r>
        <w:rPr>
          <w:rFonts w:hint="eastAsia" w:asciiTheme="minorEastAsia" w:hAnsiTheme="minorEastAsia" w:eastAsiaTheme="minorEastAsia"/>
          <w:bCs/>
          <w:color w:val="auto"/>
          <w:szCs w:val="21"/>
        </w:rPr>
        <w:t>政府集中采购机构根据《政府采购合同履约评价规范》等规定，在履约抽检过程中对履约检查评价为差的供应商，按本办法第十条规定进行认定后，记入供应商诚信档案，并抄报财政部门，同时对外公告。</w:t>
      </w:r>
    </w:p>
    <w:p w14:paraId="5CD516B7">
      <w:pPr>
        <w:adjustRightInd w:val="0"/>
        <w:snapToGrid w:val="0"/>
        <w:ind w:firstLine="470" w:firstLineChars="196"/>
        <w:jc w:val="left"/>
        <w:rPr>
          <w:rFonts w:asciiTheme="minorEastAsia" w:hAnsiTheme="minorEastAsia" w:eastAsiaTheme="minorEastAsia"/>
          <w:color w:val="FF0000"/>
          <w:szCs w:val="21"/>
        </w:rPr>
      </w:pPr>
      <w:r>
        <w:rPr>
          <w:rFonts w:hint="eastAsia" w:asciiTheme="minorEastAsia" w:hAnsiTheme="minorEastAsia" w:eastAsiaTheme="minorEastAsia"/>
          <w:color w:val="auto"/>
          <w:szCs w:val="21"/>
        </w:rPr>
        <w:t>投标人如有上述规定行为之一时，</w:t>
      </w:r>
      <w:r>
        <w:rPr>
          <w:rFonts w:hint="eastAsia" w:asciiTheme="minorEastAsia" w:hAnsiTheme="minorEastAsia" w:eastAsiaTheme="minorEastAsia"/>
          <w:color w:val="auto"/>
          <w:szCs w:val="21"/>
          <w:lang w:eastAsia="zh-CN"/>
        </w:rPr>
        <w:t>深圳市城投全过程工程咨询有限公司</w:t>
      </w:r>
      <w:r>
        <w:rPr>
          <w:rFonts w:hint="eastAsia" w:asciiTheme="minorEastAsia" w:hAnsiTheme="minorEastAsia" w:eastAsiaTheme="minorEastAsia"/>
          <w:color w:val="auto"/>
          <w:szCs w:val="21"/>
        </w:rPr>
        <w:t>可按照下列规定进行处理：①凡采取综合评分法评审的项目，将在《评标信息》中“公司诚信”评分项扣除其所有诚信分。②凡采取价格评比（如最低价法或“N+2”法）的项目，投标人最终报价在该企业最后一轮报价的基础上上浮30%（上浮加价的部分不作为最终中标价或成交价结算）。③对不进行综合评分、符合资格条件即入围的预选采购项目，投标人“在诚信管理中受过主管部门通报处理且仍在实施期限的，不得参与本项目投标。④已中标的，</w:t>
      </w:r>
      <w:r>
        <w:rPr>
          <w:rFonts w:hint="eastAsia" w:asciiTheme="minorEastAsia" w:hAnsiTheme="minorEastAsia" w:eastAsiaTheme="minorEastAsia"/>
          <w:color w:val="auto"/>
          <w:szCs w:val="21"/>
          <w:lang w:eastAsia="zh-CN"/>
        </w:rPr>
        <w:t>深圳市城投全过程工程咨询有限公司</w:t>
      </w:r>
      <w:r>
        <w:rPr>
          <w:rFonts w:hint="eastAsia" w:asciiTheme="minorEastAsia" w:hAnsiTheme="minorEastAsia" w:eastAsiaTheme="minorEastAsia"/>
          <w:color w:val="auto"/>
          <w:szCs w:val="21"/>
        </w:rPr>
        <w:t>或采购人可以报政府采购主管部门取消中标资格。</w:t>
      </w:r>
    </w:p>
    <w:p w14:paraId="517B2FFC">
      <w:pPr>
        <w:pStyle w:val="6"/>
        <w:spacing w:before="120" w:beforeLines="50" w:after="120" w:afterLines="50"/>
        <w:jc w:val="center"/>
        <w:rPr>
          <w:rFonts w:asciiTheme="minorEastAsia" w:hAnsiTheme="minorEastAsia" w:eastAsiaTheme="minorEastAsia"/>
          <w:szCs w:val="24"/>
        </w:rPr>
      </w:pPr>
      <w:r>
        <w:rPr>
          <w:rFonts w:hint="eastAsia" w:asciiTheme="minorEastAsia" w:hAnsiTheme="minorEastAsia" w:eastAsiaTheme="minorEastAsia"/>
          <w:szCs w:val="24"/>
        </w:rPr>
        <w:t>七、投标报价</w:t>
      </w:r>
    </w:p>
    <w:p w14:paraId="42E2170F">
      <w:pPr>
        <w:pStyle w:val="7"/>
        <w:adjustRightInd w:val="0"/>
        <w:snapToGrid w:val="0"/>
        <w:spacing w:before="60" w:beforeLines="25" w:after="60" w:afterLines="25"/>
        <w:ind w:firstLine="448" w:firstLineChars="187"/>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5563AD61">
      <w:pPr>
        <w:pStyle w:val="7"/>
        <w:adjustRightInd w:val="0"/>
        <w:snapToGrid w:val="0"/>
        <w:spacing w:before="60" w:beforeLines="25" w:after="60" w:afterLines="25"/>
        <w:ind w:firstLine="448" w:firstLineChars="187"/>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2、投标人应根据本企业的成本自行决定报价，但不得以低于其企业成本的报价投标。</w:t>
      </w:r>
    </w:p>
    <w:p w14:paraId="6C04C232">
      <w:pPr>
        <w:pStyle w:val="7"/>
        <w:adjustRightInd w:val="0"/>
        <w:snapToGrid w:val="0"/>
        <w:spacing w:before="60" w:beforeLines="25" w:after="60" w:afterLines="25"/>
        <w:ind w:firstLine="448" w:firstLineChars="187"/>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3、投标人的投标报价不得超过财政预算限额。</w:t>
      </w:r>
    </w:p>
    <w:p w14:paraId="6CF8E935">
      <w:pPr>
        <w:pStyle w:val="7"/>
        <w:adjustRightInd w:val="0"/>
        <w:snapToGrid w:val="0"/>
        <w:spacing w:before="60" w:beforeLines="25" w:after="60" w:afterLines="25"/>
        <w:ind w:firstLine="448" w:firstLineChars="187"/>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4、投标人的投标报价，应是本项目招标范围和招标文件及合同条款上所列的各项内容中所述的全部，不得以任何理由予以重复，并以投标人在投标文件中提出的综合单价或总价为依据。</w:t>
      </w:r>
    </w:p>
    <w:p w14:paraId="6C232D22">
      <w:pPr>
        <w:pStyle w:val="7"/>
        <w:adjustRightInd w:val="0"/>
        <w:snapToGrid w:val="0"/>
        <w:spacing w:before="60" w:beforeLines="25" w:after="60" w:afterLines="25"/>
        <w:ind w:firstLine="448" w:firstLineChars="187"/>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除非政府集中采购机构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051DBB90">
      <w:pPr>
        <w:pStyle w:val="7"/>
        <w:adjustRightInd w:val="0"/>
        <w:snapToGrid w:val="0"/>
        <w:spacing w:before="60" w:beforeLines="25" w:after="60" w:afterLines="25"/>
        <w:ind w:firstLine="448" w:firstLineChars="187"/>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6、投标人应先到项目地点踏勘以充分了解项目的位置、情况、道路及任何其它足以影响投标报价的情况，任何因忽视或误解项目情况而导致的索赔或服务期限延长申请将不获批准。</w:t>
      </w:r>
    </w:p>
    <w:p w14:paraId="76BF69E1">
      <w:pPr>
        <w:pStyle w:val="7"/>
        <w:adjustRightInd w:val="0"/>
        <w:snapToGrid w:val="0"/>
        <w:spacing w:before="60" w:beforeLines="25" w:after="60" w:afterLines="25"/>
        <w:ind w:firstLine="448" w:firstLineChars="187"/>
        <w:jc w:val="left"/>
        <w:rPr>
          <w:rFonts w:asciiTheme="minorEastAsia" w:hAnsiTheme="minorEastAsia" w:eastAsiaTheme="minorEastAsia"/>
          <w:b/>
          <w:color w:val="000000"/>
          <w:szCs w:val="21"/>
        </w:rPr>
      </w:pPr>
      <w:r>
        <w:rPr>
          <w:rFonts w:hint="eastAsia" w:asciiTheme="minorEastAsia" w:hAnsiTheme="minorEastAsia" w:eastAsiaTheme="minorEastAsia"/>
          <w:szCs w:val="21"/>
        </w:rPr>
        <w:t>7、投标人不得期望通过索赔等方式获取补偿，否则，除可能遭到拒绝外，还可能将被作为不良行为记录在案，并可能影响其以后参加政府采购的项目投标。各投标人在投标报价时，应充分考虑投标报价的风险。</w:t>
      </w:r>
    </w:p>
    <w:p w14:paraId="327FEE43">
      <w:pPr>
        <w:pStyle w:val="6"/>
        <w:spacing w:before="120" w:beforeLines="50" w:after="120" w:afterLines="50"/>
        <w:jc w:val="center"/>
        <w:rPr>
          <w:rFonts w:asciiTheme="minorEastAsia" w:hAnsiTheme="minorEastAsia" w:eastAsiaTheme="minorEastAsia"/>
          <w:szCs w:val="24"/>
        </w:rPr>
      </w:pPr>
      <w:r>
        <w:rPr>
          <w:rFonts w:hint="eastAsia" w:asciiTheme="minorEastAsia" w:hAnsiTheme="minorEastAsia" w:eastAsiaTheme="minorEastAsia"/>
          <w:szCs w:val="24"/>
        </w:rPr>
        <w:t>八、注意事项</w:t>
      </w:r>
    </w:p>
    <w:p w14:paraId="11EBE942">
      <w:pPr>
        <w:pStyle w:val="7"/>
        <w:adjustRightInd w:val="0"/>
        <w:snapToGrid w:val="0"/>
        <w:ind w:firstLine="448" w:firstLineChars="187"/>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1、中标人不得将项目非法分包或转包给任何单位和个人。否则，采购单位有权即刻终止合同，并要求中标人赔偿相应损失。</w:t>
      </w:r>
    </w:p>
    <w:p w14:paraId="35040E8A">
      <w:pPr>
        <w:pStyle w:val="7"/>
        <w:adjustRightInd w:val="0"/>
        <w:snapToGrid w:val="0"/>
        <w:ind w:firstLine="448" w:firstLineChars="187"/>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2、投标人若认为招标文件的技术要求或其他要求有倾向性或不公正性，可在招标答疑阶段提出，以维护招标行为的公平、公正。</w:t>
      </w:r>
    </w:p>
    <w:p w14:paraId="284A25A2">
      <w:pPr>
        <w:pStyle w:val="7"/>
        <w:adjustRightInd w:val="0"/>
        <w:snapToGrid w:val="0"/>
        <w:ind w:firstLine="448" w:firstLineChars="187"/>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3、投标人使用的标准必须是国际公认或国家、或地方政府颁布的同等或更高的标准，如投标人使用的标准低于上述标准,评标委员会将有权不予接受，投标人必须列表将明显的差异详细说明。</w:t>
      </w:r>
    </w:p>
    <w:p w14:paraId="669A1348">
      <w:pPr>
        <w:adjustRightInd w:val="0"/>
        <w:snapToGrid w:val="0"/>
        <w:ind w:firstLine="470" w:firstLineChars="196"/>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、投标人所提交的投标文件对技术参数和各项要求的响应应是列出具体内容。如果投标人只注明“符合”或“满足”，将被视为“不符合”，并可能严重影响评标结果。</w:t>
      </w:r>
    </w:p>
    <w:p w14:paraId="5A995718">
      <w:pPr>
        <w:ind w:firstLine="484" w:firstLineChars="202"/>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、本项目为网上电子投标项目，投标文件不需法人或授权委托人另行签字，无需加盖单位公章，招标文件专用条款另有规定的除外。</w:t>
      </w:r>
    </w:p>
    <w:p w14:paraId="463203AC">
      <w:pPr>
        <w:ind w:firstLine="484" w:firstLineChars="202"/>
        <w:jc w:val="lef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、关于“开标一览表”的评标说明：“开标一览表”中除“投标总价”外，其他信息不作评审依据。</w:t>
      </w:r>
    </w:p>
    <w:p w14:paraId="1A37C609">
      <w:pPr>
        <w:pStyle w:val="7"/>
        <w:spacing w:before="60" w:beforeLines="25" w:after="60" w:afterLines="25"/>
        <w:ind w:firstLine="448" w:firstLineChars="187"/>
        <w:rPr>
          <w:rFonts w:asciiTheme="minorEastAsia" w:hAnsiTheme="minorEastAsia" w:eastAsiaTheme="minorEastAsia"/>
          <w:szCs w:val="21"/>
        </w:rPr>
      </w:pPr>
    </w:p>
    <w:p w14:paraId="3958DF1F">
      <w:pPr>
        <w:rPr>
          <w:color w:val="auto"/>
        </w:rPr>
      </w:pPr>
      <w:r>
        <w:rPr>
          <w:rFonts w:hint="eastAsia"/>
          <w:color w:val="auto"/>
        </w:rPr>
        <w:br w:type="page"/>
      </w:r>
    </w:p>
    <w:p w14:paraId="66196A0E">
      <w:pPr>
        <w:pStyle w:val="6"/>
        <w:rPr>
          <w:color w:val="auto"/>
        </w:rPr>
      </w:pPr>
      <w:r>
        <w:rPr>
          <w:rFonts w:hint="eastAsia"/>
          <w:color w:val="auto"/>
        </w:rPr>
        <w:t>第四章 投标文件组成要求及格式</w:t>
      </w:r>
    </w:p>
    <w:p w14:paraId="749AEFB0">
      <w:pPr>
        <w:rPr>
          <w:rStyle w:val="32"/>
          <w:color w:val="auto"/>
          <w:sz w:val="24"/>
        </w:rPr>
      </w:pPr>
      <w:bookmarkStart w:id="37" w:name="OLE_LINK81"/>
      <w:bookmarkStart w:id="38" w:name="OLE_LINK80"/>
      <w:r>
        <w:rPr>
          <w:rStyle w:val="32"/>
          <w:rFonts w:hint="eastAsia"/>
          <w:color w:val="auto"/>
          <w:sz w:val="24"/>
        </w:rPr>
        <w:t>特别提醒：</w:t>
      </w:r>
    </w:p>
    <w:p w14:paraId="5A9D3387">
      <w:pPr>
        <w:rPr>
          <w:color w:val="auto"/>
        </w:rPr>
      </w:pPr>
    </w:p>
    <w:bookmarkEnd w:id="37"/>
    <w:bookmarkEnd w:id="38"/>
    <w:p w14:paraId="2467439E">
      <w:pPr>
        <w:rPr>
          <w:color w:val="auto"/>
        </w:rPr>
      </w:pPr>
      <w:r>
        <w:rPr>
          <w:rFonts w:hint="eastAsia" w:eastAsia="宋体"/>
          <w:color w:val="auto"/>
        </w:rPr>
        <w:t>投标文件组成：</w:t>
      </w:r>
    </w:p>
    <w:p w14:paraId="4AF8631A">
      <w:pPr>
        <w:ind w:firstLine="720"/>
        <w:jc w:val="left"/>
        <w:rPr>
          <w:color w:val="auto"/>
        </w:rPr>
      </w:pPr>
      <w:bookmarkStart w:id="39" w:name="OLE_LINK82"/>
      <w:bookmarkStart w:id="40" w:name="OLE_LINK83"/>
      <w:r>
        <w:rPr>
          <w:rFonts w:hint="eastAsia"/>
          <w:color w:val="auto"/>
        </w:rPr>
        <w:t>1.</w:t>
      </w:r>
      <w:r>
        <w:rPr>
          <w:rFonts w:hint="eastAsia" w:eastAsia="宋体"/>
          <w:color w:val="auto"/>
        </w:rPr>
        <w:t>投标文件正文（商务标），主要包括以下内容：</w:t>
      </w:r>
    </w:p>
    <w:p w14:paraId="66D0E77B">
      <w:pPr>
        <w:ind w:firstLine="720"/>
        <w:jc w:val="left"/>
        <w:rPr>
          <w:color w:val="auto"/>
        </w:rPr>
      </w:pPr>
      <w:r>
        <w:rPr>
          <w:rFonts w:hint="eastAsia" w:eastAsia="宋体"/>
          <w:color w:val="auto"/>
        </w:rPr>
        <w:t>（</w:t>
      </w:r>
      <w:r>
        <w:rPr>
          <w:rFonts w:hint="eastAsia"/>
          <w:color w:val="auto"/>
        </w:rPr>
        <w:t>1</w:t>
      </w:r>
      <w:r>
        <w:rPr>
          <w:rFonts w:hint="eastAsia" w:eastAsia="宋体"/>
          <w:color w:val="auto"/>
        </w:rPr>
        <w:t>）</w:t>
      </w:r>
      <w:bookmarkStart w:id="41" w:name="_Hlk72070784"/>
      <w:r>
        <w:rPr>
          <w:rFonts w:hint="eastAsia" w:eastAsia="宋体"/>
          <w:color w:val="auto"/>
        </w:rPr>
        <w:t>投标函</w:t>
      </w:r>
      <w:bookmarkEnd w:id="41"/>
    </w:p>
    <w:p w14:paraId="24EFD20C">
      <w:pPr>
        <w:ind w:firstLine="720"/>
        <w:jc w:val="left"/>
        <w:rPr>
          <w:color w:val="auto"/>
        </w:rPr>
      </w:pPr>
      <w:r>
        <w:rPr>
          <w:rFonts w:hint="eastAsia" w:eastAsia="宋体"/>
          <w:color w:val="auto"/>
        </w:rPr>
        <w:t>（</w:t>
      </w:r>
      <w:r>
        <w:rPr>
          <w:rFonts w:hint="eastAsia"/>
          <w:color w:val="auto"/>
        </w:rPr>
        <w:t>2</w:t>
      </w:r>
      <w:r>
        <w:rPr>
          <w:rFonts w:hint="eastAsia" w:eastAsia="宋体"/>
          <w:color w:val="auto"/>
        </w:rPr>
        <w:t>）</w:t>
      </w:r>
      <w:bookmarkStart w:id="42" w:name="_Hlk72062521"/>
      <w:r>
        <w:rPr>
          <w:rFonts w:hint="eastAsia" w:eastAsia="宋体"/>
          <w:color w:val="auto"/>
        </w:rPr>
        <w:t>履约承诺函</w:t>
      </w:r>
      <w:bookmarkEnd w:id="42"/>
    </w:p>
    <w:p w14:paraId="0C7BB2A7">
      <w:pPr>
        <w:ind w:firstLine="720"/>
        <w:jc w:val="left"/>
        <w:rPr>
          <w:color w:val="auto"/>
        </w:rPr>
      </w:pPr>
      <w:r>
        <w:rPr>
          <w:rFonts w:hint="eastAsia" w:eastAsia="宋体"/>
          <w:color w:val="auto"/>
        </w:rPr>
        <w:t>（</w:t>
      </w:r>
      <w:r>
        <w:rPr>
          <w:color w:val="auto"/>
        </w:rPr>
        <w:t>3</w:t>
      </w:r>
      <w:r>
        <w:rPr>
          <w:rFonts w:hint="eastAsia" w:eastAsia="宋体"/>
          <w:color w:val="auto"/>
        </w:rPr>
        <w:t>）投标人情况及资格证明文件</w:t>
      </w:r>
    </w:p>
    <w:p w14:paraId="4E8066E3">
      <w:pPr>
        <w:ind w:firstLine="720"/>
        <w:jc w:val="left"/>
        <w:rPr>
          <w:rFonts w:hint="eastAsia" w:eastAsia="宋体"/>
          <w:color w:val="auto"/>
          <w:lang w:eastAsia="zh-CN"/>
        </w:rPr>
      </w:pPr>
      <w:bookmarkStart w:id="43" w:name="_Hlk72257201"/>
      <w:r>
        <w:rPr>
          <w:rFonts w:hint="eastAsia" w:eastAsia="宋体"/>
          <w:color w:val="auto"/>
        </w:rPr>
        <w:t>（</w:t>
      </w:r>
      <w:r>
        <w:rPr>
          <w:color w:val="auto"/>
        </w:rPr>
        <w:t>4</w:t>
      </w:r>
      <w:r>
        <w:rPr>
          <w:rFonts w:hint="eastAsia" w:eastAsia="宋体"/>
          <w:color w:val="auto"/>
        </w:rPr>
        <w:t>）项目详细报价</w:t>
      </w:r>
    </w:p>
    <w:bookmarkEnd w:id="43"/>
    <w:p w14:paraId="045FEDD3">
      <w:pPr>
        <w:ind w:firstLine="720"/>
        <w:jc w:val="left"/>
        <w:rPr>
          <w:rFonts w:hint="default" w:eastAsia="宋体"/>
          <w:color w:val="auto"/>
          <w:lang w:val="en-US" w:eastAsia="zh-CN"/>
        </w:rPr>
      </w:pPr>
      <w:r>
        <w:rPr>
          <w:rFonts w:hint="eastAsia" w:eastAsia="宋体"/>
          <w:color w:val="auto"/>
        </w:rPr>
        <w:t>（</w:t>
      </w:r>
      <w:r>
        <w:rPr>
          <w:color w:val="auto"/>
        </w:rPr>
        <w:t>5</w:t>
      </w:r>
      <w:r>
        <w:rPr>
          <w:rFonts w:hint="eastAsia" w:eastAsia="宋体"/>
          <w:color w:val="auto"/>
        </w:rPr>
        <w:t>）</w:t>
      </w:r>
      <w:r>
        <w:rPr>
          <w:rFonts w:hint="eastAsia" w:eastAsia="宋体"/>
          <w:color w:val="auto"/>
          <w:lang w:val="en-US" w:eastAsia="zh-CN"/>
        </w:rPr>
        <w:t>实质性条款相应情况表</w:t>
      </w:r>
    </w:p>
    <w:p w14:paraId="19F33170">
      <w:pPr>
        <w:ind w:firstLine="720"/>
        <w:jc w:val="left"/>
        <w:rPr>
          <w:color w:val="auto"/>
        </w:rPr>
      </w:pPr>
      <w:r>
        <w:rPr>
          <w:rFonts w:hint="eastAsia"/>
          <w:color w:val="auto"/>
        </w:rPr>
        <w:t>（6）</w:t>
      </w:r>
      <w:r>
        <w:rPr>
          <w:rFonts w:hint="eastAsia" w:ascii="宋体" w:hAnsi="宋体" w:eastAsia="宋体" w:cs="宋体"/>
          <w:i w:val="0"/>
          <w:iCs w:val="0"/>
          <w:color w:val="000000"/>
          <w:kern w:val="0"/>
          <w:sz w:val="24"/>
          <w:szCs w:val="24"/>
          <w:u w:val="none"/>
          <w:lang w:val="en-US" w:eastAsia="zh-CN" w:bidi="ar"/>
        </w:rPr>
        <w:t>服务网点（场地）</w:t>
      </w:r>
    </w:p>
    <w:p w14:paraId="315D6D9C">
      <w:pPr>
        <w:ind w:firstLine="720"/>
        <w:jc w:val="left"/>
        <w:rPr>
          <w:rFonts w:hint="eastAsia" w:ascii="宋体" w:hAnsi="宋体" w:eastAsia="宋体" w:cs="宋体"/>
          <w:i w:val="0"/>
          <w:iCs w:val="0"/>
          <w:color w:val="000000"/>
          <w:kern w:val="0"/>
          <w:sz w:val="24"/>
          <w:szCs w:val="24"/>
          <w:u w:val="none"/>
          <w:lang w:val="en-US" w:eastAsia="zh-CN" w:bidi="ar"/>
        </w:rPr>
      </w:pPr>
      <w:r>
        <w:rPr>
          <w:rFonts w:hint="eastAsia"/>
          <w:color w:val="auto"/>
        </w:rPr>
        <w:t>（7）</w:t>
      </w:r>
      <w:r>
        <w:rPr>
          <w:rFonts w:hint="eastAsia" w:ascii="宋体" w:hAnsi="宋体" w:eastAsia="宋体" w:cs="宋体"/>
          <w:i w:val="0"/>
          <w:iCs w:val="0"/>
          <w:color w:val="000000"/>
          <w:kern w:val="0"/>
          <w:sz w:val="24"/>
          <w:szCs w:val="24"/>
          <w:u w:val="none"/>
          <w:lang w:val="en-US" w:eastAsia="zh-CN" w:bidi="ar"/>
        </w:rPr>
        <w:t>项目完成后的服务承诺</w:t>
      </w:r>
    </w:p>
    <w:p w14:paraId="24F282CB">
      <w:pPr>
        <w:ind w:firstLine="720"/>
        <w:jc w:val="left"/>
        <w:rPr>
          <w:rFonts w:hint="eastAsia"/>
          <w:color w:val="auto"/>
        </w:rPr>
      </w:pPr>
      <w:r>
        <w:rPr>
          <w:rFonts w:hint="eastAsia"/>
          <w:color w:val="auto"/>
        </w:rPr>
        <w:t>（8）</w:t>
      </w:r>
      <w:r>
        <w:rPr>
          <w:rFonts w:hint="eastAsia" w:ascii="宋体" w:hAnsi="宋体" w:eastAsia="宋体" w:cs="宋体"/>
          <w:i w:val="0"/>
          <w:iCs w:val="0"/>
          <w:color w:val="000000"/>
          <w:kern w:val="0"/>
          <w:sz w:val="24"/>
          <w:szCs w:val="24"/>
          <w:u w:val="none"/>
          <w:lang w:val="en-US" w:eastAsia="zh-CN" w:bidi="ar"/>
        </w:rPr>
        <w:t>投标人资格情况及通过相关认证情况</w:t>
      </w:r>
    </w:p>
    <w:p w14:paraId="51916C34">
      <w:pPr>
        <w:ind w:firstLine="720"/>
        <w:jc w:val="left"/>
        <w:rPr>
          <w:rFonts w:hint="eastAsia" w:eastAsia="宋体"/>
          <w:color w:val="auto"/>
          <w:lang w:val="en-US" w:eastAsia="zh-CN"/>
        </w:rPr>
      </w:pPr>
      <w:r>
        <w:rPr>
          <w:rFonts w:hint="eastAsia" w:eastAsia="宋体"/>
          <w:color w:val="auto"/>
          <w:lang w:eastAsia="zh-CN"/>
        </w:rPr>
        <w:t>（</w:t>
      </w:r>
      <w:r>
        <w:rPr>
          <w:rFonts w:hint="eastAsia" w:eastAsia="宋体"/>
          <w:color w:val="auto"/>
          <w:lang w:val="en-US" w:eastAsia="zh-CN"/>
        </w:rPr>
        <w:t>9）</w:t>
      </w:r>
      <w:r>
        <w:rPr>
          <w:rFonts w:hint="eastAsia" w:ascii="宋体" w:hAnsi="宋体" w:eastAsia="宋体" w:cs="宋体"/>
          <w:i w:val="0"/>
          <w:iCs w:val="0"/>
          <w:color w:val="000000"/>
          <w:kern w:val="0"/>
          <w:sz w:val="24"/>
          <w:szCs w:val="24"/>
          <w:u w:val="none"/>
          <w:lang w:val="en-US" w:eastAsia="zh-CN" w:bidi="ar"/>
        </w:rPr>
        <w:t>投标人获奖（荣誉）情况</w:t>
      </w:r>
    </w:p>
    <w:p w14:paraId="7992CB01">
      <w:pPr>
        <w:numPr>
          <w:ilvl w:val="0"/>
          <w:numId w:val="3"/>
        </w:numPr>
        <w:ind w:firstLine="720"/>
        <w:jc w:val="left"/>
        <w:rPr>
          <w:rFonts w:hint="default" w:eastAsia="宋体"/>
          <w:color w:val="auto"/>
          <w:lang w:val="en-US" w:eastAsia="zh-CN"/>
        </w:rPr>
      </w:pPr>
      <w:r>
        <w:rPr>
          <w:rFonts w:hint="eastAsia" w:ascii="宋体" w:hAnsi="宋体" w:eastAsia="宋体" w:cs="宋体"/>
          <w:i w:val="0"/>
          <w:iCs w:val="0"/>
          <w:color w:val="000000"/>
          <w:kern w:val="0"/>
          <w:sz w:val="24"/>
          <w:szCs w:val="24"/>
          <w:u w:val="none"/>
          <w:lang w:val="en-US" w:eastAsia="zh-CN" w:bidi="ar"/>
        </w:rPr>
        <w:t>投标人自主知识产权产品（创新、设计）情况</w:t>
      </w:r>
      <w:r>
        <w:rPr>
          <w:rFonts w:hint="eastAsia" w:eastAsia="宋体"/>
          <w:color w:val="auto"/>
          <w:lang w:val="en-US" w:eastAsia="zh-CN"/>
        </w:rPr>
        <w:t>投标人自主知识产权产品（创新、设计）情况</w:t>
      </w:r>
    </w:p>
    <w:p w14:paraId="0FB03C16">
      <w:pPr>
        <w:numPr>
          <w:ilvl w:val="0"/>
          <w:numId w:val="3"/>
        </w:numPr>
        <w:ind w:left="0" w:leftChars="0" w:firstLine="72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投标人近年同类项目业绩情况</w:t>
      </w:r>
    </w:p>
    <w:p w14:paraId="66C2080D">
      <w:pPr>
        <w:numPr>
          <w:ilvl w:val="0"/>
          <w:numId w:val="3"/>
        </w:numPr>
        <w:ind w:left="0" w:leftChars="0" w:firstLine="72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环保执行情况</w:t>
      </w:r>
    </w:p>
    <w:p w14:paraId="3F78A3B4">
      <w:pPr>
        <w:numPr>
          <w:ilvl w:val="0"/>
          <w:numId w:val="0"/>
        </w:numPr>
        <w:ind w:left="720" w:leftChars="0"/>
        <w:jc w:val="left"/>
        <w:rPr>
          <w:rFonts w:hint="eastAsia" w:ascii="宋体" w:hAnsi="宋体" w:eastAsia="宋体" w:cs="宋体"/>
          <w:i w:val="0"/>
          <w:iCs w:val="0"/>
          <w:color w:val="000000"/>
          <w:kern w:val="0"/>
          <w:sz w:val="24"/>
          <w:szCs w:val="24"/>
          <w:u w:val="none"/>
          <w:lang w:val="en-US" w:eastAsia="zh-CN" w:bidi="ar"/>
        </w:rPr>
      </w:pPr>
    </w:p>
    <w:p w14:paraId="38B1D44C">
      <w:pPr>
        <w:ind w:firstLine="7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2.投标文件正文（技术标）：主要包括以下内容：</w:t>
      </w:r>
    </w:p>
    <w:p w14:paraId="36F6AEA0">
      <w:pPr>
        <w:ind w:firstLine="7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（1）法定代表人（负责人）证明书</w:t>
      </w:r>
    </w:p>
    <w:p w14:paraId="58EBFF6B">
      <w:pPr>
        <w:ind w:firstLine="7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（2）投标文件签署授权委托书</w:t>
      </w:r>
    </w:p>
    <w:p w14:paraId="1EF30DE4">
      <w:pPr>
        <w:ind w:firstLine="7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（3）实施方案</w:t>
      </w:r>
    </w:p>
    <w:p w14:paraId="38CEB64B">
      <w:pPr>
        <w:ind w:firstLine="7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（4）项目重点难点分析、应对措施及相关的合理化建议</w:t>
      </w:r>
    </w:p>
    <w:p w14:paraId="3D4511CF">
      <w:pPr>
        <w:ind w:firstLine="7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（5）质量（完成时间、安全、环保）保障措施及方案</w:t>
      </w:r>
    </w:p>
    <w:p w14:paraId="49D13EF4">
      <w:pPr>
        <w:ind w:firstLine="72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rPr>
        <w:t>（6）</w:t>
      </w:r>
      <w:r>
        <w:rPr>
          <w:rFonts w:hint="eastAsia" w:ascii="宋体" w:hAnsi="宋体" w:eastAsia="宋体" w:cs="宋体"/>
          <w:i w:val="0"/>
          <w:iCs w:val="0"/>
          <w:color w:val="000000"/>
          <w:kern w:val="0"/>
          <w:sz w:val="24"/>
          <w:szCs w:val="24"/>
          <w:u w:val="none"/>
          <w:lang w:val="en-US" w:eastAsia="zh-CN" w:bidi="ar"/>
        </w:rPr>
        <w:t>违约承诺</w:t>
      </w:r>
    </w:p>
    <w:p w14:paraId="6605E4D8">
      <w:pPr>
        <w:ind w:firstLine="72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rPr>
        <w:t>（7）</w:t>
      </w:r>
      <w:r>
        <w:rPr>
          <w:rFonts w:hint="eastAsia" w:ascii="宋体" w:hAnsi="宋体" w:eastAsia="宋体" w:cs="宋体"/>
          <w:i w:val="0"/>
          <w:iCs w:val="0"/>
          <w:color w:val="000000"/>
          <w:kern w:val="0"/>
          <w:sz w:val="24"/>
          <w:szCs w:val="24"/>
          <w:u w:val="none"/>
          <w:lang w:val="en-US" w:eastAsia="zh-CN" w:bidi="ar"/>
        </w:rPr>
        <w:t>项目拟使用的人员和设备（车辆、场地、工具、机器）情况</w:t>
      </w:r>
    </w:p>
    <w:p w14:paraId="77121B8B">
      <w:pPr>
        <w:ind w:firstLine="72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（8）拟安排的项目负责人情况</w:t>
      </w:r>
    </w:p>
    <w:p w14:paraId="08BD59A5">
      <w:pPr>
        <w:ind w:firstLine="72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（9）拟安排的项目团队成员（项目负责人除外）情况</w:t>
      </w:r>
    </w:p>
    <w:p w14:paraId="275DB0CD">
      <w:pPr>
        <w:pStyle w:val="7"/>
        <w:rPr>
          <w:rFonts w:hint="eastAsia" w:asciiTheme="minorEastAsia" w:hAnsiTheme="minorEastAsia" w:eastAsiaTheme="minorEastAsia" w:cstheme="minorEastAsia"/>
          <w:color w:val="auto"/>
        </w:rPr>
      </w:pPr>
    </w:p>
    <w:bookmarkEnd w:id="39"/>
    <w:bookmarkEnd w:id="40"/>
    <w:p w14:paraId="74249A68">
      <w:pPr>
        <w:rPr>
          <w:rFonts w:hint="eastAsia" w:asciiTheme="minorEastAsia" w:hAnsiTheme="minorEastAsia" w:eastAsiaTheme="minorEastAsia" w:cstheme="minorEastAsia"/>
          <w:color w:val="auto"/>
        </w:rPr>
      </w:pPr>
    </w:p>
    <w:p w14:paraId="745483E0">
      <w:pPr>
        <w:ind w:firstLine="7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p w14:paraId="34C5D56E">
      <w:pPr>
        <w:ind w:firstLine="7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1.本项目为线下投标项目，投标文件需法人或授权委托人签字，需加盖单位公章，招标文件专用条款另有规定的除外。</w:t>
      </w:r>
    </w:p>
    <w:p w14:paraId="49208F99">
      <w:pPr>
        <w:ind w:firstLine="7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2.关于填写“开标一览表”的说明：“开标一览表”中除“投标报价”外，其他信息不作评审依据。</w:t>
      </w:r>
    </w:p>
    <w:p w14:paraId="2CE56CA0">
      <w:pPr>
        <w:jc w:val="left"/>
        <w:rPr>
          <w:rFonts w:hint="eastAsia" w:asciiTheme="minorEastAsia" w:hAnsiTheme="minorEastAsia" w:eastAsiaTheme="minorEastAsia" w:cstheme="minorEastAsia"/>
          <w:color w:val="auto"/>
        </w:rPr>
      </w:pPr>
    </w:p>
    <w:p w14:paraId="450CA46C">
      <w:pPr>
        <w:jc w:val="left"/>
        <w:rPr>
          <w:color w:val="auto"/>
        </w:rPr>
      </w:pPr>
    </w:p>
    <w:p w14:paraId="41C82C22">
      <w:pPr>
        <w:jc w:val="left"/>
        <w:rPr>
          <w:color w:val="auto"/>
        </w:rPr>
      </w:pPr>
    </w:p>
    <w:p w14:paraId="3B84FFB7">
      <w:pPr>
        <w:rPr>
          <w:color w:val="auto"/>
        </w:rPr>
      </w:pPr>
      <w:r>
        <w:rPr>
          <w:rFonts w:hint="eastAsia"/>
          <w:color w:val="auto"/>
        </w:rPr>
        <w:br w:type="page"/>
      </w:r>
    </w:p>
    <w:p w14:paraId="61DA87C7">
      <w:pPr>
        <w:spacing w:before="93" w:line="219" w:lineRule="auto"/>
        <w:jc w:val="left"/>
        <w:outlineLvl w:val="0"/>
        <w:rPr>
          <w:rFonts w:hint="eastAsia" w:ascii="仿宋" w:hAnsi="仿宋" w:eastAsia="仿宋" w:cs="仿宋"/>
          <w:color w:val="auto"/>
          <w:spacing w:val="16"/>
          <w:sz w:val="32"/>
          <w:szCs w:val="32"/>
        </w:rPr>
      </w:pPr>
      <w:bookmarkStart w:id="44" w:name="OLE_LINK85"/>
      <w:bookmarkStart w:id="45" w:name="OLE_LINK86"/>
      <w:r>
        <w:rPr>
          <w:rFonts w:hint="eastAsia" w:ascii="仿宋" w:hAnsi="仿宋" w:eastAsia="仿宋" w:cs="仿宋"/>
          <w:color w:val="auto"/>
          <w:spacing w:val="16"/>
          <w:sz w:val="32"/>
          <w:szCs w:val="32"/>
          <w:lang w:val="en-US" w:eastAsia="zh-CN"/>
        </w:rPr>
        <w:t>1、</w:t>
      </w:r>
      <w:r>
        <w:rPr>
          <w:rFonts w:hint="eastAsia" w:ascii="仿宋" w:hAnsi="仿宋" w:eastAsia="仿宋" w:cs="仿宋"/>
          <w:color w:val="auto"/>
          <w:spacing w:val="16"/>
          <w:sz w:val="32"/>
          <w:szCs w:val="32"/>
        </w:rPr>
        <w:t>投标文件正文-商务标</w:t>
      </w:r>
    </w:p>
    <w:bookmarkEnd w:id="44"/>
    <w:bookmarkEnd w:id="45"/>
    <w:p w14:paraId="690F0394">
      <w:pPr>
        <w:pStyle w:val="9"/>
        <w:rPr>
          <w:color w:val="auto"/>
        </w:rPr>
      </w:pPr>
    </w:p>
    <w:p w14:paraId="70CA5A07">
      <w:pPr>
        <w:pStyle w:val="4"/>
        <w:rPr>
          <w:color w:val="auto"/>
        </w:rPr>
      </w:pPr>
      <w:r>
        <w:rPr>
          <w:rFonts w:hint="eastAsia"/>
          <w:color w:val="auto"/>
        </w:rPr>
        <w:t>一、投标函</w:t>
      </w:r>
    </w:p>
    <w:p w14:paraId="1FF5CCE1">
      <w:pPr>
        <w:ind w:firstLine="720"/>
        <w:jc w:val="both"/>
        <w:rPr>
          <w:color w:val="auto"/>
        </w:rPr>
      </w:pPr>
      <w:r>
        <w:rPr>
          <w:rFonts w:hint="eastAsia" w:ascii="宋体" w:hAnsi="宋体" w:eastAsia="宋体" w:cs="宋体"/>
          <w:color w:val="auto"/>
        </w:rPr>
        <w:t>致：</w:t>
      </w:r>
      <w:r>
        <w:rPr>
          <w:rFonts w:hint="eastAsia"/>
          <w:color w:val="auto"/>
        </w:rPr>
        <w:t xml:space="preserve"> </w:t>
      </w:r>
      <w:r>
        <w:rPr>
          <w:rFonts w:hint="eastAsia" w:eastAsia="宋体"/>
          <w:color w:val="auto"/>
          <w:u w:val="single"/>
          <w:lang w:eastAsia="zh-CN"/>
        </w:rPr>
        <w:t>深圳市盐田区应急管理局</w:t>
      </w:r>
      <w:r>
        <w:rPr>
          <w:rFonts w:hint="eastAsia"/>
          <w:color w:val="auto"/>
          <w:u w:val="single"/>
        </w:rPr>
        <w:t xml:space="preserve"> </w:t>
      </w:r>
    </w:p>
    <w:p w14:paraId="6E8074BC">
      <w:pPr>
        <w:ind w:firstLine="720"/>
        <w:jc w:val="both"/>
        <w:rPr>
          <w:color w:val="auto"/>
        </w:rPr>
      </w:pPr>
      <w:bookmarkStart w:id="46" w:name="_Hlk73818812"/>
      <w:r>
        <w:rPr>
          <w:rFonts w:hint="eastAsia"/>
          <w:color w:val="auto"/>
        </w:rPr>
        <w:t>1</w:t>
      </w:r>
      <w:r>
        <w:rPr>
          <w:rFonts w:hint="eastAsia" w:eastAsia="宋体"/>
          <w:color w:val="auto"/>
        </w:rPr>
        <w:t>、根据已收到贵单位的</w:t>
      </w:r>
      <w:r>
        <w:rPr>
          <w:rFonts w:hint="eastAsia" w:eastAsia="宋体"/>
          <w:color w:val="auto"/>
          <w:u w:val="single"/>
        </w:rPr>
        <w:t>（项目名称）</w:t>
      </w:r>
      <w:r>
        <w:rPr>
          <w:rFonts w:hint="eastAsia"/>
          <w:color w:val="auto"/>
          <w:u w:val="single"/>
        </w:rPr>
        <w:t xml:space="preserve"> </w:t>
      </w:r>
      <w:r>
        <w:rPr>
          <w:rFonts w:hint="eastAsia" w:eastAsia="宋体"/>
          <w:color w:val="auto"/>
        </w:rPr>
        <w:t>的招标文件，我单位经研究上述招标文件的专用条款及通用条款后，</w:t>
      </w:r>
      <w:bookmarkStart w:id="47" w:name="_Hlk72263588"/>
      <w:r>
        <w:rPr>
          <w:rFonts w:hint="eastAsia" w:eastAsia="宋体"/>
          <w:color w:val="auto"/>
        </w:rPr>
        <w:t>愿意按照招标文件要求承包上述项目并修补其任何缺陷。</w:t>
      </w:r>
      <w:bookmarkEnd w:id="47"/>
    </w:p>
    <w:p w14:paraId="7C87D902">
      <w:pPr>
        <w:ind w:firstLine="720"/>
        <w:jc w:val="both"/>
        <w:rPr>
          <w:color w:val="auto"/>
        </w:rPr>
      </w:pPr>
      <w:r>
        <w:rPr>
          <w:color w:val="auto"/>
        </w:rPr>
        <w:t>2</w:t>
      </w:r>
      <w:r>
        <w:rPr>
          <w:rFonts w:hint="eastAsia" w:ascii="宋体" w:hAnsi="宋体" w:eastAsia="宋体" w:cs="宋体"/>
          <w:color w:val="auto"/>
        </w:rPr>
        <w:t>、投标价格见</w:t>
      </w:r>
      <w:r>
        <w:rPr>
          <w:rFonts w:hint="eastAsia" w:eastAsia="宋体"/>
          <w:color w:val="auto"/>
        </w:rPr>
        <w:t>投标书编制软件中《开标一览表》中填写的投标总价。</w:t>
      </w:r>
    </w:p>
    <w:p w14:paraId="6596D70D">
      <w:pPr>
        <w:ind w:firstLine="720"/>
        <w:jc w:val="both"/>
        <w:rPr>
          <w:color w:val="auto"/>
        </w:rPr>
      </w:pPr>
      <w:r>
        <w:rPr>
          <w:rFonts w:hint="eastAsia"/>
          <w:color w:val="auto"/>
        </w:rPr>
        <w:t>3</w:t>
      </w:r>
      <w:r>
        <w:rPr>
          <w:rFonts w:hint="eastAsia" w:eastAsia="宋体"/>
          <w:color w:val="auto"/>
        </w:rPr>
        <w:t>、如果我单位中标，我单位将按照招标文件的要求足额提交履约担保。</w:t>
      </w:r>
    </w:p>
    <w:p w14:paraId="6901C502">
      <w:pPr>
        <w:ind w:firstLine="720"/>
        <w:jc w:val="both"/>
        <w:rPr>
          <w:rFonts w:ascii="宋体" w:hAnsi="宋体" w:eastAsia="宋体" w:cs="宋体"/>
          <w:color w:val="auto"/>
        </w:rPr>
      </w:pPr>
      <w:r>
        <w:rPr>
          <w:rFonts w:hint="eastAsia" w:ascii="宋体" w:hAnsi="宋体" w:eastAsia="宋体" w:cs="宋体"/>
          <w:color w:val="auto"/>
        </w:rPr>
        <w:t>4、我单位同意所递交的投标文件在“对通用条款的补充内容”中明确的投标有效期内有效，在此期间内我单位的投标有可能中标，我方将受此约束。</w:t>
      </w:r>
    </w:p>
    <w:p w14:paraId="6BBA2848">
      <w:pPr>
        <w:ind w:firstLine="720"/>
        <w:jc w:val="both"/>
        <w:rPr>
          <w:rFonts w:ascii="宋体" w:hAnsi="宋体" w:eastAsia="宋体" w:cs="宋体"/>
          <w:color w:val="auto"/>
        </w:rPr>
      </w:pPr>
      <w:r>
        <w:rPr>
          <w:rFonts w:hint="eastAsia" w:ascii="宋体" w:hAnsi="宋体" w:eastAsia="宋体" w:cs="宋体"/>
          <w:color w:val="auto"/>
        </w:rPr>
        <w:t>5、除非另外达成协议并生效，贵单位的中标通知书和本投标文件将构成合同的重要内容。</w:t>
      </w:r>
    </w:p>
    <w:p w14:paraId="25AB9345">
      <w:pPr>
        <w:ind w:firstLine="720"/>
        <w:jc w:val="both"/>
        <w:rPr>
          <w:rFonts w:ascii="宋体" w:hAnsi="宋体" w:eastAsia="宋体" w:cs="宋体"/>
          <w:color w:val="auto"/>
        </w:rPr>
      </w:pPr>
      <w:r>
        <w:rPr>
          <w:rFonts w:hint="eastAsia" w:ascii="宋体" w:hAnsi="宋体" w:eastAsia="宋体" w:cs="宋体"/>
          <w:color w:val="auto"/>
        </w:rPr>
        <w:t>6、我单位理解贵单位将不受必须接受所收到的最低报价或其它任何投标文件的约束。</w:t>
      </w:r>
      <w:bookmarkEnd w:id="46"/>
    </w:p>
    <w:p w14:paraId="1CCD108B">
      <w:pPr>
        <w:ind w:firstLine="720"/>
        <w:jc w:val="both"/>
        <w:rPr>
          <w:rFonts w:ascii="宋体" w:hAnsi="宋体" w:eastAsia="宋体" w:cs="宋体"/>
          <w:color w:val="auto"/>
        </w:rPr>
      </w:pPr>
      <w:r>
        <w:rPr>
          <w:rFonts w:hint="eastAsia" w:ascii="宋体" w:hAnsi="宋体" w:eastAsia="宋体" w:cs="宋体"/>
          <w:color w:val="auto"/>
        </w:rPr>
        <w:t>7、如果我方中标，我方保证在领取中标通知书之前按招标文件规定向招标代理机构缴纳招标代理费用。</w:t>
      </w:r>
    </w:p>
    <w:p w14:paraId="153DE52D">
      <w:pPr>
        <w:jc w:val="both"/>
        <w:rPr>
          <w:color w:val="auto"/>
        </w:rPr>
      </w:pPr>
    </w:p>
    <w:p w14:paraId="4D938492">
      <w:pPr>
        <w:ind w:firstLine="720"/>
        <w:jc w:val="both"/>
        <w:rPr>
          <w:rFonts w:ascii="宋体" w:hAnsi="宋体" w:eastAsia="宋体" w:cs="宋体"/>
          <w:color w:val="auto"/>
        </w:rPr>
      </w:pPr>
      <w:r>
        <w:rPr>
          <w:rFonts w:hint="eastAsia" w:ascii="宋体" w:hAnsi="宋体" w:eastAsia="宋体" w:cs="宋体"/>
          <w:color w:val="auto"/>
        </w:rPr>
        <w:t xml:space="preserve">投标供应商：                        </w:t>
      </w:r>
    </w:p>
    <w:p w14:paraId="53BF5D09">
      <w:pPr>
        <w:ind w:firstLine="720"/>
        <w:jc w:val="both"/>
        <w:rPr>
          <w:rFonts w:ascii="宋体" w:hAnsi="宋体" w:eastAsia="宋体" w:cs="宋体"/>
          <w:color w:val="auto"/>
        </w:rPr>
      </w:pPr>
      <w:r>
        <w:rPr>
          <w:rFonts w:hint="eastAsia" w:ascii="宋体" w:hAnsi="宋体" w:eastAsia="宋体" w:cs="宋体"/>
          <w:color w:val="auto"/>
        </w:rPr>
        <w:t xml:space="preserve">法定代表人（负责人）或其委托代理人：                   </w:t>
      </w:r>
    </w:p>
    <w:p w14:paraId="668A5DAC">
      <w:pPr>
        <w:ind w:firstLine="720"/>
        <w:jc w:val="both"/>
        <w:rPr>
          <w:rFonts w:ascii="宋体" w:hAnsi="宋体" w:eastAsia="宋体" w:cs="宋体"/>
          <w:color w:val="auto"/>
        </w:rPr>
      </w:pPr>
      <w:r>
        <w:rPr>
          <w:rFonts w:hint="eastAsia" w:ascii="宋体" w:hAnsi="宋体" w:eastAsia="宋体" w:cs="宋体"/>
          <w:color w:val="auto"/>
        </w:rPr>
        <w:t xml:space="preserve">单位地址：              </w:t>
      </w:r>
    </w:p>
    <w:p w14:paraId="778D06FB">
      <w:pPr>
        <w:ind w:firstLine="720"/>
        <w:jc w:val="both"/>
        <w:rPr>
          <w:rFonts w:ascii="宋体" w:hAnsi="宋体" w:eastAsia="宋体" w:cs="宋体"/>
          <w:color w:val="auto"/>
        </w:rPr>
      </w:pPr>
      <w:r>
        <w:rPr>
          <w:rFonts w:hint="eastAsia" w:ascii="宋体" w:hAnsi="宋体" w:eastAsia="宋体" w:cs="宋体"/>
          <w:color w:val="auto"/>
        </w:rPr>
        <w:t xml:space="preserve">邮政编码：            电话：            传真：            </w:t>
      </w:r>
    </w:p>
    <w:p w14:paraId="74F9D3D3">
      <w:pPr>
        <w:ind w:firstLine="720"/>
        <w:jc w:val="both"/>
        <w:rPr>
          <w:rFonts w:ascii="宋体" w:hAnsi="宋体" w:eastAsia="宋体" w:cs="宋体"/>
          <w:color w:val="auto"/>
        </w:rPr>
      </w:pPr>
      <w:r>
        <w:rPr>
          <w:rFonts w:hint="eastAsia" w:ascii="宋体" w:hAnsi="宋体" w:eastAsia="宋体" w:cs="宋体"/>
          <w:color w:val="auto"/>
        </w:rPr>
        <w:t>开户银行名称：</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开户银行账号：</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p>
    <w:p w14:paraId="686B9313">
      <w:pPr>
        <w:ind w:firstLine="720"/>
        <w:jc w:val="both"/>
        <w:rPr>
          <w:rFonts w:ascii="宋体" w:hAnsi="宋体" w:eastAsia="宋体" w:cs="宋体"/>
          <w:color w:val="auto"/>
        </w:rPr>
      </w:pPr>
      <w:r>
        <w:rPr>
          <w:rFonts w:hint="eastAsia" w:ascii="宋体" w:hAnsi="宋体" w:eastAsia="宋体" w:cs="宋体"/>
          <w:color w:val="auto"/>
        </w:rPr>
        <w:t>开户银行地址：</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开户银行电话：</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p>
    <w:p w14:paraId="22415D7F">
      <w:pPr>
        <w:ind w:firstLine="720"/>
        <w:jc w:val="both"/>
        <w:rPr>
          <w:color w:val="auto"/>
        </w:rPr>
      </w:pPr>
      <w:r>
        <w:rPr>
          <w:rFonts w:hint="eastAsia" w:ascii="宋体" w:hAnsi="宋体" w:eastAsia="宋体" w:cs="宋体"/>
          <w:color w:val="auto"/>
        </w:rPr>
        <w:t xml:space="preserve">日期：       年     月    日   </w:t>
      </w:r>
      <w:r>
        <w:rPr>
          <w:rFonts w:hint="eastAsia"/>
          <w:color w:val="auto"/>
        </w:rPr>
        <w:t xml:space="preserve">                             </w:t>
      </w:r>
    </w:p>
    <w:p w14:paraId="1091D911">
      <w:pPr>
        <w:rPr>
          <w:rFonts w:eastAsia="黑体"/>
          <w:color w:val="auto"/>
        </w:rPr>
      </w:pPr>
    </w:p>
    <w:p w14:paraId="4268FE92">
      <w:pPr>
        <w:rPr>
          <w:rFonts w:eastAsia="黑体"/>
          <w:color w:val="auto"/>
        </w:rPr>
      </w:pPr>
      <w:r>
        <w:rPr>
          <w:rFonts w:hint="eastAsia" w:eastAsia="黑体"/>
          <w:color w:val="auto"/>
        </w:rPr>
        <w:t xml:space="preserve">     （红色为必填项，其他为可选填项）</w:t>
      </w:r>
    </w:p>
    <w:p w14:paraId="4EF5A29A">
      <w:pPr>
        <w:rPr>
          <w:color w:val="auto"/>
        </w:rPr>
      </w:pPr>
    </w:p>
    <w:p w14:paraId="28C421A2">
      <w:r>
        <w:rPr>
          <w:rFonts w:eastAsia="黑体"/>
          <w:color w:val="auto"/>
        </w:rPr>
        <w:br w:type="page"/>
      </w:r>
    </w:p>
    <w:p w14:paraId="36814BEF">
      <w:pPr>
        <w:pStyle w:val="4"/>
        <w:rPr>
          <w:color w:val="auto"/>
        </w:rPr>
      </w:pPr>
      <w:r>
        <w:rPr>
          <w:rFonts w:hint="eastAsia"/>
          <w:color w:val="auto"/>
        </w:rPr>
        <w:t>二、履约承诺函</w:t>
      </w:r>
    </w:p>
    <w:p w14:paraId="218FC13E">
      <w:pPr>
        <w:rPr>
          <w:color w:val="auto"/>
        </w:rPr>
      </w:pPr>
    </w:p>
    <w:p w14:paraId="02D7BC67">
      <w:pPr>
        <w:ind w:firstLine="720"/>
        <w:jc w:val="both"/>
        <w:rPr>
          <w:rFonts w:ascii="宋体" w:hAnsi="宋体" w:eastAsia="宋体" w:cs="宋体"/>
          <w:color w:val="auto"/>
        </w:rPr>
      </w:pPr>
      <w:r>
        <w:rPr>
          <w:rFonts w:hint="eastAsia" w:ascii="宋体" w:hAnsi="宋体" w:eastAsia="宋体" w:cs="宋体"/>
          <w:color w:val="auto"/>
        </w:rPr>
        <w:t>致：</w:t>
      </w:r>
      <w:r>
        <w:rPr>
          <w:rFonts w:hint="eastAsia" w:eastAsia="宋体"/>
          <w:color w:val="auto"/>
          <w:lang w:eastAsia="zh-CN"/>
        </w:rPr>
        <w:t>深圳市盐田区应急管理局</w:t>
      </w:r>
      <w:r>
        <w:rPr>
          <w:rFonts w:hint="eastAsia" w:ascii="宋体" w:hAnsi="宋体" w:eastAsia="宋体" w:cs="宋体"/>
          <w:color w:val="auto"/>
        </w:rPr>
        <w:t xml:space="preserve">  </w:t>
      </w:r>
    </w:p>
    <w:p w14:paraId="135C70D5">
      <w:pPr>
        <w:ind w:firstLine="720"/>
        <w:jc w:val="both"/>
        <w:rPr>
          <w:rFonts w:ascii="宋体" w:hAnsi="宋体" w:eastAsia="宋体" w:cs="宋体"/>
          <w:color w:val="auto"/>
        </w:rPr>
      </w:pPr>
      <w:r>
        <w:rPr>
          <w:rFonts w:hint="eastAsia" w:ascii="宋体" w:hAnsi="宋体" w:eastAsia="宋体" w:cs="宋体"/>
          <w:color w:val="auto"/>
        </w:rPr>
        <w:t>我单位承诺：</w:t>
      </w:r>
    </w:p>
    <w:p w14:paraId="5F9B2DFB">
      <w:pPr>
        <w:ind w:firstLine="720"/>
        <w:jc w:val="both"/>
        <w:rPr>
          <w:rFonts w:ascii="宋体" w:hAnsi="宋体" w:eastAsia="宋体" w:cs="宋体"/>
          <w:color w:val="auto"/>
        </w:rPr>
      </w:pPr>
      <w:r>
        <w:rPr>
          <w:rFonts w:hint="eastAsia" w:ascii="宋体" w:hAnsi="宋体" w:eastAsia="宋体" w:cs="宋体"/>
          <w:color w:val="auto"/>
        </w:rPr>
        <w:t>1.我单位本招标项目所提供的货物或服务未侵犯知识产权。</w:t>
      </w:r>
    </w:p>
    <w:p w14:paraId="29E00E6E">
      <w:pPr>
        <w:ind w:firstLine="720"/>
        <w:jc w:val="both"/>
        <w:rPr>
          <w:rFonts w:ascii="宋体" w:hAnsi="宋体" w:eastAsia="宋体" w:cs="宋体"/>
          <w:color w:val="auto"/>
        </w:rPr>
      </w:pPr>
      <w:r>
        <w:rPr>
          <w:rFonts w:hint="eastAsia" w:ascii="宋体" w:hAnsi="宋体" w:eastAsia="宋体" w:cs="宋体"/>
          <w:color w:val="auto"/>
        </w:rPr>
        <w:t>2.我单位参与本项目投标前三年内，在经营活动中没有重大违法记录。</w:t>
      </w:r>
    </w:p>
    <w:p w14:paraId="4A91C8E5">
      <w:pPr>
        <w:ind w:firstLine="720"/>
        <w:jc w:val="both"/>
        <w:rPr>
          <w:rFonts w:ascii="宋体" w:hAnsi="宋体" w:eastAsia="宋体" w:cs="宋体"/>
          <w:color w:val="auto"/>
        </w:rPr>
      </w:pPr>
      <w:r>
        <w:rPr>
          <w:rFonts w:hint="eastAsia" w:ascii="宋体" w:hAnsi="宋体" w:eastAsia="宋体" w:cs="宋体"/>
          <w:color w:val="auto"/>
        </w:rPr>
        <w:t>3.我单位参与本项目政府采购活动时不存在被有关部门禁止参与政府采购活动且在有效期内的情况。</w:t>
      </w:r>
    </w:p>
    <w:p w14:paraId="71655733">
      <w:pPr>
        <w:ind w:firstLine="720"/>
        <w:jc w:val="both"/>
        <w:rPr>
          <w:rFonts w:ascii="宋体" w:hAnsi="宋体" w:eastAsia="宋体" w:cs="宋体"/>
          <w:color w:val="auto"/>
        </w:rPr>
      </w:pPr>
      <w:r>
        <w:rPr>
          <w:rFonts w:hint="eastAsia" w:ascii="宋体" w:hAnsi="宋体" w:eastAsia="宋体" w:cs="宋体"/>
          <w:color w:val="auto"/>
        </w:rPr>
        <w:t>4.我单位具备《中华人民共和国政府采购法》第二十二条第一款规定的六项条件。</w:t>
      </w:r>
    </w:p>
    <w:p w14:paraId="0379B095">
      <w:pPr>
        <w:ind w:firstLine="720"/>
        <w:jc w:val="both"/>
        <w:rPr>
          <w:rFonts w:ascii="宋体" w:hAnsi="宋体" w:eastAsia="宋体" w:cs="宋体"/>
          <w:color w:val="auto"/>
        </w:rPr>
      </w:pPr>
      <w:r>
        <w:rPr>
          <w:rFonts w:hint="eastAsia" w:ascii="宋体" w:hAnsi="宋体" w:eastAsia="宋体" w:cs="宋体"/>
          <w:color w:val="auto"/>
        </w:rPr>
        <w:t>5.我单位未被列入失信被执行人、重大税收违法案件当事人名单、政府采购严重违法失信行为记录名单。</w:t>
      </w:r>
    </w:p>
    <w:p w14:paraId="7845C26D">
      <w:pPr>
        <w:ind w:firstLine="720"/>
        <w:jc w:val="both"/>
        <w:rPr>
          <w:rFonts w:ascii="宋体" w:hAnsi="宋体" w:eastAsia="宋体" w:cs="宋体"/>
          <w:color w:val="auto"/>
        </w:rPr>
      </w:pPr>
      <w:bookmarkStart w:id="48" w:name="OLE_LINK77"/>
      <w:bookmarkStart w:id="49" w:name="OLE_LINK78"/>
      <w:r>
        <w:rPr>
          <w:rFonts w:hint="eastAsia" w:ascii="宋体" w:hAnsi="宋体" w:eastAsia="宋体" w:cs="宋体"/>
          <w:color w:val="auto"/>
        </w:rPr>
        <w:t>6.我单位与其他投标供应商不存在单位负责人为同一人或者存在直接控股、管理关系；未对本次采购项目提供整体设计、规范编制或者项目管理、监理、检测等服务。</w:t>
      </w:r>
    </w:p>
    <w:p w14:paraId="5318CAC0">
      <w:pPr>
        <w:ind w:firstLine="720"/>
        <w:jc w:val="both"/>
        <w:rPr>
          <w:rFonts w:ascii="宋体" w:hAnsi="宋体" w:eastAsia="宋体" w:cs="宋体"/>
          <w:color w:val="auto"/>
        </w:rPr>
      </w:pPr>
      <w:r>
        <w:rPr>
          <w:rFonts w:hint="eastAsia" w:ascii="宋体" w:hAnsi="宋体" w:eastAsia="宋体" w:cs="宋体"/>
          <w:color w:val="auto"/>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3170822">
      <w:pPr>
        <w:ind w:firstLine="720"/>
        <w:jc w:val="both"/>
        <w:rPr>
          <w:rFonts w:ascii="宋体" w:hAnsi="宋体" w:eastAsia="宋体" w:cs="宋体"/>
          <w:color w:val="auto"/>
        </w:rPr>
      </w:pPr>
      <w:r>
        <w:rPr>
          <w:rFonts w:hint="eastAsia" w:ascii="宋体" w:hAnsi="宋体" w:eastAsia="宋体" w:cs="宋体"/>
          <w:color w:val="auto"/>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1EF2E6">
      <w:pPr>
        <w:ind w:firstLine="720"/>
        <w:jc w:val="both"/>
        <w:rPr>
          <w:rFonts w:ascii="宋体" w:hAnsi="宋体" w:eastAsia="宋体" w:cs="宋体"/>
          <w:color w:val="auto"/>
        </w:rPr>
      </w:pPr>
      <w:r>
        <w:rPr>
          <w:rFonts w:hint="eastAsia" w:ascii="宋体" w:hAnsi="宋体" w:eastAsia="宋体" w:cs="宋体"/>
          <w:color w:val="auto"/>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68C1CE0">
      <w:pPr>
        <w:ind w:firstLine="720"/>
        <w:jc w:val="both"/>
        <w:rPr>
          <w:rFonts w:ascii="宋体" w:hAnsi="宋体" w:eastAsia="宋体" w:cs="宋体"/>
          <w:color w:val="auto"/>
        </w:rPr>
      </w:pPr>
      <w:r>
        <w:rPr>
          <w:rFonts w:hint="eastAsia" w:ascii="宋体" w:hAnsi="宋体" w:eastAsia="宋体" w:cs="宋体"/>
          <w:color w:val="auto"/>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A249089">
      <w:pPr>
        <w:ind w:firstLine="720"/>
        <w:jc w:val="both"/>
        <w:rPr>
          <w:rFonts w:ascii="宋体" w:hAnsi="宋体" w:eastAsia="宋体" w:cs="宋体"/>
          <w:color w:val="auto"/>
        </w:rPr>
      </w:pPr>
      <w:r>
        <w:rPr>
          <w:rFonts w:hint="eastAsia" w:ascii="宋体" w:hAnsi="宋体" w:eastAsia="宋体" w:cs="宋体"/>
          <w:color w:val="auto"/>
        </w:rPr>
        <w:t>10.我单位承诺中标后项目不转包，不分包。</w:t>
      </w:r>
    </w:p>
    <w:p w14:paraId="63E92C0F">
      <w:pPr>
        <w:ind w:firstLine="720"/>
        <w:jc w:val="both"/>
        <w:rPr>
          <w:rFonts w:ascii="宋体" w:hAnsi="宋体" w:eastAsia="宋体" w:cs="宋体"/>
          <w:color w:val="auto"/>
        </w:rPr>
      </w:pPr>
      <w:bookmarkStart w:id="50" w:name="OLE_LINK42"/>
      <w:bookmarkStart w:id="51" w:name="OLE_LINK43"/>
      <w:bookmarkStart w:id="52" w:name="OLE_LINK69"/>
      <w:r>
        <w:rPr>
          <w:rFonts w:hint="eastAsia" w:ascii="宋体" w:hAnsi="宋体" w:eastAsia="宋体" w:cs="宋体"/>
          <w:color w:val="auto"/>
        </w:rPr>
        <w:t>11.</w:t>
      </w:r>
      <w:bookmarkStart w:id="53" w:name="OLE_LINK91"/>
      <w:bookmarkStart w:id="54" w:name="OLE_LINK90"/>
      <w:r>
        <w:rPr>
          <w:rFonts w:hint="eastAsia" w:ascii="宋体" w:hAnsi="宋体" w:eastAsia="宋体" w:cs="宋体"/>
          <w:color w:val="auto"/>
        </w:rPr>
        <w:t>我单位保证，所投标（响应）的货物、工程或服务，不存在侵犯知识产权的情况；</w:t>
      </w:r>
      <w:bookmarkEnd w:id="53"/>
      <w:bookmarkEnd w:id="54"/>
      <w:r>
        <w:rPr>
          <w:rFonts w:hint="eastAsia" w:ascii="宋体" w:hAnsi="宋体" w:eastAsia="宋体" w:cs="宋体"/>
          <w:color w:val="auto"/>
        </w:rPr>
        <w:t>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242C370">
      <w:pPr>
        <w:ind w:firstLine="720"/>
        <w:jc w:val="both"/>
        <w:rPr>
          <w:rFonts w:ascii="宋体" w:hAnsi="宋体" w:eastAsia="宋体" w:cs="宋体"/>
          <w:color w:val="auto"/>
        </w:rPr>
      </w:pPr>
      <w:r>
        <w:rPr>
          <w:rFonts w:hint="eastAsia" w:ascii="宋体" w:hAnsi="宋体" w:eastAsia="宋体" w:cs="宋体"/>
          <w:color w:val="auto"/>
        </w:rPr>
        <w:t>12.我单位保证，若所投货物涉及《财政部生态环境部关于印发节能产品政府采购品目清单的通知》（财库〔2019〕19号）列明的政府采购强制产品，则所投该产品符合节能产品的认证要求。</w:t>
      </w:r>
    </w:p>
    <w:p w14:paraId="0AD35BE1">
      <w:pPr>
        <w:ind w:firstLine="720"/>
        <w:jc w:val="both"/>
        <w:rPr>
          <w:rFonts w:ascii="宋体" w:hAnsi="宋体" w:eastAsia="宋体" w:cs="宋体"/>
          <w:color w:val="auto"/>
        </w:rPr>
      </w:pPr>
      <w:bookmarkStart w:id="55" w:name="OLE_LINK92"/>
      <w:bookmarkStart w:id="56" w:name="OLE_LINK65"/>
      <w:bookmarkStart w:id="57" w:name="OLE_LINK64"/>
      <w:r>
        <w:rPr>
          <w:rFonts w:hint="eastAsia" w:ascii="宋体" w:hAnsi="宋体" w:eastAsia="宋体" w:cs="宋体"/>
          <w:color w:val="auto"/>
        </w:rPr>
        <w:t>13.</w:t>
      </w:r>
      <w:bookmarkStart w:id="58" w:name="OLE_LINK94"/>
      <w:bookmarkStart w:id="59" w:name="OLE_LINK93"/>
      <w:r>
        <w:rPr>
          <w:rFonts w:hint="eastAsia" w:ascii="宋体" w:hAnsi="宋体" w:eastAsia="宋体" w:cs="宋体"/>
          <w:color w:val="auto"/>
        </w:rPr>
        <w:t>我单位已知悉并同意中标（成交）结果信息公示（公开）的内容。</w:t>
      </w:r>
      <w:bookmarkEnd w:id="58"/>
      <w:bookmarkEnd w:id="59"/>
    </w:p>
    <w:bookmarkEnd w:id="55"/>
    <w:bookmarkEnd w:id="56"/>
    <w:bookmarkEnd w:id="57"/>
    <w:p w14:paraId="2FC95C37">
      <w:pPr>
        <w:ind w:firstLine="720"/>
        <w:jc w:val="both"/>
        <w:rPr>
          <w:rFonts w:ascii="宋体" w:hAnsi="宋体" w:eastAsia="宋体" w:cs="宋体"/>
          <w:color w:val="auto"/>
        </w:rPr>
      </w:pPr>
      <w:r>
        <w:rPr>
          <w:rFonts w:hint="eastAsia" w:ascii="宋体" w:hAnsi="宋体" w:eastAsia="宋体" w:cs="宋体"/>
          <w:color w:val="auto"/>
        </w:rPr>
        <w:t>以上承诺，如有违反，愿依照国家相关法律法规处理，并承担由此给采购人带来的损失。</w:t>
      </w:r>
    </w:p>
    <w:bookmarkEnd w:id="48"/>
    <w:bookmarkEnd w:id="49"/>
    <w:bookmarkEnd w:id="50"/>
    <w:bookmarkEnd w:id="51"/>
    <w:bookmarkEnd w:id="52"/>
    <w:p w14:paraId="0316DC78">
      <w:pPr>
        <w:ind w:firstLine="720"/>
        <w:jc w:val="both"/>
        <w:rPr>
          <w:rFonts w:ascii="宋体" w:hAnsi="宋体" w:eastAsia="宋体" w:cs="宋体"/>
          <w:color w:val="auto"/>
        </w:rPr>
      </w:pPr>
      <w:r>
        <w:rPr>
          <w:rFonts w:hint="eastAsia" w:ascii="宋体" w:hAnsi="宋体" w:eastAsia="宋体" w:cs="宋体"/>
          <w:color w:val="auto"/>
        </w:rPr>
        <w:t xml:space="preserve">                                    </w:t>
      </w:r>
    </w:p>
    <w:p w14:paraId="0E34A116">
      <w:pPr>
        <w:ind w:firstLine="720"/>
        <w:jc w:val="both"/>
        <w:rPr>
          <w:rFonts w:ascii="宋体" w:hAnsi="宋体" w:eastAsia="宋体" w:cs="宋体"/>
          <w:color w:val="auto"/>
        </w:rPr>
      </w:pPr>
      <w:bookmarkStart w:id="60" w:name="OLE_LINK79"/>
      <w:bookmarkStart w:id="61" w:name="OLE_LINK84"/>
      <w:r>
        <w:rPr>
          <w:rFonts w:hint="eastAsia" w:ascii="宋体" w:hAnsi="宋体" w:eastAsia="宋体" w:cs="宋体"/>
          <w:color w:val="auto"/>
        </w:rPr>
        <w:t xml:space="preserve">投标供应商：              </w:t>
      </w:r>
    </w:p>
    <w:p w14:paraId="14070E4A">
      <w:pPr>
        <w:ind w:firstLine="720"/>
        <w:jc w:val="both"/>
        <w:rPr>
          <w:rFonts w:ascii="宋体" w:hAnsi="宋体" w:eastAsia="宋体" w:cs="宋体"/>
          <w:color w:val="auto"/>
        </w:rPr>
      </w:pPr>
      <w:r>
        <w:rPr>
          <w:rFonts w:hint="eastAsia" w:ascii="宋体" w:hAnsi="宋体" w:eastAsia="宋体" w:cs="宋体"/>
          <w:color w:val="auto"/>
        </w:rPr>
        <w:t>日期：    年   月   日</w:t>
      </w:r>
    </w:p>
    <w:bookmarkEnd w:id="60"/>
    <w:bookmarkEnd w:id="61"/>
    <w:p w14:paraId="437BF434">
      <w:pPr>
        <w:rPr>
          <w:color w:val="auto"/>
        </w:rPr>
      </w:pPr>
    </w:p>
    <w:p w14:paraId="03379954">
      <w:pPr>
        <w:jc w:val="both"/>
        <w:rPr>
          <w:color w:val="auto"/>
        </w:rPr>
      </w:pPr>
    </w:p>
    <w:p w14:paraId="179E7278">
      <w:pPr>
        <w:pStyle w:val="4"/>
        <w:rPr>
          <w:color w:val="auto"/>
        </w:rPr>
      </w:pPr>
      <w:r>
        <w:rPr>
          <w:rFonts w:hint="eastAsia"/>
          <w:color w:val="auto"/>
        </w:rPr>
        <w:t>三、投标人情况及资格证明文件</w:t>
      </w:r>
    </w:p>
    <w:p w14:paraId="3E272E23">
      <w:pPr>
        <w:rPr>
          <w:color w:val="auto"/>
        </w:rPr>
      </w:pPr>
      <w:r>
        <w:rPr>
          <w:rFonts w:hint="eastAsia" w:eastAsia="宋体"/>
          <w:color w:val="auto"/>
        </w:rPr>
        <w:t>（一）投标人资格证明文件</w:t>
      </w:r>
    </w:p>
    <w:p w14:paraId="52EEA553">
      <w:pPr>
        <w:jc w:val="both"/>
        <w:rPr>
          <w:rFonts w:ascii="宋体" w:hAnsi="宋体" w:eastAsia="宋体" w:cs="宋体"/>
          <w:color w:val="auto"/>
        </w:rPr>
      </w:pPr>
      <w:r>
        <w:rPr>
          <w:rFonts w:hint="eastAsia" w:ascii="宋体" w:hAnsi="宋体" w:eastAsia="宋体" w:cs="宋体"/>
          <w:color w:val="auto"/>
        </w:rPr>
        <w:t>（特别提示：投标人须按本招标文件第一册第一章招标公告 “申请人的资格要求</w:t>
      </w:r>
      <w:r>
        <w:rPr>
          <w:rFonts w:ascii="宋体" w:hAnsi="宋体" w:eastAsia="宋体" w:cs="宋体"/>
          <w:color w:val="auto"/>
        </w:rPr>
        <w:t>”</w:t>
      </w:r>
      <w:r>
        <w:rPr>
          <w:rFonts w:hint="eastAsia" w:ascii="宋体" w:hAnsi="宋体" w:eastAsia="宋体" w:cs="宋体"/>
          <w:color w:val="auto"/>
        </w:rPr>
        <w:t>（即投标人资格要求）提供相关的资格证明资料，未提供或提供不完整、不符合要求的，将作投标无效处理。）</w:t>
      </w:r>
    </w:p>
    <w:p w14:paraId="1C3E850C">
      <w:pPr>
        <w:rPr>
          <w:color w:val="auto"/>
        </w:rPr>
      </w:pPr>
    </w:p>
    <w:p w14:paraId="0AD1B2EF">
      <w:pPr>
        <w:pStyle w:val="4"/>
        <w:rPr>
          <w:color w:val="auto"/>
        </w:rPr>
      </w:pPr>
      <w:r>
        <w:rPr>
          <w:rFonts w:hint="eastAsia"/>
          <w:color w:val="auto"/>
        </w:rPr>
        <w:t>四、项目详细报价</w:t>
      </w:r>
    </w:p>
    <w:p w14:paraId="45672AE3">
      <w:pPr>
        <w:rPr>
          <w:color w:val="auto"/>
        </w:rPr>
      </w:pPr>
      <w:r>
        <w:rPr>
          <w:rFonts w:hint="eastAsia" w:eastAsia="宋体"/>
          <w:color w:val="auto"/>
        </w:rPr>
        <w:t>（一）分项报价表</w:t>
      </w:r>
    </w:p>
    <w:tbl>
      <w:tblPr>
        <w:tblStyle w:val="18"/>
        <w:tblW w:w="8613" w:type="dxa"/>
        <w:jc w:val="center"/>
        <w:tblLayout w:type="fixed"/>
        <w:tblCellMar>
          <w:top w:w="0" w:type="dxa"/>
          <w:left w:w="108" w:type="dxa"/>
          <w:bottom w:w="0" w:type="dxa"/>
          <w:right w:w="108" w:type="dxa"/>
        </w:tblCellMar>
      </w:tblPr>
      <w:tblGrid>
        <w:gridCol w:w="675"/>
        <w:gridCol w:w="1276"/>
        <w:gridCol w:w="2835"/>
        <w:gridCol w:w="1559"/>
        <w:gridCol w:w="2268"/>
      </w:tblGrid>
      <w:tr w14:paraId="50A48AE9">
        <w:tblPrEx>
          <w:tblCellMar>
            <w:top w:w="0" w:type="dxa"/>
            <w:left w:w="108" w:type="dxa"/>
            <w:bottom w:w="0" w:type="dxa"/>
            <w:right w:w="108" w:type="dxa"/>
          </w:tblCellMar>
        </w:tblPrEx>
        <w:trPr>
          <w:trHeight w:val="285" w:hRule="atLeast"/>
          <w:jc w:val="center"/>
        </w:trPr>
        <w:tc>
          <w:tcPr>
            <w:tcW w:w="675" w:type="dxa"/>
            <w:tcBorders>
              <w:top w:val="single" w:color="auto" w:sz="8" w:space="0"/>
              <w:left w:val="single" w:color="auto" w:sz="8" w:space="0"/>
              <w:bottom w:val="single" w:color="auto" w:sz="4" w:space="0"/>
              <w:right w:val="single" w:color="auto" w:sz="4" w:space="0"/>
            </w:tcBorders>
            <w:shd w:val="clear" w:color="000000" w:fill="E7E6E6"/>
            <w:vAlign w:val="center"/>
          </w:tcPr>
          <w:p w14:paraId="4E6A1ED3">
            <w:pPr>
              <w:rPr>
                <w:color w:val="auto"/>
              </w:rPr>
            </w:pPr>
            <w:r>
              <w:rPr>
                <w:rFonts w:hint="eastAsia" w:eastAsia="宋体"/>
                <w:color w:val="auto"/>
              </w:rPr>
              <w:t>序号</w:t>
            </w:r>
          </w:p>
        </w:tc>
        <w:tc>
          <w:tcPr>
            <w:tcW w:w="4111" w:type="dxa"/>
            <w:gridSpan w:val="2"/>
            <w:tcBorders>
              <w:top w:val="single" w:color="auto" w:sz="8" w:space="0"/>
              <w:left w:val="nil"/>
              <w:bottom w:val="single" w:color="auto" w:sz="4" w:space="0"/>
              <w:right w:val="single" w:color="auto" w:sz="4" w:space="0"/>
            </w:tcBorders>
            <w:shd w:val="clear" w:color="000000" w:fill="E7E6E6"/>
            <w:vAlign w:val="center"/>
          </w:tcPr>
          <w:p w14:paraId="30BB1E77">
            <w:pPr>
              <w:rPr>
                <w:color w:val="auto"/>
              </w:rPr>
            </w:pPr>
            <w:r>
              <w:rPr>
                <w:rFonts w:hint="eastAsia" w:eastAsia="宋体"/>
                <w:color w:val="auto"/>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2A176ABC">
            <w:pPr>
              <w:rPr>
                <w:color w:val="auto"/>
              </w:rPr>
            </w:pPr>
            <w:r>
              <w:rPr>
                <w:rFonts w:hint="eastAsia" w:eastAsia="宋体"/>
                <w:color w:val="auto"/>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6B3C1582">
            <w:pPr>
              <w:rPr>
                <w:color w:val="auto"/>
              </w:rPr>
            </w:pPr>
            <w:r>
              <w:rPr>
                <w:rFonts w:hint="eastAsia" w:eastAsia="宋体"/>
                <w:color w:val="auto"/>
              </w:rPr>
              <w:t>说明</w:t>
            </w:r>
          </w:p>
        </w:tc>
      </w:tr>
      <w:tr w14:paraId="2934F827">
        <w:tblPrEx>
          <w:tblCellMar>
            <w:top w:w="0" w:type="dxa"/>
            <w:left w:w="108" w:type="dxa"/>
            <w:bottom w:w="0" w:type="dxa"/>
            <w:right w:w="108" w:type="dxa"/>
          </w:tblCellMar>
        </w:tblPrEx>
        <w:trPr>
          <w:trHeight w:val="285" w:hRule="atLeast"/>
          <w:jc w:val="center"/>
        </w:trPr>
        <w:tc>
          <w:tcPr>
            <w:tcW w:w="675" w:type="dxa"/>
            <w:tcBorders>
              <w:top w:val="single" w:color="auto" w:sz="4" w:space="0"/>
              <w:left w:val="single" w:color="auto" w:sz="8" w:space="0"/>
              <w:bottom w:val="single" w:color="auto" w:sz="4" w:space="0"/>
              <w:right w:val="single" w:color="auto" w:sz="4" w:space="0"/>
            </w:tcBorders>
            <w:shd w:val="clear" w:color="auto" w:fill="auto"/>
            <w:vAlign w:val="center"/>
          </w:tcPr>
          <w:p w14:paraId="267585F8">
            <w:pPr>
              <w:rPr>
                <w:color w:val="auto"/>
              </w:rPr>
            </w:pPr>
            <w:r>
              <w:rPr>
                <w:rFonts w:hint="eastAsia" w:eastAsia="宋体"/>
                <w:color w:val="auto"/>
              </w:rPr>
              <w:t>一</w:t>
            </w:r>
          </w:p>
        </w:tc>
        <w:tc>
          <w:tcPr>
            <w:tcW w:w="4111" w:type="dxa"/>
            <w:gridSpan w:val="2"/>
            <w:tcBorders>
              <w:top w:val="single" w:color="auto" w:sz="4" w:space="0"/>
              <w:left w:val="nil"/>
              <w:bottom w:val="single" w:color="auto" w:sz="4" w:space="0"/>
              <w:right w:val="single" w:color="auto" w:sz="4" w:space="0"/>
            </w:tcBorders>
            <w:shd w:val="clear" w:color="auto" w:fill="auto"/>
            <w:vAlign w:val="center"/>
          </w:tcPr>
          <w:p w14:paraId="6DDA3ECB">
            <w:pPr>
              <w:rPr>
                <w:color w:val="auto"/>
              </w:rPr>
            </w:pPr>
            <w:r>
              <w:rPr>
                <w:rFonts w:hint="eastAsia"/>
                <w:color w:val="auto"/>
              </w:rPr>
              <w:t>*</w:t>
            </w:r>
            <w:r>
              <w:rPr>
                <w:color w:val="auto"/>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6075BCC8">
            <w:pPr>
              <w:rPr>
                <w:color w:val="auto"/>
              </w:rPr>
            </w:pPr>
            <w:r>
              <w:rPr>
                <w:rFonts w:hint="eastAsia" w:eastAsia="宋体"/>
                <w:color w:val="auto"/>
              </w:rPr>
              <w:t>　</w:t>
            </w:r>
          </w:p>
        </w:tc>
        <w:tc>
          <w:tcPr>
            <w:tcW w:w="2268" w:type="dxa"/>
            <w:tcBorders>
              <w:top w:val="single" w:color="auto" w:sz="4" w:space="0"/>
              <w:left w:val="nil"/>
              <w:bottom w:val="single" w:color="auto" w:sz="4" w:space="0"/>
              <w:right w:val="single" w:color="auto" w:sz="8" w:space="0"/>
            </w:tcBorders>
            <w:vAlign w:val="center"/>
          </w:tcPr>
          <w:p w14:paraId="3CC41BE4">
            <w:pPr>
              <w:rPr>
                <w:color w:val="auto"/>
              </w:rPr>
            </w:pPr>
          </w:p>
        </w:tc>
      </w:tr>
      <w:tr w14:paraId="2AF1654F">
        <w:tblPrEx>
          <w:tblCellMar>
            <w:top w:w="0" w:type="dxa"/>
            <w:left w:w="108" w:type="dxa"/>
            <w:bottom w:w="0" w:type="dxa"/>
            <w:right w:w="108" w:type="dxa"/>
          </w:tblCellMar>
        </w:tblPrEx>
        <w:trPr>
          <w:trHeight w:val="480" w:hRule="atLeast"/>
          <w:jc w:val="center"/>
        </w:trPr>
        <w:tc>
          <w:tcPr>
            <w:tcW w:w="675" w:type="dxa"/>
            <w:vMerge w:val="restart"/>
            <w:tcBorders>
              <w:top w:val="nil"/>
              <w:left w:val="single" w:color="auto" w:sz="8" w:space="0"/>
              <w:right w:val="single" w:color="auto" w:sz="4" w:space="0"/>
            </w:tcBorders>
            <w:vAlign w:val="center"/>
          </w:tcPr>
          <w:p w14:paraId="5815FE30">
            <w:pPr>
              <w:rPr>
                <w:color w:val="auto"/>
              </w:rPr>
            </w:pPr>
            <w:r>
              <w:rPr>
                <w:rFonts w:hint="eastAsia" w:eastAsia="宋体"/>
                <w:color w:val="auto"/>
              </w:rPr>
              <w:t>二</w:t>
            </w:r>
          </w:p>
        </w:tc>
        <w:tc>
          <w:tcPr>
            <w:tcW w:w="1276" w:type="dxa"/>
            <w:vMerge w:val="restart"/>
            <w:tcBorders>
              <w:top w:val="nil"/>
              <w:left w:val="single" w:color="auto" w:sz="4" w:space="0"/>
              <w:bottom w:val="single" w:color="auto" w:sz="4" w:space="0"/>
              <w:right w:val="single" w:color="auto" w:sz="4" w:space="0"/>
            </w:tcBorders>
            <w:vAlign w:val="center"/>
          </w:tcPr>
          <w:p w14:paraId="2EEA49A7">
            <w:pPr>
              <w:rPr>
                <w:color w:val="auto"/>
              </w:rPr>
            </w:pPr>
            <w:r>
              <w:rPr>
                <w:rFonts w:hint="eastAsia"/>
                <w:color w:val="auto"/>
              </w:rPr>
              <w:t>*</w:t>
            </w:r>
            <w:r>
              <w:rPr>
                <w:color w:val="auto"/>
              </w:rPr>
              <w:t>*</w:t>
            </w:r>
            <w:r>
              <w:rPr>
                <w:rFonts w:hint="eastAsia" w:ascii="宋体" w:hAnsi="宋体" w:eastAsia="宋体" w:cs="宋体"/>
                <w:color w:val="auto"/>
              </w:rPr>
              <w:t>费用</w:t>
            </w:r>
          </w:p>
        </w:tc>
        <w:tc>
          <w:tcPr>
            <w:tcW w:w="2835" w:type="dxa"/>
            <w:tcBorders>
              <w:top w:val="nil"/>
              <w:left w:val="nil"/>
              <w:bottom w:val="single" w:color="auto" w:sz="4" w:space="0"/>
              <w:right w:val="single" w:color="auto" w:sz="4" w:space="0"/>
            </w:tcBorders>
            <w:vAlign w:val="center"/>
          </w:tcPr>
          <w:p w14:paraId="065CCB6C">
            <w:pPr>
              <w:rPr>
                <w:color w:val="auto"/>
              </w:rPr>
            </w:pPr>
          </w:p>
        </w:tc>
        <w:tc>
          <w:tcPr>
            <w:tcW w:w="1559" w:type="dxa"/>
            <w:tcBorders>
              <w:top w:val="nil"/>
              <w:left w:val="nil"/>
              <w:bottom w:val="single" w:color="auto" w:sz="4" w:space="0"/>
              <w:right w:val="single" w:color="auto" w:sz="4" w:space="0"/>
            </w:tcBorders>
            <w:vAlign w:val="center"/>
          </w:tcPr>
          <w:p w14:paraId="4D3CE50E">
            <w:pPr>
              <w:rPr>
                <w:color w:val="auto"/>
              </w:rPr>
            </w:pPr>
            <w:r>
              <w:rPr>
                <w:rFonts w:hint="eastAsia" w:eastAsia="宋体"/>
                <w:color w:val="auto"/>
              </w:rPr>
              <w:t>　</w:t>
            </w:r>
          </w:p>
        </w:tc>
        <w:tc>
          <w:tcPr>
            <w:tcW w:w="2268" w:type="dxa"/>
            <w:vMerge w:val="restart"/>
            <w:tcBorders>
              <w:top w:val="nil"/>
              <w:left w:val="nil"/>
              <w:right w:val="single" w:color="auto" w:sz="8" w:space="0"/>
            </w:tcBorders>
            <w:vAlign w:val="center"/>
          </w:tcPr>
          <w:p w14:paraId="208F7EFA">
            <w:pPr>
              <w:rPr>
                <w:color w:val="auto"/>
              </w:rPr>
            </w:pPr>
            <w:r>
              <w:rPr>
                <w:rFonts w:hint="eastAsia" w:eastAsia="宋体"/>
                <w:color w:val="auto"/>
              </w:rPr>
              <w:t>　</w:t>
            </w:r>
          </w:p>
        </w:tc>
      </w:tr>
      <w:tr w14:paraId="690422D6">
        <w:tblPrEx>
          <w:tblCellMar>
            <w:top w:w="0" w:type="dxa"/>
            <w:left w:w="108" w:type="dxa"/>
            <w:bottom w:w="0" w:type="dxa"/>
            <w:right w:w="108" w:type="dxa"/>
          </w:tblCellMar>
        </w:tblPrEx>
        <w:trPr>
          <w:trHeight w:val="285" w:hRule="atLeast"/>
          <w:jc w:val="center"/>
        </w:trPr>
        <w:tc>
          <w:tcPr>
            <w:tcW w:w="675" w:type="dxa"/>
            <w:vMerge w:val="continue"/>
            <w:tcBorders>
              <w:left w:val="single" w:color="auto" w:sz="8" w:space="0"/>
              <w:right w:val="single" w:color="auto" w:sz="4" w:space="0"/>
            </w:tcBorders>
            <w:vAlign w:val="center"/>
          </w:tcPr>
          <w:p w14:paraId="44DAE96E">
            <w:pPr>
              <w:rPr>
                <w:color w:val="auto"/>
              </w:rPr>
            </w:pPr>
          </w:p>
        </w:tc>
        <w:tc>
          <w:tcPr>
            <w:tcW w:w="1276" w:type="dxa"/>
            <w:vMerge w:val="continue"/>
            <w:tcBorders>
              <w:top w:val="nil"/>
              <w:left w:val="single" w:color="auto" w:sz="4" w:space="0"/>
              <w:bottom w:val="single" w:color="auto" w:sz="4" w:space="0"/>
              <w:right w:val="single" w:color="auto" w:sz="4" w:space="0"/>
            </w:tcBorders>
            <w:vAlign w:val="center"/>
          </w:tcPr>
          <w:p w14:paraId="413F5AF0">
            <w:pPr>
              <w:rPr>
                <w:color w:val="auto"/>
              </w:rPr>
            </w:pPr>
          </w:p>
        </w:tc>
        <w:tc>
          <w:tcPr>
            <w:tcW w:w="2835" w:type="dxa"/>
            <w:tcBorders>
              <w:top w:val="nil"/>
              <w:left w:val="nil"/>
              <w:bottom w:val="single" w:color="auto" w:sz="4" w:space="0"/>
              <w:right w:val="single" w:color="auto" w:sz="4" w:space="0"/>
            </w:tcBorders>
            <w:vAlign w:val="center"/>
          </w:tcPr>
          <w:p w14:paraId="6804F2E4">
            <w:pPr>
              <w:rPr>
                <w:color w:val="auto"/>
              </w:rPr>
            </w:pPr>
          </w:p>
        </w:tc>
        <w:tc>
          <w:tcPr>
            <w:tcW w:w="1559" w:type="dxa"/>
            <w:tcBorders>
              <w:top w:val="nil"/>
              <w:left w:val="nil"/>
              <w:bottom w:val="single" w:color="auto" w:sz="4" w:space="0"/>
              <w:right w:val="single" w:color="auto" w:sz="4" w:space="0"/>
            </w:tcBorders>
            <w:vAlign w:val="center"/>
          </w:tcPr>
          <w:p w14:paraId="2EF2E597">
            <w:pPr>
              <w:rPr>
                <w:color w:val="auto"/>
              </w:rPr>
            </w:pPr>
            <w:r>
              <w:rPr>
                <w:rFonts w:hint="eastAsia" w:eastAsia="宋体"/>
                <w:color w:val="auto"/>
              </w:rPr>
              <w:t>　</w:t>
            </w:r>
          </w:p>
        </w:tc>
        <w:tc>
          <w:tcPr>
            <w:tcW w:w="2268" w:type="dxa"/>
            <w:vMerge w:val="continue"/>
            <w:tcBorders>
              <w:left w:val="nil"/>
              <w:right w:val="single" w:color="auto" w:sz="8" w:space="0"/>
            </w:tcBorders>
            <w:vAlign w:val="center"/>
          </w:tcPr>
          <w:p w14:paraId="5FB334B3">
            <w:pPr>
              <w:rPr>
                <w:color w:val="auto"/>
              </w:rPr>
            </w:pPr>
          </w:p>
        </w:tc>
      </w:tr>
      <w:tr w14:paraId="52BF1448">
        <w:tblPrEx>
          <w:tblCellMar>
            <w:top w:w="0" w:type="dxa"/>
            <w:left w:w="108" w:type="dxa"/>
            <w:bottom w:w="0" w:type="dxa"/>
            <w:right w:w="108" w:type="dxa"/>
          </w:tblCellMar>
        </w:tblPrEx>
        <w:trPr>
          <w:trHeight w:val="285" w:hRule="atLeast"/>
          <w:jc w:val="center"/>
        </w:trPr>
        <w:tc>
          <w:tcPr>
            <w:tcW w:w="675" w:type="dxa"/>
            <w:vMerge w:val="continue"/>
            <w:tcBorders>
              <w:left w:val="single" w:color="auto" w:sz="8" w:space="0"/>
              <w:right w:val="single" w:color="auto" w:sz="4" w:space="0"/>
            </w:tcBorders>
            <w:vAlign w:val="center"/>
          </w:tcPr>
          <w:p w14:paraId="539E1D2D">
            <w:pPr>
              <w:rPr>
                <w:color w:val="auto"/>
              </w:rPr>
            </w:pPr>
          </w:p>
        </w:tc>
        <w:tc>
          <w:tcPr>
            <w:tcW w:w="1276" w:type="dxa"/>
            <w:vMerge w:val="continue"/>
            <w:tcBorders>
              <w:top w:val="nil"/>
              <w:left w:val="single" w:color="auto" w:sz="4" w:space="0"/>
              <w:bottom w:val="single" w:color="auto" w:sz="4" w:space="0"/>
              <w:right w:val="single" w:color="auto" w:sz="4" w:space="0"/>
            </w:tcBorders>
            <w:vAlign w:val="center"/>
          </w:tcPr>
          <w:p w14:paraId="387631A9">
            <w:pPr>
              <w:rPr>
                <w:color w:val="auto"/>
              </w:rPr>
            </w:pPr>
          </w:p>
        </w:tc>
        <w:tc>
          <w:tcPr>
            <w:tcW w:w="2835" w:type="dxa"/>
            <w:tcBorders>
              <w:top w:val="nil"/>
              <w:left w:val="nil"/>
              <w:bottom w:val="single" w:color="auto" w:sz="4" w:space="0"/>
              <w:right w:val="single" w:color="auto" w:sz="4" w:space="0"/>
            </w:tcBorders>
            <w:vAlign w:val="center"/>
          </w:tcPr>
          <w:p w14:paraId="2B907C61">
            <w:pPr>
              <w:rPr>
                <w:color w:val="auto"/>
              </w:rPr>
            </w:pPr>
          </w:p>
        </w:tc>
        <w:tc>
          <w:tcPr>
            <w:tcW w:w="1559" w:type="dxa"/>
            <w:tcBorders>
              <w:top w:val="nil"/>
              <w:left w:val="nil"/>
              <w:bottom w:val="single" w:color="auto" w:sz="4" w:space="0"/>
              <w:right w:val="single" w:color="auto" w:sz="4" w:space="0"/>
            </w:tcBorders>
            <w:vAlign w:val="center"/>
          </w:tcPr>
          <w:p w14:paraId="6B2F1767">
            <w:pPr>
              <w:rPr>
                <w:color w:val="auto"/>
              </w:rPr>
            </w:pPr>
            <w:r>
              <w:rPr>
                <w:rFonts w:hint="eastAsia" w:eastAsia="宋体"/>
                <w:color w:val="auto"/>
              </w:rPr>
              <w:t>　</w:t>
            </w:r>
          </w:p>
        </w:tc>
        <w:tc>
          <w:tcPr>
            <w:tcW w:w="2268" w:type="dxa"/>
            <w:vMerge w:val="continue"/>
            <w:tcBorders>
              <w:left w:val="nil"/>
              <w:right w:val="single" w:color="auto" w:sz="8" w:space="0"/>
            </w:tcBorders>
            <w:vAlign w:val="center"/>
          </w:tcPr>
          <w:p w14:paraId="51389F18">
            <w:pPr>
              <w:rPr>
                <w:color w:val="auto"/>
              </w:rPr>
            </w:pPr>
          </w:p>
        </w:tc>
      </w:tr>
      <w:tr w14:paraId="10D1C4ED">
        <w:tblPrEx>
          <w:tblCellMar>
            <w:top w:w="0" w:type="dxa"/>
            <w:left w:w="108" w:type="dxa"/>
            <w:bottom w:w="0" w:type="dxa"/>
            <w:right w:w="108" w:type="dxa"/>
          </w:tblCellMar>
        </w:tblPrEx>
        <w:trPr>
          <w:trHeight w:val="285" w:hRule="atLeast"/>
          <w:jc w:val="center"/>
        </w:trPr>
        <w:tc>
          <w:tcPr>
            <w:tcW w:w="675" w:type="dxa"/>
            <w:vMerge w:val="continue"/>
            <w:tcBorders>
              <w:left w:val="single" w:color="auto" w:sz="8" w:space="0"/>
              <w:right w:val="single" w:color="auto" w:sz="4" w:space="0"/>
            </w:tcBorders>
            <w:vAlign w:val="center"/>
          </w:tcPr>
          <w:p w14:paraId="5EA923B0">
            <w:pPr>
              <w:rPr>
                <w:color w:val="auto"/>
              </w:rPr>
            </w:pPr>
          </w:p>
        </w:tc>
        <w:tc>
          <w:tcPr>
            <w:tcW w:w="1276" w:type="dxa"/>
            <w:vMerge w:val="continue"/>
            <w:tcBorders>
              <w:top w:val="nil"/>
              <w:left w:val="single" w:color="auto" w:sz="4" w:space="0"/>
              <w:bottom w:val="single" w:color="auto" w:sz="4" w:space="0"/>
              <w:right w:val="single" w:color="auto" w:sz="4" w:space="0"/>
            </w:tcBorders>
            <w:vAlign w:val="center"/>
          </w:tcPr>
          <w:p w14:paraId="4C347DD0">
            <w:pPr>
              <w:rPr>
                <w:color w:val="auto"/>
              </w:rPr>
            </w:pPr>
          </w:p>
        </w:tc>
        <w:tc>
          <w:tcPr>
            <w:tcW w:w="2835" w:type="dxa"/>
            <w:tcBorders>
              <w:top w:val="nil"/>
              <w:left w:val="nil"/>
              <w:bottom w:val="single" w:color="auto" w:sz="4" w:space="0"/>
              <w:right w:val="single" w:color="auto" w:sz="4" w:space="0"/>
            </w:tcBorders>
            <w:vAlign w:val="center"/>
          </w:tcPr>
          <w:p w14:paraId="54833E1D">
            <w:pPr>
              <w:rPr>
                <w:color w:val="auto"/>
              </w:rPr>
            </w:pPr>
          </w:p>
        </w:tc>
        <w:tc>
          <w:tcPr>
            <w:tcW w:w="1559" w:type="dxa"/>
            <w:tcBorders>
              <w:top w:val="nil"/>
              <w:left w:val="nil"/>
              <w:bottom w:val="single" w:color="auto" w:sz="4" w:space="0"/>
              <w:right w:val="single" w:color="auto" w:sz="4" w:space="0"/>
            </w:tcBorders>
            <w:vAlign w:val="center"/>
          </w:tcPr>
          <w:p w14:paraId="2460E19E">
            <w:pPr>
              <w:rPr>
                <w:color w:val="auto"/>
              </w:rPr>
            </w:pPr>
            <w:r>
              <w:rPr>
                <w:rFonts w:hint="eastAsia" w:eastAsia="宋体"/>
                <w:color w:val="auto"/>
              </w:rPr>
              <w:t>　</w:t>
            </w:r>
          </w:p>
        </w:tc>
        <w:tc>
          <w:tcPr>
            <w:tcW w:w="2268" w:type="dxa"/>
            <w:vMerge w:val="continue"/>
            <w:tcBorders>
              <w:left w:val="nil"/>
              <w:right w:val="single" w:color="auto" w:sz="8" w:space="0"/>
            </w:tcBorders>
            <w:vAlign w:val="center"/>
          </w:tcPr>
          <w:p w14:paraId="5767F0F8">
            <w:pPr>
              <w:rPr>
                <w:color w:val="auto"/>
              </w:rPr>
            </w:pPr>
          </w:p>
        </w:tc>
      </w:tr>
      <w:tr w14:paraId="7C53A919">
        <w:tblPrEx>
          <w:tblCellMar>
            <w:top w:w="0" w:type="dxa"/>
            <w:left w:w="108" w:type="dxa"/>
            <w:bottom w:w="0" w:type="dxa"/>
            <w:right w:w="108" w:type="dxa"/>
          </w:tblCellMar>
        </w:tblPrEx>
        <w:trPr>
          <w:trHeight w:val="285" w:hRule="atLeast"/>
          <w:jc w:val="center"/>
        </w:trPr>
        <w:tc>
          <w:tcPr>
            <w:tcW w:w="675" w:type="dxa"/>
            <w:vMerge w:val="continue"/>
            <w:tcBorders>
              <w:left w:val="single" w:color="auto" w:sz="8" w:space="0"/>
              <w:right w:val="single" w:color="auto" w:sz="4" w:space="0"/>
            </w:tcBorders>
            <w:vAlign w:val="center"/>
          </w:tcPr>
          <w:p w14:paraId="32C89AED">
            <w:pPr>
              <w:rPr>
                <w:color w:val="auto"/>
              </w:rPr>
            </w:pPr>
          </w:p>
        </w:tc>
        <w:tc>
          <w:tcPr>
            <w:tcW w:w="1276" w:type="dxa"/>
            <w:vMerge w:val="continue"/>
            <w:tcBorders>
              <w:top w:val="nil"/>
              <w:left w:val="single" w:color="auto" w:sz="4" w:space="0"/>
              <w:bottom w:val="single" w:color="auto" w:sz="4" w:space="0"/>
              <w:right w:val="single" w:color="auto" w:sz="4" w:space="0"/>
            </w:tcBorders>
            <w:vAlign w:val="center"/>
          </w:tcPr>
          <w:p w14:paraId="7D5D759F">
            <w:pPr>
              <w:rPr>
                <w:color w:val="auto"/>
              </w:rPr>
            </w:pPr>
          </w:p>
        </w:tc>
        <w:tc>
          <w:tcPr>
            <w:tcW w:w="2835" w:type="dxa"/>
            <w:tcBorders>
              <w:top w:val="nil"/>
              <w:left w:val="nil"/>
              <w:bottom w:val="single" w:color="auto" w:sz="4" w:space="0"/>
              <w:right w:val="single" w:color="auto" w:sz="4" w:space="0"/>
            </w:tcBorders>
            <w:vAlign w:val="center"/>
          </w:tcPr>
          <w:p w14:paraId="11F0A6FC">
            <w:pPr>
              <w:rPr>
                <w:color w:val="auto"/>
              </w:rPr>
            </w:pPr>
          </w:p>
        </w:tc>
        <w:tc>
          <w:tcPr>
            <w:tcW w:w="1559" w:type="dxa"/>
            <w:tcBorders>
              <w:top w:val="nil"/>
              <w:left w:val="nil"/>
              <w:bottom w:val="single" w:color="auto" w:sz="4" w:space="0"/>
              <w:right w:val="single" w:color="auto" w:sz="4" w:space="0"/>
            </w:tcBorders>
            <w:vAlign w:val="center"/>
          </w:tcPr>
          <w:p w14:paraId="49C301B9">
            <w:pPr>
              <w:rPr>
                <w:color w:val="auto"/>
              </w:rPr>
            </w:pPr>
            <w:r>
              <w:rPr>
                <w:rFonts w:hint="eastAsia" w:eastAsia="宋体"/>
                <w:color w:val="auto"/>
              </w:rPr>
              <w:t>　</w:t>
            </w:r>
          </w:p>
        </w:tc>
        <w:tc>
          <w:tcPr>
            <w:tcW w:w="2268" w:type="dxa"/>
            <w:vMerge w:val="continue"/>
            <w:tcBorders>
              <w:left w:val="nil"/>
              <w:right w:val="single" w:color="auto" w:sz="8" w:space="0"/>
            </w:tcBorders>
            <w:vAlign w:val="center"/>
          </w:tcPr>
          <w:p w14:paraId="112FC4AE">
            <w:pPr>
              <w:rPr>
                <w:color w:val="auto"/>
              </w:rPr>
            </w:pPr>
          </w:p>
        </w:tc>
      </w:tr>
      <w:tr w14:paraId="0EBF6F13">
        <w:tblPrEx>
          <w:tblCellMar>
            <w:top w:w="0" w:type="dxa"/>
            <w:left w:w="108" w:type="dxa"/>
            <w:bottom w:w="0" w:type="dxa"/>
            <w:right w:w="108" w:type="dxa"/>
          </w:tblCellMar>
        </w:tblPrEx>
        <w:trPr>
          <w:trHeight w:val="285" w:hRule="atLeast"/>
          <w:jc w:val="center"/>
        </w:trPr>
        <w:tc>
          <w:tcPr>
            <w:tcW w:w="675" w:type="dxa"/>
            <w:vMerge w:val="continue"/>
            <w:tcBorders>
              <w:left w:val="single" w:color="auto" w:sz="8" w:space="0"/>
              <w:right w:val="single" w:color="auto" w:sz="4" w:space="0"/>
            </w:tcBorders>
            <w:vAlign w:val="center"/>
          </w:tcPr>
          <w:p w14:paraId="1263C914">
            <w:pPr>
              <w:rPr>
                <w:color w:val="auto"/>
              </w:rPr>
            </w:pPr>
          </w:p>
        </w:tc>
        <w:tc>
          <w:tcPr>
            <w:tcW w:w="1276" w:type="dxa"/>
            <w:vMerge w:val="continue"/>
            <w:tcBorders>
              <w:top w:val="nil"/>
              <w:left w:val="single" w:color="auto" w:sz="4" w:space="0"/>
              <w:bottom w:val="single" w:color="auto" w:sz="4" w:space="0"/>
              <w:right w:val="single" w:color="auto" w:sz="4" w:space="0"/>
            </w:tcBorders>
            <w:vAlign w:val="center"/>
          </w:tcPr>
          <w:p w14:paraId="0886C6F3">
            <w:pPr>
              <w:rPr>
                <w:color w:val="auto"/>
              </w:rPr>
            </w:pPr>
          </w:p>
        </w:tc>
        <w:tc>
          <w:tcPr>
            <w:tcW w:w="2835" w:type="dxa"/>
            <w:tcBorders>
              <w:top w:val="nil"/>
              <w:left w:val="nil"/>
              <w:bottom w:val="single" w:color="auto" w:sz="4" w:space="0"/>
              <w:right w:val="single" w:color="auto" w:sz="4" w:space="0"/>
            </w:tcBorders>
            <w:vAlign w:val="center"/>
          </w:tcPr>
          <w:p w14:paraId="1586BDF8">
            <w:pPr>
              <w:rPr>
                <w:color w:val="auto"/>
              </w:rPr>
            </w:pPr>
          </w:p>
        </w:tc>
        <w:tc>
          <w:tcPr>
            <w:tcW w:w="1559" w:type="dxa"/>
            <w:tcBorders>
              <w:top w:val="nil"/>
              <w:left w:val="nil"/>
              <w:bottom w:val="single" w:color="auto" w:sz="4" w:space="0"/>
              <w:right w:val="single" w:color="auto" w:sz="4" w:space="0"/>
            </w:tcBorders>
            <w:vAlign w:val="center"/>
          </w:tcPr>
          <w:p w14:paraId="59FED1B3">
            <w:pPr>
              <w:rPr>
                <w:color w:val="auto"/>
              </w:rPr>
            </w:pPr>
            <w:r>
              <w:rPr>
                <w:rFonts w:hint="eastAsia" w:eastAsia="宋体"/>
                <w:color w:val="auto"/>
              </w:rPr>
              <w:t>　</w:t>
            </w:r>
          </w:p>
        </w:tc>
        <w:tc>
          <w:tcPr>
            <w:tcW w:w="2268" w:type="dxa"/>
            <w:vMerge w:val="continue"/>
            <w:tcBorders>
              <w:left w:val="nil"/>
              <w:bottom w:val="single" w:color="auto" w:sz="4" w:space="0"/>
              <w:right w:val="single" w:color="auto" w:sz="8" w:space="0"/>
            </w:tcBorders>
            <w:vAlign w:val="center"/>
          </w:tcPr>
          <w:p w14:paraId="43516377">
            <w:pPr>
              <w:rPr>
                <w:color w:val="auto"/>
              </w:rPr>
            </w:pPr>
          </w:p>
        </w:tc>
      </w:tr>
      <w:tr w14:paraId="1570E14F">
        <w:tblPrEx>
          <w:tblCellMar>
            <w:top w:w="0" w:type="dxa"/>
            <w:left w:w="108" w:type="dxa"/>
            <w:bottom w:w="0" w:type="dxa"/>
            <w:right w:w="108" w:type="dxa"/>
          </w:tblCellMar>
        </w:tblPrEx>
        <w:trPr>
          <w:trHeight w:val="285" w:hRule="atLeast"/>
          <w:jc w:val="center"/>
        </w:trPr>
        <w:tc>
          <w:tcPr>
            <w:tcW w:w="675" w:type="dxa"/>
            <w:vMerge w:val="continue"/>
            <w:tcBorders>
              <w:left w:val="single" w:color="auto" w:sz="8" w:space="0"/>
              <w:bottom w:val="single" w:color="auto" w:sz="4" w:space="0"/>
              <w:right w:val="single" w:color="auto" w:sz="4" w:space="0"/>
            </w:tcBorders>
            <w:shd w:val="clear" w:color="000000" w:fill="FFFFFF"/>
            <w:vAlign w:val="center"/>
          </w:tcPr>
          <w:p w14:paraId="1406806E">
            <w:pPr>
              <w:rPr>
                <w:color w:val="auto"/>
              </w:rPr>
            </w:pPr>
          </w:p>
        </w:tc>
        <w:tc>
          <w:tcPr>
            <w:tcW w:w="4111" w:type="dxa"/>
            <w:gridSpan w:val="2"/>
            <w:tcBorders>
              <w:top w:val="single" w:color="auto" w:sz="4" w:space="0"/>
              <w:left w:val="nil"/>
              <w:bottom w:val="single" w:color="auto" w:sz="4" w:space="0"/>
              <w:right w:val="single" w:color="auto" w:sz="4" w:space="0"/>
            </w:tcBorders>
            <w:shd w:val="clear" w:color="000000" w:fill="FFFFFF"/>
            <w:vAlign w:val="center"/>
          </w:tcPr>
          <w:p w14:paraId="13C4E0BD">
            <w:pPr>
              <w:rPr>
                <w:color w:val="auto"/>
              </w:rPr>
            </w:pPr>
            <w:r>
              <w:rPr>
                <w:rFonts w:hint="eastAsia"/>
                <w:color w:val="auto"/>
              </w:rPr>
              <w:t>*</w:t>
            </w:r>
            <w:r>
              <w:rPr>
                <w:color w:val="auto"/>
              </w:rPr>
              <w:t>*</w:t>
            </w:r>
            <w:r>
              <w:rPr>
                <w:rFonts w:hint="eastAsia" w:eastAsia="宋体"/>
                <w:color w:val="auto"/>
              </w:rPr>
              <w:t>费用小计</w:t>
            </w:r>
          </w:p>
        </w:tc>
        <w:tc>
          <w:tcPr>
            <w:tcW w:w="1559" w:type="dxa"/>
            <w:tcBorders>
              <w:top w:val="nil"/>
              <w:left w:val="nil"/>
              <w:bottom w:val="single" w:color="auto" w:sz="4" w:space="0"/>
              <w:right w:val="single" w:color="auto" w:sz="4" w:space="0"/>
            </w:tcBorders>
            <w:shd w:val="clear" w:color="000000" w:fill="FFFFFF"/>
            <w:vAlign w:val="center"/>
          </w:tcPr>
          <w:p w14:paraId="193C74E0">
            <w:pPr>
              <w:rPr>
                <w:color w:val="auto"/>
              </w:rPr>
            </w:pPr>
            <w:r>
              <w:rPr>
                <w:rFonts w:hint="eastAsia" w:eastAsia="宋体"/>
                <w:color w:val="auto"/>
              </w:rPr>
              <w:t>　</w:t>
            </w:r>
          </w:p>
        </w:tc>
        <w:tc>
          <w:tcPr>
            <w:tcW w:w="2268" w:type="dxa"/>
            <w:tcBorders>
              <w:top w:val="nil"/>
              <w:left w:val="nil"/>
              <w:bottom w:val="single" w:color="auto" w:sz="4" w:space="0"/>
              <w:right w:val="single" w:color="auto" w:sz="8" w:space="0"/>
            </w:tcBorders>
            <w:shd w:val="clear" w:color="000000" w:fill="FFFFFF"/>
            <w:vAlign w:val="center"/>
          </w:tcPr>
          <w:p w14:paraId="23EDDF9C">
            <w:pPr>
              <w:rPr>
                <w:color w:val="auto"/>
              </w:rPr>
            </w:pPr>
            <w:r>
              <w:rPr>
                <w:rFonts w:hint="eastAsia" w:eastAsia="宋体"/>
                <w:color w:val="auto"/>
              </w:rPr>
              <w:t>　</w:t>
            </w:r>
          </w:p>
        </w:tc>
      </w:tr>
      <w:tr w14:paraId="0B5310C3">
        <w:tblPrEx>
          <w:tblCellMar>
            <w:top w:w="0" w:type="dxa"/>
            <w:left w:w="108" w:type="dxa"/>
            <w:bottom w:w="0" w:type="dxa"/>
            <w:right w:w="108" w:type="dxa"/>
          </w:tblCellMar>
        </w:tblPrEx>
        <w:trPr>
          <w:trHeight w:val="285" w:hRule="atLeast"/>
          <w:jc w:val="center"/>
        </w:trPr>
        <w:tc>
          <w:tcPr>
            <w:tcW w:w="675" w:type="dxa"/>
            <w:vMerge w:val="restart"/>
            <w:tcBorders>
              <w:top w:val="nil"/>
              <w:left w:val="single" w:color="auto" w:sz="8" w:space="0"/>
              <w:right w:val="single" w:color="auto" w:sz="4" w:space="0"/>
            </w:tcBorders>
            <w:shd w:val="clear" w:color="000000" w:fill="FFFFFF"/>
            <w:vAlign w:val="center"/>
          </w:tcPr>
          <w:p w14:paraId="16C099A9">
            <w:pPr>
              <w:rPr>
                <w:color w:val="auto"/>
              </w:rPr>
            </w:pPr>
            <w:r>
              <w:rPr>
                <w:rFonts w:hint="eastAsia" w:eastAsia="宋体"/>
                <w:color w:val="auto"/>
              </w:rPr>
              <w:t>三</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14:paraId="7D5F5494">
            <w:pPr>
              <w:rPr>
                <w:color w:val="auto"/>
              </w:rPr>
            </w:pPr>
            <w:r>
              <w:rPr>
                <w:rFonts w:hint="eastAsia" w:eastAsia="宋体"/>
                <w:color w:val="auto"/>
              </w:rPr>
              <w:t>其他费用</w:t>
            </w:r>
          </w:p>
        </w:tc>
        <w:tc>
          <w:tcPr>
            <w:tcW w:w="2835" w:type="dxa"/>
            <w:tcBorders>
              <w:top w:val="nil"/>
              <w:left w:val="nil"/>
              <w:bottom w:val="single" w:color="auto" w:sz="4" w:space="0"/>
              <w:right w:val="single" w:color="auto" w:sz="4" w:space="0"/>
            </w:tcBorders>
            <w:shd w:val="clear" w:color="000000" w:fill="FFFFFF"/>
            <w:vAlign w:val="center"/>
          </w:tcPr>
          <w:p w14:paraId="637C6B94">
            <w:pPr>
              <w:rPr>
                <w:color w:val="auto"/>
              </w:rPr>
            </w:pPr>
            <w:r>
              <w:rPr>
                <w:rFonts w:hint="eastAsia"/>
                <w:color w:val="auto"/>
              </w:rPr>
              <w:t>*</w:t>
            </w:r>
            <w:r>
              <w:rPr>
                <w:color w:val="auto"/>
              </w:rPr>
              <w:t>*</w:t>
            </w:r>
          </w:p>
        </w:tc>
        <w:tc>
          <w:tcPr>
            <w:tcW w:w="1559" w:type="dxa"/>
            <w:tcBorders>
              <w:top w:val="nil"/>
              <w:left w:val="nil"/>
              <w:bottom w:val="single" w:color="auto" w:sz="4" w:space="0"/>
              <w:right w:val="single" w:color="auto" w:sz="4" w:space="0"/>
            </w:tcBorders>
            <w:shd w:val="clear" w:color="000000" w:fill="FFFFFF"/>
            <w:vAlign w:val="center"/>
          </w:tcPr>
          <w:p w14:paraId="449DE306">
            <w:pPr>
              <w:rPr>
                <w:color w:val="auto"/>
              </w:rPr>
            </w:pPr>
            <w:r>
              <w:rPr>
                <w:rFonts w:hint="eastAsia" w:eastAsia="宋体"/>
                <w:color w:val="auto"/>
              </w:rPr>
              <w:t>　</w:t>
            </w:r>
          </w:p>
        </w:tc>
        <w:tc>
          <w:tcPr>
            <w:tcW w:w="2268" w:type="dxa"/>
            <w:tcBorders>
              <w:top w:val="nil"/>
              <w:left w:val="nil"/>
              <w:bottom w:val="single" w:color="auto" w:sz="4" w:space="0"/>
              <w:right w:val="single" w:color="auto" w:sz="8" w:space="0"/>
            </w:tcBorders>
            <w:shd w:val="clear" w:color="000000" w:fill="FFFFFF"/>
            <w:vAlign w:val="center"/>
          </w:tcPr>
          <w:p w14:paraId="2A9970DB">
            <w:pPr>
              <w:rPr>
                <w:color w:val="auto"/>
              </w:rPr>
            </w:pPr>
          </w:p>
        </w:tc>
      </w:tr>
      <w:tr w14:paraId="6D271868">
        <w:tblPrEx>
          <w:tblCellMar>
            <w:top w:w="0" w:type="dxa"/>
            <w:left w:w="108" w:type="dxa"/>
            <w:bottom w:w="0" w:type="dxa"/>
            <w:right w:w="108" w:type="dxa"/>
          </w:tblCellMar>
        </w:tblPrEx>
        <w:trPr>
          <w:trHeight w:val="285" w:hRule="atLeast"/>
          <w:jc w:val="center"/>
        </w:trPr>
        <w:tc>
          <w:tcPr>
            <w:tcW w:w="675" w:type="dxa"/>
            <w:vMerge w:val="continue"/>
            <w:tcBorders>
              <w:left w:val="single" w:color="auto" w:sz="8" w:space="0"/>
              <w:right w:val="single" w:color="auto" w:sz="4" w:space="0"/>
            </w:tcBorders>
            <w:shd w:val="clear" w:color="000000" w:fill="FFFFFF"/>
            <w:vAlign w:val="center"/>
          </w:tcPr>
          <w:p w14:paraId="79528C82">
            <w:pPr>
              <w:rPr>
                <w:color w:val="auto"/>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64D8AA4E">
            <w:pPr>
              <w:rPr>
                <w:color w:val="auto"/>
              </w:rPr>
            </w:pPr>
          </w:p>
        </w:tc>
        <w:tc>
          <w:tcPr>
            <w:tcW w:w="2835" w:type="dxa"/>
            <w:tcBorders>
              <w:top w:val="nil"/>
              <w:left w:val="nil"/>
              <w:bottom w:val="single" w:color="auto" w:sz="4" w:space="0"/>
              <w:right w:val="single" w:color="auto" w:sz="4" w:space="0"/>
            </w:tcBorders>
            <w:shd w:val="clear" w:color="000000" w:fill="FFFFFF"/>
            <w:vAlign w:val="center"/>
          </w:tcPr>
          <w:p w14:paraId="06A31E1B">
            <w:pPr>
              <w:rPr>
                <w:color w:val="auto"/>
              </w:rPr>
            </w:pPr>
          </w:p>
        </w:tc>
        <w:tc>
          <w:tcPr>
            <w:tcW w:w="1559" w:type="dxa"/>
            <w:tcBorders>
              <w:top w:val="nil"/>
              <w:left w:val="nil"/>
              <w:bottom w:val="single" w:color="auto" w:sz="4" w:space="0"/>
              <w:right w:val="single" w:color="auto" w:sz="4" w:space="0"/>
            </w:tcBorders>
            <w:shd w:val="clear" w:color="000000" w:fill="FFFFFF"/>
            <w:vAlign w:val="center"/>
          </w:tcPr>
          <w:p w14:paraId="026563A7">
            <w:pPr>
              <w:rPr>
                <w:color w:val="auto"/>
              </w:rPr>
            </w:pPr>
            <w:r>
              <w:rPr>
                <w:rFonts w:hint="eastAsia" w:eastAsia="宋体"/>
                <w:color w:val="auto"/>
              </w:rPr>
              <w:t>　</w:t>
            </w:r>
          </w:p>
        </w:tc>
        <w:tc>
          <w:tcPr>
            <w:tcW w:w="2268" w:type="dxa"/>
            <w:tcBorders>
              <w:top w:val="nil"/>
              <w:left w:val="nil"/>
              <w:bottom w:val="single" w:color="auto" w:sz="4" w:space="0"/>
              <w:right w:val="single" w:color="auto" w:sz="8" w:space="0"/>
            </w:tcBorders>
            <w:shd w:val="clear" w:color="000000" w:fill="FFFFFF"/>
            <w:vAlign w:val="center"/>
          </w:tcPr>
          <w:p w14:paraId="3C5C32B7">
            <w:pPr>
              <w:rPr>
                <w:color w:val="auto"/>
              </w:rPr>
            </w:pPr>
          </w:p>
        </w:tc>
      </w:tr>
      <w:tr w14:paraId="033F3B01">
        <w:tblPrEx>
          <w:tblCellMar>
            <w:top w:w="0" w:type="dxa"/>
            <w:left w:w="108" w:type="dxa"/>
            <w:bottom w:w="0" w:type="dxa"/>
            <w:right w:w="108" w:type="dxa"/>
          </w:tblCellMar>
        </w:tblPrEx>
        <w:trPr>
          <w:trHeight w:val="285" w:hRule="atLeast"/>
          <w:jc w:val="center"/>
        </w:trPr>
        <w:tc>
          <w:tcPr>
            <w:tcW w:w="675" w:type="dxa"/>
            <w:vMerge w:val="continue"/>
            <w:tcBorders>
              <w:left w:val="single" w:color="auto" w:sz="8" w:space="0"/>
              <w:bottom w:val="single" w:color="auto" w:sz="4" w:space="0"/>
              <w:right w:val="single" w:color="auto" w:sz="4" w:space="0"/>
            </w:tcBorders>
            <w:shd w:val="clear" w:color="000000" w:fill="FFFFFF"/>
            <w:vAlign w:val="center"/>
          </w:tcPr>
          <w:p w14:paraId="6AAAB591">
            <w:pPr>
              <w:rPr>
                <w:color w:val="auto"/>
              </w:rPr>
            </w:pPr>
          </w:p>
        </w:tc>
        <w:tc>
          <w:tcPr>
            <w:tcW w:w="4111" w:type="dxa"/>
            <w:gridSpan w:val="2"/>
            <w:tcBorders>
              <w:top w:val="single" w:color="auto" w:sz="4" w:space="0"/>
              <w:left w:val="nil"/>
              <w:bottom w:val="single" w:color="auto" w:sz="4" w:space="0"/>
              <w:right w:val="single" w:color="auto" w:sz="4" w:space="0"/>
            </w:tcBorders>
            <w:shd w:val="clear" w:color="000000" w:fill="FFFFFF"/>
            <w:vAlign w:val="center"/>
          </w:tcPr>
          <w:p w14:paraId="438810F0">
            <w:pPr>
              <w:rPr>
                <w:color w:val="auto"/>
              </w:rPr>
            </w:pPr>
            <w:r>
              <w:rPr>
                <w:rFonts w:hint="eastAsia" w:eastAsia="宋体"/>
                <w:color w:val="auto"/>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1D86B6E0">
            <w:pPr>
              <w:rPr>
                <w:color w:val="auto"/>
              </w:rPr>
            </w:pPr>
            <w:r>
              <w:rPr>
                <w:rFonts w:hint="eastAsia" w:eastAsia="宋体"/>
                <w:color w:val="auto"/>
              </w:rPr>
              <w:t>　</w:t>
            </w:r>
          </w:p>
        </w:tc>
        <w:tc>
          <w:tcPr>
            <w:tcW w:w="2268" w:type="dxa"/>
            <w:tcBorders>
              <w:top w:val="nil"/>
              <w:left w:val="nil"/>
              <w:bottom w:val="single" w:color="auto" w:sz="4" w:space="0"/>
              <w:right w:val="single" w:color="auto" w:sz="8" w:space="0"/>
            </w:tcBorders>
            <w:shd w:val="clear" w:color="000000" w:fill="FFFFFF"/>
            <w:vAlign w:val="center"/>
          </w:tcPr>
          <w:p w14:paraId="3EBBEF0D">
            <w:pPr>
              <w:rPr>
                <w:color w:val="auto"/>
              </w:rPr>
            </w:pPr>
            <w:r>
              <w:rPr>
                <w:rFonts w:hint="eastAsia" w:eastAsia="宋体"/>
                <w:color w:val="auto"/>
              </w:rPr>
              <w:t>　</w:t>
            </w:r>
          </w:p>
        </w:tc>
      </w:tr>
      <w:tr w14:paraId="08630B34">
        <w:tblPrEx>
          <w:tblCellMar>
            <w:top w:w="0" w:type="dxa"/>
            <w:left w:w="108" w:type="dxa"/>
            <w:bottom w:w="0" w:type="dxa"/>
            <w:right w:w="108" w:type="dxa"/>
          </w:tblCellMar>
        </w:tblPrEx>
        <w:trPr>
          <w:trHeight w:val="285" w:hRule="atLeast"/>
          <w:jc w:val="center"/>
        </w:trPr>
        <w:tc>
          <w:tcPr>
            <w:tcW w:w="675" w:type="dxa"/>
            <w:tcBorders>
              <w:top w:val="nil"/>
              <w:left w:val="single" w:color="auto" w:sz="8" w:space="0"/>
              <w:bottom w:val="single" w:color="auto" w:sz="4" w:space="0"/>
              <w:right w:val="single" w:color="auto" w:sz="4" w:space="0"/>
            </w:tcBorders>
            <w:shd w:val="clear" w:color="000000" w:fill="FFFFFF"/>
            <w:vAlign w:val="center"/>
          </w:tcPr>
          <w:p w14:paraId="76364CBB">
            <w:pPr>
              <w:rPr>
                <w:color w:val="auto"/>
              </w:rPr>
            </w:pPr>
            <w:r>
              <w:rPr>
                <w:rFonts w:hint="eastAsia" w:eastAsia="宋体"/>
                <w:color w:val="auto"/>
              </w:rPr>
              <w:t>四</w:t>
            </w:r>
          </w:p>
        </w:tc>
        <w:tc>
          <w:tcPr>
            <w:tcW w:w="4111" w:type="dxa"/>
            <w:gridSpan w:val="2"/>
            <w:tcBorders>
              <w:top w:val="single" w:color="auto" w:sz="4" w:space="0"/>
              <w:left w:val="nil"/>
              <w:bottom w:val="single" w:color="auto" w:sz="4" w:space="0"/>
              <w:right w:val="single" w:color="auto" w:sz="4" w:space="0"/>
            </w:tcBorders>
            <w:shd w:val="clear" w:color="000000" w:fill="FFFFFF"/>
            <w:vAlign w:val="center"/>
          </w:tcPr>
          <w:p w14:paraId="736B0AE0">
            <w:pPr>
              <w:rPr>
                <w:color w:val="auto"/>
              </w:rPr>
            </w:pPr>
            <w:r>
              <w:rPr>
                <w:rFonts w:hint="eastAsia" w:eastAsia="宋体"/>
                <w:color w:val="auto"/>
              </w:rPr>
              <w:t>税金</w:t>
            </w:r>
          </w:p>
        </w:tc>
        <w:tc>
          <w:tcPr>
            <w:tcW w:w="1559" w:type="dxa"/>
            <w:tcBorders>
              <w:top w:val="nil"/>
              <w:left w:val="nil"/>
              <w:bottom w:val="single" w:color="auto" w:sz="4" w:space="0"/>
              <w:right w:val="single" w:color="auto" w:sz="4" w:space="0"/>
            </w:tcBorders>
            <w:shd w:val="clear" w:color="000000" w:fill="FFFFFF"/>
            <w:vAlign w:val="center"/>
          </w:tcPr>
          <w:p w14:paraId="74151C9D">
            <w:pPr>
              <w:rPr>
                <w:color w:val="auto"/>
              </w:rPr>
            </w:pPr>
            <w:r>
              <w:rPr>
                <w:rFonts w:hint="eastAsia" w:eastAsia="宋体"/>
                <w:color w:val="auto"/>
              </w:rPr>
              <w:t>　</w:t>
            </w:r>
          </w:p>
        </w:tc>
        <w:tc>
          <w:tcPr>
            <w:tcW w:w="2268" w:type="dxa"/>
            <w:tcBorders>
              <w:top w:val="nil"/>
              <w:left w:val="nil"/>
              <w:bottom w:val="single" w:color="auto" w:sz="4" w:space="0"/>
              <w:right w:val="single" w:color="auto" w:sz="8" w:space="0"/>
            </w:tcBorders>
            <w:shd w:val="clear" w:color="000000" w:fill="FFFFFF"/>
            <w:vAlign w:val="center"/>
          </w:tcPr>
          <w:p w14:paraId="798CEB6B">
            <w:pPr>
              <w:rPr>
                <w:color w:val="auto"/>
              </w:rPr>
            </w:pPr>
            <w:r>
              <w:rPr>
                <w:rFonts w:hint="eastAsia" w:eastAsia="宋体"/>
                <w:color w:val="auto"/>
              </w:rPr>
              <w:t>　</w:t>
            </w:r>
          </w:p>
        </w:tc>
      </w:tr>
      <w:tr w14:paraId="46593BF6">
        <w:tblPrEx>
          <w:tblCellMar>
            <w:top w:w="0" w:type="dxa"/>
            <w:left w:w="108" w:type="dxa"/>
            <w:bottom w:w="0" w:type="dxa"/>
            <w:right w:w="108" w:type="dxa"/>
          </w:tblCellMar>
        </w:tblPrEx>
        <w:trPr>
          <w:trHeight w:val="285" w:hRule="atLeast"/>
          <w:jc w:val="center"/>
        </w:trPr>
        <w:tc>
          <w:tcPr>
            <w:tcW w:w="675" w:type="dxa"/>
            <w:tcBorders>
              <w:top w:val="nil"/>
              <w:left w:val="single" w:color="auto" w:sz="8" w:space="0"/>
              <w:bottom w:val="single" w:color="auto" w:sz="4" w:space="0"/>
              <w:right w:val="single" w:color="auto" w:sz="4" w:space="0"/>
            </w:tcBorders>
            <w:shd w:val="clear" w:color="000000" w:fill="FFFFFF"/>
            <w:vAlign w:val="center"/>
          </w:tcPr>
          <w:p w14:paraId="2A47AAA0">
            <w:pPr>
              <w:rPr>
                <w:color w:val="auto"/>
              </w:rPr>
            </w:pPr>
          </w:p>
        </w:tc>
        <w:tc>
          <w:tcPr>
            <w:tcW w:w="4111" w:type="dxa"/>
            <w:gridSpan w:val="2"/>
            <w:tcBorders>
              <w:top w:val="single" w:color="auto" w:sz="4" w:space="0"/>
              <w:left w:val="nil"/>
              <w:bottom w:val="single" w:color="auto" w:sz="4" w:space="0"/>
              <w:right w:val="single" w:color="auto" w:sz="4" w:space="0"/>
            </w:tcBorders>
            <w:shd w:val="clear" w:color="000000" w:fill="FFFFFF"/>
            <w:vAlign w:val="center"/>
          </w:tcPr>
          <w:p w14:paraId="69D4176B">
            <w:pPr>
              <w:rPr>
                <w:color w:val="auto"/>
              </w:rPr>
            </w:pPr>
            <w:r>
              <w:rPr>
                <w:rFonts w:hint="eastAsia"/>
                <w:color w:val="auto"/>
              </w:rPr>
              <w:t>……</w:t>
            </w:r>
          </w:p>
        </w:tc>
        <w:tc>
          <w:tcPr>
            <w:tcW w:w="1559" w:type="dxa"/>
            <w:tcBorders>
              <w:top w:val="nil"/>
              <w:left w:val="nil"/>
              <w:bottom w:val="single" w:color="auto" w:sz="4" w:space="0"/>
              <w:right w:val="single" w:color="auto" w:sz="4" w:space="0"/>
            </w:tcBorders>
            <w:shd w:val="clear" w:color="000000" w:fill="FFFFFF"/>
            <w:vAlign w:val="center"/>
          </w:tcPr>
          <w:p w14:paraId="301F6CDF">
            <w:pPr>
              <w:rPr>
                <w:color w:val="auto"/>
              </w:rPr>
            </w:pPr>
          </w:p>
        </w:tc>
        <w:tc>
          <w:tcPr>
            <w:tcW w:w="2268" w:type="dxa"/>
            <w:tcBorders>
              <w:top w:val="nil"/>
              <w:left w:val="nil"/>
              <w:bottom w:val="single" w:color="auto" w:sz="4" w:space="0"/>
              <w:right w:val="single" w:color="auto" w:sz="8" w:space="0"/>
            </w:tcBorders>
            <w:shd w:val="clear" w:color="000000" w:fill="FFFFFF"/>
            <w:vAlign w:val="center"/>
          </w:tcPr>
          <w:p w14:paraId="71BC9388">
            <w:pPr>
              <w:rPr>
                <w:color w:val="auto"/>
              </w:rPr>
            </w:pPr>
          </w:p>
        </w:tc>
      </w:tr>
      <w:tr w14:paraId="6B6F7F48">
        <w:tblPrEx>
          <w:tblCellMar>
            <w:top w:w="0" w:type="dxa"/>
            <w:left w:w="108" w:type="dxa"/>
            <w:bottom w:w="0" w:type="dxa"/>
            <w:right w:w="108" w:type="dxa"/>
          </w:tblCellMar>
        </w:tblPrEx>
        <w:trPr>
          <w:trHeight w:val="285" w:hRule="atLeast"/>
          <w:jc w:val="center"/>
        </w:trPr>
        <w:tc>
          <w:tcPr>
            <w:tcW w:w="675" w:type="dxa"/>
            <w:tcBorders>
              <w:top w:val="nil"/>
              <w:left w:val="single" w:color="auto" w:sz="8" w:space="0"/>
              <w:bottom w:val="single" w:color="auto" w:sz="4" w:space="0"/>
              <w:right w:val="single" w:color="auto" w:sz="4" w:space="0"/>
            </w:tcBorders>
            <w:shd w:val="clear" w:color="000000" w:fill="FFFFFF"/>
            <w:vAlign w:val="center"/>
          </w:tcPr>
          <w:p w14:paraId="2E1BF2AB">
            <w:pPr>
              <w:rPr>
                <w:color w:val="auto"/>
              </w:rPr>
            </w:pPr>
          </w:p>
        </w:tc>
        <w:tc>
          <w:tcPr>
            <w:tcW w:w="4111" w:type="dxa"/>
            <w:gridSpan w:val="2"/>
            <w:tcBorders>
              <w:top w:val="single" w:color="auto" w:sz="4" w:space="0"/>
              <w:left w:val="nil"/>
              <w:bottom w:val="single" w:color="auto" w:sz="4" w:space="0"/>
              <w:right w:val="single" w:color="auto" w:sz="4" w:space="0"/>
            </w:tcBorders>
            <w:shd w:val="clear" w:color="000000" w:fill="FFFFFF"/>
            <w:vAlign w:val="center"/>
          </w:tcPr>
          <w:p w14:paraId="25A96DD1">
            <w:pPr>
              <w:rPr>
                <w:color w:val="auto"/>
              </w:rPr>
            </w:pPr>
            <w:r>
              <w:rPr>
                <w:rFonts w:hint="eastAsia" w:eastAsia="宋体"/>
                <w:color w:val="auto"/>
              </w:rPr>
              <w:t>合计</w:t>
            </w:r>
            <w:r>
              <w:rPr>
                <w:rFonts w:hint="eastAsia"/>
                <w:color w:val="auto"/>
              </w:rPr>
              <w:t>(</w:t>
            </w:r>
            <w:r>
              <w:rPr>
                <w:rFonts w:hint="eastAsia" w:eastAsia="宋体"/>
                <w:color w:val="auto"/>
              </w:rPr>
              <w:t>元</w:t>
            </w:r>
            <w:r>
              <w:rPr>
                <w:rFonts w:hint="eastAsia"/>
                <w:color w:val="auto"/>
              </w:rPr>
              <w:t>)</w:t>
            </w:r>
          </w:p>
        </w:tc>
        <w:tc>
          <w:tcPr>
            <w:tcW w:w="1559" w:type="dxa"/>
            <w:tcBorders>
              <w:top w:val="nil"/>
              <w:left w:val="nil"/>
              <w:bottom w:val="single" w:color="auto" w:sz="4" w:space="0"/>
              <w:right w:val="single" w:color="auto" w:sz="4" w:space="0"/>
            </w:tcBorders>
            <w:shd w:val="clear" w:color="000000" w:fill="FFFFFF"/>
            <w:vAlign w:val="center"/>
          </w:tcPr>
          <w:p w14:paraId="5B5D5E4D">
            <w:pPr>
              <w:rPr>
                <w:color w:val="auto"/>
              </w:rPr>
            </w:pPr>
            <w:r>
              <w:rPr>
                <w:rFonts w:hint="eastAsia" w:eastAsia="宋体"/>
                <w:color w:val="auto"/>
              </w:rPr>
              <w:t>　</w:t>
            </w:r>
          </w:p>
        </w:tc>
        <w:tc>
          <w:tcPr>
            <w:tcW w:w="2268" w:type="dxa"/>
            <w:tcBorders>
              <w:top w:val="nil"/>
              <w:left w:val="nil"/>
              <w:bottom w:val="single" w:color="auto" w:sz="4" w:space="0"/>
              <w:right w:val="single" w:color="auto" w:sz="8" w:space="0"/>
            </w:tcBorders>
            <w:shd w:val="clear" w:color="000000" w:fill="FFFFFF"/>
            <w:vAlign w:val="center"/>
          </w:tcPr>
          <w:p w14:paraId="4667CA4A">
            <w:pPr>
              <w:rPr>
                <w:color w:val="auto"/>
              </w:rPr>
            </w:pPr>
            <w:r>
              <w:rPr>
                <w:rFonts w:hint="eastAsia" w:eastAsia="宋体"/>
                <w:color w:val="auto"/>
              </w:rPr>
              <w:t>　以上各项之和</w:t>
            </w:r>
          </w:p>
        </w:tc>
      </w:tr>
    </w:tbl>
    <w:p w14:paraId="04B7C10C">
      <w:pPr>
        <w:ind w:firstLine="720"/>
        <w:jc w:val="both"/>
        <w:rPr>
          <w:color w:val="auto"/>
        </w:rPr>
      </w:pPr>
      <w:r>
        <w:rPr>
          <w:rFonts w:hint="eastAsia" w:eastAsia="宋体"/>
          <w:color w:val="auto"/>
        </w:rPr>
        <w:t>注：</w:t>
      </w:r>
      <w:r>
        <w:rPr>
          <w:rFonts w:hint="eastAsia"/>
          <w:color w:val="auto"/>
        </w:rPr>
        <w:t>1</w:t>
      </w:r>
      <w:r>
        <w:rPr>
          <w:rFonts w:hint="eastAsia" w:eastAsia="宋体"/>
          <w:color w:val="auto"/>
        </w:rPr>
        <w:t>、所有价格应按</w:t>
      </w:r>
      <w:r>
        <w:rPr>
          <w:color w:val="auto"/>
        </w:rPr>
        <w:t>“</w:t>
      </w:r>
      <w:r>
        <w:rPr>
          <w:rFonts w:hint="eastAsia" w:eastAsia="宋体"/>
          <w:color w:val="auto"/>
        </w:rPr>
        <w:t>招标文件</w:t>
      </w:r>
      <w:r>
        <w:rPr>
          <w:color w:val="auto"/>
        </w:rPr>
        <w:t>”</w:t>
      </w:r>
      <w:r>
        <w:rPr>
          <w:rFonts w:hint="eastAsia" w:eastAsia="宋体"/>
          <w:color w:val="auto"/>
        </w:rPr>
        <w:t>中规定的货币单位填写；</w:t>
      </w:r>
    </w:p>
    <w:p w14:paraId="4F73ECF5">
      <w:pPr>
        <w:ind w:firstLine="720"/>
        <w:jc w:val="both"/>
        <w:rPr>
          <w:color w:val="auto"/>
        </w:rPr>
      </w:pPr>
      <w:r>
        <w:rPr>
          <w:rFonts w:hint="eastAsia"/>
          <w:color w:val="auto"/>
        </w:rPr>
        <w:t>2</w:t>
      </w:r>
      <w:r>
        <w:rPr>
          <w:rFonts w:hint="eastAsia" w:eastAsia="宋体"/>
          <w:color w:val="auto"/>
        </w:rPr>
        <w:t>、本表格仅为指导性范本，供应商可根据项目具体情况对各分项内容进行调整提供详细分项报价。</w:t>
      </w:r>
    </w:p>
    <w:p w14:paraId="5D17BF68">
      <w:pPr>
        <w:rPr>
          <w:color w:val="auto"/>
        </w:rPr>
      </w:pPr>
    </w:p>
    <w:p w14:paraId="3CE9562E">
      <w:pPr>
        <w:rPr>
          <w:color w:val="auto"/>
        </w:rPr>
      </w:pPr>
      <w:r>
        <w:rPr>
          <w:rFonts w:hint="eastAsia" w:eastAsia="宋体"/>
          <w:color w:val="auto"/>
        </w:rPr>
        <w:t>（二）</w:t>
      </w:r>
      <w:bookmarkStart w:id="62" w:name="_Hlk72073235"/>
      <w:r>
        <w:rPr>
          <w:rFonts w:hint="eastAsia" w:eastAsia="宋体"/>
          <w:color w:val="auto"/>
        </w:rPr>
        <w:t>投标人认为需要涉及的其他内容报价清单</w:t>
      </w:r>
      <w:bookmarkEnd w:id="62"/>
    </w:p>
    <w:p w14:paraId="1A0701DF">
      <w:pPr>
        <w:rPr>
          <w:color w:val="auto"/>
        </w:rPr>
      </w:pPr>
    </w:p>
    <w:p w14:paraId="1BF7F762">
      <w:pPr>
        <w:rPr>
          <w:color w:val="auto"/>
        </w:rPr>
      </w:pPr>
    </w:p>
    <w:p w14:paraId="55E3E088">
      <w:pPr>
        <w:pStyle w:val="4"/>
        <w:rPr>
          <w:color w:val="auto"/>
        </w:rPr>
      </w:pPr>
      <w:r>
        <w:rPr>
          <w:rFonts w:hint="eastAsia"/>
          <w:color w:val="auto"/>
          <w:lang w:val="en-US" w:eastAsia="zh-CN"/>
        </w:rPr>
        <w:t>五、</w:t>
      </w:r>
      <w:r>
        <w:rPr>
          <w:rFonts w:hint="eastAsia"/>
          <w:color w:val="auto"/>
        </w:rPr>
        <w:t>实质性条款响应情况表</w:t>
      </w:r>
    </w:p>
    <w:tbl>
      <w:tblPr>
        <w:tblStyle w:val="1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939"/>
        <w:gridCol w:w="1276"/>
        <w:gridCol w:w="1276"/>
        <w:gridCol w:w="1276"/>
      </w:tblGrid>
      <w:tr w14:paraId="75E2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14:paraId="27FC751C">
            <w:pPr>
              <w:rPr>
                <w:color w:val="auto"/>
              </w:rPr>
            </w:pPr>
            <w:r>
              <w:rPr>
                <w:rFonts w:hint="eastAsia" w:eastAsia="宋体"/>
                <w:color w:val="auto"/>
              </w:rPr>
              <w:t>序号</w:t>
            </w:r>
          </w:p>
        </w:tc>
        <w:tc>
          <w:tcPr>
            <w:tcW w:w="3939" w:type="dxa"/>
            <w:vAlign w:val="center"/>
          </w:tcPr>
          <w:p w14:paraId="3459AA0E">
            <w:pPr>
              <w:rPr>
                <w:color w:val="auto"/>
              </w:rPr>
            </w:pPr>
            <w:r>
              <w:rPr>
                <w:rFonts w:hint="eastAsia" w:eastAsia="宋体"/>
                <w:color w:val="auto"/>
              </w:rPr>
              <w:t>实质性条款具体内容</w:t>
            </w:r>
          </w:p>
        </w:tc>
        <w:tc>
          <w:tcPr>
            <w:tcW w:w="1276" w:type="dxa"/>
            <w:vAlign w:val="center"/>
          </w:tcPr>
          <w:p w14:paraId="3472E5E1">
            <w:pPr>
              <w:rPr>
                <w:color w:val="auto"/>
                <w:szCs w:val="21"/>
              </w:rPr>
            </w:pPr>
            <w:r>
              <w:rPr>
                <w:rFonts w:hint="eastAsia" w:eastAsia="宋体"/>
                <w:color w:val="auto"/>
              </w:rPr>
              <w:t>投标响应</w:t>
            </w:r>
          </w:p>
        </w:tc>
        <w:tc>
          <w:tcPr>
            <w:tcW w:w="1276" w:type="dxa"/>
            <w:vAlign w:val="center"/>
          </w:tcPr>
          <w:p w14:paraId="23000C56">
            <w:pPr>
              <w:rPr>
                <w:color w:val="auto"/>
                <w:szCs w:val="21"/>
              </w:rPr>
            </w:pPr>
            <w:r>
              <w:rPr>
                <w:rFonts w:hint="eastAsia" w:eastAsia="宋体"/>
                <w:color w:val="auto"/>
              </w:rPr>
              <w:t>偏离情况</w:t>
            </w:r>
          </w:p>
        </w:tc>
        <w:tc>
          <w:tcPr>
            <w:tcW w:w="1276" w:type="dxa"/>
            <w:vAlign w:val="center"/>
          </w:tcPr>
          <w:p w14:paraId="50E21D47">
            <w:pPr>
              <w:rPr>
                <w:color w:val="auto"/>
                <w:szCs w:val="21"/>
              </w:rPr>
            </w:pPr>
            <w:r>
              <w:rPr>
                <w:rFonts w:hint="eastAsia" w:eastAsia="宋体"/>
                <w:color w:val="auto"/>
              </w:rPr>
              <w:t>说明（如有）</w:t>
            </w:r>
          </w:p>
        </w:tc>
      </w:tr>
      <w:tr w14:paraId="125E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48AF8175">
            <w:pPr>
              <w:rPr>
                <w:color w:val="auto"/>
              </w:rPr>
            </w:pPr>
            <w:r>
              <w:rPr>
                <w:rFonts w:hint="eastAsia"/>
                <w:color w:val="auto"/>
              </w:rPr>
              <w:t>1</w:t>
            </w:r>
          </w:p>
        </w:tc>
        <w:tc>
          <w:tcPr>
            <w:tcW w:w="3939" w:type="dxa"/>
          </w:tcPr>
          <w:p w14:paraId="10174AEF">
            <w:pPr>
              <w:rPr>
                <w:color w:val="auto"/>
                <w:szCs w:val="21"/>
              </w:rPr>
            </w:pPr>
            <w:r>
              <w:rPr>
                <w:rFonts w:ascii="Segoe UI Symbol" w:hAnsi="Segoe UI Symbol" w:cs="Segoe UI Symbol"/>
                <w:color w:val="auto"/>
                <w:szCs w:val="21"/>
              </w:rPr>
              <w:t>★</w:t>
            </w:r>
            <w:r>
              <w:rPr>
                <w:rFonts w:hint="eastAsia" w:eastAsia="宋体"/>
                <w:color w:val="auto"/>
              </w:rPr>
              <w:t>完全满足本项目服务期限的要求。</w:t>
            </w:r>
          </w:p>
        </w:tc>
        <w:tc>
          <w:tcPr>
            <w:tcW w:w="1276" w:type="dxa"/>
          </w:tcPr>
          <w:p w14:paraId="26FD6507">
            <w:pPr>
              <w:rPr>
                <w:color w:val="auto"/>
              </w:rPr>
            </w:pPr>
          </w:p>
        </w:tc>
        <w:tc>
          <w:tcPr>
            <w:tcW w:w="1276" w:type="dxa"/>
          </w:tcPr>
          <w:p w14:paraId="1288E486">
            <w:pPr>
              <w:rPr>
                <w:color w:val="auto"/>
              </w:rPr>
            </w:pPr>
          </w:p>
        </w:tc>
        <w:tc>
          <w:tcPr>
            <w:tcW w:w="1276" w:type="dxa"/>
          </w:tcPr>
          <w:p w14:paraId="057C0F76">
            <w:pPr>
              <w:rPr>
                <w:color w:val="auto"/>
              </w:rPr>
            </w:pPr>
          </w:p>
        </w:tc>
      </w:tr>
      <w:tr w14:paraId="6419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3C8ABE12">
            <w:pPr>
              <w:rPr>
                <w:color w:val="auto"/>
              </w:rPr>
            </w:pPr>
            <w:r>
              <w:rPr>
                <w:rFonts w:hint="eastAsia"/>
                <w:color w:val="auto"/>
              </w:rPr>
              <w:t>2</w:t>
            </w:r>
          </w:p>
        </w:tc>
        <w:tc>
          <w:tcPr>
            <w:tcW w:w="3939" w:type="dxa"/>
            <w:vAlign w:val="center"/>
          </w:tcPr>
          <w:p w14:paraId="21B5F7A9">
            <w:pPr>
              <w:rPr>
                <w:color w:val="auto"/>
                <w:szCs w:val="21"/>
              </w:rPr>
            </w:pPr>
            <w:r>
              <w:rPr>
                <w:rFonts w:ascii="Segoe UI Symbol" w:hAnsi="Segoe UI Symbol" w:cs="Segoe UI Symbol"/>
                <w:color w:val="auto"/>
                <w:szCs w:val="21"/>
              </w:rPr>
              <w:t>★</w:t>
            </w:r>
            <w:r>
              <w:rPr>
                <w:rFonts w:hint="eastAsia" w:eastAsia="宋体"/>
                <w:color w:val="auto"/>
              </w:rPr>
              <w:t>完全满足本项目★标记条款的要求。</w:t>
            </w:r>
          </w:p>
        </w:tc>
        <w:tc>
          <w:tcPr>
            <w:tcW w:w="1276" w:type="dxa"/>
          </w:tcPr>
          <w:p w14:paraId="10778D73">
            <w:pPr>
              <w:rPr>
                <w:color w:val="auto"/>
              </w:rPr>
            </w:pPr>
          </w:p>
        </w:tc>
        <w:tc>
          <w:tcPr>
            <w:tcW w:w="1276" w:type="dxa"/>
          </w:tcPr>
          <w:p w14:paraId="193237BE">
            <w:pPr>
              <w:rPr>
                <w:color w:val="auto"/>
              </w:rPr>
            </w:pPr>
          </w:p>
        </w:tc>
        <w:tc>
          <w:tcPr>
            <w:tcW w:w="1276" w:type="dxa"/>
          </w:tcPr>
          <w:p w14:paraId="340963E7">
            <w:pPr>
              <w:rPr>
                <w:color w:val="auto"/>
              </w:rPr>
            </w:pPr>
          </w:p>
        </w:tc>
      </w:tr>
    </w:tbl>
    <w:p w14:paraId="6E8C5B69">
      <w:pPr>
        <w:rPr>
          <w:color w:val="auto"/>
        </w:rPr>
      </w:pPr>
    </w:p>
    <w:p w14:paraId="03C5D8FE">
      <w:pPr>
        <w:ind w:firstLine="720"/>
        <w:jc w:val="both"/>
        <w:rPr>
          <w:color w:val="auto"/>
        </w:rPr>
      </w:pPr>
      <w:r>
        <w:rPr>
          <w:rFonts w:hint="eastAsia" w:eastAsia="宋体"/>
          <w:color w:val="auto"/>
        </w:rPr>
        <w:t>注：</w:t>
      </w:r>
      <w:r>
        <w:rPr>
          <w:rFonts w:hint="eastAsia"/>
          <w:color w:val="auto"/>
        </w:rPr>
        <w:t xml:space="preserve">1. </w:t>
      </w:r>
      <w:r>
        <w:rPr>
          <w:rFonts w:hint="eastAsia" w:eastAsia="宋体"/>
          <w:color w:val="auto"/>
        </w:rPr>
        <w:t>上表所列各项均为不可负偏离条款。</w:t>
      </w:r>
    </w:p>
    <w:p w14:paraId="13859DB7">
      <w:pPr>
        <w:ind w:firstLine="720"/>
        <w:jc w:val="both"/>
        <w:rPr>
          <w:color w:val="auto"/>
        </w:rPr>
      </w:pPr>
      <w:r>
        <w:rPr>
          <w:rFonts w:hint="eastAsia"/>
          <w:color w:val="auto"/>
        </w:rPr>
        <w:t>2.“</w:t>
      </w:r>
      <w:r>
        <w:rPr>
          <w:rFonts w:hint="eastAsia" w:eastAsia="宋体"/>
          <w:color w:val="auto"/>
        </w:rPr>
        <w:t>投标响应</w:t>
      </w:r>
      <w:r>
        <w:rPr>
          <w:color w:val="auto"/>
        </w:rPr>
        <w:t>”</w:t>
      </w:r>
      <w:r>
        <w:rPr>
          <w:rFonts w:hint="eastAsia" w:eastAsia="宋体"/>
          <w:color w:val="auto"/>
        </w:rPr>
        <w:t>一栏应当详细填写投标人自身响应情况，而不能不合理照搬照抄招实质性条款具体内容。</w:t>
      </w:r>
    </w:p>
    <w:p w14:paraId="6A46C95B">
      <w:pPr>
        <w:ind w:firstLine="720"/>
        <w:jc w:val="both"/>
        <w:rPr>
          <w:color w:val="auto"/>
          <w:szCs w:val="22"/>
        </w:rPr>
      </w:pPr>
      <w:r>
        <w:rPr>
          <w:rFonts w:hint="eastAsia"/>
          <w:color w:val="auto"/>
          <w:szCs w:val="22"/>
        </w:rPr>
        <w:t>3</w:t>
      </w:r>
      <w:r>
        <w:rPr>
          <w:color w:val="auto"/>
          <w:szCs w:val="22"/>
        </w:rPr>
        <w:t>.</w:t>
      </w:r>
      <w:r>
        <w:rPr>
          <w:rFonts w:hint="eastAsia"/>
          <w:color w:val="auto"/>
          <w:szCs w:val="22"/>
        </w:rPr>
        <w:t>“</w:t>
      </w:r>
      <w:r>
        <w:rPr>
          <w:rFonts w:hint="eastAsia" w:eastAsia="宋体"/>
          <w:color w:val="auto"/>
          <w:szCs w:val="22"/>
        </w:rPr>
        <w:t>偏离情况</w:t>
      </w:r>
      <w:r>
        <w:rPr>
          <w:color w:val="auto"/>
          <w:szCs w:val="22"/>
        </w:rPr>
        <w:t>”</w:t>
      </w:r>
      <w:r>
        <w:rPr>
          <w:rFonts w:hint="eastAsia" w:eastAsia="宋体"/>
          <w:color w:val="auto"/>
          <w:szCs w:val="22"/>
        </w:rPr>
        <w:t>一栏应填写</w:t>
      </w:r>
      <w:r>
        <w:rPr>
          <w:color w:val="auto"/>
          <w:szCs w:val="22"/>
        </w:rPr>
        <w:t>“</w:t>
      </w:r>
      <w:r>
        <w:rPr>
          <w:rFonts w:hint="eastAsia" w:eastAsia="宋体"/>
          <w:color w:val="auto"/>
          <w:szCs w:val="22"/>
        </w:rPr>
        <w:t>正偏离</w:t>
      </w:r>
      <w:r>
        <w:rPr>
          <w:color w:val="auto"/>
          <w:szCs w:val="22"/>
        </w:rPr>
        <w:t>”</w:t>
      </w:r>
      <w:r>
        <w:rPr>
          <w:rFonts w:hint="eastAsia" w:eastAsia="宋体"/>
          <w:color w:val="auto"/>
          <w:szCs w:val="22"/>
        </w:rPr>
        <w:t>、</w:t>
      </w:r>
      <w:r>
        <w:rPr>
          <w:color w:val="auto"/>
          <w:szCs w:val="22"/>
        </w:rPr>
        <w:t>“</w:t>
      </w:r>
      <w:r>
        <w:rPr>
          <w:rFonts w:hint="eastAsia" w:eastAsia="宋体"/>
          <w:color w:val="auto"/>
          <w:szCs w:val="22"/>
        </w:rPr>
        <w:t>负偏离</w:t>
      </w:r>
      <w:r>
        <w:rPr>
          <w:color w:val="auto"/>
          <w:szCs w:val="22"/>
        </w:rPr>
        <w:t>”</w:t>
      </w:r>
      <w:r>
        <w:rPr>
          <w:rFonts w:hint="eastAsia" w:eastAsia="宋体"/>
          <w:color w:val="auto"/>
          <w:szCs w:val="22"/>
        </w:rPr>
        <w:t>或</w:t>
      </w:r>
      <w:r>
        <w:rPr>
          <w:color w:val="auto"/>
          <w:szCs w:val="22"/>
        </w:rPr>
        <w:t>“</w:t>
      </w:r>
      <w:r>
        <w:rPr>
          <w:rFonts w:hint="eastAsia" w:eastAsia="宋体"/>
          <w:color w:val="auto"/>
          <w:szCs w:val="22"/>
        </w:rPr>
        <w:t>无偏离</w:t>
      </w:r>
      <w:r>
        <w:rPr>
          <w:color w:val="auto"/>
          <w:szCs w:val="22"/>
        </w:rPr>
        <w:t>”</w:t>
      </w:r>
      <w:r>
        <w:rPr>
          <w:rFonts w:hint="eastAsia" w:eastAsia="宋体"/>
          <w:color w:val="auto"/>
          <w:szCs w:val="22"/>
        </w:rPr>
        <w:t>，</w:t>
      </w:r>
      <w:r>
        <w:rPr>
          <w:rFonts w:hint="eastAsia"/>
          <w:color w:val="auto"/>
        </w:rPr>
        <w:t>“</w:t>
      </w:r>
      <w:r>
        <w:rPr>
          <w:rFonts w:hint="eastAsia" w:eastAsia="宋体"/>
          <w:color w:val="auto"/>
        </w:rPr>
        <w:t>正偏离</w:t>
      </w:r>
      <w:r>
        <w:rPr>
          <w:color w:val="auto"/>
        </w:rPr>
        <w:t>”</w:t>
      </w:r>
      <w:r>
        <w:rPr>
          <w:rFonts w:hint="eastAsia" w:eastAsia="宋体"/>
          <w:color w:val="auto"/>
        </w:rPr>
        <w:t>表示</w:t>
      </w:r>
      <w:r>
        <w:rPr>
          <w:color w:val="auto"/>
        </w:rPr>
        <w:t>“</w:t>
      </w:r>
      <w:r>
        <w:rPr>
          <w:rFonts w:hint="eastAsia" w:eastAsia="宋体"/>
          <w:color w:val="auto"/>
        </w:rPr>
        <w:t>投标响应优于实质性条款具体内容要求</w:t>
      </w:r>
      <w:r>
        <w:rPr>
          <w:color w:val="auto"/>
        </w:rPr>
        <w:t>”</w:t>
      </w:r>
      <w:r>
        <w:rPr>
          <w:rFonts w:hint="eastAsia" w:eastAsia="宋体"/>
          <w:color w:val="auto"/>
        </w:rPr>
        <w:t>，</w:t>
      </w:r>
      <w:r>
        <w:rPr>
          <w:color w:val="auto"/>
        </w:rPr>
        <w:t>“</w:t>
      </w:r>
      <w:r>
        <w:rPr>
          <w:rFonts w:hint="eastAsia" w:eastAsia="宋体"/>
          <w:color w:val="auto"/>
        </w:rPr>
        <w:t>负偏离</w:t>
      </w:r>
      <w:r>
        <w:rPr>
          <w:color w:val="auto"/>
        </w:rPr>
        <w:t>”</w:t>
      </w:r>
      <w:r>
        <w:rPr>
          <w:rFonts w:hint="eastAsia" w:eastAsia="宋体"/>
          <w:color w:val="auto"/>
        </w:rPr>
        <w:t>表示</w:t>
      </w:r>
      <w:r>
        <w:rPr>
          <w:color w:val="auto"/>
        </w:rPr>
        <w:t>“</w:t>
      </w:r>
      <w:r>
        <w:rPr>
          <w:rFonts w:hint="eastAsia" w:eastAsia="宋体"/>
          <w:color w:val="auto"/>
        </w:rPr>
        <w:t>投标响应不满足实质性条款具体内容要求</w:t>
      </w:r>
      <w:r>
        <w:rPr>
          <w:color w:val="auto"/>
        </w:rPr>
        <w:t>”</w:t>
      </w:r>
      <w:r>
        <w:rPr>
          <w:rFonts w:hint="eastAsia" w:eastAsia="宋体"/>
          <w:color w:val="auto"/>
        </w:rPr>
        <w:t>，</w:t>
      </w:r>
      <w:r>
        <w:rPr>
          <w:color w:val="auto"/>
        </w:rPr>
        <w:t>“</w:t>
      </w:r>
      <w:r>
        <w:rPr>
          <w:rFonts w:hint="eastAsia" w:eastAsia="宋体"/>
          <w:color w:val="auto"/>
        </w:rPr>
        <w:t>无偏离</w:t>
      </w:r>
      <w:r>
        <w:rPr>
          <w:color w:val="auto"/>
        </w:rPr>
        <w:t>”</w:t>
      </w:r>
      <w:r>
        <w:rPr>
          <w:rFonts w:hint="eastAsia" w:eastAsia="宋体"/>
          <w:color w:val="auto"/>
        </w:rPr>
        <w:t>表示</w:t>
      </w:r>
      <w:r>
        <w:rPr>
          <w:color w:val="auto"/>
        </w:rPr>
        <w:t>“</w:t>
      </w:r>
      <w:r>
        <w:rPr>
          <w:rFonts w:hint="eastAsia" w:eastAsia="宋体"/>
          <w:color w:val="auto"/>
        </w:rPr>
        <w:t>投标响应与实质性条款具体内容要求一致</w:t>
      </w:r>
      <w:r>
        <w:rPr>
          <w:color w:val="auto"/>
        </w:rPr>
        <w:t>”</w:t>
      </w:r>
      <w:r>
        <w:rPr>
          <w:rFonts w:hint="eastAsia" w:eastAsia="宋体"/>
          <w:color w:val="auto"/>
        </w:rPr>
        <w:t>。</w:t>
      </w:r>
    </w:p>
    <w:p w14:paraId="4DBD1B41">
      <w:pPr>
        <w:ind w:firstLine="720"/>
        <w:jc w:val="both"/>
        <w:rPr>
          <w:color w:val="auto"/>
        </w:rPr>
      </w:pPr>
      <w:r>
        <w:rPr>
          <w:color w:val="auto"/>
        </w:rPr>
        <w:t>4.</w:t>
      </w:r>
      <w:r>
        <w:rPr>
          <w:rFonts w:hint="eastAsia" w:eastAsia="宋体"/>
          <w:color w:val="auto"/>
        </w:rPr>
        <w:t>评审委员会有权对投标响应情况作出判断（作出评审结论）。</w:t>
      </w:r>
    </w:p>
    <w:p w14:paraId="7D024FBF">
      <w:pPr>
        <w:ind w:firstLine="720"/>
        <w:jc w:val="both"/>
        <w:rPr>
          <w:color w:val="auto"/>
        </w:rPr>
      </w:pPr>
      <w:r>
        <w:rPr>
          <w:color w:val="auto"/>
        </w:rPr>
        <w:t>5</w:t>
      </w:r>
      <w:r>
        <w:rPr>
          <w:rFonts w:hint="eastAsia"/>
          <w:color w:val="auto"/>
        </w:rPr>
        <w:t>.</w:t>
      </w:r>
      <w:r>
        <w:rPr>
          <w:rFonts w:hint="eastAsia" w:eastAsia="宋体"/>
          <w:color w:val="auto"/>
        </w:rPr>
        <w:t>实质性响应条款</w:t>
      </w:r>
      <w:r>
        <w:rPr>
          <w:color w:val="auto"/>
        </w:rPr>
        <w:t>“</w:t>
      </w:r>
      <w:r>
        <w:rPr>
          <w:rFonts w:hint="eastAsia" w:eastAsia="宋体"/>
          <w:color w:val="auto"/>
        </w:rPr>
        <w:t>投标响应情况</w:t>
      </w:r>
      <w:r>
        <w:rPr>
          <w:color w:val="auto"/>
        </w:rPr>
        <w:t>”</w:t>
      </w:r>
      <w:r>
        <w:rPr>
          <w:rFonts w:hint="eastAsia" w:eastAsia="宋体"/>
          <w:color w:val="auto"/>
        </w:rPr>
        <w:t>与投标文件其它内容冲突的，以实质性响应条款</w:t>
      </w:r>
      <w:r>
        <w:rPr>
          <w:color w:val="auto"/>
        </w:rPr>
        <w:t>“</w:t>
      </w:r>
      <w:r>
        <w:rPr>
          <w:rFonts w:hint="eastAsia" w:eastAsia="宋体"/>
          <w:color w:val="auto"/>
        </w:rPr>
        <w:t>投标响应情况</w:t>
      </w:r>
      <w:r>
        <w:rPr>
          <w:color w:val="auto"/>
        </w:rPr>
        <w:t>”</w:t>
      </w:r>
      <w:r>
        <w:rPr>
          <w:rFonts w:hint="eastAsia" w:eastAsia="宋体"/>
          <w:color w:val="auto"/>
        </w:rPr>
        <w:t>为准。</w:t>
      </w:r>
    </w:p>
    <w:p w14:paraId="7CC254A5">
      <w:pPr>
        <w:jc w:val="both"/>
        <w:rPr>
          <w:color w:val="auto"/>
        </w:rPr>
      </w:pPr>
    </w:p>
    <w:p w14:paraId="0C2E0A94">
      <w:pPr>
        <w:pStyle w:val="4"/>
        <w:rPr>
          <w:color w:val="auto"/>
        </w:rPr>
      </w:pPr>
      <w:r>
        <w:rPr>
          <w:rFonts w:hint="eastAsia"/>
          <w:color w:val="auto"/>
          <w:lang w:val="en-US" w:eastAsia="zh-CN"/>
        </w:rPr>
        <w:t>六</w:t>
      </w:r>
      <w:r>
        <w:rPr>
          <w:rFonts w:hint="eastAsia"/>
          <w:color w:val="auto"/>
        </w:rPr>
        <w:t>、服务网点(场地)</w:t>
      </w:r>
    </w:p>
    <w:p w14:paraId="15277ECC">
      <w:pPr>
        <w:rPr>
          <w:color w:val="auto"/>
        </w:rPr>
      </w:pPr>
    </w:p>
    <w:p w14:paraId="09EB71AF">
      <w:pPr>
        <w:pStyle w:val="4"/>
        <w:rPr>
          <w:color w:val="auto"/>
        </w:rPr>
      </w:pPr>
      <w:r>
        <w:rPr>
          <w:rFonts w:hint="eastAsia"/>
          <w:color w:val="auto"/>
          <w:lang w:val="en-US" w:eastAsia="zh-CN"/>
        </w:rPr>
        <w:t>七</w:t>
      </w:r>
      <w:r>
        <w:rPr>
          <w:rFonts w:hint="eastAsia"/>
          <w:color w:val="auto"/>
        </w:rPr>
        <w:t>、项目完成后的服务承诺</w:t>
      </w:r>
    </w:p>
    <w:p w14:paraId="54CCEA3A">
      <w:pPr>
        <w:rPr>
          <w:color w:val="auto"/>
        </w:rPr>
      </w:pPr>
    </w:p>
    <w:p w14:paraId="2BF67967">
      <w:pPr>
        <w:pStyle w:val="4"/>
        <w:rPr>
          <w:color w:val="auto"/>
        </w:rPr>
      </w:pPr>
      <w:r>
        <w:rPr>
          <w:rFonts w:hint="eastAsia"/>
          <w:color w:val="auto"/>
          <w:lang w:val="en-US" w:eastAsia="zh-CN"/>
        </w:rPr>
        <w:t>八</w:t>
      </w:r>
      <w:r>
        <w:rPr>
          <w:rFonts w:hint="eastAsia"/>
          <w:color w:val="auto"/>
        </w:rPr>
        <w:t>、投标人资格情况及通过相关认证情况</w:t>
      </w:r>
    </w:p>
    <w:p w14:paraId="57D95AC3">
      <w:pPr>
        <w:rPr>
          <w:color w:val="auto"/>
        </w:rPr>
      </w:pPr>
    </w:p>
    <w:p w14:paraId="0077CA18">
      <w:pPr>
        <w:rPr>
          <w:color w:val="auto"/>
        </w:rPr>
      </w:pPr>
    </w:p>
    <w:p w14:paraId="5433B130">
      <w:pPr>
        <w:pStyle w:val="4"/>
        <w:numPr>
          <w:ilvl w:val="-1"/>
          <w:numId w:val="0"/>
        </w:numPr>
        <w:rPr>
          <w:rFonts w:hint="eastAsia"/>
          <w:color w:val="auto"/>
          <w:lang w:val="en-US" w:eastAsia="zh-CN"/>
        </w:rPr>
      </w:pPr>
      <w:r>
        <w:rPr>
          <w:rFonts w:hint="eastAsia"/>
          <w:color w:val="auto"/>
          <w:lang w:val="en-US" w:eastAsia="zh-CN"/>
        </w:rPr>
        <w:t>九、投标人获奖(荣誉)情况</w:t>
      </w:r>
    </w:p>
    <w:p w14:paraId="235F3C12">
      <w:pPr>
        <w:numPr>
          <w:ilvl w:val="0"/>
          <w:numId w:val="0"/>
        </w:numPr>
        <w:rPr>
          <w:rFonts w:hint="eastAsia"/>
          <w:color w:val="auto"/>
          <w:lang w:val="en-US" w:eastAsia="zh-CN"/>
        </w:rPr>
      </w:pPr>
    </w:p>
    <w:p w14:paraId="53300DD8">
      <w:pPr>
        <w:pStyle w:val="4"/>
        <w:rPr>
          <w:rFonts w:hint="eastAsia"/>
          <w:color w:val="auto"/>
          <w:lang w:val="en-US" w:eastAsia="zh-CN"/>
        </w:rPr>
      </w:pPr>
      <w:r>
        <w:rPr>
          <w:rFonts w:hint="eastAsia"/>
          <w:color w:val="auto"/>
          <w:lang w:val="en-US" w:eastAsia="zh-CN"/>
        </w:rPr>
        <w:t>十、投标人自主知识产权产品(创新、设计)情况投标人自主知识产权产品(创新设计)情况</w:t>
      </w:r>
    </w:p>
    <w:p w14:paraId="0594E828">
      <w:pPr>
        <w:numPr>
          <w:ilvl w:val="0"/>
          <w:numId w:val="0"/>
        </w:numPr>
        <w:rPr>
          <w:rFonts w:hint="eastAsia"/>
          <w:color w:val="auto"/>
          <w:lang w:val="en-US" w:eastAsia="zh-CN"/>
        </w:rPr>
      </w:pPr>
    </w:p>
    <w:p w14:paraId="124FA493">
      <w:pPr>
        <w:rPr>
          <w:rFonts w:hint="eastAsia"/>
          <w:color w:val="auto"/>
          <w:lang w:val="en-US" w:eastAsia="zh-CN"/>
        </w:rPr>
      </w:pPr>
    </w:p>
    <w:p w14:paraId="63C97BB2">
      <w:pPr>
        <w:pStyle w:val="4"/>
        <w:rPr>
          <w:rFonts w:hint="eastAsia"/>
          <w:color w:val="auto"/>
          <w:lang w:val="en-US" w:eastAsia="zh-CN"/>
        </w:rPr>
      </w:pPr>
      <w:r>
        <w:rPr>
          <w:rFonts w:hint="eastAsia"/>
          <w:color w:val="auto"/>
          <w:lang w:val="en-US" w:eastAsia="zh-CN"/>
        </w:rPr>
        <w:t>十一、投标人近年同类项目业绩情况</w:t>
      </w:r>
    </w:p>
    <w:p w14:paraId="4BC16891">
      <w:pPr>
        <w:rPr>
          <w:rFonts w:hint="default"/>
          <w:color w:val="auto"/>
          <w:lang w:val="en-US" w:eastAsia="zh-CN"/>
        </w:rPr>
      </w:pPr>
    </w:p>
    <w:p w14:paraId="69027CE6">
      <w:pPr>
        <w:pStyle w:val="4"/>
        <w:rPr>
          <w:rFonts w:hint="eastAsia"/>
          <w:lang w:val="en-US" w:eastAsia="zh-CN"/>
        </w:rPr>
        <w:sectPr>
          <w:headerReference r:id="rId3" w:type="default"/>
          <w:footerReference r:id="rId4" w:type="default"/>
          <w:pgSz w:w="11906" w:h="16838"/>
          <w:pgMar w:top="1440" w:right="1080" w:bottom="1440" w:left="1080" w:header="851" w:footer="340" w:gutter="0"/>
          <w:pgNumType w:start="1"/>
          <w:cols w:space="720" w:num="1"/>
          <w:docGrid w:linePitch="312" w:charSpace="0"/>
        </w:sectPr>
      </w:pPr>
      <w:r>
        <w:rPr>
          <w:rFonts w:hint="eastAsia"/>
          <w:color w:val="auto"/>
          <w:lang w:val="en-US" w:eastAsia="zh-CN"/>
        </w:rPr>
        <w:t>十二、环保执行情况</w:t>
      </w:r>
    </w:p>
    <w:p w14:paraId="5ECA2CFD">
      <w:pPr>
        <w:pStyle w:val="16"/>
        <w:snapToGrid w:val="0"/>
        <w:spacing w:before="0" w:after="0"/>
        <w:outlineLvl w:val="2"/>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供应商基本情况表</w:t>
      </w:r>
    </w:p>
    <w:p w14:paraId="5815C742">
      <w:pPr>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填表单位：（加盖单位公章）</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 xml:space="preserve">   填表日期：    年   月   日</w:t>
      </w:r>
    </w:p>
    <w:tbl>
      <w:tblPr>
        <w:tblStyle w:val="19"/>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27BB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vAlign w:val="center"/>
          </w:tcPr>
          <w:p w14:paraId="207A7FA0">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采购人</w:t>
            </w:r>
          </w:p>
        </w:tc>
        <w:tc>
          <w:tcPr>
            <w:tcW w:w="2553" w:type="dxa"/>
            <w:gridSpan w:val="2"/>
            <w:vAlign w:val="center"/>
          </w:tcPr>
          <w:p w14:paraId="5E387EA0">
            <w:pPr>
              <w:widowControl w:val="0"/>
              <w:jc w:val="center"/>
              <w:rPr>
                <w:rFonts w:hint="eastAsia" w:ascii="方正仿宋_GBK" w:hAnsi="方正仿宋_GBK" w:eastAsia="方正仿宋_GBK" w:cs="方正仿宋_GBK"/>
                <w:sz w:val="24"/>
                <w:highlight w:val="none"/>
              </w:rPr>
            </w:pPr>
          </w:p>
        </w:tc>
        <w:tc>
          <w:tcPr>
            <w:tcW w:w="1991" w:type="dxa"/>
            <w:gridSpan w:val="2"/>
            <w:vAlign w:val="center"/>
          </w:tcPr>
          <w:p w14:paraId="7DDE7EEF">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2985" w:type="dxa"/>
            <w:gridSpan w:val="2"/>
            <w:vAlign w:val="center"/>
          </w:tcPr>
          <w:p w14:paraId="2C071B6A">
            <w:pPr>
              <w:widowControl w:val="0"/>
              <w:jc w:val="center"/>
              <w:rPr>
                <w:rFonts w:hint="eastAsia" w:ascii="方正仿宋_GBK" w:hAnsi="方正仿宋_GBK" w:eastAsia="方正仿宋_GBK" w:cs="方正仿宋_GBK"/>
                <w:sz w:val="24"/>
                <w:highlight w:val="none"/>
              </w:rPr>
            </w:pPr>
          </w:p>
        </w:tc>
      </w:tr>
      <w:tr w14:paraId="1D77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vAlign w:val="center"/>
          </w:tcPr>
          <w:p w14:paraId="67B1D976">
            <w:pPr>
              <w:widowControl w:val="0"/>
              <w:snapToGrid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投标（响应）供应商</w:t>
            </w:r>
          </w:p>
        </w:tc>
        <w:tc>
          <w:tcPr>
            <w:tcW w:w="2553" w:type="dxa"/>
            <w:gridSpan w:val="2"/>
            <w:vAlign w:val="center"/>
          </w:tcPr>
          <w:p w14:paraId="08124071">
            <w:pPr>
              <w:widowControl w:val="0"/>
              <w:jc w:val="center"/>
              <w:rPr>
                <w:rFonts w:hint="eastAsia" w:ascii="方正仿宋_GBK" w:hAnsi="方正仿宋_GBK" w:eastAsia="方正仿宋_GBK" w:cs="方正仿宋_GBK"/>
                <w:sz w:val="24"/>
                <w:highlight w:val="none"/>
              </w:rPr>
            </w:pPr>
          </w:p>
        </w:tc>
        <w:tc>
          <w:tcPr>
            <w:tcW w:w="1991" w:type="dxa"/>
            <w:gridSpan w:val="2"/>
            <w:vAlign w:val="center"/>
          </w:tcPr>
          <w:p w14:paraId="6B1FD546">
            <w:pPr>
              <w:widowControl w:val="0"/>
              <w:snapToGrid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供应商统一社会信用代码</w:t>
            </w:r>
          </w:p>
        </w:tc>
        <w:tc>
          <w:tcPr>
            <w:tcW w:w="2985" w:type="dxa"/>
            <w:gridSpan w:val="2"/>
            <w:vAlign w:val="center"/>
          </w:tcPr>
          <w:p w14:paraId="1438966B">
            <w:pPr>
              <w:widowControl w:val="0"/>
              <w:jc w:val="center"/>
              <w:rPr>
                <w:rFonts w:hint="eastAsia" w:ascii="方正仿宋_GBK" w:hAnsi="方正仿宋_GBK" w:eastAsia="方正仿宋_GBK" w:cs="方正仿宋_GBK"/>
                <w:sz w:val="24"/>
                <w:highlight w:val="none"/>
              </w:rPr>
            </w:pPr>
          </w:p>
        </w:tc>
      </w:tr>
      <w:tr w14:paraId="7F0B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vAlign w:val="center"/>
          </w:tcPr>
          <w:p w14:paraId="02C9F000">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投标（响应）供应商相关人员情况</w:t>
            </w:r>
          </w:p>
        </w:tc>
      </w:tr>
      <w:tr w14:paraId="49BF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vAlign w:val="center"/>
          </w:tcPr>
          <w:p w14:paraId="52C38845">
            <w:pPr>
              <w:widowControl w:val="0"/>
              <w:snapToGrid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序号</w:t>
            </w:r>
          </w:p>
        </w:tc>
        <w:tc>
          <w:tcPr>
            <w:tcW w:w="2282" w:type="dxa"/>
            <w:gridSpan w:val="2"/>
            <w:tcBorders>
              <w:bottom w:val="single" w:color="auto" w:sz="4" w:space="0"/>
            </w:tcBorders>
            <w:vAlign w:val="center"/>
          </w:tcPr>
          <w:p w14:paraId="28E2139E">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职务</w:t>
            </w:r>
          </w:p>
        </w:tc>
        <w:tc>
          <w:tcPr>
            <w:tcW w:w="947" w:type="dxa"/>
            <w:tcBorders>
              <w:bottom w:val="single" w:color="auto" w:sz="4" w:space="0"/>
            </w:tcBorders>
            <w:vAlign w:val="center"/>
          </w:tcPr>
          <w:p w14:paraId="272FB9F2">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姓名</w:t>
            </w:r>
          </w:p>
        </w:tc>
        <w:tc>
          <w:tcPr>
            <w:tcW w:w="1991" w:type="dxa"/>
            <w:gridSpan w:val="2"/>
            <w:tcBorders>
              <w:bottom w:val="single" w:color="auto" w:sz="4" w:space="0"/>
            </w:tcBorders>
            <w:vAlign w:val="center"/>
          </w:tcPr>
          <w:p w14:paraId="1F8D539A">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身份证号码</w:t>
            </w:r>
          </w:p>
        </w:tc>
        <w:tc>
          <w:tcPr>
            <w:tcW w:w="1500" w:type="dxa"/>
            <w:tcBorders>
              <w:bottom w:val="single" w:color="auto" w:sz="4" w:space="0"/>
            </w:tcBorders>
            <w:vAlign w:val="center"/>
          </w:tcPr>
          <w:p w14:paraId="3F78F879">
            <w:pPr>
              <w:widowControl w:val="0"/>
              <w:snapToGrid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劳动合同</w:t>
            </w:r>
          </w:p>
          <w:p w14:paraId="702DA1AF">
            <w:pPr>
              <w:widowControl w:val="0"/>
              <w:snapToGrid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关系单位</w:t>
            </w:r>
          </w:p>
        </w:tc>
        <w:tc>
          <w:tcPr>
            <w:tcW w:w="1485" w:type="dxa"/>
            <w:tcBorders>
              <w:bottom w:val="single" w:color="auto" w:sz="4" w:space="0"/>
            </w:tcBorders>
            <w:vAlign w:val="center"/>
          </w:tcPr>
          <w:p w14:paraId="406D56C6">
            <w:pPr>
              <w:widowControl w:val="0"/>
              <w:snapToGrid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缴纳社会</w:t>
            </w:r>
          </w:p>
          <w:p w14:paraId="5E5CE0A2">
            <w:pPr>
              <w:widowControl w:val="0"/>
              <w:snapToGrid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保险单位</w:t>
            </w:r>
          </w:p>
        </w:tc>
      </w:tr>
      <w:tr w14:paraId="6379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2D4A5D5">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57B9B306">
            <w:pPr>
              <w:widowControl w:val="0"/>
              <w:spacing w:line="460" w:lineRule="exact"/>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2"/>
                <w:szCs w:val="22"/>
                <w:highlight w:val="none"/>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7ED19DB3">
            <w:pPr>
              <w:widowControl w:val="0"/>
              <w:jc w:val="center"/>
              <w:rPr>
                <w:rFonts w:hint="eastAsia" w:ascii="方正仿宋_GBK" w:hAnsi="方正仿宋_GBK" w:eastAsia="方正仿宋_GBK" w:cs="方正仿宋_GBK"/>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6D445F7">
            <w:pPr>
              <w:widowControl w:val="0"/>
              <w:jc w:val="center"/>
              <w:rPr>
                <w:rFonts w:hint="eastAsia" w:ascii="方正仿宋_GBK" w:hAnsi="方正仿宋_GBK" w:eastAsia="方正仿宋_GBK" w:cs="方正仿宋_GBK"/>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6EE3D107">
            <w:pPr>
              <w:widowControl w:val="0"/>
              <w:jc w:val="center"/>
              <w:rPr>
                <w:rFonts w:hint="eastAsia" w:ascii="方正仿宋_GBK" w:hAnsi="方正仿宋_GBK" w:eastAsia="方正仿宋_GBK" w:cs="方正仿宋_GBK"/>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59719933">
            <w:pPr>
              <w:widowControl w:val="0"/>
              <w:jc w:val="center"/>
              <w:rPr>
                <w:rFonts w:hint="eastAsia" w:ascii="方正仿宋_GBK" w:hAnsi="方正仿宋_GBK" w:eastAsia="方正仿宋_GBK" w:cs="方正仿宋_GBK"/>
                <w:sz w:val="24"/>
                <w:highlight w:val="none"/>
              </w:rPr>
            </w:pPr>
          </w:p>
        </w:tc>
      </w:tr>
      <w:tr w14:paraId="453B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02C90557">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4B70BF59">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0F9E5691">
            <w:pPr>
              <w:widowControl w:val="0"/>
              <w:jc w:val="center"/>
              <w:rPr>
                <w:rFonts w:hint="eastAsia" w:ascii="方正仿宋_GBK" w:hAnsi="方正仿宋_GBK" w:eastAsia="方正仿宋_GBK" w:cs="方正仿宋_GBK"/>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6CED751">
            <w:pPr>
              <w:widowControl w:val="0"/>
              <w:jc w:val="center"/>
              <w:rPr>
                <w:rFonts w:hint="eastAsia" w:ascii="方正仿宋_GBK" w:hAnsi="方正仿宋_GBK" w:eastAsia="方正仿宋_GBK" w:cs="方正仿宋_GBK"/>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57155951">
            <w:pPr>
              <w:widowControl w:val="0"/>
              <w:jc w:val="center"/>
              <w:rPr>
                <w:rFonts w:hint="eastAsia" w:ascii="方正仿宋_GBK" w:hAnsi="方正仿宋_GBK" w:eastAsia="方正仿宋_GBK" w:cs="方正仿宋_GBK"/>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09D1775C">
            <w:pPr>
              <w:widowControl w:val="0"/>
              <w:jc w:val="center"/>
              <w:rPr>
                <w:rFonts w:hint="eastAsia" w:ascii="方正仿宋_GBK" w:hAnsi="方正仿宋_GBK" w:eastAsia="方正仿宋_GBK" w:cs="方正仿宋_GBK"/>
                <w:sz w:val="24"/>
                <w:highlight w:val="none"/>
              </w:rPr>
            </w:pPr>
          </w:p>
        </w:tc>
      </w:tr>
      <w:tr w14:paraId="7CD2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vAlign w:val="center"/>
          </w:tcPr>
          <w:p w14:paraId="0703D5DB">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bidi="ar"/>
              </w:rPr>
              <w:t>3</w:t>
            </w:r>
          </w:p>
        </w:tc>
        <w:tc>
          <w:tcPr>
            <w:tcW w:w="2282" w:type="dxa"/>
            <w:gridSpan w:val="2"/>
            <w:tcBorders>
              <w:top w:val="single" w:color="auto" w:sz="4" w:space="0"/>
            </w:tcBorders>
            <w:vAlign w:val="center"/>
          </w:tcPr>
          <w:p w14:paraId="18ED97EB">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项目负责人</w:t>
            </w:r>
          </w:p>
        </w:tc>
        <w:tc>
          <w:tcPr>
            <w:tcW w:w="947" w:type="dxa"/>
            <w:tcBorders>
              <w:top w:val="single" w:color="auto" w:sz="4" w:space="0"/>
            </w:tcBorders>
            <w:vAlign w:val="center"/>
          </w:tcPr>
          <w:p w14:paraId="092FC5C4">
            <w:pPr>
              <w:widowControl w:val="0"/>
              <w:jc w:val="center"/>
              <w:rPr>
                <w:rFonts w:hint="eastAsia" w:ascii="方正仿宋_GBK" w:hAnsi="方正仿宋_GBK" w:eastAsia="方正仿宋_GBK" w:cs="方正仿宋_GBK"/>
                <w:sz w:val="24"/>
                <w:highlight w:val="none"/>
              </w:rPr>
            </w:pPr>
          </w:p>
        </w:tc>
        <w:tc>
          <w:tcPr>
            <w:tcW w:w="1991" w:type="dxa"/>
            <w:gridSpan w:val="2"/>
            <w:tcBorders>
              <w:top w:val="single" w:color="auto" w:sz="4" w:space="0"/>
            </w:tcBorders>
            <w:vAlign w:val="center"/>
          </w:tcPr>
          <w:p w14:paraId="0AC776E4">
            <w:pPr>
              <w:widowControl w:val="0"/>
              <w:jc w:val="center"/>
              <w:rPr>
                <w:rFonts w:hint="eastAsia" w:ascii="方正仿宋_GBK" w:hAnsi="方正仿宋_GBK" w:eastAsia="方正仿宋_GBK" w:cs="方正仿宋_GBK"/>
                <w:sz w:val="24"/>
                <w:highlight w:val="none"/>
              </w:rPr>
            </w:pPr>
          </w:p>
        </w:tc>
        <w:tc>
          <w:tcPr>
            <w:tcW w:w="1500" w:type="dxa"/>
            <w:tcBorders>
              <w:top w:val="single" w:color="auto" w:sz="4" w:space="0"/>
            </w:tcBorders>
            <w:vAlign w:val="center"/>
          </w:tcPr>
          <w:p w14:paraId="77BC5F80">
            <w:pPr>
              <w:widowControl w:val="0"/>
              <w:jc w:val="center"/>
              <w:rPr>
                <w:rFonts w:hint="eastAsia" w:ascii="方正仿宋_GBK" w:hAnsi="方正仿宋_GBK" w:eastAsia="方正仿宋_GBK" w:cs="方正仿宋_GBK"/>
                <w:sz w:val="24"/>
                <w:highlight w:val="none"/>
              </w:rPr>
            </w:pPr>
          </w:p>
        </w:tc>
        <w:tc>
          <w:tcPr>
            <w:tcW w:w="1485" w:type="dxa"/>
            <w:tcBorders>
              <w:top w:val="single" w:color="auto" w:sz="4" w:space="0"/>
            </w:tcBorders>
            <w:vAlign w:val="center"/>
          </w:tcPr>
          <w:p w14:paraId="69D31EFE">
            <w:pPr>
              <w:widowControl w:val="0"/>
              <w:jc w:val="center"/>
              <w:rPr>
                <w:rFonts w:hint="eastAsia" w:ascii="方正仿宋_GBK" w:hAnsi="方正仿宋_GBK" w:eastAsia="方正仿宋_GBK" w:cs="方正仿宋_GBK"/>
                <w:sz w:val="24"/>
                <w:highlight w:val="none"/>
              </w:rPr>
            </w:pPr>
          </w:p>
        </w:tc>
      </w:tr>
      <w:tr w14:paraId="05E7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0C51C5C">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bidi="ar"/>
              </w:rPr>
              <w:t>4</w:t>
            </w:r>
          </w:p>
        </w:tc>
        <w:tc>
          <w:tcPr>
            <w:tcW w:w="2282" w:type="dxa"/>
            <w:gridSpan w:val="2"/>
            <w:vAlign w:val="center"/>
          </w:tcPr>
          <w:p w14:paraId="062E58D9">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主要技术人员</w:t>
            </w:r>
          </w:p>
        </w:tc>
        <w:tc>
          <w:tcPr>
            <w:tcW w:w="947" w:type="dxa"/>
            <w:vAlign w:val="center"/>
          </w:tcPr>
          <w:p w14:paraId="2B816EC9">
            <w:pPr>
              <w:widowControl w:val="0"/>
              <w:jc w:val="center"/>
              <w:rPr>
                <w:rFonts w:hint="eastAsia" w:ascii="方正仿宋_GBK" w:hAnsi="方正仿宋_GBK" w:eastAsia="方正仿宋_GBK" w:cs="方正仿宋_GBK"/>
                <w:sz w:val="24"/>
                <w:highlight w:val="none"/>
              </w:rPr>
            </w:pPr>
          </w:p>
        </w:tc>
        <w:tc>
          <w:tcPr>
            <w:tcW w:w="1991" w:type="dxa"/>
            <w:gridSpan w:val="2"/>
            <w:vAlign w:val="center"/>
          </w:tcPr>
          <w:p w14:paraId="591CBBE0">
            <w:pPr>
              <w:widowControl w:val="0"/>
              <w:jc w:val="center"/>
              <w:rPr>
                <w:rFonts w:hint="eastAsia" w:ascii="方正仿宋_GBK" w:hAnsi="方正仿宋_GBK" w:eastAsia="方正仿宋_GBK" w:cs="方正仿宋_GBK"/>
                <w:sz w:val="24"/>
                <w:highlight w:val="none"/>
              </w:rPr>
            </w:pPr>
          </w:p>
        </w:tc>
        <w:tc>
          <w:tcPr>
            <w:tcW w:w="1500" w:type="dxa"/>
            <w:vAlign w:val="center"/>
          </w:tcPr>
          <w:p w14:paraId="2CDD8ADF">
            <w:pPr>
              <w:widowControl w:val="0"/>
              <w:jc w:val="center"/>
              <w:rPr>
                <w:rFonts w:hint="eastAsia" w:ascii="方正仿宋_GBK" w:hAnsi="方正仿宋_GBK" w:eastAsia="方正仿宋_GBK" w:cs="方正仿宋_GBK"/>
                <w:sz w:val="24"/>
                <w:highlight w:val="none"/>
              </w:rPr>
            </w:pPr>
          </w:p>
        </w:tc>
        <w:tc>
          <w:tcPr>
            <w:tcW w:w="1485" w:type="dxa"/>
            <w:vAlign w:val="center"/>
          </w:tcPr>
          <w:p w14:paraId="7338DF74">
            <w:pPr>
              <w:widowControl w:val="0"/>
              <w:jc w:val="center"/>
              <w:rPr>
                <w:rFonts w:hint="eastAsia" w:ascii="方正仿宋_GBK" w:hAnsi="方正仿宋_GBK" w:eastAsia="方正仿宋_GBK" w:cs="方正仿宋_GBK"/>
                <w:sz w:val="24"/>
                <w:highlight w:val="none"/>
              </w:rPr>
            </w:pPr>
          </w:p>
        </w:tc>
      </w:tr>
      <w:tr w14:paraId="23C3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52FD47E4">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bidi="ar"/>
              </w:rPr>
              <w:t>5</w:t>
            </w:r>
          </w:p>
        </w:tc>
        <w:tc>
          <w:tcPr>
            <w:tcW w:w="2282" w:type="dxa"/>
            <w:gridSpan w:val="2"/>
            <w:vAlign w:val="center"/>
          </w:tcPr>
          <w:p w14:paraId="4CB94C46">
            <w:pPr>
              <w:pStyle w:val="7"/>
              <w:widowControl w:val="0"/>
              <w:snapToGrid w:val="0"/>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投标文件编制人员</w:t>
            </w:r>
          </w:p>
        </w:tc>
        <w:tc>
          <w:tcPr>
            <w:tcW w:w="947" w:type="dxa"/>
            <w:vAlign w:val="center"/>
          </w:tcPr>
          <w:p w14:paraId="6C956C26">
            <w:pPr>
              <w:widowControl w:val="0"/>
              <w:jc w:val="center"/>
              <w:rPr>
                <w:rFonts w:hint="eastAsia" w:ascii="方正仿宋_GBK" w:hAnsi="方正仿宋_GBK" w:eastAsia="方正仿宋_GBK" w:cs="方正仿宋_GBK"/>
                <w:sz w:val="24"/>
                <w:highlight w:val="none"/>
              </w:rPr>
            </w:pPr>
          </w:p>
        </w:tc>
        <w:tc>
          <w:tcPr>
            <w:tcW w:w="1991" w:type="dxa"/>
            <w:gridSpan w:val="2"/>
            <w:vAlign w:val="center"/>
          </w:tcPr>
          <w:p w14:paraId="0977431B">
            <w:pPr>
              <w:widowControl w:val="0"/>
              <w:jc w:val="center"/>
              <w:rPr>
                <w:rFonts w:hint="eastAsia" w:ascii="方正仿宋_GBK" w:hAnsi="方正仿宋_GBK" w:eastAsia="方正仿宋_GBK" w:cs="方正仿宋_GBK"/>
                <w:sz w:val="24"/>
                <w:highlight w:val="none"/>
              </w:rPr>
            </w:pPr>
          </w:p>
        </w:tc>
        <w:tc>
          <w:tcPr>
            <w:tcW w:w="1500" w:type="dxa"/>
            <w:vAlign w:val="center"/>
          </w:tcPr>
          <w:p w14:paraId="207B76AA">
            <w:pPr>
              <w:widowControl w:val="0"/>
              <w:jc w:val="center"/>
              <w:rPr>
                <w:rFonts w:hint="eastAsia" w:ascii="方正仿宋_GBK" w:hAnsi="方正仿宋_GBK" w:eastAsia="方正仿宋_GBK" w:cs="方正仿宋_GBK"/>
                <w:sz w:val="24"/>
                <w:highlight w:val="none"/>
              </w:rPr>
            </w:pPr>
          </w:p>
        </w:tc>
        <w:tc>
          <w:tcPr>
            <w:tcW w:w="1485" w:type="dxa"/>
            <w:vAlign w:val="center"/>
          </w:tcPr>
          <w:p w14:paraId="6D66530A">
            <w:pPr>
              <w:widowControl w:val="0"/>
              <w:jc w:val="center"/>
              <w:rPr>
                <w:rFonts w:hint="eastAsia" w:ascii="方正仿宋_GBK" w:hAnsi="方正仿宋_GBK" w:eastAsia="方正仿宋_GBK" w:cs="方正仿宋_GBK"/>
                <w:sz w:val="24"/>
                <w:highlight w:val="none"/>
              </w:rPr>
            </w:pPr>
          </w:p>
        </w:tc>
      </w:tr>
      <w:tr w14:paraId="645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vAlign w:val="center"/>
          </w:tcPr>
          <w:p w14:paraId="2802D3C7">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说明：同一职务有多人担任（如主要技术人员），应分行填写。</w:t>
            </w:r>
          </w:p>
        </w:tc>
      </w:tr>
      <w:tr w14:paraId="1F1F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vAlign w:val="center"/>
          </w:tcPr>
          <w:p w14:paraId="217D2DB5">
            <w:pPr>
              <w:widowControl w:val="0"/>
              <w:jc w:val="center"/>
              <w:rPr>
                <w:rFonts w:hint="eastAsia"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投标（响应）供应商关联关系情况</w:t>
            </w:r>
          </w:p>
        </w:tc>
      </w:tr>
      <w:tr w14:paraId="4937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vAlign w:val="center"/>
          </w:tcPr>
          <w:p w14:paraId="1B846DF6">
            <w:pPr>
              <w:widowControl w:val="0"/>
              <w:jc w:val="center"/>
              <w:rPr>
                <w:rFonts w:hint="eastAsia" w:ascii="方正仿宋_GBK" w:hAnsi="方正仿宋_GBK" w:eastAsia="方正仿宋_GBK" w:cs="方正仿宋_GBK"/>
                <w:sz w:val="24"/>
                <w:highlight w:val="none"/>
                <w:lang w:bidi="ar"/>
              </w:rPr>
            </w:pPr>
            <w:r>
              <w:rPr>
                <w:rFonts w:hint="eastAsia" w:ascii="方正仿宋_GBK" w:hAnsi="方正仿宋_GBK" w:eastAsia="方正仿宋_GBK" w:cs="方正仿宋_GBK"/>
                <w:sz w:val="24"/>
                <w:highlight w:val="none"/>
                <w:lang w:bidi="ar"/>
              </w:rPr>
              <w:t>序号</w:t>
            </w:r>
          </w:p>
        </w:tc>
        <w:tc>
          <w:tcPr>
            <w:tcW w:w="2282" w:type="dxa"/>
            <w:gridSpan w:val="2"/>
            <w:tcBorders>
              <w:bottom w:val="single" w:color="auto" w:sz="4" w:space="0"/>
            </w:tcBorders>
            <w:vAlign w:val="center"/>
          </w:tcPr>
          <w:p w14:paraId="2E73C03A">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关联关系类型</w:t>
            </w:r>
          </w:p>
        </w:tc>
        <w:tc>
          <w:tcPr>
            <w:tcW w:w="1738" w:type="dxa"/>
            <w:gridSpan w:val="2"/>
            <w:tcBorders>
              <w:bottom w:val="single" w:color="auto" w:sz="4" w:space="0"/>
            </w:tcBorders>
            <w:vAlign w:val="center"/>
          </w:tcPr>
          <w:p w14:paraId="5464F5AE">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关联主体名称</w:t>
            </w:r>
          </w:p>
        </w:tc>
        <w:tc>
          <w:tcPr>
            <w:tcW w:w="4185" w:type="dxa"/>
            <w:gridSpan w:val="3"/>
            <w:tcBorders>
              <w:bottom w:val="single" w:color="auto" w:sz="4" w:space="0"/>
            </w:tcBorders>
            <w:vAlign w:val="center"/>
          </w:tcPr>
          <w:p w14:paraId="68168A23">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备注</w:t>
            </w:r>
          </w:p>
        </w:tc>
      </w:tr>
      <w:tr w14:paraId="655F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6BB82ECD">
            <w:pPr>
              <w:widowControl w:val="0"/>
              <w:jc w:val="center"/>
              <w:rPr>
                <w:rFonts w:hint="eastAsia" w:ascii="方正仿宋_GBK" w:hAnsi="方正仿宋_GBK" w:eastAsia="方正仿宋_GBK" w:cs="方正仿宋_GBK"/>
                <w:sz w:val="24"/>
                <w:highlight w:val="none"/>
                <w:lang w:bidi="ar"/>
              </w:rPr>
            </w:pPr>
            <w:r>
              <w:rPr>
                <w:rFonts w:hint="eastAsia" w:ascii="方正仿宋_GBK" w:hAnsi="方正仿宋_GBK" w:eastAsia="方正仿宋_GBK" w:cs="方正仿宋_GBK"/>
                <w:sz w:val="24"/>
                <w:highlight w:val="none"/>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1C6D3081">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0921EC95">
            <w:pPr>
              <w:widowControl w:val="0"/>
              <w:jc w:val="center"/>
              <w:rPr>
                <w:rFonts w:hint="eastAsia" w:ascii="方正仿宋_GBK" w:hAnsi="方正仿宋_GBK" w:eastAsia="方正仿宋_GBK" w:cs="方正仿宋_GBK"/>
                <w:sz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63861699">
            <w:pPr>
              <w:widowControl w:val="0"/>
              <w:snapToGrid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256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1231AF4D">
            <w:pPr>
              <w:widowControl w:val="0"/>
              <w:jc w:val="center"/>
              <w:rPr>
                <w:rFonts w:hint="eastAsia" w:ascii="方正仿宋_GBK" w:hAnsi="方正仿宋_GBK" w:eastAsia="方正仿宋_GBK" w:cs="方正仿宋_GBK"/>
                <w:sz w:val="24"/>
                <w:highlight w:val="none"/>
                <w:lang w:bidi="ar"/>
              </w:rPr>
            </w:pPr>
            <w:r>
              <w:rPr>
                <w:rFonts w:hint="eastAsia" w:ascii="方正仿宋_GBK" w:hAnsi="方正仿宋_GBK" w:eastAsia="方正仿宋_GBK" w:cs="方正仿宋_GBK"/>
                <w:sz w:val="24"/>
                <w:highlight w:val="none"/>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DD701B3">
            <w:pPr>
              <w:widowControl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4CA4365C">
            <w:pPr>
              <w:widowControl w:val="0"/>
              <w:jc w:val="center"/>
              <w:rPr>
                <w:rFonts w:hint="eastAsia" w:ascii="方正仿宋_GBK" w:hAnsi="方正仿宋_GBK" w:eastAsia="方正仿宋_GBK" w:cs="方正仿宋_GBK"/>
                <w:sz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3D58AAEF">
            <w:pPr>
              <w:widowControl w:val="0"/>
              <w:snapToGrid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指对投标（响应）供应商不具有出资持股关系，但对其存在管理关系的主体。</w:t>
            </w:r>
          </w:p>
        </w:tc>
      </w:tr>
      <w:tr w14:paraId="1AE4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vAlign w:val="center"/>
          </w:tcPr>
          <w:p w14:paraId="77FCE64A">
            <w:pPr>
              <w:widowControl w:val="0"/>
              <w:snapToGrid w:val="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说明：同一关联关系类型有多个主体的，应分行填写。</w:t>
            </w:r>
          </w:p>
        </w:tc>
      </w:tr>
    </w:tbl>
    <w:p w14:paraId="1DE15CEF">
      <w:pPr>
        <w:jc w:val="both"/>
        <w:rPr>
          <w:color w:val="auto"/>
        </w:rPr>
      </w:pPr>
    </w:p>
    <w:p w14:paraId="0B014AA9">
      <w:pPr>
        <w:rPr>
          <w:color w:val="auto"/>
        </w:rPr>
      </w:pPr>
    </w:p>
    <w:p w14:paraId="27790B9D">
      <w:pPr>
        <w:rPr>
          <w:rFonts w:hint="eastAsia"/>
          <w:color w:val="auto"/>
        </w:rPr>
      </w:pPr>
      <w:bookmarkStart w:id="63" w:name="OLE_LINK88"/>
      <w:bookmarkStart w:id="64" w:name="OLE_LINK87"/>
      <w:r>
        <w:rPr>
          <w:rFonts w:hint="eastAsia"/>
          <w:color w:val="auto"/>
        </w:rPr>
        <w:br w:type="page"/>
      </w:r>
    </w:p>
    <w:p w14:paraId="3CA7DEFF">
      <w:pPr>
        <w:spacing w:before="93" w:line="219" w:lineRule="auto"/>
        <w:jc w:val="left"/>
        <w:outlineLvl w:val="0"/>
        <w:rPr>
          <w:rFonts w:hint="eastAsia" w:ascii="仿宋" w:hAnsi="仿宋" w:eastAsia="仿宋" w:cs="仿宋"/>
          <w:color w:val="auto"/>
          <w:spacing w:val="16"/>
          <w:sz w:val="32"/>
          <w:szCs w:val="32"/>
        </w:rPr>
      </w:pPr>
      <w:r>
        <w:rPr>
          <w:rFonts w:hint="eastAsia" w:ascii="仿宋" w:hAnsi="仿宋" w:eastAsia="仿宋" w:cs="仿宋"/>
          <w:color w:val="auto"/>
          <w:spacing w:val="16"/>
          <w:sz w:val="32"/>
          <w:szCs w:val="32"/>
          <w:lang w:val="en-US" w:eastAsia="zh-CN"/>
        </w:rPr>
        <w:t>2、</w:t>
      </w:r>
      <w:r>
        <w:rPr>
          <w:rFonts w:hint="eastAsia" w:ascii="仿宋" w:hAnsi="仿宋" w:eastAsia="仿宋" w:cs="仿宋"/>
          <w:color w:val="auto"/>
          <w:spacing w:val="16"/>
          <w:sz w:val="32"/>
          <w:szCs w:val="32"/>
        </w:rPr>
        <w:t>投标文件正文-技术标</w:t>
      </w:r>
    </w:p>
    <w:bookmarkEnd w:id="63"/>
    <w:bookmarkEnd w:id="64"/>
    <w:p w14:paraId="4CFEAC57">
      <w:pPr>
        <w:pStyle w:val="4"/>
        <w:rPr>
          <w:color w:val="auto"/>
        </w:rPr>
      </w:pPr>
      <w:r>
        <w:rPr>
          <w:rFonts w:hint="eastAsia"/>
          <w:color w:val="auto"/>
        </w:rPr>
        <w:t>一、</w:t>
      </w:r>
      <w:bookmarkStart w:id="65" w:name="_Hlk72092499"/>
      <w:r>
        <w:rPr>
          <w:rFonts w:hint="eastAsia"/>
          <w:color w:val="auto"/>
        </w:rPr>
        <w:t>法定代表人（负责人）证明书</w:t>
      </w:r>
      <w:bookmarkEnd w:id="65"/>
    </w:p>
    <w:p w14:paraId="09182B37">
      <w:pPr>
        <w:rPr>
          <w:color w:val="auto"/>
        </w:rPr>
      </w:pPr>
    </w:p>
    <w:p w14:paraId="1CDD00C1">
      <w:pPr>
        <w:ind w:firstLine="720"/>
        <w:jc w:val="both"/>
        <w:rPr>
          <w:color w:val="auto"/>
        </w:rPr>
      </w:pPr>
      <w:r>
        <w:rPr>
          <w:rFonts w:hint="eastAsia" w:ascii="宋体" w:hAnsi="宋体" w:eastAsia="宋体" w:cs="宋体"/>
          <w:color w:val="auto"/>
        </w:rPr>
        <w:t>法定代表人姓名：</w:t>
      </w:r>
      <w:r>
        <w:rPr>
          <w:rFonts w:hint="eastAsia"/>
          <w:color w:val="auto"/>
        </w:rPr>
        <w:t xml:space="preserve">          </w:t>
      </w:r>
      <w:r>
        <w:rPr>
          <w:rFonts w:hint="eastAsia" w:ascii="宋体" w:hAnsi="宋体" w:eastAsia="宋体" w:cs="宋体"/>
          <w:color w:val="auto"/>
        </w:rPr>
        <w:t>身份证号：</w:t>
      </w:r>
      <w:r>
        <w:rPr>
          <w:rFonts w:hint="eastAsia"/>
          <w:color w:val="auto"/>
        </w:rPr>
        <w:t xml:space="preserve">                  </w:t>
      </w:r>
      <w:r>
        <w:rPr>
          <w:rFonts w:hint="eastAsia" w:ascii="宋体" w:hAnsi="宋体" w:eastAsia="宋体" w:cs="宋体"/>
          <w:color w:val="auto"/>
        </w:rPr>
        <w:t>联系电话：</w:t>
      </w:r>
      <w:r>
        <w:rPr>
          <w:rFonts w:hint="eastAsia"/>
          <w:color w:val="auto"/>
        </w:rPr>
        <w:t xml:space="preserve">             </w:t>
      </w:r>
    </w:p>
    <w:p w14:paraId="06868573">
      <w:pPr>
        <w:jc w:val="both"/>
        <w:rPr>
          <w:color w:val="auto"/>
        </w:rPr>
      </w:pPr>
    </w:p>
    <w:p w14:paraId="61350DEA">
      <w:pPr>
        <w:ind w:firstLine="720"/>
        <w:jc w:val="both"/>
        <w:rPr>
          <w:color w:val="auto"/>
        </w:rPr>
      </w:pPr>
      <w:r>
        <w:rPr>
          <w:rFonts w:hint="eastAsia"/>
          <w:color w:val="auto"/>
          <w:u w:val="single"/>
        </w:rPr>
        <w:t xml:space="preserve">         </w:t>
      </w:r>
      <w:r>
        <w:rPr>
          <w:rFonts w:hint="eastAsia" w:eastAsia="宋体"/>
          <w:color w:val="auto"/>
        </w:rPr>
        <w:t>同志，现任我单位</w:t>
      </w:r>
      <w:r>
        <w:rPr>
          <w:rFonts w:hint="eastAsia"/>
          <w:color w:val="auto"/>
          <w:u w:val="single"/>
        </w:rPr>
        <w:t xml:space="preserve">         </w:t>
      </w:r>
      <w:r>
        <w:rPr>
          <w:rFonts w:hint="eastAsia" w:eastAsia="宋体"/>
          <w:color w:val="auto"/>
        </w:rPr>
        <w:t>职务，为法定代表人（负责人），特此证明。</w:t>
      </w:r>
    </w:p>
    <w:p w14:paraId="6CFD7538">
      <w:pPr>
        <w:jc w:val="both"/>
        <w:rPr>
          <w:color w:val="auto"/>
        </w:rPr>
      </w:pPr>
      <w:r>
        <w:rPr>
          <w:rFonts w:hint="eastAsia"/>
          <w:color w:val="auto"/>
        </w:rPr>
        <w:t xml:space="preserve">         </w:t>
      </w:r>
    </w:p>
    <w:p w14:paraId="2E2559A0">
      <w:pPr>
        <w:ind w:firstLine="720"/>
        <w:jc w:val="both"/>
        <w:rPr>
          <w:color w:val="auto"/>
        </w:rPr>
      </w:pPr>
      <w:r>
        <w:rPr>
          <w:rFonts w:hint="eastAsia" w:eastAsia="宋体"/>
          <w:color w:val="auto"/>
        </w:rPr>
        <w:t>说明：</w:t>
      </w:r>
      <w:r>
        <w:rPr>
          <w:rFonts w:hint="eastAsia"/>
          <w:color w:val="auto"/>
        </w:rPr>
        <w:t>1</w:t>
      </w:r>
      <w:r>
        <w:rPr>
          <w:rFonts w:hint="eastAsia" w:eastAsia="宋体"/>
          <w:color w:val="auto"/>
        </w:rPr>
        <w:t>、法定代表人为投标人（企业事业单位、国家机关、社会团体）的主要行政负责人。</w:t>
      </w:r>
    </w:p>
    <w:p w14:paraId="3CDF9652">
      <w:pPr>
        <w:ind w:firstLine="720"/>
        <w:jc w:val="both"/>
        <w:rPr>
          <w:color w:val="auto"/>
        </w:rPr>
      </w:pPr>
      <w:r>
        <w:rPr>
          <w:rFonts w:hint="eastAsia"/>
          <w:color w:val="auto"/>
        </w:rPr>
        <w:t>2</w:t>
      </w:r>
      <w:r>
        <w:rPr>
          <w:rFonts w:hint="eastAsia" w:eastAsia="宋体"/>
          <w:color w:val="auto"/>
        </w:rPr>
        <w:t>、本证明书要求投标供应商同时提供法定代表人（负责人）的身份证扫描件（正反两面）作为附件方为有效；</w:t>
      </w:r>
    </w:p>
    <w:p w14:paraId="4E434FA3">
      <w:pPr>
        <w:ind w:firstLine="720"/>
        <w:jc w:val="both"/>
        <w:rPr>
          <w:color w:val="auto"/>
        </w:rPr>
      </w:pPr>
      <w:r>
        <w:rPr>
          <w:rFonts w:hint="eastAsia"/>
          <w:color w:val="auto"/>
        </w:rPr>
        <w:t>3</w:t>
      </w:r>
      <w:r>
        <w:rPr>
          <w:rFonts w:hint="eastAsia" w:eastAsia="宋体"/>
          <w:color w:val="auto"/>
        </w:rPr>
        <w:t>、如是法定代表人（负责人）直接参与投标，必须填写《法定代表人（负责人）证明书》，可不用填写《投标文件签署授权委托书》。</w:t>
      </w:r>
    </w:p>
    <w:p w14:paraId="160145AD">
      <w:pPr>
        <w:ind w:firstLine="720"/>
        <w:jc w:val="both"/>
        <w:rPr>
          <w:color w:val="auto"/>
        </w:rPr>
      </w:pPr>
      <w:r>
        <w:rPr>
          <w:rFonts w:hint="eastAsia"/>
          <w:color w:val="auto"/>
        </w:rPr>
        <w:t>4</w:t>
      </w:r>
      <w:r>
        <w:rPr>
          <w:rFonts w:hint="eastAsia" w:eastAsia="宋体"/>
          <w:color w:val="auto"/>
        </w:rPr>
        <w:t>、内容必须填写真实、清楚，涂改无效，不得转让、买卖。</w:t>
      </w:r>
    </w:p>
    <w:p w14:paraId="4B7DBD7B">
      <w:pPr>
        <w:rPr>
          <w:color w:val="auto"/>
        </w:rPr>
      </w:pPr>
    </w:p>
    <w:p w14:paraId="44475538">
      <w:pPr>
        <w:rPr>
          <w:color w:val="auto"/>
        </w:rPr>
      </w:pPr>
    </w:p>
    <w:p w14:paraId="724543D7">
      <w:pPr>
        <w:pStyle w:val="4"/>
        <w:rPr>
          <w:color w:val="auto"/>
        </w:rPr>
      </w:pPr>
      <w:r>
        <w:rPr>
          <w:rFonts w:hint="eastAsia"/>
          <w:color w:val="auto"/>
        </w:rPr>
        <w:t>二、投标文件签署授权委托书</w:t>
      </w:r>
    </w:p>
    <w:p w14:paraId="59C78864">
      <w:pPr>
        <w:ind w:firstLine="720"/>
        <w:jc w:val="both"/>
        <w:rPr>
          <w:color w:val="auto"/>
        </w:rPr>
      </w:pPr>
      <w:r>
        <w:rPr>
          <w:rFonts w:hint="eastAsia" w:eastAsia="宋体"/>
          <w:color w:val="auto"/>
        </w:rPr>
        <w:t>本授权委托书声明：我</w:t>
      </w:r>
      <w:r>
        <w:rPr>
          <w:rFonts w:hint="eastAsia"/>
          <w:color w:val="auto"/>
          <w:u w:val="single"/>
        </w:rPr>
        <w:t xml:space="preserve">   </w:t>
      </w:r>
      <w:r>
        <w:rPr>
          <w:rFonts w:hint="eastAsia" w:eastAsia="宋体"/>
          <w:color w:val="auto"/>
          <w:u w:val="single"/>
        </w:rPr>
        <w:t>（委托人姓名）</w:t>
      </w:r>
      <w:r>
        <w:rPr>
          <w:rFonts w:hint="eastAsia"/>
          <w:color w:val="auto"/>
          <w:u w:val="single"/>
        </w:rPr>
        <w:t xml:space="preserve">  </w:t>
      </w:r>
      <w:r>
        <w:rPr>
          <w:rFonts w:hint="eastAsia" w:eastAsia="宋体"/>
          <w:color w:val="auto"/>
        </w:rPr>
        <w:t>系</w:t>
      </w:r>
      <w:r>
        <w:rPr>
          <w:rFonts w:hint="eastAsia"/>
          <w:color w:val="auto"/>
          <w:u w:val="single"/>
        </w:rPr>
        <w:t xml:space="preserve">    </w:t>
      </w:r>
      <w:r>
        <w:rPr>
          <w:rFonts w:hint="eastAsia" w:eastAsia="宋体"/>
          <w:color w:val="auto"/>
          <w:u w:val="single"/>
        </w:rPr>
        <w:t>（投标人名称）</w:t>
      </w:r>
      <w:r>
        <w:rPr>
          <w:rFonts w:hint="eastAsia"/>
          <w:color w:val="auto"/>
          <w:u w:val="single"/>
        </w:rPr>
        <w:t xml:space="preserve">  </w:t>
      </w:r>
      <w:r>
        <w:rPr>
          <w:rFonts w:hint="eastAsia" w:eastAsia="宋体"/>
          <w:color w:val="auto"/>
        </w:rPr>
        <w:t>的法定代表人（负责人），现授权委托</w:t>
      </w:r>
      <w:r>
        <w:rPr>
          <w:rFonts w:hint="eastAsia"/>
          <w:color w:val="auto"/>
          <w:u w:val="single"/>
        </w:rPr>
        <w:t xml:space="preserve">   </w:t>
      </w:r>
      <w:r>
        <w:rPr>
          <w:rFonts w:hint="eastAsia" w:eastAsia="宋体"/>
          <w:color w:val="auto"/>
          <w:u w:val="single"/>
        </w:rPr>
        <w:t>（受托人</w:t>
      </w:r>
      <w:r>
        <w:rPr>
          <w:rFonts w:hint="eastAsia"/>
          <w:color w:val="auto"/>
          <w:u w:val="single"/>
        </w:rPr>
        <w:t>/</w:t>
      </w:r>
      <w:r>
        <w:rPr>
          <w:rFonts w:hint="eastAsia" w:eastAsia="宋体"/>
          <w:color w:val="auto"/>
          <w:u w:val="single"/>
        </w:rPr>
        <w:t>代理人姓名）</w:t>
      </w:r>
      <w:r>
        <w:rPr>
          <w:rFonts w:hint="eastAsia"/>
          <w:color w:val="auto"/>
          <w:u w:val="single"/>
        </w:rPr>
        <w:t xml:space="preserve">   </w:t>
      </w:r>
      <w:r>
        <w:rPr>
          <w:rFonts w:hint="eastAsia" w:eastAsia="宋体"/>
          <w:color w:val="auto"/>
        </w:rPr>
        <w:t>为我单位签署本项目已递交的投标文件的法定代表人（负责人）的授权委托代理人，代理人全权代表我所签署的本项目已递交的投标文件内容我均承认。</w:t>
      </w:r>
    </w:p>
    <w:p w14:paraId="61417CD2">
      <w:pPr>
        <w:pStyle w:val="7"/>
        <w:jc w:val="both"/>
        <w:rPr>
          <w:color w:val="auto"/>
        </w:rPr>
      </w:pPr>
      <w:r>
        <w:rPr>
          <w:rFonts w:hint="eastAsia" w:eastAsia="宋体"/>
          <w:color w:val="auto"/>
        </w:rPr>
        <w:t>除非委托方书面提前撤销，本授权委托书至委托事项完成之前持续有效。代理人无转委托权，特此委托。</w:t>
      </w:r>
    </w:p>
    <w:p w14:paraId="67538D7B">
      <w:pPr>
        <w:ind w:firstLine="720"/>
        <w:jc w:val="both"/>
        <w:rPr>
          <w:color w:val="auto"/>
        </w:rPr>
      </w:pPr>
      <w:r>
        <w:rPr>
          <w:rFonts w:hint="eastAsia" w:ascii="宋体" w:hAnsi="宋体" w:eastAsia="宋体" w:cs="宋体"/>
          <w:color w:val="auto"/>
        </w:rPr>
        <w:t>受托人</w:t>
      </w:r>
      <w:r>
        <w:rPr>
          <w:rFonts w:hint="eastAsia"/>
          <w:color w:val="auto"/>
        </w:rPr>
        <w:t>/</w:t>
      </w:r>
      <w:r>
        <w:rPr>
          <w:rFonts w:hint="eastAsia" w:ascii="宋体" w:hAnsi="宋体" w:eastAsia="宋体" w:cs="宋体"/>
          <w:color w:val="auto"/>
        </w:rPr>
        <w:t>代理人：</w:t>
      </w:r>
      <w:r>
        <w:rPr>
          <w:rFonts w:hint="eastAsia"/>
          <w:color w:val="auto"/>
        </w:rPr>
        <w:t xml:space="preserve">             </w:t>
      </w:r>
    </w:p>
    <w:p w14:paraId="20EE77D1">
      <w:pPr>
        <w:ind w:firstLine="720"/>
        <w:jc w:val="both"/>
        <w:rPr>
          <w:color w:val="auto"/>
        </w:rPr>
      </w:pPr>
      <w:r>
        <w:rPr>
          <w:rFonts w:hint="eastAsia" w:ascii="宋体" w:hAnsi="宋体" w:eastAsia="宋体" w:cs="宋体"/>
          <w:color w:val="auto"/>
        </w:rPr>
        <w:t>联系电话：</w:t>
      </w:r>
      <w:r>
        <w:rPr>
          <w:rFonts w:hint="eastAsia"/>
          <w:color w:val="auto"/>
        </w:rPr>
        <w:t xml:space="preserve">              </w:t>
      </w:r>
      <w:r>
        <w:rPr>
          <w:rFonts w:hint="eastAsia" w:ascii="宋体" w:hAnsi="宋体" w:eastAsia="宋体" w:cs="宋体"/>
          <w:color w:val="auto"/>
        </w:rPr>
        <w:t>手机：</w:t>
      </w:r>
      <w:r>
        <w:rPr>
          <w:rFonts w:hint="eastAsia"/>
          <w:color w:val="auto"/>
        </w:rPr>
        <w:t xml:space="preserve">                   </w:t>
      </w:r>
    </w:p>
    <w:p w14:paraId="7FB603DB">
      <w:pPr>
        <w:ind w:firstLine="720"/>
        <w:jc w:val="both"/>
        <w:rPr>
          <w:color w:val="auto"/>
        </w:rPr>
      </w:pPr>
      <w:r>
        <w:rPr>
          <w:rFonts w:hint="eastAsia" w:ascii="宋体" w:hAnsi="宋体" w:eastAsia="宋体" w:cs="宋体"/>
          <w:color w:val="auto"/>
        </w:rPr>
        <w:t>身份证号码：</w:t>
      </w:r>
      <w:r>
        <w:rPr>
          <w:rFonts w:hint="eastAsia"/>
          <w:color w:val="auto"/>
        </w:rPr>
        <w:t xml:space="preserve">                        </w:t>
      </w:r>
      <w:r>
        <w:rPr>
          <w:rFonts w:hint="eastAsia" w:ascii="宋体" w:hAnsi="宋体" w:eastAsia="宋体" w:cs="宋体"/>
          <w:color w:val="auto"/>
        </w:rPr>
        <w:t>职务：</w:t>
      </w:r>
      <w:r>
        <w:rPr>
          <w:rFonts w:hint="eastAsia"/>
          <w:color w:val="auto"/>
        </w:rPr>
        <w:t xml:space="preserve">       </w:t>
      </w:r>
    </w:p>
    <w:p w14:paraId="17793CA0">
      <w:pPr>
        <w:ind w:firstLine="720"/>
        <w:jc w:val="both"/>
        <w:rPr>
          <w:color w:val="auto"/>
        </w:rPr>
      </w:pPr>
      <w:r>
        <w:rPr>
          <w:rFonts w:hint="eastAsia" w:ascii="宋体" w:hAnsi="宋体" w:eastAsia="宋体" w:cs="宋体"/>
          <w:color w:val="auto"/>
        </w:rPr>
        <w:t>授权委托日期：</w:t>
      </w:r>
      <w:r>
        <w:rPr>
          <w:rFonts w:hint="eastAsia"/>
          <w:color w:val="auto"/>
        </w:rPr>
        <w:t xml:space="preserve">         </w:t>
      </w:r>
      <w:r>
        <w:rPr>
          <w:rFonts w:hint="eastAsia" w:ascii="宋体" w:hAnsi="宋体" w:eastAsia="宋体" w:cs="宋体"/>
          <w:color w:val="auto"/>
        </w:rPr>
        <w:t>年</w:t>
      </w:r>
      <w:r>
        <w:rPr>
          <w:rFonts w:hint="eastAsia"/>
          <w:color w:val="auto"/>
        </w:rPr>
        <w:t xml:space="preserve">     </w:t>
      </w:r>
      <w:r>
        <w:rPr>
          <w:rFonts w:hint="eastAsia" w:ascii="宋体" w:hAnsi="宋体" w:eastAsia="宋体" w:cs="宋体"/>
          <w:color w:val="auto"/>
        </w:rPr>
        <w:t>月</w:t>
      </w:r>
      <w:r>
        <w:rPr>
          <w:rFonts w:hint="eastAsia"/>
          <w:color w:val="auto"/>
        </w:rPr>
        <w:t xml:space="preserve">       </w:t>
      </w:r>
      <w:r>
        <w:rPr>
          <w:rFonts w:hint="eastAsia" w:ascii="宋体" w:hAnsi="宋体" w:eastAsia="宋体" w:cs="宋体"/>
          <w:color w:val="auto"/>
        </w:rPr>
        <w:t>日</w:t>
      </w:r>
    </w:p>
    <w:p w14:paraId="3B4F2160">
      <w:pPr>
        <w:jc w:val="both"/>
        <w:rPr>
          <w:color w:val="auto"/>
        </w:rPr>
      </w:pPr>
    </w:p>
    <w:p w14:paraId="76360B6B">
      <w:pPr>
        <w:ind w:firstLine="720"/>
        <w:jc w:val="both"/>
        <w:rPr>
          <w:color w:val="auto"/>
        </w:rPr>
      </w:pPr>
      <w:r>
        <w:rPr>
          <w:rFonts w:hint="eastAsia" w:eastAsia="宋体"/>
          <w:color w:val="auto"/>
        </w:rPr>
        <w:t>说明：</w:t>
      </w:r>
      <w:r>
        <w:rPr>
          <w:rFonts w:hint="eastAsia"/>
          <w:color w:val="auto"/>
        </w:rPr>
        <w:t>1</w:t>
      </w:r>
      <w:r>
        <w:rPr>
          <w:rFonts w:hint="eastAsia" w:eastAsia="宋体"/>
          <w:color w:val="auto"/>
        </w:rPr>
        <w:t>、本委托书须提供受托人（代理人）的身份证扫描件（正反两面）方为有效；</w:t>
      </w:r>
    </w:p>
    <w:p w14:paraId="3ECCDC35">
      <w:pPr>
        <w:ind w:firstLine="720"/>
        <w:jc w:val="both"/>
        <w:rPr>
          <w:color w:val="auto"/>
        </w:rPr>
      </w:pPr>
      <w:r>
        <w:rPr>
          <w:rFonts w:hint="eastAsia"/>
          <w:color w:val="auto"/>
        </w:rPr>
        <w:t xml:space="preserve"> 2</w:t>
      </w:r>
      <w:r>
        <w:rPr>
          <w:rFonts w:hint="eastAsia" w:eastAsia="宋体"/>
          <w:color w:val="auto"/>
        </w:rPr>
        <w:t>、如是受托人（代理人）参与投标，则必须提供《法定代表人（负责人）证明书》和《投标文件签署授权委托书》，且《投标函》的委托代理人与《投标文件签署授权委托书》的受托人（代理人）必须一致。</w:t>
      </w:r>
    </w:p>
    <w:p w14:paraId="5EA2ADED">
      <w:pPr>
        <w:jc w:val="both"/>
        <w:rPr>
          <w:color w:val="auto"/>
        </w:rPr>
      </w:pPr>
    </w:p>
    <w:p w14:paraId="014BB1DF">
      <w:pPr>
        <w:ind w:firstLine="720"/>
        <w:jc w:val="both"/>
        <w:rPr>
          <w:color w:val="auto"/>
        </w:rPr>
      </w:pPr>
      <w:r>
        <w:rPr>
          <w:rFonts w:hint="eastAsia" w:eastAsia="宋体"/>
          <w:color w:val="auto"/>
        </w:rPr>
        <w:t>附：非中国国籍管辖范围人员，可提供公安部门认可的身份证明材料扫描件。</w:t>
      </w:r>
    </w:p>
    <w:p w14:paraId="1DB01E26">
      <w:pPr>
        <w:rPr>
          <w:color w:val="auto"/>
        </w:rPr>
      </w:pPr>
    </w:p>
    <w:p w14:paraId="5EA70683">
      <w:pPr>
        <w:rPr>
          <w:color w:val="auto"/>
        </w:rPr>
      </w:pPr>
      <w:r>
        <w:rPr>
          <w:rFonts w:hint="eastAsia"/>
          <w:color w:val="auto"/>
        </w:rPr>
        <w:br w:type="page"/>
      </w:r>
    </w:p>
    <w:p w14:paraId="78E42708">
      <w:pPr>
        <w:rPr>
          <w:rFonts w:hint="eastAsia" w:ascii="宋体" w:hAnsi="宋体" w:eastAsia="宋体"/>
          <w:b/>
          <w:bCs/>
          <w:color w:val="auto"/>
          <w:sz w:val="28"/>
          <w:szCs w:val="32"/>
          <w:lang w:val="en-US" w:eastAsia="zh-CN"/>
        </w:rPr>
      </w:pPr>
    </w:p>
    <w:p w14:paraId="7F06B182">
      <w:pPr>
        <w:pStyle w:val="4"/>
        <w:rPr>
          <w:rFonts w:hint="eastAsia" w:ascii="宋体" w:hAnsi="宋体" w:eastAsia="宋体"/>
          <w:b/>
          <w:bCs/>
          <w:color w:val="auto"/>
          <w:sz w:val="28"/>
          <w:szCs w:val="32"/>
          <w:lang w:eastAsia="zh-CN"/>
        </w:rPr>
      </w:pPr>
      <w:r>
        <w:rPr>
          <w:rFonts w:hint="eastAsia" w:ascii="宋体" w:hAnsi="宋体" w:eastAsia="宋体" w:cs="Times New Roman"/>
          <w:b/>
          <w:bCs/>
          <w:color w:val="auto"/>
          <w:sz w:val="28"/>
          <w:szCs w:val="32"/>
          <w:lang w:val="en-US" w:eastAsia="zh-CN" w:bidi="ar-SA"/>
        </w:rPr>
        <w:t>三、</w:t>
      </w:r>
      <w:r>
        <w:rPr>
          <w:rFonts w:hint="eastAsia"/>
          <w:color w:val="auto"/>
        </w:rPr>
        <w:t>实施方案</w:t>
      </w:r>
    </w:p>
    <w:p w14:paraId="60BFDCDE">
      <w:pPr>
        <w:numPr>
          <w:ilvl w:val="-1"/>
          <w:numId w:val="0"/>
        </w:numPr>
        <w:jc w:val="both"/>
        <w:rPr>
          <w:rFonts w:hint="eastAsia" w:ascii="宋体" w:hAnsi="宋体" w:eastAsia="宋体"/>
          <w:b/>
          <w:bCs/>
          <w:color w:val="auto"/>
          <w:sz w:val="28"/>
          <w:szCs w:val="32"/>
          <w:lang w:eastAsia="zh-CN"/>
        </w:rPr>
      </w:pPr>
    </w:p>
    <w:p w14:paraId="54F7AAD2">
      <w:pPr>
        <w:pStyle w:val="4"/>
        <w:rPr>
          <w:color w:val="auto"/>
        </w:rPr>
      </w:pPr>
      <w:r>
        <w:rPr>
          <w:rFonts w:hint="eastAsia"/>
          <w:color w:val="auto"/>
          <w:lang w:val="en-US" w:eastAsia="zh-CN"/>
        </w:rPr>
        <w:t>四</w:t>
      </w:r>
      <w:r>
        <w:rPr>
          <w:rFonts w:hint="eastAsia"/>
          <w:color w:val="auto"/>
        </w:rPr>
        <w:t>、项目重点难点分析、应对措施及相关的合理化建议</w:t>
      </w:r>
    </w:p>
    <w:p w14:paraId="29DCDDC1">
      <w:pPr>
        <w:rPr>
          <w:color w:val="auto"/>
        </w:rPr>
      </w:pPr>
    </w:p>
    <w:p w14:paraId="40F95163">
      <w:pPr>
        <w:pStyle w:val="4"/>
        <w:rPr>
          <w:color w:val="auto"/>
        </w:rPr>
      </w:pPr>
      <w:r>
        <w:rPr>
          <w:rFonts w:hint="eastAsia"/>
          <w:color w:val="auto"/>
          <w:lang w:val="en-US" w:eastAsia="zh-CN"/>
        </w:rPr>
        <w:t>五</w:t>
      </w:r>
      <w:r>
        <w:rPr>
          <w:rFonts w:hint="eastAsia"/>
          <w:color w:val="auto"/>
        </w:rPr>
        <w:t>、质量（完成时间、安全、环保）保障措施及方案</w:t>
      </w:r>
    </w:p>
    <w:p w14:paraId="7A18588A">
      <w:pPr>
        <w:rPr>
          <w:color w:val="auto"/>
        </w:rPr>
      </w:pPr>
    </w:p>
    <w:p w14:paraId="2E2DE697">
      <w:pPr>
        <w:pStyle w:val="4"/>
        <w:numPr>
          <w:ilvl w:val="0"/>
          <w:numId w:val="4"/>
        </w:numPr>
        <w:rPr>
          <w:rFonts w:hint="eastAsia" w:cs="Times New Roman"/>
          <w:color w:val="auto"/>
          <w:lang w:val="en-US" w:eastAsia="zh-CN"/>
        </w:rPr>
      </w:pPr>
      <w:r>
        <w:rPr>
          <w:rFonts w:hint="eastAsia" w:cs="Times New Roman"/>
          <w:color w:val="auto"/>
          <w:lang w:val="en-US" w:eastAsia="zh-CN"/>
        </w:rPr>
        <w:t>违约承诺</w:t>
      </w:r>
    </w:p>
    <w:p w14:paraId="67157B19">
      <w:pPr>
        <w:numPr>
          <w:ilvl w:val="0"/>
          <w:numId w:val="0"/>
        </w:numPr>
        <w:jc w:val="both"/>
        <w:rPr>
          <w:rFonts w:hint="eastAsia"/>
          <w:lang w:val="en-US" w:eastAsia="zh-CN"/>
        </w:rPr>
      </w:pPr>
    </w:p>
    <w:p w14:paraId="3AAAF1B4">
      <w:pPr>
        <w:pStyle w:val="4"/>
        <w:numPr>
          <w:ilvl w:val="0"/>
          <w:numId w:val="5"/>
        </w:numPr>
        <w:rPr>
          <w:rFonts w:hint="eastAsia" w:cs="Times New Roman"/>
          <w:color w:val="auto"/>
          <w:lang w:val="en-US" w:eastAsia="zh-CN"/>
        </w:rPr>
      </w:pPr>
      <w:r>
        <w:rPr>
          <w:rFonts w:hint="eastAsia" w:cs="Times New Roman"/>
          <w:color w:val="auto"/>
          <w:lang w:val="en-US" w:eastAsia="zh-CN"/>
        </w:rPr>
        <w:t>项目拟使用的人员和设备(车辆、场地、工具、机器)情况</w:t>
      </w:r>
    </w:p>
    <w:p w14:paraId="03B8EB25">
      <w:pPr>
        <w:numPr>
          <w:ilvl w:val="0"/>
          <w:numId w:val="0"/>
        </w:numPr>
        <w:jc w:val="both"/>
        <w:rPr>
          <w:rFonts w:hint="eastAsia"/>
          <w:lang w:val="en-US" w:eastAsia="zh-CN"/>
        </w:rPr>
      </w:pPr>
    </w:p>
    <w:p w14:paraId="0F8E0265">
      <w:pPr>
        <w:pStyle w:val="4"/>
        <w:numPr>
          <w:ilvl w:val="0"/>
          <w:numId w:val="5"/>
        </w:numPr>
        <w:ind w:left="0" w:leftChars="0" w:firstLine="0" w:firstLineChars="0"/>
        <w:rPr>
          <w:rFonts w:hint="eastAsia" w:cs="Times New Roman"/>
          <w:color w:val="auto"/>
          <w:lang w:val="en-US" w:eastAsia="zh-CN"/>
        </w:rPr>
      </w:pPr>
      <w:r>
        <w:rPr>
          <w:rFonts w:hint="eastAsia" w:cs="Times New Roman"/>
          <w:color w:val="auto"/>
          <w:lang w:val="en-US" w:eastAsia="zh-CN"/>
        </w:rPr>
        <w:t>拟安排的项目负责人情况</w:t>
      </w:r>
    </w:p>
    <w:p w14:paraId="1B86CD57">
      <w:pPr>
        <w:rPr>
          <w:rFonts w:hint="eastAsia"/>
          <w:lang w:val="en-US" w:eastAsia="zh-CN"/>
        </w:rPr>
      </w:pPr>
    </w:p>
    <w:p w14:paraId="4BE364A3">
      <w:pPr>
        <w:pStyle w:val="4"/>
        <w:rPr>
          <w:rFonts w:hint="eastAsia" w:cs="Times New Roman"/>
          <w:color w:val="auto"/>
        </w:rPr>
      </w:pPr>
      <w:r>
        <w:rPr>
          <w:rFonts w:hint="eastAsia" w:cs="Times New Roman"/>
          <w:color w:val="auto"/>
          <w:lang w:val="en-US" w:eastAsia="zh-CN"/>
        </w:rPr>
        <w:t>九、拟安排的项目团队成员(项目负责人除外)情</w:t>
      </w:r>
      <w:r>
        <w:rPr>
          <w:rFonts w:hint="eastAsia" w:cs="Times New Roman"/>
          <w:color w:val="auto"/>
        </w:rPr>
        <w:t>况</w:t>
      </w:r>
    </w:p>
    <w:p w14:paraId="1A4B1953">
      <w:pPr>
        <w:rPr>
          <w:color w:val="auto"/>
        </w:rPr>
      </w:pPr>
    </w:p>
    <w:p w14:paraId="2891ABAF">
      <w:pPr>
        <w:ind w:firstLine="720"/>
        <w:jc w:val="both"/>
        <w:rPr>
          <w:rFonts w:eastAsia="宋体"/>
          <w:color w:val="auto"/>
          <w:highlight w:val="yellow"/>
        </w:rPr>
      </w:pPr>
    </w:p>
    <w:p w14:paraId="1EAED6E9">
      <w:pPr>
        <w:rPr>
          <w:color w:val="auto"/>
        </w:rPr>
      </w:pPr>
    </w:p>
    <w:p w14:paraId="7E17F16D">
      <w:pPr>
        <w:rPr>
          <w:rFonts w:hint="eastAsia" w:eastAsia="仿宋_GB2312"/>
          <w:color w:val="auto"/>
        </w:rPr>
      </w:pPr>
      <w:r>
        <w:rPr>
          <w:rFonts w:hint="eastAsia" w:eastAsia="仿宋_GB2312"/>
          <w:color w:val="auto"/>
        </w:rPr>
        <w:t xml:space="preserve">                                                                                                                  </w:t>
      </w:r>
    </w:p>
    <w:p w14:paraId="72FCD6E0">
      <w:pPr>
        <w:rPr>
          <w:rFonts w:hint="eastAsia" w:eastAsia="仿宋_GB2312"/>
          <w:color w:val="auto"/>
        </w:rPr>
      </w:pPr>
      <w:r>
        <w:rPr>
          <w:rFonts w:hint="eastAsia" w:eastAsia="仿宋_GB2312"/>
          <w:color w:val="auto"/>
        </w:rPr>
        <w:br w:type="page"/>
      </w:r>
    </w:p>
    <w:p w14:paraId="471EDFA8">
      <w:pPr>
        <w:pStyle w:val="6"/>
        <w:rPr>
          <w:rFonts w:asciiTheme="minorEastAsia" w:hAnsiTheme="minorEastAsia" w:eastAsiaTheme="minorEastAsia"/>
        </w:rPr>
      </w:pPr>
      <w:r>
        <w:rPr>
          <w:rFonts w:hint="eastAsia" w:asciiTheme="minorEastAsia" w:hAnsiTheme="minorEastAsia" w:eastAsiaTheme="minorEastAsia"/>
        </w:rPr>
        <w:t>第五章  合同条款及格式</w:t>
      </w:r>
    </w:p>
    <w:p w14:paraId="4894D639">
      <w:pPr>
        <w:ind w:firstLine="470" w:firstLineChars="196"/>
        <w:rPr>
          <w:rFonts w:asciiTheme="minorEastAsia" w:hAnsiTheme="minorEastAsia" w:eastAsiaTheme="minorEastAsia"/>
        </w:rPr>
      </w:pPr>
    </w:p>
    <w:p w14:paraId="62B5557F">
      <w:pPr>
        <w:jc w:val="left"/>
        <w:outlineLvl w:val="0"/>
        <w:rPr>
          <w:rFonts w:asciiTheme="minorEastAsia" w:hAnsiTheme="minorEastAsia" w:eastAsiaTheme="minorEastAsia"/>
        </w:rPr>
      </w:pPr>
      <w:r>
        <w:rPr>
          <w:rFonts w:hint="eastAsia" w:asciiTheme="minorEastAsia" w:hAnsiTheme="minorEastAsia" w:eastAsiaTheme="minorEastAsia"/>
          <w:b/>
          <w:sz w:val="24"/>
        </w:rPr>
        <w:t>（仅供参考，具体以项目需求及采购结果为准）</w:t>
      </w:r>
    </w:p>
    <w:p w14:paraId="7D49E018">
      <w:pPr>
        <w:jc w:val="left"/>
        <w:rPr>
          <w:rFonts w:asciiTheme="minorEastAsia" w:hAnsiTheme="minorEastAsia" w:eastAsiaTheme="minorEastAsia"/>
          <w:b/>
          <w:bCs/>
          <w:szCs w:val="21"/>
        </w:rPr>
      </w:pPr>
      <w:r>
        <w:rPr>
          <w:rFonts w:hint="eastAsia" w:asciiTheme="minorEastAsia" w:hAnsiTheme="minorEastAsia" w:eastAsiaTheme="minorEastAsia"/>
          <w:b/>
          <w:bCs/>
          <w:szCs w:val="21"/>
        </w:rPr>
        <w:t>甲方：</w:t>
      </w:r>
    </w:p>
    <w:p w14:paraId="1EB13FA8">
      <w:pPr>
        <w:jc w:val="left"/>
        <w:rPr>
          <w:rFonts w:asciiTheme="minorEastAsia" w:hAnsiTheme="minorEastAsia" w:eastAsiaTheme="minorEastAsia"/>
          <w:szCs w:val="21"/>
        </w:rPr>
      </w:pPr>
      <w:r>
        <w:rPr>
          <w:rFonts w:hint="eastAsia" w:asciiTheme="minorEastAsia" w:hAnsiTheme="minorEastAsia" w:eastAsiaTheme="minorEastAsia"/>
          <w:szCs w:val="21"/>
        </w:rPr>
        <w:t>地址：</w:t>
      </w:r>
    </w:p>
    <w:p w14:paraId="3E541AAB">
      <w:pPr>
        <w:jc w:val="left"/>
        <w:rPr>
          <w:rFonts w:asciiTheme="minorEastAsia" w:hAnsiTheme="minorEastAsia" w:eastAsiaTheme="minorEastAsia"/>
          <w:szCs w:val="21"/>
        </w:rPr>
      </w:pPr>
      <w:r>
        <w:rPr>
          <w:rFonts w:hint="eastAsia" w:asciiTheme="minorEastAsia" w:hAnsiTheme="minorEastAsia" w:eastAsiaTheme="minorEastAsia"/>
          <w:szCs w:val="21"/>
        </w:rPr>
        <w:t>联系人：</w:t>
      </w:r>
      <w:r>
        <w:rPr>
          <w:rFonts w:asciiTheme="minorEastAsia" w:hAnsiTheme="minorEastAsia" w:eastAsiaTheme="minorEastAsia"/>
          <w:szCs w:val="21"/>
        </w:rPr>
        <w:t xml:space="preserve">                          </w:t>
      </w:r>
    </w:p>
    <w:p w14:paraId="7F63B021">
      <w:pPr>
        <w:jc w:val="left"/>
        <w:rPr>
          <w:rFonts w:asciiTheme="minorEastAsia" w:hAnsiTheme="minorEastAsia" w:eastAsiaTheme="minorEastAsia"/>
          <w:b/>
          <w:bCs/>
          <w:szCs w:val="21"/>
        </w:rPr>
      </w:pPr>
      <w:r>
        <w:rPr>
          <w:rFonts w:hint="eastAsia" w:asciiTheme="minorEastAsia" w:hAnsiTheme="minorEastAsia" w:eastAsiaTheme="minorEastAsia"/>
          <w:szCs w:val="21"/>
        </w:rPr>
        <w:t>联系电话：</w:t>
      </w:r>
    </w:p>
    <w:p w14:paraId="3A66D814">
      <w:pPr>
        <w:jc w:val="left"/>
        <w:rPr>
          <w:rFonts w:asciiTheme="minorEastAsia" w:hAnsiTheme="minorEastAsia" w:eastAsiaTheme="minorEastAsia"/>
          <w:b/>
          <w:bCs/>
          <w:szCs w:val="21"/>
        </w:rPr>
      </w:pP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 xml:space="preserve"> </w:t>
      </w:r>
      <w:r>
        <w:rPr>
          <w:rFonts w:asciiTheme="minorEastAsia" w:hAnsiTheme="minorEastAsia" w:eastAsiaTheme="minorEastAsia"/>
          <w:b/>
          <w:bCs/>
          <w:szCs w:val="21"/>
        </w:rPr>
        <w:t xml:space="preserve"> </w:t>
      </w:r>
    </w:p>
    <w:p w14:paraId="7EAA931A">
      <w:pPr>
        <w:jc w:val="left"/>
        <w:rPr>
          <w:rFonts w:asciiTheme="minorEastAsia" w:hAnsiTheme="minorEastAsia" w:eastAsiaTheme="minorEastAsia"/>
          <w:b/>
          <w:bCs/>
          <w:szCs w:val="21"/>
        </w:rPr>
      </w:pPr>
      <w:r>
        <w:rPr>
          <w:rFonts w:hint="eastAsia" w:asciiTheme="minorEastAsia" w:hAnsiTheme="minorEastAsia" w:eastAsiaTheme="minorEastAsia"/>
          <w:b/>
          <w:bCs/>
          <w:szCs w:val="21"/>
        </w:rPr>
        <w:t>乙方：</w:t>
      </w:r>
    </w:p>
    <w:p w14:paraId="68AEA7FC">
      <w:pPr>
        <w:jc w:val="left"/>
        <w:rPr>
          <w:rFonts w:asciiTheme="minorEastAsia" w:hAnsiTheme="minorEastAsia" w:eastAsiaTheme="minorEastAsia"/>
          <w:szCs w:val="21"/>
        </w:rPr>
      </w:pPr>
      <w:r>
        <w:rPr>
          <w:rFonts w:hint="eastAsia" w:asciiTheme="minorEastAsia" w:hAnsiTheme="minorEastAsia" w:eastAsiaTheme="minorEastAsia"/>
          <w:szCs w:val="21"/>
        </w:rPr>
        <w:t>地址：</w:t>
      </w:r>
    </w:p>
    <w:p w14:paraId="1BAFD51E">
      <w:pPr>
        <w:jc w:val="left"/>
        <w:rPr>
          <w:rFonts w:asciiTheme="minorEastAsia" w:hAnsiTheme="minorEastAsia" w:eastAsiaTheme="minorEastAsia"/>
          <w:szCs w:val="21"/>
        </w:rPr>
      </w:pPr>
      <w:r>
        <w:rPr>
          <w:rFonts w:hint="eastAsia" w:asciiTheme="minorEastAsia" w:hAnsiTheme="minorEastAsia" w:eastAsiaTheme="minorEastAsia"/>
          <w:szCs w:val="21"/>
        </w:rPr>
        <w:t>联系人：</w:t>
      </w:r>
      <w:r>
        <w:rPr>
          <w:rFonts w:asciiTheme="minorEastAsia" w:hAnsiTheme="minorEastAsia" w:eastAsiaTheme="minorEastAsia"/>
          <w:szCs w:val="21"/>
        </w:rPr>
        <w:t xml:space="preserve">                          </w:t>
      </w:r>
    </w:p>
    <w:p w14:paraId="3B3D9025">
      <w:pPr>
        <w:jc w:val="left"/>
        <w:rPr>
          <w:rFonts w:asciiTheme="minorEastAsia" w:hAnsiTheme="minorEastAsia" w:eastAsiaTheme="minorEastAsia"/>
          <w:b/>
          <w:bCs/>
          <w:szCs w:val="21"/>
        </w:rPr>
      </w:pPr>
      <w:r>
        <w:rPr>
          <w:rFonts w:hint="eastAsia" w:asciiTheme="minorEastAsia" w:hAnsiTheme="minorEastAsia" w:eastAsiaTheme="minorEastAsia"/>
          <w:szCs w:val="21"/>
        </w:rPr>
        <w:t>联系电话：</w:t>
      </w:r>
    </w:p>
    <w:p w14:paraId="55708A27">
      <w:pPr>
        <w:jc w:val="left"/>
        <w:rPr>
          <w:rFonts w:asciiTheme="minorEastAsia" w:hAnsiTheme="minorEastAsia" w:eastAsiaTheme="minorEastAsia"/>
          <w:szCs w:val="21"/>
        </w:rPr>
      </w:pP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 xml:space="preserve">          </w:t>
      </w:r>
    </w:p>
    <w:p w14:paraId="5F858791">
      <w:pPr>
        <w:jc w:val="left"/>
        <w:rPr>
          <w:rFonts w:asciiTheme="minorEastAsia" w:hAnsiTheme="minorEastAsia" w:eastAsiaTheme="minorEastAsia"/>
          <w:szCs w:val="21"/>
        </w:rPr>
      </w:pPr>
    </w:p>
    <w:p w14:paraId="195FCDBD">
      <w:pPr>
        <w:ind w:firstLine="480" w:firstLineChars="200"/>
        <w:jc w:val="left"/>
        <w:rPr>
          <w:rFonts w:asciiTheme="minorEastAsia" w:hAnsiTheme="minorEastAsia" w:eastAsiaTheme="minorEastAsia"/>
          <w:szCs w:val="21"/>
        </w:rPr>
      </w:pPr>
      <w:r>
        <w:rPr>
          <w:rFonts w:eastAsia="宋体"/>
          <w:color w:val="auto"/>
        </w:rPr>
        <w:t>根据</w:t>
      </w:r>
      <w:r>
        <w:rPr>
          <w:rFonts w:hint="eastAsia" w:eastAsia="宋体"/>
          <w:color w:val="auto"/>
        </w:rPr>
        <w:t>xxxx</w:t>
      </w:r>
      <w:r>
        <w:rPr>
          <w:rFonts w:eastAsia="宋体"/>
          <w:color w:val="auto"/>
        </w:rPr>
        <w:t xml:space="preserve">招标有限公司就 </w:t>
      </w:r>
      <w:r>
        <w:rPr>
          <w:rFonts w:hint="eastAsia" w:eastAsia="宋体"/>
          <w:color w:val="auto"/>
          <w:u w:val="single"/>
        </w:rPr>
        <w:t>xxxx</w:t>
      </w:r>
      <w:r>
        <w:rPr>
          <w:rFonts w:eastAsia="宋体"/>
          <w:color w:val="auto"/>
          <w:u w:val="single"/>
        </w:rPr>
        <w:t>（编号：</w:t>
      </w:r>
      <w:r>
        <w:rPr>
          <w:rFonts w:hint="eastAsia" w:eastAsia="宋体"/>
          <w:color w:val="auto"/>
          <w:u w:val="single"/>
        </w:rPr>
        <w:t>xxxx</w:t>
      </w:r>
      <w:r>
        <w:rPr>
          <w:rFonts w:eastAsia="宋体"/>
          <w:color w:val="auto"/>
          <w:u w:val="single"/>
        </w:rPr>
        <w:t>）</w:t>
      </w:r>
      <w:r>
        <w:rPr>
          <w:rFonts w:eastAsia="宋体"/>
          <w:color w:val="auto"/>
        </w:rPr>
        <w:t>的招标采购结果，由</w:t>
      </w:r>
      <w:r>
        <w:rPr>
          <w:rFonts w:hint="eastAsia" w:eastAsia="宋体"/>
          <w:color w:val="auto"/>
          <w:u w:val="single"/>
        </w:rPr>
        <w:t>xxxx</w:t>
      </w:r>
      <w:r>
        <w:rPr>
          <w:rFonts w:eastAsia="宋体"/>
          <w:color w:val="auto"/>
        </w:rPr>
        <w:t>单位为中标（成交）方。</w:t>
      </w:r>
      <w:r>
        <w:rPr>
          <w:rFonts w:hint="eastAsia" w:asciiTheme="minorEastAsia" w:hAnsiTheme="minorEastAsia" w:eastAsiaTheme="minorEastAsia"/>
          <w:szCs w:val="21"/>
        </w:rPr>
        <w:t>按照《中华人民共和国民法典》（第三编 合同）》和《深圳经济特区政府采购条例》，经深圳市（以下简称甲方）和单位（以下简称乙方）协商，就甲方委托乙方承担</w:t>
      </w:r>
      <w:r>
        <w:rPr>
          <w:rFonts w:hint="eastAsia" w:asciiTheme="minorEastAsia" w:hAnsiTheme="minorEastAsia" w:eastAsiaTheme="minorEastAsia"/>
          <w:b/>
          <w:bCs/>
          <w:snapToGrid w:val="0"/>
          <w:kern w:val="0"/>
          <w:szCs w:val="21"/>
          <w:u w:val="single"/>
          <w:lang w:val="zh-CN"/>
        </w:rPr>
        <w:t xml:space="preserve">                      服务项目</w:t>
      </w:r>
      <w:r>
        <w:rPr>
          <w:rFonts w:hint="eastAsia" w:asciiTheme="minorEastAsia" w:hAnsiTheme="minorEastAsia" w:eastAsiaTheme="minorEastAsia"/>
          <w:szCs w:val="21"/>
        </w:rPr>
        <w:t>，达成以下合同条款：</w:t>
      </w:r>
    </w:p>
    <w:p w14:paraId="683A746E">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第一条　项目概况</w:t>
      </w:r>
    </w:p>
    <w:p w14:paraId="625A3759">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项目名称： </w:t>
      </w:r>
    </w:p>
    <w:p w14:paraId="4FB5D9ED">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项目内容： </w:t>
      </w:r>
    </w:p>
    <w:p w14:paraId="65D3261F">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服务时间： </w:t>
      </w:r>
    </w:p>
    <w:p w14:paraId="212787D3">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合同价款：合同总价为元，含一切税、费。</w:t>
      </w:r>
      <w:r>
        <w:rPr>
          <w:rFonts w:asciiTheme="minorEastAsia" w:hAnsiTheme="minorEastAsia" w:eastAsiaTheme="minorEastAsia"/>
        </w:rPr>
        <w:t>本合同总价包括</w:t>
      </w:r>
      <w:r>
        <w:rPr>
          <w:rFonts w:hint="eastAsia" w:asciiTheme="minorEastAsia" w:hAnsiTheme="minorEastAsia" w:eastAsiaTheme="minorEastAsia"/>
          <w:szCs w:val="21"/>
        </w:rPr>
        <w:t>乙方为实施本项目*</w:t>
      </w:r>
      <w:r>
        <w:rPr>
          <w:rFonts w:asciiTheme="minorEastAsia" w:hAnsiTheme="minorEastAsia" w:eastAsiaTheme="minorEastAsia"/>
          <w:szCs w:val="21"/>
        </w:rPr>
        <w:t>**</w:t>
      </w:r>
      <w:r>
        <w:rPr>
          <w:rFonts w:hint="eastAsia" w:asciiTheme="minorEastAsia" w:hAnsiTheme="minorEastAsia" w:eastAsiaTheme="minorEastAsia"/>
          <w:szCs w:val="21"/>
        </w:rPr>
        <w:t>所需的设备仪器费、车辆租赁费、</w:t>
      </w:r>
      <w:r>
        <w:rPr>
          <w:rFonts w:asciiTheme="minorEastAsia" w:hAnsiTheme="minorEastAsia" w:eastAsiaTheme="minorEastAsia"/>
        </w:rPr>
        <w:t>服务</w:t>
      </w:r>
      <w:r>
        <w:rPr>
          <w:rFonts w:hint="eastAsia" w:asciiTheme="minorEastAsia" w:hAnsiTheme="minorEastAsia" w:eastAsiaTheme="minorEastAsia"/>
        </w:rPr>
        <w:t>和</w:t>
      </w:r>
      <w:r>
        <w:rPr>
          <w:rFonts w:asciiTheme="minorEastAsia" w:hAnsiTheme="minorEastAsia" w:eastAsiaTheme="minorEastAsia"/>
        </w:rPr>
        <w:t>技术费用</w:t>
      </w:r>
      <w:r>
        <w:rPr>
          <w:rFonts w:hint="eastAsia" w:asciiTheme="minorEastAsia" w:hAnsiTheme="minorEastAsia" w:eastAsiaTheme="minorEastAsia"/>
        </w:rPr>
        <w:t>等</w:t>
      </w:r>
      <w:r>
        <w:rPr>
          <w:rFonts w:asciiTheme="minorEastAsia" w:hAnsiTheme="minorEastAsia" w:eastAsiaTheme="minorEastAsia"/>
        </w:rPr>
        <w:t>，为固定不变价格，且不随通货膨胀的影响而波动。合同总价包括</w:t>
      </w:r>
      <w:r>
        <w:rPr>
          <w:rFonts w:hint="eastAsia" w:asciiTheme="minorEastAsia" w:hAnsiTheme="minorEastAsia" w:eastAsiaTheme="minorEastAsia"/>
          <w:szCs w:val="21"/>
        </w:rPr>
        <w:t>乙方</w:t>
      </w:r>
      <w:r>
        <w:rPr>
          <w:rFonts w:asciiTheme="minorEastAsia" w:hAnsiTheme="minorEastAsia" w:eastAsiaTheme="minorEastAsia"/>
        </w:rPr>
        <w:t>履行本合同义务所发生的一切费用和支出和以各种方式寄送技术资料到</w:t>
      </w:r>
      <w:r>
        <w:rPr>
          <w:rFonts w:hint="eastAsia" w:asciiTheme="minorEastAsia" w:hAnsiTheme="minorEastAsia" w:eastAsiaTheme="minorEastAsia"/>
        </w:rPr>
        <w:t>甲</w:t>
      </w:r>
      <w:r>
        <w:rPr>
          <w:rFonts w:asciiTheme="minorEastAsia" w:hAnsiTheme="minorEastAsia" w:eastAsiaTheme="minorEastAsia"/>
        </w:rPr>
        <w:t>方办公室所发生的费用。</w:t>
      </w:r>
    </w:p>
    <w:p w14:paraId="3F376CF1">
      <w:pPr>
        <w:pStyle w:val="7"/>
        <w:jc w:val="left"/>
        <w:rPr>
          <w:rFonts w:asciiTheme="minorEastAsia" w:hAnsiTheme="minorEastAsia" w:eastAsiaTheme="minorEastAsia"/>
          <w:szCs w:val="21"/>
        </w:rPr>
      </w:pPr>
      <w:r>
        <w:rPr>
          <w:rFonts w:hint="eastAsia" w:asciiTheme="minorEastAsia" w:hAnsiTheme="minorEastAsia" w:eastAsiaTheme="minorEastAsia"/>
          <w:szCs w:val="21"/>
        </w:rPr>
        <w:t>支付方式：分期支付。</w:t>
      </w:r>
    </w:p>
    <w:p w14:paraId="707CDDAC">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第二条  服务范围</w:t>
      </w:r>
    </w:p>
    <w:p w14:paraId="3A1669A2">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1、  </w:t>
      </w:r>
    </w:p>
    <w:p w14:paraId="3C99DD82">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2、  </w:t>
      </w:r>
    </w:p>
    <w:p w14:paraId="479F11B7">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  </w:t>
      </w:r>
    </w:p>
    <w:p w14:paraId="171688C3">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4、 其他合同未明示的相关工作。</w:t>
      </w:r>
    </w:p>
    <w:p w14:paraId="05CFCD00">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第三条  时间要求及阶段成果</w:t>
      </w:r>
    </w:p>
    <w:p w14:paraId="21CC7CE4">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1、合同签订天内完成项目实施的准备工作，包括工作大纲和试验细则的编制；</w:t>
      </w:r>
    </w:p>
    <w:p w14:paraId="5D44EE88">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2、 </w:t>
      </w:r>
    </w:p>
    <w:p w14:paraId="2D0F288C">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3、</w:t>
      </w:r>
    </w:p>
    <w:p w14:paraId="2FC512D0">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4、</w:t>
      </w:r>
    </w:p>
    <w:p w14:paraId="19ABB896">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第四条  咨询服务资料归属</w:t>
      </w:r>
    </w:p>
    <w:p w14:paraId="7B19493A">
      <w:pPr>
        <w:ind w:firstLine="480" w:firstLineChars="200"/>
        <w:jc w:val="left"/>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所有提交给</w:t>
      </w:r>
      <w:r>
        <w:rPr>
          <w:rFonts w:hint="eastAsia" w:asciiTheme="minorEastAsia" w:hAnsiTheme="minorEastAsia" w:eastAsiaTheme="minorEastAsia"/>
        </w:rPr>
        <w:t>甲</w:t>
      </w:r>
      <w:r>
        <w:rPr>
          <w:rFonts w:asciiTheme="minorEastAsia" w:hAnsiTheme="minorEastAsia" w:eastAsiaTheme="minorEastAsia"/>
        </w:rPr>
        <w:t>方的咨询服务</w:t>
      </w:r>
      <w:r>
        <w:rPr>
          <w:rFonts w:hint="eastAsia" w:asciiTheme="minorEastAsia" w:hAnsiTheme="minorEastAsia" w:eastAsiaTheme="minorEastAsia"/>
        </w:rPr>
        <w:t>文件</w:t>
      </w:r>
      <w:r>
        <w:rPr>
          <w:rFonts w:asciiTheme="minorEastAsia" w:hAnsiTheme="minorEastAsia" w:eastAsiaTheme="minorEastAsia"/>
        </w:rPr>
        <w:t>及相关的资料的最后文本，包括为履行技术咨询服务范围所编制的图纸、计划和证明资料等，都属于</w:t>
      </w:r>
      <w:r>
        <w:rPr>
          <w:rFonts w:hint="eastAsia" w:asciiTheme="minorEastAsia" w:hAnsiTheme="minorEastAsia" w:eastAsiaTheme="minorEastAsia"/>
        </w:rPr>
        <w:t>甲</w:t>
      </w:r>
      <w:r>
        <w:rPr>
          <w:rFonts w:asciiTheme="minorEastAsia" w:hAnsiTheme="minorEastAsia" w:eastAsiaTheme="minorEastAsia"/>
        </w:rPr>
        <w:t>方的财产，</w:t>
      </w:r>
      <w:r>
        <w:rPr>
          <w:rFonts w:hint="eastAsia" w:asciiTheme="minorEastAsia" w:hAnsiTheme="minorEastAsia" w:eastAsiaTheme="minorEastAsia"/>
          <w:szCs w:val="21"/>
        </w:rPr>
        <w:t>乙</w:t>
      </w:r>
      <w:r>
        <w:rPr>
          <w:rFonts w:asciiTheme="minorEastAsia" w:hAnsiTheme="minorEastAsia" w:eastAsiaTheme="minorEastAsia"/>
        </w:rPr>
        <w:t>方在提交给</w:t>
      </w:r>
      <w:r>
        <w:rPr>
          <w:rFonts w:hint="eastAsia" w:asciiTheme="minorEastAsia" w:hAnsiTheme="minorEastAsia" w:eastAsiaTheme="minorEastAsia"/>
        </w:rPr>
        <w:t>甲</w:t>
      </w:r>
      <w:r>
        <w:rPr>
          <w:rFonts w:asciiTheme="minorEastAsia" w:hAnsiTheme="minorEastAsia" w:eastAsiaTheme="minorEastAsia"/>
        </w:rPr>
        <w:t>方之前应将上述资料进行整理归类和编制索引</w:t>
      </w:r>
      <w:r>
        <w:rPr>
          <w:rFonts w:hint="eastAsia" w:asciiTheme="minorEastAsia" w:hAnsiTheme="minorEastAsia" w:eastAsiaTheme="minorEastAsia"/>
        </w:rPr>
        <w:t>。</w:t>
      </w:r>
    </w:p>
    <w:p w14:paraId="79D49A26">
      <w:pPr>
        <w:ind w:firstLine="480" w:firstLineChars="200"/>
        <w:jc w:val="left"/>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w:t>
      </w:r>
      <w:r>
        <w:rPr>
          <w:rFonts w:hint="eastAsia" w:asciiTheme="minorEastAsia" w:hAnsiTheme="minorEastAsia" w:eastAsiaTheme="minorEastAsia"/>
          <w:szCs w:val="21"/>
        </w:rPr>
        <w:t>乙</w:t>
      </w:r>
      <w:r>
        <w:rPr>
          <w:rFonts w:asciiTheme="minorEastAsia" w:hAnsiTheme="minorEastAsia" w:eastAsiaTheme="minorEastAsia"/>
        </w:rPr>
        <w:t>方未经</w:t>
      </w:r>
      <w:r>
        <w:rPr>
          <w:rFonts w:hint="eastAsia" w:asciiTheme="minorEastAsia" w:hAnsiTheme="minorEastAsia" w:eastAsiaTheme="minorEastAsia"/>
        </w:rPr>
        <w:t>甲</w:t>
      </w:r>
      <w:r>
        <w:rPr>
          <w:rFonts w:asciiTheme="minorEastAsia" w:hAnsiTheme="minorEastAsia" w:eastAsiaTheme="minorEastAsia"/>
        </w:rPr>
        <w:t>方的书面同意，不得将上述资料用于与本咨询服务项目之外的任何项目</w:t>
      </w:r>
      <w:r>
        <w:rPr>
          <w:rFonts w:hint="eastAsia" w:asciiTheme="minorEastAsia" w:hAnsiTheme="minorEastAsia" w:eastAsiaTheme="minorEastAsia"/>
        </w:rPr>
        <w:t>。</w:t>
      </w:r>
    </w:p>
    <w:p w14:paraId="4282324C">
      <w:pPr>
        <w:ind w:firstLine="480" w:firstLineChars="200"/>
        <w:jc w:val="left"/>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合同履行</w:t>
      </w:r>
      <w:r>
        <w:rPr>
          <w:rFonts w:hint="eastAsia" w:asciiTheme="minorEastAsia" w:hAnsiTheme="minorEastAsia" w:eastAsiaTheme="minorEastAsia"/>
        </w:rPr>
        <w:t>完毕，</w:t>
      </w:r>
      <w:r>
        <w:rPr>
          <w:rFonts w:asciiTheme="minorEastAsia" w:hAnsiTheme="minorEastAsia" w:eastAsiaTheme="minorEastAsia"/>
        </w:rPr>
        <w:t>未经</w:t>
      </w:r>
      <w:r>
        <w:rPr>
          <w:rFonts w:hint="eastAsia" w:asciiTheme="minorEastAsia" w:hAnsiTheme="minorEastAsia" w:eastAsiaTheme="minorEastAsia"/>
        </w:rPr>
        <w:t>甲</w:t>
      </w:r>
      <w:r>
        <w:rPr>
          <w:rFonts w:asciiTheme="minorEastAsia" w:hAnsiTheme="minorEastAsia" w:eastAsiaTheme="minorEastAsia"/>
        </w:rPr>
        <w:t>方的书面同意</w:t>
      </w:r>
      <w:r>
        <w:rPr>
          <w:rFonts w:hint="eastAsia" w:asciiTheme="minorEastAsia" w:hAnsiTheme="minorEastAsia" w:eastAsiaTheme="minorEastAsia"/>
        </w:rPr>
        <w:t>，</w:t>
      </w:r>
      <w:r>
        <w:rPr>
          <w:rFonts w:hint="eastAsia" w:asciiTheme="minorEastAsia" w:hAnsiTheme="minorEastAsia" w:eastAsiaTheme="minorEastAsia"/>
          <w:szCs w:val="21"/>
        </w:rPr>
        <w:t>乙</w:t>
      </w:r>
      <w:r>
        <w:rPr>
          <w:rFonts w:asciiTheme="minorEastAsia" w:hAnsiTheme="minorEastAsia" w:eastAsiaTheme="minorEastAsia"/>
        </w:rPr>
        <w:t>方</w:t>
      </w:r>
      <w:r>
        <w:rPr>
          <w:rFonts w:hint="eastAsia" w:asciiTheme="minorEastAsia" w:hAnsiTheme="minorEastAsia" w:eastAsiaTheme="minorEastAsia"/>
        </w:rPr>
        <w:t>不得保存在</w:t>
      </w:r>
      <w:r>
        <w:rPr>
          <w:rFonts w:asciiTheme="minorEastAsia" w:hAnsiTheme="minorEastAsia" w:eastAsiaTheme="minorEastAsia"/>
        </w:rPr>
        <w:t>履行合同过程中所获得或接触到的任何</w:t>
      </w:r>
      <w:r>
        <w:rPr>
          <w:rFonts w:hint="eastAsia" w:asciiTheme="minorEastAsia" w:hAnsiTheme="minorEastAsia" w:eastAsiaTheme="minorEastAsia"/>
          <w:szCs w:val="21"/>
        </w:rPr>
        <w:t>内部数据资料。</w:t>
      </w:r>
    </w:p>
    <w:p w14:paraId="5345FDD4">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第五条  甲方的义务</w:t>
      </w:r>
    </w:p>
    <w:p w14:paraId="535B80AB">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1、负责与本咨询服务项目有关的第三方的协调，提供开展咨询服务工作的外部条件。</w:t>
      </w:r>
    </w:p>
    <w:p w14:paraId="089FE689">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2、向乙方提供与本项目咨询服务工作有关的资料。</w:t>
      </w:r>
    </w:p>
    <w:p w14:paraId="2CD7C4F9">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3、负责组织有关专家对项目试验成果评估报告的评审。</w:t>
      </w:r>
    </w:p>
    <w:p w14:paraId="36487E2F">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第七条　乙方的义务</w:t>
      </w:r>
    </w:p>
    <w:p w14:paraId="3D77467C">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１、应按照招标文件、投标文件要求按期完成本项目咨询服务工作。</w:t>
      </w:r>
    </w:p>
    <w:p w14:paraId="1E2AFE02">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2、负责组织项目的实施，保证工程进度和成桥荷载试验工作质量，并满足交通部交工验收相关标准。</w:t>
      </w:r>
    </w:p>
    <w:p w14:paraId="71A73545">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rPr>
        <w:t>向甲方提交检测资料等各套，一套电子版文件。</w:t>
      </w:r>
    </w:p>
    <w:p w14:paraId="45D86F82">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4、在履行合同期间或合同规定期限内，不得泄露与本合同规定业务活动有关的保密资料。</w:t>
      </w:r>
    </w:p>
    <w:p w14:paraId="3D4C8020">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第八条  甲方的权利</w:t>
      </w:r>
    </w:p>
    <w:p w14:paraId="28F461AC">
      <w:pPr>
        <w:ind w:firstLine="48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、有权向乙方询问工作进展情况及相关的内容。</w:t>
      </w:r>
    </w:p>
    <w:p w14:paraId="316D0EB2">
      <w:pPr>
        <w:ind w:firstLine="48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、有权阐述对具体问题的意见和建议。</w:t>
      </w:r>
    </w:p>
    <w:p w14:paraId="0D12E5FC">
      <w:pPr>
        <w:ind w:firstLine="48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、当甲方认定乙方人员不按合同履行其职责，或与第三人串通给甲方造成经济损失的，甲方有权要求更换人员，直至终止合同并要求乙方承担相应的赔偿责任。</w:t>
      </w:r>
    </w:p>
    <w:p w14:paraId="76A97A88">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第九条  乙方的权利</w:t>
      </w:r>
    </w:p>
    <w:p w14:paraId="3F25712B">
      <w:pPr>
        <w:ind w:firstLine="48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、乙方在本项目服务过程中，如甲方提供的资料不明确时可向甲方提出书面报告。</w:t>
      </w:r>
    </w:p>
    <w:p w14:paraId="5B6FBCF1">
      <w:pPr>
        <w:ind w:firstLine="48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、乙方在本项目服务过程中，有权对第三方提出与本咨询服务业务有关的问题进行核对或查问。</w:t>
      </w:r>
    </w:p>
    <w:p w14:paraId="510B549F">
      <w:pPr>
        <w:ind w:firstLine="48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、乙方在本项目服务过程中，有到工程现场勘察的权利。</w:t>
      </w:r>
    </w:p>
    <w:p w14:paraId="57CB2F53">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第十条  甲方的责任</w:t>
      </w:r>
    </w:p>
    <w:p w14:paraId="0D80FB75">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1、应当履行本合同约定的义务，如有违反则应当承担违约责任，赔偿给乙方造成的损失。</w:t>
      </w:r>
    </w:p>
    <w:p w14:paraId="71E58604">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2、甲方向乙方提出赔偿要求不能成立时，则应补偿由于该赔偿或其他要求所导致乙方的各种费用的支出。</w:t>
      </w:r>
    </w:p>
    <w:p w14:paraId="2A585D8C">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第十一条  乙方的责任</w:t>
      </w:r>
    </w:p>
    <w:p w14:paraId="3DB3D7FC">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1、乙方的责任期即本合同有效期。如因非乙方的责任造成进度的推迟或延误而超过约定的日期，双方应进一步约定相应延长合同有效期。</w:t>
      </w:r>
    </w:p>
    <w:p w14:paraId="2DAF7B92">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2、乙方的责任期内，应当履行本合同中约定的义务，因乙方的单方过失造成的经济损失，应当向甲方进行赔偿。</w:t>
      </w:r>
    </w:p>
    <w:p w14:paraId="5C0DC2C0">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3、乙方对甲方或第三方所提出的问题不能及时核对或答复，导致合同不能全部或部分履行，乙方应承担责任。</w:t>
      </w:r>
    </w:p>
    <w:p w14:paraId="096716FB">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4、乙方向甲方提出赔偿要求不能成立时，则应补偿由于该赔偿或其他要求所导致甲方的各种费用的支出。</w:t>
      </w:r>
    </w:p>
    <w:p w14:paraId="6114E2DC">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第十二条  人员要求</w:t>
      </w:r>
    </w:p>
    <w:p w14:paraId="6CA62AD4">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1、参加本项目试验的人员必须具有国家和有关部门规定的相应资质。</w:t>
      </w:r>
    </w:p>
    <w:p w14:paraId="7E97CF37">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 参加本项目的试验人员的配置必须与投标文件中的服务承诺书和试验服务组织实施方案一致。</w:t>
      </w:r>
    </w:p>
    <w:p w14:paraId="2E1A5907">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3、必须以直属试验人员参与本项目服务，不得使用挂靠队伍。</w:t>
      </w:r>
    </w:p>
    <w:p w14:paraId="0AC22887">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第十三条  乙方咨询服务工具要求</w:t>
      </w:r>
    </w:p>
    <w:p w14:paraId="6BF87698">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1、乙方应配备中标项目所需的足够数量的仪器、仪表以及工具等设备。用户不需向乙方提供施工工具和仪器、仪表。</w:t>
      </w:r>
    </w:p>
    <w:p w14:paraId="055CC48C">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2、乙方在提供服务过程中应自备车辆。</w:t>
      </w:r>
    </w:p>
    <w:p w14:paraId="4943761E">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第十四条  保密要求</w:t>
      </w:r>
    </w:p>
    <w:p w14:paraId="0652969C">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91E0CFB">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乙方在履行合同过程中所获得或接触到的任何</w:t>
      </w:r>
      <w:r>
        <w:rPr>
          <w:rFonts w:hint="eastAsia" w:asciiTheme="minorEastAsia" w:hAnsiTheme="minorEastAsia" w:eastAsiaTheme="minorEastAsia"/>
          <w:szCs w:val="21"/>
        </w:rPr>
        <w:t>内部数据资料，未经甲方同意，不得向第三方透露。</w:t>
      </w:r>
    </w:p>
    <w:p w14:paraId="1989CC08">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乙方</w:t>
      </w:r>
      <w:r>
        <w:rPr>
          <w:rFonts w:hint="eastAsia" w:asciiTheme="minorEastAsia" w:hAnsiTheme="minorEastAsia" w:eastAsiaTheme="minorEastAsia"/>
          <w:szCs w:val="21"/>
        </w:rPr>
        <w:t>实施项目的一切程序都应符合国家安全、保密的有关规定和标准。</w:t>
      </w:r>
    </w:p>
    <w:p w14:paraId="3DE187E1">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乙方</w:t>
      </w:r>
      <w:r>
        <w:rPr>
          <w:rFonts w:hint="eastAsia" w:asciiTheme="minorEastAsia" w:hAnsiTheme="minorEastAsia" w:eastAsiaTheme="minorEastAsia"/>
          <w:szCs w:val="21"/>
        </w:rPr>
        <w:t>参加项目的有关人员均需同甲方签订保密协议。</w:t>
      </w:r>
    </w:p>
    <w:p w14:paraId="73193E6E">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 xml:space="preserve">第十五条  验收     </w:t>
      </w:r>
    </w:p>
    <w:p w14:paraId="2EB7D7D9">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1、下列文件的验收分为</w:t>
      </w:r>
      <w:r>
        <w:rPr>
          <w:rFonts w:hint="eastAsia" w:asciiTheme="minorEastAsia" w:hAnsiTheme="minorEastAsia" w:eastAsiaTheme="minorEastAsia"/>
          <w:szCs w:val="21"/>
          <w:u w:val="single"/>
        </w:rPr>
        <w:t xml:space="preserve">          三</w:t>
      </w:r>
      <w:r>
        <w:rPr>
          <w:rFonts w:hint="eastAsia" w:asciiTheme="minorEastAsia" w:hAnsiTheme="minorEastAsia" w:eastAsiaTheme="minorEastAsia"/>
          <w:szCs w:val="21"/>
        </w:rPr>
        <w:t>个阶段:</w:t>
      </w:r>
    </w:p>
    <w:p w14:paraId="7AE8C49C">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2、其余文件和工作由用户组织有关技术人员根据国家和行业有关规范、规程、标准和用户需求直接验收。</w:t>
      </w:r>
    </w:p>
    <w:p w14:paraId="6435670E">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3、验收依据为招标文件、投标文件，国家和行业有关规范、规程和标准。</w:t>
      </w:r>
    </w:p>
    <w:p w14:paraId="64AB2B56">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第十六条  付款方式</w:t>
      </w:r>
    </w:p>
    <w:p w14:paraId="54A58036">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1、合同签订后   天内乙方向甲方开具合法有效的发票后，甲方于   天内向乙方支付合同总价%的款项。</w:t>
      </w:r>
    </w:p>
    <w:p w14:paraId="6568FB96">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2、检测完成并提交评估报告后  天内，乙方向甲方开具合法有效发票后 天，甲方向乙方支付合同总价%的款项。</w:t>
      </w:r>
    </w:p>
    <w:p w14:paraId="046A8389">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3、报告通过专家评审后，甲方向乙方支付合同总价%的款项。</w:t>
      </w:r>
    </w:p>
    <w:p w14:paraId="3B8FB724">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第十七条  争议解决办法</w:t>
      </w:r>
    </w:p>
    <w:p w14:paraId="6B329480">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执行本合同发生的争议，由甲乙双方协商解决，如协商不成的，应提交甲方所在地人民法院诉讼解决。</w:t>
      </w:r>
    </w:p>
    <w:p w14:paraId="157312ED">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第十八条  风险责任</w:t>
      </w:r>
    </w:p>
    <w:p w14:paraId="1B82C9A1">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１、乙方应完全地按照招标文件的要求和乙方投标文件的承诺完成本项目，出于自身财务、技术、人力等原因导致项目失败的，应承担全部责任。</w:t>
      </w:r>
    </w:p>
    <w:p w14:paraId="7DDC016E">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2、乙方在实施荷载试验过程中应对自身的安全生产负责，若非因甲方原因发生的各种事故甲方不承担任何责任。</w:t>
      </w:r>
    </w:p>
    <w:p w14:paraId="0622CE74">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第十九条  违约责任</w:t>
      </w:r>
    </w:p>
    <w:p w14:paraId="4C715BE2">
      <w:pPr>
        <w:pStyle w:val="11"/>
        <w:spacing w:line="240" w:lineRule="auto"/>
        <w:jc w:val="left"/>
        <w:rPr>
          <w:rFonts w:asciiTheme="minorEastAsia" w:hAnsiTheme="minorEastAsia" w:eastAsiaTheme="minorEastAsia"/>
          <w:szCs w:val="21"/>
        </w:rPr>
      </w:pPr>
      <w:r>
        <w:rPr>
          <w:rFonts w:hint="eastAsia" w:asciiTheme="minorEastAsia" w:hAnsiTheme="minorEastAsia" w:eastAsiaTheme="minorEastAsia"/>
          <w:szCs w:val="21"/>
        </w:rPr>
        <w:t>１、因乙方原因，未能按规定时间完成有关工作的，每延误一天，甲方可在支付合同余款中扣除合同价款千分之一。</w:t>
      </w:r>
    </w:p>
    <w:p w14:paraId="719CA883">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2、由于乙方原因造成试验成果质量低劣，不能满足大纲要求时，应继续完善试验工作，其费用由乙方承担。</w:t>
      </w:r>
    </w:p>
    <w:p w14:paraId="62C0D9EE">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3F8E2A05">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429BE784">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23072A3E">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6、因乙方提供的服务成果受到侵权指控或者引发法律纠纷，影响甲方使用服务成果或者导致合同目的不能实现的，甲方有权要求乙方按合同总额   %支付违约金，并有权解除合同。</w:t>
      </w:r>
    </w:p>
    <w:p w14:paraId="2662BE16">
      <w:pPr>
        <w:ind w:firstLine="48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第二十条  其他</w:t>
      </w:r>
    </w:p>
    <w:p w14:paraId="00309B58">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1、本合同与招标文件、乙方投标文件如有抵触之处，以本合同条款为准。</w:t>
      </w:r>
    </w:p>
    <w:p w14:paraId="2343F2B3">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2、下列文件均为本合同的组成部分：</w:t>
      </w:r>
    </w:p>
    <w:p w14:paraId="32790C9D">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（1）号招标文件、答疑及补充通知；</w:t>
      </w:r>
    </w:p>
    <w:p w14:paraId="65CC4232">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（2）投标文件；</w:t>
      </w:r>
    </w:p>
    <w:p w14:paraId="64E44FDE">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（3）本合同执行中共同签署的补充与修正文件。</w:t>
      </w:r>
    </w:p>
    <w:p w14:paraId="3E456E91">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本合同一式份，甲、乙方双方各执份，具有同等法律效力。本合同自双方法人代表签字（盖章）认可之日起生效。</w:t>
      </w:r>
    </w:p>
    <w:p w14:paraId="4C2342E9">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本合同未尽事宜，双方友好协商，达成解决方案，经双方签字后，可作为本合同的有效附件。</w:t>
      </w:r>
    </w:p>
    <w:p w14:paraId="0C14E584">
      <w:pPr>
        <w:ind w:firstLine="480" w:firstLineChars="200"/>
        <w:jc w:val="left"/>
        <w:rPr>
          <w:rFonts w:asciiTheme="minorEastAsia" w:hAnsiTheme="minorEastAsia" w:eastAsiaTheme="minorEastAsia"/>
          <w:szCs w:val="21"/>
        </w:rPr>
      </w:pPr>
    </w:p>
    <w:p w14:paraId="545490C9">
      <w:pPr>
        <w:ind w:firstLine="480" w:firstLineChars="200"/>
        <w:jc w:val="left"/>
        <w:rPr>
          <w:rFonts w:asciiTheme="minorEastAsia" w:hAnsiTheme="minorEastAsia" w:eastAsiaTheme="minorEastAsia"/>
          <w:szCs w:val="21"/>
        </w:rPr>
      </w:pPr>
    </w:p>
    <w:p w14:paraId="18944F23">
      <w:pPr>
        <w:spacing w:line="360" w:lineRule="auto"/>
        <w:ind w:firstLine="560"/>
        <w:jc w:val="left"/>
        <w:rPr>
          <w:rFonts w:asciiTheme="minorEastAsia" w:hAnsiTheme="minorEastAsia" w:eastAsiaTheme="minorEastAsia"/>
          <w:szCs w:val="21"/>
        </w:rPr>
      </w:pPr>
      <w:r>
        <w:rPr>
          <w:rFonts w:hint="eastAsia" w:asciiTheme="minorEastAsia" w:hAnsiTheme="minorEastAsia" w:eastAsiaTheme="minorEastAsia"/>
          <w:szCs w:val="21"/>
        </w:rPr>
        <w:t>甲方（采购人）：   （盖章）       乙方（供应商）：    （盖章）</w:t>
      </w:r>
    </w:p>
    <w:p w14:paraId="4C2820DA">
      <w:pPr>
        <w:spacing w:line="360" w:lineRule="auto"/>
        <w:ind w:firstLine="560"/>
        <w:jc w:val="left"/>
        <w:rPr>
          <w:rFonts w:asciiTheme="minorEastAsia" w:hAnsiTheme="minorEastAsia" w:eastAsiaTheme="minorEastAsia"/>
          <w:szCs w:val="21"/>
        </w:rPr>
      </w:pPr>
      <w:r>
        <w:rPr>
          <w:rFonts w:hint="eastAsia" w:asciiTheme="minorEastAsia" w:hAnsiTheme="minorEastAsia" w:eastAsiaTheme="minorEastAsia"/>
          <w:szCs w:val="21"/>
        </w:rPr>
        <w:t xml:space="preserve">法定代表人：                     法定代表人： </w:t>
      </w:r>
    </w:p>
    <w:p w14:paraId="2BDE82A7">
      <w:pPr>
        <w:spacing w:line="360" w:lineRule="auto"/>
        <w:ind w:firstLine="560"/>
        <w:jc w:val="left"/>
        <w:rPr>
          <w:rFonts w:asciiTheme="minorEastAsia" w:hAnsiTheme="minorEastAsia" w:eastAsiaTheme="minorEastAsia"/>
          <w:szCs w:val="21"/>
        </w:rPr>
      </w:pPr>
      <w:r>
        <w:rPr>
          <w:rFonts w:hint="eastAsia" w:asciiTheme="minorEastAsia" w:hAnsiTheme="minorEastAsia" w:eastAsiaTheme="minorEastAsia"/>
          <w:szCs w:val="21"/>
        </w:rPr>
        <w:t>委托代理人：                     委托代理人：</w:t>
      </w:r>
    </w:p>
    <w:p w14:paraId="61E46A2B">
      <w:pPr>
        <w:ind w:firstLine="480" w:firstLineChars="200"/>
        <w:jc w:val="left"/>
        <w:rPr>
          <w:rFonts w:asciiTheme="minorEastAsia" w:hAnsiTheme="minorEastAsia" w:eastAsiaTheme="minorEastAsia"/>
          <w:szCs w:val="21"/>
        </w:rPr>
      </w:pPr>
      <w:r>
        <w:rPr>
          <w:rFonts w:hint="eastAsia" w:asciiTheme="minorEastAsia" w:hAnsiTheme="minorEastAsia" w:eastAsiaTheme="minorEastAsia"/>
          <w:szCs w:val="21"/>
        </w:rPr>
        <w:t>日期：   年     月    日         日期：   年     月    日</w:t>
      </w:r>
    </w:p>
    <w:p w14:paraId="7CFEEBFC">
      <w:pPr>
        <w:ind w:firstLine="480" w:firstLineChars="200"/>
        <w:rPr>
          <w:rFonts w:asciiTheme="minorEastAsia" w:hAnsiTheme="minorEastAsia" w:eastAsiaTheme="minorEastAsia"/>
          <w:szCs w:val="21"/>
        </w:rPr>
      </w:pPr>
    </w:p>
    <w:p w14:paraId="0ACEB9C5">
      <w:pPr>
        <w:rPr>
          <w:rFonts w:eastAsia="宋体"/>
          <w:color w:val="auto"/>
        </w:rPr>
        <w:sectPr>
          <w:footerReference r:id="rId5" w:type="default"/>
          <w:pgSz w:w="11906" w:h="16838"/>
          <w:pgMar w:top="1440" w:right="1080" w:bottom="1440" w:left="1080" w:header="851" w:footer="340" w:gutter="0"/>
          <w:pgNumType w:start="23"/>
          <w:cols w:space="720" w:num="1"/>
          <w:docGrid w:linePitch="312" w:charSpace="0"/>
        </w:sectPr>
      </w:pPr>
    </w:p>
    <w:p w14:paraId="1368ECD6">
      <w:pPr>
        <w:jc w:val="both"/>
        <w:rPr>
          <w:rFonts w:eastAsia="宋体"/>
          <w:color w:val="auto"/>
        </w:rPr>
      </w:pPr>
    </w:p>
    <w:p w14:paraId="04EE4528">
      <w:pPr>
        <w:jc w:val="left"/>
        <w:rPr>
          <w:rFonts w:eastAsia="仿宋_GB2312"/>
          <w:color w:val="auto"/>
        </w:rPr>
      </w:pPr>
      <w:r>
        <w:rPr>
          <w:rFonts w:hint="eastAsia" w:eastAsia="仿宋_GB2312"/>
          <w:color w:val="auto"/>
        </w:rPr>
        <w:t>附件：</w:t>
      </w:r>
    </w:p>
    <w:p w14:paraId="25764BE7">
      <w:pPr>
        <w:pStyle w:val="2"/>
        <w:spacing w:before="93" w:line="219" w:lineRule="auto"/>
        <w:outlineLvl w:val="0"/>
        <w:rPr>
          <w:color w:val="auto"/>
        </w:rPr>
      </w:pPr>
      <w:r>
        <w:rPr>
          <w:rFonts w:hint="eastAsia"/>
          <w:color w:val="auto"/>
        </w:rPr>
        <w:t>政府采购履约情况反馈表</w:t>
      </w:r>
    </w:p>
    <w:p w14:paraId="0EA8F808">
      <w:pPr>
        <w:spacing w:line="360" w:lineRule="auto"/>
        <w:ind w:firstLine="452" w:firstLineChars="200"/>
        <w:rPr>
          <w:rFonts w:eastAsia="仿宋_GB2312"/>
          <w:color w:val="auto"/>
          <w:spacing w:val="-7"/>
          <w:position w:val="-1"/>
        </w:rPr>
      </w:pPr>
    </w:p>
    <w:p w14:paraId="6E88FAB8">
      <w:pPr>
        <w:spacing w:line="360" w:lineRule="auto"/>
        <w:ind w:firstLine="392" w:firstLineChars="200"/>
        <w:rPr>
          <w:rFonts w:eastAsia="仿宋_GB2312"/>
          <w:color w:val="auto"/>
          <w:spacing w:val="-7"/>
          <w:position w:val="-1"/>
        </w:rPr>
      </w:pPr>
      <w:r>
        <w:rPr>
          <w:rFonts w:hint="eastAsia" w:eastAsia="仿宋_GB2312"/>
          <w:snapToGrid w:val="0"/>
          <w:color w:val="auto"/>
          <w:spacing w:val="-7"/>
          <w:position w:val="-1"/>
          <w:sz w:val="21"/>
          <w:szCs w:val="21"/>
        </w:rPr>
        <w:t>采购单位名称：</w:t>
      </w:r>
      <w:r>
        <w:rPr>
          <w:rFonts w:hint="eastAsia" w:ascii="仿宋_GB2312" w:hAnsi="仿宋_GB2312" w:eastAsia="仿宋_GB2312" w:cs="仿宋_GB2312"/>
          <w:color w:val="auto"/>
          <w:spacing w:val="-7"/>
          <w:position w:val="-1"/>
          <w:sz w:val="21"/>
          <w:szCs w:val="21"/>
        </w:rPr>
        <w:t xml:space="preserve">            </w:t>
      </w:r>
      <w:r>
        <w:rPr>
          <w:rFonts w:hint="eastAsia" w:eastAsia="仿宋_GB2312"/>
          <w:snapToGrid w:val="0"/>
          <w:color w:val="auto"/>
          <w:spacing w:val="-7"/>
          <w:position w:val="-1"/>
          <w:sz w:val="21"/>
          <w:szCs w:val="21"/>
        </w:rPr>
        <w:t xml:space="preserve">                                                  联系人及电话：</w:t>
      </w:r>
    </w:p>
    <w:p w14:paraId="3BA7E9B1">
      <w:pPr>
        <w:spacing w:line="49" w:lineRule="exact"/>
        <w:rPr>
          <w:color w:val="auto"/>
        </w:rPr>
      </w:pPr>
    </w:p>
    <w:tbl>
      <w:tblPr>
        <w:tblStyle w:val="42"/>
        <w:tblW w:w="89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1020"/>
        <w:gridCol w:w="1341"/>
        <w:gridCol w:w="2448"/>
        <w:gridCol w:w="1348"/>
        <w:gridCol w:w="1105"/>
        <w:gridCol w:w="1106"/>
      </w:tblGrid>
      <w:tr w14:paraId="6FA5C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951" w:type="dxa"/>
            <w:gridSpan w:val="3"/>
          </w:tcPr>
          <w:p w14:paraId="1A439008">
            <w:pPr>
              <w:spacing w:line="276" w:lineRule="auto"/>
              <w:rPr>
                <w:rFonts w:ascii="仿宋_GB2312" w:hAnsi="仿宋_GB2312" w:eastAsia="仿宋_GB2312" w:cs="仿宋_GB2312"/>
                <w:color w:val="auto"/>
              </w:rPr>
            </w:pPr>
          </w:p>
          <w:p w14:paraId="6A809B91">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lang w:eastAsia="en-US"/>
              </w:rPr>
              <w:t>采购项目名称</w:t>
            </w:r>
          </w:p>
        </w:tc>
        <w:tc>
          <w:tcPr>
            <w:tcW w:w="2448" w:type="dxa"/>
          </w:tcPr>
          <w:p w14:paraId="1C0A1C90">
            <w:pPr>
              <w:spacing w:line="276" w:lineRule="auto"/>
              <w:rPr>
                <w:rFonts w:ascii="仿宋_GB2312" w:hAnsi="仿宋_GB2312" w:eastAsia="仿宋_GB2312" w:cs="仿宋_GB2312"/>
                <w:color w:val="auto"/>
              </w:rPr>
            </w:pPr>
          </w:p>
        </w:tc>
        <w:tc>
          <w:tcPr>
            <w:tcW w:w="1348" w:type="dxa"/>
          </w:tcPr>
          <w:p w14:paraId="09247BA2">
            <w:pPr>
              <w:spacing w:line="276" w:lineRule="auto"/>
              <w:rPr>
                <w:rFonts w:ascii="仿宋_GB2312" w:hAnsi="仿宋_GB2312" w:eastAsia="仿宋_GB2312" w:cs="仿宋_GB2312"/>
                <w:color w:val="auto"/>
              </w:rPr>
            </w:pPr>
          </w:p>
          <w:p w14:paraId="16485037">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lang w:eastAsia="en-US"/>
              </w:rPr>
              <w:t>项目编号</w:t>
            </w:r>
          </w:p>
        </w:tc>
        <w:tc>
          <w:tcPr>
            <w:tcW w:w="2211" w:type="dxa"/>
            <w:gridSpan w:val="2"/>
          </w:tcPr>
          <w:p w14:paraId="220AE01A">
            <w:pPr>
              <w:spacing w:line="276" w:lineRule="auto"/>
              <w:rPr>
                <w:rFonts w:ascii="仿宋_GB2312" w:hAnsi="仿宋_GB2312" w:eastAsia="仿宋_GB2312" w:cs="仿宋_GB2312"/>
                <w:color w:val="auto"/>
              </w:rPr>
            </w:pPr>
          </w:p>
        </w:tc>
      </w:tr>
      <w:tr w14:paraId="03D13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951" w:type="dxa"/>
            <w:gridSpan w:val="3"/>
          </w:tcPr>
          <w:p w14:paraId="2B8C9F39">
            <w:pPr>
              <w:pStyle w:val="43"/>
              <w:spacing w:before="218" w:line="219" w:lineRule="auto"/>
              <w:ind w:left="595"/>
              <w:rPr>
                <w:rFonts w:ascii="仿宋_GB2312" w:hAnsi="仿宋_GB2312" w:eastAsia="仿宋_GB2312" w:cs="仿宋_GB2312"/>
                <w:color w:val="auto"/>
              </w:rPr>
            </w:pPr>
            <w:r>
              <w:rPr>
                <w:rFonts w:hint="eastAsia" w:ascii="仿宋_GB2312" w:hAnsi="仿宋_GB2312" w:eastAsia="仿宋_GB2312" w:cs="仿宋_GB2312"/>
                <w:color w:val="auto"/>
              </w:rPr>
              <w:t>供应商名称</w:t>
            </w:r>
          </w:p>
        </w:tc>
        <w:tc>
          <w:tcPr>
            <w:tcW w:w="2448" w:type="dxa"/>
          </w:tcPr>
          <w:p w14:paraId="34C57BF1">
            <w:pPr>
              <w:pStyle w:val="43"/>
              <w:spacing w:before="79" w:line="242" w:lineRule="auto"/>
              <w:ind w:left="1033" w:right="212" w:hanging="840"/>
              <w:rPr>
                <w:rFonts w:ascii="仿宋_GB2312" w:hAnsi="仿宋_GB2312" w:eastAsia="仿宋_GB2312" w:cs="仿宋_GB2312"/>
                <w:color w:val="auto"/>
              </w:rPr>
            </w:pPr>
          </w:p>
        </w:tc>
        <w:tc>
          <w:tcPr>
            <w:tcW w:w="1348" w:type="dxa"/>
          </w:tcPr>
          <w:p w14:paraId="3FD1FB07">
            <w:pPr>
              <w:pStyle w:val="43"/>
              <w:spacing w:before="68" w:line="219" w:lineRule="auto"/>
              <w:jc w:val="center"/>
              <w:rPr>
                <w:rFonts w:ascii="仿宋_GB2312" w:hAnsi="仿宋_GB2312" w:eastAsia="仿宋_GB2312" w:cs="仿宋_GB2312"/>
                <w:color w:val="auto"/>
              </w:rPr>
            </w:pPr>
            <w:r>
              <w:rPr>
                <w:rFonts w:hint="eastAsia" w:ascii="仿宋_GB2312" w:hAnsi="仿宋_GB2312" w:eastAsia="仿宋_GB2312" w:cs="仿宋_GB2312"/>
                <w:color w:val="auto"/>
              </w:rPr>
              <w:t>供应商</w:t>
            </w:r>
          </w:p>
          <w:p w14:paraId="26C1E96C">
            <w:pPr>
              <w:pStyle w:val="43"/>
              <w:spacing w:before="68" w:line="219" w:lineRule="auto"/>
              <w:jc w:val="center"/>
              <w:rPr>
                <w:rFonts w:ascii="仿宋_GB2312" w:hAnsi="仿宋_GB2312" w:eastAsia="仿宋_GB2312" w:cs="仿宋_GB2312"/>
                <w:color w:val="auto"/>
              </w:rPr>
            </w:pPr>
            <w:r>
              <w:rPr>
                <w:rFonts w:hint="eastAsia" w:ascii="仿宋_GB2312" w:hAnsi="仿宋_GB2312" w:eastAsia="仿宋_GB2312" w:cs="仿宋_GB2312"/>
                <w:color w:val="auto"/>
              </w:rPr>
              <w:t>联系人及电话</w:t>
            </w:r>
          </w:p>
        </w:tc>
        <w:tc>
          <w:tcPr>
            <w:tcW w:w="2211" w:type="dxa"/>
            <w:gridSpan w:val="2"/>
          </w:tcPr>
          <w:p w14:paraId="43A0DE9E">
            <w:pPr>
              <w:pStyle w:val="43"/>
              <w:spacing w:before="134" w:line="167" w:lineRule="exact"/>
              <w:jc w:val="center"/>
              <w:rPr>
                <w:rFonts w:ascii="仿宋_GB2312" w:hAnsi="仿宋_GB2312" w:eastAsia="仿宋_GB2312" w:cs="仿宋_GB2312"/>
                <w:color w:val="auto"/>
              </w:rPr>
            </w:pPr>
          </w:p>
        </w:tc>
      </w:tr>
      <w:tr w14:paraId="376D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951" w:type="dxa"/>
            <w:gridSpan w:val="3"/>
          </w:tcPr>
          <w:p w14:paraId="718CF395">
            <w:pPr>
              <w:pStyle w:val="43"/>
              <w:spacing w:before="209" w:line="219" w:lineRule="auto"/>
              <w:ind w:left="705"/>
              <w:rPr>
                <w:rFonts w:ascii="仿宋_GB2312" w:hAnsi="仿宋_GB2312" w:eastAsia="仿宋_GB2312" w:cs="仿宋_GB2312"/>
                <w:color w:val="auto"/>
              </w:rPr>
            </w:pPr>
            <w:r>
              <w:rPr>
                <w:rFonts w:hint="eastAsia" w:ascii="仿宋_GB2312" w:hAnsi="仿宋_GB2312" w:eastAsia="仿宋_GB2312" w:cs="仿宋_GB2312"/>
                <w:color w:val="auto"/>
              </w:rPr>
              <w:t>合同金额</w:t>
            </w:r>
          </w:p>
        </w:tc>
        <w:tc>
          <w:tcPr>
            <w:tcW w:w="2448" w:type="dxa"/>
          </w:tcPr>
          <w:p w14:paraId="28682608">
            <w:pPr>
              <w:pStyle w:val="43"/>
              <w:spacing w:before="210" w:line="360" w:lineRule="auto"/>
              <w:ind w:left="726"/>
              <w:rPr>
                <w:rFonts w:ascii="仿宋_GB2312" w:hAnsi="仿宋_GB2312" w:eastAsia="仿宋_GB2312" w:cs="仿宋_GB2312"/>
                <w:color w:val="auto"/>
              </w:rPr>
            </w:pPr>
          </w:p>
        </w:tc>
        <w:tc>
          <w:tcPr>
            <w:tcW w:w="1348" w:type="dxa"/>
          </w:tcPr>
          <w:p w14:paraId="31859996">
            <w:pPr>
              <w:pStyle w:val="43"/>
              <w:spacing w:before="212" w:line="221" w:lineRule="auto"/>
              <w:jc w:val="center"/>
              <w:rPr>
                <w:rFonts w:ascii="仿宋_GB2312" w:hAnsi="仿宋_GB2312" w:eastAsia="仿宋_GB2312" w:cs="仿宋_GB2312"/>
                <w:color w:val="auto"/>
              </w:rPr>
            </w:pPr>
            <w:r>
              <w:rPr>
                <w:rFonts w:hint="eastAsia" w:ascii="仿宋_GB2312" w:hAnsi="仿宋_GB2312" w:eastAsia="仿宋_GB2312" w:cs="仿宋_GB2312"/>
                <w:color w:val="auto"/>
              </w:rPr>
              <w:t>合同履约时间</w:t>
            </w:r>
          </w:p>
        </w:tc>
        <w:tc>
          <w:tcPr>
            <w:tcW w:w="2211" w:type="dxa"/>
            <w:gridSpan w:val="2"/>
          </w:tcPr>
          <w:p w14:paraId="300CE522">
            <w:pPr>
              <w:pStyle w:val="43"/>
              <w:spacing w:before="68" w:line="242" w:lineRule="auto"/>
              <w:ind w:right="236"/>
              <w:jc w:val="center"/>
              <w:rPr>
                <w:rFonts w:ascii="仿宋_GB2312" w:hAnsi="仿宋_GB2312" w:eastAsia="仿宋_GB2312" w:cs="仿宋_GB2312"/>
                <w:color w:val="auto"/>
                <w:lang w:eastAsia="zh-CN"/>
              </w:rPr>
            </w:pPr>
            <w:r>
              <w:rPr>
                <w:rFonts w:hint="eastAsia" w:ascii="仿宋_GB2312" w:hAnsi="仿宋_GB2312" w:eastAsia="仿宋_GB2312" w:cs="仿宋_GB2312"/>
                <w:color w:val="auto"/>
              </w:rPr>
              <w:t>自</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日至</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eastAsia="zh-CN"/>
              </w:rPr>
              <w:t xml:space="preserve"> 日</w:t>
            </w:r>
          </w:p>
        </w:tc>
      </w:tr>
      <w:tr w14:paraId="6E6C1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0" w:type="dxa"/>
            <w:tcBorders>
              <w:top w:val="nil"/>
            </w:tcBorders>
            <w:vAlign w:val="center"/>
          </w:tcPr>
          <w:p w14:paraId="5FBE6824">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序号</w:t>
            </w:r>
          </w:p>
        </w:tc>
        <w:tc>
          <w:tcPr>
            <w:tcW w:w="4809" w:type="dxa"/>
            <w:gridSpan w:val="3"/>
            <w:tcBorders>
              <w:bottom w:val="nil"/>
            </w:tcBorders>
            <w:vAlign w:val="center"/>
          </w:tcPr>
          <w:p w14:paraId="695A554D">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履约内容</w:t>
            </w:r>
          </w:p>
        </w:tc>
        <w:tc>
          <w:tcPr>
            <w:tcW w:w="1348" w:type="dxa"/>
            <w:vAlign w:val="center"/>
          </w:tcPr>
          <w:p w14:paraId="64E9F7FE">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分值权重</w:t>
            </w:r>
          </w:p>
        </w:tc>
        <w:tc>
          <w:tcPr>
            <w:tcW w:w="1105" w:type="dxa"/>
            <w:vAlign w:val="center"/>
          </w:tcPr>
          <w:p w14:paraId="35DD5E61">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得分</w:t>
            </w:r>
          </w:p>
        </w:tc>
        <w:tc>
          <w:tcPr>
            <w:tcW w:w="1106" w:type="dxa"/>
            <w:vAlign w:val="center"/>
          </w:tcPr>
          <w:p w14:paraId="041222DA">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备注</w:t>
            </w:r>
          </w:p>
        </w:tc>
      </w:tr>
      <w:tr w14:paraId="18E01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0" w:type="dxa"/>
            <w:tcBorders>
              <w:top w:val="nil"/>
            </w:tcBorders>
            <w:vAlign w:val="center"/>
          </w:tcPr>
          <w:p w14:paraId="48C7C350">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1</w:t>
            </w:r>
          </w:p>
        </w:tc>
        <w:tc>
          <w:tcPr>
            <w:tcW w:w="4809" w:type="dxa"/>
            <w:gridSpan w:val="3"/>
            <w:tcBorders>
              <w:bottom w:val="nil"/>
            </w:tcBorders>
            <w:vAlign w:val="center"/>
          </w:tcPr>
          <w:p w14:paraId="5E0A7E0E">
            <w:pPr>
              <w:spacing w:line="276" w:lineRule="auto"/>
              <w:rPr>
                <w:rFonts w:ascii="仿宋_GB2312" w:hAnsi="仿宋_GB2312" w:eastAsia="仿宋_GB2312" w:cs="仿宋_GB2312"/>
                <w:color w:val="auto"/>
              </w:rPr>
            </w:pPr>
          </w:p>
        </w:tc>
        <w:tc>
          <w:tcPr>
            <w:tcW w:w="1348" w:type="dxa"/>
            <w:vAlign w:val="center"/>
          </w:tcPr>
          <w:p w14:paraId="77C4D790">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30</w:t>
            </w:r>
          </w:p>
        </w:tc>
        <w:tc>
          <w:tcPr>
            <w:tcW w:w="1105" w:type="dxa"/>
            <w:vAlign w:val="center"/>
          </w:tcPr>
          <w:p w14:paraId="22AD4231">
            <w:pPr>
              <w:spacing w:line="276" w:lineRule="auto"/>
              <w:rPr>
                <w:rFonts w:ascii="仿宋_GB2312" w:hAnsi="仿宋_GB2312" w:eastAsia="仿宋_GB2312" w:cs="仿宋_GB2312"/>
                <w:color w:val="auto"/>
              </w:rPr>
            </w:pPr>
          </w:p>
        </w:tc>
        <w:tc>
          <w:tcPr>
            <w:tcW w:w="1106" w:type="dxa"/>
            <w:vAlign w:val="center"/>
          </w:tcPr>
          <w:p w14:paraId="2EAA513C">
            <w:pPr>
              <w:spacing w:line="276" w:lineRule="auto"/>
              <w:rPr>
                <w:rFonts w:ascii="仿宋_GB2312" w:hAnsi="仿宋_GB2312" w:eastAsia="仿宋_GB2312" w:cs="仿宋_GB2312"/>
                <w:color w:val="auto"/>
              </w:rPr>
            </w:pPr>
          </w:p>
        </w:tc>
      </w:tr>
      <w:tr w14:paraId="7DCB3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590" w:type="dxa"/>
            <w:tcBorders>
              <w:top w:val="nil"/>
            </w:tcBorders>
            <w:vAlign w:val="center"/>
          </w:tcPr>
          <w:p w14:paraId="258DEB51">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2</w:t>
            </w:r>
          </w:p>
        </w:tc>
        <w:tc>
          <w:tcPr>
            <w:tcW w:w="4809" w:type="dxa"/>
            <w:gridSpan w:val="3"/>
            <w:tcBorders>
              <w:bottom w:val="nil"/>
            </w:tcBorders>
            <w:vAlign w:val="center"/>
          </w:tcPr>
          <w:p w14:paraId="43262ACF">
            <w:pPr>
              <w:spacing w:line="276" w:lineRule="auto"/>
              <w:rPr>
                <w:rFonts w:ascii="仿宋_GB2312" w:hAnsi="仿宋_GB2312" w:eastAsia="仿宋_GB2312" w:cs="仿宋_GB2312"/>
                <w:color w:val="auto"/>
              </w:rPr>
            </w:pPr>
          </w:p>
        </w:tc>
        <w:tc>
          <w:tcPr>
            <w:tcW w:w="1348" w:type="dxa"/>
            <w:vAlign w:val="center"/>
          </w:tcPr>
          <w:p w14:paraId="6A185F47">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30</w:t>
            </w:r>
          </w:p>
        </w:tc>
        <w:tc>
          <w:tcPr>
            <w:tcW w:w="1105" w:type="dxa"/>
            <w:vAlign w:val="center"/>
          </w:tcPr>
          <w:p w14:paraId="46061498">
            <w:pPr>
              <w:spacing w:line="276" w:lineRule="auto"/>
              <w:rPr>
                <w:rFonts w:ascii="仿宋_GB2312" w:hAnsi="仿宋_GB2312" w:eastAsia="仿宋_GB2312" w:cs="仿宋_GB2312"/>
                <w:color w:val="auto"/>
              </w:rPr>
            </w:pPr>
          </w:p>
        </w:tc>
        <w:tc>
          <w:tcPr>
            <w:tcW w:w="1106" w:type="dxa"/>
            <w:vAlign w:val="center"/>
          </w:tcPr>
          <w:p w14:paraId="49794D7A">
            <w:pPr>
              <w:spacing w:line="276" w:lineRule="auto"/>
              <w:rPr>
                <w:rFonts w:ascii="仿宋_GB2312" w:hAnsi="仿宋_GB2312" w:eastAsia="仿宋_GB2312" w:cs="仿宋_GB2312"/>
                <w:color w:val="auto"/>
              </w:rPr>
            </w:pPr>
          </w:p>
        </w:tc>
      </w:tr>
      <w:tr w14:paraId="73875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0" w:type="dxa"/>
            <w:tcBorders>
              <w:top w:val="nil"/>
            </w:tcBorders>
            <w:vAlign w:val="center"/>
          </w:tcPr>
          <w:p w14:paraId="34882F3A">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3</w:t>
            </w:r>
          </w:p>
        </w:tc>
        <w:tc>
          <w:tcPr>
            <w:tcW w:w="4809" w:type="dxa"/>
            <w:gridSpan w:val="3"/>
            <w:tcBorders>
              <w:bottom w:val="nil"/>
            </w:tcBorders>
            <w:vAlign w:val="center"/>
          </w:tcPr>
          <w:p w14:paraId="31AFE4CC">
            <w:pPr>
              <w:spacing w:line="276" w:lineRule="auto"/>
              <w:rPr>
                <w:rFonts w:ascii="仿宋_GB2312" w:hAnsi="仿宋_GB2312" w:eastAsia="仿宋_GB2312" w:cs="仿宋_GB2312"/>
                <w:color w:val="auto"/>
              </w:rPr>
            </w:pPr>
          </w:p>
        </w:tc>
        <w:tc>
          <w:tcPr>
            <w:tcW w:w="1348" w:type="dxa"/>
            <w:vAlign w:val="center"/>
          </w:tcPr>
          <w:p w14:paraId="6853F6B5">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20</w:t>
            </w:r>
          </w:p>
        </w:tc>
        <w:tc>
          <w:tcPr>
            <w:tcW w:w="1105" w:type="dxa"/>
            <w:vAlign w:val="center"/>
          </w:tcPr>
          <w:p w14:paraId="240AC84B">
            <w:pPr>
              <w:spacing w:line="276" w:lineRule="auto"/>
              <w:rPr>
                <w:rFonts w:ascii="仿宋_GB2312" w:hAnsi="仿宋_GB2312" w:eastAsia="仿宋_GB2312" w:cs="仿宋_GB2312"/>
                <w:color w:val="auto"/>
              </w:rPr>
            </w:pPr>
          </w:p>
        </w:tc>
        <w:tc>
          <w:tcPr>
            <w:tcW w:w="1106" w:type="dxa"/>
            <w:vAlign w:val="center"/>
          </w:tcPr>
          <w:p w14:paraId="6005EA29">
            <w:pPr>
              <w:spacing w:line="276" w:lineRule="auto"/>
              <w:rPr>
                <w:rFonts w:ascii="仿宋_GB2312" w:hAnsi="仿宋_GB2312" w:eastAsia="仿宋_GB2312" w:cs="仿宋_GB2312"/>
                <w:color w:val="auto"/>
              </w:rPr>
            </w:pPr>
          </w:p>
        </w:tc>
      </w:tr>
      <w:tr w14:paraId="0A58C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0" w:type="dxa"/>
            <w:tcBorders>
              <w:top w:val="nil"/>
            </w:tcBorders>
            <w:vAlign w:val="center"/>
          </w:tcPr>
          <w:p w14:paraId="1A6AFA43">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4</w:t>
            </w:r>
          </w:p>
        </w:tc>
        <w:tc>
          <w:tcPr>
            <w:tcW w:w="4809" w:type="dxa"/>
            <w:gridSpan w:val="3"/>
            <w:tcBorders>
              <w:bottom w:val="nil"/>
            </w:tcBorders>
            <w:vAlign w:val="center"/>
          </w:tcPr>
          <w:p w14:paraId="73668A14">
            <w:pPr>
              <w:spacing w:line="276" w:lineRule="auto"/>
              <w:rPr>
                <w:rFonts w:ascii="仿宋_GB2312" w:hAnsi="仿宋_GB2312" w:eastAsia="仿宋_GB2312" w:cs="仿宋_GB2312"/>
                <w:color w:val="auto"/>
              </w:rPr>
            </w:pPr>
          </w:p>
        </w:tc>
        <w:tc>
          <w:tcPr>
            <w:tcW w:w="1348" w:type="dxa"/>
            <w:vAlign w:val="center"/>
          </w:tcPr>
          <w:p w14:paraId="5D11DA86">
            <w:pPr>
              <w:spacing w:line="276" w:lineRule="auto"/>
              <w:rPr>
                <w:rFonts w:ascii="仿宋_GB2312" w:hAnsi="仿宋_GB2312" w:eastAsia="仿宋_GB2312" w:cs="仿宋_GB2312"/>
                <w:color w:val="auto"/>
              </w:rPr>
            </w:pPr>
            <w:r>
              <w:rPr>
                <w:rFonts w:hint="eastAsia" w:ascii="仿宋_GB2312" w:hAnsi="仿宋_GB2312" w:eastAsia="仿宋_GB2312" w:cs="仿宋_GB2312"/>
                <w:color w:val="auto"/>
                <w:sz w:val="21"/>
                <w:szCs w:val="21"/>
              </w:rPr>
              <w:t>20</w:t>
            </w:r>
          </w:p>
        </w:tc>
        <w:tc>
          <w:tcPr>
            <w:tcW w:w="1105" w:type="dxa"/>
            <w:vAlign w:val="center"/>
          </w:tcPr>
          <w:p w14:paraId="7CF52601">
            <w:pPr>
              <w:spacing w:line="276" w:lineRule="auto"/>
              <w:rPr>
                <w:rFonts w:ascii="仿宋_GB2312" w:hAnsi="仿宋_GB2312" w:eastAsia="仿宋_GB2312" w:cs="仿宋_GB2312"/>
                <w:color w:val="auto"/>
              </w:rPr>
            </w:pPr>
          </w:p>
        </w:tc>
        <w:tc>
          <w:tcPr>
            <w:tcW w:w="1106" w:type="dxa"/>
            <w:vAlign w:val="center"/>
          </w:tcPr>
          <w:p w14:paraId="7CBA5516">
            <w:pPr>
              <w:spacing w:line="276" w:lineRule="auto"/>
              <w:rPr>
                <w:rFonts w:ascii="仿宋_GB2312" w:hAnsi="仿宋_GB2312" w:eastAsia="仿宋_GB2312" w:cs="仿宋_GB2312"/>
                <w:color w:val="auto"/>
              </w:rPr>
            </w:pPr>
          </w:p>
        </w:tc>
      </w:tr>
      <w:tr w14:paraId="2792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90" w:type="dxa"/>
          </w:tcPr>
          <w:p w14:paraId="2E4A6384">
            <w:pPr>
              <w:pStyle w:val="43"/>
              <w:spacing w:before="75" w:line="251" w:lineRule="auto"/>
              <w:ind w:left="82" w:right="83" w:firstLine="110"/>
              <w:rPr>
                <w:rFonts w:ascii="仿宋_GB2312" w:hAnsi="仿宋_GB2312" w:eastAsia="仿宋_GB2312" w:cs="仿宋_GB2312"/>
                <w:color w:val="auto"/>
                <w:spacing w:val="3"/>
              </w:rPr>
            </w:pPr>
          </w:p>
        </w:tc>
        <w:tc>
          <w:tcPr>
            <w:tcW w:w="1020" w:type="dxa"/>
          </w:tcPr>
          <w:p w14:paraId="2BE6F666">
            <w:pPr>
              <w:pStyle w:val="43"/>
              <w:spacing w:before="75" w:line="251" w:lineRule="auto"/>
              <w:ind w:left="82" w:right="83" w:firstLine="110"/>
              <w:jc w:val="center"/>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计分</w:t>
            </w:r>
          </w:p>
        </w:tc>
        <w:tc>
          <w:tcPr>
            <w:tcW w:w="3789" w:type="dxa"/>
            <w:gridSpan w:val="2"/>
          </w:tcPr>
          <w:p w14:paraId="2CF79E72">
            <w:pPr>
              <w:pStyle w:val="43"/>
              <w:spacing w:before="75" w:line="251" w:lineRule="auto"/>
              <w:ind w:left="82" w:right="83" w:firstLine="110"/>
              <w:jc w:val="center"/>
              <w:rPr>
                <w:rFonts w:ascii="仿宋_GB2312" w:hAnsi="仿宋_GB2312" w:eastAsia="仿宋_GB2312" w:cs="仿宋_GB2312"/>
                <w:color w:val="auto"/>
              </w:rPr>
            </w:pPr>
            <w:r>
              <w:rPr>
                <w:rFonts w:hint="eastAsia" w:ascii="仿宋_GB2312" w:hAnsi="仿宋_GB2312" w:eastAsia="仿宋_GB2312" w:cs="仿宋_GB2312"/>
                <w:color w:val="auto"/>
                <w:lang w:eastAsia="zh-CN"/>
              </w:rPr>
              <w:t>满   分</w:t>
            </w:r>
          </w:p>
        </w:tc>
        <w:tc>
          <w:tcPr>
            <w:tcW w:w="1348" w:type="dxa"/>
          </w:tcPr>
          <w:p w14:paraId="7EE97058">
            <w:pPr>
              <w:pStyle w:val="43"/>
              <w:spacing w:before="75" w:line="251" w:lineRule="auto"/>
              <w:ind w:left="82" w:right="83" w:firstLine="110"/>
              <w:jc w:val="center"/>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100</w:t>
            </w:r>
          </w:p>
        </w:tc>
        <w:tc>
          <w:tcPr>
            <w:tcW w:w="1105" w:type="dxa"/>
          </w:tcPr>
          <w:p w14:paraId="479F7D71">
            <w:pPr>
              <w:pStyle w:val="43"/>
              <w:spacing w:before="75" w:line="251" w:lineRule="auto"/>
              <w:ind w:left="82" w:right="83" w:firstLine="110"/>
              <w:rPr>
                <w:rFonts w:ascii="仿宋_GB2312" w:hAnsi="仿宋_GB2312" w:eastAsia="仿宋_GB2312" w:cs="仿宋_GB2312"/>
                <w:color w:val="auto"/>
              </w:rPr>
            </w:pPr>
          </w:p>
        </w:tc>
        <w:tc>
          <w:tcPr>
            <w:tcW w:w="1106" w:type="dxa"/>
          </w:tcPr>
          <w:p w14:paraId="13E1C3CE">
            <w:pPr>
              <w:pStyle w:val="43"/>
              <w:spacing w:before="75" w:line="251" w:lineRule="auto"/>
              <w:ind w:left="82" w:right="83" w:firstLine="110"/>
              <w:rPr>
                <w:rFonts w:ascii="仿宋_GB2312" w:hAnsi="仿宋_GB2312" w:eastAsia="仿宋_GB2312" w:cs="仿宋_GB2312"/>
                <w:color w:val="auto"/>
              </w:rPr>
            </w:pPr>
          </w:p>
        </w:tc>
      </w:tr>
      <w:tr w14:paraId="0E1B9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1610" w:type="dxa"/>
            <w:gridSpan w:val="2"/>
            <w:vAlign w:val="center"/>
          </w:tcPr>
          <w:p w14:paraId="389AEBBB">
            <w:pPr>
              <w:pStyle w:val="43"/>
              <w:spacing w:before="68" w:line="219" w:lineRule="auto"/>
              <w:ind w:left="135"/>
              <w:jc w:val="center"/>
              <w:rPr>
                <w:rFonts w:ascii="仿宋_GB2312" w:hAnsi="仿宋_GB2312" w:eastAsia="仿宋_GB2312" w:cs="仿宋_GB2312"/>
                <w:color w:val="auto"/>
              </w:rPr>
            </w:pPr>
            <w:r>
              <w:rPr>
                <w:rFonts w:hint="eastAsia" w:ascii="仿宋_GB2312" w:hAnsi="仿宋_GB2312" w:eastAsia="仿宋_GB2312" w:cs="仿宋_GB2312"/>
                <w:color w:val="auto"/>
                <w:spacing w:val="3"/>
              </w:rPr>
              <w:t>具体情况说明</w:t>
            </w:r>
          </w:p>
        </w:tc>
        <w:tc>
          <w:tcPr>
            <w:tcW w:w="7348" w:type="dxa"/>
            <w:gridSpan w:val="5"/>
          </w:tcPr>
          <w:p w14:paraId="495EED7C">
            <w:pPr>
              <w:pStyle w:val="43"/>
              <w:spacing w:before="75" w:line="251" w:lineRule="auto"/>
              <w:ind w:left="82" w:right="83" w:firstLine="110"/>
              <w:rPr>
                <w:rFonts w:ascii="仿宋_GB2312" w:hAnsi="仿宋_GB2312" w:eastAsia="仿宋_GB2312" w:cs="仿宋_GB2312"/>
                <w:color w:val="auto"/>
              </w:rPr>
            </w:pPr>
          </w:p>
        </w:tc>
      </w:tr>
      <w:tr w14:paraId="1984B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3" w:hRule="atLeast"/>
        </w:trPr>
        <w:tc>
          <w:tcPr>
            <w:tcW w:w="1610" w:type="dxa"/>
            <w:gridSpan w:val="2"/>
          </w:tcPr>
          <w:p w14:paraId="6BE181D0">
            <w:pPr>
              <w:spacing w:line="249" w:lineRule="auto"/>
              <w:rPr>
                <w:rFonts w:ascii="仿宋_GB2312" w:hAnsi="仿宋_GB2312" w:eastAsia="仿宋_GB2312" w:cs="仿宋_GB2312"/>
                <w:color w:val="auto"/>
              </w:rPr>
            </w:pPr>
          </w:p>
          <w:p w14:paraId="42B04567">
            <w:pPr>
              <w:spacing w:line="249" w:lineRule="auto"/>
              <w:rPr>
                <w:rFonts w:ascii="仿宋_GB2312" w:hAnsi="仿宋_GB2312" w:eastAsia="仿宋_GB2312" w:cs="仿宋_GB2312"/>
                <w:color w:val="auto"/>
              </w:rPr>
            </w:pPr>
          </w:p>
          <w:p w14:paraId="6D6A0C79">
            <w:pPr>
              <w:spacing w:line="249" w:lineRule="auto"/>
              <w:rPr>
                <w:rFonts w:ascii="仿宋_GB2312" w:hAnsi="仿宋_GB2312" w:eastAsia="仿宋_GB2312" w:cs="仿宋_GB2312"/>
                <w:color w:val="auto"/>
              </w:rPr>
            </w:pPr>
          </w:p>
          <w:p w14:paraId="51DD66B2">
            <w:pPr>
              <w:pStyle w:val="43"/>
              <w:spacing w:before="69" w:line="219" w:lineRule="auto"/>
              <w:ind w:left="135"/>
              <w:rPr>
                <w:rFonts w:ascii="仿宋_GB2312" w:hAnsi="仿宋_GB2312" w:eastAsia="仿宋_GB2312" w:cs="仿宋_GB2312"/>
                <w:color w:val="auto"/>
                <w:lang w:eastAsia="zh-CN"/>
              </w:rPr>
            </w:pPr>
            <w:r>
              <w:rPr>
                <w:rFonts w:hint="eastAsia" w:ascii="仿宋_GB2312" w:hAnsi="仿宋_GB2312" w:eastAsia="仿宋_GB2312" w:cs="仿宋_GB2312"/>
                <w:color w:val="auto"/>
                <w:spacing w:val="-2"/>
                <w:lang w:eastAsia="zh-CN"/>
              </w:rPr>
              <w:t>采购单位意见</w:t>
            </w:r>
          </w:p>
          <w:p w14:paraId="1D92033A">
            <w:pPr>
              <w:pStyle w:val="43"/>
              <w:spacing w:before="40" w:line="219" w:lineRule="auto"/>
              <w:ind w:left="454"/>
              <w:rPr>
                <w:rFonts w:ascii="仿宋_GB2312" w:hAnsi="仿宋_GB2312" w:eastAsia="仿宋_GB2312" w:cs="仿宋_GB2312"/>
                <w:color w:val="auto"/>
                <w:lang w:eastAsia="zh-CN"/>
              </w:rPr>
            </w:pPr>
            <w:r>
              <w:rPr>
                <w:rFonts w:hint="eastAsia" w:ascii="仿宋_GB2312" w:hAnsi="仿宋_GB2312" w:eastAsia="仿宋_GB2312" w:cs="仿宋_GB2312"/>
                <w:color w:val="auto"/>
                <w:spacing w:val="11"/>
                <w:lang w:eastAsia="zh-CN"/>
              </w:rPr>
              <w:t>(公章)</w:t>
            </w:r>
          </w:p>
          <w:p w14:paraId="5D8283CA">
            <w:pPr>
              <w:spacing w:line="242" w:lineRule="auto"/>
              <w:rPr>
                <w:rFonts w:ascii="仿宋_GB2312" w:hAnsi="仿宋_GB2312" w:eastAsia="仿宋_GB2312" w:cs="仿宋_GB2312"/>
                <w:color w:val="auto"/>
              </w:rPr>
            </w:pPr>
          </w:p>
          <w:p w14:paraId="6ED5F3DB">
            <w:pPr>
              <w:pStyle w:val="43"/>
              <w:spacing w:before="68" w:line="219" w:lineRule="auto"/>
              <w:ind w:left="3882"/>
              <w:rPr>
                <w:rFonts w:ascii="仿宋_GB2312" w:hAnsi="仿宋_GB2312" w:eastAsia="仿宋_GB2312" w:cs="仿宋_GB2312"/>
                <w:color w:val="auto"/>
                <w:lang w:eastAsia="zh-CN"/>
              </w:rPr>
            </w:pPr>
            <w:r>
              <w:rPr>
                <w:rFonts w:hint="eastAsia" w:ascii="仿宋_GB2312" w:hAnsi="仿宋_GB2312" w:eastAsia="仿宋_GB2312" w:cs="仿宋_GB2312"/>
                <w:color w:val="auto"/>
                <w:spacing w:val="34"/>
                <w:lang w:eastAsia="zh-CN"/>
              </w:rPr>
              <w:t>期：</w:t>
            </w:r>
          </w:p>
        </w:tc>
        <w:tc>
          <w:tcPr>
            <w:tcW w:w="7348" w:type="dxa"/>
            <w:gridSpan w:val="5"/>
          </w:tcPr>
          <w:p w14:paraId="4A469539">
            <w:pPr>
              <w:pStyle w:val="43"/>
              <w:spacing w:before="68" w:line="219" w:lineRule="auto"/>
              <w:ind w:left="3882"/>
              <w:rPr>
                <w:rFonts w:ascii="仿宋_GB2312" w:hAnsi="仿宋_GB2312" w:eastAsia="仿宋_GB2312" w:cs="仿宋_GB2312"/>
                <w:color w:val="auto"/>
                <w:spacing w:val="34"/>
                <w:lang w:eastAsia="zh-CN"/>
              </w:rPr>
            </w:pPr>
          </w:p>
          <w:p w14:paraId="566E9DAB">
            <w:pPr>
              <w:pStyle w:val="43"/>
              <w:spacing w:before="68" w:line="219" w:lineRule="auto"/>
              <w:ind w:left="3882"/>
              <w:rPr>
                <w:rFonts w:ascii="仿宋_GB2312" w:hAnsi="仿宋_GB2312" w:eastAsia="仿宋_GB2312" w:cs="仿宋_GB2312"/>
                <w:color w:val="auto"/>
                <w:spacing w:val="34"/>
                <w:lang w:eastAsia="zh-CN"/>
              </w:rPr>
            </w:pPr>
          </w:p>
          <w:p w14:paraId="0C69700B">
            <w:pPr>
              <w:pStyle w:val="43"/>
              <w:spacing w:before="68" w:line="219" w:lineRule="auto"/>
              <w:ind w:left="3882"/>
              <w:rPr>
                <w:rFonts w:ascii="仿宋_GB2312" w:hAnsi="仿宋_GB2312" w:eastAsia="仿宋_GB2312" w:cs="仿宋_GB2312"/>
                <w:color w:val="auto"/>
                <w:spacing w:val="34"/>
                <w:lang w:eastAsia="zh-CN"/>
              </w:rPr>
            </w:pPr>
          </w:p>
          <w:p w14:paraId="5083986A">
            <w:pPr>
              <w:pStyle w:val="43"/>
              <w:spacing w:before="68" w:line="219" w:lineRule="auto"/>
              <w:ind w:left="3882"/>
              <w:rPr>
                <w:rFonts w:ascii="仿宋_GB2312" w:hAnsi="仿宋_GB2312" w:eastAsia="仿宋_GB2312" w:cs="仿宋_GB2312"/>
                <w:color w:val="auto"/>
                <w:spacing w:val="34"/>
                <w:lang w:eastAsia="zh-CN"/>
              </w:rPr>
            </w:pPr>
          </w:p>
          <w:p w14:paraId="37C9B5F7">
            <w:pPr>
              <w:pStyle w:val="43"/>
              <w:spacing w:before="68" w:line="219" w:lineRule="auto"/>
              <w:ind w:left="3882"/>
              <w:rPr>
                <w:rFonts w:ascii="仿宋_GB2312" w:hAnsi="仿宋_GB2312" w:eastAsia="仿宋_GB2312" w:cs="仿宋_GB2312"/>
                <w:color w:val="auto"/>
                <w:spacing w:val="34"/>
                <w:lang w:eastAsia="zh-CN"/>
              </w:rPr>
            </w:pPr>
          </w:p>
          <w:p w14:paraId="6173107D">
            <w:pPr>
              <w:pStyle w:val="43"/>
              <w:spacing w:before="68" w:line="219" w:lineRule="auto"/>
              <w:ind w:left="3882"/>
              <w:rPr>
                <w:rFonts w:ascii="仿宋_GB2312" w:hAnsi="仿宋_GB2312" w:eastAsia="仿宋_GB2312" w:cs="仿宋_GB2312"/>
                <w:color w:val="auto"/>
                <w:spacing w:val="34"/>
                <w:lang w:eastAsia="zh-CN"/>
              </w:rPr>
            </w:pPr>
          </w:p>
          <w:p w14:paraId="632CD17B">
            <w:pPr>
              <w:pStyle w:val="43"/>
              <w:spacing w:before="68" w:line="219" w:lineRule="auto"/>
              <w:ind w:left="3882"/>
              <w:rPr>
                <w:rFonts w:ascii="仿宋_GB2312" w:hAnsi="仿宋_GB2312" w:eastAsia="仿宋_GB2312" w:cs="仿宋_GB2312"/>
                <w:color w:val="auto"/>
                <w:spacing w:val="34"/>
                <w:lang w:eastAsia="zh-CN"/>
              </w:rPr>
            </w:pPr>
            <w:r>
              <w:rPr>
                <w:rFonts w:hint="eastAsia" w:ascii="仿宋_GB2312" w:hAnsi="仿宋_GB2312" w:eastAsia="仿宋_GB2312" w:cs="仿宋_GB2312"/>
                <w:color w:val="auto"/>
                <w:spacing w:val="34"/>
                <w:lang w:eastAsia="zh-CN"/>
              </w:rPr>
              <w:t>日期：   年   月   日</w:t>
            </w:r>
          </w:p>
          <w:p w14:paraId="288FBCE4">
            <w:pPr>
              <w:pStyle w:val="43"/>
              <w:spacing w:before="68" w:line="219" w:lineRule="auto"/>
              <w:ind w:left="3882"/>
              <w:rPr>
                <w:rFonts w:ascii="仿宋_GB2312" w:hAnsi="仿宋_GB2312" w:eastAsia="仿宋_GB2312" w:cs="仿宋_GB2312"/>
                <w:color w:val="auto"/>
                <w:spacing w:val="34"/>
              </w:rPr>
            </w:pPr>
          </w:p>
        </w:tc>
      </w:tr>
    </w:tbl>
    <w:p w14:paraId="68313E5B">
      <w:pPr>
        <w:spacing w:line="360" w:lineRule="auto"/>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sz w:val="21"/>
          <w:szCs w:val="18"/>
        </w:rPr>
        <w:t>项目合同到期前30个工作日内，采购单位根据乙方提交成果情况，填写本项目履约情况反馈表（上表），最终考核得分供项目验收参考。根据分值权重，累计得分≥90分时为优秀；75≤累计得分＜90为良好；60≤累计得分＜75为合格；累计得分＜60为不合格。</w:t>
      </w:r>
    </w:p>
    <w:p w14:paraId="721263DB">
      <w:pPr>
        <w:rPr>
          <w:rFonts w:eastAsia="宋体"/>
          <w:color w:val="auto"/>
        </w:rPr>
      </w:pPr>
      <w:r>
        <w:rPr>
          <w:rFonts w:eastAsia="宋体"/>
          <w:color w:val="auto"/>
        </w:rPr>
        <w:br w:type="page"/>
      </w:r>
    </w:p>
    <w:p w14:paraId="6F55DF82">
      <w:pPr>
        <w:pStyle w:val="3"/>
        <w:spacing w:before="120" w:beforeLines="50" w:after="120" w:afterLines="50"/>
        <w:ind w:left="562"/>
        <w:rPr>
          <w:color w:val="auto"/>
        </w:rPr>
      </w:pPr>
      <w:r>
        <w:rPr>
          <w:rFonts w:hint="eastAsia"/>
          <w:color w:val="auto"/>
        </w:rPr>
        <w:t>第二册  通用条款（公开招标）</w:t>
      </w:r>
    </w:p>
    <w:p w14:paraId="63ABA7B9">
      <w:pPr>
        <w:pStyle w:val="6"/>
        <w:numPr>
          <w:ilvl w:val="0"/>
          <w:numId w:val="6"/>
        </w:numPr>
        <w:spacing w:before="120" w:beforeLines="50" w:after="120" w:afterLines="50"/>
        <w:ind w:left="562" w:hanging="562"/>
        <w:jc w:val="left"/>
        <w:rPr>
          <w:color w:val="auto"/>
          <w:sz w:val="28"/>
          <w:szCs w:val="28"/>
        </w:rPr>
      </w:pPr>
      <w:bookmarkStart w:id="66" w:name="_Hlk72399513"/>
      <w:r>
        <w:rPr>
          <w:rFonts w:hint="eastAsia"/>
          <w:color w:val="auto"/>
          <w:sz w:val="28"/>
          <w:szCs w:val="28"/>
        </w:rPr>
        <w:t>总则</w:t>
      </w:r>
    </w:p>
    <w:bookmarkEnd w:id="66"/>
    <w:p w14:paraId="765448A8">
      <w:pPr>
        <w:jc w:val="left"/>
        <w:rPr>
          <w:rFonts w:ascii="黑体" w:hAnsi="宋体" w:eastAsia="黑体"/>
          <w:color w:val="auto"/>
        </w:rPr>
      </w:pPr>
      <w:r>
        <w:rPr>
          <w:rFonts w:hint="eastAsia" w:ascii="黑体" w:hAnsi="宋体" w:eastAsia="黑体"/>
          <w:color w:val="auto"/>
        </w:rPr>
        <w:t>1. 通用条款说明</w:t>
      </w:r>
    </w:p>
    <w:p w14:paraId="1AFF7B37">
      <w:pPr>
        <w:ind w:firstLine="470" w:firstLineChars="196"/>
        <w:jc w:val="left"/>
        <w:rPr>
          <w:rFonts w:ascii="宋体" w:hAnsi="宋体"/>
          <w:color w:val="auto"/>
          <w:szCs w:val="21"/>
        </w:rPr>
      </w:pPr>
      <w:r>
        <w:rPr>
          <w:rFonts w:hint="eastAsia" w:ascii="宋体" w:hAnsi="宋体"/>
          <w:color w:val="auto"/>
          <w:szCs w:val="21"/>
        </w:rPr>
        <w:t>1.1</w:t>
      </w:r>
      <w:r>
        <w:rPr>
          <w:rFonts w:hint="eastAsia" w:ascii="宋体" w:hAnsi="宋体" w:eastAsia="宋体"/>
          <w:color w:val="auto"/>
          <w:szCs w:val="21"/>
        </w:rPr>
        <w:t>招标代理</w:t>
      </w:r>
      <w:r>
        <w:rPr>
          <w:rFonts w:hint="eastAsia" w:ascii="宋体" w:hAnsi="宋体"/>
          <w:color w:val="auto"/>
          <w:szCs w:val="21"/>
        </w:rPr>
        <w:t>机构发出招标文件通用条款版本，列出深圳市政府采购项目进行招标采购所适用的通用条款内容。</w:t>
      </w:r>
      <w:bookmarkStart w:id="67" w:name="_Hlk72399729"/>
      <w:r>
        <w:rPr>
          <w:rFonts w:hint="eastAsia" w:ascii="宋体" w:hAnsi="宋体"/>
          <w:color w:val="auto"/>
          <w:szCs w:val="21"/>
        </w:rPr>
        <w:t>如有需要，</w:t>
      </w:r>
      <w:r>
        <w:rPr>
          <w:rFonts w:hint="eastAsia" w:ascii="宋体" w:hAnsi="宋体" w:eastAsia="宋体"/>
          <w:color w:val="auto"/>
          <w:szCs w:val="21"/>
        </w:rPr>
        <w:t>招标代理</w:t>
      </w:r>
      <w:r>
        <w:rPr>
          <w:rFonts w:hint="eastAsia" w:ascii="宋体" w:hAnsi="宋体"/>
          <w:color w:val="auto"/>
          <w:szCs w:val="21"/>
        </w:rPr>
        <w:t>机构可以对通用条款的内容进行补充。</w:t>
      </w:r>
      <w:bookmarkEnd w:id="67"/>
    </w:p>
    <w:p w14:paraId="01ADEBA7">
      <w:pPr>
        <w:ind w:firstLine="470" w:firstLineChars="196"/>
        <w:jc w:val="left"/>
        <w:rPr>
          <w:rFonts w:ascii="宋体" w:hAnsi="宋体"/>
          <w:color w:val="auto"/>
          <w:szCs w:val="21"/>
        </w:rPr>
      </w:pPr>
      <w:r>
        <w:rPr>
          <w:rFonts w:hint="eastAsia" w:ascii="宋体" w:hAnsi="宋体"/>
          <w:color w:val="auto"/>
          <w:szCs w:val="21"/>
        </w:rPr>
        <w:t>1.2招标文件分为第一册“专用条款”和第二册“通用条款”。</w:t>
      </w:r>
    </w:p>
    <w:p w14:paraId="5C07C516">
      <w:pPr>
        <w:ind w:firstLine="470" w:firstLineChars="196"/>
        <w:jc w:val="left"/>
        <w:rPr>
          <w:rFonts w:ascii="宋体" w:hAnsi="宋体"/>
          <w:color w:val="auto"/>
          <w:szCs w:val="21"/>
        </w:rPr>
      </w:pPr>
      <w:r>
        <w:rPr>
          <w:rFonts w:hint="eastAsia" w:ascii="宋体" w:hAnsi="宋体"/>
          <w:color w:val="auto"/>
          <w:szCs w:val="21"/>
        </w:rPr>
        <w:t>1.3“专用条款”是对本次采购项目的具体要求，包含招标公告、对通用条款的补充内容及其他关键信息、用户需求书、投标文件格式及附件、合同条款及格式等内容。</w:t>
      </w:r>
    </w:p>
    <w:p w14:paraId="0C47F6BB">
      <w:pPr>
        <w:ind w:firstLine="470" w:firstLineChars="196"/>
        <w:jc w:val="left"/>
        <w:rPr>
          <w:rFonts w:ascii="宋体" w:hAnsi="宋体"/>
          <w:color w:val="auto"/>
          <w:szCs w:val="21"/>
        </w:rPr>
      </w:pPr>
      <w:r>
        <w:rPr>
          <w:rFonts w:hint="eastAsia" w:ascii="宋体" w:hAnsi="宋体"/>
          <w:color w:val="auto"/>
          <w:szCs w:val="21"/>
        </w:rPr>
        <w:t>1.4“通用条款”是适用于政府采购公开招标项目的基础性条款，具有普遍性和通用性。</w:t>
      </w:r>
    </w:p>
    <w:p w14:paraId="0D4269F2">
      <w:pPr>
        <w:ind w:firstLine="470" w:firstLineChars="196"/>
        <w:jc w:val="left"/>
        <w:rPr>
          <w:rFonts w:ascii="宋体" w:hAnsi="宋体"/>
          <w:color w:val="auto"/>
          <w:szCs w:val="21"/>
        </w:rPr>
      </w:pPr>
      <w:r>
        <w:rPr>
          <w:rFonts w:hint="eastAsia" w:ascii="宋体" w:hAnsi="宋体"/>
          <w:color w:val="auto"/>
          <w:szCs w:val="21"/>
        </w:rPr>
        <w:t>1.5 “专用条款”和“通用条款”表述不一致或有冲突时，以“专用条款”为准。</w:t>
      </w:r>
    </w:p>
    <w:p w14:paraId="32026CE4">
      <w:pPr>
        <w:jc w:val="left"/>
        <w:rPr>
          <w:rFonts w:ascii="黑体" w:hAnsi="宋体" w:eastAsia="黑体"/>
          <w:color w:val="auto"/>
        </w:rPr>
      </w:pPr>
      <w:r>
        <w:rPr>
          <w:rFonts w:hint="eastAsia" w:ascii="黑体" w:hAnsi="宋体" w:eastAsia="黑体"/>
          <w:color w:val="auto"/>
        </w:rPr>
        <w:t>2</w:t>
      </w:r>
      <w:r>
        <w:rPr>
          <w:rFonts w:ascii="黑体" w:hAnsi="宋体" w:eastAsia="黑体"/>
          <w:color w:val="auto"/>
        </w:rPr>
        <w:t>．</w:t>
      </w:r>
      <w:r>
        <w:rPr>
          <w:rFonts w:hint="eastAsia" w:ascii="黑体" w:hAnsi="宋体" w:eastAsia="黑体"/>
          <w:color w:val="auto"/>
        </w:rPr>
        <w:t>招标说明</w:t>
      </w:r>
    </w:p>
    <w:p w14:paraId="00BA18C2">
      <w:pPr>
        <w:ind w:firstLine="470" w:firstLineChars="196"/>
        <w:jc w:val="left"/>
        <w:rPr>
          <w:rFonts w:ascii="宋体" w:hAnsi="宋体"/>
          <w:color w:val="auto"/>
          <w:szCs w:val="21"/>
        </w:rPr>
      </w:pPr>
      <w:r>
        <w:rPr>
          <w:rFonts w:hint="eastAsia" w:ascii="宋体" w:hAnsi="宋体"/>
          <w:color w:val="auto"/>
          <w:szCs w:val="21"/>
        </w:rPr>
        <w:t>本项目按照《深圳经济特区政府采购条例》、《深圳经济特区政府采购条例实施细则》及政府采购其他法律法规，通过公开招标方式确定中标供应商。</w:t>
      </w:r>
    </w:p>
    <w:p w14:paraId="37E29C85">
      <w:pPr>
        <w:jc w:val="left"/>
        <w:rPr>
          <w:rFonts w:ascii="黑体" w:hAnsi="宋体" w:eastAsia="黑体"/>
          <w:color w:val="auto"/>
        </w:rPr>
      </w:pPr>
      <w:r>
        <w:rPr>
          <w:rFonts w:hint="eastAsia" w:ascii="黑体" w:hAnsi="宋体" w:eastAsia="黑体"/>
          <w:color w:val="auto"/>
        </w:rPr>
        <w:t>3．定义</w:t>
      </w:r>
    </w:p>
    <w:p w14:paraId="05DAFCDE">
      <w:pPr>
        <w:ind w:firstLine="480" w:firstLineChars="200"/>
        <w:jc w:val="left"/>
        <w:rPr>
          <w:rFonts w:ascii="宋体" w:hAnsi="宋体"/>
          <w:color w:val="auto"/>
          <w:szCs w:val="21"/>
        </w:rPr>
      </w:pPr>
      <w:r>
        <w:rPr>
          <w:rFonts w:ascii="宋体" w:hAnsi="宋体"/>
          <w:color w:val="auto"/>
          <w:szCs w:val="21"/>
        </w:rPr>
        <w:t>招标文件中下列术语应解释为：</w:t>
      </w:r>
    </w:p>
    <w:p w14:paraId="0275E4F2">
      <w:pPr>
        <w:ind w:firstLine="470" w:firstLineChars="196"/>
        <w:jc w:val="left"/>
        <w:rPr>
          <w:rFonts w:ascii="宋体" w:hAnsi="宋体"/>
          <w:color w:val="auto"/>
          <w:szCs w:val="21"/>
        </w:rPr>
      </w:pPr>
      <w:r>
        <w:rPr>
          <w:rFonts w:hint="eastAsia" w:ascii="宋体" w:hAnsi="宋体"/>
          <w:color w:val="auto"/>
          <w:szCs w:val="21"/>
        </w:rPr>
        <w:t>3.</w:t>
      </w:r>
      <w:r>
        <w:rPr>
          <w:rFonts w:ascii="宋体" w:hAnsi="宋体"/>
          <w:color w:val="auto"/>
          <w:szCs w:val="21"/>
        </w:rPr>
        <w:t>1</w:t>
      </w:r>
      <w:r>
        <w:rPr>
          <w:rFonts w:hint="eastAsia" w:ascii="宋体" w:hAnsi="宋体"/>
          <w:color w:val="auto"/>
          <w:szCs w:val="21"/>
        </w:rPr>
        <w:t>“采购人”：指利用财政性资金依法进行政府采购的国家机关、事业单位、团体组织；</w:t>
      </w:r>
      <w:r>
        <w:rPr>
          <w:rFonts w:ascii="宋体" w:hAnsi="宋体"/>
          <w:color w:val="auto"/>
          <w:szCs w:val="21"/>
        </w:rPr>
        <w:t xml:space="preserve"> </w:t>
      </w:r>
    </w:p>
    <w:p w14:paraId="2E4931CB">
      <w:pPr>
        <w:ind w:firstLine="470" w:firstLineChars="196"/>
        <w:jc w:val="left"/>
        <w:rPr>
          <w:rFonts w:ascii="宋体" w:hAnsi="宋体"/>
          <w:color w:val="auto"/>
          <w:szCs w:val="21"/>
        </w:rPr>
      </w:pPr>
      <w:r>
        <w:rPr>
          <w:rFonts w:hint="eastAsia" w:ascii="宋体" w:hAnsi="宋体"/>
          <w:color w:val="auto"/>
          <w:szCs w:val="21"/>
        </w:rPr>
        <w:t>3.2 “投标人”，即供应商，指参加投标竞争并愿意按照招标文件要求向采购人提供货物、工程或者服务的依法成立的法人、其他组织或者自然人；</w:t>
      </w:r>
    </w:p>
    <w:p w14:paraId="590319BE">
      <w:pPr>
        <w:ind w:firstLine="470" w:firstLineChars="196"/>
        <w:jc w:val="left"/>
        <w:rPr>
          <w:rFonts w:ascii="宋体" w:hAnsi="宋体"/>
          <w:color w:val="auto"/>
          <w:szCs w:val="21"/>
        </w:rPr>
      </w:pPr>
      <w:r>
        <w:rPr>
          <w:rFonts w:hint="eastAsia" w:ascii="宋体" w:hAnsi="宋体"/>
          <w:color w:val="auto"/>
          <w:szCs w:val="21"/>
        </w:rPr>
        <w:t>3.3“评审委员会”是依据《深圳经济特区政府采购条例》、《深圳经济特区政府采购条例实施细则》等有关规定组建的专门负责本次招标其评审工作的临时性机构；</w:t>
      </w:r>
    </w:p>
    <w:p w14:paraId="7A455D43">
      <w:pPr>
        <w:ind w:firstLine="470" w:firstLineChars="196"/>
        <w:jc w:val="left"/>
        <w:rPr>
          <w:rFonts w:ascii="宋体" w:hAnsi="宋体"/>
          <w:color w:val="auto"/>
          <w:szCs w:val="21"/>
        </w:rPr>
      </w:pPr>
      <w:r>
        <w:rPr>
          <w:rFonts w:hint="eastAsia" w:ascii="宋体" w:hAnsi="宋体"/>
          <w:color w:val="auto"/>
          <w:szCs w:val="21"/>
        </w:rPr>
        <w:t>3.4“日期”</w:t>
      </w:r>
      <w:r>
        <w:rPr>
          <w:rFonts w:ascii="宋体" w:hAnsi="宋体"/>
          <w:color w:val="auto"/>
          <w:szCs w:val="21"/>
        </w:rPr>
        <w:t>指</w:t>
      </w:r>
      <w:r>
        <w:rPr>
          <w:rFonts w:hint="eastAsia" w:ascii="宋体" w:hAnsi="宋体"/>
          <w:color w:val="auto"/>
          <w:szCs w:val="21"/>
        </w:rPr>
        <w:t>公历日；</w:t>
      </w:r>
    </w:p>
    <w:p w14:paraId="37A2B83D">
      <w:pPr>
        <w:ind w:firstLine="470" w:firstLineChars="196"/>
        <w:jc w:val="left"/>
        <w:rPr>
          <w:rFonts w:ascii="宋体" w:hAnsi="宋体"/>
          <w:color w:val="auto"/>
          <w:szCs w:val="21"/>
        </w:rPr>
      </w:pPr>
      <w:r>
        <w:rPr>
          <w:rFonts w:hint="eastAsia" w:ascii="宋体" w:hAnsi="宋体"/>
          <w:color w:val="auto"/>
          <w:szCs w:val="21"/>
        </w:rPr>
        <w:t>3.5“合同”指由本次招标所产生的合同或合约文件；</w:t>
      </w:r>
    </w:p>
    <w:p w14:paraId="0B561EF5">
      <w:pPr>
        <w:ind w:firstLine="470" w:firstLineChars="196"/>
        <w:jc w:val="left"/>
        <w:rPr>
          <w:rFonts w:ascii="宋体" w:hAnsi="宋体"/>
          <w:color w:val="auto"/>
          <w:szCs w:val="21"/>
        </w:rPr>
      </w:pPr>
      <w:r>
        <w:rPr>
          <w:rFonts w:hint="eastAsia" w:ascii="宋体" w:hAnsi="宋体"/>
          <w:color w:val="auto"/>
          <w:szCs w:val="21"/>
        </w:rPr>
        <w:t>3.6“</w:t>
      </w:r>
      <w:r>
        <w:rPr>
          <w:rFonts w:hint="eastAsia" w:ascii="宋体" w:hAnsi="宋体" w:eastAsia="宋体"/>
          <w:color w:val="auto"/>
          <w:szCs w:val="21"/>
        </w:rPr>
        <w:t>线下投标文件指投标人制作的纸质版本投标文件</w:t>
      </w:r>
      <w:r>
        <w:rPr>
          <w:rFonts w:hint="eastAsia" w:ascii="宋体" w:hAnsi="宋体"/>
          <w:color w:val="auto"/>
          <w:szCs w:val="21"/>
        </w:rPr>
        <w:t>；</w:t>
      </w:r>
    </w:p>
    <w:p w14:paraId="514CA392">
      <w:pPr>
        <w:ind w:firstLine="470" w:firstLineChars="196"/>
        <w:jc w:val="left"/>
        <w:rPr>
          <w:rFonts w:ascii="宋体" w:hAnsi="宋体"/>
          <w:color w:val="auto"/>
          <w:szCs w:val="21"/>
        </w:rPr>
      </w:pPr>
      <w:r>
        <w:rPr>
          <w:rFonts w:hint="eastAsia" w:ascii="宋体" w:hAnsi="宋体"/>
          <w:color w:val="auto"/>
          <w:szCs w:val="21"/>
        </w:rPr>
        <w:t>3.7“招标文件中的标题或题名仅起引导作用，而不应视为对招标文件内容的理解和解释。</w:t>
      </w:r>
    </w:p>
    <w:p w14:paraId="48D5393B">
      <w:pPr>
        <w:jc w:val="left"/>
        <w:rPr>
          <w:rFonts w:ascii="黑体" w:hAnsi="宋体" w:eastAsia="黑体"/>
          <w:color w:val="auto"/>
        </w:rPr>
      </w:pPr>
      <w:r>
        <w:rPr>
          <w:rFonts w:hint="eastAsia" w:ascii="黑体" w:hAnsi="宋体" w:eastAsia="黑体"/>
          <w:color w:val="auto"/>
        </w:rPr>
        <w:t xml:space="preserve">4. </w:t>
      </w:r>
      <w:bookmarkStart w:id="68" w:name="_Hlk72398643"/>
      <w:r>
        <w:rPr>
          <w:rFonts w:hint="eastAsia" w:ascii="黑体" w:hAnsi="宋体" w:eastAsia="黑体"/>
          <w:color w:val="auto"/>
        </w:rPr>
        <w:t>政府采购供应商责任</w:t>
      </w:r>
    </w:p>
    <w:p w14:paraId="06867363">
      <w:pPr>
        <w:ind w:firstLine="470" w:firstLineChars="196"/>
        <w:jc w:val="left"/>
        <w:rPr>
          <w:rFonts w:ascii="宋体" w:hAnsi="宋体"/>
          <w:color w:val="auto"/>
          <w:szCs w:val="21"/>
        </w:rPr>
      </w:pPr>
      <w:r>
        <w:rPr>
          <w:rFonts w:hint="eastAsia" w:ascii="宋体" w:hAnsi="宋体"/>
          <w:color w:val="auto"/>
          <w:szCs w:val="21"/>
        </w:rPr>
        <w:t>4.1欢迎诚信、有实力和有社会责任心的供应商参与政府采购事业。</w:t>
      </w:r>
    </w:p>
    <w:p w14:paraId="0B114799">
      <w:pPr>
        <w:ind w:firstLine="470" w:firstLineChars="196"/>
        <w:jc w:val="left"/>
        <w:rPr>
          <w:rFonts w:ascii="宋体" w:hAnsi="宋体"/>
          <w:color w:val="auto"/>
          <w:szCs w:val="21"/>
        </w:rPr>
      </w:pPr>
      <w:r>
        <w:rPr>
          <w:rFonts w:hint="eastAsia" w:ascii="宋体" w:hAnsi="宋体"/>
          <w:color w:val="auto"/>
          <w:szCs w:val="21"/>
        </w:rPr>
        <w:t>4.2投标人应当遵循公平竞争的原则，不得恶意串通，不得妨碍其他投标人的竞争行为，不得损害采购人或者其他投标人的合法权益。如违反上述要求，经核实后，供应商的投标无效。</w:t>
      </w:r>
    </w:p>
    <w:p w14:paraId="66A00F20">
      <w:pPr>
        <w:jc w:val="left"/>
        <w:rPr>
          <w:rFonts w:ascii="黑体" w:hAnsi="宋体" w:eastAsia="黑体"/>
          <w:color w:val="auto"/>
        </w:rPr>
      </w:pPr>
      <w:r>
        <w:rPr>
          <w:rFonts w:hint="eastAsia" w:ascii="黑体" w:hAnsi="宋体" w:eastAsia="黑体"/>
          <w:color w:val="auto"/>
        </w:rPr>
        <w:t>5．投标人参加政府采购的条件</w:t>
      </w:r>
    </w:p>
    <w:p w14:paraId="6C7CDB47">
      <w:pPr>
        <w:ind w:firstLine="470" w:firstLineChars="196"/>
        <w:jc w:val="left"/>
        <w:rPr>
          <w:rFonts w:ascii="宋体" w:hAnsi="宋体"/>
          <w:color w:val="auto"/>
          <w:szCs w:val="21"/>
        </w:rPr>
      </w:pPr>
      <w:r>
        <w:rPr>
          <w:rFonts w:hint="eastAsia" w:ascii="宋体" w:hAnsi="宋体"/>
          <w:color w:val="auto"/>
          <w:szCs w:val="21"/>
        </w:rPr>
        <w:t>5.1投标人应在</w:t>
      </w:r>
      <w:r>
        <w:rPr>
          <w:rFonts w:hint="eastAsia" w:ascii="宋体" w:hAnsi="宋体" w:eastAsia="宋体"/>
          <w:color w:val="auto"/>
          <w:szCs w:val="21"/>
        </w:rPr>
        <w:t>截标之日前向递交招标文件。</w:t>
      </w:r>
      <w:r>
        <w:rPr>
          <w:rFonts w:hint="eastAsia" w:ascii="宋体" w:hAnsi="宋体"/>
          <w:color w:val="auto"/>
          <w:szCs w:val="21"/>
        </w:rPr>
        <w:t>。</w:t>
      </w:r>
    </w:p>
    <w:p w14:paraId="15B73982">
      <w:pPr>
        <w:ind w:firstLine="470" w:firstLineChars="196"/>
        <w:jc w:val="left"/>
        <w:rPr>
          <w:rFonts w:ascii="宋体" w:hAnsi="宋体"/>
          <w:color w:val="auto"/>
          <w:szCs w:val="21"/>
        </w:rPr>
      </w:pPr>
      <w:r>
        <w:rPr>
          <w:rFonts w:hint="eastAsia" w:ascii="宋体" w:hAnsi="宋体"/>
          <w:color w:val="auto"/>
          <w:szCs w:val="21"/>
        </w:rPr>
        <w:t>5.2投标人资格要求</w:t>
      </w:r>
    </w:p>
    <w:p w14:paraId="1CC483E8">
      <w:pPr>
        <w:ind w:firstLine="470" w:firstLineChars="196"/>
        <w:jc w:val="left"/>
        <w:rPr>
          <w:rFonts w:ascii="宋体" w:hAnsi="宋体"/>
          <w:color w:val="auto"/>
          <w:szCs w:val="21"/>
        </w:rPr>
      </w:pPr>
      <w:r>
        <w:rPr>
          <w:rFonts w:hint="eastAsia" w:ascii="宋体" w:hAnsi="宋体"/>
          <w:color w:val="auto"/>
          <w:szCs w:val="21"/>
        </w:rPr>
        <w:t>参加本项目的投标人应具备的资格条件详见本项目招标公告中 “投标人资格要求”（即申请人的资格要求）的内容。</w:t>
      </w:r>
    </w:p>
    <w:p w14:paraId="4B437ABE">
      <w:pPr>
        <w:jc w:val="left"/>
        <w:rPr>
          <w:rFonts w:ascii="黑体" w:hAnsi="宋体" w:eastAsia="黑体"/>
          <w:color w:val="auto"/>
        </w:rPr>
      </w:pPr>
      <w:r>
        <w:rPr>
          <w:rFonts w:hint="eastAsia" w:ascii="黑体" w:hAnsi="宋体" w:eastAsia="黑体"/>
          <w:color w:val="auto"/>
        </w:rPr>
        <w:t>6．政策导向</w:t>
      </w:r>
    </w:p>
    <w:p w14:paraId="4D00CE34">
      <w:pPr>
        <w:ind w:firstLine="470" w:firstLineChars="196"/>
        <w:jc w:val="left"/>
        <w:rPr>
          <w:rFonts w:ascii="宋体" w:hAnsi="宋体"/>
          <w:color w:val="auto"/>
        </w:rPr>
      </w:pPr>
      <w:r>
        <w:rPr>
          <w:rFonts w:hint="eastAsia" w:ascii="宋体" w:hAnsi="宋体"/>
          <w:color w:val="auto"/>
        </w:rPr>
        <w:t>6.1</w:t>
      </w:r>
      <w:r>
        <w:rPr>
          <w:rFonts w:ascii="宋体" w:hAnsi="宋体"/>
          <w:color w:val="auto"/>
        </w:rPr>
        <w:t xml:space="preserve">  </w:t>
      </w:r>
      <w:r>
        <w:rPr>
          <w:rFonts w:hint="eastAsia" w:ascii="宋体" w:hAnsi="宋体"/>
          <w:color w:val="auto"/>
        </w:rPr>
        <w:t>政府采购扶持贫困地区、中小企业、监狱企业和残疾人福利性单位发展，支持节能减排、环境保护。</w:t>
      </w:r>
    </w:p>
    <w:p w14:paraId="12B9548F">
      <w:pPr>
        <w:ind w:firstLine="405"/>
        <w:jc w:val="left"/>
        <w:rPr>
          <w:color w:val="auto"/>
          <w:shd w:val="clear" w:color="auto" w:fill="FFFFFF"/>
        </w:rPr>
      </w:pPr>
      <w:r>
        <w:rPr>
          <w:rFonts w:hint="eastAsia" w:ascii="宋体" w:hAnsi="宋体"/>
          <w:color w:val="auto"/>
        </w:rPr>
        <w:t>6.2</w:t>
      </w:r>
      <w:r>
        <w:rPr>
          <w:rFonts w:ascii="宋体" w:hAnsi="宋体"/>
          <w:color w:val="auto"/>
        </w:rPr>
        <w:t xml:space="preserve">  </w:t>
      </w:r>
      <w:r>
        <w:rPr>
          <w:rFonts w:hint="eastAsia" w:ascii="宋体" w:hAnsi="宋体"/>
          <w:color w:val="auto"/>
        </w:rPr>
        <w:t>本项目落实深圳市政府采购供应商诚信管理政策要求。</w:t>
      </w:r>
    </w:p>
    <w:p w14:paraId="674C9D76">
      <w:pPr>
        <w:jc w:val="left"/>
        <w:rPr>
          <w:rFonts w:ascii="黑体" w:hAnsi="宋体" w:eastAsia="黑体"/>
          <w:color w:val="auto"/>
        </w:rPr>
      </w:pPr>
      <w:r>
        <w:rPr>
          <w:rFonts w:hint="eastAsia" w:ascii="黑体" w:hAnsi="宋体" w:eastAsia="黑体"/>
          <w:color w:val="auto"/>
        </w:rPr>
        <w:t>7. 本项目若涉及采购货物，则合格的货物及相应服务应满足以下要求：</w:t>
      </w:r>
    </w:p>
    <w:p w14:paraId="5740F78A">
      <w:pPr>
        <w:ind w:firstLine="470" w:firstLineChars="196"/>
        <w:jc w:val="left"/>
        <w:rPr>
          <w:rFonts w:ascii="宋体" w:hAnsi="宋体"/>
          <w:color w:val="auto"/>
        </w:rPr>
      </w:pPr>
      <w:r>
        <w:rPr>
          <w:rFonts w:hint="eastAsia" w:ascii="宋体" w:hAnsi="宋体"/>
          <w:color w:val="auto"/>
        </w:rPr>
        <w:t>7</w:t>
      </w:r>
      <w:r>
        <w:rPr>
          <w:rFonts w:ascii="宋体" w:hAnsi="宋体"/>
          <w:color w:val="auto"/>
        </w:rPr>
        <w:t xml:space="preserve">.1  </w:t>
      </w:r>
      <w:r>
        <w:rPr>
          <w:rFonts w:hint="eastAsia" w:ascii="宋体" w:hAnsi="宋体"/>
          <w:color w:val="auto"/>
        </w:rPr>
        <w:t>必须是全新、未使用过的原装合格正品（包括零部件），如安装或配置了软件的，须为正版软件。</w:t>
      </w:r>
    </w:p>
    <w:p w14:paraId="66EAEE3D">
      <w:pPr>
        <w:ind w:firstLine="470" w:firstLineChars="196"/>
        <w:jc w:val="left"/>
        <w:rPr>
          <w:rFonts w:ascii="宋体" w:hAnsi="宋体"/>
          <w:color w:val="auto"/>
        </w:rPr>
      </w:pPr>
      <w:r>
        <w:rPr>
          <w:rFonts w:hint="eastAsia" w:ascii="宋体" w:hAnsi="宋体"/>
          <w:color w:val="auto"/>
        </w:rPr>
        <w:t>7.2  国产的货物及其有关服务必须符合中华人民共和国的设计、制造生产标准及行业标准。招标公告有其他要求的，亦应符合其要求。</w:t>
      </w:r>
    </w:p>
    <w:p w14:paraId="04CBE183">
      <w:pPr>
        <w:ind w:firstLine="470" w:firstLineChars="196"/>
        <w:jc w:val="left"/>
        <w:rPr>
          <w:rFonts w:ascii="宋体" w:hAnsi="宋体"/>
          <w:color w:val="auto"/>
        </w:rPr>
      </w:pPr>
      <w:r>
        <w:rPr>
          <w:rFonts w:hint="eastAsia" w:ascii="宋体" w:hAnsi="宋体"/>
          <w:color w:val="auto"/>
        </w:rPr>
        <w:t>7</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1218286">
      <w:pPr>
        <w:ind w:firstLine="470" w:firstLineChars="196"/>
        <w:jc w:val="left"/>
        <w:rPr>
          <w:rFonts w:ascii="宋体" w:hAnsi="宋体"/>
          <w:color w:val="auto"/>
        </w:rPr>
      </w:pPr>
      <w:r>
        <w:rPr>
          <w:rFonts w:hint="eastAsia" w:ascii="宋体" w:hAnsi="宋体"/>
          <w:color w:val="auto"/>
        </w:rPr>
        <w:t>7</w:t>
      </w:r>
      <w:r>
        <w:rPr>
          <w:rFonts w:ascii="宋体" w:hAnsi="宋体"/>
          <w:color w:val="auto"/>
        </w:rPr>
        <w:t>.</w:t>
      </w:r>
      <w:r>
        <w:rPr>
          <w:rFonts w:hint="eastAsia" w:ascii="宋体" w:hAnsi="宋体"/>
          <w:color w:val="auto"/>
        </w:rPr>
        <w:t>4</w:t>
      </w:r>
      <w:r>
        <w:rPr>
          <w:rFonts w:ascii="宋体" w:hAnsi="宋体"/>
          <w:color w:val="auto"/>
        </w:rPr>
        <w:t xml:space="preserve">  </w:t>
      </w:r>
      <w:r>
        <w:rPr>
          <w:rFonts w:hint="eastAsia" w:ascii="宋体" w:hAnsi="宋体"/>
          <w:color w:val="auto"/>
        </w:rPr>
        <w:t>投标人</w:t>
      </w:r>
      <w:bookmarkStart w:id="69" w:name="_Hlk72152753"/>
      <w:r>
        <w:rPr>
          <w:rFonts w:hint="eastAsia" w:ascii="宋体" w:hAnsi="宋体"/>
          <w:color w:val="auto"/>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9"/>
    </w:p>
    <w:p w14:paraId="4E843022">
      <w:pPr>
        <w:ind w:firstLine="470" w:firstLineChars="196"/>
        <w:jc w:val="left"/>
        <w:rPr>
          <w:rFonts w:ascii="宋体" w:hAnsi="宋体"/>
          <w:color w:val="auto"/>
        </w:rPr>
      </w:pPr>
      <w:r>
        <w:rPr>
          <w:rFonts w:hint="eastAsia" w:ascii="宋体" w:hAnsi="宋体"/>
          <w:color w:val="auto"/>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B895AFC">
      <w:pPr>
        <w:ind w:firstLine="470" w:firstLineChars="196"/>
        <w:jc w:val="left"/>
        <w:rPr>
          <w:rFonts w:ascii="宋体" w:hAnsi="宋体"/>
          <w:color w:val="auto"/>
        </w:rPr>
      </w:pPr>
      <w:r>
        <w:rPr>
          <w:rFonts w:hint="eastAsia" w:ascii="宋体" w:hAnsi="宋体"/>
          <w:color w:val="auto"/>
        </w:rPr>
        <w:t>7.6  工期要求：投标人在投标时对其所投项目应提交交货进度、交货计划等，在合同规定的时间内完成项目实施工作。</w:t>
      </w:r>
    </w:p>
    <w:p w14:paraId="4C334722">
      <w:pPr>
        <w:ind w:firstLine="470" w:firstLineChars="196"/>
        <w:jc w:val="left"/>
        <w:rPr>
          <w:rFonts w:ascii="宋体" w:hAnsi="宋体"/>
          <w:color w:val="auto"/>
        </w:rPr>
      </w:pPr>
      <w:r>
        <w:rPr>
          <w:rFonts w:hint="eastAsia" w:ascii="宋体" w:hAnsi="宋体"/>
          <w:color w:val="auto"/>
        </w:rPr>
        <w:t>7.7  投标人必须承担的设备运输、安装调试、验收检测和提供设备操作说明书、图纸等其他相关及类似的义务。</w:t>
      </w:r>
    </w:p>
    <w:p w14:paraId="7D4AB117">
      <w:pPr>
        <w:jc w:val="left"/>
        <w:rPr>
          <w:rFonts w:ascii="黑体" w:hAnsi="宋体" w:eastAsia="黑体"/>
          <w:color w:val="auto"/>
        </w:rPr>
      </w:pPr>
      <w:r>
        <w:rPr>
          <w:rFonts w:hint="eastAsia" w:ascii="黑体" w:hAnsi="宋体" w:eastAsia="黑体"/>
          <w:color w:val="auto"/>
        </w:rPr>
        <w:t>8．投标费用</w:t>
      </w:r>
    </w:p>
    <w:p w14:paraId="34E66D28">
      <w:pPr>
        <w:ind w:firstLine="470" w:firstLineChars="196"/>
        <w:jc w:val="left"/>
        <w:rPr>
          <w:rFonts w:ascii="宋体" w:hAnsi="宋体"/>
          <w:color w:val="auto"/>
          <w:szCs w:val="21"/>
        </w:rPr>
      </w:pPr>
      <w:r>
        <w:rPr>
          <w:rFonts w:hint="eastAsia" w:ascii="宋体" w:hAnsi="宋体"/>
          <w:color w:val="auto"/>
          <w:szCs w:val="21"/>
        </w:rPr>
        <w:t>不论投标结果如何，投标人应承担其编制投标文件与递交投标文件所涉及的一切费用。</w:t>
      </w:r>
    </w:p>
    <w:p w14:paraId="4C0C5905">
      <w:pPr>
        <w:jc w:val="left"/>
        <w:rPr>
          <w:rFonts w:ascii="黑体" w:hAnsi="宋体" w:eastAsia="黑体"/>
          <w:color w:val="auto"/>
        </w:rPr>
      </w:pPr>
      <w:r>
        <w:rPr>
          <w:rFonts w:hint="eastAsia" w:ascii="黑体" w:hAnsi="宋体" w:eastAsia="黑体"/>
          <w:color w:val="auto"/>
        </w:rPr>
        <w:t>9．踏勘现场</w:t>
      </w:r>
    </w:p>
    <w:p w14:paraId="07314144">
      <w:pPr>
        <w:ind w:firstLine="470" w:firstLineChars="196"/>
        <w:jc w:val="left"/>
        <w:rPr>
          <w:rFonts w:ascii="宋体" w:hAnsi="宋体"/>
          <w:color w:val="auto"/>
          <w:szCs w:val="21"/>
        </w:rPr>
      </w:pPr>
      <w:r>
        <w:rPr>
          <w:rFonts w:hint="eastAsia" w:ascii="宋体" w:hAnsi="宋体"/>
          <w:color w:val="auto"/>
          <w:szCs w:val="21"/>
        </w:rPr>
        <w:t>9.1如有需要（详见专用条款），采购人或</w:t>
      </w:r>
      <w:r>
        <w:rPr>
          <w:rFonts w:hint="eastAsia" w:ascii="宋体" w:hAnsi="宋体" w:eastAsia="宋体"/>
          <w:color w:val="auto"/>
          <w:szCs w:val="21"/>
        </w:rPr>
        <w:t>招标代理</w:t>
      </w:r>
      <w:r>
        <w:rPr>
          <w:rFonts w:hint="eastAsia" w:ascii="宋体" w:hAnsi="宋体"/>
          <w:color w:val="auto"/>
          <w:szCs w:val="21"/>
        </w:rPr>
        <w:t>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16291D7">
      <w:pPr>
        <w:ind w:firstLine="470" w:firstLineChars="196"/>
        <w:jc w:val="left"/>
        <w:rPr>
          <w:rFonts w:ascii="宋体" w:hAnsi="宋体"/>
          <w:color w:val="auto"/>
        </w:rPr>
      </w:pPr>
      <w:r>
        <w:rPr>
          <w:rFonts w:hint="eastAsia" w:ascii="宋体" w:hAnsi="宋体"/>
          <w:color w:val="auto"/>
        </w:rPr>
        <w:t>9.2投标人及其人员经过采购人的允许，可以进入采购人的项目现场踏勘。若招标文件要求投标人于统一时间地点踏勘现场的，投标人应当按时前往。</w:t>
      </w:r>
    </w:p>
    <w:p w14:paraId="4CA04A98">
      <w:pPr>
        <w:ind w:firstLine="470" w:firstLineChars="196"/>
        <w:jc w:val="left"/>
        <w:rPr>
          <w:rFonts w:ascii="宋体" w:hAnsi="宋体"/>
          <w:color w:val="auto"/>
        </w:rPr>
      </w:pPr>
      <w:r>
        <w:rPr>
          <w:rFonts w:hint="eastAsia" w:ascii="宋体" w:hAnsi="宋体"/>
          <w:color w:val="auto"/>
        </w:rPr>
        <w:t>9.3采购人应当通过</w:t>
      </w:r>
      <w:r>
        <w:rPr>
          <w:rFonts w:hint="eastAsia" w:ascii="宋体" w:hAnsi="宋体" w:eastAsia="宋体"/>
          <w:color w:val="auto"/>
        </w:rPr>
        <w:t>招标代理</w:t>
      </w:r>
      <w:r>
        <w:rPr>
          <w:rFonts w:hint="eastAsia" w:ascii="宋体" w:hAnsi="宋体"/>
          <w:color w:val="auto"/>
        </w:rPr>
        <w:t>机构向投标人提供有关现场的书面资料和数据。</w:t>
      </w:r>
    </w:p>
    <w:p w14:paraId="3318DC6B">
      <w:pPr>
        <w:ind w:firstLine="470" w:firstLineChars="196"/>
        <w:jc w:val="left"/>
        <w:rPr>
          <w:rFonts w:ascii="宋体" w:hAnsi="宋体"/>
          <w:color w:val="auto"/>
        </w:rPr>
      </w:pPr>
      <w:r>
        <w:rPr>
          <w:rFonts w:hint="eastAsia" w:ascii="宋体" w:hAnsi="宋体"/>
          <w:color w:val="auto"/>
        </w:rPr>
        <w:t>9.4任何人或任何组织在踏勘现场时向投标人提供的任何书面资料或口头承诺，未经</w:t>
      </w:r>
      <w:r>
        <w:rPr>
          <w:rFonts w:hint="eastAsia" w:ascii="宋体" w:hAnsi="宋体" w:eastAsia="宋体"/>
          <w:color w:val="auto"/>
        </w:rPr>
        <w:t>招标代理</w:t>
      </w:r>
      <w:r>
        <w:rPr>
          <w:rFonts w:hint="eastAsia" w:ascii="宋体" w:hAnsi="宋体"/>
          <w:color w:val="auto"/>
        </w:rPr>
        <w:t>机构在网上发布或书面通知，均作无效处理。</w:t>
      </w:r>
    </w:p>
    <w:p w14:paraId="6665050A">
      <w:pPr>
        <w:ind w:firstLine="470" w:firstLineChars="196"/>
        <w:jc w:val="left"/>
        <w:rPr>
          <w:rFonts w:ascii="宋体" w:hAnsi="宋体"/>
          <w:color w:val="auto"/>
        </w:rPr>
      </w:pPr>
      <w:r>
        <w:rPr>
          <w:rFonts w:ascii="宋体" w:hAnsi="宋体"/>
          <w:color w:val="auto"/>
          <w:szCs w:val="21"/>
        </w:rPr>
        <w:t>9</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未参与踏勘现场不作为否定投标人资格的理由。</w:t>
      </w:r>
    </w:p>
    <w:p w14:paraId="0B6DA396">
      <w:pPr>
        <w:jc w:val="left"/>
        <w:rPr>
          <w:rFonts w:ascii="宋体" w:hAnsi="宋体"/>
          <w:color w:val="auto"/>
          <w:szCs w:val="21"/>
        </w:rPr>
      </w:pPr>
      <w:r>
        <w:rPr>
          <w:rFonts w:hint="eastAsia" w:ascii="黑体" w:hAnsi="宋体" w:eastAsia="黑体"/>
          <w:color w:val="auto"/>
        </w:rPr>
        <w:t>1</w:t>
      </w:r>
      <w:r>
        <w:rPr>
          <w:rFonts w:ascii="黑体" w:hAnsi="宋体" w:eastAsia="黑体"/>
          <w:color w:val="auto"/>
        </w:rPr>
        <w:t>0</w:t>
      </w:r>
      <w:r>
        <w:rPr>
          <w:rFonts w:hint="eastAsia" w:ascii="黑体" w:hAnsi="宋体" w:eastAsia="黑体"/>
          <w:color w:val="auto"/>
        </w:rPr>
        <w:t>．标前会议</w:t>
      </w:r>
    </w:p>
    <w:p w14:paraId="679FA648">
      <w:pPr>
        <w:ind w:firstLine="470" w:firstLineChars="196"/>
        <w:jc w:val="left"/>
        <w:rPr>
          <w:rFonts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如采购人或</w:t>
      </w:r>
      <w:r>
        <w:rPr>
          <w:rFonts w:hint="eastAsia" w:ascii="宋体" w:hAnsi="宋体" w:eastAsia="宋体"/>
          <w:color w:val="auto"/>
          <w:szCs w:val="21"/>
        </w:rPr>
        <w:t>招标代理</w:t>
      </w:r>
      <w:r>
        <w:rPr>
          <w:rFonts w:hint="eastAsia" w:ascii="宋体" w:hAnsi="宋体"/>
          <w:color w:val="auto"/>
          <w:szCs w:val="21"/>
        </w:rPr>
        <w:t>机构认为有必要组织标前会议，投标人应按照招标文件规定的时间或</w:t>
      </w:r>
      <w:r>
        <w:rPr>
          <w:rFonts w:hint="eastAsia" w:ascii="宋体" w:hAnsi="宋体" w:eastAsia="宋体"/>
          <w:color w:val="auto"/>
          <w:szCs w:val="21"/>
        </w:rPr>
        <w:t>招标代理</w:t>
      </w:r>
      <w:r>
        <w:rPr>
          <w:rFonts w:hint="eastAsia" w:ascii="宋体" w:hAnsi="宋体"/>
          <w:color w:val="auto"/>
          <w:szCs w:val="21"/>
        </w:rPr>
        <w:t>机构另行书面通知（包括</w:t>
      </w:r>
      <w:r>
        <w:rPr>
          <w:rFonts w:hint="eastAsia" w:ascii="宋体" w:hAnsi="宋体" w:eastAsia="宋体"/>
          <w:color w:val="auto"/>
          <w:szCs w:val="21"/>
        </w:rPr>
        <w:t>招标代理</w:t>
      </w:r>
      <w:r>
        <w:rPr>
          <w:rFonts w:hint="eastAsia" w:ascii="宋体" w:hAnsi="宋体"/>
          <w:color w:val="auto"/>
          <w:szCs w:val="21"/>
        </w:rPr>
        <w:t>机构网站发布方式，如更正公告等）的时间和地点，参与标前会议。</w:t>
      </w:r>
    </w:p>
    <w:p w14:paraId="469B3BBC">
      <w:pPr>
        <w:ind w:firstLine="470" w:firstLineChars="196"/>
        <w:jc w:val="left"/>
        <w:rPr>
          <w:rFonts w:ascii="宋体" w:hAnsi="宋体"/>
          <w:color w:val="auto"/>
          <w:szCs w:val="21"/>
        </w:rPr>
      </w:pPr>
      <w:r>
        <w:rPr>
          <w:rFonts w:ascii="宋体" w:hAnsi="宋体"/>
          <w:color w:val="auto"/>
        </w:rPr>
        <w:t>10</w:t>
      </w:r>
      <w:r>
        <w:rPr>
          <w:rFonts w:hint="eastAsia" w:ascii="宋体" w:hAnsi="宋体"/>
          <w:color w:val="auto"/>
        </w:rPr>
        <w:t>.</w:t>
      </w:r>
      <w:r>
        <w:rPr>
          <w:rFonts w:ascii="宋体" w:hAnsi="宋体"/>
          <w:color w:val="auto"/>
        </w:rPr>
        <w:t>2</w:t>
      </w:r>
      <w:r>
        <w:rPr>
          <w:rFonts w:hint="eastAsia" w:ascii="宋体" w:hAnsi="宋体"/>
          <w:color w:val="auto"/>
        </w:rPr>
        <w:t>任何人或任何组织在标前会议时向投标人提供的任何书面资料或口头承诺，未经</w:t>
      </w:r>
      <w:r>
        <w:rPr>
          <w:rFonts w:hint="eastAsia" w:ascii="宋体" w:hAnsi="宋体" w:eastAsia="宋体"/>
          <w:color w:val="auto"/>
        </w:rPr>
        <w:t>招标代理</w:t>
      </w:r>
      <w:r>
        <w:rPr>
          <w:rFonts w:hint="eastAsia" w:ascii="宋体" w:hAnsi="宋体"/>
          <w:color w:val="auto"/>
        </w:rPr>
        <w:t>机构在网上发布或书面通知，均作无效处理。</w:t>
      </w:r>
    </w:p>
    <w:p w14:paraId="5AF64186">
      <w:pPr>
        <w:ind w:firstLine="470" w:firstLineChars="196"/>
        <w:jc w:val="left"/>
        <w:rPr>
          <w:rFonts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未参与标前会议不作为否定投标人资格的理由。</w:t>
      </w:r>
    </w:p>
    <w:bookmarkEnd w:id="68"/>
    <w:p w14:paraId="401083C0">
      <w:pPr>
        <w:ind w:firstLine="470" w:firstLineChars="196"/>
        <w:rPr>
          <w:rFonts w:ascii="宋体" w:hAnsi="宋体"/>
          <w:color w:val="auto"/>
        </w:rPr>
      </w:pPr>
    </w:p>
    <w:p w14:paraId="3570DE17">
      <w:pPr>
        <w:pStyle w:val="6"/>
        <w:numPr>
          <w:ilvl w:val="0"/>
          <w:numId w:val="6"/>
        </w:numPr>
        <w:spacing w:before="120" w:beforeLines="50" w:after="120" w:afterLines="50"/>
        <w:ind w:left="562" w:hanging="562"/>
        <w:rPr>
          <w:color w:val="auto"/>
          <w:sz w:val="28"/>
          <w:szCs w:val="28"/>
        </w:rPr>
      </w:pPr>
      <w:r>
        <w:rPr>
          <w:rFonts w:hint="eastAsia"/>
          <w:color w:val="auto"/>
          <w:sz w:val="28"/>
          <w:szCs w:val="28"/>
        </w:rPr>
        <w:t>招标文件</w:t>
      </w:r>
    </w:p>
    <w:p w14:paraId="7061D307">
      <w:pPr>
        <w:jc w:val="left"/>
        <w:rPr>
          <w:rFonts w:ascii="黑体" w:hAnsi="宋体" w:eastAsia="黑体"/>
          <w:color w:val="auto"/>
        </w:rPr>
      </w:pPr>
      <w:r>
        <w:rPr>
          <w:rFonts w:hint="eastAsia" w:ascii="黑体" w:hAnsi="宋体" w:eastAsia="黑体"/>
          <w:color w:val="auto"/>
        </w:rPr>
        <w:t>1</w:t>
      </w:r>
      <w:r>
        <w:rPr>
          <w:rFonts w:ascii="黑体" w:hAnsi="宋体" w:eastAsia="黑体"/>
          <w:color w:val="auto"/>
        </w:rPr>
        <w:t>1</w:t>
      </w:r>
      <w:r>
        <w:rPr>
          <w:rFonts w:hint="eastAsia" w:ascii="黑体" w:hAnsi="宋体" w:eastAsia="黑体"/>
          <w:color w:val="auto"/>
        </w:rPr>
        <w:t>．</w:t>
      </w:r>
      <w:bookmarkStart w:id="70" w:name="_Hlk72399819"/>
      <w:r>
        <w:rPr>
          <w:rFonts w:hint="eastAsia" w:ascii="黑体" w:hAnsi="宋体" w:eastAsia="黑体"/>
          <w:color w:val="auto"/>
        </w:rPr>
        <w:t>招标文件的编制与组成</w:t>
      </w:r>
    </w:p>
    <w:p w14:paraId="219E5F7D">
      <w:pPr>
        <w:snapToGrid w:val="0"/>
        <w:ind w:firstLine="48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.1招标文件除以下内容外，</w:t>
      </w:r>
      <w:r>
        <w:rPr>
          <w:rFonts w:hint="eastAsia" w:ascii="宋体" w:hAnsi="宋体" w:eastAsia="宋体"/>
          <w:color w:val="auto"/>
          <w:szCs w:val="21"/>
        </w:rPr>
        <w:t>招标代理</w:t>
      </w:r>
      <w:r>
        <w:rPr>
          <w:rFonts w:hint="eastAsia" w:ascii="宋体" w:hAnsi="宋体"/>
          <w:color w:val="auto"/>
          <w:szCs w:val="21"/>
        </w:rPr>
        <w:t>机构在招标期间发出的澄清或修改等相关公告或通知内容，均是招标文件的组成部分，对投标人起约束作用；</w:t>
      </w:r>
    </w:p>
    <w:p w14:paraId="710E9A36">
      <w:pPr>
        <w:ind w:firstLine="470" w:firstLineChars="196"/>
        <w:jc w:val="left"/>
        <w:rPr>
          <w:rFonts w:ascii="宋体" w:hAnsi="宋体"/>
          <w:color w:val="auto"/>
          <w:szCs w:val="21"/>
        </w:rPr>
      </w:pPr>
      <w:r>
        <w:rPr>
          <w:rFonts w:hint="eastAsia" w:ascii="宋体" w:hAnsi="宋体"/>
          <w:color w:val="auto"/>
          <w:szCs w:val="21"/>
        </w:rPr>
        <w:t>招标文件包括下列内容：</w:t>
      </w:r>
    </w:p>
    <w:p w14:paraId="558A086C">
      <w:pPr>
        <w:ind w:left="480" w:leftChars="200" w:firstLine="471" w:firstLineChars="196"/>
        <w:jc w:val="left"/>
        <w:rPr>
          <w:rFonts w:ascii="宋体" w:hAnsi="宋体"/>
          <w:b/>
          <w:color w:val="auto"/>
          <w:szCs w:val="21"/>
        </w:rPr>
      </w:pPr>
      <w:r>
        <w:rPr>
          <w:rFonts w:hint="eastAsia" w:ascii="宋体" w:hAnsi="宋体"/>
          <w:b/>
          <w:color w:val="auto"/>
          <w:szCs w:val="21"/>
        </w:rPr>
        <w:t>第一册  专用条款</w:t>
      </w:r>
    </w:p>
    <w:p w14:paraId="02AFFFD3">
      <w:pPr>
        <w:ind w:left="1234" w:leftChars="514"/>
        <w:jc w:val="left"/>
        <w:rPr>
          <w:rFonts w:ascii="宋体" w:hAnsi="宋体"/>
          <w:b/>
          <w:color w:val="auto"/>
          <w:szCs w:val="21"/>
        </w:rPr>
      </w:pPr>
      <w:r>
        <w:rPr>
          <w:rFonts w:hint="eastAsia" w:ascii="宋体" w:hAnsi="宋体"/>
          <w:b/>
          <w:color w:val="auto"/>
          <w:szCs w:val="21"/>
        </w:rPr>
        <w:t>关键信息</w:t>
      </w:r>
    </w:p>
    <w:p w14:paraId="5FF8F9C0">
      <w:pPr>
        <w:ind w:left="720" w:leftChars="300" w:firstLine="470" w:firstLineChars="196"/>
        <w:jc w:val="left"/>
        <w:rPr>
          <w:rFonts w:ascii="宋体" w:hAnsi="宋体"/>
          <w:color w:val="auto"/>
          <w:szCs w:val="21"/>
        </w:rPr>
      </w:pPr>
      <w:r>
        <w:rPr>
          <w:rFonts w:hint="eastAsia" w:ascii="宋体" w:hAnsi="宋体"/>
          <w:color w:val="auto"/>
          <w:szCs w:val="21"/>
        </w:rPr>
        <w:t>第一章  招标公告</w:t>
      </w:r>
    </w:p>
    <w:p w14:paraId="563D35E8">
      <w:pPr>
        <w:ind w:left="720" w:leftChars="300" w:firstLine="470" w:firstLineChars="196"/>
        <w:jc w:val="left"/>
        <w:rPr>
          <w:rFonts w:ascii="宋体" w:hAnsi="宋体"/>
          <w:color w:val="auto"/>
          <w:szCs w:val="21"/>
        </w:rPr>
      </w:pPr>
      <w:r>
        <w:rPr>
          <w:rFonts w:hint="eastAsia" w:ascii="宋体" w:hAnsi="宋体"/>
          <w:color w:val="auto"/>
          <w:szCs w:val="21"/>
        </w:rPr>
        <w:t>第二章  对通用条款的补充内容及其他关键信息</w:t>
      </w:r>
    </w:p>
    <w:p w14:paraId="36132FB8">
      <w:pPr>
        <w:ind w:left="720" w:leftChars="300" w:firstLine="470" w:firstLineChars="196"/>
        <w:jc w:val="left"/>
        <w:rPr>
          <w:rFonts w:ascii="宋体" w:hAnsi="宋体"/>
          <w:color w:val="auto"/>
          <w:szCs w:val="21"/>
        </w:rPr>
      </w:pPr>
      <w:r>
        <w:rPr>
          <w:rFonts w:hint="eastAsia" w:ascii="宋体" w:hAnsi="宋体"/>
          <w:color w:val="auto"/>
          <w:szCs w:val="21"/>
        </w:rPr>
        <w:t>第三章  用户需求书</w:t>
      </w:r>
    </w:p>
    <w:p w14:paraId="39637122">
      <w:pPr>
        <w:ind w:left="720" w:leftChars="300" w:firstLine="470" w:firstLineChars="196"/>
        <w:jc w:val="left"/>
        <w:rPr>
          <w:rFonts w:ascii="宋体" w:hAnsi="宋体"/>
          <w:color w:val="auto"/>
          <w:szCs w:val="21"/>
        </w:rPr>
      </w:pPr>
      <w:r>
        <w:rPr>
          <w:rFonts w:hint="eastAsia"/>
          <w:color w:val="auto"/>
        </w:rPr>
        <w:t xml:space="preserve">第四章 </w:t>
      </w:r>
      <w:r>
        <w:rPr>
          <w:color w:val="auto"/>
        </w:rPr>
        <w:t xml:space="preserve"> </w:t>
      </w:r>
      <w:r>
        <w:rPr>
          <w:rFonts w:hint="eastAsia"/>
          <w:color w:val="auto"/>
        </w:rPr>
        <w:t>投标文件格式及附件</w:t>
      </w:r>
    </w:p>
    <w:p w14:paraId="5D2D1B3F">
      <w:pPr>
        <w:ind w:left="720" w:leftChars="300" w:firstLine="470" w:firstLineChars="196"/>
        <w:jc w:val="left"/>
        <w:rPr>
          <w:rFonts w:ascii="宋体" w:hAnsi="宋体"/>
          <w:color w:val="auto"/>
          <w:szCs w:val="21"/>
        </w:rPr>
      </w:pPr>
      <w:r>
        <w:rPr>
          <w:rFonts w:hint="eastAsia" w:ascii="宋体" w:hAnsi="宋体"/>
          <w:color w:val="auto"/>
          <w:szCs w:val="21"/>
        </w:rPr>
        <w:t>第五章  合同条款及格式</w:t>
      </w:r>
    </w:p>
    <w:p w14:paraId="3B335CE8">
      <w:pPr>
        <w:ind w:left="480" w:leftChars="200" w:firstLine="471" w:firstLineChars="196"/>
        <w:jc w:val="left"/>
        <w:rPr>
          <w:rFonts w:ascii="宋体" w:hAnsi="宋体"/>
          <w:b/>
          <w:color w:val="auto"/>
          <w:szCs w:val="21"/>
        </w:rPr>
      </w:pPr>
      <w:r>
        <w:rPr>
          <w:rFonts w:hint="eastAsia" w:ascii="宋体" w:hAnsi="宋体"/>
          <w:b/>
          <w:color w:val="auto"/>
          <w:szCs w:val="21"/>
        </w:rPr>
        <w:t>第二册  通用条款</w:t>
      </w:r>
    </w:p>
    <w:p w14:paraId="0DAAF5F6">
      <w:pPr>
        <w:ind w:left="720" w:leftChars="300" w:firstLine="470" w:firstLineChars="196"/>
        <w:jc w:val="left"/>
        <w:rPr>
          <w:rFonts w:ascii="宋体" w:hAnsi="宋体"/>
          <w:color w:val="auto"/>
          <w:szCs w:val="21"/>
        </w:rPr>
      </w:pPr>
      <w:r>
        <w:rPr>
          <w:rFonts w:hint="eastAsia" w:ascii="宋体" w:hAnsi="宋体"/>
          <w:color w:val="auto"/>
          <w:szCs w:val="21"/>
        </w:rPr>
        <w:t>第一章  总则</w:t>
      </w:r>
    </w:p>
    <w:p w14:paraId="4B9FCE34">
      <w:pPr>
        <w:ind w:left="720" w:leftChars="300" w:firstLine="470" w:firstLineChars="196"/>
        <w:jc w:val="left"/>
        <w:rPr>
          <w:rFonts w:ascii="宋体" w:hAnsi="宋体"/>
          <w:color w:val="auto"/>
          <w:szCs w:val="21"/>
        </w:rPr>
      </w:pPr>
      <w:r>
        <w:rPr>
          <w:rFonts w:hint="eastAsia" w:ascii="宋体" w:hAnsi="宋体"/>
          <w:color w:val="auto"/>
          <w:szCs w:val="21"/>
        </w:rPr>
        <w:t>第二章  招标文件</w:t>
      </w:r>
    </w:p>
    <w:p w14:paraId="7CF7F19D">
      <w:pPr>
        <w:ind w:left="720" w:leftChars="300" w:firstLine="470" w:firstLineChars="196"/>
        <w:jc w:val="left"/>
        <w:rPr>
          <w:rFonts w:ascii="宋体" w:hAnsi="宋体"/>
          <w:color w:val="auto"/>
          <w:szCs w:val="21"/>
        </w:rPr>
      </w:pPr>
      <w:r>
        <w:rPr>
          <w:rFonts w:hint="eastAsia" w:ascii="宋体" w:hAnsi="宋体"/>
          <w:color w:val="auto"/>
          <w:szCs w:val="21"/>
        </w:rPr>
        <w:t>第三章  投标文件的编制</w:t>
      </w:r>
    </w:p>
    <w:p w14:paraId="43FC8113">
      <w:pPr>
        <w:ind w:left="720" w:leftChars="300" w:firstLine="470" w:firstLineChars="196"/>
        <w:jc w:val="left"/>
        <w:rPr>
          <w:rFonts w:ascii="宋体" w:hAnsi="宋体"/>
          <w:color w:val="auto"/>
          <w:szCs w:val="21"/>
        </w:rPr>
      </w:pPr>
      <w:r>
        <w:rPr>
          <w:rFonts w:hint="eastAsia" w:ascii="宋体" w:hAnsi="宋体"/>
          <w:color w:val="auto"/>
          <w:szCs w:val="21"/>
        </w:rPr>
        <w:t>第四章  投标文件的递交</w:t>
      </w:r>
    </w:p>
    <w:p w14:paraId="6351EA95">
      <w:pPr>
        <w:ind w:left="720" w:leftChars="300" w:firstLine="470" w:firstLineChars="196"/>
        <w:jc w:val="left"/>
        <w:rPr>
          <w:rFonts w:ascii="宋体" w:hAnsi="宋体"/>
          <w:color w:val="auto"/>
          <w:szCs w:val="21"/>
        </w:rPr>
      </w:pPr>
      <w:r>
        <w:rPr>
          <w:rFonts w:hint="eastAsia" w:ascii="宋体" w:hAnsi="宋体"/>
          <w:color w:val="auto"/>
          <w:szCs w:val="21"/>
        </w:rPr>
        <w:t>第五章  开标</w:t>
      </w:r>
    </w:p>
    <w:p w14:paraId="330A29BD">
      <w:pPr>
        <w:ind w:left="720" w:leftChars="300" w:firstLine="470" w:firstLineChars="196"/>
        <w:jc w:val="left"/>
        <w:rPr>
          <w:rFonts w:ascii="宋体" w:hAnsi="宋体"/>
          <w:color w:val="auto"/>
          <w:szCs w:val="21"/>
        </w:rPr>
      </w:pPr>
      <w:r>
        <w:rPr>
          <w:rFonts w:hint="eastAsia" w:ascii="宋体" w:hAnsi="宋体"/>
          <w:color w:val="auto"/>
          <w:szCs w:val="21"/>
        </w:rPr>
        <w:t>第六章  评审要求</w:t>
      </w:r>
    </w:p>
    <w:p w14:paraId="04AA8E8D">
      <w:pPr>
        <w:ind w:left="720" w:leftChars="300" w:firstLine="470" w:firstLineChars="196"/>
        <w:jc w:val="left"/>
        <w:rPr>
          <w:rFonts w:ascii="宋体" w:hAnsi="宋体"/>
          <w:color w:val="auto"/>
          <w:szCs w:val="21"/>
        </w:rPr>
      </w:pPr>
      <w:r>
        <w:rPr>
          <w:rFonts w:hint="eastAsia" w:ascii="宋体" w:hAnsi="宋体"/>
          <w:color w:val="auto"/>
          <w:szCs w:val="21"/>
        </w:rPr>
        <w:t>第七章  评审程序及评审方法</w:t>
      </w:r>
    </w:p>
    <w:p w14:paraId="349ADE92">
      <w:pPr>
        <w:ind w:left="720" w:leftChars="300" w:firstLine="470" w:firstLineChars="196"/>
        <w:jc w:val="left"/>
        <w:rPr>
          <w:rFonts w:ascii="宋体" w:hAnsi="宋体"/>
          <w:color w:val="auto"/>
          <w:szCs w:val="21"/>
        </w:rPr>
      </w:pPr>
      <w:r>
        <w:rPr>
          <w:rFonts w:hint="eastAsia" w:ascii="宋体" w:hAnsi="宋体"/>
          <w:color w:val="auto"/>
          <w:szCs w:val="21"/>
        </w:rPr>
        <w:t>第八章  定标及公示</w:t>
      </w:r>
    </w:p>
    <w:p w14:paraId="1AE22E11">
      <w:pPr>
        <w:ind w:left="720" w:leftChars="300" w:firstLine="470" w:firstLineChars="196"/>
        <w:jc w:val="left"/>
        <w:rPr>
          <w:rFonts w:ascii="宋体" w:hAnsi="宋体"/>
          <w:color w:val="auto"/>
          <w:szCs w:val="21"/>
        </w:rPr>
      </w:pPr>
      <w:r>
        <w:rPr>
          <w:rFonts w:hint="eastAsia" w:ascii="宋体" w:hAnsi="宋体"/>
          <w:color w:val="auto"/>
          <w:szCs w:val="21"/>
        </w:rPr>
        <w:t>第九章  公开招标失败的后续处理</w:t>
      </w:r>
    </w:p>
    <w:p w14:paraId="157797FC">
      <w:pPr>
        <w:ind w:left="720" w:leftChars="300" w:firstLine="470" w:firstLineChars="196"/>
        <w:jc w:val="left"/>
        <w:rPr>
          <w:rFonts w:ascii="宋体" w:hAnsi="宋体"/>
          <w:color w:val="auto"/>
          <w:szCs w:val="21"/>
        </w:rPr>
      </w:pPr>
      <w:r>
        <w:rPr>
          <w:rFonts w:hint="eastAsia" w:ascii="宋体" w:hAnsi="宋体"/>
          <w:color w:val="auto"/>
          <w:szCs w:val="21"/>
        </w:rPr>
        <w:t>第十章  合同的授予与备案</w:t>
      </w:r>
    </w:p>
    <w:p w14:paraId="2E05B1FE">
      <w:pPr>
        <w:ind w:left="720" w:leftChars="300" w:firstLine="470" w:firstLineChars="196"/>
        <w:jc w:val="left"/>
        <w:rPr>
          <w:rFonts w:ascii="宋体" w:hAnsi="宋体"/>
          <w:color w:val="auto"/>
          <w:szCs w:val="21"/>
        </w:rPr>
      </w:pPr>
      <w:r>
        <w:rPr>
          <w:rFonts w:hint="eastAsia" w:ascii="宋体" w:hAnsi="宋体"/>
          <w:color w:val="auto"/>
          <w:szCs w:val="21"/>
        </w:rPr>
        <w:t>第十一章  质疑处理</w:t>
      </w:r>
    </w:p>
    <w:p w14:paraId="3D2AD8B5">
      <w:pPr>
        <w:ind w:left="720" w:leftChars="300" w:firstLine="470" w:firstLineChars="196"/>
        <w:jc w:val="left"/>
        <w:rPr>
          <w:rFonts w:ascii="宋体" w:hAnsi="宋体"/>
          <w:color w:val="auto"/>
          <w:szCs w:val="21"/>
        </w:rPr>
      </w:pPr>
      <w:r>
        <w:rPr>
          <w:rFonts w:hint="eastAsia" w:ascii="宋体" w:hAnsi="宋体"/>
          <w:color w:val="auto"/>
          <w:szCs w:val="21"/>
        </w:rPr>
        <w:t>第十二章  招标代理服务费（可选项）</w:t>
      </w:r>
    </w:p>
    <w:p w14:paraId="25F400AE">
      <w:pPr>
        <w:ind w:firstLine="470" w:firstLineChars="196"/>
        <w:jc w:val="left"/>
        <w:rPr>
          <w:rFonts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.2 投标人</w:t>
      </w:r>
      <w:r>
        <w:rPr>
          <w:rFonts w:hint="eastAsia" w:ascii="宋体" w:hAnsi="宋体" w:eastAsia="宋体"/>
          <w:color w:val="auto"/>
          <w:szCs w:val="21"/>
        </w:rPr>
        <w:t>取得</w:t>
      </w:r>
      <w:r>
        <w:rPr>
          <w:rFonts w:hint="eastAsia" w:ascii="宋体" w:hAnsi="宋体"/>
          <w:color w:val="auto"/>
          <w:szCs w:val="21"/>
        </w:rPr>
        <w:t>招标文件后，应仔细检查招标文件的所有内容，如有疑问应在答疑截止时间之前向</w:t>
      </w:r>
      <w:r>
        <w:rPr>
          <w:rFonts w:hint="eastAsia" w:ascii="宋体" w:hAnsi="宋体" w:eastAsia="宋体"/>
          <w:color w:val="auto"/>
          <w:szCs w:val="21"/>
        </w:rPr>
        <w:t>招标代理</w:t>
      </w:r>
      <w:r>
        <w:rPr>
          <w:rFonts w:hint="eastAsia" w:ascii="宋体" w:hAnsi="宋体"/>
          <w:color w:val="auto"/>
          <w:szCs w:val="21"/>
        </w:rPr>
        <w:t>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7C65A60">
      <w:pPr>
        <w:ind w:firstLine="470" w:firstLineChars="196"/>
        <w:jc w:val="left"/>
        <w:rPr>
          <w:rFonts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.3</w:t>
      </w:r>
      <w:r>
        <w:rPr>
          <w:rFonts w:hint="eastAsia" w:ascii="宋体" w:hAnsi="宋体"/>
          <w:color w:val="auto"/>
        </w:rPr>
        <w:t>任何人或任何组织向投标人提交的任何书面或口头资料，未经</w:t>
      </w:r>
      <w:r>
        <w:rPr>
          <w:rFonts w:hint="eastAsia" w:ascii="宋体" w:hAnsi="宋体" w:eastAsia="宋体"/>
          <w:color w:val="auto"/>
        </w:rPr>
        <w:t>招标代理</w:t>
      </w:r>
      <w:r>
        <w:rPr>
          <w:rFonts w:hint="eastAsia" w:ascii="宋体" w:hAnsi="宋体"/>
          <w:color w:val="auto"/>
        </w:rPr>
        <w:t>机构在网上发布或书面通知，均作无效处理，不得作为招标文件的组成部分。</w:t>
      </w:r>
      <w:r>
        <w:rPr>
          <w:rFonts w:hint="eastAsia" w:ascii="宋体" w:hAnsi="宋体" w:eastAsia="宋体"/>
          <w:color w:val="auto"/>
          <w:szCs w:val="21"/>
        </w:rPr>
        <w:t>招标代理</w:t>
      </w:r>
      <w:r>
        <w:rPr>
          <w:rFonts w:hint="eastAsia" w:ascii="宋体" w:hAnsi="宋体"/>
          <w:color w:val="auto"/>
        </w:rPr>
        <w:t>机构对投标人由此而做出的推论、理解和结论概不负责。</w:t>
      </w:r>
    </w:p>
    <w:p w14:paraId="01BD4877">
      <w:pPr>
        <w:jc w:val="left"/>
        <w:rPr>
          <w:rFonts w:ascii="黑体" w:hAnsi="宋体" w:eastAsia="黑体"/>
          <w:color w:val="auto"/>
        </w:rPr>
      </w:pPr>
      <w:r>
        <w:rPr>
          <w:rFonts w:hint="eastAsia" w:ascii="黑体" w:hAnsi="宋体" w:eastAsia="黑体"/>
          <w:color w:val="auto"/>
        </w:rPr>
        <w:t>1</w:t>
      </w:r>
      <w:r>
        <w:rPr>
          <w:rFonts w:ascii="黑体" w:hAnsi="宋体" w:eastAsia="黑体"/>
          <w:color w:val="auto"/>
        </w:rPr>
        <w:t>2</w:t>
      </w:r>
      <w:r>
        <w:rPr>
          <w:rFonts w:hint="eastAsia" w:ascii="黑体" w:hAnsi="宋体" w:eastAsia="黑体"/>
          <w:color w:val="auto"/>
        </w:rPr>
        <w:t>．招标文件的澄清</w:t>
      </w:r>
    </w:p>
    <w:p w14:paraId="7404E15B">
      <w:pPr>
        <w:ind w:firstLine="470" w:firstLineChars="196"/>
        <w:jc w:val="left"/>
        <w:rPr>
          <w:rFonts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.1招标文件澄清的目的是澄清、解答投标人在查阅招标文件后或现场踏勘中可能提出的与投标有关的疑问或询问。</w:t>
      </w:r>
    </w:p>
    <w:p w14:paraId="3A8653D2">
      <w:pPr>
        <w:ind w:firstLine="470" w:firstLineChars="196"/>
        <w:jc w:val="left"/>
        <w:rPr>
          <w:rFonts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.2投标人如对招标文件内容有疑问，应当在招标公告规定的澄清（提问）截止时间前以</w:t>
      </w:r>
      <w:r>
        <w:rPr>
          <w:rFonts w:hint="eastAsia" w:ascii="宋体" w:hAnsi="宋体" w:eastAsia="宋体"/>
          <w:color w:val="auto"/>
          <w:szCs w:val="21"/>
        </w:rPr>
        <w:t>线下文件</w:t>
      </w:r>
      <w:r>
        <w:rPr>
          <w:rFonts w:hint="eastAsia" w:ascii="宋体" w:hAnsi="宋体"/>
          <w:color w:val="auto"/>
          <w:szCs w:val="21"/>
        </w:rPr>
        <w:t>的形式提交</w:t>
      </w:r>
      <w:r>
        <w:rPr>
          <w:rFonts w:hint="eastAsia" w:ascii="宋体" w:hAnsi="宋体" w:eastAsia="宋体"/>
          <w:color w:val="auto"/>
          <w:szCs w:val="21"/>
        </w:rPr>
        <w:t>招标代理</w:t>
      </w:r>
      <w:r>
        <w:rPr>
          <w:rFonts w:hint="eastAsia" w:ascii="宋体" w:hAnsi="宋体"/>
          <w:color w:val="auto"/>
          <w:szCs w:val="21"/>
        </w:rPr>
        <w:t>机构。</w:t>
      </w:r>
    </w:p>
    <w:p w14:paraId="559D4205">
      <w:pPr>
        <w:ind w:firstLine="470" w:firstLineChars="196"/>
        <w:jc w:val="left"/>
        <w:rPr>
          <w:rFonts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.3不论是</w:t>
      </w:r>
      <w:r>
        <w:rPr>
          <w:rFonts w:hint="eastAsia" w:ascii="宋体" w:hAnsi="宋体" w:eastAsia="宋体"/>
          <w:color w:val="auto"/>
          <w:szCs w:val="21"/>
        </w:rPr>
        <w:t>招标代理</w:t>
      </w:r>
      <w:r>
        <w:rPr>
          <w:rFonts w:hint="eastAsia" w:ascii="宋体" w:hAnsi="宋体"/>
          <w:color w:val="auto"/>
          <w:szCs w:val="21"/>
        </w:rPr>
        <w:t>机构根据需要主动对招标文件进行必要的澄清或是根据投标人的要求对招标文件做出澄清，</w:t>
      </w:r>
      <w:r>
        <w:rPr>
          <w:rFonts w:hint="eastAsia" w:ascii="宋体" w:hAnsi="宋体" w:eastAsia="宋体"/>
          <w:color w:val="auto"/>
          <w:szCs w:val="21"/>
        </w:rPr>
        <w:t>招标代理</w:t>
      </w:r>
      <w:r>
        <w:rPr>
          <w:rFonts w:hint="eastAsia" w:ascii="宋体" w:hAnsi="宋体"/>
          <w:color w:val="auto"/>
          <w:szCs w:val="21"/>
        </w:rPr>
        <w:t>机构都将在投标截止日期前以书面形式（包括</w:t>
      </w:r>
      <w:r>
        <w:rPr>
          <w:rFonts w:hint="eastAsia" w:ascii="宋体" w:hAnsi="宋体" w:eastAsia="宋体"/>
          <w:color w:val="auto"/>
          <w:szCs w:val="21"/>
        </w:rPr>
        <w:t>指定</w:t>
      </w:r>
      <w:r>
        <w:rPr>
          <w:rFonts w:hint="eastAsia" w:ascii="宋体" w:hAnsi="宋体"/>
          <w:color w:val="auto"/>
          <w:szCs w:val="21"/>
        </w:rPr>
        <w:t>网站发布方式）答复或发送给所有投标人。答复内容是招标文件的组成部分，对投标人起约束作用，其有效性按照本通用条款第1</w:t>
      </w:r>
      <w:r>
        <w:rPr>
          <w:rFonts w:ascii="宋体" w:hAnsi="宋体"/>
          <w:color w:val="auto"/>
          <w:szCs w:val="21"/>
        </w:rPr>
        <w:t>3.3</w:t>
      </w:r>
      <w:r>
        <w:rPr>
          <w:rFonts w:hint="eastAsia" w:ascii="宋体" w:hAnsi="宋体"/>
          <w:color w:val="auto"/>
          <w:szCs w:val="21"/>
        </w:rPr>
        <w:t>、1</w:t>
      </w:r>
      <w:r>
        <w:rPr>
          <w:rFonts w:ascii="宋体" w:hAnsi="宋体"/>
          <w:color w:val="auto"/>
          <w:szCs w:val="21"/>
        </w:rPr>
        <w:t>3.4</w:t>
      </w:r>
      <w:r>
        <w:rPr>
          <w:rFonts w:hint="eastAsia" w:ascii="宋体" w:hAnsi="宋体"/>
          <w:color w:val="auto"/>
          <w:szCs w:val="21"/>
        </w:rPr>
        <w:t>款规定执行。</w:t>
      </w:r>
    </w:p>
    <w:p w14:paraId="45ADD3ED">
      <w:pPr>
        <w:ind w:firstLine="471" w:firstLineChars="196"/>
        <w:jc w:val="left"/>
        <w:rPr>
          <w:rFonts w:ascii="宋体" w:hAnsi="宋体"/>
          <w:b/>
          <w:color w:val="auto"/>
          <w:szCs w:val="21"/>
        </w:rPr>
      </w:pPr>
      <w:r>
        <w:rPr>
          <w:rFonts w:hint="eastAsia" w:ascii="宋体" w:hAnsi="宋体"/>
          <w:b/>
          <w:color w:val="auto"/>
          <w:szCs w:val="21"/>
        </w:rPr>
        <w:t>12.4对于没有提出澄清又参与了该项目投标的供应商将被视为完全认同该招标文件（含澄清纪要），投标截止期后不再受理针对招标文件的相关质疑或投诉。</w:t>
      </w:r>
    </w:p>
    <w:p w14:paraId="0B8A8FC7">
      <w:pPr>
        <w:jc w:val="left"/>
        <w:rPr>
          <w:rFonts w:ascii="黑体" w:hAnsi="宋体" w:eastAsia="黑体"/>
          <w:color w:val="auto"/>
        </w:rPr>
      </w:pPr>
      <w:r>
        <w:rPr>
          <w:rFonts w:ascii="黑体" w:hAnsi="宋体" w:eastAsia="黑体"/>
          <w:color w:val="auto"/>
        </w:rPr>
        <w:t>1</w:t>
      </w:r>
      <w:r>
        <w:rPr>
          <w:rFonts w:hint="eastAsia" w:ascii="黑体" w:hAnsi="宋体" w:eastAsia="黑体"/>
          <w:color w:val="auto"/>
        </w:rPr>
        <w:t>3．招标文件的修改</w:t>
      </w:r>
    </w:p>
    <w:p w14:paraId="66E57CE8">
      <w:pPr>
        <w:ind w:firstLine="470" w:firstLineChars="196"/>
        <w:jc w:val="left"/>
        <w:rPr>
          <w:rFonts w:ascii="宋体" w:hAnsi="宋体"/>
          <w:color w:val="auto"/>
          <w:szCs w:val="21"/>
        </w:rPr>
      </w:pPr>
      <w:r>
        <w:rPr>
          <w:rFonts w:ascii="宋体" w:hAnsi="宋体"/>
          <w:color w:val="auto"/>
          <w:szCs w:val="21"/>
        </w:rPr>
        <w:t>1</w:t>
      </w:r>
      <w:r>
        <w:rPr>
          <w:rFonts w:hint="eastAsia" w:ascii="宋体" w:hAnsi="宋体"/>
          <w:color w:val="auto"/>
          <w:szCs w:val="21"/>
        </w:rPr>
        <w:t>3.1招标文件发出后，在投标截止日期前任何时候，确需要变更招标文件内容的，</w:t>
      </w:r>
      <w:r>
        <w:rPr>
          <w:rFonts w:hint="eastAsia" w:ascii="宋体" w:hAnsi="宋体" w:eastAsia="宋体"/>
          <w:color w:val="auto"/>
          <w:szCs w:val="21"/>
        </w:rPr>
        <w:t>招标代理</w:t>
      </w:r>
      <w:r>
        <w:rPr>
          <w:rFonts w:hint="eastAsia" w:ascii="宋体" w:hAnsi="宋体"/>
          <w:color w:val="auto"/>
          <w:szCs w:val="21"/>
        </w:rPr>
        <w:t>机构可主动或在解答投标人提出的澄清问题时对招标文件进行修改。</w:t>
      </w:r>
    </w:p>
    <w:p w14:paraId="27FC0FFD">
      <w:pPr>
        <w:ind w:firstLine="470" w:firstLineChars="196"/>
        <w:jc w:val="left"/>
        <w:rPr>
          <w:rFonts w:ascii="宋体" w:hAnsi="宋体"/>
          <w:color w:val="auto"/>
          <w:szCs w:val="21"/>
        </w:rPr>
      </w:pPr>
      <w:r>
        <w:rPr>
          <w:rFonts w:ascii="宋体" w:hAnsi="宋体"/>
          <w:color w:val="auto"/>
          <w:szCs w:val="21"/>
        </w:rPr>
        <w:t>1</w:t>
      </w:r>
      <w:r>
        <w:rPr>
          <w:rFonts w:hint="eastAsia" w:ascii="宋体" w:hAnsi="宋体"/>
          <w:color w:val="auto"/>
          <w:szCs w:val="21"/>
        </w:rPr>
        <w:t>3.2招标文件的修改以书面形式（包括</w:t>
      </w:r>
      <w:r>
        <w:rPr>
          <w:rFonts w:hint="eastAsia" w:ascii="宋体" w:hAnsi="宋体" w:eastAsia="宋体"/>
          <w:color w:val="auto"/>
          <w:szCs w:val="21"/>
        </w:rPr>
        <w:t>指定</w:t>
      </w:r>
      <w:r>
        <w:rPr>
          <w:rFonts w:hint="eastAsia" w:ascii="宋体" w:hAnsi="宋体"/>
          <w:color w:val="auto"/>
          <w:szCs w:val="21"/>
        </w:rPr>
        <w:t>网站发布方式，如更正公告等）发送给所有投标人，招标文件的修改内容作为招标文件的组成部分，并具有约束力。</w:t>
      </w:r>
    </w:p>
    <w:p w14:paraId="05B8E9D3">
      <w:pPr>
        <w:ind w:firstLine="470" w:firstLineChars="196"/>
        <w:jc w:val="left"/>
        <w:rPr>
          <w:rFonts w:ascii="宋体" w:hAnsi="宋体"/>
          <w:color w:val="auto"/>
          <w:szCs w:val="21"/>
        </w:rPr>
      </w:pPr>
      <w:r>
        <w:rPr>
          <w:rFonts w:ascii="宋体" w:hAnsi="宋体"/>
          <w:color w:val="auto"/>
          <w:szCs w:val="21"/>
        </w:rPr>
        <w:t>1</w:t>
      </w:r>
      <w:r>
        <w:rPr>
          <w:rFonts w:hint="eastAsia" w:ascii="宋体" w:hAnsi="宋体"/>
          <w:color w:val="auto"/>
          <w:szCs w:val="21"/>
        </w:rPr>
        <w:t>3.3招标文件、招标文件澄清答复内容、招标文件修改补充内容均以书面形式（包括</w:t>
      </w:r>
      <w:r>
        <w:rPr>
          <w:rFonts w:hint="eastAsia" w:ascii="宋体" w:hAnsi="宋体" w:eastAsia="宋体"/>
          <w:color w:val="auto"/>
          <w:szCs w:val="21"/>
        </w:rPr>
        <w:t>指定</w:t>
      </w:r>
      <w:r>
        <w:rPr>
          <w:rFonts w:hint="eastAsia" w:ascii="宋体" w:hAnsi="宋体"/>
          <w:color w:val="auto"/>
          <w:szCs w:val="21"/>
        </w:rPr>
        <w:t>网站公开发布方式，如更正公告等）明确的内容为准。当招标文件、修改补充通知、招标文件澄清答复内容相互矛盾时，以最后发出的内容为准。</w:t>
      </w:r>
    </w:p>
    <w:p w14:paraId="55E18047">
      <w:pPr>
        <w:ind w:firstLine="470" w:firstLineChars="196"/>
        <w:jc w:val="left"/>
        <w:rPr>
          <w:rFonts w:ascii="宋体" w:hAnsi="宋体"/>
          <w:color w:val="auto"/>
          <w:szCs w:val="21"/>
        </w:rPr>
      </w:pPr>
      <w:r>
        <w:rPr>
          <w:rFonts w:ascii="宋体" w:hAnsi="宋体"/>
          <w:color w:val="auto"/>
          <w:szCs w:val="21"/>
        </w:rPr>
        <w:t>1</w:t>
      </w:r>
      <w:r>
        <w:rPr>
          <w:rFonts w:hint="eastAsia" w:ascii="宋体" w:hAnsi="宋体"/>
          <w:color w:val="auto"/>
          <w:szCs w:val="21"/>
        </w:rPr>
        <w:t>3.4</w:t>
      </w:r>
      <w:r>
        <w:rPr>
          <w:rFonts w:hint="eastAsia" w:ascii="宋体" w:hAnsi="宋体" w:eastAsia="宋体"/>
          <w:color w:val="auto"/>
          <w:szCs w:val="21"/>
        </w:rPr>
        <w:t>招标代理</w:t>
      </w:r>
      <w:r>
        <w:rPr>
          <w:rFonts w:hint="eastAsia" w:ascii="宋体" w:hAnsi="宋体"/>
          <w:color w:val="auto"/>
          <w:szCs w:val="21"/>
        </w:rPr>
        <w:t>机构保证招标文件澄清答复内容和招标文件修改补充内容在投标截止时间前以书面形式（包括</w:t>
      </w:r>
      <w:r>
        <w:rPr>
          <w:rFonts w:hint="eastAsia" w:ascii="宋体" w:hAnsi="宋体" w:eastAsia="宋体"/>
          <w:color w:val="auto"/>
          <w:szCs w:val="21"/>
        </w:rPr>
        <w:t>指定</w:t>
      </w:r>
      <w:r>
        <w:rPr>
          <w:rFonts w:hint="eastAsia" w:ascii="宋体" w:hAnsi="宋体"/>
          <w:color w:val="auto"/>
          <w:szCs w:val="21"/>
        </w:rPr>
        <w:t>网站发布方式，如更正公告等）发送给所有投标人。为使投标人在编制投标文件时有充分时间对招标文件的修改部分进行研究，</w:t>
      </w:r>
      <w:r>
        <w:rPr>
          <w:rFonts w:hint="eastAsia" w:ascii="宋体" w:hAnsi="宋体" w:eastAsia="宋体"/>
          <w:color w:val="auto"/>
          <w:szCs w:val="21"/>
        </w:rPr>
        <w:t>招标代理</w:t>
      </w:r>
      <w:r>
        <w:rPr>
          <w:rFonts w:hint="eastAsia" w:ascii="宋体" w:hAnsi="宋体"/>
          <w:color w:val="auto"/>
          <w:szCs w:val="21"/>
        </w:rPr>
        <w:t>机构可以酌情延长递交投标文件的截止日期</w:t>
      </w:r>
      <w:bookmarkEnd w:id="70"/>
      <w:r>
        <w:rPr>
          <w:rFonts w:hint="eastAsia" w:ascii="宋体" w:hAnsi="宋体"/>
          <w:color w:val="auto"/>
          <w:szCs w:val="21"/>
        </w:rPr>
        <w:t>，具体时间将在修改补充通知中明确。</w:t>
      </w:r>
    </w:p>
    <w:p w14:paraId="2D349A75">
      <w:pPr>
        <w:jc w:val="left"/>
        <w:rPr>
          <w:rFonts w:ascii="宋体" w:hAnsi="宋体"/>
          <w:color w:val="auto"/>
          <w:szCs w:val="21"/>
        </w:rPr>
      </w:pPr>
    </w:p>
    <w:p w14:paraId="1561C636">
      <w:pPr>
        <w:pStyle w:val="6"/>
        <w:numPr>
          <w:ilvl w:val="0"/>
          <w:numId w:val="6"/>
        </w:numPr>
        <w:spacing w:before="120" w:beforeLines="50" w:after="120" w:afterLines="50"/>
        <w:ind w:left="562" w:hanging="562"/>
        <w:jc w:val="left"/>
        <w:rPr>
          <w:color w:val="auto"/>
          <w:sz w:val="28"/>
          <w:szCs w:val="28"/>
        </w:rPr>
      </w:pPr>
      <w:r>
        <w:rPr>
          <w:rFonts w:hint="eastAsia"/>
          <w:color w:val="auto"/>
          <w:sz w:val="28"/>
          <w:szCs w:val="28"/>
        </w:rPr>
        <w:t>投标文件的编制</w:t>
      </w:r>
    </w:p>
    <w:p w14:paraId="578D5FE8">
      <w:pPr>
        <w:jc w:val="left"/>
        <w:rPr>
          <w:rFonts w:ascii="黑体" w:hAnsi="宋体" w:eastAsia="黑体"/>
          <w:color w:val="auto"/>
        </w:rPr>
      </w:pPr>
      <w:r>
        <w:rPr>
          <w:rFonts w:hint="eastAsia" w:ascii="黑体" w:hAnsi="宋体" w:eastAsia="黑体"/>
          <w:color w:val="auto"/>
        </w:rPr>
        <w:t>14．</w:t>
      </w:r>
      <w:bookmarkStart w:id="71" w:name="_Hlk72400236"/>
      <w:r>
        <w:rPr>
          <w:rFonts w:hint="eastAsia" w:ascii="黑体" w:hAnsi="宋体" w:eastAsia="黑体"/>
          <w:color w:val="auto"/>
        </w:rPr>
        <w:t>投标文件的语言及度量单位</w:t>
      </w:r>
    </w:p>
    <w:p w14:paraId="6E3B769F">
      <w:pPr>
        <w:ind w:firstLine="470" w:firstLineChars="196"/>
        <w:jc w:val="left"/>
        <w:rPr>
          <w:rFonts w:ascii="宋体" w:hAnsi="宋体"/>
          <w:color w:val="auto"/>
          <w:szCs w:val="21"/>
        </w:rPr>
      </w:pPr>
      <w:r>
        <w:rPr>
          <w:rFonts w:hint="eastAsia" w:ascii="宋体" w:hAnsi="宋体"/>
          <w:color w:val="auto"/>
          <w:szCs w:val="21"/>
        </w:rPr>
        <w:t>14.1 投标人与</w:t>
      </w:r>
      <w:r>
        <w:rPr>
          <w:rFonts w:hint="eastAsia" w:ascii="宋体" w:hAnsi="宋体" w:eastAsia="宋体"/>
          <w:color w:val="auto"/>
          <w:szCs w:val="21"/>
        </w:rPr>
        <w:t>招标代理</w:t>
      </w:r>
      <w:r>
        <w:rPr>
          <w:rFonts w:hint="eastAsia" w:ascii="宋体" w:hAnsi="宋体"/>
          <w:color w:val="auto"/>
          <w:szCs w:val="21"/>
        </w:rPr>
        <w:t>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FC6947A">
      <w:pPr>
        <w:ind w:firstLine="470" w:firstLineChars="196"/>
        <w:jc w:val="left"/>
        <w:rPr>
          <w:rFonts w:ascii="宋体" w:hAnsi="宋体"/>
          <w:color w:val="auto"/>
          <w:szCs w:val="21"/>
        </w:rPr>
      </w:pPr>
      <w:r>
        <w:rPr>
          <w:rFonts w:hint="eastAsia" w:ascii="宋体" w:hAnsi="宋体"/>
          <w:color w:val="auto"/>
          <w:szCs w:val="21"/>
        </w:rPr>
        <w:t>14.2 除技术规范另有规定外，投标文件使用的度量单位，均采用中华人民共和国法定计量单位。</w:t>
      </w:r>
    </w:p>
    <w:bookmarkEnd w:id="71"/>
    <w:p w14:paraId="0108AE93">
      <w:pPr>
        <w:jc w:val="left"/>
        <w:rPr>
          <w:rFonts w:ascii="黑体" w:hAnsi="宋体" w:eastAsia="黑体"/>
          <w:color w:val="auto"/>
        </w:rPr>
      </w:pPr>
      <w:r>
        <w:rPr>
          <w:rFonts w:hint="eastAsia" w:ascii="黑体" w:hAnsi="宋体" w:eastAsia="黑体"/>
          <w:color w:val="auto"/>
        </w:rPr>
        <w:t>15．</w:t>
      </w:r>
      <w:bookmarkStart w:id="72" w:name="_Hlk72401567"/>
      <w:r>
        <w:rPr>
          <w:rFonts w:hint="eastAsia" w:ascii="黑体" w:hAnsi="宋体" w:eastAsia="黑体"/>
          <w:color w:val="auto"/>
        </w:rPr>
        <w:t>投标文件的组成</w:t>
      </w:r>
    </w:p>
    <w:p w14:paraId="087C588B">
      <w:pPr>
        <w:ind w:firstLine="470" w:firstLineChars="196"/>
        <w:jc w:val="left"/>
        <w:rPr>
          <w:rFonts w:ascii="宋体" w:hAnsi="宋体"/>
          <w:color w:val="auto"/>
          <w:szCs w:val="21"/>
        </w:rPr>
      </w:pPr>
      <w:r>
        <w:rPr>
          <w:rFonts w:hint="eastAsia" w:ascii="宋体" w:hAnsi="宋体"/>
          <w:color w:val="auto"/>
          <w:szCs w:val="21"/>
        </w:rPr>
        <w:t>具体内容在招标文件专用条款中进行规定。</w:t>
      </w:r>
    </w:p>
    <w:p w14:paraId="6CADCE30">
      <w:pPr>
        <w:jc w:val="left"/>
        <w:rPr>
          <w:rFonts w:ascii="黑体" w:hAnsi="宋体" w:eastAsia="黑体"/>
          <w:color w:val="auto"/>
        </w:rPr>
      </w:pPr>
      <w:r>
        <w:rPr>
          <w:rFonts w:ascii="黑体" w:hAnsi="宋体" w:eastAsia="黑体"/>
          <w:color w:val="auto"/>
        </w:rPr>
        <w:t>16．投标文件格式</w:t>
      </w:r>
    </w:p>
    <w:p w14:paraId="7FE12022">
      <w:pPr>
        <w:ind w:firstLine="470" w:firstLineChars="196"/>
        <w:jc w:val="left"/>
        <w:rPr>
          <w:rFonts w:ascii="宋体" w:hAnsi="宋体"/>
          <w:color w:val="auto"/>
          <w:szCs w:val="21"/>
        </w:rPr>
      </w:pPr>
      <w:r>
        <w:rPr>
          <w:rFonts w:hint="eastAsia" w:ascii="宋体" w:hAnsi="宋体"/>
          <w:color w:val="auto"/>
          <w:szCs w:val="21"/>
        </w:rPr>
        <w:t>投标文件包括本通用条款第</w:t>
      </w:r>
      <w:r>
        <w:rPr>
          <w:rFonts w:ascii="宋体" w:hAnsi="宋体"/>
          <w:color w:val="auto"/>
          <w:szCs w:val="21"/>
        </w:rPr>
        <w:t>15条中规定的内容。如招标文件提供了投标文件格式，则</w:t>
      </w:r>
      <w:r>
        <w:rPr>
          <w:rFonts w:hint="eastAsia" w:ascii="宋体" w:hAnsi="宋体"/>
          <w:b/>
          <w:bCs/>
          <w:color w:val="auto"/>
          <w:szCs w:val="21"/>
        </w:rPr>
        <w:t>投标人提交的投标文件应毫无例外地使用招标文件所提供的相应格式</w:t>
      </w:r>
      <w:r>
        <w:rPr>
          <w:rFonts w:hint="eastAsia" w:ascii="宋体" w:hAnsi="宋体"/>
          <w:color w:val="auto"/>
          <w:szCs w:val="21"/>
        </w:rPr>
        <w:t>（表格均可按同样格式扩展）。</w:t>
      </w:r>
    </w:p>
    <w:p w14:paraId="02454ACC">
      <w:pPr>
        <w:jc w:val="left"/>
        <w:rPr>
          <w:rFonts w:ascii="黑体" w:hAnsi="宋体" w:eastAsia="黑体"/>
          <w:color w:val="auto"/>
        </w:rPr>
      </w:pPr>
      <w:r>
        <w:rPr>
          <w:rFonts w:hint="eastAsia" w:ascii="黑体" w:hAnsi="宋体" w:eastAsia="黑体"/>
          <w:color w:val="auto"/>
        </w:rPr>
        <w:t>17．投标货币</w:t>
      </w:r>
    </w:p>
    <w:p w14:paraId="725FB44E">
      <w:pPr>
        <w:ind w:firstLine="470" w:firstLineChars="196"/>
        <w:jc w:val="left"/>
        <w:rPr>
          <w:rFonts w:ascii="宋体" w:hAnsi="宋体"/>
          <w:color w:val="auto"/>
          <w:szCs w:val="21"/>
        </w:rPr>
      </w:pPr>
      <w:r>
        <w:rPr>
          <w:rFonts w:hint="eastAsia" w:ascii="宋体" w:hAnsi="宋体"/>
          <w:color w:val="auto"/>
          <w:szCs w:val="21"/>
        </w:rPr>
        <w:t>本项目的投标报价应以人民币计。</w:t>
      </w:r>
    </w:p>
    <w:bookmarkEnd w:id="72"/>
    <w:p w14:paraId="7085B286">
      <w:pPr>
        <w:jc w:val="left"/>
        <w:rPr>
          <w:rFonts w:ascii="黑体" w:hAnsi="宋体" w:eastAsia="黑体"/>
          <w:color w:val="auto"/>
        </w:rPr>
      </w:pPr>
      <w:r>
        <w:rPr>
          <w:rFonts w:hint="eastAsia" w:ascii="黑体" w:hAnsi="宋体" w:eastAsia="黑体"/>
          <w:color w:val="auto"/>
        </w:rPr>
        <w:t>18．</w:t>
      </w:r>
      <w:bookmarkStart w:id="73" w:name="_Hlk72401735"/>
      <w:r>
        <w:rPr>
          <w:rFonts w:hint="eastAsia" w:ascii="黑体" w:hAnsi="宋体" w:eastAsia="黑体"/>
          <w:color w:val="auto"/>
        </w:rPr>
        <w:t>证明投标文件投标技术方案的合格性和符合招标文件规定的文件要求</w:t>
      </w:r>
    </w:p>
    <w:p w14:paraId="054EA12A">
      <w:pPr>
        <w:ind w:firstLine="470" w:firstLineChars="196"/>
        <w:jc w:val="left"/>
        <w:rPr>
          <w:rFonts w:ascii="宋体" w:hAnsi="宋体"/>
          <w:color w:val="auto"/>
          <w:szCs w:val="21"/>
        </w:rPr>
      </w:pPr>
      <w:r>
        <w:rPr>
          <w:rFonts w:hint="eastAsia" w:ascii="宋体" w:hAnsi="宋体"/>
          <w:color w:val="auto"/>
          <w:szCs w:val="21"/>
        </w:rPr>
        <w:t>18</w:t>
      </w:r>
      <w:r>
        <w:rPr>
          <w:rFonts w:ascii="宋体" w:hAnsi="宋体"/>
          <w:color w:val="auto"/>
          <w:szCs w:val="21"/>
        </w:rPr>
        <w:t xml:space="preserve">.1 </w:t>
      </w:r>
      <w:r>
        <w:rPr>
          <w:rFonts w:hint="eastAsia" w:ascii="宋体" w:hAnsi="宋体"/>
          <w:color w:val="auto"/>
          <w:szCs w:val="21"/>
        </w:rPr>
        <w:t>投标人应提交证明文件，证明其投标技术方案项下的货物和服务的合格性符合招标文件规定。该投标技术方案及其证明文件均作为投标文件组成部分。</w:t>
      </w:r>
    </w:p>
    <w:p w14:paraId="4A2E7148">
      <w:pPr>
        <w:ind w:firstLine="470" w:firstLineChars="196"/>
        <w:jc w:val="left"/>
        <w:rPr>
          <w:rFonts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 xml:space="preserve">.2 </w:t>
      </w:r>
      <w:r>
        <w:rPr>
          <w:rFonts w:hint="eastAsia" w:ascii="宋体" w:hAnsi="宋体"/>
          <w:color w:val="auto"/>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766C9CB">
      <w:pPr>
        <w:ind w:firstLine="470" w:firstLineChars="196"/>
        <w:jc w:val="left"/>
        <w:rPr>
          <w:rFonts w:ascii="宋体" w:hAnsi="宋体"/>
          <w:color w:val="auto"/>
          <w:szCs w:val="21"/>
        </w:rPr>
      </w:pPr>
      <w:r>
        <w:rPr>
          <w:rFonts w:hint="eastAsia" w:ascii="宋体" w:hAnsi="宋体"/>
          <w:color w:val="auto"/>
          <w:szCs w:val="21"/>
        </w:rPr>
        <w:t>18.2.1主要技术指标和性能的详细说明。</w:t>
      </w:r>
    </w:p>
    <w:p w14:paraId="7D7E716D">
      <w:pPr>
        <w:ind w:firstLine="470" w:firstLineChars="196"/>
        <w:jc w:val="left"/>
        <w:rPr>
          <w:rFonts w:ascii="宋体" w:hAnsi="宋体"/>
          <w:color w:val="auto"/>
          <w:szCs w:val="21"/>
        </w:rPr>
      </w:pPr>
      <w:r>
        <w:rPr>
          <w:rFonts w:hint="eastAsia" w:ascii="宋体" w:hAnsi="宋体"/>
          <w:color w:val="auto"/>
          <w:szCs w:val="21"/>
        </w:rPr>
        <w:t>18.2.</w:t>
      </w:r>
      <w:r>
        <w:rPr>
          <w:rFonts w:ascii="宋体" w:hAnsi="宋体"/>
          <w:color w:val="auto"/>
          <w:szCs w:val="21"/>
        </w:rPr>
        <w:t>2</w:t>
      </w:r>
      <w:r>
        <w:rPr>
          <w:rFonts w:hint="eastAsia" w:ascii="宋体" w:hAnsi="宋体"/>
          <w:color w:val="auto"/>
          <w:szCs w:val="21"/>
        </w:rPr>
        <w:t>投标产品从采购人开始使用至招标文件中规定的周期内正常、连续地使用所必须的备件和专用工具清单，包括备件和专用工具的货源及现行价格。</w:t>
      </w:r>
    </w:p>
    <w:p w14:paraId="04F4B184">
      <w:pPr>
        <w:ind w:firstLine="470" w:firstLineChars="196"/>
        <w:jc w:val="left"/>
        <w:rPr>
          <w:rFonts w:ascii="宋体" w:hAnsi="宋体"/>
          <w:color w:val="auto"/>
          <w:szCs w:val="21"/>
        </w:rPr>
      </w:pPr>
      <w:r>
        <w:rPr>
          <w:rFonts w:hint="eastAsia" w:ascii="宋体" w:hAnsi="宋体"/>
          <w:color w:val="auto"/>
          <w:szCs w:val="21"/>
        </w:rPr>
        <w:t>18.2.</w:t>
      </w:r>
      <w:r>
        <w:rPr>
          <w:rFonts w:ascii="宋体" w:hAnsi="宋体"/>
          <w:color w:val="auto"/>
          <w:szCs w:val="21"/>
        </w:rPr>
        <w:t>3</w:t>
      </w:r>
      <w:r>
        <w:rPr>
          <w:rFonts w:hint="eastAsia" w:ascii="宋体" w:hAnsi="宋体"/>
          <w:color w:val="auto"/>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894980F">
      <w:pPr>
        <w:ind w:firstLine="470" w:firstLineChars="196"/>
        <w:jc w:val="left"/>
        <w:rPr>
          <w:rFonts w:ascii="宋体" w:hAnsi="宋体"/>
          <w:color w:val="auto"/>
          <w:szCs w:val="21"/>
        </w:rPr>
      </w:pPr>
      <w:r>
        <w:rPr>
          <w:rFonts w:hint="eastAsia" w:ascii="宋体" w:hAnsi="宋体"/>
          <w:color w:val="auto"/>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auto"/>
        </w:rPr>
        <w:t>清晰度要求能够使用电脑阅读、识别和判断</w:t>
      </w:r>
      <w:r>
        <w:rPr>
          <w:rFonts w:hint="eastAsia" w:ascii="宋体" w:hAnsi="宋体"/>
          <w:color w:val="auto"/>
          <w:szCs w:val="21"/>
        </w:rPr>
        <w:t>；</w:t>
      </w:r>
    </w:p>
    <w:p w14:paraId="64DAEAA2">
      <w:pPr>
        <w:ind w:firstLine="470" w:firstLineChars="196"/>
        <w:jc w:val="left"/>
        <w:rPr>
          <w:rFonts w:ascii="宋体" w:hAnsi="宋体"/>
          <w:color w:val="auto"/>
          <w:szCs w:val="21"/>
        </w:rPr>
      </w:pPr>
      <w:r>
        <w:rPr>
          <w:rFonts w:hint="eastAsia" w:ascii="宋体" w:hAnsi="宋体"/>
          <w:color w:val="auto"/>
          <w:szCs w:val="21"/>
        </w:rPr>
        <w:t>18.2.5我国政府机构出具的产品检验和核准证件应为证件正面、背面和附件标注的全部具体内容；产品检验和核准证件的尺寸和清晰度应该能够在电脑上被阅读、识别和判断，提供原件扫描件。</w:t>
      </w:r>
    </w:p>
    <w:p w14:paraId="31330A37">
      <w:pPr>
        <w:ind w:firstLine="470" w:firstLineChars="196"/>
        <w:jc w:val="left"/>
        <w:rPr>
          <w:rFonts w:ascii="宋体" w:hAnsi="宋体"/>
          <w:color w:val="auto"/>
          <w:szCs w:val="21"/>
        </w:rPr>
      </w:pPr>
      <w:r>
        <w:rPr>
          <w:rFonts w:hint="eastAsia" w:ascii="宋体" w:hAnsi="宋体"/>
          <w:color w:val="auto"/>
          <w:szCs w:val="21"/>
        </w:rPr>
        <w:t>18.3相关资料不符合18.2款要求的，评审委员会有权认定为投标技术方案不合格响应，其相关分数予以扣减或作投标无效处理。</w:t>
      </w:r>
    </w:p>
    <w:p w14:paraId="7B4402FC">
      <w:pPr>
        <w:ind w:firstLine="470" w:firstLineChars="196"/>
        <w:jc w:val="left"/>
        <w:rPr>
          <w:rFonts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color w:val="auto"/>
        </w:rPr>
        <w:t>满足要求</w:t>
      </w:r>
      <w:r>
        <w:rPr>
          <w:rFonts w:hint="eastAsia" w:ascii="宋体" w:hAnsi="宋体"/>
          <w:color w:val="auto"/>
          <w:szCs w:val="21"/>
        </w:rPr>
        <w:t>，由评审委员会来评判。</w:t>
      </w:r>
    </w:p>
    <w:p w14:paraId="60D88DF0">
      <w:pPr>
        <w:ind w:firstLine="470" w:firstLineChars="196"/>
        <w:jc w:val="left"/>
        <w:rPr>
          <w:rFonts w:ascii="宋体" w:hAnsi="宋体"/>
          <w:color w:val="auto"/>
          <w:szCs w:val="21"/>
        </w:rPr>
      </w:pPr>
      <w:r>
        <w:rPr>
          <w:rFonts w:hint="eastAsia" w:ascii="宋体" w:hAnsi="宋体"/>
          <w:color w:val="auto"/>
          <w:szCs w:val="21"/>
        </w:rPr>
        <w:t>18.5除非另有规定或说明，投标人对同一项目投标时，不得同时提供两套或两套以上的投标方案。</w:t>
      </w:r>
    </w:p>
    <w:bookmarkEnd w:id="73"/>
    <w:p w14:paraId="7804C266">
      <w:pPr>
        <w:jc w:val="left"/>
        <w:rPr>
          <w:rFonts w:ascii="黑体" w:hAnsi="宋体" w:eastAsia="黑体"/>
          <w:color w:val="auto"/>
        </w:rPr>
      </w:pPr>
      <w:r>
        <w:rPr>
          <w:rFonts w:hint="eastAsia" w:ascii="黑体" w:hAnsi="宋体" w:eastAsia="黑体"/>
          <w:color w:val="auto"/>
        </w:rPr>
        <w:t>19．</w:t>
      </w:r>
      <w:bookmarkStart w:id="74" w:name="_Hlk72402034"/>
      <w:r>
        <w:rPr>
          <w:rFonts w:hint="eastAsia" w:ascii="黑体" w:hAnsi="宋体" w:eastAsia="黑体"/>
          <w:color w:val="auto"/>
        </w:rPr>
        <w:t>投标文件其他证明文件的要求</w:t>
      </w:r>
    </w:p>
    <w:p w14:paraId="60EA08EB">
      <w:pPr>
        <w:jc w:val="left"/>
        <w:rPr>
          <w:rFonts w:ascii="宋体" w:hAnsi="宋体"/>
          <w:color w:val="auto"/>
          <w:szCs w:val="21"/>
        </w:rPr>
      </w:pPr>
      <w:r>
        <w:rPr>
          <w:rFonts w:hint="eastAsia" w:ascii="黑体" w:hAnsi="宋体" w:eastAsia="黑体"/>
          <w:color w:val="auto"/>
        </w:rPr>
        <w:t xml:space="preserve">    </w:t>
      </w:r>
      <w:r>
        <w:rPr>
          <w:rFonts w:hint="eastAsia" w:ascii="宋体" w:hAnsi="宋体"/>
          <w:color w:val="auto"/>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5" w:name="_Hlk71407299"/>
    </w:p>
    <w:bookmarkEnd w:id="75"/>
    <w:p w14:paraId="3C231B92">
      <w:pPr>
        <w:ind w:firstLine="470" w:firstLineChars="196"/>
        <w:jc w:val="left"/>
        <w:rPr>
          <w:rFonts w:ascii="宋体" w:hAnsi="宋体"/>
          <w:color w:val="auto"/>
          <w:szCs w:val="21"/>
        </w:rPr>
      </w:pPr>
      <w:r>
        <w:rPr>
          <w:rFonts w:hint="eastAsia" w:ascii="宋体" w:hAnsi="宋体"/>
          <w:color w:val="auto"/>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17C2258">
      <w:pPr>
        <w:jc w:val="left"/>
        <w:rPr>
          <w:rFonts w:ascii="黑体" w:hAnsi="宋体" w:eastAsia="黑体"/>
          <w:color w:val="auto"/>
        </w:rPr>
      </w:pPr>
      <w:r>
        <w:rPr>
          <w:rFonts w:hint="eastAsia" w:ascii="黑体" w:hAnsi="宋体" w:eastAsia="黑体"/>
          <w:color w:val="auto"/>
        </w:rPr>
        <w:t>20．投标有效期</w:t>
      </w:r>
    </w:p>
    <w:bookmarkEnd w:id="74"/>
    <w:p w14:paraId="7355142B">
      <w:pPr>
        <w:ind w:firstLine="470" w:firstLineChars="196"/>
        <w:jc w:val="left"/>
        <w:rPr>
          <w:rFonts w:ascii="宋体" w:hAnsi="宋体"/>
          <w:color w:val="auto"/>
          <w:szCs w:val="21"/>
        </w:rPr>
      </w:pPr>
      <w:bookmarkStart w:id="76" w:name="_Hlk72402214"/>
      <w:r>
        <w:rPr>
          <w:rFonts w:hint="eastAsia" w:ascii="宋体" w:hAnsi="宋体"/>
          <w:color w:val="auto"/>
          <w:szCs w:val="21"/>
        </w:rPr>
        <w:t>20.1 投标有效期为</w:t>
      </w:r>
      <w:r>
        <w:rPr>
          <w:rFonts w:hint="eastAsia" w:ascii="Arial" w:hAnsi="Arial" w:cs="Arial"/>
          <w:color w:val="auto"/>
          <w:szCs w:val="21"/>
        </w:rPr>
        <w:t>从投标截止之日算起的日历天数。</w:t>
      </w:r>
      <w:r>
        <w:rPr>
          <w:rFonts w:hint="eastAsia" w:ascii="宋体" w:hAnsi="宋体"/>
          <w:color w:val="auto"/>
          <w:szCs w:val="21"/>
        </w:rPr>
        <w:t>在此期限内，所有投标文件均保持有效。</w:t>
      </w:r>
    </w:p>
    <w:p w14:paraId="27E2A6F6">
      <w:pPr>
        <w:ind w:firstLine="470" w:firstLineChars="196"/>
        <w:jc w:val="left"/>
        <w:rPr>
          <w:rFonts w:ascii="宋体" w:hAnsi="宋体"/>
          <w:color w:val="auto"/>
          <w:szCs w:val="21"/>
        </w:rPr>
      </w:pPr>
      <w:r>
        <w:rPr>
          <w:rFonts w:hint="eastAsia" w:ascii="宋体" w:hAnsi="宋体"/>
          <w:color w:val="auto"/>
          <w:szCs w:val="21"/>
        </w:rPr>
        <w:t>20.2 在特殊情况下，</w:t>
      </w:r>
      <w:r>
        <w:rPr>
          <w:rFonts w:hint="eastAsia" w:ascii="宋体" w:hAnsi="宋体" w:eastAsia="宋体"/>
          <w:color w:val="auto"/>
          <w:szCs w:val="21"/>
        </w:rPr>
        <w:t>招标代理</w:t>
      </w:r>
      <w:r>
        <w:rPr>
          <w:rFonts w:hint="eastAsia" w:ascii="宋体" w:hAnsi="宋体"/>
          <w:color w:val="auto"/>
          <w:szCs w:val="21"/>
        </w:rPr>
        <w:t>机构在原定的投标有效期满之前，</w:t>
      </w:r>
      <w:r>
        <w:rPr>
          <w:rFonts w:hint="eastAsia" w:ascii="宋体" w:hAnsi="宋体" w:eastAsia="宋体"/>
          <w:color w:val="auto"/>
          <w:szCs w:val="21"/>
        </w:rPr>
        <w:t>招标代理</w:t>
      </w:r>
      <w:r>
        <w:rPr>
          <w:rFonts w:hint="eastAsia" w:ascii="宋体" w:hAnsi="宋体"/>
          <w:color w:val="auto"/>
          <w:szCs w:val="21"/>
        </w:rPr>
        <w:t>机构可以根据需要以书面形式（包括</w:t>
      </w:r>
      <w:r>
        <w:rPr>
          <w:rFonts w:hint="eastAsia" w:ascii="宋体" w:hAnsi="宋体" w:eastAsia="宋体"/>
          <w:color w:val="auto"/>
          <w:szCs w:val="21"/>
        </w:rPr>
        <w:t>指定网站</w:t>
      </w:r>
      <w:r>
        <w:rPr>
          <w:rFonts w:hint="eastAsia" w:ascii="宋体" w:hAnsi="宋体"/>
          <w:color w:val="auto"/>
          <w:szCs w:val="21"/>
        </w:rPr>
        <w:t>公开发布方式）向投标人提出延长投标有效期的要求，对此要求投标人须以书面形式予以答复，投标人可以拒绝</w:t>
      </w:r>
      <w:r>
        <w:rPr>
          <w:rFonts w:hint="eastAsia" w:ascii="宋体" w:hAnsi="宋体" w:eastAsia="宋体"/>
          <w:color w:val="auto"/>
          <w:szCs w:val="21"/>
        </w:rPr>
        <w:t>招标代理</w:t>
      </w:r>
      <w:r>
        <w:rPr>
          <w:rFonts w:hint="eastAsia" w:ascii="宋体" w:hAnsi="宋体"/>
          <w:color w:val="auto"/>
          <w:szCs w:val="21"/>
        </w:rPr>
        <w:t>机构此项要求，其投标在原投标有效期满后不再有效。同意延长投标有效期的投标人不能要求也不允许修改其投标文件。</w:t>
      </w:r>
    </w:p>
    <w:p w14:paraId="23C89862">
      <w:pPr>
        <w:ind w:firstLine="470" w:firstLineChars="196"/>
        <w:jc w:val="left"/>
        <w:rPr>
          <w:rFonts w:ascii="宋体" w:hAnsi="宋体"/>
          <w:color w:val="auto"/>
          <w:szCs w:val="21"/>
        </w:rPr>
      </w:pPr>
      <w:r>
        <w:rPr>
          <w:rFonts w:hint="eastAsia" w:ascii="宋体" w:hAnsi="宋体"/>
          <w:color w:val="auto"/>
          <w:szCs w:val="21"/>
        </w:rPr>
        <w:t>20</w:t>
      </w:r>
      <w:r>
        <w:rPr>
          <w:rFonts w:ascii="宋体" w:hAnsi="宋体"/>
          <w:color w:val="auto"/>
          <w:szCs w:val="21"/>
        </w:rPr>
        <w:t>.3</w:t>
      </w:r>
      <w:r>
        <w:rPr>
          <w:rFonts w:hint="eastAsia" w:ascii="宋体" w:hAnsi="宋体"/>
          <w:color w:val="auto"/>
          <w:szCs w:val="21"/>
        </w:rPr>
        <w:t xml:space="preserve"> 中标供应商的投标文件有效期，截止于完成本招标文件规定的全部项目内容，并通过竣工验收及保修期结束。</w:t>
      </w:r>
    </w:p>
    <w:bookmarkEnd w:id="76"/>
    <w:p w14:paraId="00FEA219">
      <w:pPr>
        <w:jc w:val="left"/>
        <w:rPr>
          <w:rFonts w:ascii="黑体" w:hAnsi="宋体" w:eastAsia="黑体"/>
          <w:color w:val="auto"/>
        </w:rPr>
      </w:pPr>
      <w:r>
        <w:rPr>
          <w:rFonts w:hint="eastAsia" w:ascii="黑体" w:hAnsi="宋体" w:eastAsia="黑体"/>
          <w:color w:val="auto"/>
        </w:rPr>
        <w:t>21．</w:t>
      </w:r>
      <w:bookmarkStart w:id="77" w:name="_Hlk72402325"/>
      <w:r>
        <w:rPr>
          <w:rFonts w:hint="eastAsia" w:ascii="黑体" w:hAnsi="宋体" w:eastAsia="黑体"/>
          <w:color w:val="auto"/>
        </w:rPr>
        <w:t xml:space="preserve">关于投标保证金 </w:t>
      </w:r>
    </w:p>
    <w:p w14:paraId="54C9DADC">
      <w:pPr>
        <w:ind w:firstLine="432"/>
        <w:jc w:val="left"/>
        <w:rPr>
          <w:color w:val="auto"/>
        </w:rPr>
      </w:pPr>
      <w:r>
        <w:rPr>
          <w:rFonts w:hint="eastAsia" w:ascii="宋体" w:hAnsi="宋体"/>
          <w:color w:val="auto"/>
          <w:szCs w:val="21"/>
        </w:rPr>
        <w:t xml:space="preserve">21.1 </w:t>
      </w:r>
      <w:r>
        <w:rPr>
          <w:rFonts w:hint="eastAsia"/>
          <w:color w:val="auto"/>
        </w:rPr>
        <w:t>根据《深圳市财政局关于调整政府采购投标（响应）保证金管理政策的通知》（深财购〔2021〕51 号）文的规定，本项目不收取投标保证金。</w:t>
      </w:r>
    </w:p>
    <w:p w14:paraId="38FF3B06">
      <w:pPr>
        <w:jc w:val="left"/>
        <w:rPr>
          <w:rFonts w:ascii="黑体" w:hAnsi="宋体" w:eastAsia="黑体"/>
          <w:color w:val="auto"/>
        </w:rPr>
      </w:pPr>
      <w:r>
        <w:rPr>
          <w:rFonts w:hint="eastAsia" w:ascii="黑体" w:hAnsi="宋体" w:eastAsia="黑体"/>
          <w:color w:val="auto"/>
        </w:rPr>
        <w:t>22．投标人的替代方案</w:t>
      </w:r>
    </w:p>
    <w:p w14:paraId="7A7580F0">
      <w:pPr>
        <w:ind w:firstLine="470" w:firstLineChars="196"/>
        <w:jc w:val="left"/>
        <w:rPr>
          <w:rFonts w:ascii="宋体" w:hAnsi="宋体"/>
          <w:color w:val="auto"/>
          <w:szCs w:val="21"/>
        </w:rPr>
      </w:pPr>
      <w:r>
        <w:rPr>
          <w:rFonts w:hint="eastAsia" w:ascii="宋体" w:hAnsi="宋体"/>
          <w:color w:val="auto"/>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1FD4877">
      <w:pPr>
        <w:ind w:firstLine="470" w:firstLineChars="196"/>
        <w:jc w:val="left"/>
        <w:rPr>
          <w:rFonts w:ascii="宋体" w:hAnsi="宋体"/>
          <w:color w:val="auto"/>
          <w:szCs w:val="21"/>
        </w:rPr>
      </w:pPr>
      <w:r>
        <w:rPr>
          <w:rFonts w:hint="eastAsia" w:ascii="宋体" w:hAnsi="宋体"/>
          <w:color w:val="auto"/>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7"/>
    <w:p w14:paraId="4B269CA4">
      <w:pPr>
        <w:jc w:val="left"/>
        <w:rPr>
          <w:rFonts w:ascii="黑体" w:hAnsi="宋体" w:eastAsia="黑体"/>
          <w:color w:val="auto"/>
        </w:rPr>
      </w:pPr>
      <w:r>
        <w:rPr>
          <w:rFonts w:hint="eastAsia" w:ascii="黑体" w:hAnsi="宋体" w:eastAsia="黑体"/>
          <w:color w:val="auto"/>
        </w:rPr>
        <w:t>23．</w:t>
      </w:r>
      <w:bookmarkStart w:id="78" w:name="_Hlk72402860"/>
      <w:r>
        <w:rPr>
          <w:rFonts w:ascii="黑体" w:hAnsi="宋体" w:eastAsia="黑体"/>
          <w:color w:val="auto"/>
        </w:rPr>
        <w:t>投标文件的</w:t>
      </w:r>
      <w:r>
        <w:rPr>
          <w:rFonts w:hint="eastAsia" w:ascii="黑体" w:hAnsi="宋体" w:eastAsia="黑体"/>
          <w:color w:val="auto"/>
        </w:rPr>
        <w:t>制作</w:t>
      </w:r>
      <w:r>
        <w:rPr>
          <w:rFonts w:ascii="黑体" w:hAnsi="宋体" w:eastAsia="黑体"/>
          <w:color w:val="auto"/>
        </w:rPr>
        <w:t>要求</w:t>
      </w:r>
    </w:p>
    <w:p w14:paraId="35A46FA9">
      <w:pPr>
        <w:ind w:firstLine="470" w:firstLineChars="196"/>
        <w:jc w:val="left"/>
        <w:rPr>
          <w:rFonts w:ascii="宋体" w:hAnsi="宋体"/>
          <w:color w:val="auto"/>
        </w:rPr>
      </w:pPr>
      <w:r>
        <w:rPr>
          <w:rFonts w:hint="eastAsia" w:ascii="宋体" w:hAnsi="宋体"/>
          <w:color w:val="auto"/>
        </w:rPr>
        <w:t>23.1投标人应准备所投项目的</w:t>
      </w:r>
      <w:r>
        <w:rPr>
          <w:rFonts w:hint="eastAsia" w:ascii="宋体" w:hAnsi="宋体" w:eastAsia="宋体"/>
          <w:color w:val="auto"/>
        </w:rPr>
        <w:t>纸质投标文件一式二份</w:t>
      </w:r>
      <w:r>
        <w:rPr>
          <w:rFonts w:hint="eastAsia" w:ascii="宋体" w:hAnsi="宋体"/>
          <w:color w:val="auto"/>
        </w:rPr>
        <w:t>。</w:t>
      </w:r>
    </w:p>
    <w:p w14:paraId="592C40F8">
      <w:pPr>
        <w:ind w:firstLine="470" w:firstLineChars="196"/>
        <w:jc w:val="left"/>
        <w:rPr>
          <w:rFonts w:ascii="宋体" w:hAnsi="宋体"/>
          <w:color w:val="auto"/>
        </w:rPr>
      </w:pPr>
      <w:r>
        <w:rPr>
          <w:rFonts w:hint="eastAsia" w:ascii="宋体" w:hAnsi="宋体"/>
          <w:color w:val="auto"/>
        </w:rPr>
        <w:t>23.2 各类资格（资质）文件提供扫描件，专用条款另有要求的除外。</w:t>
      </w:r>
      <w:bookmarkEnd w:id="78"/>
    </w:p>
    <w:p w14:paraId="4DB431EB">
      <w:pPr>
        <w:ind w:firstLine="470" w:firstLineChars="196"/>
        <w:jc w:val="left"/>
        <w:rPr>
          <w:rFonts w:ascii="宋体" w:hAnsi="宋体"/>
          <w:color w:val="auto"/>
          <w:szCs w:val="21"/>
        </w:rPr>
      </w:pPr>
    </w:p>
    <w:p w14:paraId="5893744A">
      <w:pPr>
        <w:pStyle w:val="6"/>
        <w:numPr>
          <w:ilvl w:val="0"/>
          <w:numId w:val="6"/>
        </w:numPr>
        <w:spacing w:before="120" w:beforeLines="50" w:after="120" w:afterLines="50"/>
        <w:ind w:left="562" w:hanging="562"/>
        <w:jc w:val="left"/>
        <w:rPr>
          <w:color w:val="auto"/>
          <w:sz w:val="28"/>
          <w:szCs w:val="28"/>
        </w:rPr>
      </w:pPr>
      <w:r>
        <w:rPr>
          <w:rFonts w:hint="eastAsia"/>
          <w:color w:val="auto"/>
          <w:sz w:val="28"/>
          <w:szCs w:val="28"/>
        </w:rPr>
        <w:t>投标文件的递交</w:t>
      </w:r>
    </w:p>
    <w:p w14:paraId="4CC8EA95">
      <w:pPr>
        <w:jc w:val="left"/>
        <w:rPr>
          <w:rFonts w:ascii="黑体" w:hAnsi="宋体" w:eastAsia="黑体"/>
          <w:color w:val="auto"/>
        </w:rPr>
      </w:pPr>
      <w:bookmarkStart w:id="79" w:name="_Hlk72405459"/>
      <w:r>
        <w:rPr>
          <w:rFonts w:hint="eastAsia" w:ascii="黑体" w:hAnsi="宋体" w:eastAsia="黑体"/>
          <w:color w:val="auto"/>
        </w:rPr>
        <w:t>24．投标文件的保密</w:t>
      </w:r>
    </w:p>
    <w:p w14:paraId="29CA7CF5">
      <w:pPr>
        <w:ind w:firstLine="480" w:firstLineChars="200"/>
        <w:jc w:val="left"/>
        <w:rPr>
          <w:rFonts w:ascii="宋体" w:hAnsi="宋体" w:eastAsia="宋体" w:cs="宋体"/>
          <w:color w:val="auto"/>
        </w:rPr>
      </w:pPr>
      <w:r>
        <w:rPr>
          <w:rFonts w:hint="eastAsia" w:ascii="宋体" w:hAnsi="宋体"/>
          <w:color w:val="auto"/>
        </w:rPr>
        <w:t>24.1在投标文件制作完成后，</w:t>
      </w:r>
      <w:r>
        <w:rPr>
          <w:rFonts w:hint="eastAsia" w:ascii="宋体" w:hAnsi="宋体" w:eastAsia="宋体"/>
          <w:color w:val="auto"/>
        </w:rPr>
        <w:t>对纸质投标文件（正本和副本各</w:t>
      </w:r>
      <w:r>
        <w:rPr>
          <w:rFonts w:hint="eastAsia" w:ascii="宋体" w:hAnsi="宋体" w:eastAsia="宋体"/>
          <w:color w:val="auto"/>
          <w:lang w:val="en-US" w:eastAsia="zh-CN"/>
        </w:rPr>
        <w:t>五</w:t>
      </w:r>
      <w:r>
        <w:rPr>
          <w:rFonts w:hint="eastAsia" w:ascii="宋体" w:hAnsi="宋体" w:eastAsia="宋体"/>
          <w:color w:val="auto"/>
        </w:rPr>
        <w:t>份）进行密封，封面要求标注清楚项目名称、投标单位，并加盖公章。</w:t>
      </w:r>
    </w:p>
    <w:p w14:paraId="6B63AB51">
      <w:pPr>
        <w:jc w:val="left"/>
        <w:rPr>
          <w:color w:val="auto"/>
        </w:rPr>
      </w:pPr>
    </w:p>
    <w:p w14:paraId="767A7FF4">
      <w:pPr>
        <w:jc w:val="left"/>
        <w:rPr>
          <w:rFonts w:ascii="宋体" w:hAnsi="宋体"/>
          <w:b/>
          <w:color w:val="auto"/>
        </w:rPr>
      </w:pPr>
      <w:r>
        <w:rPr>
          <w:rFonts w:hint="eastAsia" w:ascii="宋体" w:hAnsi="宋体"/>
          <w:b/>
          <w:color w:val="auto"/>
        </w:rPr>
        <w:t>24.2若采购项目出现延期情况：</w:t>
      </w:r>
    </w:p>
    <w:p w14:paraId="13127CFF">
      <w:pPr>
        <w:ind w:firstLine="482" w:firstLineChars="200"/>
        <w:jc w:val="left"/>
        <w:rPr>
          <w:rFonts w:ascii="黑体" w:hAnsi="宋体" w:eastAsia="黑体"/>
          <w:b/>
          <w:color w:val="auto"/>
        </w:rPr>
      </w:pPr>
    </w:p>
    <w:p w14:paraId="5813085C">
      <w:pPr>
        <w:jc w:val="left"/>
        <w:rPr>
          <w:rFonts w:ascii="黑体" w:hAnsi="宋体" w:eastAsia="黑体"/>
          <w:color w:val="auto"/>
        </w:rPr>
      </w:pPr>
      <w:r>
        <w:rPr>
          <w:rFonts w:hint="eastAsia" w:ascii="黑体" w:hAnsi="宋体" w:eastAsia="黑体"/>
          <w:color w:val="auto"/>
        </w:rPr>
        <w:t>25．上传投标文件及投标截止日期</w:t>
      </w:r>
    </w:p>
    <w:bookmarkEnd w:id="79"/>
    <w:p w14:paraId="5F10E269">
      <w:pPr>
        <w:ind w:firstLine="470" w:firstLineChars="196"/>
        <w:jc w:val="left"/>
        <w:rPr>
          <w:rFonts w:ascii="宋体" w:hAnsi="宋体"/>
          <w:color w:val="auto"/>
        </w:rPr>
      </w:pPr>
      <w:r>
        <w:rPr>
          <w:rFonts w:hint="eastAsia" w:ascii="宋体" w:hAnsi="宋体"/>
          <w:color w:val="auto"/>
        </w:rPr>
        <w:t>25</w:t>
      </w:r>
      <w:r>
        <w:rPr>
          <w:rFonts w:ascii="宋体" w:hAnsi="宋体"/>
          <w:color w:val="auto"/>
        </w:rPr>
        <w:t>.</w:t>
      </w:r>
      <w:r>
        <w:rPr>
          <w:rFonts w:hint="eastAsia" w:ascii="宋体" w:hAnsi="宋体"/>
          <w:color w:val="auto"/>
        </w:rPr>
        <w:t>1请在投标截止时间之前携带</w:t>
      </w:r>
      <w:r>
        <w:rPr>
          <w:rFonts w:hint="eastAsia" w:ascii="宋体" w:hAnsi="宋体" w:eastAsia="宋体"/>
          <w:color w:val="auto"/>
        </w:rPr>
        <w:t>密封的</w:t>
      </w:r>
      <w:r>
        <w:rPr>
          <w:rFonts w:hint="eastAsia" w:ascii="宋体" w:hAnsi="宋体"/>
          <w:color w:val="auto"/>
        </w:rPr>
        <w:t>投标文件送达至</w:t>
      </w:r>
      <w:r>
        <w:rPr>
          <w:rFonts w:hint="eastAsia" w:ascii="宋体" w:hAnsi="宋体"/>
          <w:b/>
          <w:bCs/>
          <w:color w:val="auto"/>
          <w:szCs w:val="21"/>
        </w:rPr>
        <w:t>深圳</w:t>
      </w:r>
      <w:r>
        <w:rPr>
          <w:rFonts w:hint="eastAsia" w:ascii="宋体" w:hAnsi="宋体" w:eastAsia="宋体"/>
          <w:b/>
          <w:bCs/>
          <w:color w:val="auto"/>
          <w:szCs w:val="21"/>
        </w:rPr>
        <w:t>市城投全过程工程咨询有限公司</w:t>
      </w:r>
      <w:r>
        <w:rPr>
          <w:rFonts w:hint="eastAsia" w:ascii="宋体" w:hAnsi="宋体"/>
          <w:b/>
          <w:bCs/>
          <w:color w:val="auto"/>
          <w:szCs w:val="21"/>
        </w:rPr>
        <w:t>（地址：深圳市</w:t>
      </w:r>
      <w:r>
        <w:rPr>
          <w:rFonts w:hint="eastAsia" w:ascii="宋体" w:hAnsi="宋体" w:eastAsia="宋体"/>
          <w:b/>
          <w:bCs/>
          <w:color w:val="auto"/>
          <w:szCs w:val="21"/>
        </w:rPr>
        <w:t>盐田区沙头角街道建工大厦14楼</w:t>
      </w:r>
      <w:r>
        <w:rPr>
          <w:rFonts w:hint="eastAsia" w:ascii="宋体" w:hAnsi="宋体"/>
          <w:b/>
          <w:bCs/>
          <w:color w:val="auto"/>
          <w:szCs w:val="21"/>
        </w:rPr>
        <w:t>），联系方式：</w:t>
      </w:r>
      <w:r>
        <w:rPr>
          <w:rFonts w:hint="eastAsia" w:ascii="宋体" w:hAnsi="宋体" w:eastAsia="宋体"/>
          <w:b/>
          <w:bCs/>
          <w:color w:val="auto"/>
          <w:szCs w:val="21"/>
        </w:rPr>
        <w:t>0755-25559696</w:t>
      </w:r>
      <w:r>
        <w:rPr>
          <w:rFonts w:hint="eastAsia" w:ascii="宋体" w:hAnsi="宋体"/>
          <w:b/>
          <w:bCs/>
          <w:color w:val="auto"/>
          <w:szCs w:val="21"/>
        </w:rPr>
        <w:t>。</w:t>
      </w:r>
    </w:p>
    <w:p w14:paraId="7339E70A">
      <w:pPr>
        <w:ind w:firstLine="470" w:firstLineChars="196"/>
        <w:jc w:val="left"/>
        <w:rPr>
          <w:rFonts w:ascii="宋体" w:hAnsi="宋体"/>
          <w:color w:val="auto"/>
        </w:rPr>
      </w:pPr>
      <w:r>
        <w:rPr>
          <w:rFonts w:hint="eastAsia" w:ascii="宋体" w:hAnsi="宋体"/>
          <w:color w:val="auto"/>
        </w:rPr>
        <w:t>25</w:t>
      </w:r>
      <w:r>
        <w:rPr>
          <w:rFonts w:ascii="宋体" w:hAnsi="宋体"/>
          <w:color w:val="auto"/>
        </w:rPr>
        <w:t>.</w:t>
      </w:r>
      <w:r>
        <w:rPr>
          <w:rFonts w:hint="eastAsia" w:ascii="宋体" w:hAnsi="宋体"/>
          <w:color w:val="auto"/>
        </w:rPr>
        <w:t>3投标截止时间以后</w:t>
      </w:r>
      <w:r>
        <w:rPr>
          <w:rFonts w:hint="eastAsia" w:ascii="宋体" w:hAnsi="宋体" w:eastAsia="宋体"/>
          <w:color w:val="auto"/>
        </w:rPr>
        <w:t>不接收投标文件</w:t>
      </w:r>
      <w:r>
        <w:rPr>
          <w:rFonts w:hint="eastAsia" w:ascii="宋体" w:hAnsi="宋体"/>
          <w:color w:val="auto"/>
        </w:rPr>
        <w:t>。</w:t>
      </w:r>
    </w:p>
    <w:p w14:paraId="608823F0">
      <w:pPr>
        <w:jc w:val="left"/>
        <w:rPr>
          <w:rFonts w:ascii="黑体" w:hAnsi="宋体" w:eastAsia="黑体"/>
          <w:color w:val="auto"/>
        </w:rPr>
      </w:pPr>
      <w:r>
        <w:rPr>
          <w:rFonts w:hint="eastAsia" w:ascii="黑体" w:hAnsi="宋体" w:eastAsia="黑体"/>
          <w:color w:val="auto"/>
        </w:rPr>
        <w:t>26. 样品、现场演示、方案讲解</w:t>
      </w:r>
    </w:p>
    <w:p w14:paraId="7D7F90E0">
      <w:pPr>
        <w:ind w:firstLine="470" w:firstLineChars="196"/>
        <w:jc w:val="left"/>
        <w:rPr>
          <w:rFonts w:ascii="宋体" w:hAnsi="宋体"/>
          <w:color w:val="auto"/>
          <w:szCs w:val="21"/>
        </w:rPr>
      </w:pPr>
      <w:r>
        <w:rPr>
          <w:rFonts w:hint="eastAsia" w:ascii="宋体" w:hAnsi="宋体"/>
          <w:color w:val="auto"/>
          <w:szCs w:val="21"/>
        </w:rPr>
        <w:t>26.1 样品、现场演示、方案讲解等事项在招标文件专用条款中进行规定。</w:t>
      </w:r>
    </w:p>
    <w:p w14:paraId="362C5234">
      <w:pPr>
        <w:jc w:val="left"/>
        <w:rPr>
          <w:rFonts w:ascii="黑体" w:hAnsi="宋体" w:eastAsia="黑体"/>
          <w:color w:val="auto"/>
        </w:rPr>
      </w:pPr>
      <w:bookmarkStart w:id="80" w:name="_Hlk72428346"/>
      <w:r>
        <w:rPr>
          <w:rFonts w:ascii="黑体" w:hAnsi="宋体" w:eastAsia="黑体"/>
          <w:color w:val="auto"/>
        </w:rPr>
        <w:t>2</w:t>
      </w:r>
      <w:r>
        <w:rPr>
          <w:rFonts w:hint="eastAsia" w:ascii="黑体" w:hAnsi="宋体" w:eastAsia="黑体"/>
          <w:color w:val="auto"/>
        </w:rPr>
        <w:t>7．</w:t>
      </w:r>
      <w:r>
        <w:rPr>
          <w:rFonts w:ascii="黑体" w:hAnsi="宋体" w:eastAsia="黑体"/>
          <w:color w:val="auto"/>
        </w:rPr>
        <w:t>投标文件的修改和撤销</w:t>
      </w:r>
    </w:p>
    <w:p w14:paraId="684FAE9A">
      <w:pPr>
        <w:ind w:firstLine="470" w:firstLineChars="196"/>
        <w:jc w:val="left"/>
        <w:rPr>
          <w:rFonts w:ascii="宋体" w:hAnsi="宋体"/>
          <w:color w:val="auto"/>
        </w:rPr>
      </w:pPr>
      <w:r>
        <w:rPr>
          <w:rFonts w:ascii="宋体" w:hAnsi="宋体"/>
          <w:color w:val="auto"/>
        </w:rPr>
        <w:t>2</w:t>
      </w:r>
      <w:r>
        <w:rPr>
          <w:rFonts w:hint="eastAsia" w:ascii="宋体" w:hAnsi="宋体"/>
          <w:color w:val="auto"/>
        </w:rPr>
        <w:t>7</w:t>
      </w:r>
      <w:r>
        <w:rPr>
          <w:rFonts w:ascii="宋体" w:hAnsi="宋体"/>
          <w:color w:val="auto"/>
        </w:rPr>
        <w:t>.</w:t>
      </w:r>
      <w:r>
        <w:rPr>
          <w:rFonts w:hint="eastAsia" w:ascii="宋体" w:hAnsi="宋体"/>
          <w:color w:val="auto"/>
        </w:rPr>
        <w:t>1</w:t>
      </w:r>
      <w:r>
        <w:rPr>
          <w:rFonts w:ascii="宋体" w:hAnsi="宋体"/>
          <w:color w:val="auto"/>
        </w:rPr>
        <w:t>投标方在提交投标文件后可对其投标文件进行修改</w:t>
      </w:r>
      <w:r>
        <w:rPr>
          <w:rFonts w:hint="eastAsia" w:ascii="宋体" w:hAnsi="宋体"/>
          <w:color w:val="auto"/>
        </w:rPr>
        <w:t>并重新上传投标文件</w:t>
      </w:r>
      <w:r>
        <w:rPr>
          <w:rFonts w:ascii="宋体" w:hAnsi="宋体"/>
          <w:color w:val="auto"/>
        </w:rPr>
        <w:t>或</w:t>
      </w:r>
      <w:r>
        <w:rPr>
          <w:rFonts w:hint="eastAsia" w:ascii="宋体" w:hAnsi="宋体"/>
          <w:color w:val="auto"/>
        </w:rPr>
        <w:t>在网上进行</w:t>
      </w:r>
      <w:r>
        <w:rPr>
          <w:rFonts w:ascii="宋体" w:hAnsi="宋体"/>
          <w:color w:val="auto"/>
        </w:rPr>
        <w:t>撤销</w:t>
      </w:r>
      <w:r>
        <w:rPr>
          <w:rFonts w:hint="eastAsia" w:ascii="宋体" w:hAnsi="宋体"/>
          <w:color w:val="auto"/>
        </w:rPr>
        <w:t>投标的操作</w:t>
      </w:r>
      <w:r>
        <w:rPr>
          <w:rFonts w:ascii="宋体" w:hAnsi="宋体"/>
          <w:color w:val="auto"/>
        </w:rPr>
        <w:t>。</w:t>
      </w:r>
    </w:p>
    <w:p w14:paraId="0777751E">
      <w:pPr>
        <w:ind w:firstLine="470" w:firstLineChars="196"/>
        <w:jc w:val="left"/>
        <w:rPr>
          <w:rFonts w:ascii="宋体" w:hAnsi="宋体"/>
          <w:color w:val="auto"/>
        </w:rPr>
      </w:pPr>
      <w:r>
        <w:rPr>
          <w:rFonts w:ascii="宋体" w:hAnsi="宋体"/>
          <w:color w:val="auto"/>
        </w:rPr>
        <w:t>2</w:t>
      </w:r>
      <w:r>
        <w:rPr>
          <w:rFonts w:hint="eastAsia" w:ascii="宋体" w:hAnsi="宋体"/>
          <w:color w:val="auto"/>
        </w:rPr>
        <w:t>7</w:t>
      </w:r>
      <w:r>
        <w:rPr>
          <w:rFonts w:ascii="宋体" w:hAnsi="宋体"/>
          <w:color w:val="auto"/>
        </w:rPr>
        <w:t>.</w:t>
      </w:r>
      <w:r>
        <w:rPr>
          <w:rFonts w:hint="eastAsia" w:ascii="宋体" w:hAnsi="宋体"/>
          <w:color w:val="auto"/>
        </w:rPr>
        <w:t>2</w:t>
      </w:r>
      <w:r>
        <w:rPr>
          <w:rFonts w:ascii="宋体" w:hAnsi="宋体"/>
          <w:color w:val="auto"/>
        </w:rPr>
        <w:t>投标截止时间以后不得修改投标文件。</w:t>
      </w:r>
    </w:p>
    <w:p w14:paraId="153D7AE6">
      <w:pPr>
        <w:ind w:firstLine="470" w:firstLineChars="196"/>
        <w:jc w:val="left"/>
        <w:rPr>
          <w:rFonts w:ascii="宋体" w:hAnsi="宋体"/>
          <w:color w:val="auto"/>
        </w:rPr>
      </w:pPr>
      <w:r>
        <w:rPr>
          <w:rFonts w:ascii="宋体" w:hAnsi="宋体"/>
          <w:color w:val="auto"/>
        </w:rPr>
        <w:t>2</w:t>
      </w:r>
      <w:r>
        <w:rPr>
          <w:rFonts w:hint="eastAsia" w:ascii="宋体" w:hAnsi="宋体"/>
          <w:color w:val="auto"/>
        </w:rPr>
        <w:t>7</w:t>
      </w:r>
      <w:r>
        <w:rPr>
          <w:rFonts w:ascii="宋体" w:hAnsi="宋体"/>
          <w:color w:val="auto"/>
        </w:rPr>
        <w:t>.</w:t>
      </w:r>
      <w:r>
        <w:rPr>
          <w:rFonts w:hint="eastAsia" w:ascii="宋体" w:hAnsi="宋体"/>
          <w:color w:val="auto"/>
        </w:rPr>
        <w:t>3从投标截止期至投标人在投标文件中确定的投标有效期之间的这段时间内，投标人不得撤回其投标。</w:t>
      </w:r>
    </w:p>
    <w:p w14:paraId="6E97E6A7">
      <w:pPr>
        <w:ind w:firstLine="470" w:firstLineChars="196"/>
        <w:jc w:val="left"/>
        <w:rPr>
          <w:rFonts w:ascii="宋体" w:hAnsi="宋体"/>
          <w:color w:val="auto"/>
          <w:szCs w:val="21"/>
        </w:rPr>
      </w:pPr>
      <w:r>
        <w:rPr>
          <w:rFonts w:hint="eastAsia" w:ascii="宋体" w:hAnsi="宋体"/>
          <w:color w:val="auto"/>
          <w:szCs w:val="21"/>
        </w:rPr>
        <w:t>27.4</w:t>
      </w:r>
      <w:r>
        <w:rPr>
          <w:rFonts w:hint="eastAsia" w:ascii="宋体" w:hAnsi="宋体" w:eastAsia="宋体"/>
          <w:color w:val="auto"/>
          <w:szCs w:val="21"/>
        </w:rPr>
        <w:t>招标代理</w:t>
      </w:r>
      <w:r>
        <w:rPr>
          <w:rFonts w:hint="eastAsia" w:ascii="宋体" w:hAnsi="宋体"/>
          <w:color w:val="auto"/>
          <w:szCs w:val="21"/>
        </w:rPr>
        <w:t>机构不退还投标文件，专用条款另有规定的除外。</w:t>
      </w:r>
    </w:p>
    <w:bookmarkEnd w:id="80"/>
    <w:p w14:paraId="0CD009A5">
      <w:pPr>
        <w:pStyle w:val="6"/>
        <w:numPr>
          <w:ilvl w:val="0"/>
          <w:numId w:val="6"/>
        </w:numPr>
        <w:spacing w:before="120" w:beforeLines="50" w:after="120" w:afterLines="50"/>
        <w:ind w:left="562" w:hanging="562"/>
        <w:jc w:val="left"/>
        <w:rPr>
          <w:color w:val="auto"/>
          <w:sz w:val="28"/>
          <w:szCs w:val="28"/>
        </w:rPr>
      </w:pPr>
      <w:r>
        <w:rPr>
          <w:rFonts w:hint="eastAsia"/>
          <w:color w:val="auto"/>
          <w:sz w:val="28"/>
          <w:szCs w:val="28"/>
        </w:rPr>
        <w:t>开标</w:t>
      </w:r>
    </w:p>
    <w:p w14:paraId="1DDA9589">
      <w:pPr>
        <w:jc w:val="left"/>
        <w:rPr>
          <w:rFonts w:ascii="黑体" w:hAnsi="宋体" w:eastAsia="黑体"/>
          <w:color w:val="auto"/>
        </w:rPr>
      </w:pPr>
      <w:r>
        <w:rPr>
          <w:rFonts w:hint="eastAsia" w:ascii="黑体" w:hAnsi="宋体" w:eastAsia="黑体"/>
          <w:color w:val="auto"/>
        </w:rPr>
        <w:t>28．开标</w:t>
      </w:r>
    </w:p>
    <w:p w14:paraId="4F162CCA">
      <w:pPr>
        <w:ind w:firstLine="480" w:firstLineChars="200"/>
        <w:jc w:val="left"/>
        <w:rPr>
          <w:rFonts w:ascii="宋体" w:hAnsi="宋体" w:eastAsia="宋体"/>
          <w:color w:val="auto"/>
        </w:rPr>
      </w:pPr>
      <w:r>
        <w:rPr>
          <w:rFonts w:ascii="宋体" w:hAnsi="宋体"/>
          <w:color w:val="auto"/>
          <w:szCs w:val="21"/>
        </w:rPr>
        <w:t>2</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1</w:t>
      </w:r>
      <w:r>
        <w:rPr>
          <w:rFonts w:hint="eastAsia" w:ascii="宋体" w:hAnsi="宋体"/>
          <w:color w:val="auto"/>
        </w:rPr>
        <w:t>投标人须在开标当日的开标时间</w:t>
      </w:r>
      <w:r>
        <w:rPr>
          <w:rFonts w:hint="eastAsia" w:ascii="宋体" w:hAnsi="宋体" w:eastAsia="宋体"/>
          <w:color w:val="auto"/>
        </w:rPr>
        <w:t>现场公开打开各投标单位标书，并现场公布各投标单位报价等基本信息。</w:t>
      </w:r>
    </w:p>
    <w:p w14:paraId="6CDE1FCE">
      <w:pPr>
        <w:ind w:firstLine="360" w:firstLineChars="150"/>
        <w:jc w:val="left"/>
        <w:rPr>
          <w:rFonts w:ascii="宋体" w:hAnsi="宋体"/>
          <w:color w:val="auto"/>
          <w:szCs w:val="21"/>
        </w:rPr>
      </w:pPr>
    </w:p>
    <w:p w14:paraId="5C268C85">
      <w:pPr>
        <w:pStyle w:val="6"/>
        <w:numPr>
          <w:ilvl w:val="0"/>
          <w:numId w:val="6"/>
        </w:numPr>
        <w:spacing w:before="120" w:beforeLines="50" w:after="120" w:afterLines="50"/>
        <w:ind w:left="562" w:hanging="562"/>
        <w:jc w:val="left"/>
        <w:rPr>
          <w:color w:val="auto"/>
          <w:sz w:val="28"/>
          <w:szCs w:val="28"/>
        </w:rPr>
      </w:pPr>
      <w:r>
        <w:rPr>
          <w:rFonts w:hint="eastAsia"/>
          <w:color w:val="auto"/>
          <w:sz w:val="28"/>
          <w:szCs w:val="28"/>
        </w:rPr>
        <w:t>评审要求</w:t>
      </w:r>
    </w:p>
    <w:p w14:paraId="489ADE38">
      <w:pPr>
        <w:jc w:val="left"/>
        <w:rPr>
          <w:rFonts w:ascii="黑体" w:hAnsi="宋体" w:eastAsia="黑体"/>
          <w:color w:val="auto"/>
        </w:rPr>
      </w:pPr>
      <w:r>
        <w:rPr>
          <w:rFonts w:hint="eastAsia" w:ascii="黑体" w:hAnsi="宋体" w:eastAsia="黑体"/>
          <w:color w:val="auto"/>
        </w:rPr>
        <w:t>29．评审委员会组成</w:t>
      </w:r>
    </w:p>
    <w:p w14:paraId="39ED2A70">
      <w:pPr>
        <w:ind w:firstLine="470" w:firstLineChars="196"/>
        <w:jc w:val="left"/>
        <w:rPr>
          <w:rFonts w:ascii="宋体" w:hAnsi="宋体"/>
          <w:color w:val="auto"/>
        </w:rPr>
      </w:pPr>
      <w:r>
        <w:rPr>
          <w:rFonts w:hint="eastAsia" w:ascii="宋体" w:hAnsi="宋体"/>
          <w:color w:val="auto"/>
        </w:rPr>
        <w:t>29.1开标结束后召开评审会议，</w:t>
      </w:r>
      <w:r>
        <w:rPr>
          <w:rFonts w:hint="eastAsia" w:ascii="宋体" w:hAnsi="宋体"/>
          <w:color w:val="auto"/>
          <w:szCs w:val="21"/>
        </w:rPr>
        <w:t>评审委员会</w:t>
      </w:r>
      <w:r>
        <w:rPr>
          <w:rFonts w:hint="eastAsia" w:ascii="宋体" w:hAnsi="宋体"/>
          <w:color w:val="auto"/>
        </w:rPr>
        <w:t>由</w:t>
      </w:r>
      <w:r>
        <w:rPr>
          <w:rFonts w:hint="eastAsia" w:ascii="宋体" w:hAnsi="宋体" w:eastAsia="宋体"/>
          <w:color w:val="auto"/>
        </w:rPr>
        <w:t>招标代理</w:t>
      </w:r>
      <w:r>
        <w:rPr>
          <w:rFonts w:hint="eastAsia" w:ascii="宋体" w:hAnsi="宋体"/>
          <w:color w:val="auto"/>
        </w:rPr>
        <w:t>机构依法组建，负责评审活动。</w:t>
      </w:r>
    </w:p>
    <w:p w14:paraId="74E102A7">
      <w:pPr>
        <w:ind w:firstLine="470" w:firstLineChars="196"/>
        <w:jc w:val="left"/>
        <w:rPr>
          <w:rFonts w:ascii="宋体" w:hAnsi="宋体"/>
          <w:color w:val="auto"/>
        </w:rPr>
      </w:pPr>
      <w:bookmarkStart w:id="81" w:name="_Hlk72436580"/>
      <w:r>
        <w:rPr>
          <w:rFonts w:hint="eastAsia" w:ascii="宋体" w:hAnsi="宋体"/>
          <w:color w:val="auto"/>
        </w:rPr>
        <w:t>评审委员会由采购人代表和评审专家组成，成员人数应当为5人</w:t>
      </w:r>
      <w:r>
        <w:rPr>
          <w:rFonts w:hint="eastAsia" w:ascii="宋体" w:hAnsi="宋体" w:eastAsia="宋体"/>
          <w:color w:val="auto"/>
        </w:rPr>
        <w:t>及</w:t>
      </w:r>
      <w:r>
        <w:rPr>
          <w:rFonts w:hint="eastAsia" w:ascii="宋体" w:hAnsi="宋体"/>
          <w:color w:val="auto"/>
        </w:rPr>
        <w:t>以上单数（部分条件下为7人以上单数），其中评审专家不得少于成员总数的三分之二。</w:t>
      </w:r>
      <w:bookmarkEnd w:id="81"/>
      <w:r>
        <w:rPr>
          <w:rFonts w:hint="eastAsia" w:ascii="宋体" w:hAnsi="宋体"/>
          <w:color w:val="auto"/>
        </w:rPr>
        <w:t>评定</w:t>
      </w:r>
      <w:r>
        <w:rPr>
          <w:rFonts w:hint="eastAsia"/>
          <w:color w:val="auto"/>
        </w:rPr>
        <w:t>分离项目</w:t>
      </w:r>
      <w:r>
        <w:rPr>
          <w:color w:val="auto"/>
        </w:rPr>
        <w:t>评审专家</w:t>
      </w:r>
      <w:r>
        <w:rPr>
          <w:rFonts w:hint="eastAsia"/>
          <w:color w:val="auto"/>
        </w:rPr>
        <w:t>均</w:t>
      </w:r>
      <w:r>
        <w:rPr>
          <w:color w:val="auto"/>
        </w:rPr>
        <w:t>由</w:t>
      </w:r>
      <w:r>
        <w:rPr>
          <w:rFonts w:hint="eastAsia"/>
          <w:color w:val="auto"/>
        </w:rPr>
        <w:t>评审专家组成。</w:t>
      </w:r>
      <w:r>
        <w:rPr>
          <w:rFonts w:hint="eastAsia" w:ascii="宋体" w:hAnsi="宋体"/>
          <w:color w:val="auto"/>
          <w:szCs w:val="21"/>
        </w:rPr>
        <w:t>评审专家一般是</w:t>
      </w:r>
      <w:r>
        <w:rPr>
          <w:rFonts w:hint="eastAsia" w:ascii="宋体" w:hAnsi="宋体"/>
          <w:color w:val="auto"/>
        </w:rPr>
        <w:t>从深圳市政府采购评审专家库中随机抽取。</w:t>
      </w:r>
    </w:p>
    <w:p w14:paraId="06F9540A">
      <w:pPr>
        <w:ind w:firstLine="470" w:firstLineChars="196"/>
        <w:jc w:val="left"/>
        <w:rPr>
          <w:rFonts w:ascii="宋体" w:hAnsi="宋体"/>
          <w:color w:val="auto"/>
        </w:rPr>
      </w:pPr>
      <w:r>
        <w:rPr>
          <w:rFonts w:hint="eastAsia" w:ascii="宋体" w:hAnsi="宋体"/>
          <w:color w:val="auto"/>
        </w:rPr>
        <w:t>29.2评审定标应当遵循公平、公正、科学、择优的原则。</w:t>
      </w:r>
    </w:p>
    <w:p w14:paraId="3FA82AD7">
      <w:pPr>
        <w:ind w:firstLine="470" w:firstLineChars="196"/>
        <w:jc w:val="left"/>
        <w:rPr>
          <w:rFonts w:ascii="宋体" w:hAnsi="宋体"/>
          <w:color w:val="auto"/>
        </w:rPr>
      </w:pPr>
      <w:r>
        <w:rPr>
          <w:rFonts w:hint="eastAsia" w:ascii="宋体" w:hAnsi="宋体"/>
          <w:color w:val="auto"/>
        </w:rPr>
        <w:t>29.3评审活动依法进行，任何单位和个人不得非法干预评标过程和结果。</w:t>
      </w:r>
    </w:p>
    <w:p w14:paraId="6A2C7937">
      <w:pPr>
        <w:ind w:firstLine="470" w:firstLineChars="196"/>
        <w:jc w:val="left"/>
        <w:rPr>
          <w:rFonts w:ascii="宋体" w:hAnsi="宋体"/>
          <w:color w:val="auto"/>
        </w:rPr>
      </w:pPr>
      <w:r>
        <w:rPr>
          <w:rFonts w:hint="eastAsia" w:ascii="宋体" w:hAnsi="宋体"/>
          <w:color w:val="auto"/>
        </w:rPr>
        <w:t>29.4评审过程中不允许违背评标程序或采用招标文件未载明的评标方法或评标因素进行评标。</w:t>
      </w:r>
    </w:p>
    <w:p w14:paraId="7F378254">
      <w:pPr>
        <w:ind w:firstLine="470" w:firstLineChars="196"/>
        <w:jc w:val="left"/>
        <w:rPr>
          <w:rFonts w:ascii="宋体" w:hAnsi="宋体"/>
          <w:bCs/>
          <w:color w:val="auto"/>
        </w:rPr>
      </w:pPr>
      <w:r>
        <w:rPr>
          <w:rFonts w:hint="eastAsia" w:ascii="宋体" w:hAnsi="宋体"/>
          <w:bCs/>
          <w:color w:val="auto"/>
        </w:rPr>
        <w:t>29.5 开标后，直到签订合同为止，凡属于对投标文件的审查、澄清、评价和比较的有关资料以及中标候选人的推荐情况、与评审有关的其他任何情况均严格保密（</w:t>
      </w:r>
      <w:r>
        <w:rPr>
          <w:rFonts w:hint="eastAsia"/>
          <w:color w:val="auto"/>
        </w:rPr>
        <w:t>信息公开的内容除外</w:t>
      </w:r>
      <w:r>
        <w:rPr>
          <w:rFonts w:hint="eastAsia" w:ascii="宋体" w:hAnsi="宋体"/>
          <w:bCs/>
          <w:color w:val="auto"/>
        </w:rPr>
        <w:t>）。</w:t>
      </w:r>
    </w:p>
    <w:p w14:paraId="36B83B54">
      <w:pPr>
        <w:jc w:val="left"/>
        <w:rPr>
          <w:rFonts w:ascii="黑体" w:hAnsi="宋体" w:eastAsia="黑体"/>
          <w:color w:val="auto"/>
        </w:rPr>
      </w:pPr>
      <w:r>
        <w:rPr>
          <w:rFonts w:hint="eastAsia" w:ascii="黑体" w:hAnsi="宋体" w:eastAsia="黑体"/>
          <w:color w:val="auto"/>
        </w:rPr>
        <w:t>30．向评审委员会提供的资料</w:t>
      </w:r>
    </w:p>
    <w:p w14:paraId="6004931E">
      <w:pPr>
        <w:ind w:firstLine="470" w:firstLineChars="196"/>
        <w:jc w:val="left"/>
        <w:rPr>
          <w:rFonts w:ascii="宋体" w:hAnsi="宋体"/>
          <w:color w:val="auto"/>
        </w:rPr>
      </w:pPr>
      <w:r>
        <w:rPr>
          <w:rFonts w:hint="eastAsia" w:ascii="宋体" w:hAnsi="宋体"/>
          <w:color w:val="auto"/>
        </w:rPr>
        <w:t>30.1公开发布的招标文件，包括图纸、服务清单、答疑文件等；</w:t>
      </w:r>
    </w:p>
    <w:p w14:paraId="208DA349">
      <w:pPr>
        <w:ind w:firstLine="470" w:firstLineChars="196"/>
        <w:jc w:val="left"/>
        <w:rPr>
          <w:rFonts w:ascii="宋体" w:hAnsi="宋体"/>
          <w:color w:val="auto"/>
        </w:rPr>
      </w:pPr>
      <w:r>
        <w:rPr>
          <w:rFonts w:hint="eastAsia" w:ascii="宋体" w:hAnsi="宋体"/>
          <w:color w:val="auto"/>
        </w:rPr>
        <w:t>30.2其他评标必须的资料。</w:t>
      </w:r>
    </w:p>
    <w:p w14:paraId="509F10BF">
      <w:pPr>
        <w:ind w:firstLine="470" w:firstLineChars="196"/>
        <w:jc w:val="left"/>
        <w:rPr>
          <w:rFonts w:ascii="宋体" w:hAnsi="宋体"/>
          <w:color w:val="auto"/>
        </w:rPr>
      </w:pPr>
      <w:r>
        <w:rPr>
          <w:rFonts w:hint="eastAsia" w:ascii="宋体" w:hAnsi="宋体"/>
          <w:color w:val="auto"/>
        </w:rPr>
        <w:t>30.3</w:t>
      </w:r>
      <w:r>
        <w:rPr>
          <w:rFonts w:hint="eastAsia" w:ascii="宋体" w:hAnsi="宋体"/>
          <w:color w:val="auto"/>
          <w:szCs w:val="21"/>
        </w:rPr>
        <w:t>评审委员会</w:t>
      </w:r>
      <w:r>
        <w:rPr>
          <w:rFonts w:hint="eastAsia" w:ascii="宋体" w:hAnsi="宋体"/>
          <w:color w:val="auto"/>
        </w:rPr>
        <w:t>应当认真研究招标文件，至少应了解熟悉以下内容：</w:t>
      </w:r>
    </w:p>
    <w:p w14:paraId="6AA453EC">
      <w:pPr>
        <w:ind w:firstLine="470" w:firstLineChars="196"/>
        <w:jc w:val="left"/>
        <w:rPr>
          <w:rFonts w:ascii="宋体" w:hAnsi="宋体"/>
          <w:color w:val="auto"/>
        </w:rPr>
      </w:pPr>
      <w:r>
        <w:rPr>
          <w:rFonts w:hint="eastAsia" w:ascii="宋体" w:hAnsi="宋体"/>
          <w:color w:val="auto"/>
        </w:rPr>
        <w:t>（1）招标的目的；</w:t>
      </w:r>
    </w:p>
    <w:p w14:paraId="0BF3374C">
      <w:pPr>
        <w:ind w:firstLine="470" w:firstLineChars="196"/>
        <w:jc w:val="left"/>
        <w:rPr>
          <w:rFonts w:ascii="宋体" w:hAnsi="宋体"/>
          <w:color w:val="auto"/>
        </w:rPr>
      </w:pPr>
      <w:r>
        <w:rPr>
          <w:rFonts w:hint="eastAsia" w:ascii="宋体" w:hAnsi="宋体"/>
          <w:color w:val="auto"/>
        </w:rPr>
        <w:t>（2）招标项目需求的范围和性质；</w:t>
      </w:r>
    </w:p>
    <w:p w14:paraId="6ECC484D">
      <w:pPr>
        <w:ind w:firstLine="470" w:firstLineChars="196"/>
        <w:jc w:val="left"/>
        <w:rPr>
          <w:rFonts w:ascii="宋体" w:hAnsi="宋体"/>
          <w:color w:val="auto"/>
        </w:rPr>
      </w:pPr>
      <w:r>
        <w:rPr>
          <w:rFonts w:hint="eastAsia" w:ascii="宋体" w:hAnsi="宋体"/>
          <w:color w:val="auto"/>
        </w:rPr>
        <w:t>（3）招标文件规定的投标人的资格、财政预算限额、商务条款；</w:t>
      </w:r>
    </w:p>
    <w:p w14:paraId="07D91A5D">
      <w:pPr>
        <w:ind w:firstLine="470" w:firstLineChars="196"/>
        <w:jc w:val="left"/>
        <w:rPr>
          <w:rFonts w:ascii="宋体" w:hAnsi="宋体"/>
          <w:color w:val="auto"/>
        </w:rPr>
      </w:pPr>
      <w:r>
        <w:rPr>
          <w:rFonts w:hint="eastAsia" w:ascii="宋体" w:hAnsi="宋体"/>
          <w:color w:val="auto"/>
        </w:rPr>
        <w:t>（4）招标文件规定的评标程序、评标方法和评标因素；</w:t>
      </w:r>
    </w:p>
    <w:p w14:paraId="062E7CDB">
      <w:pPr>
        <w:ind w:firstLine="470" w:firstLineChars="196"/>
        <w:jc w:val="left"/>
        <w:rPr>
          <w:rFonts w:ascii="宋体" w:hAnsi="宋体"/>
          <w:color w:val="auto"/>
        </w:rPr>
      </w:pPr>
      <w:r>
        <w:rPr>
          <w:rFonts w:hint="eastAsia" w:ascii="宋体" w:hAnsi="宋体"/>
          <w:color w:val="auto"/>
        </w:rPr>
        <w:t>（5）招标文件所列示的资格性审查表及符合性审查表。</w:t>
      </w:r>
    </w:p>
    <w:p w14:paraId="7EF2591D">
      <w:pPr>
        <w:jc w:val="left"/>
        <w:rPr>
          <w:rFonts w:ascii="黑体" w:hAnsi="宋体" w:eastAsia="黑体"/>
          <w:color w:val="auto"/>
        </w:rPr>
      </w:pPr>
      <w:r>
        <w:rPr>
          <w:rFonts w:hint="eastAsia" w:ascii="黑体" w:hAnsi="宋体" w:eastAsia="黑体"/>
          <w:color w:val="auto"/>
        </w:rPr>
        <w:t>31．独立评审</w:t>
      </w:r>
    </w:p>
    <w:p w14:paraId="69B6B8D3">
      <w:pPr>
        <w:ind w:firstLine="470" w:firstLineChars="196"/>
        <w:jc w:val="left"/>
        <w:rPr>
          <w:rFonts w:ascii="宋体" w:hAnsi="宋体"/>
          <w:bCs/>
          <w:color w:val="auto"/>
        </w:rPr>
      </w:pPr>
      <w:r>
        <w:rPr>
          <w:rFonts w:hint="eastAsia" w:ascii="宋体" w:hAnsi="宋体"/>
          <w:bCs/>
          <w:color w:val="auto"/>
        </w:rPr>
        <w:t>3</w:t>
      </w:r>
      <w:r>
        <w:rPr>
          <w:rFonts w:ascii="宋体" w:hAnsi="宋体"/>
          <w:bCs/>
          <w:color w:val="auto"/>
        </w:rPr>
        <w:t>1</w:t>
      </w:r>
      <w:r>
        <w:rPr>
          <w:rFonts w:hint="eastAsia" w:ascii="宋体" w:hAnsi="宋体"/>
          <w:bCs/>
          <w:color w:val="auto"/>
        </w:rPr>
        <w:t>.1</w:t>
      </w:r>
      <w:r>
        <w:rPr>
          <w:rFonts w:hint="eastAsia" w:ascii="宋体" w:hAnsi="宋体"/>
          <w:color w:val="auto"/>
          <w:szCs w:val="21"/>
        </w:rPr>
        <w:t>评审委员会</w:t>
      </w:r>
      <w:r>
        <w:rPr>
          <w:rFonts w:hint="eastAsia" w:ascii="宋体" w:hAnsi="宋体"/>
          <w:bCs/>
          <w:color w:val="auto"/>
        </w:rPr>
        <w:t>成员的评标活动应当独立进行，并应遵循投标文件初审、澄清有关问题、比较与评价、确定中标供应商、编写评审报告的工作程序。</w:t>
      </w:r>
    </w:p>
    <w:p w14:paraId="4E731161">
      <w:pPr>
        <w:ind w:firstLine="470" w:firstLineChars="196"/>
        <w:jc w:val="left"/>
        <w:rPr>
          <w:rFonts w:ascii="宋体" w:hAnsi="宋体"/>
          <w:bCs/>
          <w:color w:val="auto"/>
          <w:szCs w:val="21"/>
        </w:rPr>
      </w:pPr>
    </w:p>
    <w:p w14:paraId="79807E67">
      <w:pPr>
        <w:pStyle w:val="6"/>
        <w:numPr>
          <w:ilvl w:val="0"/>
          <w:numId w:val="6"/>
        </w:numPr>
        <w:spacing w:before="120" w:beforeLines="50" w:after="120" w:afterLines="50"/>
        <w:ind w:left="562" w:hanging="562"/>
        <w:jc w:val="left"/>
        <w:rPr>
          <w:color w:val="auto"/>
          <w:sz w:val="28"/>
          <w:szCs w:val="28"/>
        </w:rPr>
      </w:pPr>
      <w:r>
        <w:rPr>
          <w:rFonts w:hint="eastAsia"/>
          <w:color w:val="auto"/>
          <w:sz w:val="28"/>
          <w:szCs w:val="28"/>
        </w:rPr>
        <w:t>评审程序及评审方法</w:t>
      </w:r>
    </w:p>
    <w:p w14:paraId="4C55BC40">
      <w:pPr>
        <w:jc w:val="left"/>
        <w:rPr>
          <w:rFonts w:ascii="黑体" w:hAnsi="宋体" w:eastAsia="黑体"/>
          <w:color w:val="auto"/>
        </w:rPr>
      </w:pPr>
      <w:r>
        <w:rPr>
          <w:rFonts w:hint="eastAsia" w:ascii="黑体" w:hAnsi="宋体" w:eastAsia="黑体"/>
          <w:color w:val="auto"/>
        </w:rPr>
        <w:t>32．投标文件初审</w:t>
      </w:r>
    </w:p>
    <w:p w14:paraId="0AC1388A">
      <w:pPr>
        <w:ind w:firstLine="470" w:firstLineChars="196"/>
        <w:jc w:val="left"/>
        <w:rPr>
          <w:rFonts w:ascii="宋体" w:hAnsi="宋体"/>
          <w:color w:val="auto"/>
        </w:rPr>
      </w:pPr>
      <w:r>
        <w:rPr>
          <w:rFonts w:hint="eastAsia" w:ascii="宋体" w:hAnsi="宋体"/>
          <w:color w:val="auto"/>
        </w:rPr>
        <w:t>32.1投标文件初审包括资格性审查和符合性审查。</w:t>
      </w:r>
    </w:p>
    <w:p w14:paraId="61140F13">
      <w:pPr>
        <w:ind w:firstLine="470" w:firstLineChars="196"/>
        <w:jc w:val="left"/>
        <w:rPr>
          <w:rFonts w:ascii="宋体" w:hAnsi="宋体"/>
          <w:color w:val="auto"/>
        </w:rPr>
      </w:pPr>
      <w:r>
        <w:rPr>
          <w:rFonts w:hint="eastAsia" w:ascii="宋体" w:hAnsi="宋体"/>
          <w:color w:val="auto"/>
        </w:rPr>
        <w:t>资格性审查：依据法律法规和招标文件的规定，对投标文件中的资格证明等进行审查，以确定投标供应商是否具备投标资格。</w:t>
      </w:r>
    </w:p>
    <w:p w14:paraId="034E4549">
      <w:pPr>
        <w:ind w:firstLine="470" w:firstLineChars="196"/>
        <w:jc w:val="left"/>
        <w:rPr>
          <w:rFonts w:ascii="宋体" w:hAnsi="宋体"/>
          <w:color w:val="auto"/>
        </w:rPr>
      </w:pPr>
      <w:r>
        <w:rPr>
          <w:rFonts w:hint="eastAsia" w:ascii="宋体" w:hAnsi="宋体"/>
          <w:color w:val="auto"/>
        </w:rPr>
        <w:t>符合性审查：依据招标文件的规定，对投标文件的有效性、完整性和对招标文件的响应程度进行审查，以确定是否满足符合性审查的要求。</w:t>
      </w:r>
    </w:p>
    <w:p w14:paraId="05CF0961">
      <w:pPr>
        <w:ind w:firstLine="470" w:firstLineChars="196"/>
        <w:jc w:val="left"/>
        <w:rPr>
          <w:rFonts w:ascii="宋体" w:hAnsi="宋体"/>
          <w:color w:val="auto"/>
        </w:rPr>
      </w:pPr>
      <w:r>
        <w:rPr>
          <w:rFonts w:hint="eastAsia" w:ascii="宋体" w:hAnsi="宋体"/>
          <w:color w:val="auto"/>
        </w:rPr>
        <w:t>32.2 投标文件初审内容请详见《资格性审查表》和《符合性审查表》部分。投标人若有一条审查不通过则按投标无效处理。</w:t>
      </w:r>
    </w:p>
    <w:p w14:paraId="73741CC2">
      <w:pPr>
        <w:ind w:firstLine="470" w:firstLineChars="196"/>
        <w:jc w:val="left"/>
        <w:rPr>
          <w:rFonts w:ascii="宋体" w:hAnsi="宋体"/>
          <w:bCs/>
          <w:color w:val="auto"/>
        </w:rPr>
      </w:pPr>
      <w:r>
        <w:rPr>
          <w:rFonts w:hint="eastAsia" w:ascii="宋体" w:hAnsi="宋体"/>
          <w:bCs/>
          <w:color w:val="auto"/>
        </w:rPr>
        <w:t>32.3 投标文件初审中关于供应商家数的计算:</w:t>
      </w:r>
    </w:p>
    <w:p w14:paraId="519D0F20">
      <w:pPr>
        <w:ind w:firstLine="470" w:firstLineChars="196"/>
        <w:jc w:val="left"/>
        <w:rPr>
          <w:rFonts w:ascii="宋体" w:hAnsi="宋体"/>
          <w:bCs/>
          <w:color w:val="auto"/>
        </w:rPr>
      </w:pPr>
      <w:r>
        <w:rPr>
          <w:rFonts w:hint="eastAsia" w:ascii="宋体" w:hAnsi="宋体"/>
          <w:bCs/>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color w:val="auto"/>
          <w:szCs w:val="21"/>
        </w:rPr>
        <w:t>评审委员会</w:t>
      </w:r>
      <w:r>
        <w:rPr>
          <w:rFonts w:hint="eastAsia" w:ascii="宋体" w:hAnsi="宋体"/>
          <w:bCs/>
          <w:color w:val="auto"/>
        </w:rPr>
        <w:t>按照招标文件规定的方式确定一个投标人获得中标人推荐资格，招标文件未规定的采取随机抽取方式确定，其他同品牌投标人不作为中标候选人。</w:t>
      </w:r>
    </w:p>
    <w:p w14:paraId="742ECEE8">
      <w:pPr>
        <w:ind w:firstLine="470" w:firstLineChars="196"/>
        <w:jc w:val="left"/>
        <w:rPr>
          <w:rFonts w:ascii="宋体" w:hAnsi="宋体"/>
          <w:color w:val="auto"/>
        </w:rPr>
      </w:pPr>
      <w:r>
        <w:rPr>
          <w:rFonts w:hint="eastAsia" w:ascii="宋体" w:hAnsi="宋体"/>
          <w:color w:val="auto"/>
        </w:rPr>
        <w:t>32.4投标人投标文件作无效处理的情形，具体包括但不限于以下：</w:t>
      </w:r>
    </w:p>
    <w:p w14:paraId="3CA64B84">
      <w:pPr>
        <w:ind w:firstLine="470" w:firstLineChars="196"/>
        <w:jc w:val="left"/>
        <w:rPr>
          <w:color w:val="auto"/>
        </w:rPr>
      </w:pPr>
      <w:r>
        <w:rPr>
          <w:rFonts w:hint="eastAsia" w:ascii="宋体" w:hAnsi="宋体"/>
          <w:color w:val="auto"/>
        </w:rPr>
        <w:t>32.4.1</w:t>
      </w:r>
      <w:r>
        <w:rPr>
          <w:rFonts w:hint="eastAsia"/>
          <w:color w:val="auto"/>
        </w:rPr>
        <w:t>不同投标人的投标文件由同一单位或者同一个人编制，或者由同一个人分阶段参与编制；</w:t>
      </w:r>
    </w:p>
    <w:p w14:paraId="06C804F6">
      <w:pPr>
        <w:ind w:firstLine="470" w:firstLineChars="196"/>
        <w:jc w:val="left"/>
        <w:rPr>
          <w:color w:val="auto"/>
        </w:rPr>
      </w:pPr>
      <w:r>
        <w:rPr>
          <w:rFonts w:ascii="宋体" w:hAnsi="宋体"/>
          <w:color w:val="auto"/>
        </w:rPr>
        <w:t>32.4.</w:t>
      </w:r>
      <w:r>
        <w:rPr>
          <w:rFonts w:hint="eastAsia" w:ascii="宋体" w:hAnsi="宋体"/>
          <w:color w:val="auto"/>
        </w:rPr>
        <w:t>2</w:t>
      </w:r>
      <w:r>
        <w:rPr>
          <w:rFonts w:hint="eastAsia"/>
          <w:color w:val="auto"/>
        </w:rPr>
        <w:t>不同投标人委托同一单位或者个人办理投标事宜；</w:t>
      </w:r>
    </w:p>
    <w:p w14:paraId="159541E2">
      <w:pPr>
        <w:ind w:firstLine="470" w:firstLineChars="196"/>
        <w:jc w:val="left"/>
        <w:rPr>
          <w:rFonts w:ascii="宋体" w:hAnsi="宋体"/>
          <w:color w:val="auto"/>
        </w:rPr>
      </w:pPr>
      <w:r>
        <w:rPr>
          <w:rFonts w:hint="eastAsia" w:ascii="宋体" w:hAnsi="宋体"/>
          <w:color w:val="auto"/>
        </w:rPr>
        <w:t>32.4.3不同投标人的投标文件载明的项目管理成员或者联系人员为同一人；</w:t>
      </w:r>
    </w:p>
    <w:p w14:paraId="29DEB1EC">
      <w:pPr>
        <w:ind w:firstLine="470" w:firstLineChars="196"/>
        <w:jc w:val="left"/>
        <w:rPr>
          <w:rFonts w:ascii="宋体" w:hAnsi="宋体"/>
          <w:color w:val="auto"/>
        </w:rPr>
      </w:pPr>
      <w:r>
        <w:rPr>
          <w:rFonts w:hint="eastAsia" w:ascii="宋体" w:hAnsi="宋体"/>
          <w:color w:val="auto"/>
        </w:rPr>
        <w:t>32.4.4不同投标人的投标文件异常一致或者投标报价呈规律性差异；</w:t>
      </w:r>
    </w:p>
    <w:p w14:paraId="0BE96995">
      <w:pPr>
        <w:ind w:firstLine="470" w:firstLineChars="196"/>
        <w:jc w:val="left"/>
        <w:rPr>
          <w:rFonts w:ascii="宋体" w:hAnsi="宋体"/>
          <w:color w:val="auto"/>
        </w:rPr>
      </w:pPr>
      <w:r>
        <w:rPr>
          <w:rFonts w:hint="eastAsia" w:ascii="宋体" w:hAnsi="宋体"/>
          <w:color w:val="auto"/>
        </w:rPr>
        <w:t>32.4.5</w:t>
      </w:r>
      <w:r>
        <w:rPr>
          <w:rFonts w:ascii="宋体" w:hAnsi="宋体"/>
          <w:color w:val="auto"/>
        </w:rPr>
        <w:t>不同投标供应商的投标文件或部分投标文件相互混装</w:t>
      </w:r>
      <w:r>
        <w:rPr>
          <w:rFonts w:hint="eastAsia" w:ascii="宋体" w:hAnsi="宋体"/>
          <w:color w:val="auto"/>
        </w:rPr>
        <w:t>；</w:t>
      </w:r>
    </w:p>
    <w:p w14:paraId="46A17BE5">
      <w:pPr>
        <w:ind w:firstLine="470" w:firstLineChars="196"/>
        <w:jc w:val="left"/>
        <w:rPr>
          <w:rFonts w:ascii="宋体" w:hAnsi="宋体"/>
          <w:color w:val="auto"/>
        </w:rPr>
      </w:pPr>
      <w:r>
        <w:rPr>
          <w:rFonts w:hint="eastAsia" w:ascii="宋体" w:hAnsi="宋体"/>
          <w:color w:val="auto"/>
        </w:rPr>
        <w:t>32.4.6投标供应商之间相互约定给予未中标的供应商利益补偿；</w:t>
      </w:r>
    </w:p>
    <w:p w14:paraId="101AE00A">
      <w:pPr>
        <w:ind w:firstLine="470" w:firstLineChars="196"/>
        <w:jc w:val="left"/>
        <w:rPr>
          <w:rFonts w:ascii="宋体" w:hAnsi="宋体"/>
          <w:color w:val="auto"/>
        </w:rPr>
      </w:pPr>
      <w:r>
        <w:rPr>
          <w:rFonts w:hint="eastAsia" w:ascii="宋体" w:hAnsi="宋体"/>
          <w:color w:val="auto"/>
        </w:rPr>
        <w:t>32.4.7不同投标供应商的法定代表人、主要经营负责人、项目投标授权代表人、项目负责人、主要技术人员为同一人、属同一单位或者同一单位缴纳社会保险；</w:t>
      </w:r>
    </w:p>
    <w:p w14:paraId="0C683C95">
      <w:pPr>
        <w:ind w:firstLine="470" w:firstLineChars="196"/>
        <w:jc w:val="left"/>
        <w:rPr>
          <w:rFonts w:ascii="宋体" w:hAnsi="宋体"/>
          <w:color w:val="auto"/>
        </w:rPr>
      </w:pPr>
      <w:r>
        <w:rPr>
          <w:rFonts w:hint="eastAsia" w:ascii="宋体" w:hAnsi="宋体"/>
          <w:color w:val="auto"/>
        </w:rPr>
        <w:t>32.4.8不同投标供应商的投标文件内容存在非正常一致；</w:t>
      </w:r>
    </w:p>
    <w:p w14:paraId="0F9A1D46">
      <w:pPr>
        <w:ind w:firstLine="470" w:firstLineChars="196"/>
        <w:jc w:val="left"/>
        <w:rPr>
          <w:rFonts w:ascii="宋体" w:hAnsi="宋体"/>
          <w:color w:val="auto"/>
        </w:rPr>
      </w:pPr>
      <w:r>
        <w:rPr>
          <w:rFonts w:hint="eastAsia" w:ascii="宋体" w:hAnsi="宋体"/>
          <w:color w:val="auto"/>
        </w:rPr>
        <w:t>32.4.9在同一单位工作人员为两家以上（含两家）供应商进行同一项投标活动；</w:t>
      </w:r>
    </w:p>
    <w:p w14:paraId="0ABCFAD9">
      <w:pPr>
        <w:ind w:firstLine="470" w:firstLineChars="196"/>
        <w:jc w:val="left"/>
        <w:rPr>
          <w:rFonts w:ascii="宋体" w:hAnsi="宋体"/>
          <w:color w:val="auto"/>
        </w:rPr>
      </w:pPr>
      <w:r>
        <w:rPr>
          <w:rFonts w:hint="eastAsia" w:ascii="宋体" w:hAnsi="宋体"/>
          <w:color w:val="auto"/>
        </w:rPr>
        <w:t>32.4.10主管部门依照法律、法规认定的其他情形。</w:t>
      </w:r>
    </w:p>
    <w:p w14:paraId="15D07494">
      <w:pPr>
        <w:ind w:firstLine="470" w:firstLineChars="196"/>
        <w:jc w:val="left"/>
        <w:rPr>
          <w:rFonts w:ascii="宋体" w:hAnsi="宋体"/>
          <w:color w:val="auto"/>
        </w:rPr>
      </w:pPr>
      <w:r>
        <w:rPr>
          <w:rFonts w:hint="eastAsia" w:ascii="宋体" w:hAnsi="宋体"/>
          <w:color w:val="auto"/>
        </w:rPr>
        <w:t>32.5对不属于《资格性审查表》和《符合性审查表》所列的其他情形，除专用条款另有规定和32.4条款所列情形外，不得作为投标无效的理由。</w:t>
      </w:r>
    </w:p>
    <w:p w14:paraId="64295A51">
      <w:pPr>
        <w:jc w:val="left"/>
        <w:rPr>
          <w:rFonts w:ascii="黑体" w:hAnsi="宋体" w:eastAsia="黑体"/>
          <w:color w:val="auto"/>
        </w:rPr>
      </w:pPr>
      <w:r>
        <w:rPr>
          <w:rFonts w:hint="eastAsia" w:ascii="黑体" w:hAnsi="宋体" w:eastAsia="黑体"/>
          <w:color w:val="auto"/>
        </w:rPr>
        <w:t>33．澄清有关问题</w:t>
      </w:r>
    </w:p>
    <w:p w14:paraId="7DB1D733">
      <w:pPr>
        <w:ind w:firstLine="470" w:firstLineChars="196"/>
        <w:jc w:val="left"/>
        <w:rPr>
          <w:rFonts w:ascii="宋体" w:hAnsi="宋体"/>
          <w:color w:val="auto"/>
        </w:rPr>
      </w:pPr>
      <w:bookmarkStart w:id="82" w:name="_Hlk71407321"/>
      <w:r>
        <w:rPr>
          <w:rFonts w:hint="eastAsia" w:ascii="宋体" w:hAnsi="宋体"/>
          <w:color w:val="auto"/>
        </w:rPr>
        <w:t>3</w:t>
      </w:r>
      <w:r>
        <w:rPr>
          <w:rFonts w:ascii="宋体" w:hAnsi="宋体"/>
          <w:color w:val="auto"/>
        </w:rPr>
        <w:t>3.1</w:t>
      </w:r>
      <w:r>
        <w:rPr>
          <w:rFonts w:hint="eastAsia" w:ascii="宋体" w:hAnsi="宋体"/>
          <w:color w:val="auto"/>
        </w:rPr>
        <w:t>对招标文件中描述有歧义或前后不一致的地方（不含</w:t>
      </w:r>
      <w:r>
        <w:rPr>
          <w:color w:val="auto"/>
          <w:szCs w:val="21"/>
        </w:rPr>
        <w:t>招标文件存在歧义、重大缺陷导致评</w:t>
      </w:r>
      <w:r>
        <w:rPr>
          <w:rFonts w:hint="eastAsia"/>
          <w:color w:val="auto"/>
          <w:szCs w:val="21"/>
        </w:rPr>
        <w:t>审</w:t>
      </w:r>
      <w:r>
        <w:rPr>
          <w:color w:val="auto"/>
          <w:szCs w:val="21"/>
        </w:rPr>
        <w:t>工作无法进行</w:t>
      </w:r>
      <w:r>
        <w:rPr>
          <w:rFonts w:hint="eastAsia"/>
          <w:color w:val="auto"/>
          <w:szCs w:val="21"/>
        </w:rPr>
        <w:t>的情况）</w:t>
      </w:r>
      <w:r>
        <w:rPr>
          <w:rFonts w:hint="eastAsia" w:ascii="宋体" w:hAnsi="宋体"/>
          <w:color w:val="auto"/>
        </w:rPr>
        <w:t>，评审委员会有权进行评判，但对同一条款的评判应适用于每个投标人。</w:t>
      </w:r>
      <w:bookmarkEnd w:id="82"/>
    </w:p>
    <w:p w14:paraId="1A3BBBF6">
      <w:pPr>
        <w:ind w:firstLine="470" w:firstLineChars="196"/>
        <w:jc w:val="left"/>
        <w:rPr>
          <w:rFonts w:ascii="宋体" w:hAnsi="宋体"/>
          <w:color w:val="auto"/>
        </w:rPr>
      </w:pPr>
      <w:r>
        <w:rPr>
          <w:rFonts w:hint="eastAsia" w:ascii="宋体" w:hAnsi="宋体"/>
          <w:color w:val="auto"/>
        </w:rPr>
        <w:t>3</w:t>
      </w:r>
      <w:r>
        <w:rPr>
          <w:rFonts w:ascii="宋体" w:hAnsi="宋体"/>
          <w:color w:val="auto"/>
        </w:rPr>
        <w:t>3.2</w:t>
      </w:r>
      <w:r>
        <w:rPr>
          <w:color w:val="auto"/>
          <w:szCs w:val="21"/>
        </w:rPr>
        <w:t>评</w:t>
      </w:r>
      <w:r>
        <w:rPr>
          <w:rFonts w:hint="eastAsia"/>
          <w:color w:val="auto"/>
          <w:szCs w:val="21"/>
        </w:rPr>
        <w:t>审</w:t>
      </w:r>
      <w:r>
        <w:rPr>
          <w:color w:val="auto"/>
          <w:szCs w:val="21"/>
        </w:rPr>
        <w:t>委员会发现招标文件存在歧义、重大缺陷导致评</w:t>
      </w:r>
      <w:r>
        <w:rPr>
          <w:rFonts w:hint="eastAsia"/>
          <w:color w:val="auto"/>
          <w:szCs w:val="21"/>
        </w:rPr>
        <w:t>审</w:t>
      </w:r>
      <w:r>
        <w:rPr>
          <w:color w:val="auto"/>
          <w:szCs w:val="21"/>
        </w:rPr>
        <w:t>工作无法进行，或者招标文件内容违反国家有关强制性规定的，应当停止评</w:t>
      </w:r>
      <w:r>
        <w:rPr>
          <w:rFonts w:hint="eastAsia"/>
          <w:color w:val="auto"/>
          <w:szCs w:val="21"/>
        </w:rPr>
        <w:t>审</w:t>
      </w:r>
      <w:r>
        <w:rPr>
          <w:color w:val="auto"/>
          <w:szCs w:val="21"/>
        </w:rPr>
        <w:t>工作，与</w:t>
      </w:r>
      <w:r>
        <w:rPr>
          <w:rFonts w:hint="eastAsia" w:eastAsia="宋体"/>
          <w:color w:val="auto"/>
          <w:szCs w:val="21"/>
        </w:rPr>
        <w:t>招标代理</w:t>
      </w:r>
      <w:r>
        <w:rPr>
          <w:rFonts w:hint="eastAsia"/>
          <w:color w:val="auto"/>
          <w:szCs w:val="21"/>
        </w:rPr>
        <w:t>机构</w:t>
      </w:r>
      <w:r>
        <w:rPr>
          <w:color w:val="auto"/>
          <w:szCs w:val="21"/>
        </w:rPr>
        <w:t>沟通并作书面记录。</w:t>
      </w:r>
      <w:r>
        <w:rPr>
          <w:rFonts w:hint="eastAsia"/>
          <w:color w:val="auto"/>
          <w:szCs w:val="21"/>
        </w:rPr>
        <w:t>经</w:t>
      </w:r>
      <w:r>
        <w:rPr>
          <w:color w:val="auto"/>
          <w:szCs w:val="21"/>
        </w:rPr>
        <w:t>确认后，</w:t>
      </w:r>
      <w:r>
        <w:rPr>
          <w:rFonts w:hint="eastAsia"/>
          <w:color w:val="auto"/>
          <w:szCs w:val="21"/>
        </w:rPr>
        <w:t>项目</w:t>
      </w:r>
      <w:r>
        <w:rPr>
          <w:color w:val="auto"/>
          <w:szCs w:val="21"/>
        </w:rPr>
        <w:t>应当修改招标文件，重新组织采购活动。</w:t>
      </w:r>
    </w:p>
    <w:p w14:paraId="6801E3AD">
      <w:pPr>
        <w:ind w:firstLine="470" w:firstLineChars="196"/>
        <w:jc w:val="left"/>
        <w:rPr>
          <w:rFonts w:ascii="宋体" w:hAnsi="宋体"/>
          <w:color w:val="auto"/>
        </w:rPr>
      </w:pPr>
      <w:r>
        <w:rPr>
          <w:rFonts w:ascii="宋体" w:hAnsi="宋体"/>
          <w:color w:val="auto"/>
        </w:rPr>
        <w:t>33.3</w:t>
      </w:r>
      <w:r>
        <w:rPr>
          <w:rFonts w:hint="eastAsia" w:ascii="宋体" w:hAnsi="宋体"/>
          <w:color w:val="auto"/>
        </w:rPr>
        <w:t>对于投标文件中含义不明确、同类问题表述不一致或者有明显文字和计算错误的内容，评审委员会应当以书面形式要求投标人作出必要的澄清、说明或者补正。</w:t>
      </w:r>
    </w:p>
    <w:p w14:paraId="6AF1C269">
      <w:pPr>
        <w:ind w:firstLine="470" w:firstLineChars="196"/>
        <w:jc w:val="left"/>
        <w:rPr>
          <w:rFonts w:ascii="宋体" w:hAnsi="宋体"/>
          <w:color w:val="auto"/>
        </w:rPr>
      </w:pPr>
      <w:r>
        <w:rPr>
          <w:rFonts w:hint="eastAsia" w:ascii="宋体" w:hAnsi="宋体"/>
          <w:color w:val="auto"/>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0D6526C">
      <w:pPr>
        <w:ind w:firstLine="470" w:firstLineChars="196"/>
        <w:jc w:val="left"/>
        <w:rPr>
          <w:rFonts w:ascii="宋体" w:hAnsi="宋体"/>
          <w:color w:val="auto"/>
          <w:szCs w:val="21"/>
        </w:rPr>
      </w:pPr>
      <w:r>
        <w:rPr>
          <w:rFonts w:hint="eastAsia" w:ascii="宋体" w:hAnsi="宋体"/>
          <w:color w:val="auto"/>
          <w:szCs w:val="21"/>
        </w:rPr>
        <w:t>根据本通用条款第34条，凡属于评审委员会在评审中发现的算术错误进行核实的修改不在此列。</w:t>
      </w:r>
    </w:p>
    <w:p w14:paraId="4790F0ED">
      <w:pPr>
        <w:jc w:val="left"/>
        <w:rPr>
          <w:rFonts w:ascii="黑体" w:hAnsi="宋体" w:eastAsia="黑体"/>
          <w:color w:val="auto"/>
        </w:rPr>
      </w:pPr>
      <w:bookmarkStart w:id="83" w:name="_Toc100052400"/>
      <w:bookmarkStart w:id="84" w:name="_Toc73521669"/>
      <w:bookmarkStart w:id="85" w:name="_Toc73518151"/>
      <w:bookmarkStart w:id="86" w:name="_Toc73521581"/>
      <w:bookmarkStart w:id="87" w:name="_Toc73517673"/>
      <w:r>
        <w:rPr>
          <w:rFonts w:hint="eastAsia" w:ascii="黑体" w:hAnsi="宋体" w:eastAsia="黑体"/>
          <w:color w:val="auto"/>
        </w:rPr>
        <w:t>34．错误的修正</w:t>
      </w:r>
      <w:bookmarkEnd w:id="83"/>
      <w:bookmarkEnd w:id="84"/>
      <w:bookmarkEnd w:id="85"/>
      <w:bookmarkEnd w:id="86"/>
      <w:bookmarkEnd w:id="87"/>
    </w:p>
    <w:p w14:paraId="79CC20F1">
      <w:pPr>
        <w:ind w:firstLine="470" w:firstLineChars="196"/>
        <w:jc w:val="left"/>
        <w:rPr>
          <w:rFonts w:ascii="宋体" w:hAnsi="宋体"/>
          <w:color w:val="auto"/>
          <w:szCs w:val="21"/>
        </w:rPr>
      </w:pPr>
      <w:r>
        <w:rPr>
          <w:rFonts w:hint="eastAsia" w:ascii="宋体" w:hAnsi="宋体"/>
          <w:color w:val="auto"/>
          <w:szCs w:val="21"/>
        </w:rPr>
        <w:t>投标文件报价出现前后不一致的，除专用条款另有规定外，按照下列规定修正：</w:t>
      </w:r>
    </w:p>
    <w:p w14:paraId="518BDE91">
      <w:pPr>
        <w:ind w:firstLine="470" w:firstLineChars="196"/>
        <w:jc w:val="left"/>
        <w:rPr>
          <w:rFonts w:ascii="宋体" w:hAnsi="宋体"/>
          <w:color w:val="auto"/>
          <w:szCs w:val="21"/>
        </w:rPr>
      </w:pPr>
      <w:r>
        <w:rPr>
          <w:rFonts w:hint="eastAsia" w:ascii="宋体" w:hAnsi="宋体"/>
          <w:color w:val="auto"/>
          <w:szCs w:val="21"/>
        </w:rPr>
        <w:t>34.1投标文件中开标一览表投标报价内容与投标文件中投标报价相应内容不一致的，以开标一览表为准；</w:t>
      </w:r>
    </w:p>
    <w:p w14:paraId="562E0D7A">
      <w:pPr>
        <w:ind w:firstLine="470" w:firstLineChars="196"/>
        <w:jc w:val="left"/>
        <w:rPr>
          <w:rFonts w:ascii="宋体" w:hAnsi="宋体"/>
          <w:color w:val="auto"/>
          <w:szCs w:val="21"/>
        </w:rPr>
      </w:pPr>
      <w:r>
        <w:rPr>
          <w:rFonts w:hint="eastAsia" w:ascii="宋体" w:hAnsi="宋体"/>
          <w:color w:val="auto"/>
          <w:szCs w:val="21"/>
        </w:rPr>
        <w:t>34.2大写金额和小写金额不一致的，以大写金额为准；</w:t>
      </w:r>
    </w:p>
    <w:p w14:paraId="6C68E773">
      <w:pPr>
        <w:ind w:firstLine="470" w:firstLineChars="196"/>
        <w:jc w:val="left"/>
        <w:rPr>
          <w:rFonts w:ascii="宋体" w:hAnsi="宋体"/>
          <w:color w:val="auto"/>
          <w:szCs w:val="21"/>
        </w:rPr>
      </w:pPr>
      <w:r>
        <w:rPr>
          <w:rFonts w:hint="eastAsia" w:ascii="宋体" w:hAnsi="宋体"/>
          <w:color w:val="auto"/>
          <w:szCs w:val="21"/>
        </w:rPr>
        <w:t>34.3单价金额小数点或者百分比有明显错位，以开标一览表的总价为准，并修改单价；</w:t>
      </w:r>
    </w:p>
    <w:p w14:paraId="2A26E851">
      <w:pPr>
        <w:ind w:firstLine="470" w:firstLineChars="196"/>
        <w:jc w:val="left"/>
        <w:rPr>
          <w:rFonts w:ascii="宋体" w:hAnsi="宋体"/>
          <w:color w:val="auto"/>
          <w:szCs w:val="21"/>
        </w:rPr>
      </w:pPr>
      <w:r>
        <w:rPr>
          <w:rFonts w:hint="eastAsia" w:ascii="宋体" w:hAnsi="宋体"/>
          <w:color w:val="auto"/>
          <w:szCs w:val="21"/>
        </w:rPr>
        <w:t>34.4总价金额与按单价汇总金额不一致的，以单价金额计算结果为准。</w:t>
      </w:r>
    </w:p>
    <w:p w14:paraId="26ECC0D1">
      <w:pPr>
        <w:ind w:firstLine="470" w:firstLineChars="196"/>
        <w:jc w:val="left"/>
        <w:rPr>
          <w:rFonts w:ascii="宋体" w:hAnsi="宋体"/>
          <w:color w:val="auto"/>
          <w:szCs w:val="21"/>
        </w:rPr>
      </w:pPr>
      <w:r>
        <w:rPr>
          <w:rFonts w:hint="eastAsia" w:ascii="宋体" w:hAnsi="宋体"/>
          <w:color w:val="auto"/>
          <w:szCs w:val="21"/>
        </w:rPr>
        <w:t>34.5同时出现两种以上不一致的，按照前款规定的顺序修正。修正后的报价按照本通用条款33条的规定，经投标人确认后产生约束力，投标人不确认的，其投标无效。</w:t>
      </w:r>
    </w:p>
    <w:p w14:paraId="0B4E6D50">
      <w:pPr>
        <w:jc w:val="left"/>
        <w:rPr>
          <w:rFonts w:ascii="黑体" w:hAnsi="宋体" w:eastAsia="黑体"/>
          <w:color w:val="auto"/>
        </w:rPr>
      </w:pPr>
      <w:r>
        <w:rPr>
          <w:rFonts w:hint="eastAsia" w:ascii="黑体" w:hAnsi="宋体" w:eastAsia="黑体"/>
          <w:color w:val="auto"/>
        </w:rPr>
        <w:t>35．投标文件的比较与评价</w:t>
      </w:r>
    </w:p>
    <w:p w14:paraId="4AE18B0B">
      <w:pPr>
        <w:ind w:firstLine="470" w:firstLineChars="196"/>
        <w:jc w:val="left"/>
        <w:rPr>
          <w:rFonts w:ascii="宋体" w:hAnsi="宋体"/>
          <w:color w:val="auto"/>
          <w:szCs w:val="21"/>
        </w:rPr>
      </w:pPr>
      <w:r>
        <w:rPr>
          <w:rFonts w:hint="eastAsia" w:ascii="宋体" w:hAnsi="宋体"/>
          <w:color w:val="auto"/>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4533CA">
      <w:pPr>
        <w:ind w:firstLine="471" w:firstLineChars="196"/>
        <w:jc w:val="left"/>
        <w:rPr>
          <w:rFonts w:ascii="宋体" w:hAnsi="宋体"/>
          <w:b/>
          <w:color w:val="auto"/>
          <w:szCs w:val="21"/>
        </w:rPr>
      </w:pPr>
      <w:r>
        <w:rPr>
          <w:rFonts w:hint="eastAsia" w:ascii="宋体" w:hAnsi="宋体"/>
          <w:b/>
          <w:color w:val="auto"/>
          <w:szCs w:val="21"/>
        </w:rPr>
        <w:t>评审委员会成员对需要共同认定的事项存在争议的，应当按照少数服从多数的原则作出结论。持不同意见的评审委员会成员应当书面作出说明，否则视为无异议。</w:t>
      </w:r>
    </w:p>
    <w:p w14:paraId="257A1088">
      <w:pPr>
        <w:jc w:val="left"/>
        <w:rPr>
          <w:rFonts w:ascii="黑体" w:hAnsi="宋体" w:eastAsia="黑体"/>
          <w:color w:val="auto"/>
        </w:rPr>
      </w:pPr>
      <w:r>
        <w:rPr>
          <w:rFonts w:hint="eastAsia" w:ascii="黑体" w:hAnsi="宋体" w:eastAsia="黑体"/>
          <w:color w:val="auto"/>
        </w:rPr>
        <w:t>36. 实地考察或资料查验</w:t>
      </w:r>
    </w:p>
    <w:p w14:paraId="02FAAFF3">
      <w:pPr>
        <w:ind w:firstLine="470" w:firstLineChars="196"/>
        <w:jc w:val="left"/>
        <w:rPr>
          <w:rFonts w:ascii="宋体" w:hAnsi="宋体"/>
          <w:color w:val="auto"/>
          <w:szCs w:val="21"/>
        </w:rPr>
      </w:pPr>
      <w:r>
        <w:rPr>
          <w:rFonts w:hint="eastAsia" w:ascii="宋体" w:hAnsi="宋体"/>
          <w:color w:val="auto"/>
          <w:szCs w:val="21"/>
        </w:rPr>
        <w:t>36.1在评审过程中，评审委员会有权决定是否对本项目投标人进行实地考察或资料查验（原件）。投标人应随时做好接受实地考察或资料查验的准备。</w:t>
      </w:r>
    </w:p>
    <w:p w14:paraId="043FF8D5">
      <w:pPr>
        <w:jc w:val="left"/>
        <w:rPr>
          <w:rFonts w:ascii="黑体" w:hAnsi="宋体" w:eastAsia="黑体"/>
          <w:color w:val="auto"/>
        </w:rPr>
      </w:pPr>
      <w:r>
        <w:rPr>
          <w:rFonts w:hint="eastAsia" w:ascii="黑体" w:hAnsi="宋体" w:eastAsia="黑体"/>
          <w:color w:val="auto"/>
        </w:rPr>
        <w:t>37．评审方法</w:t>
      </w:r>
    </w:p>
    <w:p w14:paraId="671D2960">
      <w:pPr>
        <w:ind w:firstLine="470" w:firstLineChars="196"/>
        <w:jc w:val="left"/>
        <w:rPr>
          <w:rFonts w:ascii="ˎ̥" w:hAnsi="ˎ̥"/>
          <w:color w:val="auto"/>
        </w:rPr>
      </w:pPr>
      <w:bookmarkStart w:id="88" w:name="_Hlk72438142"/>
      <w:r>
        <w:rPr>
          <w:rFonts w:hint="eastAsia" w:ascii="宋体" w:hAnsi="宋体"/>
          <w:color w:val="auto"/>
          <w:szCs w:val="21"/>
        </w:rPr>
        <w:t>37.1</w:t>
      </w:r>
      <w:r>
        <w:rPr>
          <w:rFonts w:hint="eastAsia" w:ascii="ˎ̥" w:hAnsi="ˎ̥" w:eastAsia="宋体"/>
          <w:color w:val="auto"/>
        </w:rPr>
        <w:t>本项目采用</w:t>
      </w:r>
      <w:r>
        <w:rPr>
          <w:rFonts w:ascii="ˎ̥" w:hAnsi="ˎ̥"/>
          <w:color w:val="auto"/>
        </w:rPr>
        <w:t>综合评分法，是指</w:t>
      </w:r>
      <w:r>
        <w:rPr>
          <w:rFonts w:hint="eastAsia" w:ascii="ˎ̥" w:hAnsi="ˎ̥"/>
          <w:color w:val="auto"/>
        </w:rPr>
        <w:t>在</w:t>
      </w:r>
      <w:r>
        <w:rPr>
          <w:rFonts w:ascii="ˎ̥" w:hAnsi="ˎ̥"/>
          <w:color w:val="auto"/>
        </w:rPr>
        <w:t>满足招标文件全部实质性要求</w:t>
      </w:r>
      <w:r>
        <w:rPr>
          <w:rFonts w:hint="eastAsia" w:ascii="ˎ̥" w:hAnsi="ˎ̥"/>
          <w:color w:val="auto"/>
        </w:rPr>
        <w:t>的前提下</w:t>
      </w:r>
      <w:r>
        <w:rPr>
          <w:rFonts w:ascii="ˎ̥" w:hAnsi="ˎ̥"/>
          <w:color w:val="auto"/>
        </w:rPr>
        <w:t>，</w:t>
      </w:r>
      <w:r>
        <w:rPr>
          <w:rFonts w:hint="eastAsia" w:ascii="ˎ̥" w:hAnsi="ˎ̥"/>
          <w:color w:val="auto"/>
        </w:rPr>
        <w:t>按照招标文件中规定的各项因素进行综合评审，评审总得分排名前列的投标人，作为推荐的候选中标供应商。</w:t>
      </w:r>
      <w:bookmarkEnd w:id="88"/>
      <w:r>
        <w:rPr>
          <w:rFonts w:hint="eastAsia" w:ascii="宋体" w:hAnsi="宋体"/>
          <w:bCs/>
          <w:color w:val="auto"/>
          <w:szCs w:val="21"/>
        </w:rPr>
        <w:t xml:space="preserve">                                                                                                                                                                                                                                                                                                                                                                                                                                                                                                                                                                                                                                                                                                                                                                                                                                                                                                                                                                                                                                                                                                                                                                                                                                                                                                                                                                                                                                                                                                                                                                                                                                                                                                                                                                                                                                                                                                                                                                                                                                                                                                                                                                                                                                                                                                                                                                                                                                                                                                                                                                                                                                                                                                                                                                                                                                                                                                                                                                                                                             </w:t>
      </w:r>
    </w:p>
    <w:p w14:paraId="2ACE2FAD">
      <w:pPr>
        <w:ind w:firstLine="471" w:firstLineChars="196"/>
        <w:jc w:val="left"/>
        <w:rPr>
          <w:rFonts w:ascii="宋体" w:hAnsi="宋体"/>
          <w:b/>
          <w:bCs/>
          <w:color w:val="auto"/>
          <w:szCs w:val="21"/>
        </w:rPr>
      </w:pPr>
      <w:r>
        <w:rPr>
          <w:rFonts w:hint="eastAsia" w:ascii="宋体" w:hAnsi="宋体"/>
          <w:b/>
          <w:bCs/>
          <w:color w:val="auto"/>
          <w:szCs w:val="21"/>
        </w:rPr>
        <w:t>37.</w:t>
      </w:r>
      <w:r>
        <w:rPr>
          <w:rFonts w:hint="eastAsia" w:ascii="宋体" w:hAnsi="宋体" w:eastAsia="宋体"/>
          <w:b/>
          <w:bCs/>
          <w:color w:val="auto"/>
          <w:szCs w:val="21"/>
        </w:rPr>
        <w:t>2</w:t>
      </w:r>
      <w:r>
        <w:rPr>
          <w:rFonts w:hint="eastAsia" w:ascii="宋体" w:hAnsi="宋体"/>
          <w:b/>
          <w:bCs/>
          <w:color w:val="auto"/>
          <w:szCs w:val="21"/>
        </w:rPr>
        <w:t>重新评审的情形</w:t>
      </w:r>
    </w:p>
    <w:p w14:paraId="2F2340DF">
      <w:pPr>
        <w:ind w:firstLine="470" w:firstLineChars="196"/>
        <w:jc w:val="left"/>
        <w:rPr>
          <w:rFonts w:ascii="宋体" w:hAnsi="宋体"/>
          <w:b/>
          <w:bCs/>
          <w:color w:val="auto"/>
          <w:szCs w:val="21"/>
        </w:rPr>
      </w:pPr>
      <w:r>
        <w:rPr>
          <w:rFonts w:hint="eastAsia" w:ascii="宋体" w:hAnsi="宋体" w:cs="宋体"/>
          <w:color w:val="auto"/>
          <w:szCs w:val="21"/>
        </w:rPr>
        <w:t>评审结果汇总完成后，除下列情形外，任何人不得修改评审结果：</w:t>
      </w:r>
    </w:p>
    <w:p w14:paraId="3FA4887D">
      <w:pPr>
        <w:ind w:firstLine="470" w:firstLineChars="196"/>
        <w:jc w:val="left"/>
        <w:rPr>
          <w:rFonts w:ascii="宋体" w:hAnsi="宋体" w:cs="宋体"/>
          <w:color w:val="auto"/>
          <w:szCs w:val="21"/>
        </w:rPr>
      </w:pPr>
      <w:r>
        <w:rPr>
          <w:rFonts w:hint="eastAsia" w:ascii="宋体" w:hAnsi="宋体" w:cs="宋体"/>
          <w:color w:val="auto"/>
          <w:szCs w:val="21"/>
        </w:rPr>
        <w:t>37.</w:t>
      </w:r>
      <w:r>
        <w:rPr>
          <w:rFonts w:hint="eastAsia" w:ascii="宋体" w:hAnsi="宋体" w:eastAsia="宋体" w:cs="宋体"/>
          <w:color w:val="auto"/>
          <w:szCs w:val="21"/>
        </w:rPr>
        <w:t>2</w:t>
      </w:r>
      <w:r>
        <w:rPr>
          <w:rFonts w:hint="eastAsia" w:ascii="宋体" w:hAnsi="宋体" w:cs="宋体"/>
          <w:color w:val="auto"/>
          <w:szCs w:val="21"/>
        </w:rPr>
        <w:t>.1分值汇总计算错误的；</w:t>
      </w:r>
    </w:p>
    <w:p w14:paraId="4C5789F8">
      <w:pPr>
        <w:ind w:firstLine="470" w:firstLineChars="196"/>
        <w:jc w:val="left"/>
        <w:rPr>
          <w:rFonts w:ascii="宋体" w:hAnsi="宋体" w:cs="宋体"/>
          <w:color w:val="auto"/>
          <w:szCs w:val="21"/>
        </w:rPr>
      </w:pPr>
      <w:r>
        <w:rPr>
          <w:rFonts w:hint="eastAsia" w:ascii="宋体" w:hAnsi="宋体" w:cs="宋体"/>
          <w:color w:val="auto"/>
          <w:szCs w:val="21"/>
        </w:rPr>
        <w:t>37.</w:t>
      </w:r>
      <w:r>
        <w:rPr>
          <w:rFonts w:hint="eastAsia" w:ascii="宋体" w:hAnsi="宋体" w:eastAsia="宋体" w:cs="宋体"/>
          <w:color w:val="auto"/>
          <w:szCs w:val="21"/>
        </w:rPr>
        <w:t>2</w:t>
      </w:r>
      <w:r>
        <w:rPr>
          <w:rFonts w:hint="eastAsia" w:ascii="宋体" w:hAnsi="宋体" w:cs="宋体"/>
          <w:color w:val="auto"/>
          <w:szCs w:val="21"/>
        </w:rPr>
        <w:t>.2分项评分超出评分标准范围的；</w:t>
      </w:r>
    </w:p>
    <w:p w14:paraId="751B29F4">
      <w:pPr>
        <w:ind w:firstLine="470" w:firstLineChars="196"/>
        <w:jc w:val="left"/>
        <w:rPr>
          <w:rFonts w:ascii="宋体" w:hAnsi="宋体" w:cs="宋体"/>
          <w:color w:val="auto"/>
          <w:szCs w:val="21"/>
        </w:rPr>
      </w:pPr>
      <w:r>
        <w:rPr>
          <w:rFonts w:hint="eastAsia" w:ascii="宋体" w:hAnsi="宋体" w:cs="宋体"/>
          <w:color w:val="auto"/>
          <w:szCs w:val="21"/>
        </w:rPr>
        <w:t>37.</w:t>
      </w:r>
      <w:r>
        <w:rPr>
          <w:rFonts w:hint="eastAsia" w:ascii="宋体" w:hAnsi="宋体" w:eastAsia="宋体" w:cs="宋体"/>
          <w:color w:val="auto"/>
          <w:szCs w:val="21"/>
        </w:rPr>
        <w:t>2</w:t>
      </w:r>
      <w:r>
        <w:rPr>
          <w:rFonts w:hint="eastAsia" w:ascii="宋体" w:hAnsi="宋体" w:cs="宋体"/>
          <w:color w:val="auto"/>
          <w:szCs w:val="21"/>
        </w:rPr>
        <w:t>.3评审委员会成员对客观评审因素评分不一致的；</w:t>
      </w:r>
    </w:p>
    <w:p w14:paraId="5C634A1B">
      <w:pPr>
        <w:ind w:firstLine="470" w:firstLineChars="196"/>
        <w:jc w:val="left"/>
        <w:rPr>
          <w:rFonts w:ascii="宋体" w:hAnsi="宋体" w:cs="宋体"/>
          <w:color w:val="auto"/>
          <w:szCs w:val="21"/>
        </w:rPr>
      </w:pPr>
      <w:r>
        <w:rPr>
          <w:rFonts w:hint="eastAsia" w:ascii="宋体" w:hAnsi="宋体" w:cs="宋体"/>
          <w:color w:val="auto"/>
          <w:szCs w:val="21"/>
        </w:rPr>
        <w:t>37.</w:t>
      </w:r>
      <w:r>
        <w:rPr>
          <w:rFonts w:hint="eastAsia" w:ascii="宋体" w:hAnsi="宋体" w:eastAsia="宋体" w:cs="宋体"/>
          <w:color w:val="auto"/>
          <w:szCs w:val="21"/>
        </w:rPr>
        <w:t>2</w:t>
      </w:r>
      <w:r>
        <w:rPr>
          <w:rFonts w:hint="eastAsia" w:ascii="宋体" w:hAnsi="宋体" w:cs="宋体"/>
          <w:color w:val="auto"/>
          <w:szCs w:val="21"/>
        </w:rPr>
        <w:t>.4经评审委员会认定评分畸高、畸低的。</w:t>
      </w:r>
    </w:p>
    <w:p w14:paraId="3E95435F">
      <w:pPr>
        <w:ind w:firstLine="470" w:firstLineChars="196"/>
        <w:jc w:val="left"/>
        <w:rPr>
          <w:rFonts w:ascii="宋体" w:hAnsi="宋体" w:cs="宋体"/>
          <w:color w:val="auto"/>
          <w:szCs w:val="21"/>
        </w:rPr>
      </w:pPr>
      <w:r>
        <w:rPr>
          <w:rFonts w:hint="eastAsia" w:ascii="宋体" w:hAnsi="宋体" w:cs="宋体"/>
          <w:color w:val="auto"/>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12325B6">
      <w:pPr>
        <w:ind w:firstLine="470" w:firstLineChars="196"/>
        <w:jc w:val="left"/>
        <w:rPr>
          <w:rFonts w:ascii="宋体" w:hAnsi="宋体" w:cs="宋体"/>
          <w:color w:val="auto"/>
          <w:szCs w:val="21"/>
        </w:rPr>
      </w:pPr>
      <w:r>
        <w:rPr>
          <w:rFonts w:hint="eastAsia" w:ascii="宋体" w:hAnsi="宋体" w:cs="宋体"/>
          <w:color w:val="auto"/>
          <w:szCs w:val="21"/>
        </w:rPr>
        <w:t>投标人对本条第一款情形提出质疑的，采购人或者采购代理机构可以组织原评审委员会进行重新评审，重新评审改变评审结果的，应当书面报告本级财政部门。</w:t>
      </w:r>
    </w:p>
    <w:p w14:paraId="03070DE8">
      <w:pPr>
        <w:ind w:firstLine="471" w:firstLineChars="196"/>
        <w:jc w:val="left"/>
        <w:rPr>
          <w:rFonts w:ascii="宋体" w:hAnsi="宋体"/>
          <w:b/>
          <w:bCs/>
          <w:color w:val="auto"/>
          <w:szCs w:val="21"/>
        </w:rPr>
      </w:pPr>
      <w:r>
        <w:rPr>
          <w:rFonts w:hint="eastAsia" w:ascii="宋体" w:hAnsi="宋体"/>
          <w:b/>
          <w:bCs/>
          <w:color w:val="auto"/>
          <w:szCs w:val="21"/>
        </w:rPr>
        <w:t xml:space="preserve"> 37.4重新组建评审委员会的情形</w:t>
      </w:r>
    </w:p>
    <w:p w14:paraId="1319D00E">
      <w:pPr>
        <w:ind w:firstLine="470" w:firstLineChars="196"/>
        <w:jc w:val="left"/>
        <w:rPr>
          <w:rFonts w:ascii="宋体" w:hAnsi="宋体" w:cs="宋体"/>
          <w:color w:val="auto"/>
          <w:szCs w:val="21"/>
        </w:rPr>
      </w:pPr>
      <w:r>
        <w:rPr>
          <w:rFonts w:hint="eastAsia" w:ascii="宋体" w:hAnsi="宋体" w:cs="宋体"/>
          <w:color w:val="auto"/>
          <w:szCs w:val="21"/>
        </w:rPr>
        <w:t>评审委员会或者其成员存在下列情形导致评审结果无效的，重新组建评审委员会进行评标，并书面报告本级财政部门：</w:t>
      </w:r>
    </w:p>
    <w:p w14:paraId="2D4FBA84">
      <w:pPr>
        <w:ind w:firstLine="470" w:firstLineChars="196"/>
        <w:jc w:val="left"/>
        <w:rPr>
          <w:rFonts w:ascii="宋体" w:hAnsi="宋体" w:cs="宋体"/>
          <w:color w:val="auto"/>
          <w:szCs w:val="21"/>
        </w:rPr>
      </w:pPr>
      <w:r>
        <w:rPr>
          <w:rFonts w:hint="eastAsia" w:ascii="宋体" w:hAnsi="宋体" w:cs="宋体"/>
          <w:color w:val="auto"/>
          <w:szCs w:val="21"/>
        </w:rPr>
        <w:t>37.4.1评审委员会组成不符合《政府采购货物和服务招标投标管理办法》规定的；</w:t>
      </w:r>
    </w:p>
    <w:p w14:paraId="649D6DAB">
      <w:pPr>
        <w:ind w:firstLine="470" w:firstLineChars="196"/>
        <w:jc w:val="left"/>
        <w:rPr>
          <w:rFonts w:ascii="宋体" w:hAnsi="宋体" w:cs="宋体"/>
          <w:color w:val="auto"/>
          <w:szCs w:val="21"/>
        </w:rPr>
      </w:pPr>
      <w:r>
        <w:rPr>
          <w:rFonts w:hint="eastAsia" w:ascii="宋体" w:hAnsi="宋体" w:cs="宋体"/>
          <w:color w:val="auto"/>
          <w:szCs w:val="21"/>
        </w:rPr>
        <w:t>37.4.2有《政府采购货物和服务招标投标管理办法》第六十二条第一至五项情形的；</w:t>
      </w:r>
    </w:p>
    <w:p w14:paraId="5F28ED84">
      <w:pPr>
        <w:ind w:firstLine="470" w:firstLineChars="196"/>
        <w:jc w:val="left"/>
        <w:rPr>
          <w:rFonts w:ascii="宋体" w:hAnsi="宋体" w:cs="宋体"/>
          <w:color w:val="auto"/>
          <w:szCs w:val="21"/>
        </w:rPr>
      </w:pPr>
      <w:r>
        <w:rPr>
          <w:rFonts w:hint="eastAsia" w:ascii="宋体" w:hAnsi="宋体" w:cs="宋体"/>
          <w:color w:val="auto"/>
          <w:szCs w:val="21"/>
        </w:rPr>
        <w:t>37.4.3评审委员会及其成员独立评标受到非法干预的；</w:t>
      </w:r>
    </w:p>
    <w:p w14:paraId="00D203F1">
      <w:pPr>
        <w:ind w:firstLine="470" w:firstLineChars="196"/>
        <w:jc w:val="left"/>
        <w:rPr>
          <w:rFonts w:ascii="宋体" w:hAnsi="宋体" w:cs="宋体"/>
          <w:color w:val="auto"/>
          <w:szCs w:val="21"/>
        </w:rPr>
      </w:pPr>
      <w:r>
        <w:rPr>
          <w:rFonts w:hint="eastAsia" w:ascii="宋体" w:hAnsi="宋体" w:cs="宋体"/>
          <w:color w:val="auto"/>
          <w:szCs w:val="21"/>
        </w:rPr>
        <w:t>37.4.4有政府采购法实施条例第七十五条规定的违法行为的。</w:t>
      </w:r>
    </w:p>
    <w:p w14:paraId="4BE776FE">
      <w:pPr>
        <w:ind w:firstLine="470" w:firstLineChars="196"/>
        <w:jc w:val="left"/>
        <w:rPr>
          <w:rFonts w:ascii="宋体" w:hAnsi="宋体" w:cs="宋体"/>
          <w:color w:val="auto"/>
          <w:szCs w:val="21"/>
        </w:rPr>
      </w:pPr>
      <w:r>
        <w:rPr>
          <w:rFonts w:hint="eastAsia" w:ascii="宋体" w:hAnsi="宋体" w:cs="宋体"/>
          <w:color w:val="auto"/>
          <w:szCs w:val="21"/>
        </w:rPr>
        <w:t>有违法违规行为的原评审委员会成员不得参加重新组建的评审委员会。</w:t>
      </w:r>
    </w:p>
    <w:p w14:paraId="78FE9144">
      <w:pPr>
        <w:ind w:firstLine="470" w:firstLineChars="196"/>
        <w:jc w:val="left"/>
        <w:rPr>
          <w:rFonts w:ascii="宋体" w:hAnsi="宋体"/>
          <w:color w:val="auto"/>
          <w:szCs w:val="21"/>
        </w:rPr>
      </w:pPr>
    </w:p>
    <w:p w14:paraId="595FA6E4">
      <w:pPr>
        <w:pStyle w:val="6"/>
        <w:numPr>
          <w:ilvl w:val="0"/>
          <w:numId w:val="6"/>
        </w:numPr>
        <w:spacing w:before="120" w:beforeLines="50" w:after="120" w:afterLines="50"/>
        <w:ind w:left="562" w:hanging="562"/>
        <w:jc w:val="left"/>
        <w:rPr>
          <w:color w:val="auto"/>
          <w:sz w:val="28"/>
          <w:szCs w:val="28"/>
        </w:rPr>
      </w:pPr>
      <w:r>
        <w:rPr>
          <w:rFonts w:hint="eastAsia"/>
          <w:color w:val="auto"/>
          <w:sz w:val="28"/>
          <w:szCs w:val="28"/>
        </w:rPr>
        <w:t>定标及公示</w:t>
      </w:r>
    </w:p>
    <w:p w14:paraId="43FE90B1">
      <w:pPr>
        <w:jc w:val="left"/>
        <w:rPr>
          <w:rFonts w:ascii="黑体" w:hAnsi="宋体" w:eastAsia="黑体"/>
          <w:color w:val="auto"/>
        </w:rPr>
      </w:pPr>
      <w:r>
        <w:rPr>
          <w:rFonts w:hint="eastAsia" w:ascii="黑体" w:hAnsi="宋体" w:eastAsia="黑体"/>
          <w:color w:val="auto"/>
        </w:rPr>
        <w:t>38．定标方法</w:t>
      </w:r>
    </w:p>
    <w:p w14:paraId="6B9A405B">
      <w:pPr>
        <w:ind w:firstLine="470" w:firstLineChars="196"/>
        <w:jc w:val="left"/>
        <w:rPr>
          <w:color w:val="auto"/>
        </w:rPr>
      </w:pPr>
      <w:r>
        <w:rPr>
          <w:rFonts w:hint="eastAsia" w:ascii="宋体" w:hAnsi="宋体" w:eastAsia="宋体"/>
          <w:color w:val="auto"/>
          <w:szCs w:val="21"/>
        </w:rPr>
        <w:t>本项目</w:t>
      </w:r>
      <w:r>
        <w:rPr>
          <w:rFonts w:ascii="宋体" w:hAnsi="宋体"/>
          <w:color w:val="auto"/>
          <w:szCs w:val="21"/>
        </w:rPr>
        <w:t>采</w:t>
      </w:r>
      <w:r>
        <w:rPr>
          <w:rFonts w:ascii="ˎ̥" w:hAnsi="ˎ̥"/>
          <w:color w:val="auto"/>
        </w:rPr>
        <w:t>用综合评分法的，评标结果按评审后得分由高到低顺序排列。得分相同的，按投标报价由低到高顺序排列。</w:t>
      </w:r>
    </w:p>
    <w:p w14:paraId="21480A9D">
      <w:pPr>
        <w:ind w:firstLine="720"/>
        <w:jc w:val="left"/>
        <w:rPr>
          <w:rFonts w:ascii="ˎ̥" w:hAnsi="ˎ̥"/>
          <w:color w:val="auto"/>
        </w:rPr>
      </w:pPr>
      <w:r>
        <w:rPr>
          <w:rFonts w:hint="eastAsia" w:ascii="宋体" w:hAnsi="宋体" w:eastAsia="宋体" w:cs="宋体"/>
          <w:color w:val="auto"/>
        </w:rPr>
        <w:t>投</w:t>
      </w:r>
      <w:r>
        <w:rPr>
          <w:rFonts w:hint="eastAsia"/>
          <w:color w:val="auto"/>
        </w:rPr>
        <w:t>标文件满足招标文件全部实质性要求，且按照评审因素的量化指标评审得分最高的投标人为排名第一的中标候选人（排名第二的投标人为第一递补中标候选人、排名第三的投标人为第二递补中标候选人）。中标候选人并列的，采取随机抽取的方式确定，具体操作办法及流程由评标委员会确定。如排名第一的中标候选人被认定投标或中标无效，符合法定情形时，依法顺次替补；合格供应商不符合法定数量时，应当重新开展采购活动。</w:t>
      </w:r>
    </w:p>
    <w:p w14:paraId="7173B8D5">
      <w:pPr>
        <w:jc w:val="left"/>
        <w:rPr>
          <w:rFonts w:ascii="黑体" w:hAnsi="宋体" w:eastAsia="黑体"/>
          <w:color w:val="auto"/>
        </w:rPr>
      </w:pPr>
      <w:r>
        <w:rPr>
          <w:rFonts w:hint="eastAsia" w:ascii="黑体" w:hAnsi="宋体" w:eastAsia="黑体"/>
          <w:color w:val="auto"/>
        </w:rPr>
        <w:t>39．编写评审报告</w:t>
      </w:r>
    </w:p>
    <w:p w14:paraId="6E7C8CDF">
      <w:pPr>
        <w:ind w:firstLine="470" w:firstLineChars="196"/>
        <w:jc w:val="left"/>
        <w:rPr>
          <w:rFonts w:ascii="宋体" w:hAnsi="宋体"/>
          <w:color w:val="auto"/>
          <w:szCs w:val="21"/>
        </w:rPr>
      </w:pPr>
      <w:r>
        <w:rPr>
          <w:rFonts w:hint="eastAsia" w:ascii="宋体" w:hAnsi="宋体"/>
          <w:color w:val="auto"/>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69B6B54">
      <w:pPr>
        <w:jc w:val="left"/>
        <w:rPr>
          <w:rFonts w:ascii="黑体" w:hAnsi="宋体" w:eastAsia="黑体"/>
          <w:color w:val="auto"/>
        </w:rPr>
      </w:pPr>
      <w:r>
        <w:rPr>
          <w:rFonts w:hint="eastAsia" w:ascii="黑体" w:hAnsi="宋体" w:eastAsia="黑体"/>
          <w:color w:val="auto"/>
        </w:rPr>
        <w:t>40．中标公告</w:t>
      </w:r>
    </w:p>
    <w:p w14:paraId="398A0014">
      <w:pPr>
        <w:ind w:firstLine="470" w:firstLineChars="196"/>
        <w:jc w:val="both"/>
        <w:rPr>
          <w:rFonts w:ascii="宋体" w:hAnsi="宋体"/>
          <w:color w:val="auto"/>
          <w:szCs w:val="21"/>
        </w:rPr>
      </w:pPr>
      <w:r>
        <w:rPr>
          <w:rFonts w:hint="eastAsia" w:ascii="宋体" w:hAnsi="宋体"/>
          <w:color w:val="auto"/>
          <w:szCs w:val="21"/>
        </w:rPr>
        <w:t>40.1</w:t>
      </w:r>
      <w:bookmarkStart w:id="89" w:name="_Hlk72438709"/>
      <w:r>
        <w:rPr>
          <w:rFonts w:hint="eastAsia" w:ascii="宋体" w:hAnsi="宋体"/>
          <w:color w:val="auto"/>
          <w:szCs w:val="21"/>
        </w:rPr>
        <w:t>为体现“公开、公平、公正”的原则，评审结束后经采购人确认（确定）评审结果，</w:t>
      </w:r>
      <w:r>
        <w:rPr>
          <w:rFonts w:hint="eastAsia" w:ascii="宋体" w:hAnsi="宋体" w:eastAsia="宋体"/>
          <w:color w:val="auto"/>
          <w:szCs w:val="21"/>
        </w:rPr>
        <w:t>招标代理</w:t>
      </w:r>
      <w:r>
        <w:rPr>
          <w:rFonts w:hint="eastAsia" w:ascii="宋体" w:hAnsi="宋体"/>
          <w:color w:val="auto"/>
          <w:szCs w:val="21"/>
        </w:rPr>
        <w:t>机构将在</w:t>
      </w:r>
      <w:r>
        <w:rPr>
          <w:rFonts w:hint="eastAsia" w:ascii="宋体" w:hAnsi="宋体" w:cs="宋体"/>
          <w:b w:val="0"/>
          <w:i w:val="0"/>
          <w:caps w:val="0"/>
          <w:color w:val="auto"/>
          <w:spacing w:val="0"/>
          <w:w w:val="100"/>
          <w:sz w:val="24"/>
          <w:highlight w:val="none"/>
          <w:u w:val="none"/>
        </w:rPr>
        <w:t>深圳公共资源交易中心网</w:t>
      </w:r>
      <w:r>
        <w:rPr>
          <w:rFonts w:hint="eastAsia" w:ascii="宋体" w:hAnsi="宋体" w:cs="宋体"/>
          <w:b w:val="0"/>
          <w:i w:val="0"/>
          <w:caps w:val="0"/>
          <w:color w:val="auto"/>
          <w:spacing w:val="0"/>
          <w:w w:val="100"/>
          <w:sz w:val="24"/>
          <w:highlight w:val="none"/>
          <w:u w:val="none"/>
          <w:lang w:val="en-US" w:eastAsia="zh-CN"/>
        </w:rPr>
        <w:t>政府采购业务分公司</w:t>
      </w:r>
      <w:r>
        <w:rPr>
          <w:rFonts w:hint="eastAsia" w:ascii="宋体" w:hAnsi="宋体" w:cs="宋体"/>
          <w:b w:val="0"/>
          <w:i w:val="0"/>
          <w:caps w:val="0"/>
          <w:color w:val="auto"/>
          <w:spacing w:val="0"/>
          <w:w w:val="100"/>
          <w:sz w:val="24"/>
          <w:highlight w:val="none"/>
          <w:u w:val="none"/>
        </w:rPr>
        <w:t>（https://zfcg.szexgrp.com/jyfw/zfcg-view.html?id=zfcgg）</w:t>
      </w:r>
      <w:r>
        <w:rPr>
          <w:rFonts w:hint="eastAsia" w:ascii="宋体" w:hAnsi="宋体"/>
          <w:color w:val="auto"/>
          <w:szCs w:val="21"/>
        </w:rPr>
        <w:t>和深圳盐田政府在线（www.yantian.gov.cn）上发布中标结果公告。</w:t>
      </w:r>
      <w:bookmarkEnd w:id="89"/>
      <w:bookmarkStart w:id="90" w:name="_Hlk72438751"/>
      <w:r>
        <w:rPr>
          <w:rFonts w:hint="eastAsia" w:ascii="宋体" w:hAnsi="宋体"/>
          <w:color w:val="auto"/>
          <w:szCs w:val="21"/>
        </w:rPr>
        <w:t>供应商如对评审结果有异议，</w:t>
      </w:r>
      <w:r>
        <w:rPr>
          <w:rFonts w:ascii="宋体" w:hAnsi="宋体"/>
          <w:color w:val="auto"/>
          <w:szCs w:val="21"/>
        </w:rPr>
        <w:t>可在发布公示日期起</w:t>
      </w:r>
      <w:r>
        <w:rPr>
          <w:rFonts w:hint="eastAsia" w:ascii="宋体" w:hAnsi="宋体"/>
          <w:color w:val="auto"/>
          <w:szCs w:val="21"/>
        </w:rPr>
        <w:t>七</w:t>
      </w:r>
      <w:r>
        <w:rPr>
          <w:rFonts w:ascii="宋体" w:hAnsi="宋体"/>
          <w:color w:val="auto"/>
          <w:szCs w:val="21"/>
        </w:rPr>
        <w:t>个工作日内向</w:t>
      </w:r>
      <w:r>
        <w:rPr>
          <w:rFonts w:hint="eastAsia" w:ascii="宋体" w:hAnsi="宋体" w:eastAsia="宋体"/>
          <w:color w:val="auto"/>
          <w:szCs w:val="21"/>
        </w:rPr>
        <w:t>招标代理</w:t>
      </w:r>
      <w:r>
        <w:rPr>
          <w:rFonts w:hint="eastAsia" w:ascii="宋体" w:hAnsi="宋体"/>
          <w:color w:val="auto"/>
          <w:szCs w:val="21"/>
        </w:rPr>
        <w:t>机构</w:t>
      </w:r>
      <w:r>
        <w:rPr>
          <w:rFonts w:ascii="宋体" w:hAnsi="宋体"/>
          <w:color w:val="auto"/>
          <w:szCs w:val="21"/>
        </w:rPr>
        <w:t>提出。监督电话：0755-</w:t>
      </w:r>
      <w:r>
        <w:rPr>
          <w:rFonts w:hint="eastAsia" w:ascii="宋体" w:hAnsi="宋体" w:eastAsia="宋体"/>
          <w:color w:val="auto"/>
          <w:szCs w:val="21"/>
        </w:rPr>
        <w:t>25559696</w:t>
      </w:r>
      <w:r>
        <w:rPr>
          <w:rFonts w:ascii="宋体" w:hAnsi="宋体"/>
          <w:color w:val="auto"/>
          <w:szCs w:val="21"/>
        </w:rPr>
        <w:t>。</w:t>
      </w:r>
      <w:r>
        <w:rPr>
          <w:rFonts w:hint="eastAsia" w:ascii="宋体" w:hAnsi="宋体"/>
          <w:color w:val="auto"/>
          <w:szCs w:val="21"/>
        </w:rPr>
        <w:t>若在公示期内未提出质疑，则视为认同该评审结果。</w:t>
      </w:r>
    </w:p>
    <w:bookmarkEnd w:id="90"/>
    <w:p w14:paraId="18A9CB0C">
      <w:pPr>
        <w:ind w:firstLine="470" w:firstLineChars="196"/>
        <w:jc w:val="left"/>
        <w:rPr>
          <w:rFonts w:ascii="宋体" w:hAnsi="宋体"/>
          <w:color w:val="auto"/>
          <w:szCs w:val="21"/>
        </w:rPr>
      </w:pPr>
      <w:r>
        <w:rPr>
          <w:rFonts w:hint="eastAsia" w:ascii="宋体" w:hAnsi="宋体"/>
          <w:color w:val="auto"/>
          <w:szCs w:val="21"/>
        </w:rPr>
        <w:t>40.2质疑、投诉供应商应保证质疑、投诉内容的真实性和可靠性，并承担相应的法律责任。</w:t>
      </w:r>
    </w:p>
    <w:p w14:paraId="36414635">
      <w:pPr>
        <w:jc w:val="left"/>
        <w:rPr>
          <w:rFonts w:ascii="黑体" w:hAnsi="宋体" w:eastAsia="黑体"/>
          <w:color w:val="auto"/>
        </w:rPr>
      </w:pPr>
      <w:r>
        <w:rPr>
          <w:rFonts w:hint="eastAsia" w:ascii="黑体" w:hAnsi="宋体" w:eastAsia="黑体"/>
          <w:color w:val="auto"/>
        </w:rPr>
        <w:t>41．中标通知书</w:t>
      </w:r>
    </w:p>
    <w:p w14:paraId="03907459">
      <w:pPr>
        <w:ind w:firstLine="470" w:firstLineChars="196"/>
        <w:jc w:val="left"/>
        <w:rPr>
          <w:rFonts w:ascii="宋体" w:hAnsi="宋体"/>
          <w:color w:val="auto"/>
          <w:szCs w:val="21"/>
        </w:rPr>
      </w:pPr>
      <w:r>
        <w:rPr>
          <w:rFonts w:hint="eastAsia" w:ascii="宋体" w:hAnsi="宋体"/>
          <w:color w:val="auto"/>
          <w:szCs w:val="21"/>
        </w:rPr>
        <w:t>41</w:t>
      </w:r>
      <w:r>
        <w:rPr>
          <w:rFonts w:ascii="宋体" w:hAnsi="宋体"/>
          <w:color w:val="auto"/>
          <w:szCs w:val="21"/>
        </w:rPr>
        <w:t>.</w:t>
      </w:r>
      <w:r>
        <w:rPr>
          <w:rFonts w:hint="eastAsia" w:ascii="宋体" w:hAnsi="宋体"/>
          <w:color w:val="auto"/>
          <w:szCs w:val="21"/>
        </w:rPr>
        <w:t>1</w:t>
      </w:r>
      <w:bookmarkStart w:id="91" w:name="_Hlk72438863"/>
      <w:r>
        <w:rPr>
          <w:rFonts w:hint="eastAsia" w:ascii="宋体" w:hAnsi="宋体"/>
          <w:color w:val="auto"/>
          <w:szCs w:val="21"/>
        </w:rPr>
        <w:t>中标公告公布以后无异常的情况下,采购人</w:t>
      </w:r>
      <w:r>
        <w:rPr>
          <w:rFonts w:hint="eastAsia" w:ascii="宋体" w:hAnsi="宋体" w:eastAsia="宋体"/>
          <w:color w:val="auto"/>
          <w:szCs w:val="21"/>
        </w:rPr>
        <w:t>和招标代理机构将向中标供应商发放中标通知书</w:t>
      </w:r>
      <w:r>
        <w:rPr>
          <w:rFonts w:hint="eastAsia" w:ascii="宋体" w:hAnsi="宋体"/>
          <w:color w:val="auto"/>
          <w:szCs w:val="21"/>
        </w:rPr>
        <w:t>。</w:t>
      </w:r>
      <w:bookmarkEnd w:id="91"/>
    </w:p>
    <w:p w14:paraId="11190EB7">
      <w:pPr>
        <w:ind w:firstLine="470" w:firstLineChars="196"/>
        <w:jc w:val="left"/>
        <w:rPr>
          <w:rFonts w:ascii="宋体" w:hAnsi="宋体"/>
          <w:color w:val="auto"/>
          <w:szCs w:val="21"/>
        </w:rPr>
      </w:pPr>
      <w:r>
        <w:rPr>
          <w:rFonts w:hint="eastAsia" w:ascii="宋体" w:hAnsi="宋体"/>
          <w:color w:val="auto"/>
          <w:szCs w:val="21"/>
        </w:rPr>
        <w:t>41</w:t>
      </w:r>
      <w:r>
        <w:rPr>
          <w:rFonts w:ascii="宋体" w:hAnsi="宋体"/>
          <w:color w:val="auto"/>
          <w:szCs w:val="21"/>
        </w:rPr>
        <w:t>.2</w:t>
      </w:r>
      <w:r>
        <w:rPr>
          <w:rFonts w:hint="eastAsia" w:ascii="宋体" w:hAnsi="宋体"/>
          <w:color w:val="auto"/>
          <w:szCs w:val="21"/>
        </w:rPr>
        <w:t>中标通知书是合同的重要组成部分。</w:t>
      </w:r>
    </w:p>
    <w:p w14:paraId="4A31F58E">
      <w:pPr>
        <w:ind w:firstLine="470" w:firstLineChars="196"/>
        <w:jc w:val="left"/>
        <w:rPr>
          <w:rFonts w:ascii="宋体" w:hAnsi="宋体"/>
          <w:color w:val="auto"/>
          <w:szCs w:val="21"/>
        </w:rPr>
      </w:pPr>
      <w:bookmarkStart w:id="92" w:name="_Hlk71407340"/>
      <w:r>
        <w:rPr>
          <w:rFonts w:hint="eastAsia" w:ascii="宋体" w:hAnsi="宋体"/>
          <w:color w:val="auto"/>
          <w:szCs w:val="21"/>
        </w:rPr>
        <w:t>41.3因质疑投诉或其它原因导致项目结果变更或采购终止的，</w:t>
      </w:r>
      <w:r>
        <w:rPr>
          <w:rFonts w:hint="eastAsia" w:ascii="宋体" w:hAnsi="宋体" w:eastAsia="宋体"/>
          <w:color w:val="auto"/>
          <w:szCs w:val="21"/>
        </w:rPr>
        <w:t>招标代理</w:t>
      </w:r>
      <w:r>
        <w:rPr>
          <w:rFonts w:hint="eastAsia" w:ascii="宋体" w:hAnsi="宋体"/>
          <w:color w:val="auto"/>
          <w:szCs w:val="21"/>
        </w:rPr>
        <w:t>机构有权吊销中标通知书。</w:t>
      </w:r>
    </w:p>
    <w:bookmarkEnd w:id="92"/>
    <w:p w14:paraId="36E426F5">
      <w:pPr>
        <w:ind w:firstLine="470" w:firstLineChars="196"/>
        <w:jc w:val="left"/>
        <w:rPr>
          <w:rFonts w:ascii="宋体" w:hAnsi="宋体"/>
          <w:color w:val="auto"/>
          <w:szCs w:val="21"/>
        </w:rPr>
      </w:pPr>
    </w:p>
    <w:p w14:paraId="16551B09">
      <w:pPr>
        <w:pStyle w:val="6"/>
        <w:numPr>
          <w:ilvl w:val="0"/>
          <w:numId w:val="6"/>
        </w:numPr>
        <w:spacing w:before="120" w:beforeLines="50" w:after="120" w:afterLines="50"/>
        <w:ind w:left="562" w:hanging="562"/>
        <w:rPr>
          <w:color w:val="auto"/>
          <w:sz w:val="28"/>
          <w:szCs w:val="28"/>
        </w:rPr>
      </w:pPr>
      <w:r>
        <w:rPr>
          <w:rFonts w:hint="eastAsia"/>
          <w:color w:val="auto"/>
          <w:sz w:val="28"/>
          <w:szCs w:val="28"/>
        </w:rPr>
        <w:t>公开招标失败的后续处理</w:t>
      </w:r>
    </w:p>
    <w:p w14:paraId="18595A83">
      <w:pPr>
        <w:jc w:val="left"/>
        <w:rPr>
          <w:rFonts w:ascii="黑体" w:hAnsi="宋体" w:eastAsia="黑体"/>
          <w:color w:val="auto"/>
        </w:rPr>
      </w:pPr>
      <w:r>
        <w:rPr>
          <w:rFonts w:hint="eastAsia" w:ascii="黑体" w:hAnsi="宋体" w:eastAsia="黑体"/>
          <w:color w:val="auto"/>
        </w:rPr>
        <w:t>42．公开招标失败的处理</w:t>
      </w:r>
    </w:p>
    <w:p w14:paraId="50EF34DC">
      <w:pPr>
        <w:ind w:firstLine="470" w:firstLineChars="196"/>
        <w:jc w:val="left"/>
        <w:rPr>
          <w:rFonts w:ascii="宋体" w:hAnsi="宋体"/>
          <w:color w:val="auto"/>
        </w:rPr>
      </w:pPr>
      <w:r>
        <w:rPr>
          <w:rFonts w:hint="eastAsia" w:ascii="宋体" w:hAnsi="宋体"/>
          <w:color w:val="auto"/>
          <w:szCs w:val="21"/>
        </w:rPr>
        <w:t>42.1本项目公开招标过程中若由于投标截止后</w:t>
      </w:r>
      <w:r>
        <w:rPr>
          <w:rFonts w:hint="eastAsia" w:ascii="宋体" w:hAnsi="宋体"/>
          <w:color w:val="auto"/>
        </w:rPr>
        <w:t>实际递交</w:t>
      </w:r>
      <w:r>
        <w:rPr>
          <w:rFonts w:ascii="宋体" w:hAnsi="宋体"/>
          <w:color w:val="auto"/>
        </w:rPr>
        <w:t>投标</w:t>
      </w:r>
      <w:r>
        <w:rPr>
          <w:rFonts w:hint="eastAsia" w:ascii="宋体" w:hAnsi="宋体"/>
          <w:color w:val="auto"/>
        </w:rPr>
        <w:t>文件的供应商数量不足、经</w:t>
      </w:r>
      <w:r>
        <w:rPr>
          <w:rFonts w:hint="eastAsia" w:ascii="宋体" w:hAnsi="宋体"/>
          <w:color w:val="auto"/>
          <w:szCs w:val="21"/>
        </w:rPr>
        <w:t>评审委员会</w:t>
      </w:r>
      <w:r>
        <w:rPr>
          <w:rFonts w:hint="eastAsia" w:ascii="宋体" w:hAnsi="宋体"/>
          <w:color w:val="auto"/>
        </w:rPr>
        <w:t>评审对招标文件作实质响应的供应商不足等原因造成公开招标失败，可由</w:t>
      </w:r>
      <w:r>
        <w:rPr>
          <w:rFonts w:hint="eastAsia" w:ascii="宋体" w:hAnsi="宋体" w:eastAsia="宋体"/>
          <w:color w:val="auto"/>
          <w:szCs w:val="21"/>
        </w:rPr>
        <w:t>招标代理</w:t>
      </w:r>
      <w:r>
        <w:rPr>
          <w:rFonts w:hint="eastAsia" w:ascii="宋体" w:hAnsi="宋体" w:cs="宋体"/>
          <w:color w:val="auto"/>
        </w:rPr>
        <w:t>机构</w:t>
      </w:r>
      <w:r>
        <w:rPr>
          <w:rFonts w:hint="eastAsia" w:ascii="宋体" w:hAnsi="宋体"/>
          <w:color w:val="auto"/>
        </w:rPr>
        <w:t>重新组织采购。</w:t>
      </w:r>
    </w:p>
    <w:p w14:paraId="3DB033DA">
      <w:pPr>
        <w:ind w:firstLine="470" w:firstLineChars="196"/>
        <w:jc w:val="left"/>
        <w:rPr>
          <w:rFonts w:ascii="宋体" w:hAnsi="宋体"/>
          <w:color w:val="auto"/>
          <w:szCs w:val="21"/>
        </w:rPr>
      </w:pPr>
      <w:r>
        <w:rPr>
          <w:rFonts w:hint="eastAsia" w:ascii="宋体" w:hAnsi="宋体"/>
          <w:color w:val="auto"/>
          <w:szCs w:val="21"/>
        </w:rPr>
        <w:t>42.2对公开招标失败的项目，评审委员会在出具该项目招标失败结论的同时，可以提出重新采购组织形式的建议，以及进一步完善招标文件的资格、技术、商务要求的修改建议。</w:t>
      </w:r>
    </w:p>
    <w:p w14:paraId="24EE2E52">
      <w:pPr>
        <w:ind w:firstLine="470" w:firstLineChars="196"/>
        <w:jc w:val="left"/>
        <w:rPr>
          <w:rFonts w:ascii="宋体" w:hAnsi="宋体"/>
          <w:color w:val="auto"/>
          <w:szCs w:val="21"/>
        </w:rPr>
      </w:pPr>
      <w:r>
        <w:rPr>
          <w:rFonts w:hint="eastAsia" w:ascii="宋体" w:hAnsi="宋体"/>
          <w:color w:val="auto"/>
          <w:szCs w:val="21"/>
        </w:rPr>
        <w:t>42.3重新组织采购有以下两种组织形式：</w:t>
      </w:r>
    </w:p>
    <w:p w14:paraId="60492874">
      <w:pPr>
        <w:ind w:firstLine="470" w:firstLineChars="196"/>
        <w:jc w:val="left"/>
        <w:rPr>
          <w:rFonts w:ascii="宋体" w:hAnsi="宋体"/>
          <w:color w:val="auto"/>
        </w:rPr>
      </w:pPr>
      <w:r>
        <w:rPr>
          <w:rFonts w:hint="eastAsia" w:ascii="宋体" w:hAnsi="宋体"/>
          <w:color w:val="auto"/>
        </w:rPr>
        <w:t>（1）由</w:t>
      </w:r>
      <w:r>
        <w:rPr>
          <w:rFonts w:hint="eastAsia" w:ascii="宋体" w:hAnsi="宋体" w:eastAsia="宋体"/>
          <w:color w:val="auto"/>
        </w:rPr>
        <w:t>招标代理</w:t>
      </w:r>
      <w:r>
        <w:rPr>
          <w:rFonts w:hint="eastAsia" w:ascii="宋体" w:hAnsi="宋体"/>
          <w:color w:val="auto"/>
        </w:rPr>
        <w:t>机构重新组织公开招标；</w:t>
      </w:r>
    </w:p>
    <w:p w14:paraId="5B47B5AA">
      <w:pPr>
        <w:ind w:firstLine="470" w:firstLineChars="196"/>
        <w:jc w:val="left"/>
        <w:rPr>
          <w:rFonts w:ascii="宋体" w:hAnsi="宋体"/>
          <w:color w:val="auto"/>
        </w:rPr>
      </w:pPr>
      <w:r>
        <w:rPr>
          <w:rFonts w:hint="eastAsia" w:ascii="宋体" w:hAnsi="宋体"/>
          <w:color w:val="auto"/>
        </w:rPr>
        <w:t>（2）根据实际情况需要向同级财政部门提出非公开招标方式申请，经同级财政部门批准，公开招标失败采购项目可转为竞争性谈判或单一来源谈判方式采购。</w:t>
      </w:r>
    </w:p>
    <w:p w14:paraId="41A97FF0">
      <w:pPr>
        <w:ind w:firstLine="470" w:firstLineChars="196"/>
        <w:jc w:val="left"/>
        <w:rPr>
          <w:rFonts w:ascii="宋体" w:hAnsi="宋体"/>
          <w:color w:val="auto"/>
        </w:rPr>
      </w:pPr>
      <w:r>
        <w:rPr>
          <w:rFonts w:hint="eastAsia" w:ascii="宋体" w:hAnsi="宋体"/>
          <w:color w:val="auto"/>
        </w:rPr>
        <w:t>42.4公开招标失败的采购项目重新组织公开招标，由</w:t>
      </w:r>
      <w:r>
        <w:rPr>
          <w:rFonts w:hint="eastAsia" w:ascii="宋体" w:hAnsi="宋体" w:eastAsia="宋体"/>
          <w:color w:val="auto"/>
        </w:rPr>
        <w:t>招标代理</w:t>
      </w:r>
      <w:r>
        <w:rPr>
          <w:rFonts w:hint="eastAsia" w:ascii="宋体" w:hAnsi="宋体"/>
          <w:color w:val="auto"/>
        </w:rPr>
        <w:t>机构重新按公开招标流程组织采购活动。</w:t>
      </w:r>
    </w:p>
    <w:p w14:paraId="7170CAD8">
      <w:pPr>
        <w:jc w:val="left"/>
        <w:rPr>
          <w:rFonts w:ascii="宋体" w:hAnsi="宋体"/>
          <w:color w:val="auto"/>
        </w:rPr>
      </w:pPr>
      <w:r>
        <w:rPr>
          <w:rFonts w:hint="eastAsia" w:ascii="黑体" w:hAnsi="宋体" w:eastAsia="黑体"/>
          <w:color w:val="auto"/>
        </w:rPr>
        <w:t xml:space="preserve">    </w:t>
      </w:r>
      <w:r>
        <w:rPr>
          <w:rFonts w:hint="eastAsia" w:ascii="宋体" w:hAnsi="宋体"/>
          <w:color w:val="auto"/>
        </w:rPr>
        <w:t>42.5公开招标失败的采购项目经同级财政部门批准转为竞争性谈判或单一来源谈判方式采购的，按规定要求组织政府采购工作。</w:t>
      </w:r>
    </w:p>
    <w:p w14:paraId="310C5533">
      <w:pPr>
        <w:jc w:val="left"/>
        <w:rPr>
          <w:rFonts w:ascii="黑体" w:hAnsi="宋体" w:eastAsia="黑体"/>
          <w:color w:val="auto"/>
        </w:rPr>
      </w:pPr>
    </w:p>
    <w:p w14:paraId="25C37E06">
      <w:pPr>
        <w:pStyle w:val="6"/>
        <w:numPr>
          <w:ilvl w:val="0"/>
          <w:numId w:val="6"/>
        </w:numPr>
        <w:spacing w:before="120" w:beforeLines="50" w:after="120" w:afterLines="50"/>
        <w:ind w:left="562" w:hanging="562"/>
        <w:jc w:val="left"/>
        <w:rPr>
          <w:color w:val="auto"/>
          <w:sz w:val="28"/>
          <w:szCs w:val="28"/>
        </w:rPr>
      </w:pPr>
      <w:bookmarkStart w:id="93" w:name="_Hlk72439043"/>
      <w:r>
        <w:rPr>
          <w:rFonts w:hint="eastAsia"/>
          <w:color w:val="auto"/>
          <w:sz w:val="28"/>
          <w:szCs w:val="28"/>
        </w:rPr>
        <w:t>合同的授予与备案</w:t>
      </w:r>
      <w:bookmarkEnd w:id="93"/>
    </w:p>
    <w:p w14:paraId="6F3FE79A">
      <w:pPr>
        <w:jc w:val="left"/>
        <w:rPr>
          <w:rFonts w:ascii="黑体" w:hAnsi="宋体" w:eastAsia="黑体"/>
          <w:color w:val="auto"/>
        </w:rPr>
      </w:pPr>
      <w:bookmarkStart w:id="94" w:name="_Toc100052408"/>
      <w:bookmarkStart w:id="95" w:name="_Toc73521674"/>
      <w:bookmarkStart w:id="96" w:name="_Toc73521586"/>
      <w:bookmarkStart w:id="97" w:name="_Toc73517679"/>
      <w:bookmarkStart w:id="98" w:name="_Toc73518157"/>
      <w:bookmarkStart w:id="99" w:name="_Hlk72439088"/>
      <w:r>
        <w:rPr>
          <w:rFonts w:hint="eastAsia" w:ascii="黑体" w:hAnsi="宋体" w:eastAsia="黑体"/>
          <w:color w:val="auto"/>
        </w:rPr>
        <w:t>43．合同授予标准</w:t>
      </w:r>
      <w:bookmarkEnd w:id="94"/>
      <w:bookmarkEnd w:id="95"/>
      <w:bookmarkEnd w:id="96"/>
      <w:bookmarkEnd w:id="97"/>
      <w:bookmarkEnd w:id="98"/>
    </w:p>
    <w:p w14:paraId="519D2558">
      <w:pPr>
        <w:ind w:firstLine="470" w:firstLineChars="196"/>
        <w:jc w:val="left"/>
        <w:rPr>
          <w:rFonts w:ascii="宋体" w:hAnsi="宋体"/>
          <w:color w:val="auto"/>
          <w:szCs w:val="21"/>
        </w:rPr>
      </w:pPr>
      <w:r>
        <w:rPr>
          <w:rFonts w:hint="eastAsia" w:ascii="宋体" w:hAnsi="宋体"/>
          <w:color w:val="auto"/>
          <w:szCs w:val="21"/>
        </w:rPr>
        <w:t>本项目的合同将授予经本招标文件规定评审确定的中标供应商。</w:t>
      </w:r>
    </w:p>
    <w:p w14:paraId="0062C9C7">
      <w:pPr>
        <w:jc w:val="left"/>
        <w:rPr>
          <w:rFonts w:ascii="黑体" w:hAnsi="宋体" w:eastAsia="黑体"/>
          <w:color w:val="auto"/>
        </w:rPr>
      </w:pPr>
      <w:bookmarkStart w:id="100" w:name="_Toc73521675"/>
      <w:bookmarkStart w:id="101" w:name="_Toc73518158"/>
      <w:bookmarkStart w:id="102" w:name="_Toc100052409"/>
      <w:bookmarkStart w:id="103" w:name="_Toc73517680"/>
      <w:bookmarkStart w:id="104" w:name="_Toc73521587"/>
      <w:r>
        <w:rPr>
          <w:rFonts w:hint="eastAsia" w:ascii="黑体" w:hAnsi="宋体" w:eastAsia="黑体"/>
          <w:color w:val="auto"/>
        </w:rPr>
        <w:t>44．</w:t>
      </w:r>
      <w:bookmarkEnd w:id="100"/>
      <w:bookmarkEnd w:id="101"/>
      <w:bookmarkEnd w:id="102"/>
      <w:bookmarkEnd w:id="103"/>
      <w:bookmarkEnd w:id="104"/>
      <w:r>
        <w:rPr>
          <w:rFonts w:hint="eastAsia" w:ascii="黑体" w:hAnsi="宋体" w:eastAsia="黑体"/>
          <w:color w:val="auto"/>
        </w:rPr>
        <w:t>接受和拒绝任何或所有投标的权力</w:t>
      </w:r>
    </w:p>
    <w:p w14:paraId="672130BF">
      <w:pPr>
        <w:ind w:firstLine="470" w:firstLineChars="196"/>
        <w:jc w:val="left"/>
        <w:rPr>
          <w:rFonts w:ascii="宋体" w:hAnsi="宋体"/>
          <w:color w:val="auto"/>
          <w:szCs w:val="21"/>
        </w:rPr>
      </w:pPr>
      <w:r>
        <w:rPr>
          <w:rFonts w:hint="eastAsia" w:ascii="宋体" w:hAnsi="宋体" w:eastAsia="宋体"/>
          <w:color w:val="auto"/>
          <w:szCs w:val="21"/>
        </w:rPr>
        <w:t>招标代理</w:t>
      </w:r>
      <w:r>
        <w:rPr>
          <w:rFonts w:hint="eastAsia" w:ascii="宋体" w:hAnsi="宋体"/>
          <w:color w:val="auto"/>
          <w:szCs w:val="21"/>
        </w:rPr>
        <w:t>机构和采购人保留在投标之前任何时候接受或拒绝任何投标或所有投标，以及宣布招标无效的权力，对受影响的投标人不承担任何责任，也无义务向受影响的投标人解释采取这一行动的理由。</w:t>
      </w:r>
    </w:p>
    <w:p w14:paraId="6798CE41">
      <w:pPr>
        <w:jc w:val="left"/>
        <w:rPr>
          <w:rFonts w:ascii="黑体" w:hAnsi="宋体" w:eastAsia="黑体"/>
          <w:color w:val="auto"/>
        </w:rPr>
      </w:pPr>
      <w:bookmarkStart w:id="105" w:name="_Toc73517682"/>
      <w:bookmarkStart w:id="106" w:name="_Toc73521677"/>
      <w:bookmarkStart w:id="107" w:name="_Toc73521589"/>
      <w:bookmarkStart w:id="108" w:name="_Toc100052410"/>
      <w:bookmarkStart w:id="109" w:name="_Toc73518160"/>
      <w:r>
        <w:rPr>
          <w:rFonts w:hint="eastAsia" w:ascii="黑体" w:hAnsi="宋体" w:eastAsia="黑体"/>
          <w:color w:val="auto"/>
        </w:rPr>
        <w:t>45．合同的签订</w:t>
      </w:r>
      <w:bookmarkEnd w:id="105"/>
      <w:bookmarkEnd w:id="106"/>
      <w:bookmarkEnd w:id="107"/>
      <w:bookmarkEnd w:id="108"/>
      <w:bookmarkEnd w:id="109"/>
    </w:p>
    <w:p w14:paraId="2A02B24B">
      <w:pPr>
        <w:ind w:firstLine="470" w:firstLineChars="196"/>
        <w:jc w:val="left"/>
        <w:rPr>
          <w:rFonts w:ascii="宋体" w:hAnsi="宋体"/>
          <w:color w:val="auto"/>
          <w:szCs w:val="21"/>
        </w:rPr>
      </w:pPr>
      <w:r>
        <w:rPr>
          <w:rFonts w:hint="eastAsia" w:ascii="宋体" w:hAnsi="宋体"/>
          <w:color w:val="auto"/>
          <w:szCs w:val="21"/>
        </w:rPr>
        <w:t>45.1中标人将于中标通知书发出之日起十个工作日内，按照采购文件（招标文件和投标文件等）内容与采购人签订政府采购合同；合同的实质性内容应当符合招标文件的规定；</w:t>
      </w:r>
    </w:p>
    <w:p w14:paraId="2CFF6EEB">
      <w:pPr>
        <w:ind w:firstLine="470" w:firstLineChars="196"/>
        <w:jc w:val="left"/>
        <w:rPr>
          <w:rFonts w:ascii="宋体" w:hAnsi="宋体"/>
          <w:color w:val="auto"/>
          <w:szCs w:val="21"/>
        </w:rPr>
      </w:pPr>
      <w:r>
        <w:rPr>
          <w:rFonts w:hint="eastAsia" w:ascii="宋体" w:hAnsi="宋体"/>
          <w:color w:val="auto"/>
          <w:szCs w:val="21"/>
        </w:rPr>
        <w:t>45.2中标人如不按本通用条款第45</w:t>
      </w:r>
      <w:r>
        <w:rPr>
          <w:rFonts w:ascii="宋体" w:hAnsi="宋体"/>
          <w:color w:val="auto"/>
          <w:szCs w:val="21"/>
        </w:rPr>
        <w:t>.1</w:t>
      </w:r>
      <w:r>
        <w:rPr>
          <w:rFonts w:hint="eastAsia" w:ascii="宋体" w:hAnsi="宋体"/>
          <w:color w:val="auto"/>
          <w:szCs w:val="21"/>
        </w:rPr>
        <w:t>款的规定与采购人签订合同，</w:t>
      </w:r>
      <w:r>
        <w:rPr>
          <w:rFonts w:ascii="宋体" w:hAnsi="宋体" w:cs="宋体"/>
          <w:color w:val="auto"/>
          <w:szCs w:val="21"/>
        </w:rPr>
        <w:t>情节严重的，由</w:t>
      </w:r>
      <w:r>
        <w:rPr>
          <w:rFonts w:hint="eastAsia" w:ascii="宋体" w:hAnsi="宋体" w:cs="宋体"/>
          <w:color w:val="auto"/>
          <w:szCs w:val="21"/>
        </w:rPr>
        <w:t>同级财政</w:t>
      </w:r>
      <w:r>
        <w:rPr>
          <w:rFonts w:ascii="宋体" w:hAnsi="宋体" w:cs="宋体"/>
          <w:color w:val="auto"/>
          <w:szCs w:val="21"/>
        </w:rPr>
        <w:t>部门记入供应商诚信档案，予以通报</w:t>
      </w:r>
      <w:r>
        <w:rPr>
          <w:rFonts w:hint="eastAsia" w:ascii="宋体" w:hAnsi="宋体"/>
          <w:color w:val="auto"/>
          <w:szCs w:val="21"/>
        </w:rPr>
        <w:t>；</w:t>
      </w:r>
    </w:p>
    <w:p w14:paraId="0D417382">
      <w:pPr>
        <w:ind w:firstLine="470" w:firstLineChars="196"/>
        <w:jc w:val="left"/>
        <w:rPr>
          <w:rFonts w:ascii="宋体" w:hAnsi="宋体"/>
          <w:color w:val="auto"/>
          <w:szCs w:val="21"/>
        </w:rPr>
      </w:pPr>
      <w:r>
        <w:rPr>
          <w:rFonts w:hint="eastAsia" w:ascii="宋体" w:hAnsi="宋体"/>
          <w:color w:val="auto"/>
          <w:szCs w:val="21"/>
        </w:rPr>
        <w:t>45.3中标人应当按照合同约定履行义务，完成中标项目，不得将中标项目转让（转包）给他人。</w:t>
      </w:r>
    </w:p>
    <w:p w14:paraId="1EB3A770">
      <w:pPr>
        <w:jc w:val="left"/>
        <w:rPr>
          <w:rFonts w:ascii="黑体" w:hAnsi="宋体" w:eastAsia="黑体"/>
          <w:color w:val="auto"/>
        </w:rPr>
      </w:pPr>
      <w:bookmarkStart w:id="110" w:name="_Toc73521678"/>
      <w:bookmarkStart w:id="111" w:name="_Toc73518161"/>
      <w:bookmarkStart w:id="112" w:name="_Toc73521590"/>
      <w:bookmarkStart w:id="113" w:name="_Toc100052411"/>
      <w:bookmarkStart w:id="114" w:name="_Toc73517683"/>
      <w:r>
        <w:rPr>
          <w:rFonts w:hint="eastAsia" w:ascii="黑体" w:hAnsi="宋体" w:eastAsia="黑体"/>
          <w:color w:val="auto"/>
        </w:rPr>
        <w:t>46．履约担保</w:t>
      </w:r>
      <w:bookmarkEnd w:id="110"/>
      <w:bookmarkEnd w:id="111"/>
      <w:bookmarkEnd w:id="112"/>
      <w:bookmarkEnd w:id="113"/>
      <w:bookmarkEnd w:id="114"/>
    </w:p>
    <w:p w14:paraId="19AE39AF">
      <w:pPr>
        <w:ind w:firstLine="470" w:firstLineChars="196"/>
        <w:jc w:val="left"/>
        <w:rPr>
          <w:rFonts w:ascii="宋体" w:hAnsi="宋体"/>
          <w:color w:val="auto"/>
          <w:szCs w:val="21"/>
        </w:rPr>
      </w:pPr>
      <w:r>
        <w:rPr>
          <w:rFonts w:hint="eastAsia" w:ascii="宋体" w:hAnsi="宋体"/>
          <w:color w:val="auto"/>
          <w:szCs w:val="21"/>
        </w:rPr>
        <w:t>46.1在签订项目合同的同时，中标人应按“对通用条款的补充内容”中规定的金额向采购人提交履约担保；</w:t>
      </w:r>
    </w:p>
    <w:p w14:paraId="55CE1886">
      <w:pPr>
        <w:ind w:firstLine="470" w:firstLineChars="196"/>
        <w:jc w:val="left"/>
        <w:rPr>
          <w:rFonts w:ascii="宋体" w:hAnsi="宋体"/>
          <w:color w:val="auto"/>
          <w:szCs w:val="21"/>
        </w:rPr>
      </w:pPr>
      <w:r>
        <w:rPr>
          <w:rFonts w:hint="eastAsia" w:ascii="宋体" w:hAnsi="宋体"/>
          <w:color w:val="auto"/>
          <w:szCs w:val="21"/>
        </w:rPr>
        <w:t>46.2允许供应商自主选择以支票、汇票、本票、保函等非现金方式提交履约担保；</w:t>
      </w:r>
      <w:r>
        <w:rPr>
          <w:color w:val="auto"/>
        </w:rPr>
        <w:t>中标</w:t>
      </w:r>
      <w:r>
        <w:rPr>
          <w:rFonts w:hint="eastAsia"/>
          <w:color w:val="auto"/>
        </w:rPr>
        <w:t>人</w:t>
      </w:r>
      <w:r>
        <w:rPr>
          <w:color w:val="auto"/>
        </w:rPr>
        <w:t>提交履约</w:t>
      </w:r>
      <w:r>
        <w:rPr>
          <w:rFonts w:hint="eastAsia"/>
          <w:color w:val="auto"/>
        </w:rPr>
        <w:t>担保不是</w:t>
      </w:r>
      <w:r>
        <w:rPr>
          <w:color w:val="auto"/>
        </w:rPr>
        <w:t>合同签订的</w:t>
      </w:r>
      <w:r>
        <w:rPr>
          <w:rFonts w:hint="eastAsia"/>
          <w:color w:val="auto"/>
        </w:rPr>
        <w:t>前提</w:t>
      </w:r>
      <w:r>
        <w:rPr>
          <w:color w:val="auto"/>
        </w:rPr>
        <w:t>条件，不要求中标</w:t>
      </w:r>
      <w:r>
        <w:rPr>
          <w:rFonts w:hint="eastAsia"/>
          <w:color w:val="auto"/>
        </w:rPr>
        <w:t>人</w:t>
      </w:r>
      <w:r>
        <w:rPr>
          <w:color w:val="auto"/>
        </w:rPr>
        <w:t>提供除法律、法规明确规定外的其他担保</w:t>
      </w:r>
      <w:r>
        <w:rPr>
          <w:rFonts w:hint="eastAsia"/>
          <w:color w:val="auto"/>
        </w:rPr>
        <w:t>。</w:t>
      </w:r>
    </w:p>
    <w:p w14:paraId="2B956EAE">
      <w:pPr>
        <w:jc w:val="left"/>
        <w:rPr>
          <w:rFonts w:ascii="黑体" w:hAnsi="宋体" w:eastAsia="黑体"/>
          <w:color w:val="auto"/>
        </w:rPr>
      </w:pPr>
      <w:r>
        <w:rPr>
          <w:rFonts w:hint="eastAsia" w:ascii="黑体" w:hAnsi="宋体" w:eastAsia="黑体"/>
          <w:color w:val="auto"/>
        </w:rPr>
        <w:t>47. 合同备案</w:t>
      </w:r>
    </w:p>
    <w:p w14:paraId="5677DF27">
      <w:pPr>
        <w:ind w:firstLine="470" w:firstLineChars="196"/>
        <w:jc w:val="left"/>
        <w:rPr>
          <w:rFonts w:ascii="宋体" w:hAnsi="宋体"/>
          <w:color w:val="auto"/>
          <w:szCs w:val="21"/>
        </w:rPr>
      </w:pPr>
      <w:r>
        <w:rPr>
          <w:rFonts w:hint="eastAsia" w:ascii="宋体" w:hAnsi="宋体"/>
          <w:color w:val="auto"/>
          <w:szCs w:val="21"/>
        </w:rPr>
        <w:t>采购人与中标人应于合同签订之日起十日内，由采购人或委托中标人将采购合同副本抄送合同备案工作实施机构</w:t>
      </w:r>
      <w:r>
        <w:rPr>
          <w:rFonts w:hint="eastAsia" w:ascii="宋体" w:hAnsi="宋体"/>
          <w:b/>
          <w:color w:val="auto"/>
          <w:szCs w:val="21"/>
        </w:rPr>
        <w:t>（即深圳市</w:t>
      </w:r>
      <w:r>
        <w:rPr>
          <w:rFonts w:hint="eastAsia" w:ascii="宋体" w:hAnsi="宋体" w:eastAsia="宋体"/>
          <w:b/>
          <w:color w:val="auto"/>
          <w:szCs w:val="21"/>
        </w:rPr>
        <w:t>盐田区</w:t>
      </w:r>
      <w:r>
        <w:rPr>
          <w:rFonts w:hint="eastAsia" w:ascii="宋体" w:hAnsi="宋体"/>
          <w:b/>
          <w:color w:val="auto"/>
          <w:szCs w:val="21"/>
        </w:rPr>
        <w:t>政府合同履约检查中心</w:t>
      </w:r>
      <w:r>
        <w:rPr>
          <w:rFonts w:hint="eastAsia" w:ascii="宋体" w:hAnsi="宋体"/>
          <w:color w:val="auto"/>
          <w:szCs w:val="21"/>
        </w:rPr>
        <w:t>）备案。</w:t>
      </w:r>
    </w:p>
    <w:p w14:paraId="7BC3715D">
      <w:pPr>
        <w:jc w:val="left"/>
        <w:rPr>
          <w:rFonts w:ascii="黑体" w:hAnsi="宋体" w:eastAsia="黑体"/>
          <w:color w:val="auto"/>
        </w:rPr>
      </w:pPr>
      <w:r>
        <w:rPr>
          <w:rFonts w:hint="eastAsia" w:ascii="黑体" w:hAnsi="宋体" w:eastAsia="黑体"/>
          <w:color w:val="auto"/>
        </w:rPr>
        <w:t>48. 合同变更</w:t>
      </w:r>
    </w:p>
    <w:p w14:paraId="51F90A72">
      <w:pPr>
        <w:ind w:firstLine="470" w:firstLineChars="196"/>
        <w:jc w:val="left"/>
        <w:rPr>
          <w:rFonts w:ascii="宋体" w:hAnsi="宋体"/>
          <w:color w:val="auto"/>
          <w:szCs w:val="21"/>
        </w:rPr>
      </w:pPr>
      <w:r>
        <w:rPr>
          <w:rFonts w:hint="eastAsia" w:ascii="宋体" w:hAnsi="宋体"/>
          <w:color w:val="auto"/>
          <w:szCs w:val="21"/>
        </w:rPr>
        <w:t>合同变更事宜按《深圳市财政局 深圳市政府采购中心关于进一步加强市本级政府采购合同备案管理工作的通知》（深财购〔2019〕43号）相关规定执行。</w:t>
      </w:r>
    </w:p>
    <w:p w14:paraId="28D88ED1">
      <w:pPr>
        <w:jc w:val="left"/>
        <w:rPr>
          <w:rFonts w:ascii="黑体" w:hAnsi="宋体" w:eastAsia="黑体"/>
          <w:color w:val="auto"/>
        </w:rPr>
      </w:pPr>
      <w:r>
        <w:rPr>
          <w:rFonts w:hint="eastAsia" w:ascii="黑体" w:hAnsi="宋体" w:eastAsia="黑体"/>
          <w:color w:val="auto"/>
        </w:rPr>
        <w:t>49. 项目验收</w:t>
      </w:r>
    </w:p>
    <w:p w14:paraId="73712FB0">
      <w:pPr>
        <w:ind w:right="176" w:firstLine="420"/>
        <w:jc w:val="left"/>
        <w:rPr>
          <w:rFonts w:ascii="宋体" w:hAnsi="宋体"/>
          <w:color w:val="auto"/>
        </w:rPr>
      </w:pPr>
      <w:r>
        <w:rPr>
          <w:rFonts w:hint="eastAsia" w:ascii="宋体" w:hAnsi="宋体"/>
          <w:color w:val="auto"/>
        </w:rPr>
        <w:t>49.1采购人应当按照招标文件和合同规定的标准和方法，及时组织验收。</w:t>
      </w:r>
      <w:r>
        <w:rPr>
          <w:rFonts w:ascii="宋体" w:hAnsi="宋体"/>
          <w:color w:val="auto"/>
        </w:rPr>
        <w:t xml:space="preserve"> </w:t>
      </w:r>
    </w:p>
    <w:p w14:paraId="08B78345">
      <w:pPr>
        <w:jc w:val="left"/>
        <w:rPr>
          <w:rFonts w:ascii="黑体" w:hAnsi="宋体" w:eastAsia="黑体"/>
          <w:color w:val="auto"/>
        </w:rPr>
      </w:pPr>
      <w:r>
        <w:rPr>
          <w:rFonts w:hint="eastAsia" w:ascii="黑体" w:hAnsi="宋体" w:eastAsia="黑体"/>
          <w:color w:val="auto"/>
        </w:rPr>
        <w:t>50. 宣传</w:t>
      </w:r>
    </w:p>
    <w:p w14:paraId="5DFFD7AA">
      <w:pPr>
        <w:ind w:left="240" w:leftChars="100" w:firstLine="470" w:firstLineChars="196"/>
        <w:jc w:val="left"/>
        <w:rPr>
          <w:rFonts w:ascii="宋体" w:hAnsi="宋体"/>
          <w:color w:val="auto"/>
        </w:rPr>
      </w:pPr>
      <w:r>
        <w:rPr>
          <w:rFonts w:hint="eastAsia" w:ascii="宋体" w:hAnsi="宋体"/>
          <w:color w:val="auto"/>
        </w:rPr>
        <w:t>凡与政府采购活动有关的宣传或广告，若当中提及政府采购，</w:t>
      </w:r>
      <w:r>
        <w:rPr>
          <w:rFonts w:ascii="宋体" w:hAnsi="宋体"/>
          <w:color w:val="auto"/>
        </w:rPr>
        <w:t>必须事先将具体对外宣传方案报</w:t>
      </w:r>
      <w:r>
        <w:rPr>
          <w:rFonts w:hint="eastAsia" w:ascii="宋体" w:hAnsi="宋体"/>
          <w:color w:val="auto"/>
        </w:rPr>
        <w:t>同级财政部门</w:t>
      </w:r>
      <w:r>
        <w:rPr>
          <w:rFonts w:ascii="宋体" w:hAnsi="宋体"/>
          <w:color w:val="auto"/>
        </w:rPr>
        <w:t>和</w:t>
      </w:r>
      <w:r>
        <w:rPr>
          <w:rFonts w:hint="eastAsia" w:ascii="宋体" w:hAnsi="宋体" w:eastAsia="宋体"/>
          <w:color w:val="auto"/>
        </w:rPr>
        <w:t>招标代理</w:t>
      </w:r>
      <w:r>
        <w:rPr>
          <w:rFonts w:hint="eastAsia" w:ascii="宋体" w:hAnsi="宋体"/>
          <w:color w:val="auto"/>
        </w:rPr>
        <w:t>机构</w:t>
      </w:r>
      <w:r>
        <w:rPr>
          <w:rFonts w:ascii="宋体" w:hAnsi="宋体"/>
          <w:color w:val="auto"/>
        </w:rPr>
        <w:t>，并征得其同意。对外市场宣传包括但不限于以下形式：</w:t>
      </w:r>
    </w:p>
    <w:p w14:paraId="3714704E">
      <w:pPr>
        <w:ind w:left="240" w:leftChars="100" w:firstLine="470" w:firstLineChars="196"/>
        <w:jc w:val="left"/>
        <w:rPr>
          <w:rFonts w:ascii="宋体" w:hAnsi="宋体"/>
          <w:color w:val="auto"/>
        </w:rPr>
      </w:pPr>
      <w:r>
        <w:rPr>
          <w:rFonts w:ascii="宋体" w:hAnsi="宋体"/>
          <w:color w:val="auto"/>
        </w:rPr>
        <w:t>a.名片、宣传册、广告标语等；</w:t>
      </w:r>
    </w:p>
    <w:p w14:paraId="4F9CD804">
      <w:pPr>
        <w:ind w:left="240" w:leftChars="100" w:firstLine="470" w:firstLineChars="196"/>
        <w:jc w:val="left"/>
        <w:rPr>
          <w:rFonts w:ascii="宋体" w:hAnsi="宋体"/>
          <w:color w:val="auto"/>
        </w:rPr>
      </w:pPr>
      <w:r>
        <w:rPr>
          <w:rFonts w:ascii="宋体" w:hAnsi="宋体"/>
          <w:color w:val="auto"/>
        </w:rPr>
        <w:t>b.案例介绍、推广等；</w:t>
      </w:r>
    </w:p>
    <w:p w14:paraId="01480DC6">
      <w:pPr>
        <w:ind w:left="240" w:leftChars="100" w:firstLine="470" w:firstLineChars="196"/>
        <w:jc w:val="left"/>
        <w:rPr>
          <w:rFonts w:ascii="宋体" w:hAnsi="宋体"/>
          <w:color w:val="auto"/>
        </w:rPr>
      </w:pPr>
      <w:r>
        <w:rPr>
          <w:rFonts w:hint="eastAsia" w:ascii="宋体" w:hAnsi="宋体"/>
          <w:color w:val="auto"/>
        </w:rPr>
        <w:t>c.工作</w:t>
      </w:r>
      <w:r>
        <w:rPr>
          <w:rFonts w:ascii="宋体" w:hAnsi="宋体"/>
          <w:color w:val="auto"/>
        </w:rPr>
        <w:t>人员向其他消费群体宣传。</w:t>
      </w:r>
    </w:p>
    <w:p w14:paraId="22DEFB4A">
      <w:pPr>
        <w:jc w:val="left"/>
        <w:rPr>
          <w:rFonts w:ascii="黑体" w:hAnsi="宋体" w:eastAsia="黑体"/>
          <w:color w:val="auto"/>
        </w:rPr>
      </w:pPr>
      <w:r>
        <w:rPr>
          <w:rFonts w:hint="eastAsia" w:ascii="黑体" w:hAnsi="宋体" w:eastAsia="黑体"/>
          <w:color w:val="auto"/>
        </w:rPr>
        <w:t>51. 供应商违法责任</w:t>
      </w:r>
    </w:p>
    <w:p w14:paraId="4AB3CFDA">
      <w:pPr>
        <w:ind w:firstLine="470" w:firstLineChars="196"/>
        <w:jc w:val="left"/>
        <w:rPr>
          <w:rFonts w:ascii="宋体" w:hAnsi="宋体"/>
          <w:color w:val="auto"/>
          <w:szCs w:val="21"/>
        </w:rPr>
      </w:pPr>
      <w:r>
        <w:rPr>
          <w:rFonts w:hint="eastAsia" w:ascii="宋体" w:hAnsi="宋体"/>
          <w:color w:val="auto"/>
          <w:szCs w:val="21"/>
        </w:rPr>
        <w:t>5</w:t>
      </w:r>
      <w:r>
        <w:rPr>
          <w:rFonts w:ascii="宋体" w:hAnsi="宋体"/>
          <w:color w:val="auto"/>
          <w:szCs w:val="21"/>
        </w:rPr>
        <w:t>1.1</w:t>
      </w:r>
      <w:r>
        <w:rPr>
          <w:rFonts w:hint="eastAsia" w:ascii="宋体" w:hAnsi="宋体"/>
          <w:color w:val="auto"/>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C55D82">
      <w:pPr>
        <w:ind w:firstLine="470" w:firstLineChars="196"/>
        <w:jc w:val="left"/>
        <w:rPr>
          <w:rFonts w:ascii="宋体" w:hAnsi="宋体"/>
          <w:color w:val="auto"/>
          <w:szCs w:val="21"/>
        </w:rPr>
      </w:pPr>
      <w:r>
        <w:rPr>
          <w:rFonts w:hint="eastAsia" w:ascii="宋体" w:hAnsi="宋体"/>
          <w:color w:val="auto"/>
          <w:szCs w:val="21"/>
        </w:rPr>
        <w:t>（1）在采购活动中应当回避而未回避的；</w:t>
      </w:r>
    </w:p>
    <w:p w14:paraId="59D9891D">
      <w:pPr>
        <w:ind w:firstLine="470" w:firstLineChars="196"/>
        <w:jc w:val="left"/>
        <w:rPr>
          <w:rFonts w:ascii="宋体" w:hAnsi="宋体"/>
          <w:color w:val="auto"/>
          <w:szCs w:val="21"/>
        </w:rPr>
      </w:pPr>
      <w:r>
        <w:rPr>
          <w:rFonts w:hint="eastAsia" w:ascii="宋体" w:hAnsi="宋体"/>
          <w:color w:val="auto"/>
          <w:szCs w:val="21"/>
        </w:rPr>
        <w:t>（2）未按本条例规定签订、履行采购合同，造成严重后果的；</w:t>
      </w:r>
    </w:p>
    <w:p w14:paraId="74C72235">
      <w:pPr>
        <w:ind w:firstLine="470" w:firstLineChars="196"/>
        <w:jc w:val="left"/>
        <w:rPr>
          <w:rFonts w:ascii="宋体" w:hAnsi="宋体"/>
          <w:color w:val="auto"/>
          <w:szCs w:val="21"/>
        </w:rPr>
      </w:pPr>
      <w:r>
        <w:rPr>
          <w:rFonts w:hint="eastAsia" w:ascii="宋体" w:hAnsi="宋体"/>
          <w:color w:val="auto"/>
          <w:szCs w:val="21"/>
        </w:rPr>
        <w:t>（3）隐瞒真实情况，提供虚假资料的；</w:t>
      </w:r>
    </w:p>
    <w:p w14:paraId="1A4656A7">
      <w:pPr>
        <w:ind w:firstLine="470" w:firstLineChars="196"/>
        <w:jc w:val="left"/>
        <w:rPr>
          <w:rFonts w:ascii="宋体" w:hAnsi="宋体"/>
          <w:color w:val="auto"/>
          <w:szCs w:val="21"/>
        </w:rPr>
      </w:pPr>
      <w:r>
        <w:rPr>
          <w:rFonts w:hint="eastAsia" w:ascii="宋体" w:hAnsi="宋体"/>
          <w:color w:val="auto"/>
          <w:szCs w:val="21"/>
        </w:rPr>
        <w:t>（4）以非法手段排斥其他供应商参与竞争的；</w:t>
      </w:r>
    </w:p>
    <w:p w14:paraId="5464A7AE">
      <w:pPr>
        <w:ind w:firstLine="470" w:firstLineChars="196"/>
        <w:jc w:val="left"/>
        <w:rPr>
          <w:rFonts w:ascii="宋体" w:hAnsi="宋体"/>
          <w:color w:val="auto"/>
          <w:szCs w:val="21"/>
        </w:rPr>
      </w:pPr>
      <w:r>
        <w:rPr>
          <w:rFonts w:hint="eastAsia" w:ascii="宋体" w:hAnsi="宋体"/>
          <w:color w:val="auto"/>
          <w:szCs w:val="21"/>
        </w:rPr>
        <w:t>（5）与其他采购参加人串通投标的；</w:t>
      </w:r>
    </w:p>
    <w:p w14:paraId="190E4C8C">
      <w:pPr>
        <w:ind w:firstLine="470" w:firstLineChars="196"/>
        <w:jc w:val="left"/>
        <w:rPr>
          <w:rFonts w:ascii="宋体" w:hAnsi="宋体"/>
          <w:color w:val="auto"/>
          <w:szCs w:val="21"/>
        </w:rPr>
      </w:pPr>
      <w:r>
        <w:rPr>
          <w:rFonts w:hint="eastAsia" w:ascii="宋体" w:hAnsi="宋体"/>
          <w:color w:val="auto"/>
          <w:szCs w:val="21"/>
        </w:rPr>
        <w:t>（6）恶意投诉的；</w:t>
      </w:r>
    </w:p>
    <w:p w14:paraId="0F80CE8C">
      <w:pPr>
        <w:ind w:firstLine="470" w:firstLineChars="196"/>
        <w:jc w:val="left"/>
        <w:rPr>
          <w:rFonts w:ascii="宋体" w:hAnsi="宋体"/>
          <w:color w:val="auto"/>
          <w:szCs w:val="21"/>
        </w:rPr>
      </w:pPr>
      <w:r>
        <w:rPr>
          <w:rFonts w:hint="eastAsia" w:ascii="宋体" w:hAnsi="宋体"/>
          <w:color w:val="auto"/>
          <w:szCs w:val="21"/>
        </w:rPr>
        <w:t>（7）向采购项目相关人行贿或者提供其他不当利益的；</w:t>
      </w:r>
    </w:p>
    <w:p w14:paraId="0DD0DF92">
      <w:pPr>
        <w:ind w:firstLine="470" w:firstLineChars="196"/>
        <w:jc w:val="left"/>
        <w:rPr>
          <w:rFonts w:ascii="宋体" w:hAnsi="宋体"/>
          <w:color w:val="auto"/>
          <w:szCs w:val="21"/>
        </w:rPr>
      </w:pPr>
      <w:r>
        <w:rPr>
          <w:rFonts w:hint="eastAsia" w:ascii="宋体" w:hAnsi="宋体"/>
          <w:color w:val="auto"/>
          <w:szCs w:val="21"/>
        </w:rPr>
        <w:t>（8）阻碍、抗拒主管部门监督检查的；</w:t>
      </w:r>
    </w:p>
    <w:p w14:paraId="561838AF">
      <w:pPr>
        <w:ind w:firstLine="470" w:firstLineChars="196"/>
        <w:jc w:val="left"/>
        <w:rPr>
          <w:rFonts w:ascii="宋体" w:hAnsi="宋体"/>
          <w:color w:val="auto"/>
          <w:szCs w:val="21"/>
        </w:rPr>
      </w:pPr>
      <w:r>
        <w:rPr>
          <w:rFonts w:hint="eastAsia" w:ascii="宋体" w:hAnsi="宋体"/>
          <w:color w:val="auto"/>
          <w:szCs w:val="21"/>
        </w:rPr>
        <w:t>（9）其他违反本条例规定的行为。</w:t>
      </w:r>
    </w:p>
    <w:p w14:paraId="4B56330E">
      <w:pPr>
        <w:ind w:firstLine="470" w:firstLineChars="196"/>
        <w:jc w:val="left"/>
        <w:rPr>
          <w:rFonts w:ascii="宋体" w:hAnsi="宋体"/>
          <w:color w:val="auto"/>
          <w:szCs w:val="21"/>
        </w:rPr>
      </w:pPr>
      <w:r>
        <w:rPr>
          <w:rFonts w:hint="eastAsia" w:ascii="宋体" w:hAnsi="宋体"/>
          <w:color w:val="auto"/>
          <w:szCs w:val="21"/>
        </w:rPr>
        <w:t>5</w:t>
      </w:r>
      <w:r>
        <w:rPr>
          <w:rFonts w:ascii="宋体" w:hAnsi="宋体"/>
          <w:color w:val="auto"/>
          <w:szCs w:val="21"/>
        </w:rPr>
        <w:t xml:space="preserve">1.2 </w:t>
      </w:r>
      <w:r>
        <w:rPr>
          <w:rFonts w:hint="eastAsia" w:ascii="宋体" w:hAnsi="宋体"/>
          <w:color w:val="auto"/>
          <w:szCs w:val="21"/>
        </w:rPr>
        <w:t>根据《深圳市财政局关于明确政府采购保证金管理工作的通知》（深财购[2019]42号）的要求，供应商在政府采购活动中出现《深圳经济特区政府采购条例实施细则》第八十四条所列情形的，</w:t>
      </w:r>
      <w:bookmarkStart w:id="115" w:name="_Hlk72440769"/>
      <w:r>
        <w:rPr>
          <w:rFonts w:hint="eastAsia" w:ascii="宋体" w:hAnsi="宋体"/>
          <w:color w:val="auto"/>
          <w:szCs w:val="21"/>
        </w:rPr>
        <w:t>采购人或</w:t>
      </w:r>
      <w:r>
        <w:rPr>
          <w:rFonts w:hint="eastAsia" w:ascii="宋体" w:hAnsi="宋体" w:eastAsia="宋体"/>
          <w:color w:val="auto"/>
          <w:szCs w:val="21"/>
        </w:rPr>
        <w:t>招标代理</w:t>
      </w:r>
      <w:r>
        <w:rPr>
          <w:rFonts w:hint="eastAsia" w:ascii="宋体" w:hAnsi="宋体"/>
          <w:color w:val="auto"/>
          <w:szCs w:val="21"/>
        </w:rPr>
        <w:t>机构</w:t>
      </w:r>
      <w:bookmarkEnd w:id="115"/>
      <w:r>
        <w:rPr>
          <w:rFonts w:hint="eastAsia" w:ascii="宋体" w:hAnsi="宋体"/>
          <w:color w:val="auto"/>
          <w:szCs w:val="21"/>
        </w:rPr>
        <w:t>可将有关情况报同级财政部门，由财政部门根据实际情况记入供应商诚信档案，予以通报：</w:t>
      </w:r>
    </w:p>
    <w:p w14:paraId="5185F966">
      <w:pPr>
        <w:ind w:firstLine="470" w:firstLineChars="196"/>
        <w:jc w:val="left"/>
        <w:rPr>
          <w:rFonts w:ascii="宋体" w:hAnsi="宋体"/>
          <w:color w:val="auto"/>
          <w:szCs w:val="21"/>
        </w:rPr>
      </w:pPr>
      <w:r>
        <w:rPr>
          <w:rFonts w:hint="eastAsia" w:ascii="宋体" w:hAnsi="宋体"/>
          <w:color w:val="auto"/>
          <w:szCs w:val="21"/>
        </w:rPr>
        <w:t>（1</w:t>
      </w:r>
      <w:r>
        <w:rPr>
          <w:rFonts w:ascii="宋体" w:hAnsi="宋体"/>
          <w:color w:val="auto"/>
          <w:szCs w:val="21"/>
        </w:rPr>
        <w:t>）投标截止后，撤销投标的；</w:t>
      </w:r>
    </w:p>
    <w:p w14:paraId="28937A15">
      <w:pPr>
        <w:ind w:firstLine="470" w:firstLineChars="196"/>
        <w:jc w:val="left"/>
        <w:rPr>
          <w:rFonts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）中标后无正当理由未在规定期限内签订合同的；</w:t>
      </w:r>
    </w:p>
    <w:p w14:paraId="0429E3D9">
      <w:pPr>
        <w:ind w:firstLine="470" w:firstLineChars="196"/>
        <w:jc w:val="left"/>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）将中标项目转让给他人、或者在投标文件中未说明且未经采购人、采购招标机构同意，将中标项目分包给他人的；</w:t>
      </w:r>
    </w:p>
    <w:p w14:paraId="398C882B">
      <w:pPr>
        <w:ind w:firstLine="470" w:firstLineChars="196"/>
        <w:jc w:val="left"/>
        <w:rPr>
          <w:rFonts w:ascii="宋体" w:hAnsi="宋体"/>
          <w:color w:val="auto"/>
          <w:szCs w:val="21"/>
        </w:rPr>
      </w:pPr>
      <w:r>
        <w:rPr>
          <w:rFonts w:ascii="宋体" w:hAnsi="宋体"/>
          <w:color w:val="auto"/>
          <w:szCs w:val="21"/>
        </w:rPr>
        <w:t>（</w:t>
      </w:r>
      <w:r>
        <w:rPr>
          <w:rFonts w:hint="eastAsia" w:ascii="宋体" w:hAnsi="宋体"/>
          <w:color w:val="auto"/>
          <w:szCs w:val="21"/>
        </w:rPr>
        <w:t>4</w:t>
      </w:r>
      <w:r>
        <w:rPr>
          <w:rFonts w:ascii="宋体" w:hAnsi="宋体"/>
          <w:color w:val="auto"/>
          <w:szCs w:val="21"/>
        </w:rPr>
        <w:t>）拒绝履行合同义务的</w:t>
      </w:r>
      <w:r>
        <w:rPr>
          <w:rFonts w:hint="eastAsia" w:ascii="宋体" w:hAnsi="宋体"/>
          <w:color w:val="auto"/>
          <w:szCs w:val="21"/>
        </w:rPr>
        <w:t>。</w:t>
      </w:r>
    </w:p>
    <w:bookmarkEnd w:id="99"/>
    <w:p w14:paraId="5775F6C3">
      <w:pPr>
        <w:pStyle w:val="6"/>
        <w:numPr>
          <w:ilvl w:val="0"/>
          <w:numId w:val="6"/>
        </w:numPr>
        <w:spacing w:before="120" w:beforeLines="50" w:after="120" w:afterLines="50"/>
        <w:ind w:left="562" w:hanging="562"/>
        <w:jc w:val="left"/>
        <w:rPr>
          <w:color w:val="auto"/>
          <w:sz w:val="28"/>
          <w:szCs w:val="28"/>
        </w:rPr>
      </w:pPr>
      <w:bookmarkStart w:id="116" w:name="OLE_LINK76"/>
      <w:bookmarkStart w:id="117" w:name="OLE_LINK75"/>
      <w:r>
        <w:rPr>
          <w:rFonts w:hint="eastAsia"/>
          <w:color w:val="auto"/>
          <w:sz w:val="28"/>
          <w:szCs w:val="28"/>
        </w:rPr>
        <w:t>质疑处理</w:t>
      </w:r>
    </w:p>
    <w:bookmarkEnd w:id="116"/>
    <w:bookmarkEnd w:id="117"/>
    <w:p w14:paraId="7EEFAECF">
      <w:pPr>
        <w:jc w:val="left"/>
        <w:rPr>
          <w:rFonts w:ascii="黑体" w:hAnsi="宋体" w:eastAsia="黑体"/>
          <w:color w:val="auto"/>
        </w:rPr>
      </w:pPr>
      <w:bookmarkStart w:id="118" w:name="_Hlk72439706"/>
      <w:r>
        <w:rPr>
          <w:rFonts w:hint="eastAsia" w:ascii="黑体" w:hAnsi="宋体" w:eastAsia="黑体"/>
          <w:color w:val="auto"/>
        </w:rPr>
        <w:t>52.质疑提出与答复</w:t>
      </w:r>
    </w:p>
    <w:p w14:paraId="0777D60C">
      <w:pPr>
        <w:jc w:val="left"/>
        <w:rPr>
          <w:rFonts w:ascii="宋体" w:hAnsi="宋体"/>
          <w:color w:val="auto"/>
          <w:szCs w:val="21"/>
        </w:rPr>
      </w:pPr>
      <w:r>
        <w:rPr>
          <w:rFonts w:hint="eastAsia" w:ascii="宋体" w:hAnsi="宋体"/>
          <w:color w:val="auto"/>
          <w:szCs w:val="21"/>
        </w:rPr>
        <w:t xml:space="preserve">    52.1提出质疑</w:t>
      </w:r>
    </w:p>
    <w:p w14:paraId="64018D52">
      <w:pPr>
        <w:jc w:val="left"/>
        <w:rPr>
          <w:rFonts w:ascii="宋体" w:hAnsi="宋体"/>
          <w:color w:val="auto"/>
          <w:szCs w:val="21"/>
        </w:rPr>
      </w:pPr>
      <w:r>
        <w:rPr>
          <w:rFonts w:hint="eastAsia" w:ascii="宋体" w:hAnsi="宋体"/>
          <w:color w:val="auto"/>
          <w:szCs w:val="21"/>
        </w:rPr>
        <w:t xml:space="preserve">    参与政府采购活动的供应商认为自己的权益在采购活动中受到损害的，应当自知道或者应当知道其权益受到损害之日起七个工作日内向采购人、</w:t>
      </w:r>
      <w:r>
        <w:rPr>
          <w:rFonts w:hint="eastAsia" w:ascii="宋体" w:hAnsi="宋体" w:eastAsia="宋体"/>
          <w:color w:val="auto"/>
          <w:szCs w:val="21"/>
        </w:rPr>
        <w:t>招标代理</w:t>
      </w:r>
      <w:r>
        <w:rPr>
          <w:rFonts w:hint="eastAsia" w:ascii="宋体" w:hAnsi="宋体"/>
          <w:color w:val="auto"/>
          <w:szCs w:val="21"/>
        </w:rPr>
        <w:t>机构以书面形式提出质疑。</w:t>
      </w:r>
    </w:p>
    <w:p w14:paraId="2897FD7D">
      <w:pPr>
        <w:jc w:val="left"/>
        <w:rPr>
          <w:rFonts w:ascii="宋体" w:hAnsi="宋体"/>
          <w:color w:val="auto"/>
          <w:szCs w:val="21"/>
        </w:rPr>
      </w:pPr>
      <w:r>
        <w:rPr>
          <w:rFonts w:hint="eastAsia" w:ascii="宋体" w:hAnsi="宋体"/>
          <w:color w:val="auto"/>
          <w:szCs w:val="21"/>
        </w:rPr>
        <w:t xml:space="preserve">    52.2</w:t>
      </w:r>
      <w:r>
        <w:rPr>
          <w:rFonts w:ascii="宋体" w:hAnsi="宋体"/>
          <w:color w:val="auto"/>
          <w:szCs w:val="21"/>
        </w:rPr>
        <w:t>法律依据</w:t>
      </w:r>
    </w:p>
    <w:p w14:paraId="70397C7F">
      <w:pPr>
        <w:jc w:val="left"/>
        <w:rPr>
          <w:rFonts w:ascii="宋体" w:hAnsi="宋体"/>
          <w:color w:val="auto"/>
          <w:szCs w:val="21"/>
        </w:rPr>
      </w:pPr>
      <w:r>
        <w:rPr>
          <w:rFonts w:hint="eastAsia" w:ascii="宋体" w:hAnsi="宋体"/>
          <w:color w:val="auto"/>
          <w:szCs w:val="21"/>
        </w:rPr>
        <w:t xml:space="preserve">    《中华人民共和国政府采购法》、《中华人民共和国政府采购法实施条例》、</w:t>
      </w:r>
      <w:r>
        <w:rPr>
          <w:rFonts w:ascii="宋体" w:hAnsi="宋体"/>
          <w:color w:val="auto"/>
          <w:szCs w:val="21"/>
        </w:rPr>
        <w:t>《</w:t>
      </w:r>
      <w:r>
        <w:rPr>
          <w:rFonts w:hint="eastAsia" w:ascii="宋体" w:hAnsi="宋体"/>
          <w:color w:val="auto"/>
          <w:szCs w:val="21"/>
        </w:rPr>
        <w:t>深圳经济特区政府采购</w:t>
      </w:r>
      <w:r>
        <w:rPr>
          <w:rFonts w:ascii="宋体" w:hAnsi="宋体"/>
          <w:color w:val="auto"/>
          <w:szCs w:val="21"/>
        </w:rPr>
        <w:t>条例</w:t>
      </w:r>
      <w:r>
        <w:rPr>
          <w:rFonts w:hint="eastAsia" w:ascii="宋体" w:hAnsi="宋体"/>
          <w:color w:val="auto"/>
          <w:szCs w:val="21"/>
        </w:rPr>
        <w:t>》、《深圳经济特区政府采购条例实施细则》、《政府采购质疑和投诉办法》（财政部令第94号）和其他有关法律法规规定。</w:t>
      </w:r>
    </w:p>
    <w:p w14:paraId="28021DD5">
      <w:pPr>
        <w:jc w:val="left"/>
        <w:rPr>
          <w:rFonts w:ascii="宋体" w:hAnsi="宋体"/>
          <w:color w:val="auto"/>
          <w:szCs w:val="21"/>
        </w:rPr>
      </w:pPr>
      <w:r>
        <w:rPr>
          <w:rFonts w:hint="eastAsia" w:ascii="宋体" w:hAnsi="宋体"/>
          <w:color w:val="auto"/>
          <w:szCs w:val="21"/>
        </w:rPr>
        <w:t xml:space="preserve">    52.3质疑条件</w:t>
      </w:r>
    </w:p>
    <w:p w14:paraId="5AA18FAC">
      <w:pPr>
        <w:jc w:val="left"/>
        <w:rPr>
          <w:rFonts w:ascii="宋体" w:hAnsi="宋体"/>
          <w:color w:val="auto"/>
          <w:szCs w:val="21"/>
        </w:rPr>
      </w:pPr>
      <w:r>
        <w:rPr>
          <w:rFonts w:hint="eastAsia" w:ascii="宋体" w:hAnsi="宋体"/>
          <w:color w:val="auto"/>
          <w:szCs w:val="21"/>
        </w:rPr>
        <w:t xml:space="preserve">    52.3.1提出质疑的供应商应当是参与所质疑项目采购活动的供应商；以联合体形式参与的，质疑应当由组成联合体的所有成员共同提出；</w:t>
      </w:r>
    </w:p>
    <w:p w14:paraId="0FCCB102">
      <w:pPr>
        <w:jc w:val="left"/>
        <w:rPr>
          <w:rFonts w:ascii="宋体" w:hAnsi="宋体"/>
          <w:color w:val="auto"/>
          <w:szCs w:val="21"/>
        </w:rPr>
      </w:pPr>
      <w:r>
        <w:rPr>
          <w:rFonts w:hint="eastAsia" w:ascii="宋体" w:hAnsi="宋体"/>
          <w:color w:val="auto"/>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0E5660B8">
      <w:pPr>
        <w:ind w:firstLine="420"/>
        <w:jc w:val="left"/>
        <w:rPr>
          <w:rFonts w:ascii="宋体" w:hAnsi="宋体"/>
          <w:color w:val="auto"/>
          <w:szCs w:val="21"/>
        </w:rPr>
      </w:pPr>
      <w:r>
        <w:rPr>
          <w:rFonts w:hint="eastAsia" w:ascii="宋体" w:hAnsi="宋体"/>
          <w:color w:val="auto"/>
          <w:szCs w:val="21"/>
        </w:rPr>
        <w:t>52.3.3应提交书面质疑函，质疑函应当包括以下内容：</w:t>
      </w:r>
      <w:r>
        <w:rPr>
          <w:rFonts w:ascii="宋体" w:hAnsi="宋体"/>
          <w:color w:val="auto"/>
          <w:szCs w:val="21"/>
        </w:rPr>
        <w:t xml:space="preserve"> </w:t>
      </w:r>
    </w:p>
    <w:p w14:paraId="6A7A2CD7">
      <w:pPr>
        <w:ind w:firstLine="420"/>
        <w:jc w:val="left"/>
        <w:rPr>
          <w:rFonts w:ascii="宋体" w:hAnsi="宋体"/>
          <w:color w:val="auto"/>
          <w:szCs w:val="21"/>
        </w:rPr>
      </w:pPr>
      <w:r>
        <w:rPr>
          <w:rFonts w:hint="eastAsia" w:ascii="宋体" w:hAnsi="宋体"/>
          <w:color w:val="auto"/>
          <w:szCs w:val="21"/>
        </w:rPr>
        <w:t>（1）供应商的名称（或者姓名）、地址、邮编、邮箱、联系人及联系电话；</w:t>
      </w:r>
    </w:p>
    <w:p w14:paraId="3D74F0FB">
      <w:pPr>
        <w:ind w:firstLine="480" w:firstLineChars="200"/>
        <w:jc w:val="left"/>
        <w:rPr>
          <w:rFonts w:ascii="宋体" w:hAnsi="宋体"/>
          <w:color w:val="auto"/>
          <w:szCs w:val="21"/>
        </w:rPr>
      </w:pPr>
      <w:r>
        <w:rPr>
          <w:rFonts w:hint="eastAsia" w:ascii="宋体" w:hAnsi="宋体"/>
          <w:color w:val="auto"/>
          <w:szCs w:val="21"/>
        </w:rPr>
        <w:t>（2）质疑项目的名称、编号；</w:t>
      </w:r>
    </w:p>
    <w:p w14:paraId="2C646F0D">
      <w:pPr>
        <w:ind w:firstLine="480" w:firstLineChars="200"/>
        <w:jc w:val="left"/>
        <w:rPr>
          <w:rFonts w:ascii="宋体" w:hAnsi="宋体"/>
          <w:color w:val="auto"/>
          <w:szCs w:val="21"/>
        </w:rPr>
      </w:pPr>
      <w:r>
        <w:rPr>
          <w:rFonts w:hint="eastAsia" w:ascii="宋体" w:hAnsi="宋体"/>
          <w:color w:val="auto"/>
          <w:szCs w:val="21"/>
        </w:rPr>
        <w:t>（3）具体、明确的质疑对象、质疑事项和质疑请求；</w:t>
      </w:r>
    </w:p>
    <w:p w14:paraId="76FF128B">
      <w:pPr>
        <w:ind w:firstLine="480" w:firstLineChars="200"/>
        <w:jc w:val="left"/>
        <w:rPr>
          <w:rFonts w:ascii="宋体" w:hAnsi="宋体"/>
          <w:color w:val="auto"/>
          <w:szCs w:val="21"/>
        </w:rPr>
      </w:pPr>
      <w:r>
        <w:rPr>
          <w:rFonts w:hint="eastAsia" w:ascii="宋体" w:hAnsi="宋体"/>
          <w:color w:val="auto"/>
          <w:szCs w:val="21"/>
        </w:rPr>
        <w:t>（4）因质疑事项而受损害的权益；</w:t>
      </w:r>
    </w:p>
    <w:p w14:paraId="148E3DC2">
      <w:pPr>
        <w:ind w:firstLine="480" w:firstLineChars="200"/>
        <w:jc w:val="left"/>
        <w:rPr>
          <w:rFonts w:ascii="宋体" w:hAnsi="宋体"/>
          <w:color w:val="auto"/>
          <w:szCs w:val="21"/>
        </w:rPr>
      </w:pPr>
      <w:r>
        <w:rPr>
          <w:rFonts w:hint="eastAsia" w:ascii="宋体" w:hAnsi="宋体"/>
          <w:color w:val="auto"/>
          <w:szCs w:val="21"/>
        </w:rPr>
        <w:t>（5）事实依据；</w:t>
      </w:r>
    </w:p>
    <w:p w14:paraId="65D61778">
      <w:pPr>
        <w:ind w:firstLine="480" w:firstLineChars="200"/>
        <w:jc w:val="left"/>
        <w:rPr>
          <w:rFonts w:ascii="宋体" w:hAnsi="宋体"/>
          <w:color w:val="auto"/>
          <w:szCs w:val="21"/>
        </w:rPr>
      </w:pPr>
      <w:r>
        <w:rPr>
          <w:rFonts w:hint="eastAsia" w:ascii="宋体" w:hAnsi="宋体"/>
          <w:color w:val="auto"/>
          <w:szCs w:val="21"/>
        </w:rPr>
        <w:t>（6）必要的法律依据；</w:t>
      </w:r>
    </w:p>
    <w:p w14:paraId="42915E74">
      <w:pPr>
        <w:ind w:firstLine="480" w:firstLineChars="200"/>
        <w:jc w:val="left"/>
        <w:rPr>
          <w:rFonts w:ascii="宋体" w:hAnsi="宋体"/>
          <w:color w:val="auto"/>
          <w:szCs w:val="21"/>
        </w:rPr>
      </w:pPr>
      <w:r>
        <w:rPr>
          <w:rFonts w:hint="eastAsia" w:ascii="宋体" w:hAnsi="宋体"/>
          <w:color w:val="auto"/>
          <w:szCs w:val="21"/>
        </w:rPr>
        <w:t>（7）提出质疑的日期。</w:t>
      </w:r>
    </w:p>
    <w:p w14:paraId="38A7F0BE">
      <w:pPr>
        <w:ind w:firstLine="480" w:firstLineChars="200"/>
        <w:jc w:val="left"/>
        <w:rPr>
          <w:rFonts w:ascii="宋体" w:hAnsi="宋体"/>
          <w:color w:val="auto"/>
          <w:szCs w:val="21"/>
        </w:rPr>
      </w:pPr>
      <w:r>
        <w:rPr>
          <w:rFonts w:hint="eastAsia" w:ascii="宋体" w:hAnsi="宋体"/>
          <w:color w:val="auto"/>
          <w:szCs w:val="21"/>
        </w:rPr>
        <w:t>供应商为自然人的，应当由本人签字；供应商为法人或者其他组织的，应当由法定代表人（负责人），或者其授权代理人签字或者盖章，并加盖公章。</w:t>
      </w:r>
    </w:p>
    <w:p w14:paraId="2FD4EDA6">
      <w:pPr>
        <w:ind w:firstLine="480" w:firstLineChars="200"/>
        <w:jc w:val="left"/>
        <w:rPr>
          <w:rFonts w:ascii="宋体" w:hAnsi="宋体"/>
          <w:color w:val="auto"/>
          <w:szCs w:val="21"/>
        </w:rPr>
      </w:pPr>
      <w:r>
        <w:rPr>
          <w:rFonts w:hint="eastAsia" w:ascii="宋体" w:hAnsi="宋体"/>
          <w:color w:val="auto"/>
          <w:szCs w:val="21"/>
        </w:rPr>
        <w:t>52.4提交</w:t>
      </w:r>
      <w:r>
        <w:rPr>
          <w:rFonts w:ascii="宋体" w:hAnsi="宋体"/>
          <w:color w:val="auto"/>
          <w:szCs w:val="21"/>
        </w:rPr>
        <w:t>材料</w:t>
      </w:r>
    </w:p>
    <w:p w14:paraId="0D7AE30F">
      <w:pPr>
        <w:ind w:firstLine="480" w:firstLineChars="200"/>
        <w:jc w:val="left"/>
        <w:rPr>
          <w:rFonts w:ascii="宋体" w:hAnsi="宋体"/>
          <w:color w:val="auto"/>
          <w:szCs w:val="21"/>
        </w:rPr>
      </w:pPr>
      <w:r>
        <w:rPr>
          <w:rFonts w:hint="eastAsia" w:ascii="宋体" w:hAnsi="宋体"/>
          <w:color w:val="auto"/>
          <w:szCs w:val="21"/>
        </w:rPr>
        <w:t>供应商质疑实行实名制。质疑（投诉）人应保证质疑、投诉的真实性，其在质疑或投诉时应当有具体的事项及证明利益受损的事实根据，实行“谁质疑，谁举证”的原则。</w:t>
      </w:r>
    </w:p>
    <w:p w14:paraId="19137B98">
      <w:pPr>
        <w:ind w:firstLine="480" w:firstLineChars="200"/>
        <w:jc w:val="left"/>
        <w:rPr>
          <w:rFonts w:ascii="宋体" w:hAnsi="宋体"/>
          <w:color w:val="auto"/>
          <w:szCs w:val="21"/>
        </w:rPr>
      </w:pPr>
      <w:r>
        <w:rPr>
          <w:rFonts w:hint="eastAsia" w:ascii="宋体" w:hAnsi="宋体"/>
          <w:color w:val="auto"/>
          <w:szCs w:val="21"/>
        </w:rPr>
        <w:t>供应商为自然人的，应当提交本人身份证复印件；供应商为法人或者其他组织的，应当根据自身性质提交营业执照复印件或者其他证明文件（如事业单位法人证书等）复印件。</w:t>
      </w:r>
    </w:p>
    <w:p w14:paraId="69C1339A">
      <w:pPr>
        <w:ind w:firstLine="480" w:firstLineChars="200"/>
        <w:jc w:val="left"/>
        <w:rPr>
          <w:rFonts w:ascii="宋体" w:hAnsi="宋体"/>
          <w:color w:val="auto"/>
          <w:szCs w:val="21"/>
        </w:rPr>
      </w:pPr>
      <w:r>
        <w:rPr>
          <w:rFonts w:hint="eastAsia" w:ascii="宋体" w:hAnsi="宋体"/>
          <w:color w:val="auto"/>
          <w:szCs w:val="21"/>
        </w:rPr>
        <w:t>供应商可以委托代理人进行质疑。</w:t>
      </w:r>
      <w:r>
        <w:rPr>
          <w:rFonts w:ascii="宋体" w:hAnsi="宋体"/>
          <w:color w:val="auto"/>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F04378C">
      <w:pPr>
        <w:ind w:firstLine="480" w:firstLineChars="200"/>
        <w:jc w:val="left"/>
        <w:rPr>
          <w:rFonts w:ascii="宋体" w:hAnsi="宋体"/>
          <w:color w:val="auto"/>
          <w:szCs w:val="21"/>
        </w:rPr>
      </w:pPr>
      <w:r>
        <w:rPr>
          <w:rFonts w:hint="eastAsia" w:ascii="宋体" w:hAnsi="宋体"/>
          <w:color w:val="auto"/>
          <w:szCs w:val="21"/>
        </w:rPr>
        <w:t>52.5提交方式</w:t>
      </w:r>
    </w:p>
    <w:p w14:paraId="1E1D3756">
      <w:pPr>
        <w:ind w:firstLine="480"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2.5.</w:t>
      </w:r>
      <w:r>
        <w:rPr>
          <w:rFonts w:hint="eastAsia" w:ascii="宋体" w:hAnsi="宋体"/>
          <w:color w:val="auto"/>
          <w:szCs w:val="21"/>
        </w:rPr>
        <w:t>1请质疑供应商</w:t>
      </w:r>
      <w:r>
        <w:rPr>
          <w:rFonts w:hint="eastAsia" w:ascii="宋体" w:hAnsi="宋体" w:eastAsia="宋体"/>
          <w:color w:val="auto"/>
          <w:szCs w:val="21"/>
        </w:rPr>
        <w:t>依据质疑的内容形成书面文件提交给招标代理机构</w:t>
      </w:r>
      <w:r>
        <w:rPr>
          <w:rFonts w:hint="eastAsia" w:ascii="宋体" w:hAnsi="宋体"/>
          <w:color w:val="auto"/>
          <w:szCs w:val="21"/>
        </w:rPr>
        <w:t>。</w:t>
      </w:r>
    </w:p>
    <w:p w14:paraId="52837976">
      <w:pPr>
        <w:ind w:firstLine="480" w:firstLineChars="200"/>
        <w:jc w:val="left"/>
        <w:rPr>
          <w:rFonts w:ascii="宋体" w:hAnsi="宋体"/>
          <w:color w:val="auto"/>
          <w:szCs w:val="21"/>
        </w:rPr>
      </w:pPr>
      <w:r>
        <w:rPr>
          <w:rFonts w:hint="eastAsia" w:ascii="宋体" w:hAnsi="宋体"/>
          <w:b/>
          <w:bCs/>
          <w:color w:val="auto"/>
        </w:rPr>
        <w:t>收文地点：</w:t>
      </w:r>
      <w:r>
        <w:rPr>
          <w:rFonts w:hint="eastAsia" w:ascii="宋体" w:hAnsi="宋体" w:eastAsia="宋体"/>
          <w:b/>
          <w:bCs/>
          <w:color w:val="auto"/>
        </w:rPr>
        <w:t xml:space="preserve">深圳市城投全过程工程咨询有限公司   </w:t>
      </w:r>
      <w:r>
        <w:rPr>
          <w:rFonts w:hint="eastAsia" w:ascii="宋体" w:hAnsi="宋体"/>
          <w:b/>
          <w:bCs/>
          <w:color w:val="auto"/>
        </w:rPr>
        <w:t>深圳市</w:t>
      </w:r>
      <w:r>
        <w:rPr>
          <w:rFonts w:hint="eastAsia" w:ascii="宋体" w:hAnsi="宋体" w:eastAsia="宋体"/>
          <w:b/>
          <w:bCs/>
          <w:color w:val="auto"/>
        </w:rPr>
        <w:t>盐田区沙头角街道建工大厦14楼</w:t>
      </w:r>
      <w:r>
        <w:rPr>
          <w:rFonts w:hint="eastAsia" w:ascii="宋体" w:hAnsi="宋体"/>
          <w:b/>
          <w:bCs/>
          <w:color w:val="auto"/>
        </w:rPr>
        <w:t>。质疑咨询电话：</w:t>
      </w:r>
      <w:r>
        <w:rPr>
          <w:rFonts w:hint="eastAsia" w:ascii="宋体" w:hAnsi="宋体" w:eastAsia="宋体"/>
          <w:b/>
          <w:bCs/>
          <w:color w:val="auto"/>
        </w:rPr>
        <w:t>0755-25559696</w:t>
      </w:r>
      <w:r>
        <w:rPr>
          <w:rFonts w:hint="eastAsia" w:ascii="宋体" w:hAnsi="宋体"/>
          <w:b/>
          <w:bCs/>
          <w:color w:val="auto"/>
          <w:szCs w:val="21"/>
        </w:rPr>
        <w:t>。</w:t>
      </w:r>
    </w:p>
    <w:p w14:paraId="181834CC">
      <w:pPr>
        <w:ind w:firstLine="480" w:firstLineChars="200"/>
        <w:jc w:val="left"/>
        <w:rPr>
          <w:rFonts w:ascii="宋体" w:hAnsi="宋体"/>
          <w:color w:val="auto"/>
          <w:szCs w:val="21"/>
        </w:rPr>
      </w:pPr>
      <w:r>
        <w:rPr>
          <w:rFonts w:hint="eastAsia" w:ascii="宋体" w:hAnsi="宋体"/>
          <w:color w:val="auto"/>
          <w:szCs w:val="21"/>
        </w:rPr>
        <w:t>52.6收文办理</w:t>
      </w:r>
      <w:r>
        <w:rPr>
          <w:rFonts w:ascii="宋体" w:hAnsi="宋体"/>
          <w:color w:val="auto"/>
          <w:szCs w:val="21"/>
        </w:rPr>
        <w:t>程序</w:t>
      </w:r>
    </w:p>
    <w:p w14:paraId="4161A689">
      <w:pPr>
        <w:ind w:firstLine="480" w:firstLineChars="200"/>
        <w:jc w:val="left"/>
        <w:rPr>
          <w:rFonts w:ascii="宋体" w:hAnsi="宋体"/>
          <w:color w:val="auto"/>
          <w:szCs w:val="21"/>
        </w:rPr>
      </w:pPr>
      <w:r>
        <w:rPr>
          <w:rFonts w:hint="eastAsia" w:ascii="宋体" w:hAnsi="宋体"/>
          <w:color w:val="auto"/>
          <w:szCs w:val="21"/>
        </w:rPr>
        <w:t>52.6.1供应商提交的质疑符合受理条件的，</w:t>
      </w:r>
      <w:r>
        <w:rPr>
          <w:rFonts w:hint="eastAsia" w:ascii="宋体" w:hAnsi="宋体" w:eastAsia="宋体"/>
          <w:color w:val="auto"/>
          <w:szCs w:val="21"/>
        </w:rPr>
        <w:t>招标代理</w:t>
      </w:r>
      <w:r>
        <w:rPr>
          <w:rFonts w:hint="eastAsia" w:ascii="宋体" w:hAnsi="宋体"/>
          <w:color w:val="auto"/>
          <w:szCs w:val="21"/>
        </w:rPr>
        <w:t>机构自收到质疑材料之日起即为受理，应当向供应商出具质疑函收文回执并可以要求其递交质疑的法定代表人（负责人）或者授权代理人签署质疑文书送达地址确认书。</w:t>
      </w:r>
    </w:p>
    <w:p w14:paraId="7EE16211">
      <w:pPr>
        <w:ind w:firstLine="480" w:firstLineChars="200"/>
        <w:jc w:val="left"/>
        <w:rPr>
          <w:rFonts w:ascii="仿宋" w:hAnsi="仿宋" w:eastAsia="仿宋"/>
          <w:color w:val="auto"/>
          <w:sz w:val="28"/>
          <w:szCs w:val="28"/>
        </w:rPr>
      </w:pPr>
      <w:r>
        <w:rPr>
          <w:rFonts w:hint="eastAsia" w:ascii="宋体" w:hAnsi="宋体"/>
          <w:color w:val="auto"/>
          <w:szCs w:val="21"/>
        </w:rPr>
        <w:t>52.6.2供应商提交的质疑材料不符合质疑条件的，视情况处理：</w:t>
      </w:r>
    </w:p>
    <w:p w14:paraId="2A4057C2">
      <w:pPr>
        <w:ind w:firstLine="480" w:firstLineChars="200"/>
        <w:jc w:val="left"/>
        <w:rPr>
          <w:rFonts w:ascii="宋体" w:hAnsi="宋体"/>
          <w:color w:val="auto"/>
          <w:szCs w:val="21"/>
        </w:rPr>
      </w:pPr>
      <w:r>
        <w:rPr>
          <w:rFonts w:hint="eastAsia" w:ascii="宋体" w:hAnsi="宋体"/>
          <w:color w:val="auto"/>
          <w:szCs w:val="21"/>
        </w:rPr>
        <w:t>供应商提交的质疑材料不全或者未按要求签字或者盖章的，</w:t>
      </w:r>
      <w:r>
        <w:rPr>
          <w:rFonts w:hint="eastAsia" w:ascii="宋体" w:hAnsi="宋体" w:eastAsia="宋体"/>
          <w:color w:val="auto"/>
          <w:szCs w:val="21"/>
        </w:rPr>
        <w:t>招标代理</w:t>
      </w:r>
      <w:r>
        <w:rPr>
          <w:rFonts w:hint="eastAsia" w:ascii="宋体" w:hAnsi="宋体"/>
          <w:color w:val="auto"/>
          <w:szCs w:val="21"/>
        </w:rPr>
        <w:t>机构应当一次性告知供应商需补正的内容和补正期限。</w:t>
      </w:r>
    </w:p>
    <w:p w14:paraId="059A61BA">
      <w:pPr>
        <w:ind w:firstLine="480" w:firstLineChars="200"/>
        <w:jc w:val="left"/>
        <w:rPr>
          <w:rFonts w:ascii="宋体" w:hAnsi="宋体"/>
          <w:color w:val="auto"/>
          <w:szCs w:val="21"/>
        </w:rPr>
      </w:pPr>
      <w:r>
        <w:rPr>
          <w:rFonts w:hint="eastAsia" w:ascii="宋体" w:hAnsi="宋体"/>
          <w:color w:val="auto"/>
          <w:szCs w:val="21"/>
        </w:rPr>
        <w:t>供应商提交的质疑存在下列情形之一的，不予受理：</w:t>
      </w:r>
    </w:p>
    <w:p w14:paraId="23D09B1B">
      <w:pPr>
        <w:ind w:firstLine="480" w:firstLineChars="200"/>
        <w:jc w:val="left"/>
        <w:rPr>
          <w:rFonts w:ascii="宋体" w:hAnsi="宋体"/>
          <w:color w:val="auto"/>
          <w:szCs w:val="21"/>
        </w:rPr>
      </w:pPr>
      <w:r>
        <w:rPr>
          <w:rFonts w:hint="eastAsia" w:ascii="宋体" w:hAnsi="宋体"/>
          <w:color w:val="auto"/>
          <w:szCs w:val="21"/>
        </w:rPr>
        <w:t>（1）质疑主体不满足要求的；</w:t>
      </w:r>
    </w:p>
    <w:p w14:paraId="473E1C48">
      <w:pPr>
        <w:ind w:firstLine="480" w:firstLineChars="200"/>
        <w:jc w:val="left"/>
        <w:rPr>
          <w:rFonts w:ascii="宋体" w:hAnsi="宋体"/>
          <w:color w:val="auto"/>
          <w:szCs w:val="21"/>
        </w:rPr>
      </w:pPr>
      <w:r>
        <w:rPr>
          <w:rFonts w:hint="eastAsia" w:ascii="宋体" w:hAnsi="宋体"/>
          <w:color w:val="auto"/>
          <w:szCs w:val="21"/>
        </w:rPr>
        <w:t>（2）供应商自身权益未受到损害的；</w:t>
      </w:r>
    </w:p>
    <w:p w14:paraId="7ED35846">
      <w:pPr>
        <w:ind w:firstLine="480" w:firstLineChars="200"/>
        <w:jc w:val="left"/>
        <w:rPr>
          <w:rFonts w:ascii="宋体" w:hAnsi="宋体"/>
          <w:color w:val="auto"/>
          <w:szCs w:val="21"/>
        </w:rPr>
      </w:pPr>
      <w:r>
        <w:rPr>
          <w:rFonts w:hint="eastAsia" w:ascii="宋体" w:hAnsi="宋体"/>
          <w:color w:val="auto"/>
          <w:szCs w:val="21"/>
        </w:rPr>
        <w:t>（3）供应商未在法定质疑期限内提出质疑的；</w:t>
      </w:r>
    </w:p>
    <w:p w14:paraId="553D2DA7">
      <w:pPr>
        <w:ind w:firstLine="480" w:firstLineChars="200"/>
        <w:jc w:val="left"/>
        <w:rPr>
          <w:rFonts w:ascii="宋体" w:hAnsi="宋体"/>
          <w:color w:val="auto"/>
          <w:szCs w:val="21"/>
        </w:rPr>
      </w:pPr>
      <w:r>
        <w:rPr>
          <w:rFonts w:hint="eastAsia" w:ascii="宋体" w:hAnsi="宋体"/>
          <w:color w:val="auto"/>
          <w:szCs w:val="21"/>
        </w:rPr>
        <w:t>（4）质疑材料不全或者未按要求签字或者盖章的情况下，要求补正后，逾期未补正或者补正后仍不符合规定的；</w:t>
      </w:r>
    </w:p>
    <w:p w14:paraId="32ECFD74">
      <w:pPr>
        <w:ind w:firstLine="480" w:firstLineChars="200"/>
        <w:jc w:val="left"/>
        <w:rPr>
          <w:rFonts w:ascii="宋体" w:hAnsi="宋体"/>
          <w:color w:val="auto"/>
          <w:szCs w:val="21"/>
        </w:rPr>
      </w:pPr>
      <w:r>
        <w:rPr>
          <w:rFonts w:hint="eastAsia" w:ascii="宋体" w:hAnsi="宋体"/>
          <w:color w:val="auto"/>
          <w:szCs w:val="21"/>
        </w:rPr>
        <w:t>（5）其他不符合受理条件情形的。</w:t>
      </w:r>
    </w:p>
    <w:p w14:paraId="3879B22A">
      <w:pPr>
        <w:ind w:firstLine="480" w:firstLineChars="200"/>
        <w:jc w:val="left"/>
        <w:rPr>
          <w:rFonts w:ascii="宋体" w:hAnsi="宋体"/>
          <w:color w:val="auto"/>
          <w:szCs w:val="21"/>
        </w:rPr>
      </w:pPr>
      <w:r>
        <w:rPr>
          <w:rFonts w:hint="eastAsia" w:ascii="宋体" w:hAnsi="宋体"/>
          <w:color w:val="auto"/>
          <w:szCs w:val="21"/>
        </w:rPr>
        <w:t>质疑事项不予受理的，</w:t>
      </w:r>
      <w:r>
        <w:rPr>
          <w:rFonts w:hint="eastAsia" w:ascii="宋体" w:hAnsi="宋体" w:eastAsia="宋体"/>
          <w:color w:val="auto"/>
          <w:szCs w:val="21"/>
        </w:rPr>
        <w:t>招标代理</w:t>
      </w:r>
      <w:r>
        <w:rPr>
          <w:rFonts w:hint="eastAsia" w:ascii="宋体" w:hAnsi="宋体"/>
          <w:color w:val="auto"/>
          <w:szCs w:val="21"/>
        </w:rPr>
        <w:t>机构应当向供应商出具不符合质疑条件告知书。</w:t>
      </w:r>
    </w:p>
    <w:p w14:paraId="153040F1">
      <w:pPr>
        <w:jc w:val="left"/>
        <w:rPr>
          <w:rFonts w:ascii="宋体" w:hAnsi="宋体"/>
          <w:color w:val="auto"/>
          <w:szCs w:val="21"/>
        </w:rPr>
      </w:pPr>
      <w:r>
        <w:rPr>
          <w:rFonts w:hint="eastAsia" w:ascii="宋体" w:hAnsi="宋体"/>
          <w:color w:val="auto"/>
          <w:szCs w:val="21"/>
        </w:rPr>
        <w:t xml:space="preserve">    52.7质疑答复时限</w:t>
      </w:r>
    </w:p>
    <w:p w14:paraId="59BC47F9">
      <w:pPr>
        <w:jc w:val="left"/>
        <w:rPr>
          <w:rFonts w:ascii="宋体" w:hAnsi="宋体"/>
          <w:color w:val="auto"/>
          <w:szCs w:val="21"/>
        </w:rPr>
      </w:pPr>
      <w:r>
        <w:rPr>
          <w:rFonts w:hint="eastAsia" w:ascii="宋体" w:hAnsi="宋体"/>
          <w:color w:val="auto"/>
          <w:szCs w:val="21"/>
        </w:rPr>
        <w:t xml:space="preserve">    自收文之日起七个工作日内。</w:t>
      </w:r>
    </w:p>
    <w:p w14:paraId="31A989AB">
      <w:pPr>
        <w:jc w:val="left"/>
        <w:rPr>
          <w:rFonts w:ascii="宋体" w:hAnsi="宋体"/>
          <w:color w:val="auto"/>
          <w:szCs w:val="21"/>
        </w:rPr>
      </w:pPr>
      <w:r>
        <w:rPr>
          <w:rFonts w:hint="eastAsia" w:ascii="宋体" w:hAnsi="宋体"/>
          <w:color w:val="auto"/>
          <w:szCs w:val="21"/>
        </w:rPr>
        <w:t xml:space="preserve">    52.8投诉</w:t>
      </w:r>
    </w:p>
    <w:p w14:paraId="0FC1C648">
      <w:pPr>
        <w:jc w:val="left"/>
        <w:rPr>
          <w:rFonts w:ascii="宋体" w:hAnsi="宋体"/>
          <w:color w:val="auto"/>
          <w:szCs w:val="21"/>
        </w:rPr>
      </w:pPr>
      <w:r>
        <w:rPr>
          <w:rFonts w:hint="eastAsia" w:ascii="宋体" w:hAnsi="宋体"/>
          <w:color w:val="auto"/>
          <w:szCs w:val="21"/>
        </w:rPr>
        <w:t xml:space="preserve">    对质疑答复不满意或者未在规定时间内答复的，提出质疑的供应商可以在答复期满后15个工作日内向同级财政部门投诉。</w:t>
      </w:r>
    </w:p>
    <w:p w14:paraId="5329EDA4">
      <w:pPr>
        <w:jc w:val="left"/>
        <w:rPr>
          <w:rFonts w:ascii="黑体" w:hAnsi="宋体" w:eastAsia="黑体"/>
          <w:color w:val="auto"/>
        </w:rPr>
      </w:pPr>
      <w:r>
        <w:rPr>
          <w:rFonts w:hint="eastAsia" w:ascii="黑体" w:hAnsi="宋体" w:eastAsia="黑体"/>
          <w:color w:val="auto"/>
        </w:rPr>
        <w:t>53. 质疑后续处理</w:t>
      </w:r>
    </w:p>
    <w:p w14:paraId="780787A7">
      <w:pPr>
        <w:jc w:val="left"/>
        <w:rPr>
          <w:rFonts w:ascii="宋体" w:hAnsi="宋体"/>
          <w:color w:val="auto"/>
          <w:szCs w:val="21"/>
        </w:rPr>
      </w:pPr>
      <w:r>
        <w:rPr>
          <w:rFonts w:hint="eastAsia" w:ascii="宋体" w:hAnsi="宋体"/>
          <w:color w:val="auto"/>
          <w:szCs w:val="21"/>
        </w:rPr>
        <w:t xml:space="preserve">    53.1供应商质疑不成立，或者成立但未对中标、成交结果构成影响的，继续开展采购活动。</w:t>
      </w:r>
    </w:p>
    <w:p w14:paraId="1A5CE80F">
      <w:pPr>
        <w:ind w:firstLine="432"/>
        <w:jc w:val="left"/>
        <w:rPr>
          <w:rFonts w:ascii="宋体" w:hAnsi="宋体"/>
          <w:color w:val="auto"/>
          <w:szCs w:val="21"/>
        </w:rPr>
      </w:pPr>
      <w:r>
        <w:rPr>
          <w:rFonts w:hint="eastAsia" w:ascii="宋体" w:hAnsi="宋体"/>
          <w:color w:val="auto"/>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7277DC4A">
      <w:pPr>
        <w:ind w:firstLine="432"/>
        <w:jc w:val="left"/>
        <w:rPr>
          <w:rFonts w:ascii="宋体" w:hAnsi="宋体"/>
          <w:color w:val="auto"/>
          <w:szCs w:val="21"/>
        </w:rPr>
      </w:pPr>
      <w:r>
        <w:rPr>
          <w:rFonts w:hint="eastAsia" w:ascii="宋体" w:hAnsi="宋体"/>
          <w:color w:val="auto"/>
          <w:szCs w:val="21"/>
        </w:rPr>
        <w:t>53.3存在无效质疑、虚假与恶意质疑的供应商，将由</w:t>
      </w:r>
      <w:r>
        <w:rPr>
          <w:rFonts w:hint="eastAsia" w:ascii="宋体" w:hAnsi="宋体" w:eastAsia="宋体"/>
          <w:color w:val="auto"/>
          <w:szCs w:val="21"/>
        </w:rPr>
        <w:t>深圳市城投全过程工程有限公司</w:t>
      </w:r>
      <w:r>
        <w:rPr>
          <w:rFonts w:hint="eastAsia" w:ascii="宋体" w:hAnsi="宋体"/>
          <w:color w:val="auto"/>
          <w:szCs w:val="21"/>
        </w:rPr>
        <w:t>提请区财政部门审批后将其行为纳入我区供应商诚信档案，并作为评标参考依据，情节严重的给予取消参与我区采购招标活动的资格或其他处罚。</w:t>
      </w:r>
    </w:p>
    <w:p w14:paraId="3B79786D">
      <w:pPr>
        <w:ind w:firstLine="480" w:firstLineChars="200"/>
        <w:jc w:val="left"/>
        <w:rPr>
          <w:color w:val="auto"/>
        </w:rPr>
      </w:pPr>
      <w:r>
        <w:rPr>
          <w:rFonts w:hint="eastAsia"/>
          <w:color w:val="auto"/>
        </w:rPr>
        <w:t>54. 招标文件解释权</w:t>
      </w:r>
    </w:p>
    <w:p w14:paraId="559A2CF7">
      <w:pPr>
        <w:ind w:firstLine="480" w:firstLineChars="200"/>
        <w:jc w:val="left"/>
        <w:rPr>
          <w:color w:val="auto"/>
        </w:rPr>
      </w:pPr>
      <w:r>
        <w:rPr>
          <w:rFonts w:hint="eastAsia"/>
          <w:color w:val="auto"/>
        </w:rPr>
        <w:t>招标文件的解释权归招标代理机构，招标文件涉及到的采购需求部分等内容由招标代理机构责成采购单位解释。采购单位对采购需求的完整性和真实性负责。</w:t>
      </w:r>
    </w:p>
    <w:p w14:paraId="10611A34">
      <w:pPr>
        <w:pStyle w:val="6"/>
        <w:rPr>
          <w:color w:val="auto"/>
          <w:sz w:val="28"/>
          <w:szCs w:val="28"/>
        </w:rPr>
      </w:pPr>
      <w:r>
        <w:rPr>
          <w:color w:val="auto"/>
          <w:sz w:val="28"/>
          <w:szCs w:val="28"/>
        </w:rPr>
        <w:t>第十二章</w:t>
      </w:r>
      <w:r>
        <w:rPr>
          <w:rFonts w:hint="eastAsia"/>
          <w:color w:val="auto"/>
          <w:sz w:val="28"/>
          <w:szCs w:val="28"/>
        </w:rPr>
        <w:t xml:space="preserve"> 招标代理服务费</w:t>
      </w:r>
    </w:p>
    <w:bookmarkEnd w:id="118"/>
    <w:p w14:paraId="598F2C99">
      <w:pPr>
        <w:ind w:firstLine="480" w:firstLineChars="200"/>
        <w:jc w:val="left"/>
        <w:rPr>
          <w:color w:val="auto"/>
        </w:rPr>
      </w:pPr>
      <w:r>
        <w:rPr>
          <w:rFonts w:hint="eastAsia" w:ascii="宋体" w:hAnsi="宋体" w:eastAsia="宋体" w:cs="宋体"/>
          <w:color w:val="auto"/>
        </w:rPr>
        <w:t>中</w:t>
      </w:r>
      <w:r>
        <w:rPr>
          <w:rFonts w:hint="eastAsia"/>
          <w:color w:val="auto"/>
        </w:rPr>
        <w:t>标（成交）供应商在领取《中标（成交）通知书》之前须向招标代理机构交纳代理服务费。若因中标（成交）供应商交纳代理服务费所产生的时间影响到合同签订的，由中标（成交）供应商自行承担责任。代理服务费标准参照深交易〔2020〕123号文收取。本项目类型为服务类：</w:t>
      </w:r>
    </w:p>
    <w:p w14:paraId="6A7A9E43">
      <w:pPr>
        <w:ind w:firstLine="480" w:firstLineChars="200"/>
        <w:jc w:val="left"/>
        <w:rPr>
          <w:color w:val="auto"/>
        </w:rPr>
      </w:pPr>
      <w:r>
        <w:rPr>
          <w:rFonts w:hint="eastAsia" w:ascii="宋体" w:hAnsi="宋体" w:eastAsia="宋体" w:cs="宋体"/>
          <w:color w:val="auto"/>
        </w:rPr>
        <w:t>（</w:t>
      </w:r>
      <w:r>
        <w:rPr>
          <w:rFonts w:hint="eastAsia"/>
          <w:color w:val="auto"/>
        </w:rPr>
        <w:t>一）代理服务费以《中标（成交）通知书》确定的中标（成交）金额作为计算基数，按差额定率累进法计算。</w:t>
      </w:r>
    </w:p>
    <w:p w14:paraId="600F85D5">
      <w:pPr>
        <w:ind w:firstLine="480" w:firstLineChars="200"/>
        <w:jc w:val="left"/>
        <w:rPr>
          <w:color w:val="auto"/>
        </w:rPr>
      </w:pPr>
      <w:r>
        <w:rPr>
          <w:rFonts w:hint="eastAsia" w:ascii="宋体" w:hAnsi="宋体" w:eastAsia="宋体" w:cs="宋体"/>
          <w:color w:val="auto"/>
        </w:rPr>
        <w:t>（</w:t>
      </w:r>
      <w:r>
        <w:rPr>
          <w:rFonts w:hint="eastAsia"/>
          <w:color w:val="auto"/>
        </w:rPr>
        <w:t>二）中标金额的各部分费率如下表：</w:t>
      </w:r>
    </w:p>
    <w:p w14:paraId="0FF1A81D">
      <w:pPr>
        <w:ind w:firstLine="480" w:firstLineChars="200"/>
        <w:jc w:val="left"/>
        <w:rPr>
          <w:color w:val="auto"/>
        </w:rPr>
      </w:pPr>
    </w:p>
    <w:p w14:paraId="250CC11C">
      <w:pPr>
        <w:ind w:firstLine="480" w:firstLineChars="200"/>
        <w:jc w:val="left"/>
        <w:rPr>
          <w:color w:val="auto"/>
        </w:rPr>
      </w:pPr>
    </w:p>
    <w:p w14:paraId="1617C4DC">
      <w:pPr>
        <w:ind w:firstLine="480" w:firstLineChars="200"/>
        <w:jc w:val="left"/>
        <w:rPr>
          <w:color w:val="auto"/>
        </w:rPr>
      </w:pPr>
    </w:p>
    <w:tbl>
      <w:tblPr>
        <w:tblStyle w:val="18"/>
        <w:tblW w:w="8258" w:type="dxa"/>
        <w:tblInd w:w="93" w:type="dxa"/>
        <w:tblLayout w:type="autofit"/>
        <w:tblCellMar>
          <w:top w:w="0" w:type="dxa"/>
          <w:left w:w="108" w:type="dxa"/>
          <w:bottom w:w="0" w:type="dxa"/>
          <w:right w:w="108" w:type="dxa"/>
        </w:tblCellMar>
      </w:tblPr>
      <w:tblGrid>
        <w:gridCol w:w="2806"/>
        <w:gridCol w:w="1643"/>
        <w:gridCol w:w="1744"/>
        <w:gridCol w:w="2065"/>
      </w:tblGrid>
      <w:tr w14:paraId="46300280">
        <w:tblPrEx>
          <w:tblCellMar>
            <w:top w:w="0" w:type="dxa"/>
            <w:left w:w="108" w:type="dxa"/>
            <w:bottom w:w="0" w:type="dxa"/>
            <w:right w:w="108" w:type="dxa"/>
          </w:tblCellMar>
        </w:tblPrEx>
        <w:trPr>
          <w:trHeight w:val="534" w:hRule="atLeast"/>
        </w:trPr>
        <w:tc>
          <w:tcPr>
            <w:tcW w:w="2806"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17C6CB46">
            <w:pPr>
              <w:jc w:val="left"/>
              <w:textAlignment w:val="center"/>
              <w:rPr>
                <w:rFonts w:ascii="宋体" w:hAnsi="宋体" w:eastAsia="宋体" w:cs="宋体"/>
                <w:color w:val="auto"/>
              </w:rPr>
            </w:pPr>
            <w:r>
              <w:rPr>
                <w:rFonts w:hint="eastAsia" w:ascii="宋体" w:hAnsi="宋体" w:eastAsia="宋体" w:cs="宋体"/>
                <w:color w:val="auto"/>
              </w:rPr>
              <w:t xml:space="preserve">            类别</w:t>
            </w:r>
          </w:p>
          <w:p w14:paraId="0218F355">
            <w:pPr>
              <w:jc w:val="left"/>
              <w:textAlignment w:val="center"/>
              <w:rPr>
                <w:rFonts w:ascii="宋体" w:hAnsi="宋体" w:eastAsia="宋体" w:cs="宋体"/>
                <w:color w:val="auto"/>
              </w:rPr>
            </w:pPr>
            <w:r>
              <w:rPr>
                <w:rFonts w:hint="eastAsia" w:ascii="宋体" w:hAnsi="宋体" w:eastAsia="宋体" w:cs="宋体"/>
                <w:color w:val="auto"/>
              </w:rPr>
              <w:t>金额（万元）</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C89CF">
            <w:pPr>
              <w:textAlignment w:val="center"/>
              <w:rPr>
                <w:rFonts w:eastAsia="宋体"/>
                <w:color w:val="auto"/>
              </w:rPr>
            </w:pPr>
            <w:r>
              <w:rPr>
                <w:rFonts w:eastAsia="宋体"/>
                <w:color w:val="auto"/>
              </w:rPr>
              <w:t>工程采购</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FCF37">
            <w:pPr>
              <w:textAlignment w:val="center"/>
              <w:rPr>
                <w:rFonts w:eastAsia="宋体"/>
                <w:color w:val="auto"/>
              </w:rPr>
            </w:pPr>
            <w:r>
              <w:rPr>
                <w:rFonts w:eastAsia="宋体"/>
                <w:color w:val="auto"/>
              </w:rPr>
              <w:t>货物采购</w:t>
            </w:r>
          </w:p>
        </w:tc>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D77A9">
            <w:pPr>
              <w:textAlignment w:val="center"/>
              <w:rPr>
                <w:rFonts w:eastAsia="宋体"/>
                <w:color w:val="auto"/>
              </w:rPr>
            </w:pPr>
            <w:r>
              <w:rPr>
                <w:rFonts w:eastAsia="宋体"/>
                <w:color w:val="auto"/>
              </w:rPr>
              <w:t>服务采购</w:t>
            </w:r>
          </w:p>
        </w:tc>
      </w:tr>
      <w:tr w14:paraId="006847C2">
        <w:tblPrEx>
          <w:tblCellMar>
            <w:top w:w="0" w:type="dxa"/>
            <w:left w:w="108" w:type="dxa"/>
            <w:bottom w:w="0" w:type="dxa"/>
            <w:right w:w="108" w:type="dxa"/>
          </w:tblCellMar>
        </w:tblPrEx>
        <w:trPr>
          <w:trHeight w:val="537" w:hRule="atLeast"/>
        </w:trPr>
        <w:tc>
          <w:tcPr>
            <w:tcW w:w="2806"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1C35A1E2">
            <w:pPr>
              <w:jc w:val="left"/>
              <w:rPr>
                <w:rFonts w:ascii="宋体" w:hAnsi="宋体" w:eastAsia="宋体" w:cs="宋体"/>
                <w:color w:val="auto"/>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6CC1">
            <w:pPr>
              <w:rPr>
                <w:rFonts w:eastAsia="宋体"/>
                <w:color w:val="auto"/>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EDECA">
            <w:pPr>
              <w:rPr>
                <w:rFonts w:eastAsia="宋体"/>
                <w:color w:val="auto"/>
              </w:rPr>
            </w:pP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77CD8">
            <w:pPr>
              <w:rPr>
                <w:rFonts w:eastAsia="宋体"/>
                <w:color w:val="auto"/>
              </w:rPr>
            </w:pPr>
          </w:p>
        </w:tc>
      </w:tr>
      <w:tr w14:paraId="5534852A">
        <w:tblPrEx>
          <w:tblCellMar>
            <w:top w:w="0" w:type="dxa"/>
            <w:left w:w="108" w:type="dxa"/>
            <w:bottom w:w="0" w:type="dxa"/>
            <w:right w:w="108" w:type="dxa"/>
          </w:tblCellMar>
        </w:tblPrEx>
        <w:trPr>
          <w:trHeight w:val="364"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tcPr>
          <w:p w14:paraId="6660633C">
            <w:pPr>
              <w:textAlignment w:val="top"/>
              <w:rPr>
                <w:rFonts w:ascii="宋体" w:hAnsi="宋体" w:eastAsia="宋体" w:cs="宋体"/>
                <w:color w:val="auto"/>
              </w:rPr>
            </w:pPr>
            <w:r>
              <w:rPr>
                <w:rFonts w:hint="eastAsia" w:ascii="宋体" w:hAnsi="宋体" w:eastAsia="宋体" w:cs="宋体"/>
                <w:color w:val="auto"/>
              </w:rPr>
              <w:t>100</w:t>
            </w:r>
            <w:r>
              <w:rPr>
                <w:rFonts w:eastAsia="宋体"/>
                <w:color w:val="auto"/>
              </w:rPr>
              <w:t>以下</w:t>
            </w:r>
          </w:p>
        </w:tc>
        <w:tc>
          <w:tcPr>
            <w:tcW w:w="1643" w:type="dxa"/>
            <w:tcBorders>
              <w:top w:val="single" w:color="000000" w:sz="4" w:space="0"/>
              <w:left w:val="single" w:color="000000" w:sz="4" w:space="0"/>
              <w:bottom w:val="single" w:color="000000" w:sz="4" w:space="0"/>
              <w:right w:val="single" w:color="000000" w:sz="4" w:space="0"/>
            </w:tcBorders>
            <w:shd w:val="clear" w:color="auto" w:fill="auto"/>
          </w:tcPr>
          <w:p w14:paraId="345AFFD1">
            <w:pPr>
              <w:textAlignment w:val="top"/>
              <w:rPr>
                <w:rFonts w:ascii="宋体" w:hAnsi="宋体" w:eastAsia="宋体" w:cs="宋体"/>
                <w:color w:val="auto"/>
              </w:rPr>
            </w:pPr>
            <w:r>
              <w:rPr>
                <w:rFonts w:hint="eastAsia" w:ascii="宋体" w:hAnsi="宋体" w:eastAsia="宋体" w:cs="宋体"/>
                <w:color w:val="auto"/>
              </w:rPr>
              <w:t>1.000%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tcPr>
          <w:p w14:paraId="640DFC7B">
            <w:pPr>
              <w:textAlignment w:val="top"/>
              <w:rPr>
                <w:rFonts w:ascii="宋体" w:hAnsi="宋体" w:eastAsia="宋体" w:cs="宋体"/>
                <w:color w:val="auto"/>
              </w:rPr>
            </w:pPr>
            <w:r>
              <w:rPr>
                <w:rFonts w:hint="eastAsia" w:ascii="宋体" w:hAnsi="宋体" w:eastAsia="宋体" w:cs="宋体"/>
                <w:color w:val="auto"/>
              </w:rPr>
              <w:t>1.500%</w:t>
            </w:r>
          </w:p>
        </w:tc>
        <w:tc>
          <w:tcPr>
            <w:tcW w:w="2065" w:type="dxa"/>
            <w:tcBorders>
              <w:top w:val="single" w:color="000000" w:sz="4" w:space="0"/>
              <w:left w:val="single" w:color="000000" w:sz="4" w:space="0"/>
              <w:bottom w:val="single" w:color="000000" w:sz="4" w:space="0"/>
              <w:right w:val="single" w:color="000000" w:sz="4" w:space="0"/>
            </w:tcBorders>
            <w:shd w:val="clear" w:color="auto" w:fill="auto"/>
          </w:tcPr>
          <w:p w14:paraId="76C2C313">
            <w:pPr>
              <w:textAlignment w:val="top"/>
              <w:rPr>
                <w:rFonts w:ascii="宋体" w:hAnsi="宋体" w:eastAsia="宋体" w:cs="宋体"/>
                <w:color w:val="auto"/>
              </w:rPr>
            </w:pPr>
            <w:r>
              <w:rPr>
                <w:rFonts w:hint="eastAsia" w:ascii="宋体" w:hAnsi="宋体" w:eastAsia="宋体" w:cs="宋体"/>
                <w:color w:val="auto"/>
              </w:rPr>
              <w:t>1.500%</w:t>
            </w:r>
          </w:p>
        </w:tc>
      </w:tr>
      <w:tr w14:paraId="3783B001">
        <w:tblPrEx>
          <w:tblCellMar>
            <w:top w:w="0" w:type="dxa"/>
            <w:left w:w="108" w:type="dxa"/>
            <w:bottom w:w="0" w:type="dxa"/>
            <w:right w:w="108" w:type="dxa"/>
          </w:tblCellMar>
        </w:tblPrEx>
        <w:trPr>
          <w:trHeight w:val="364"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tcPr>
          <w:p w14:paraId="487EAFFF">
            <w:pPr>
              <w:textAlignment w:val="top"/>
              <w:rPr>
                <w:rFonts w:ascii="宋体" w:hAnsi="宋体" w:eastAsia="宋体" w:cs="宋体"/>
                <w:color w:val="auto"/>
              </w:rPr>
            </w:pPr>
            <w:r>
              <w:rPr>
                <w:rFonts w:hint="eastAsia" w:ascii="宋体" w:hAnsi="宋体" w:eastAsia="宋体" w:cs="宋体"/>
                <w:color w:val="auto"/>
              </w:rPr>
              <w:t>100-500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Pr>
          <w:p w14:paraId="2C8620D8">
            <w:pPr>
              <w:textAlignment w:val="top"/>
              <w:rPr>
                <w:rFonts w:ascii="宋体" w:hAnsi="宋体" w:eastAsia="宋体" w:cs="宋体"/>
                <w:color w:val="auto"/>
              </w:rPr>
            </w:pPr>
            <w:r>
              <w:rPr>
                <w:rFonts w:hint="eastAsia" w:ascii="宋体" w:hAnsi="宋体" w:eastAsia="宋体" w:cs="宋体"/>
                <w:color w:val="auto"/>
              </w:rPr>
              <w:t>0.700%</w:t>
            </w:r>
          </w:p>
        </w:tc>
        <w:tc>
          <w:tcPr>
            <w:tcW w:w="1744" w:type="dxa"/>
            <w:tcBorders>
              <w:top w:val="single" w:color="000000" w:sz="4" w:space="0"/>
              <w:left w:val="single" w:color="000000" w:sz="4" w:space="0"/>
              <w:bottom w:val="single" w:color="000000" w:sz="4" w:space="0"/>
              <w:right w:val="single" w:color="000000" w:sz="4" w:space="0"/>
            </w:tcBorders>
            <w:shd w:val="clear" w:color="auto" w:fill="auto"/>
          </w:tcPr>
          <w:p w14:paraId="59737145">
            <w:pPr>
              <w:textAlignment w:val="top"/>
              <w:rPr>
                <w:rFonts w:ascii="宋体" w:hAnsi="宋体" w:eastAsia="宋体" w:cs="宋体"/>
                <w:color w:val="auto"/>
              </w:rPr>
            </w:pPr>
            <w:r>
              <w:rPr>
                <w:rFonts w:hint="eastAsia" w:ascii="宋体" w:hAnsi="宋体" w:eastAsia="宋体" w:cs="宋体"/>
                <w:color w:val="auto"/>
              </w:rPr>
              <w:t>1.100%</w:t>
            </w:r>
          </w:p>
        </w:tc>
        <w:tc>
          <w:tcPr>
            <w:tcW w:w="2065" w:type="dxa"/>
            <w:tcBorders>
              <w:top w:val="single" w:color="000000" w:sz="4" w:space="0"/>
              <w:left w:val="single" w:color="000000" w:sz="4" w:space="0"/>
              <w:bottom w:val="single" w:color="000000" w:sz="4" w:space="0"/>
              <w:right w:val="single" w:color="000000" w:sz="4" w:space="0"/>
            </w:tcBorders>
            <w:shd w:val="clear" w:color="auto" w:fill="auto"/>
          </w:tcPr>
          <w:p w14:paraId="21AF1341">
            <w:pPr>
              <w:textAlignment w:val="top"/>
              <w:rPr>
                <w:rFonts w:ascii="宋体" w:hAnsi="宋体" w:eastAsia="宋体" w:cs="宋体"/>
                <w:color w:val="auto"/>
              </w:rPr>
            </w:pPr>
            <w:r>
              <w:rPr>
                <w:rFonts w:hint="eastAsia" w:ascii="宋体" w:hAnsi="宋体" w:eastAsia="宋体" w:cs="宋体"/>
                <w:color w:val="auto"/>
              </w:rPr>
              <w:t>0.800%</w:t>
            </w:r>
          </w:p>
        </w:tc>
      </w:tr>
      <w:tr w14:paraId="6A322B91">
        <w:tblPrEx>
          <w:tblCellMar>
            <w:top w:w="0" w:type="dxa"/>
            <w:left w:w="108" w:type="dxa"/>
            <w:bottom w:w="0" w:type="dxa"/>
            <w:right w:w="108" w:type="dxa"/>
          </w:tblCellMar>
        </w:tblPrEx>
        <w:trPr>
          <w:trHeight w:val="364"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tcPr>
          <w:p w14:paraId="3B215CED">
            <w:pPr>
              <w:textAlignment w:val="top"/>
              <w:rPr>
                <w:rFonts w:ascii="宋体" w:hAnsi="宋体" w:eastAsia="宋体" w:cs="宋体"/>
                <w:color w:val="auto"/>
              </w:rPr>
            </w:pPr>
            <w:r>
              <w:rPr>
                <w:rFonts w:hint="eastAsia" w:ascii="宋体" w:hAnsi="宋体" w:eastAsia="宋体" w:cs="宋体"/>
                <w:color w:val="auto"/>
              </w:rPr>
              <w:t>500-1000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Pr>
          <w:p w14:paraId="43335C84">
            <w:pPr>
              <w:textAlignment w:val="top"/>
              <w:rPr>
                <w:rFonts w:ascii="宋体" w:hAnsi="宋体" w:eastAsia="宋体" w:cs="宋体"/>
                <w:color w:val="auto"/>
              </w:rPr>
            </w:pPr>
            <w:r>
              <w:rPr>
                <w:rFonts w:hint="eastAsia" w:ascii="宋体" w:hAnsi="宋体" w:eastAsia="宋体" w:cs="宋体"/>
                <w:color w:val="auto"/>
              </w:rPr>
              <w:t>0.550%</w:t>
            </w:r>
          </w:p>
        </w:tc>
        <w:tc>
          <w:tcPr>
            <w:tcW w:w="1744" w:type="dxa"/>
            <w:tcBorders>
              <w:top w:val="single" w:color="000000" w:sz="4" w:space="0"/>
              <w:left w:val="single" w:color="000000" w:sz="4" w:space="0"/>
              <w:bottom w:val="single" w:color="000000" w:sz="4" w:space="0"/>
              <w:right w:val="single" w:color="000000" w:sz="4" w:space="0"/>
            </w:tcBorders>
            <w:shd w:val="clear" w:color="auto" w:fill="auto"/>
          </w:tcPr>
          <w:p w14:paraId="71FC96B6">
            <w:pPr>
              <w:textAlignment w:val="top"/>
              <w:rPr>
                <w:rFonts w:ascii="宋体" w:hAnsi="宋体" w:eastAsia="宋体" w:cs="宋体"/>
                <w:color w:val="auto"/>
              </w:rPr>
            </w:pPr>
            <w:r>
              <w:rPr>
                <w:rFonts w:hint="eastAsia" w:ascii="宋体" w:hAnsi="宋体" w:eastAsia="宋体" w:cs="宋体"/>
                <w:color w:val="auto"/>
              </w:rPr>
              <w:t>0.800%</w:t>
            </w:r>
          </w:p>
        </w:tc>
        <w:tc>
          <w:tcPr>
            <w:tcW w:w="2065" w:type="dxa"/>
            <w:tcBorders>
              <w:top w:val="single" w:color="000000" w:sz="4" w:space="0"/>
              <w:left w:val="single" w:color="000000" w:sz="4" w:space="0"/>
              <w:bottom w:val="single" w:color="000000" w:sz="4" w:space="0"/>
              <w:right w:val="single" w:color="000000" w:sz="4" w:space="0"/>
            </w:tcBorders>
            <w:shd w:val="clear" w:color="auto" w:fill="auto"/>
          </w:tcPr>
          <w:p w14:paraId="6F562B96">
            <w:pPr>
              <w:textAlignment w:val="top"/>
              <w:rPr>
                <w:rFonts w:ascii="宋体" w:hAnsi="宋体" w:eastAsia="宋体" w:cs="宋体"/>
                <w:color w:val="auto"/>
              </w:rPr>
            </w:pPr>
            <w:r>
              <w:rPr>
                <w:rFonts w:hint="eastAsia" w:ascii="宋体" w:hAnsi="宋体" w:eastAsia="宋体" w:cs="宋体"/>
                <w:color w:val="auto"/>
              </w:rPr>
              <w:t>0.450%</w:t>
            </w:r>
          </w:p>
        </w:tc>
      </w:tr>
      <w:tr w14:paraId="6C6FCF3A">
        <w:tblPrEx>
          <w:tblCellMar>
            <w:top w:w="0" w:type="dxa"/>
            <w:left w:w="108" w:type="dxa"/>
            <w:bottom w:w="0" w:type="dxa"/>
            <w:right w:w="108" w:type="dxa"/>
          </w:tblCellMar>
        </w:tblPrEx>
        <w:trPr>
          <w:trHeight w:val="364"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tcPr>
          <w:p w14:paraId="557CC8BB">
            <w:pPr>
              <w:textAlignment w:val="top"/>
              <w:rPr>
                <w:rFonts w:ascii="宋体" w:hAnsi="宋体" w:eastAsia="宋体" w:cs="宋体"/>
                <w:color w:val="auto"/>
              </w:rPr>
            </w:pPr>
            <w:r>
              <w:rPr>
                <w:rFonts w:hint="eastAsia" w:ascii="宋体" w:hAnsi="宋体" w:eastAsia="宋体" w:cs="宋体"/>
                <w:color w:val="auto"/>
              </w:rPr>
              <w:t>1000-5000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Pr>
          <w:p w14:paraId="3DDE8F19">
            <w:pPr>
              <w:textAlignment w:val="top"/>
              <w:rPr>
                <w:rFonts w:ascii="宋体" w:hAnsi="宋体" w:eastAsia="宋体" w:cs="宋体"/>
                <w:color w:val="auto"/>
              </w:rPr>
            </w:pPr>
            <w:r>
              <w:rPr>
                <w:rFonts w:hint="eastAsia" w:ascii="宋体" w:hAnsi="宋体" w:eastAsia="宋体" w:cs="宋体"/>
                <w:color w:val="auto"/>
              </w:rPr>
              <w:t>0.350%</w:t>
            </w:r>
          </w:p>
        </w:tc>
        <w:tc>
          <w:tcPr>
            <w:tcW w:w="1744" w:type="dxa"/>
            <w:tcBorders>
              <w:top w:val="single" w:color="000000" w:sz="4" w:space="0"/>
              <w:left w:val="single" w:color="000000" w:sz="4" w:space="0"/>
              <w:bottom w:val="single" w:color="000000" w:sz="4" w:space="0"/>
              <w:right w:val="single" w:color="000000" w:sz="4" w:space="0"/>
            </w:tcBorders>
            <w:shd w:val="clear" w:color="auto" w:fill="auto"/>
          </w:tcPr>
          <w:p w14:paraId="3AB311EA">
            <w:pPr>
              <w:textAlignment w:val="top"/>
              <w:rPr>
                <w:rFonts w:ascii="宋体" w:hAnsi="宋体" w:eastAsia="宋体" w:cs="宋体"/>
                <w:color w:val="auto"/>
              </w:rPr>
            </w:pPr>
            <w:r>
              <w:rPr>
                <w:rFonts w:hint="eastAsia" w:ascii="宋体" w:hAnsi="宋体" w:eastAsia="宋体" w:cs="宋体"/>
                <w:color w:val="auto"/>
              </w:rPr>
              <w:t>0.500%</w:t>
            </w:r>
          </w:p>
        </w:tc>
        <w:tc>
          <w:tcPr>
            <w:tcW w:w="2065" w:type="dxa"/>
            <w:tcBorders>
              <w:top w:val="single" w:color="000000" w:sz="4" w:space="0"/>
              <w:left w:val="single" w:color="000000" w:sz="4" w:space="0"/>
              <w:bottom w:val="single" w:color="000000" w:sz="4" w:space="0"/>
              <w:right w:val="single" w:color="000000" w:sz="4" w:space="0"/>
            </w:tcBorders>
            <w:shd w:val="clear" w:color="auto" w:fill="auto"/>
          </w:tcPr>
          <w:p w14:paraId="6EE0F73E">
            <w:pPr>
              <w:textAlignment w:val="top"/>
              <w:rPr>
                <w:rFonts w:ascii="宋体" w:hAnsi="宋体" w:eastAsia="宋体" w:cs="宋体"/>
                <w:color w:val="auto"/>
              </w:rPr>
            </w:pPr>
            <w:r>
              <w:rPr>
                <w:rFonts w:hint="eastAsia" w:ascii="宋体" w:hAnsi="宋体" w:eastAsia="宋体" w:cs="宋体"/>
                <w:color w:val="auto"/>
              </w:rPr>
              <w:t>0.250%</w:t>
            </w:r>
          </w:p>
        </w:tc>
      </w:tr>
      <w:tr w14:paraId="0D85F60D">
        <w:tblPrEx>
          <w:tblCellMar>
            <w:top w:w="0" w:type="dxa"/>
            <w:left w:w="108" w:type="dxa"/>
            <w:bottom w:w="0" w:type="dxa"/>
            <w:right w:w="108" w:type="dxa"/>
          </w:tblCellMar>
        </w:tblPrEx>
        <w:trPr>
          <w:trHeight w:val="364"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tcPr>
          <w:p w14:paraId="12422E6B">
            <w:pPr>
              <w:textAlignment w:val="top"/>
              <w:rPr>
                <w:rFonts w:ascii="宋体" w:hAnsi="宋体" w:eastAsia="宋体" w:cs="宋体"/>
                <w:color w:val="auto"/>
              </w:rPr>
            </w:pPr>
            <w:r>
              <w:rPr>
                <w:rFonts w:hint="eastAsia" w:ascii="宋体" w:hAnsi="宋体" w:eastAsia="宋体" w:cs="宋体"/>
                <w:color w:val="auto"/>
              </w:rPr>
              <w:t>5000-10000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Pr>
          <w:p w14:paraId="7CF4CAAD">
            <w:pPr>
              <w:textAlignment w:val="top"/>
              <w:rPr>
                <w:rFonts w:ascii="宋体" w:hAnsi="宋体" w:eastAsia="宋体" w:cs="宋体"/>
                <w:color w:val="auto"/>
              </w:rPr>
            </w:pPr>
            <w:r>
              <w:rPr>
                <w:rFonts w:hint="eastAsia" w:ascii="宋体" w:hAnsi="宋体" w:eastAsia="宋体" w:cs="宋体"/>
                <w:color w:val="auto"/>
              </w:rPr>
              <w:t>0.200%</w:t>
            </w:r>
          </w:p>
        </w:tc>
        <w:tc>
          <w:tcPr>
            <w:tcW w:w="1744" w:type="dxa"/>
            <w:tcBorders>
              <w:top w:val="single" w:color="000000" w:sz="4" w:space="0"/>
              <w:left w:val="single" w:color="000000" w:sz="4" w:space="0"/>
              <w:bottom w:val="single" w:color="000000" w:sz="4" w:space="0"/>
              <w:right w:val="single" w:color="000000" w:sz="4" w:space="0"/>
            </w:tcBorders>
            <w:shd w:val="clear" w:color="auto" w:fill="auto"/>
          </w:tcPr>
          <w:p w14:paraId="31512F94">
            <w:pPr>
              <w:textAlignment w:val="top"/>
              <w:rPr>
                <w:rFonts w:ascii="宋体" w:hAnsi="宋体" w:eastAsia="宋体" w:cs="宋体"/>
                <w:color w:val="auto"/>
              </w:rPr>
            </w:pPr>
            <w:r>
              <w:rPr>
                <w:rFonts w:hint="eastAsia" w:ascii="宋体" w:hAnsi="宋体" w:eastAsia="宋体" w:cs="宋体"/>
                <w:color w:val="auto"/>
              </w:rPr>
              <w:t>0.250%</w:t>
            </w:r>
          </w:p>
        </w:tc>
        <w:tc>
          <w:tcPr>
            <w:tcW w:w="2065" w:type="dxa"/>
            <w:tcBorders>
              <w:top w:val="single" w:color="000000" w:sz="4" w:space="0"/>
              <w:left w:val="single" w:color="000000" w:sz="4" w:space="0"/>
              <w:bottom w:val="single" w:color="000000" w:sz="4" w:space="0"/>
              <w:right w:val="single" w:color="000000" w:sz="4" w:space="0"/>
            </w:tcBorders>
            <w:shd w:val="clear" w:color="auto" w:fill="auto"/>
          </w:tcPr>
          <w:p w14:paraId="47C93880">
            <w:pPr>
              <w:textAlignment w:val="top"/>
              <w:rPr>
                <w:rFonts w:ascii="宋体" w:hAnsi="宋体" w:eastAsia="宋体" w:cs="宋体"/>
                <w:color w:val="auto"/>
              </w:rPr>
            </w:pPr>
            <w:r>
              <w:rPr>
                <w:rFonts w:hint="eastAsia" w:ascii="宋体" w:hAnsi="宋体" w:eastAsia="宋体" w:cs="宋体"/>
                <w:color w:val="auto"/>
              </w:rPr>
              <w:t>0.100%</w:t>
            </w:r>
          </w:p>
        </w:tc>
      </w:tr>
      <w:tr w14:paraId="25B0B2D0">
        <w:tblPrEx>
          <w:tblCellMar>
            <w:top w:w="0" w:type="dxa"/>
            <w:left w:w="108" w:type="dxa"/>
            <w:bottom w:w="0" w:type="dxa"/>
            <w:right w:w="108" w:type="dxa"/>
          </w:tblCellMar>
        </w:tblPrEx>
        <w:trPr>
          <w:trHeight w:val="364"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tcPr>
          <w:p w14:paraId="5E868F91">
            <w:pPr>
              <w:textAlignment w:val="top"/>
              <w:rPr>
                <w:rFonts w:ascii="宋体" w:hAnsi="宋体" w:eastAsia="宋体" w:cs="宋体"/>
                <w:color w:val="auto"/>
              </w:rPr>
            </w:pPr>
            <w:r>
              <w:rPr>
                <w:rFonts w:hint="eastAsia" w:ascii="宋体" w:hAnsi="宋体" w:eastAsia="宋体" w:cs="宋体"/>
                <w:color w:val="auto"/>
              </w:rPr>
              <w:t>10000-50000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Pr>
          <w:p w14:paraId="08251636">
            <w:pPr>
              <w:textAlignment w:val="top"/>
              <w:rPr>
                <w:rFonts w:ascii="宋体" w:hAnsi="宋体" w:eastAsia="宋体" w:cs="宋体"/>
                <w:color w:val="auto"/>
              </w:rPr>
            </w:pPr>
            <w:r>
              <w:rPr>
                <w:rFonts w:hint="eastAsia" w:ascii="宋体" w:hAnsi="宋体" w:eastAsia="宋体" w:cs="宋体"/>
                <w:color w:val="auto"/>
              </w:rPr>
              <w:t>0.050%</w:t>
            </w:r>
          </w:p>
        </w:tc>
        <w:tc>
          <w:tcPr>
            <w:tcW w:w="1744" w:type="dxa"/>
            <w:tcBorders>
              <w:top w:val="single" w:color="000000" w:sz="4" w:space="0"/>
              <w:left w:val="single" w:color="000000" w:sz="4" w:space="0"/>
              <w:bottom w:val="single" w:color="000000" w:sz="4" w:space="0"/>
              <w:right w:val="single" w:color="000000" w:sz="4" w:space="0"/>
            </w:tcBorders>
            <w:shd w:val="clear" w:color="auto" w:fill="auto"/>
          </w:tcPr>
          <w:p w14:paraId="11CB3A92">
            <w:pPr>
              <w:textAlignment w:val="top"/>
              <w:rPr>
                <w:rFonts w:ascii="宋体" w:hAnsi="宋体" w:eastAsia="宋体" w:cs="宋体"/>
                <w:color w:val="auto"/>
              </w:rPr>
            </w:pPr>
            <w:r>
              <w:rPr>
                <w:rFonts w:hint="eastAsia" w:ascii="宋体" w:hAnsi="宋体" w:eastAsia="宋体" w:cs="宋体"/>
                <w:color w:val="auto"/>
              </w:rPr>
              <w:t>0.050%</w:t>
            </w:r>
          </w:p>
        </w:tc>
        <w:tc>
          <w:tcPr>
            <w:tcW w:w="2065" w:type="dxa"/>
            <w:tcBorders>
              <w:top w:val="single" w:color="000000" w:sz="4" w:space="0"/>
              <w:left w:val="single" w:color="000000" w:sz="4" w:space="0"/>
              <w:bottom w:val="single" w:color="000000" w:sz="4" w:space="0"/>
              <w:right w:val="single" w:color="000000" w:sz="4" w:space="0"/>
            </w:tcBorders>
            <w:shd w:val="clear" w:color="auto" w:fill="auto"/>
          </w:tcPr>
          <w:p w14:paraId="57CF2886">
            <w:pPr>
              <w:textAlignment w:val="top"/>
              <w:rPr>
                <w:rFonts w:ascii="宋体" w:hAnsi="宋体" w:eastAsia="宋体" w:cs="宋体"/>
                <w:color w:val="auto"/>
              </w:rPr>
            </w:pPr>
            <w:r>
              <w:rPr>
                <w:rFonts w:hint="eastAsia" w:ascii="宋体" w:hAnsi="宋体" w:eastAsia="宋体" w:cs="宋体"/>
                <w:color w:val="auto"/>
              </w:rPr>
              <w:t>0.050%</w:t>
            </w:r>
          </w:p>
        </w:tc>
      </w:tr>
      <w:tr w14:paraId="3794DCF4">
        <w:tblPrEx>
          <w:tblCellMar>
            <w:top w:w="0" w:type="dxa"/>
            <w:left w:w="108" w:type="dxa"/>
            <w:bottom w:w="0" w:type="dxa"/>
            <w:right w:w="108" w:type="dxa"/>
          </w:tblCellMar>
        </w:tblPrEx>
        <w:trPr>
          <w:trHeight w:val="364"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tcPr>
          <w:p w14:paraId="31A8C29F">
            <w:pPr>
              <w:textAlignment w:val="top"/>
              <w:rPr>
                <w:rFonts w:ascii="宋体" w:hAnsi="宋体" w:eastAsia="宋体" w:cs="宋体"/>
                <w:color w:val="auto"/>
              </w:rPr>
            </w:pPr>
            <w:r>
              <w:rPr>
                <w:rFonts w:hint="eastAsia" w:ascii="宋体" w:hAnsi="宋体" w:eastAsia="宋体" w:cs="宋体"/>
                <w:color w:val="auto"/>
              </w:rPr>
              <w:t>50000-100000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Pr>
          <w:p w14:paraId="20A191F1">
            <w:pPr>
              <w:textAlignment w:val="top"/>
              <w:rPr>
                <w:rFonts w:ascii="宋体" w:hAnsi="宋体" w:eastAsia="宋体" w:cs="宋体"/>
                <w:color w:val="auto"/>
              </w:rPr>
            </w:pPr>
            <w:r>
              <w:rPr>
                <w:rFonts w:hint="eastAsia" w:ascii="宋体" w:hAnsi="宋体" w:eastAsia="宋体" w:cs="宋体"/>
                <w:color w:val="auto"/>
              </w:rPr>
              <w:t>0.035%</w:t>
            </w:r>
          </w:p>
        </w:tc>
        <w:tc>
          <w:tcPr>
            <w:tcW w:w="1744" w:type="dxa"/>
            <w:tcBorders>
              <w:top w:val="single" w:color="000000" w:sz="4" w:space="0"/>
              <w:left w:val="single" w:color="000000" w:sz="4" w:space="0"/>
              <w:bottom w:val="single" w:color="000000" w:sz="4" w:space="0"/>
              <w:right w:val="single" w:color="000000" w:sz="4" w:space="0"/>
            </w:tcBorders>
            <w:shd w:val="clear" w:color="auto" w:fill="auto"/>
          </w:tcPr>
          <w:p w14:paraId="432EC714">
            <w:pPr>
              <w:textAlignment w:val="top"/>
              <w:rPr>
                <w:rFonts w:ascii="宋体" w:hAnsi="宋体" w:eastAsia="宋体" w:cs="宋体"/>
                <w:color w:val="auto"/>
              </w:rPr>
            </w:pPr>
            <w:r>
              <w:rPr>
                <w:rFonts w:hint="eastAsia" w:ascii="宋体" w:hAnsi="宋体" w:eastAsia="宋体" w:cs="宋体"/>
                <w:color w:val="auto"/>
              </w:rPr>
              <w:t>0.035%</w:t>
            </w:r>
          </w:p>
        </w:tc>
        <w:tc>
          <w:tcPr>
            <w:tcW w:w="2065" w:type="dxa"/>
            <w:tcBorders>
              <w:top w:val="single" w:color="000000" w:sz="4" w:space="0"/>
              <w:left w:val="single" w:color="000000" w:sz="4" w:space="0"/>
              <w:bottom w:val="single" w:color="000000" w:sz="4" w:space="0"/>
              <w:right w:val="single" w:color="000000" w:sz="4" w:space="0"/>
            </w:tcBorders>
            <w:shd w:val="clear" w:color="auto" w:fill="auto"/>
          </w:tcPr>
          <w:p w14:paraId="47F77C11">
            <w:pPr>
              <w:textAlignment w:val="top"/>
              <w:rPr>
                <w:rFonts w:ascii="宋体" w:hAnsi="宋体" w:eastAsia="宋体" w:cs="宋体"/>
                <w:color w:val="auto"/>
              </w:rPr>
            </w:pPr>
            <w:r>
              <w:rPr>
                <w:rFonts w:hint="eastAsia" w:ascii="宋体" w:hAnsi="宋体" w:eastAsia="宋体" w:cs="宋体"/>
                <w:color w:val="auto"/>
              </w:rPr>
              <w:t>0.035%</w:t>
            </w:r>
          </w:p>
        </w:tc>
      </w:tr>
      <w:tr w14:paraId="2C6AF1A1">
        <w:tblPrEx>
          <w:tblCellMar>
            <w:top w:w="0" w:type="dxa"/>
            <w:left w:w="108" w:type="dxa"/>
            <w:bottom w:w="0" w:type="dxa"/>
            <w:right w:w="108" w:type="dxa"/>
          </w:tblCellMar>
        </w:tblPrEx>
        <w:trPr>
          <w:trHeight w:val="364"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tcPr>
          <w:p w14:paraId="697A90CA">
            <w:pPr>
              <w:textAlignment w:val="top"/>
              <w:rPr>
                <w:rFonts w:ascii="宋体" w:hAnsi="宋体" w:eastAsia="宋体" w:cs="宋体"/>
                <w:color w:val="auto"/>
              </w:rPr>
            </w:pPr>
            <w:r>
              <w:rPr>
                <w:rFonts w:hint="eastAsia" w:ascii="宋体" w:hAnsi="宋体" w:eastAsia="宋体" w:cs="宋体"/>
                <w:color w:val="auto"/>
              </w:rPr>
              <w:t>100000-500000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Pr>
          <w:p w14:paraId="437E4B3F">
            <w:pPr>
              <w:textAlignment w:val="top"/>
              <w:rPr>
                <w:rFonts w:ascii="宋体" w:hAnsi="宋体" w:eastAsia="宋体" w:cs="宋体"/>
                <w:color w:val="auto"/>
              </w:rPr>
            </w:pPr>
            <w:r>
              <w:rPr>
                <w:rFonts w:hint="eastAsia" w:ascii="宋体" w:hAnsi="宋体" w:eastAsia="宋体" w:cs="宋体"/>
                <w:color w:val="auto"/>
              </w:rPr>
              <w:t>0.008%</w:t>
            </w:r>
          </w:p>
        </w:tc>
        <w:tc>
          <w:tcPr>
            <w:tcW w:w="1744" w:type="dxa"/>
            <w:tcBorders>
              <w:top w:val="single" w:color="000000" w:sz="4" w:space="0"/>
              <w:left w:val="single" w:color="000000" w:sz="4" w:space="0"/>
              <w:bottom w:val="single" w:color="000000" w:sz="4" w:space="0"/>
              <w:right w:val="single" w:color="000000" w:sz="4" w:space="0"/>
            </w:tcBorders>
            <w:shd w:val="clear" w:color="auto" w:fill="auto"/>
          </w:tcPr>
          <w:p w14:paraId="3A86815C">
            <w:pPr>
              <w:textAlignment w:val="top"/>
              <w:rPr>
                <w:rFonts w:ascii="宋体" w:hAnsi="宋体" w:eastAsia="宋体" w:cs="宋体"/>
                <w:color w:val="auto"/>
              </w:rPr>
            </w:pPr>
            <w:r>
              <w:rPr>
                <w:rFonts w:hint="eastAsia" w:ascii="宋体" w:hAnsi="宋体" w:eastAsia="宋体" w:cs="宋体"/>
                <w:color w:val="auto"/>
              </w:rPr>
              <w:t>0.008%</w:t>
            </w:r>
          </w:p>
        </w:tc>
        <w:tc>
          <w:tcPr>
            <w:tcW w:w="2065" w:type="dxa"/>
            <w:tcBorders>
              <w:top w:val="single" w:color="000000" w:sz="4" w:space="0"/>
              <w:left w:val="single" w:color="000000" w:sz="4" w:space="0"/>
              <w:bottom w:val="single" w:color="000000" w:sz="4" w:space="0"/>
              <w:right w:val="single" w:color="000000" w:sz="4" w:space="0"/>
            </w:tcBorders>
            <w:shd w:val="clear" w:color="auto" w:fill="auto"/>
          </w:tcPr>
          <w:p w14:paraId="34DCAC91">
            <w:pPr>
              <w:textAlignment w:val="top"/>
              <w:rPr>
                <w:rFonts w:ascii="宋体" w:hAnsi="宋体" w:eastAsia="宋体" w:cs="宋体"/>
                <w:color w:val="auto"/>
              </w:rPr>
            </w:pPr>
            <w:r>
              <w:rPr>
                <w:rFonts w:hint="eastAsia" w:ascii="宋体" w:hAnsi="宋体" w:eastAsia="宋体" w:cs="宋体"/>
                <w:color w:val="auto"/>
              </w:rPr>
              <w:t>0.008%</w:t>
            </w:r>
          </w:p>
        </w:tc>
      </w:tr>
      <w:tr w14:paraId="3503CAFA">
        <w:tblPrEx>
          <w:tblCellMar>
            <w:top w:w="0" w:type="dxa"/>
            <w:left w:w="108" w:type="dxa"/>
            <w:bottom w:w="0" w:type="dxa"/>
            <w:right w:w="108" w:type="dxa"/>
          </w:tblCellMar>
        </w:tblPrEx>
        <w:trPr>
          <w:trHeight w:val="364"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tcPr>
          <w:p w14:paraId="59DF0987">
            <w:pPr>
              <w:textAlignment w:val="top"/>
              <w:rPr>
                <w:rFonts w:ascii="宋体" w:hAnsi="宋体" w:eastAsia="宋体" w:cs="宋体"/>
                <w:color w:val="auto"/>
              </w:rPr>
            </w:pPr>
            <w:r>
              <w:rPr>
                <w:rFonts w:hint="eastAsia" w:ascii="宋体" w:hAnsi="宋体" w:eastAsia="宋体" w:cs="宋体"/>
                <w:color w:val="auto"/>
              </w:rPr>
              <w:t>500000-1000000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Pr>
          <w:p w14:paraId="20404EDE">
            <w:pPr>
              <w:textAlignment w:val="top"/>
              <w:rPr>
                <w:rFonts w:ascii="宋体" w:hAnsi="宋体" w:eastAsia="宋体" w:cs="宋体"/>
                <w:color w:val="auto"/>
              </w:rPr>
            </w:pPr>
            <w:r>
              <w:rPr>
                <w:rFonts w:hint="eastAsia" w:ascii="宋体" w:hAnsi="宋体" w:eastAsia="宋体" w:cs="宋体"/>
                <w:color w:val="auto"/>
              </w:rPr>
              <w:t>0.006%</w:t>
            </w:r>
          </w:p>
        </w:tc>
        <w:tc>
          <w:tcPr>
            <w:tcW w:w="1744" w:type="dxa"/>
            <w:tcBorders>
              <w:top w:val="single" w:color="000000" w:sz="4" w:space="0"/>
              <w:left w:val="single" w:color="000000" w:sz="4" w:space="0"/>
              <w:bottom w:val="single" w:color="000000" w:sz="4" w:space="0"/>
              <w:right w:val="single" w:color="000000" w:sz="4" w:space="0"/>
            </w:tcBorders>
            <w:shd w:val="clear" w:color="auto" w:fill="auto"/>
          </w:tcPr>
          <w:p w14:paraId="41A88857">
            <w:pPr>
              <w:textAlignment w:val="top"/>
              <w:rPr>
                <w:rFonts w:ascii="宋体" w:hAnsi="宋体" w:eastAsia="宋体" w:cs="宋体"/>
                <w:color w:val="auto"/>
              </w:rPr>
            </w:pPr>
            <w:r>
              <w:rPr>
                <w:rFonts w:hint="eastAsia" w:ascii="宋体" w:hAnsi="宋体" w:eastAsia="宋体" w:cs="宋体"/>
                <w:color w:val="auto"/>
              </w:rPr>
              <w:t>0.006%</w:t>
            </w:r>
          </w:p>
        </w:tc>
        <w:tc>
          <w:tcPr>
            <w:tcW w:w="2065" w:type="dxa"/>
            <w:tcBorders>
              <w:top w:val="single" w:color="000000" w:sz="4" w:space="0"/>
              <w:left w:val="single" w:color="000000" w:sz="4" w:space="0"/>
              <w:bottom w:val="single" w:color="000000" w:sz="4" w:space="0"/>
              <w:right w:val="single" w:color="000000" w:sz="4" w:space="0"/>
            </w:tcBorders>
            <w:shd w:val="clear" w:color="auto" w:fill="auto"/>
          </w:tcPr>
          <w:p w14:paraId="68FE014E">
            <w:pPr>
              <w:textAlignment w:val="top"/>
              <w:rPr>
                <w:rFonts w:ascii="宋体" w:hAnsi="宋体" w:eastAsia="宋体" w:cs="宋体"/>
                <w:color w:val="auto"/>
              </w:rPr>
            </w:pPr>
            <w:r>
              <w:rPr>
                <w:rFonts w:hint="eastAsia" w:ascii="宋体" w:hAnsi="宋体" w:eastAsia="宋体" w:cs="宋体"/>
                <w:color w:val="auto"/>
              </w:rPr>
              <w:t>0.006%</w:t>
            </w:r>
          </w:p>
        </w:tc>
      </w:tr>
      <w:tr w14:paraId="50828F44">
        <w:tblPrEx>
          <w:tblCellMar>
            <w:top w:w="0" w:type="dxa"/>
            <w:left w:w="108" w:type="dxa"/>
            <w:bottom w:w="0" w:type="dxa"/>
            <w:right w:w="108" w:type="dxa"/>
          </w:tblCellMar>
        </w:tblPrEx>
        <w:trPr>
          <w:trHeight w:val="376"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tcPr>
          <w:p w14:paraId="452A978E">
            <w:pPr>
              <w:textAlignment w:val="top"/>
              <w:rPr>
                <w:rFonts w:ascii="宋体" w:hAnsi="宋体" w:eastAsia="宋体" w:cs="宋体"/>
                <w:color w:val="auto"/>
              </w:rPr>
            </w:pPr>
            <w:r>
              <w:rPr>
                <w:rFonts w:hint="eastAsia" w:ascii="宋体" w:hAnsi="宋体" w:eastAsia="宋体" w:cs="宋体"/>
                <w:color w:val="auto"/>
              </w:rPr>
              <w:t>1000000</w:t>
            </w:r>
            <w:r>
              <w:rPr>
                <w:rFonts w:eastAsia="宋体"/>
                <w:color w:val="auto"/>
              </w:rPr>
              <w:t>以上</w:t>
            </w:r>
          </w:p>
        </w:tc>
        <w:tc>
          <w:tcPr>
            <w:tcW w:w="1643" w:type="dxa"/>
            <w:tcBorders>
              <w:top w:val="single" w:color="000000" w:sz="4" w:space="0"/>
              <w:left w:val="single" w:color="000000" w:sz="4" w:space="0"/>
              <w:bottom w:val="single" w:color="000000" w:sz="4" w:space="0"/>
              <w:right w:val="single" w:color="000000" w:sz="4" w:space="0"/>
            </w:tcBorders>
            <w:shd w:val="clear" w:color="auto" w:fill="auto"/>
          </w:tcPr>
          <w:p w14:paraId="6A71A841">
            <w:pPr>
              <w:textAlignment w:val="top"/>
              <w:rPr>
                <w:rFonts w:ascii="宋体" w:hAnsi="宋体" w:eastAsia="宋体" w:cs="宋体"/>
                <w:color w:val="auto"/>
              </w:rPr>
            </w:pPr>
            <w:r>
              <w:rPr>
                <w:rFonts w:hint="eastAsia" w:ascii="宋体" w:hAnsi="宋体" w:eastAsia="宋体" w:cs="宋体"/>
                <w:color w:val="auto"/>
              </w:rPr>
              <w:t>0.004%</w:t>
            </w:r>
          </w:p>
        </w:tc>
        <w:tc>
          <w:tcPr>
            <w:tcW w:w="1744" w:type="dxa"/>
            <w:tcBorders>
              <w:top w:val="single" w:color="000000" w:sz="4" w:space="0"/>
              <w:left w:val="single" w:color="000000" w:sz="4" w:space="0"/>
              <w:bottom w:val="single" w:color="000000" w:sz="4" w:space="0"/>
              <w:right w:val="single" w:color="000000" w:sz="4" w:space="0"/>
            </w:tcBorders>
            <w:shd w:val="clear" w:color="auto" w:fill="auto"/>
          </w:tcPr>
          <w:p w14:paraId="6F2F5B62">
            <w:pPr>
              <w:textAlignment w:val="top"/>
              <w:rPr>
                <w:rFonts w:ascii="宋体" w:hAnsi="宋体" w:eastAsia="宋体" w:cs="宋体"/>
                <w:color w:val="auto"/>
              </w:rPr>
            </w:pPr>
            <w:r>
              <w:rPr>
                <w:rFonts w:hint="eastAsia" w:ascii="宋体" w:hAnsi="宋体" w:eastAsia="宋体" w:cs="宋体"/>
                <w:color w:val="auto"/>
              </w:rPr>
              <w:t>0.004%</w:t>
            </w:r>
          </w:p>
        </w:tc>
        <w:tc>
          <w:tcPr>
            <w:tcW w:w="2065" w:type="dxa"/>
            <w:tcBorders>
              <w:top w:val="single" w:color="000000" w:sz="4" w:space="0"/>
              <w:left w:val="single" w:color="000000" w:sz="4" w:space="0"/>
              <w:bottom w:val="single" w:color="000000" w:sz="4" w:space="0"/>
              <w:right w:val="single" w:color="000000" w:sz="4" w:space="0"/>
            </w:tcBorders>
            <w:shd w:val="clear" w:color="auto" w:fill="auto"/>
          </w:tcPr>
          <w:p w14:paraId="0B2C5489">
            <w:pPr>
              <w:textAlignment w:val="top"/>
              <w:rPr>
                <w:rFonts w:ascii="宋体" w:hAnsi="宋体" w:eastAsia="宋体" w:cs="宋体"/>
                <w:color w:val="auto"/>
              </w:rPr>
            </w:pPr>
            <w:r>
              <w:rPr>
                <w:rFonts w:hint="eastAsia" w:ascii="宋体" w:hAnsi="宋体" w:eastAsia="宋体" w:cs="宋体"/>
                <w:color w:val="auto"/>
              </w:rPr>
              <w:t>0.004%</w:t>
            </w:r>
          </w:p>
        </w:tc>
      </w:tr>
    </w:tbl>
    <w:p w14:paraId="2C2C9975">
      <w:pPr>
        <w:jc w:val="left"/>
        <w:rPr>
          <w:color w:val="auto"/>
        </w:rPr>
      </w:pPr>
    </w:p>
    <w:p w14:paraId="399E502A">
      <w:pPr>
        <w:rPr>
          <w:color w:val="auto"/>
        </w:rPr>
      </w:pPr>
    </w:p>
    <w:p w14:paraId="7B23D4EC">
      <w:pPr>
        <w:ind w:firstLine="432"/>
        <w:jc w:val="both"/>
        <w:rPr>
          <w:rFonts w:ascii="宋体" w:hAnsi="宋体"/>
          <w:color w:val="auto"/>
          <w:szCs w:val="21"/>
        </w:rPr>
      </w:pPr>
    </w:p>
    <w:p w14:paraId="79D0262A">
      <w:pPr>
        <w:ind w:firstLine="480" w:firstLineChars="200"/>
        <w:jc w:val="left"/>
        <w:rPr>
          <w:color w:val="auto"/>
        </w:rPr>
      </w:pPr>
      <w:r>
        <w:rPr>
          <w:rFonts w:hint="eastAsia" w:ascii="宋体" w:hAnsi="宋体" w:eastAsia="宋体" w:cs="宋体"/>
          <w:color w:val="auto"/>
        </w:rPr>
        <w:t>如</w:t>
      </w:r>
      <w:r>
        <w:rPr>
          <w:rFonts w:hint="eastAsia"/>
          <w:color w:val="auto"/>
        </w:rPr>
        <w:t>某货物采购项目，中标金额为600万元，总共交纳的代理服务费的具体计算过程如下：</w:t>
      </w:r>
    </w:p>
    <w:p w14:paraId="28EF00B0">
      <w:pPr>
        <w:ind w:firstLine="480" w:firstLineChars="200"/>
        <w:jc w:val="left"/>
        <w:rPr>
          <w:color w:val="auto"/>
        </w:rPr>
      </w:pPr>
      <w:r>
        <w:rPr>
          <w:rFonts w:hint="eastAsia" w:ascii="宋体" w:hAnsi="宋体" w:eastAsia="宋体" w:cs="宋体"/>
          <w:color w:val="auto"/>
        </w:rPr>
        <w:t>标</w:t>
      </w:r>
      <w:r>
        <w:rPr>
          <w:rFonts w:hint="eastAsia"/>
          <w:color w:val="auto"/>
        </w:rPr>
        <w:t>准代理服务费＝（100万以下部分的代理服务费）+（100万～500万部分的代理服务费）+（500万～600万部分的代理服务费）＝100万元×1.5%+（500-100）万元×1.1%+（600-500）万元×0.8%=1.5万元+4.4万元+0.8万元＝6.7万元</w:t>
      </w:r>
    </w:p>
    <w:p w14:paraId="0013868D">
      <w:pPr>
        <w:ind w:firstLine="480" w:firstLineChars="200"/>
        <w:jc w:val="left"/>
        <w:rPr>
          <w:color w:val="auto"/>
        </w:rPr>
      </w:pPr>
      <w:r>
        <w:rPr>
          <w:rFonts w:hint="eastAsia" w:ascii="宋体" w:hAnsi="宋体" w:eastAsia="宋体" w:cs="宋体"/>
          <w:color w:val="auto"/>
        </w:rPr>
        <w:t>（</w:t>
      </w:r>
      <w:r>
        <w:rPr>
          <w:rFonts w:hint="eastAsia"/>
          <w:color w:val="auto"/>
        </w:rPr>
        <w:t>三）每宗交易代理服务费不低于</w:t>
      </w:r>
      <w:r>
        <w:rPr>
          <w:rFonts w:hint="eastAsia" w:eastAsia="宋体"/>
          <w:color w:val="auto"/>
          <w:lang w:val="en-US" w:eastAsia="zh-CN"/>
        </w:rPr>
        <w:t>3</w:t>
      </w:r>
      <w:r>
        <w:rPr>
          <w:rFonts w:hint="eastAsia"/>
          <w:color w:val="auto"/>
        </w:rPr>
        <w:t>000元；</w:t>
      </w:r>
    </w:p>
    <w:p w14:paraId="0B9B7ECA">
      <w:pPr>
        <w:ind w:firstLine="480" w:firstLineChars="200"/>
        <w:jc w:val="left"/>
        <w:rPr>
          <w:color w:val="auto"/>
        </w:rPr>
      </w:pPr>
      <w:r>
        <w:rPr>
          <w:rFonts w:hint="eastAsia" w:ascii="宋体" w:hAnsi="宋体" w:eastAsia="宋体" w:cs="宋体"/>
          <w:color w:val="auto"/>
        </w:rPr>
        <w:t>（</w:t>
      </w:r>
      <w:r>
        <w:rPr>
          <w:rFonts w:hint="eastAsia"/>
          <w:color w:val="auto"/>
        </w:rPr>
        <w:t>四）中标供应商中标后，必须按规定采用银行对公转账方式向</w:t>
      </w:r>
      <w:r>
        <w:rPr>
          <w:rFonts w:hint="eastAsia" w:eastAsia="宋体"/>
          <w:color w:val="auto"/>
        </w:rPr>
        <w:t>深圳市城投全过程工程咨询有限公司</w:t>
      </w:r>
      <w:r>
        <w:rPr>
          <w:rFonts w:hint="eastAsia"/>
          <w:color w:val="auto"/>
        </w:rPr>
        <w:t>直接交纳代理服务费，交纳信息及要求按以下规定执行：</w:t>
      </w:r>
    </w:p>
    <w:p w14:paraId="64B52252">
      <w:pPr>
        <w:ind w:firstLine="480" w:firstLineChars="200"/>
        <w:jc w:val="left"/>
        <w:rPr>
          <w:color w:val="auto"/>
        </w:rPr>
      </w:pPr>
      <w:r>
        <w:rPr>
          <w:rFonts w:hint="eastAsia" w:ascii="宋体" w:hAnsi="宋体" w:eastAsia="宋体" w:cs="宋体"/>
          <w:color w:val="auto"/>
        </w:rPr>
        <w:t>基</w:t>
      </w:r>
      <w:r>
        <w:rPr>
          <w:rFonts w:hint="eastAsia"/>
          <w:color w:val="auto"/>
        </w:rPr>
        <w:t>本户信息：</w:t>
      </w:r>
    </w:p>
    <w:p w14:paraId="7A30019F">
      <w:pPr>
        <w:ind w:firstLine="480" w:firstLineChars="200"/>
        <w:jc w:val="left"/>
        <w:rPr>
          <w:color w:val="auto"/>
        </w:rPr>
      </w:pPr>
      <w:r>
        <w:rPr>
          <w:rFonts w:hint="eastAsia" w:ascii="宋体" w:hAnsi="宋体" w:eastAsia="宋体" w:cs="宋体"/>
          <w:color w:val="auto"/>
        </w:rPr>
        <w:t>账</w:t>
      </w:r>
      <w:r>
        <w:rPr>
          <w:rFonts w:hint="eastAsia"/>
          <w:color w:val="auto"/>
        </w:rPr>
        <w:t>户名：深圳市城投全过程工程咨询有限公司</w:t>
      </w:r>
    </w:p>
    <w:p w14:paraId="33554B5B">
      <w:pPr>
        <w:ind w:firstLine="480" w:firstLineChars="200"/>
        <w:jc w:val="left"/>
        <w:rPr>
          <w:color w:val="auto"/>
        </w:rPr>
      </w:pPr>
      <w:r>
        <w:rPr>
          <w:rFonts w:hint="eastAsia" w:ascii="宋体" w:hAnsi="宋体" w:eastAsia="宋体" w:cs="宋体"/>
          <w:color w:val="auto"/>
        </w:rPr>
        <w:t>账</w:t>
      </w:r>
      <w:r>
        <w:rPr>
          <w:rFonts w:hint="eastAsia"/>
          <w:color w:val="auto"/>
        </w:rPr>
        <w:t>号：41018100040035592</w:t>
      </w:r>
    </w:p>
    <w:p w14:paraId="4B99E9C5">
      <w:pPr>
        <w:ind w:firstLine="480" w:firstLineChars="200"/>
        <w:jc w:val="left"/>
        <w:rPr>
          <w:color w:val="auto"/>
        </w:rPr>
      </w:pPr>
      <w:r>
        <w:rPr>
          <w:rFonts w:hint="eastAsia" w:ascii="宋体" w:hAnsi="宋体" w:eastAsia="宋体" w:cs="宋体"/>
          <w:color w:val="auto"/>
        </w:rPr>
        <w:t>开</w:t>
      </w:r>
      <w:r>
        <w:rPr>
          <w:rFonts w:hint="eastAsia"/>
          <w:color w:val="auto"/>
        </w:rPr>
        <w:t>户行：农业银行深圳沙头角支行</w:t>
      </w:r>
    </w:p>
    <w:p w14:paraId="2E3B7F45">
      <w:pPr>
        <w:ind w:firstLine="480" w:firstLineChars="200"/>
        <w:jc w:val="left"/>
        <w:rPr>
          <w:color w:val="auto"/>
        </w:rPr>
      </w:pPr>
      <w:r>
        <w:rPr>
          <w:rFonts w:hint="eastAsia" w:ascii="宋体" w:hAnsi="宋体" w:eastAsia="宋体" w:cs="宋体"/>
          <w:color w:val="auto"/>
        </w:rPr>
        <w:t>转</w:t>
      </w:r>
      <w:r>
        <w:rPr>
          <w:rFonts w:hint="eastAsia"/>
          <w:color w:val="auto"/>
        </w:rPr>
        <w:t>账备注：</w:t>
      </w:r>
    </w:p>
    <w:p w14:paraId="03699F30">
      <w:pPr>
        <w:ind w:firstLine="480" w:firstLineChars="200"/>
        <w:jc w:val="left"/>
        <w:rPr>
          <w:color w:val="auto"/>
        </w:rPr>
      </w:pPr>
      <w:r>
        <w:rPr>
          <w:rFonts w:hint="eastAsia" w:ascii="宋体" w:hAnsi="宋体" w:eastAsia="宋体" w:cs="宋体"/>
          <w:color w:val="auto"/>
        </w:rPr>
        <w:t>项</w:t>
      </w:r>
      <w:r>
        <w:rPr>
          <w:rFonts w:hint="eastAsia"/>
          <w:color w:val="auto"/>
        </w:rPr>
        <w:t>目名称+中标金额+中标供应商名称</w:t>
      </w:r>
    </w:p>
    <w:p w14:paraId="3BBD6FC9">
      <w:pPr>
        <w:ind w:firstLine="432"/>
        <w:rPr>
          <w:rFonts w:ascii="宋体" w:hAnsi="宋体"/>
          <w:color w:val="auto"/>
          <w:szCs w:val="21"/>
        </w:rPr>
      </w:pPr>
    </w:p>
    <w:p w14:paraId="5D718B07">
      <w:pPr>
        <w:rPr>
          <w:color w:val="auto"/>
        </w:rPr>
      </w:pPr>
      <w:r>
        <w:rPr>
          <w:color w:val="auto"/>
        </w:rPr>
        <w:t>---- END ----</w:t>
      </w:r>
    </w:p>
    <w:p w14:paraId="23056030">
      <w:pPr>
        <w:jc w:val="left"/>
        <w:rPr>
          <w:rFonts w:eastAsia="宋体"/>
          <w:color w:val="auto"/>
        </w:rPr>
      </w:pPr>
    </w:p>
    <w:sect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60F730-722B-48BA-8A3F-6AD780BF47F6}"/>
  </w:font>
  <w:font w:name="黑体">
    <w:panose1 w:val="02010609060101010101"/>
    <w:charset w:val="86"/>
    <w:family w:val="auto"/>
    <w:pitch w:val="default"/>
    <w:sig w:usb0="800002BF" w:usb1="38CF7CFA" w:usb2="00000016" w:usb3="00000000" w:csb0="00040001" w:csb1="00000000"/>
    <w:embedRegular r:id="rId2" w:fontKey="{B1D467B5-F8B3-4083-9FB2-06AF3D3DFC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93ED1EE4-C379-4CAC-975A-7EF083F4B517}"/>
  </w:font>
  <w:font w:name="仿宋">
    <w:panose1 w:val="02010609060101010101"/>
    <w:charset w:val="86"/>
    <w:family w:val="modern"/>
    <w:pitch w:val="default"/>
    <w:sig w:usb0="800002BF" w:usb1="38CF7CFA" w:usb2="00000016" w:usb3="00000000" w:csb0="00040001" w:csb1="00000000"/>
    <w:embedRegular r:id="rId4" w:fontKey="{53DD7CAD-9D08-45FB-BC79-66F3F3EF736A}"/>
  </w:font>
  <w:font w:name="等线">
    <w:panose1 w:val="02010600030101010101"/>
    <w:charset w:val="86"/>
    <w:family w:val="auto"/>
    <w:pitch w:val="default"/>
    <w:sig w:usb0="A00002BF" w:usb1="38CF7CFA" w:usb2="00000016" w:usb3="00000000" w:csb0="0004000F" w:csb1="00000000"/>
    <w:embedRegular r:id="rId5" w:fontKey="{A0907040-0987-4C51-915E-B1E51D522F13}"/>
  </w:font>
  <w:font w:name="Verdana">
    <w:panose1 w:val="020B0604030504040204"/>
    <w:charset w:val="00"/>
    <w:family w:val="swiss"/>
    <w:pitch w:val="default"/>
    <w:sig w:usb0="A00006FF" w:usb1="4000205B" w:usb2="00000010" w:usb3="00000000" w:csb0="2000019F" w:csb1="00000000"/>
    <w:embedRegular r:id="rId6" w:fontKey="{8762838B-865F-4C7C-8FC2-5D81500A978E}"/>
  </w:font>
  <w:font w:name="Segoe UI Symbol">
    <w:panose1 w:val="020B0502040204020203"/>
    <w:charset w:val="00"/>
    <w:family w:val="swiss"/>
    <w:pitch w:val="default"/>
    <w:sig w:usb0="800001E3" w:usb1="1200FFEF" w:usb2="00040000" w:usb3="04000000" w:csb0="00000001" w:csb1="40000000"/>
    <w:embedRegular r:id="rId7" w:fontKey="{9788940D-9E7F-4A81-8122-FA2FB7A90938}"/>
  </w:font>
  <w:font w:name="方正小标宋简体">
    <w:panose1 w:val="02000000000000000000"/>
    <w:charset w:val="86"/>
    <w:family w:val="auto"/>
    <w:pitch w:val="default"/>
    <w:sig w:usb0="00000001" w:usb1="08000000" w:usb2="00000000" w:usb3="00000000" w:csb0="00040000" w:csb1="00000000"/>
    <w:embedRegular r:id="rId8" w:fontKey="{AA14294B-CCEB-4577-8CAC-8926BF43870A}"/>
  </w:font>
  <w:font w:name="方正仿宋_GBK">
    <w:altName w:val="微软雅黑"/>
    <w:panose1 w:val="02000000000000000000"/>
    <w:charset w:val="86"/>
    <w:family w:val="auto"/>
    <w:pitch w:val="default"/>
    <w:sig w:usb0="00000000" w:usb1="00000000" w:usb2="00000000" w:usb3="00000000" w:csb0="00040000" w:csb1="00000000"/>
    <w:embedRegular r:id="rId9" w:fontKey="{7717F507-6382-4FF0-88B6-2B9869ED91B3}"/>
  </w:font>
  <w:font w:name="微软雅黑">
    <w:panose1 w:val="020B0503020204020204"/>
    <w:charset w:val="86"/>
    <w:family w:val="auto"/>
    <w:pitch w:val="default"/>
    <w:sig w:usb0="80000287" w:usb1="2ACF3C5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embedRegular r:id="rId10" w:fontKey="{418BC117-12EB-412C-B8A4-07E90680B046}"/>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3B4E5">
    <w:pPr>
      <w:pStyle w:val="12"/>
      <w:rPr>
        <w:rFonts w:eastAsia="宋体"/>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123A5D">
                          <w:pPr>
                            <w:pStyle w:val="12"/>
                            <w:rPr>
                              <w:rFonts w:eastAsia="宋体"/>
                            </w:rPr>
                          </w:pPr>
                          <w:r>
                            <w:rPr>
                              <w:rFonts w:eastAsia="宋体"/>
                            </w:rPr>
                            <w:fldChar w:fldCharType="begin"/>
                          </w:r>
                          <w:r>
                            <w:rPr>
                              <w:rFonts w:eastAsia="宋体"/>
                            </w:rPr>
                            <w:instrText xml:space="preserve">PAGE   \* MERGEFORMAT</w:instrText>
                          </w:r>
                          <w:r>
                            <w:rPr>
                              <w:rFonts w:eastAsia="宋体"/>
                            </w:rPr>
                            <w:fldChar w:fldCharType="separate"/>
                          </w:r>
                          <w:r>
                            <w:rPr>
                              <w:rFonts w:eastAsia="宋体"/>
                              <w:lang w:val="zh-CN"/>
                            </w:rPr>
                            <w:t>5</w:t>
                          </w:r>
                          <w:r>
                            <w:rPr>
                              <w:rFonts w:eastAsia="宋体"/>
                            </w:rPr>
                            <w:fldChar w:fldCharType="end"/>
                          </w:r>
                        </w:p>
                        <w:p w14:paraId="003E60E2">
                          <w:pPr>
                            <w:rPr>
                              <w:rFonts w:eastAsia="宋体"/>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5123A5D">
                    <w:pPr>
                      <w:pStyle w:val="12"/>
                      <w:rPr>
                        <w:rFonts w:eastAsia="宋体"/>
                      </w:rPr>
                    </w:pPr>
                    <w:r>
                      <w:rPr>
                        <w:rFonts w:eastAsia="宋体"/>
                      </w:rPr>
                      <w:fldChar w:fldCharType="begin"/>
                    </w:r>
                    <w:r>
                      <w:rPr>
                        <w:rFonts w:eastAsia="宋体"/>
                      </w:rPr>
                      <w:instrText xml:space="preserve">PAGE   \* MERGEFORMAT</w:instrText>
                    </w:r>
                    <w:r>
                      <w:rPr>
                        <w:rFonts w:eastAsia="宋体"/>
                      </w:rPr>
                      <w:fldChar w:fldCharType="separate"/>
                    </w:r>
                    <w:r>
                      <w:rPr>
                        <w:rFonts w:eastAsia="宋体"/>
                        <w:lang w:val="zh-CN"/>
                      </w:rPr>
                      <w:t>5</w:t>
                    </w:r>
                    <w:r>
                      <w:rPr>
                        <w:rFonts w:eastAsia="宋体"/>
                      </w:rPr>
                      <w:fldChar w:fldCharType="end"/>
                    </w:r>
                  </w:p>
                  <w:p w14:paraId="003E60E2">
                    <w:pPr>
                      <w:rPr>
                        <w:rFonts w:eastAsia="宋体"/>
                      </w:rPr>
                    </w:pPr>
                  </w:p>
                </w:txbxContent>
              </v:textbox>
            </v:rect>
          </w:pict>
        </mc:Fallback>
      </mc:AlternateContent>
    </w:r>
  </w:p>
  <w:p w14:paraId="78089A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2B568">
    <w:pPr>
      <w:pStyle w:val="12"/>
      <w:rPr>
        <w:rFonts w:eastAsia="宋体"/>
      </w:rPr>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C15321">
                          <w:pPr>
                            <w:pStyle w:val="12"/>
                            <w:rPr>
                              <w:rFonts w:eastAsia="宋体"/>
                            </w:rPr>
                          </w:pPr>
                          <w:r>
                            <w:rPr>
                              <w:rFonts w:eastAsia="宋体"/>
                            </w:rPr>
                            <w:fldChar w:fldCharType="begin"/>
                          </w:r>
                          <w:r>
                            <w:rPr>
                              <w:rFonts w:eastAsia="宋体"/>
                            </w:rPr>
                            <w:instrText xml:space="preserve">PAGE   \* MERGEFORMAT</w:instrText>
                          </w:r>
                          <w:r>
                            <w:rPr>
                              <w:rFonts w:eastAsia="宋体"/>
                            </w:rPr>
                            <w:fldChar w:fldCharType="separate"/>
                          </w:r>
                          <w:r>
                            <w:rPr>
                              <w:rFonts w:eastAsia="宋体"/>
                              <w:lang w:val="zh-CN"/>
                            </w:rPr>
                            <w:t>5</w:t>
                          </w:r>
                          <w:r>
                            <w:rPr>
                              <w:rFonts w:eastAsia="宋体"/>
                            </w:rPr>
                            <w:fldChar w:fldCharType="end"/>
                          </w:r>
                        </w:p>
                        <w:p w14:paraId="60E4ADA2">
                          <w:pPr>
                            <w:rPr>
                              <w:rFonts w:eastAsia="宋体"/>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KmYXG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lsmePmBFpx7DA0wZUpi0Di3Y9CUVbMiWnq+WqiEySZvL9Wq9LsltSbU5IZzi6XoAjPfKW5aCmgO9&#10;WbZSnD5iHI/OR1I349Lq/J02ZqymnSLRHImlKA77YWK7982ZJNLEE3jn4RtnPb13zR2NN2fmgyM7&#10;02jMAczBfg6Ek3Sx5iMvDLfHSO0zt9Rs7DBxoHfK6qaZSoPwPM+nnv6j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8qZhcYBAACPAwAADgAAAAAAAAABACAAAAAfAQAAZHJzL2Uyb0RvYy54&#10;bWxQSwUGAAAAAAYABgBZAQAAVwUAAAAA&#10;">
              <v:fill on="f" focussize="0,0"/>
              <v:stroke on="f"/>
              <v:imagedata o:title=""/>
              <o:lock v:ext="edit" aspectratio="f"/>
              <v:textbox inset="0mm,0mm,0mm,0mm" style="mso-fit-shape-to-text:t;">
                <w:txbxContent>
                  <w:p w14:paraId="46C15321">
                    <w:pPr>
                      <w:pStyle w:val="12"/>
                      <w:rPr>
                        <w:rFonts w:eastAsia="宋体"/>
                      </w:rPr>
                    </w:pPr>
                    <w:r>
                      <w:rPr>
                        <w:rFonts w:eastAsia="宋体"/>
                      </w:rPr>
                      <w:fldChar w:fldCharType="begin"/>
                    </w:r>
                    <w:r>
                      <w:rPr>
                        <w:rFonts w:eastAsia="宋体"/>
                      </w:rPr>
                      <w:instrText xml:space="preserve">PAGE   \* MERGEFORMAT</w:instrText>
                    </w:r>
                    <w:r>
                      <w:rPr>
                        <w:rFonts w:eastAsia="宋体"/>
                      </w:rPr>
                      <w:fldChar w:fldCharType="separate"/>
                    </w:r>
                    <w:r>
                      <w:rPr>
                        <w:rFonts w:eastAsia="宋体"/>
                        <w:lang w:val="zh-CN"/>
                      </w:rPr>
                      <w:t>5</w:t>
                    </w:r>
                    <w:r>
                      <w:rPr>
                        <w:rFonts w:eastAsia="宋体"/>
                      </w:rPr>
                      <w:fldChar w:fldCharType="end"/>
                    </w:r>
                  </w:p>
                  <w:p w14:paraId="60E4ADA2">
                    <w:pPr>
                      <w:rPr>
                        <w:rFonts w:eastAsia="宋体"/>
                      </w:rPr>
                    </w:pPr>
                  </w:p>
                </w:txbxContent>
              </v:textbox>
            </v:rect>
          </w:pict>
        </mc:Fallback>
      </mc:AlternateContent>
    </w:r>
  </w:p>
  <w:p w14:paraId="4D3743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D746">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FC697"/>
    <w:multiLevelType w:val="singleLevel"/>
    <w:tmpl w:val="B82FC697"/>
    <w:lvl w:ilvl="0" w:tentative="0">
      <w:start w:val="2"/>
      <w:numFmt w:val="chineseCounting"/>
      <w:suff w:val="nothing"/>
      <w:lvlText w:val="%1、"/>
      <w:lvlJc w:val="left"/>
      <w:rPr>
        <w:rFonts w:hint="eastAsia"/>
      </w:rPr>
    </w:lvl>
  </w:abstractNum>
  <w:abstractNum w:abstractNumId="1">
    <w:nsid w:val="DD824921"/>
    <w:multiLevelType w:val="singleLevel"/>
    <w:tmpl w:val="DD824921"/>
    <w:lvl w:ilvl="0" w:tentative="0">
      <w:start w:val="6"/>
      <w:numFmt w:val="chineseCounting"/>
      <w:suff w:val="nothing"/>
      <w:lvlText w:val="%1、"/>
      <w:lvlJc w:val="left"/>
      <w:rPr>
        <w:rFonts w:hint="eastAsia"/>
      </w:rPr>
    </w:lvl>
  </w:abstractNum>
  <w:abstractNum w:abstractNumId="2">
    <w:nsid w:val="00000001"/>
    <w:multiLevelType w:val="singleLevel"/>
    <w:tmpl w:val="00000001"/>
    <w:lvl w:ilvl="0" w:tentative="0">
      <w:start w:val="1"/>
      <w:numFmt w:val="chineseCounting"/>
      <w:suff w:val="space"/>
      <w:lvlText w:val="第%1章"/>
      <w:lvlJc w:val="left"/>
      <w:rPr>
        <w:rFonts w:hint="eastAsia"/>
      </w:rPr>
    </w:lvl>
  </w:abstractNum>
  <w:abstractNum w:abstractNumId="3">
    <w:nsid w:val="00000002"/>
    <w:multiLevelType w:val="multilevel"/>
    <w:tmpl w:val="00000002"/>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5E4F66"/>
    <w:multiLevelType w:val="singleLevel"/>
    <w:tmpl w:val="465E4F66"/>
    <w:lvl w:ilvl="0" w:tentative="0">
      <w:start w:val="10"/>
      <w:numFmt w:val="decimal"/>
      <w:suff w:val="nothing"/>
      <w:lvlText w:val="（%1）"/>
      <w:lvlJc w:val="left"/>
    </w:lvl>
  </w:abstractNum>
  <w:abstractNum w:abstractNumId="5">
    <w:nsid w:val="61DFBA34"/>
    <w:multiLevelType w:val="singleLevel"/>
    <w:tmpl w:val="61DFBA34"/>
    <w:lvl w:ilvl="0" w:tentative="0">
      <w:start w:val="7"/>
      <w:numFmt w:val="chineseCounting"/>
      <w:suff w:val="nothing"/>
      <w:lvlText w:val="%1、"/>
      <w:lvlJc w:val="left"/>
      <w:rPr>
        <w:rFonts w:hint="eastAsia"/>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YTEyM2IzMDEyMmNhNDFkNGE1NDIxYzQzYzk1OGEifQ=="/>
  </w:docVars>
  <w:rsids>
    <w:rsidRoot w:val="00105CA4"/>
    <w:rsid w:val="000243F9"/>
    <w:rsid w:val="00105CA4"/>
    <w:rsid w:val="0011284D"/>
    <w:rsid w:val="00161814"/>
    <w:rsid w:val="00585744"/>
    <w:rsid w:val="006A389F"/>
    <w:rsid w:val="007E7D63"/>
    <w:rsid w:val="00921742"/>
    <w:rsid w:val="00A235CA"/>
    <w:rsid w:val="00B87A8B"/>
    <w:rsid w:val="00EB1C0E"/>
    <w:rsid w:val="00FF56BA"/>
    <w:rsid w:val="013E4434"/>
    <w:rsid w:val="01DA27F6"/>
    <w:rsid w:val="020A2568"/>
    <w:rsid w:val="027A5940"/>
    <w:rsid w:val="02A70C5C"/>
    <w:rsid w:val="036208AE"/>
    <w:rsid w:val="03BD5AE4"/>
    <w:rsid w:val="040E6E36"/>
    <w:rsid w:val="042E26EB"/>
    <w:rsid w:val="04D01847"/>
    <w:rsid w:val="04F512AE"/>
    <w:rsid w:val="054514D8"/>
    <w:rsid w:val="055C1E1A"/>
    <w:rsid w:val="05720BED"/>
    <w:rsid w:val="06AE5FCC"/>
    <w:rsid w:val="06E94E42"/>
    <w:rsid w:val="078D7EC3"/>
    <w:rsid w:val="079B5112"/>
    <w:rsid w:val="07AD40C1"/>
    <w:rsid w:val="07F92E63"/>
    <w:rsid w:val="08D34DE3"/>
    <w:rsid w:val="09293C1C"/>
    <w:rsid w:val="09ED29D5"/>
    <w:rsid w:val="0A764C3F"/>
    <w:rsid w:val="0A8E01DA"/>
    <w:rsid w:val="0B835865"/>
    <w:rsid w:val="0BD3290D"/>
    <w:rsid w:val="0BFE313E"/>
    <w:rsid w:val="0CAD246E"/>
    <w:rsid w:val="0D1B7531"/>
    <w:rsid w:val="0DB25F8E"/>
    <w:rsid w:val="0E331933"/>
    <w:rsid w:val="0E99574F"/>
    <w:rsid w:val="0E9A1704"/>
    <w:rsid w:val="0EF07C6F"/>
    <w:rsid w:val="0F4816D6"/>
    <w:rsid w:val="0FBC1346"/>
    <w:rsid w:val="0FF02D9D"/>
    <w:rsid w:val="0FFB8F2B"/>
    <w:rsid w:val="0FFFC2AD"/>
    <w:rsid w:val="103F0670"/>
    <w:rsid w:val="10454537"/>
    <w:rsid w:val="10637A6B"/>
    <w:rsid w:val="10ED3781"/>
    <w:rsid w:val="113A4C18"/>
    <w:rsid w:val="117C1B1D"/>
    <w:rsid w:val="11A67505"/>
    <w:rsid w:val="12787310"/>
    <w:rsid w:val="13300EC6"/>
    <w:rsid w:val="139B74C4"/>
    <w:rsid w:val="13BA531F"/>
    <w:rsid w:val="13F310AE"/>
    <w:rsid w:val="145B299A"/>
    <w:rsid w:val="14E153AA"/>
    <w:rsid w:val="159B1590"/>
    <w:rsid w:val="163836F0"/>
    <w:rsid w:val="173FFEA4"/>
    <w:rsid w:val="1796247C"/>
    <w:rsid w:val="17D633A3"/>
    <w:rsid w:val="17E7224D"/>
    <w:rsid w:val="17F59699"/>
    <w:rsid w:val="183E5246"/>
    <w:rsid w:val="18716A45"/>
    <w:rsid w:val="18FF6912"/>
    <w:rsid w:val="190066A1"/>
    <w:rsid w:val="193A38DF"/>
    <w:rsid w:val="193E2DCB"/>
    <w:rsid w:val="194505FE"/>
    <w:rsid w:val="19575C3B"/>
    <w:rsid w:val="196C1A2A"/>
    <w:rsid w:val="19ED659F"/>
    <w:rsid w:val="1A6E148E"/>
    <w:rsid w:val="1B420776"/>
    <w:rsid w:val="1B6C7065"/>
    <w:rsid w:val="1B7A4184"/>
    <w:rsid w:val="1C1D316C"/>
    <w:rsid w:val="1C2E5379"/>
    <w:rsid w:val="1D495E3D"/>
    <w:rsid w:val="1D50076B"/>
    <w:rsid w:val="1E575189"/>
    <w:rsid w:val="1EFD3A31"/>
    <w:rsid w:val="1EFD4B6F"/>
    <w:rsid w:val="1FA9153A"/>
    <w:rsid w:val="1FD00129"/>
    <w:rsid w:val="1FF60555"/>
    <w:rsid w:val="207B2B57"/>
    <w:rsid w:val="20CA197B"/>
    <w:rsid w:val="20CE02EB"/>
    <w:rsid w:val="20F5523A"/>
    <w:rsid w:val="21983295"/>
    <w:rsid w:val="21FA5CFD"/>
    <w:rsid w:val="2285884C"/>
    <w:rsid w:val="229E0D7F"/>
    <w:rsid w:val="23267A78"/>
    <w:rsid w:val="244C0D79"/>
    <w:rsid w:val="245E07C6"/>
    <w:rsid w:val="25351310"/>
    <w:rsid w:val="25EB0AC4"/>
    <w:rsid w:val="2640484E"/>
    <w:rsid w:val="27147861"/>
    <w:rsid w:val="27E74887"/>
    <w:rsid w:val="28C52679"/>
    <w:rsid w:val="296E3259"/>
    <w:rsid w:val="29EA60CB"/>
    <w:rsid w:val="2A9E1213"/>
    <w:rsid w:val="2B7B7EAF"/>
    <w:rsid w:val="2B8D70A0"/>
    <w:rsid w:val="2BCB64C6"/>
    <w:rsid w:val="2C4B5AD3"/>
    <w:rsid w:val="2CA86A82"/>
    <w:rsid w:val="2CF717B7"/>
    <w:rsid w:val="2CFC6633"/>
    <w:rsid w:val="2DED7CFE"/>
    <w:rsid w:val="2E073C7C"/>
    <w:rsid w:val="2E84707B"/>
    <w:rsid w:val="2F300FB0"/>
    <w:rsid w:val="2FA744F4"/>
    <w:rsid w:val="2FDD7879"/>
    <w:rsid w:val="302208F9"/>
    <w:rsid w:val="30C419B0"/>
    <w:rsid w:val="30F27273"/>
    <w:rsid w:val="31002B25"/>
    <w:rsid w:val="310149B3"/>
    <w:rsid w:val="316244E8"/>
    <w:rsid w:val="32132BEF"/>
    <w:rsid w:val="32C57C62"/>
    <w:rsid w:val="32FA02C3"/>
    <w:rsid w:val="333BA26E"/>
    <w:rsid w:val="34530118"/>
    <w:rsid w:val="357DF14E"/>
    <w:rsid w:val="35F7B6D6"/>
    <w:rsid w:val="369B70F5"/>
    <w:rsid w:val="36D3748E"/>
    <w:rsid w:val="377A076A"/>
    <w:rsid w:val="37D72171"/>
    <w:rsid w:val="37DFD5B6"/>
    <w:rsid w:val="381F2104"/>
    <w:rsid w:val="388163D9"/>
    <w:rsid w:val="388E0808"/>
    <w:rsid w:val="3989299E"/>
    <w:rsid w:val="39DE065F"/>
    <w:rsid w:val="3A483298"/>
    <w:rsid w:val="3A695377"/>
    <w:rsid w:val="3A7C750A"/>
    <w:rsid w:val="3AA12D62"/>
    <w:rsid w:val="3AC52489"/>
    <w:rsid w:val="3ACD7106"/>
    <w:rsid w:val="3AFD268F"/>
    <w:rsid w:val="3B273268"/>
    <w:rsid w:val="3B7B1948"/>
    <w:rsid w:val="3BBFF229"/>
    <w:rsid w:val="3BD96D7D"/>
    <w:rsid w:val="3D6A2A25"/>
    <w:rsid w:val="3D7E7484"/>
    <w:rsid w:val="3D7F6451"/>
    <w:rsid w:val="3DDFC146"/>
    <w:rsid w:val="3E177FDD"/>
    <w:rsid w:val="3F890995"/>
    <w:rsid w:val="3F9F6171"/>
    <w:rsid w:val="3FBBF455"/>
    <w:rsid w:val="3FDF5E5E"/>
    <w:rsid w:val="3FE479A8"/>
    <w:rsid w:val="3FEB5626"/>
    <w:rsid w:val="403424F9"/>
    <w:rsid w:val="41017DAE"/>
    <w:rsid w:val="416F0975"/>
    <w:rsid w:val="42236229"/>
    <w:rsid w:val="42ED123B"/>
    <w:rsid w:val="431762B8"/>
    <w:rsid w:val="441A452B"/>
    <w:rsid w:val="449252CF"/>
    <w:rsid w:val="458A4D6B"/>
    <w:rsid w:val="45C97E42"/>
    <w:rsid w:val="462509B9"/>
    <w:rsid w:val="47076311"/>
    <w:rsid w:val="471054F8"/>
    <w:rsid w:val="47C06F4F"/>
    <w:rsid w:val="47CCB60A"/>
    <w:rsid w:val="47DF50EE"/>
    <w:rsid w:val="482567DB"/>
    <w:rsid w:val="48710340"/>
    <w:rsid w:val="49955504"/>
    <w:rsid w:val="49EB7B56"/>
    <w:rsid w:val="4A4831FA"/>
    <w:rsid w:val="4AF34F14"/>
    <w:rsid w:val="4C0144E1"/>
    <w:rsid w:val="4C310EB0"/>
    <w:rsid w:val="4CAF39F9"/>
    <w:rsid w:val="4E0B2B89"/>
    <w:rsid w:val="4E913AC7"/>
    <w:rsid w:val="4EE95E5D"/>
    <w:rsid w:val="4F610F34"/>
    <w:rsid w:val="4FD82523"/>
    <w:rsid w:val="4FEF4A99"/>
    <w:rsid w:val="4FFE4A87"/>
    <w:rsid w:val="506B7566"/>
    <w:rsid w:val="507C3BFE"/>
    <w:rsid w:val="50BB2978"/>
    <w:rsid w:val="50F33F3C"/>
    <w:rsid w:val="51300D72"/>
    <w:rsid w:val="5153670D"/>
    <w:rsid w:val="51BF3B4F"/>
    <w:rsid w:val="525819F0"/>
    <w:rsid w:val="52F63E57"/>
    <w:rsid w:val="534B7156"/>
    <w:rsid w:val="53DC50DF"/>
    <w:rsid w:val="53FB4FA8"/>
    <w:rsid w:val="54D50482"/>
    <w:rsid w:val="54EE1FCD"/>
    <w:rsid w:val="556919D2"/>
    <w:rsid w:val="558B6EAE"/>
    <w:rsid w:val="55E258B5"/>
    <w:rsid w:val="55EEEE48"/>
    <w:rsid w:val="561A5A4B"/>
    <w:rsid w:val="562930EC"/>
    <w:rsid w:val="56674A08"/>
    <w:rsid w:val="5735450A"/>
    <w:rsid w:val="57571CBA"/>
    <w:rsid w:val="57911D3D"/>
    <w:rsid w:val="57AD4040"/>
    <w:rsid w:val="57C55E8A"/>
    <w:rsid w:val="57D5DA48"/>
    <w:rsid w:val="57DFA63C"/>
    <w:rsid w:val="59160D86"/>
    <w:rsid w:val="596272F3"/>
    <w:rsid w:val="59B93629"/>
    <w:rsid w:val="59C3464B"/>
    <w:rsid w:val="5A420BA5"/>
    <w:rsid w:val="5AFAE767"/>
    <w:rsid w:val="5B3E21CC"/>
    <w:rsid w:val="5B7FF247"/>
    <w:rsid w:val="5BBDC78E"/>
    <w:rsid w:val="5BBE9C88"/>
    <w:rsid w:val="5BF31DE3"/>
    <w:rsid w:val="5BFDAD0B"/>
    <w:rsid w:val="5BFFC774"/>
    <w:rsid w:val="5C80264F"/>
    <w:rsid w:val="5D5C4A4C"/>
    <w:rsid w:val="5D6F0D72"/>
    <w:rsid w:val="5D7D3CB9"/>
    <w:rsid w:val="5DEB3FBE"/>
    <w:rsid w:val="5DFFD411"/>
    <w:rsid w:val="5ED7E3AA"/>
    <w:rsid w:val="5EDD3528"/>
    <w:rsid w:val="5EEFF5AD"/>
    <w:rsid w:val="5EF7843B"/>
    <w:rsid w:val="5EFE353F"/>
    <w:rsid w:val="5F073669"/>
    <w:rsid w:val="5F2F9CDC"/>
    <w:rsid w:val="5F7EE68B"/>
    <w:rsid w:val="5FD99B54"/>
    <w:rsid w:val="5FE84E0C"/>
    <w:rsid w:val="5FEF0F30"/>
    <w:rsid w:val="5FEFC3B3"/>
    <w:rsid w:val="5FF37E1B"/>
    <w:rsid w:val="5FFF7FBC"/>
    <w:rsid w:val="601801F9"/>
    <w:rsid w:val="610306A7"/>
    <w:rsid w:val="612B36FA"/>
    <w:rsid w:val="61B26849"/>
    <w:rsid w:val="628F156F"/>
    <w:rsid w:val="62C03E1E"/>
    <w:rsid w:val="62EF46F0"/>
    <w:rsid w:val="631E9791"/>
    <w:rsid w:val="63DA0F0F"/>
    <w:rsid w:val="641734E7"/>
    <w:rsid w:val="652B723C"/>
    <w:rsid w:val="656E5DB3"/>
    <w:rsid w:val="66A94283"/>
    <w:rsid w:val="66BF6620"/>
    <w:rsid w:val="66EF0750"/>
    <w:rsid w:val="66FDFEAF"/>
    <w:rsid w:val="68581578"/>
    <w:rsid w:val="688B27D8"/>
    <w:rsid w:val="68BB0B4B"/>
    <w:rsid w:val="693E3CEF"/>
    <w:rsid w:val="693FF2A9"/>
    <w:rsid w:val="695B0120"/>
    <w:rsid w:val="69607CE8"/>
    <w:rsid w:val="697B225D"/>
    <w:rsid w:val="69D76949"/>
    <w:rsid w:val="69DF6127"/>
    <w:rsid w:val="6A1C5DDE"/>
    <w:rsid w:val="6A340B97"/>
    <w:rsid w:val="6A8A41D9"/>
    <w:rsid w:val="6B11AA26"/>
    <w:rsid w:val="6BBF24FE"/>
    <w:rsid w:val="6C316B4C"/>
    <w:rsid w:val="6C6D0B73"/>
    <w:rsid w:val="6CDE2F1F"/>
    <w:rsid w:val="6CED1B63"/>
    <w:rsid w:val="6D3BAB86"/>
    <w:rsid w:val="6D43183C"/>
    <w:rsid w:val="6D7EA6D1"/>
    <w:rsid w:val="6E411B5D"/>
    <w:rsid w:val="6EED63E7"/>
    <w:rsid w:val="6EF80D86"/>
    <w:rsid w:val="6EFF873C"/>
    <w:rsid w:val="6F4852ED"/>
    <w:rsid w:val="6F767D3E"/>
    <w:rsid w:val="6FAA158B"/>
    <w:rsid w:val="6FBB379F"/>
    <w:rsid w:val="6FBF230A"/>
    <w:rsid w:val="6FDF4C0B"/>
    <w:rsid w:val="6FF4B0CB"/>
    <w:rsid w:val="6FFEF2E0"/>
    <w:rsid w:val="6FFFB23A"/>
    <w:rsid w:val="705426F3"/>
    <w:rsid w:val="71125845"/>
    <w:rsid w:val="71F633B8"/>
    <w:rsid w:val="72790D69"/>
    <w:rsid w:val="72887F50"/>
    <w:rsid w:val="72B66B56"/>
    <w:rsid w:val="72F200B5"/>
    <w:rsid w:val="736B2874"/>
    <w:rsid w:val="739CA167"/>
    <w:rsid w:val="73AA71EC"/>
    <w:rsid w:val="73F7AA1B"/>
    <w:rsid w:val="74BB4445"/>
    <w:rsid w:val="74CFA7A6"/>
    <w:rsid w:val="74FF914F"/>
    <w:rsid w:val="756A5319"/>
    <w:rsid w:val="757F1B4D"/>
    <w:rsid w:val="75CD0F6D"/>
    <w:rsid w:val="76350FE3"/>
    <w:rsid w:val="76377AFB"/>
    <w:rsid w:val="7676D749"/>
    <w:rsid w:val="767F3A9F"/>
    <w:rsid w:val="76B10FCA"/>
    <w:rsid w:val="76DF6CFA"/>
    <w:rsid w:val="76FFE24C"/>
    <w:rsid w:val="76FFE64C"/>
    <w:rsid w:val="771334B6"/>
    <w:rsid w:val="775E684B"/>
    <w:rsid w:val="77786956"/>
    <w:rsid w:val="777B9F2A"/>
    <w:rsid w:val="77CB2E7D"/>
    <w:rsid w:val="77E7669D"/>
    <w:rsid w:val="77FE3447"/>
    <w:rsid w:val="788D60F9"/>
    <w:rsid w:val="788E2077"/>
    <w:rsid w:val="795C61F7"/>
    <w:rsid w:val="79B7A770"/>
    <w:rsid w:val="79BA4C1C"/>
    <w:rsid w:val="79E13F3E"/>
    <w:rsid w:val="79FF3DC7"/>
    <w:rsid w:val="7A5944E4"/>
    <w:rsid w:val="7A687BEE"/>
    <w:rsid w:val="7A9390CE"/>
    <w:rsid w:val="7ACC3551"/>
    <w:rsid w:val="7AD22A90"/>
    <w:rsid w:val="7B9319FF"/>
    <w:rsid w:val="7BCA793F"/>
    <w:rsid w:val="7BFBFEFC"/>
    <w:rsid w:val="7BFC15CB"/>
    <w:rsid w:val="7C4EAEFE"/>
    <w:rsid w:val="7CDB7433"/>
    <w:rsid w:val="7D437DD9"/>
    <w:rsid w:val="7D6718A4"/>
    <w:rsid w:val="7D6B1600"/>
    <w:rsid w:val="7DB3156F"/>
    <w:rsid w:val="7DBFB5A2"/>
    <w:rsid w:val="7DDD19D4"/>
    <w:rsid w:val="7DEFD9C4"/>
    <w:rsid w:val="7DFB22CE"/>
    <w:rsid w:val="7DFFC5B4"/>
    <w:rsid w:val="7E75B43A"/>
    <w:rsid w:val="7ED71C40"/>
    <w:rsid w:val="7EFFBC0D"/>
    <w:rsid w:val="7F3B10FA"/>
    <w:rsid w:val="7F3F1997"/>
    <w:rsid w:val="7F6E05FC"/>
    <w:rsid w:val="7F7BA6A4"/>
    <w:rsid w:val="7F9AC9C3"/>
    <w:rsid w:val="7FABEDB2"/>
    <w:rsid w:val="7FAF8061"/>
    <w:rsid w:val="7FB31971"/>
    <w:rsid w:val="7FBDC33A"/>
    <w:rsid w:val="7FBE3EA2"/>
    <w:rsid w:val="7FD7AC6E"/>
    <w:rsid w:val="7FD901E3"/>
    <w:rsid w:val="7FDF1287"/>
    <w:rsid w:val="7FDF7F5D"/>
    <w:rsid w:val="7FE5F3DE"/>
    <w:rsid w:val="7FED5B48"/>
    <w:rsid w:val="7FEF738F"/>
    <w:rsid w:val="7FEF8EEA"/>
    <w:rsid w:val="7FF6B092"/>
    <w:rsid w:val="7FFA7676"/>
    <w:rsid w:val="7FFD2D7C"/>
    <w:rsid w:val="7FFE1F01"/>
    <w:rsid w:val="7FFE69B9"/>
    <w:rsid w:val="7FFE822B"/>
    <w:rsid w:val="7FFF8192"/>
    <w:rsid w:val="7FFFA512"/>
    <w:rsid w:val="97FFDA20"/>
    <w:rsid w:val="99FF6B11"/>
    <w:rsid w:val="9BF74E88"/>
    <w:rsid w:val="9CFF1E52"/>
    <w:rsid w:val="9D76D1CB"/>
    <w:rsid w:val="9DB3B008"/>
    <w:rsid w:val="9EB946DE"/>
    <w:rsid w:val="9F9FB874"/>
    <w:rsid w:val="9FFF1E59"/>
    <w:rsid w:val="A51F61C6"/>
    <w:rsid w:val="ABE918F2"/>
    <w:rsid w:val="ABFE7A6D"/>
    <w:rsid w:val="ACB61DC3"/>
    <w:rsid w:val="AEFB8FEF"/>
    <w:rsid w:val="B49F212F"/>
    <w:rsid w:val="B9B9664C"/>
    <w:rsid w:val="B9FA11AA"/>
    <w:rsid w:val="BBBFCBF6"/>
    <w:rsid w:val="BBD54512"/>
    <w:rsid w:val="BBFF6569"/>
    <w:rsid w:val="BFA354A9"/>
    <w:rsid w:val="BFDB9284"/>
    <w:rsid w:val="BFF2F0A0"/>
    <w:rsid w:val="BFFF05C5"/>
    <w:rsid w:val="C3BF6E08"/>
    <w:rsid w:val="C5BFBE79"/>
    <w:rsid w:val="C7EA435B"/>
    <w:rsid w:val="CA733ACE"/>
    <w:rsid w:val="CAF5010C"/>
    <w:rsid w:val="CDB7FB7E"/>
    <w:rsid w:val="CFE146A8"/>
    <w:rsid w:val="CFF7A3D8"/>
    <w:rsid w:val="CFFBA588"/>
    <w:rsid w:val="D1978C12"/>
    <w:rsid w:val="DA8DE961"/>
    <w:rsid w:val="DAF71FDC"/>
    <w:rsid w:val="DDF5226A"/>
    <w:rsid w:val="DDFFC258"/>
    <w:rsid w:val="DEEABE00"/>
    <w:rsid w:val="DEFB3E5F"/>
    <w:rsid w:val="DF77D6FB"/>
    <w:rsid w:val="DF7C3D88"/>
    <w:rsid w:val="DF936E40"/>
    <w:rsid w:val="DFAD009D"/>
    <w:rsid w:val="DFF1FEB8"/>
    <w:rsid w:val="DFFB6CBF"/>
    <w:rsid w:val="DFFE59F4"/>
    <w:rsid w:val="DFFF5068"/>
    <w:rsid w:val="DFFFEF79"/>
    <w:rsid w:val="E26B0494"/>
    <w:rsid w:val="E4DF4FCD"/>
    <w:rsid w:val="E7171131"/>
    <w:rsid w:val="E8CBB276"/>
    <w:rsid w:val="EBEE4132"/>
    <w:rsid w:val="EBFD69F7"/>
    <w:rsid w:val="ED9FBE4A"/>
    <w:rsid w:val="EDB96F6B"/>
    <w:rsid w:val="EEADC690"/>
    <w:rsid w:val="EF176F7A"/>
    <w:rsid w:val="EF17ABC9"/>
    <w:rsid w:val="EF3F113E"/>
    <w:rsid w:val="EFF1F86F"/>
    <w:rsid w:val="EFFF606F"/>
    <w:rsid w:val="F1EE2FE6"/>
    <w:rsid w:val="F40B3B6C"/>
    <w:rsid w:val="F4DFF599"/>
    <w:rsid w:val="F5DFE731"/>
    <w:rsid w:val="F6DD0328"/>
    <w:rsid w:val="F72E749E"/>
    <w:rsid w:val="F73F761C"/>
    <w:rsid w:val="F7473F1A"/>
    <w:rsid w:val="F7635F37"/>
    <w:rsid w:val="F7A9B5A1"/>
    <w:rsid w:val="F7AE74F3"/>
    <w:rsid w:val="F7FB0892"/>
    <w:rsid w:val="F7FF8AAF"/>
    <w:rsid w:val="F9B7CFC4"/>
    <w:rsid w:val="F9BF2AE5"/>
    <w:rsid w:val="F9FB2933"/>
    <w:rsid w:val="FA3F62BD"/>
    <w:rsid w:val="FAF384A2"/>
    <w:rsid w:val="FAFDA028"/>
    <w:rsid w:val="FBD87D4D"/>
    <w:rsid w:val="FBDA4391"/>
    <w:rsid w:val="FBEF2282"/>
    <w:rsid w:val="FBFCB8E0"/>
    <w:rsid w:val="FCFDC603"/>
    <w:rsid w:val="FD2F89B5"/>
    <w:rsid w:val="FD3E1206"/>
    <w:rsid w:val="FDBFBD0E"/>
    <w:rsid w:val="FDF6AEE2"/>
    <w:rsid w:val="FDFF04BF"/>
    <w:rsid w:val="FDFF2F1D"/>
    <w:rsid w:val="FE1FA6F1"/>
    <w:rsid w:val="FE7FAC0B"/>
    <w:rsid w:val="FEBB5C13"/>
    <w:rsid w:val="FECE2F46"/>
    <w:rsid w:val="FEEA3A4C"/>
    <w:rsid w:val="FF2F1369"/>
    <w:rsid w:val="FF6BB430"/>
    <w:rsid w:val="FF7B31E2"/>
    <w:rsid w:val="FFB60189"/>
    <w:rsid w:val="FFF772D6"/>
    <w:rsid w:val="FFFB73E8"/>
    <w:rsid w:val="FFFBD150"/>
    <w:rsid w:val="FFFD186E"/>
    <w:rsid w:val="FFFE171B"/>
    <w:rsid w:val="FFFFA359"/>
    <w:rsid w:val="FFFFC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center"/>
    </w:pPr>
    <w:rPr>
      <w:rFonts w:ascii="Times New Roman" w:hAnsi="Times New Roman" w:eastAsia="Times New Roman" w:cs="Times New Roman"/>
      <w:sz w:val="24"/>
      <w:szCs w:val="24"/>
      <w:lang w:val="en-US" w:eastAsia="zh-CN" w:bidi="ar-SA"/>
    </w:rPr>
  </w:style>
  <w:style w:type="paragraph" w:styleId="3">
    <w:name w:val="heading 1"/>
    <w:basedOn w:val="4"/>
    <w:next w:val="1"/>
    <w:link w:val="29"/>
    <w:qFormat/>
    <w:uiPriority w:val="0"/>
    <w:pPr>
      <w:spacing w:before="340" w:after="330" w:line="360" w:lineRule="auto"/>
      <w:outlineLvl w:val="0"/>
    </w:pPr>
    <w:rPr>
      <w:rFonts w:eastAsia="黑体"/>
      <w:kern w:val="44"/>
      <w:szCs w:val="44"/>
    </w:rPr>
  </w:style>
  <w:style w:type="paragraph" w:styleId="6">
    <w:name w:val="heading 2"/>
    <w:basedOn w:val="4"/>
    <w:next w:val="5"/>
    <w:link w:val="30"/>
    <w:qFormat/>
    <w:uiPriority w:val="0"/>
    <w:pPr>
      <w:adjustRightInd w:val="0"/>
      <w:textAlignment w:val="baseline"/>
      <w:outlineLvl w:val="1"/>
    </w:pPr>
    <w:rPr>
      <w:sz w:val="24"/>
      <w:szCs w:val="20"/>
    </w:rPr>
  </w:style>
  <w:style w:type="paragraph" w:styleId="4">
    <w:name w:val="heading 3"/>
    <w:basedOn w:val="5"/>
    <w:next w:val="1"/>
    <w:link w:val="24"/>
    <w:qFormat/>
    <w:uiPriority w:val="9"/>
    <w:pPr>
      <w:spacing w:before="260" w:after="260" w:line="240" w:lineRule="auto"/>
      <w:outlineLvl w:val="2"/>
    </w:pPr>
    <w:rPr>
      <w:rFonts w:ascii="宋体" w:hAnsi="宋体" w:eastAsia="宋体"/>
      <w:szCs w:val="32"/>
    </w:rPr>
  </w:style>
  <w:style w:type="paragraph" w:styleId="5">
    <w:name w:val="heading 4"/>
    <w:basedOn w:val="1"/>
    <w:next w:val="1"/>
    <w:link w:val="28"/>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7">
    <w:name w:val="Normal Indent"/>
    <w:basedOn w:val="1"/>
    <w:link w:val="31"/>
    <w:qFormat/>
    <w:uiPriority w:val="0"/>
    <w:pPr>
      <w:ind w:firstLine="420"/>
    </w:pPr>
    <w:rPr>
      <w:szCs w:val="20"/>
    </w:rPr>
  </w:style>
  <w:style w:type="paragraph" w:styleId="8">
    <w:name w:val="annotation text"/>
    <w:basedOn w:val="1"/>
    <w:link w:val="27"/>
    <w:qFormat/>
    <w:uiPriority w:val="0"/>
    <w:pPr>
      <w:autoSpaceDE w:val="0"/>
      <w:autoSpaceDN w:val="0"/>
      <w:adjustRightInd w:val="0"/>
      <w:textAlignment w:val="baseline"/>
    </w:pPr>
    <w:rPr>
      <w:rFonts w:ascii="宋体"/>
      <w:sz w:val="34"/>
      <w:szCs w:val="20"/>
    </w:rPr>
  </w:style>
  <w:style w:type="paragraph" w:styleId="9">
    <w:name w:val="Body Text"/>
    <w:basedOn w:val="1"/>
    <w:next w:val="10"/>
    <w:qFormat/>
    <w:uiPriority w:val="99"/>
  </w:style>
  <w:style w:type="paragraph" w:styleId="10">
    <w:name w:val="Body Text 2"/>
    <w:basedOn w:val="1"/>
    <w:qFormat/>
    <w:uiPriority w:val="0"/>
    <w:pPr>
      <w:spacing w:line="360" w:lineRule="auto"/>
    </w:pPr>
    <w:rPr>
      <w:sz w:val="24"/>
    </w:rPr>
  </w:style>
  <w:style w:type="paragraph" w:styleId="11">
    <w:name w:val="Body Text Indent"/>
    <w:basedOn w:val="1"/>
    <w:link w:val="33"/>
    <w:qFormat/>
    <w:uiPriority w:val="0"/>
    <w:pPr>
      <w:spacing w:line="360" w:lineRule="auto"/>
      <w:ind w:firstLine="420" w:firstLineChars="200"/>
    </w:pPr>
  </w:style>
  <w:style w:type="paragraph" w:styleId="12">
    <w:name w:val="footer"/>
    <w:basedOn w:val="1"/>
    <w:link w:val="37"/>
    <w:qFormat/>
    <w:uiPriority w:val="0"/>
    <w:pPr>
      <w:tabs>
        <w:tab w:val="center" w:pos="4153"/>
        <w:tab w:val="right" w:pos="8306"/>
      </w:tabs>
      <w:snapToGrid w:val="0"/>
      <w:jc w:val="left"/>
    </w:pPr>
    <w:rPr>
      <w:sz w:val="18"/>
      <w:szCs w:val="18"/>
    </w:rPr>
  </w:style>
  <w:style w:type="paragraph" w:styleId="13">
    <w:name w:val="header"/>
    <w:basedOn w:val="1"/>
    <w:link w:val="39"/>
    <w:qFormat/>
    <w:uiPriority w:val="0"/>
    <w:pPr>
      <w:tabs>
        <w:tab w:val="center" w:pos="4153"/>
        <w:tab w:val="right" w:pos="8306"/>
      </w:tabs>
      <w:snapToGrid w:val="0"/>
    </w:pPr>
    <w:rPr>
      <w:sz w:val="18"/>
      <w:szCs w:val="18"/>
    </w:rPr>
  </w:style>
  <w:style w:type="paragraph" w:styleId="14">
    <w:name w:val="Subtitle"/>
    <w:basedOn w:val="1"/>
    <w:next w:val="1"/>
    <w:link w:val="46"/>
    <w:qFormat/>
    <w:uiPriority w:val="0"/>
    <w:pPr>
      <w:spacing w:before="240" w:after="60" w:line="312" w:lineRule="auto"/>
      <w:ind w:left="992" w:hanging="992"/>
      <w:jc w:val="center"/>
      <w:outlineLvl w:val="1"/>
    </w:pPr>
    <w:rPr>
      <w:rFonts w:ascii="Cambria" w:hAnsi="Cambria"/>
      <w:b/>
      <w:bCs/>
      <w:kern w:val="28"/>
      <w:sz w:val="32"/>
      <w:szCs w:val="32"/>
    </w:rPr>
  </w:style>
  <w:style w:type="paragraph" w:styleId="15">
    <w:name w:val="Normal (Web)"/>
    <w:basedOn w:val="1"/>
    <w:link w:val="26"/>
    <w:qFormat/>
    <w:uiPriority w:val="99"/>
  </w:style>
  <w:style w:type="paragraph" w:styleId="16">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17">
    <w:name w:val="annotation subject"/>
    <w:basedOn w:val="8"/>
    <w:next w:val="8"/>
    <w:link w:val="45"/>
    <w:qFormat/>
    <w:uiPriority w:val="0"/>
    <w:pPr>
      <w:autoSpaceDE/>
      <w:autoSpaceDN/>
      <w:adjustRightInd/>
      <w:jc w:val="left"/>
      <w:textAlignment w:val="auto"/>
    </w:pPr>
    <w:rPr>
      <w:rFonts w:ascii="Times New Roman"/>
      <w:b/>
      <w:bCs/>
      <w:sz w:val="24"/>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paragraph" w:customStyle="1" w:styleId="23">
    <w:name w:val="表格文字"/>
    <w:basedOn w:val="1"/>
    <w:qFormat/>
    <w:uiPriority w:val="0"/>
    <w:pPr>
      <w:spacing w:before="25" w:after="25"/>
      <w:jc w:val="left"/>
    </w:pPr>
    <w:rPr>
      <w:bCs/>
      <w:spacing w:val="10"/>
      <w:szCs w:val="20"/>
    </w:rPr>
  </w:style>
  <w:style w:type="character" w:customStyle="1" w:styleId="24">
    <w:name w:val="标题 3 字符"/>
    <w:link w:val="4"/>
    <w:qFormat/>
    <w:uiPriority w:val="9"/>
    <w:rPr>
      <w:rFonts w:ascii="宋体" w:hAnsi="宋体" w:eastAsia="宋体"/>
      <w:b/>
      <w:bCs/>
      <w:kern w:val="2"/>
      <w:sz w:val="28"/>
      <w:szCs w:val="32"/>
      <w:lang w:val="en-US" w:eastAsia="zh-CN" w:bidi="ar-SA"/>
    </w:rPr>
  </w:style>
  <w:style w:type="paragraph" w:customStyle="1" w:styleId="25">
    <w:name w:val="文档正文"/>
    <w:basedOn w:val="1"/>
    <w:qFormat/>
    <w:uiPriority w:val="99"/>
    <w:pPr>
      <w:adjustRightInd w:val="0"/>
      <w:spacing w:line="500" w:lineRule="exact"/>
      <w:ind w:firstLine="567"/>
      <w:textAlignment w:val="baseline"/>
    </w:pPr>
    <w:rPr>
      <w:rFonts w:ascii="仿宋_GB2312" w:eastAsia="仿宋_GB2312"/>
      <w:sz w:val="28"/>
    </w:rPr>
  </w:style>
  <w:style w:type="character" w:customStyle="1" w:styleId="26">
    <w:name w:val="普通(网站) 字符"/>
    <w:link w:val="15"/>
    <w:qFormat/>
    <w:uiPriority w:val="0"/>
    <w:rPr>
      <w:kern w:val="2"/>
      <w:sz w:val="24"/>
      <w:szCs w:val="24"/>
    </w:rPr>
  </w:style>
  <w:style w:type="character" w:customStyle="1" w:styleId="27">
    <w:name w:val="批注文字 字符"/>
    <w:link w:val="8"/>
    <w:qFormat/>
    <w:uiPriority w:val="0"/>
    <w:rPr>
      <w:rFonts w:ascii="宋体"/>
      <w:sz w:val="34"/>
    </w:rPr>
  </w:style>
  <w:style w:type="character" w:customStyle="1" w:styleId="28">
    <w:name w:val="标题 4 字符"/>
    <w:link w:val="5"/>
    <w:qFormat/>
    <w:uiPriority w:val="9"/>
    <w:rPr>
      <w:rFonts w:ascii="Arial" w:hAnsi="Arial" w:eastAsia="黑体"/>
      <w:b/>
      <w:bCs/>
      <w:kern w:val="2"/>
      <w:sz w:val="28"/>
      <w:szCs w:val="28"/>
      <w:lang w:val="en-US" w:eastAsia="zh-CN" w:bidi="ar-SA"/>
    </w:rPr>
  </w:style>
  <w:style w:type="character" w:customStyle="1" w:styleId="29">
    <w:name w:val="标题 1 字符"/>
    <w:link w:val="3"/>
    <w:qFormat/>
    <w:uiPriority w:val="0"/>
    <w:rPr>
      <w:rFonts w:ascii="宋体" w:hAnsi="宋体" w:eastAsia="黑体"/>
      <w:b/>
      <w:bCs/>
      <w:kern w:val="44"/>
      <w:sz w:val="28"/>
      <w:szCs w:val="44"/>
      <w:lang w:val="en-US" w:eastAsia="zh-CN" w:bidi="ar-SA"/>
    </w:rPr>
  </w:style>
  <w:style w:type="character" w:customStyle="1" w:styleId="30">
    <w:name w:val="标题 2 字符"/>
    <w:link w:val="6"/>
    <w:qFormat/>
    <w:uiPriority w:val="0"/>
    <w:rPr>
      <w:rFonts w:ascii="宋体" w:hAnsi="宋体" w:eastAsia="宋体"/>
      <w:b/>
      <w:bCs/>
      <w:sz w:val="24"/>
      <w:lang w:val="en-US" w:eastAsia="zh-CN" w:bidi="ar-SA"/>
    </w:rPr>
  </w:style>
  <w:style w:type="character" w:customStyle="1" w:styleId="31">
    <w:name w:val="正文缩进 字符"/>
    <w:link w:val="7"/>
    <w:qFormat/>
    <w:uiPriority w:val="0"/>
    <w:rPr>
      <w:rFonts w:eastAsia="宋体"/>
      <w:kern w:val="2"/>
      <w:sz w:val="21"/>
      <w:lang w:val="en-US" w:eastAsia="zh-CN" w:bidi="ar-SA"/>
    </w:rPr>
  </w:style>
  <w:style w:type="character" w:customStyle="1" w:styleId="32">
    <w:name w:val="标题 3 Char"/>
    <w:qFormat/>
    <w:uiPriority w:val="0"/>
    <w:rPr>
      <w:rFonts w:ascii="黑体" w:eastAsia="黑体"/>
      <w:bCs/>
      <w:sz w:val="30"/>
    </w:rPr>
  </w:style>
  <w:style w:type="character" w:customStyle="1" w:styleId="33">
    <w:name w:val="正文文本缩进 字符"/>
    <w:link w:val="11"/>
    <w:qFormat/>
    <w:uiPriority w:val="0"/>
    <w:rPr>
      <w:rFonts w:eastAsia="宋体"/>
      <w:kern w:val="2"/>
      <w:sz w:val="21"/>
      <w:szCs w:val="24"/>
      <w:lang w:val="en-US" w:eastAsia="zh-CN" w:bidi="ar-SA"/>
    </w:rPr>
  </w:style>
  <w:style w:type="character" w:customStyle="1" w:styleId="34">
    <w:name w:val="NormalCharacter"/>
    <w:qFormat/>
    <w:uiPriority w:val="0"/>
    <w:rPr>
      <w:kern w:val="2"/>
      <w:sz w:val="21"/>
      <w:szCs w:val="24"/>
      <w:lang w:val="en-US" w:eastAsia="zh-CN" w:bidi="ar-SA"/>
    </w:rPr>
  </w:style>
  <w:style w:type="paragraph" w:customStyle="1" w:styleId="35">
    <w:name w:val="修订1"/>
    <w:qFormat/>
    <w:uiPriority w:val="99"/>
    <w:rPr>
      <w:rFonts w:ascii="Times New Roman" w:hAnsi="Times New Roman" w:eastAsia="Times New Roman" w:cs="Times New Roman"/>
      <w:sz w:val="24"/>
      <w:szCs w:val="24"/>
      <w:lang w:val="en-US" w:eastAsia="zh-CN" w:bidi="ar-SA"/>
    </w:rPr>
  </w:style>
  <w:style w:type="paragraph" w:styleId="36">
    <w:name w:val="List Paragraph"/>
    <w:basedOn w:val="1"/>
    <w:qFormat/>
    <w:uiPriority w:val="99"/>
    <w:pPr>
      <w:ind w:firstLine="420" w:firstLineChars="200"/>
    </w:pPr>
  </w:style>
  <w:style w:type="character" w:customStyle="1" w:styleId="37">
    <w:name w:val="页脚 字符"/>
    <w:basedOn w:val="20"/>
    <w:link w:val="12"/>
    <w:qFormat/>
    <w:uiPriority w:val="0"/>
    <w:rPr>
      <w:rFonts w:eastAsia="Times New Roman"/>
      <w:sz w:val="18"/>
      <w:szCs w:val="18"/>
    </w:rPr>
  </w:style>
  <w:style w:type="table" w:customStyle="1" w:styleId="38">
    <w:name w:val="网格型1"/>
    <w:basedOn w:val="18"/>
    <w:qFormat/>
    <w:uiPriority w:val="59"/>
    <w:pPr>
      <w:widowControl w:val="0"/>
      <w:spacing w:after="78" w:afterLines="25" w:line="300" w:lineRule="auto"/>
      <w:jc w:val="both"/>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页眉 字符"/>
    <w:basedOn w:val="20"/>
    <w:link w:val="13"/>
    <w:qFormat/>
    <w:uiPriority w:val="0"/>
    <w:rPr>
      <w:rFonts w:eastAsia="Times New Roman"/>
      <w:sz w:val="18"/>
      <w:szCs w:val="18"/>
    </w:rPr>
  </w:style>
  <w:style w:type="character" w:customStyle="1" w:styleId="40">
    <w:name w:val="font21"/>
    <w:basedOn w:val="20"/>
    <w:qFormat/>
    <w:uiPriority w:val="0"/>
    <w:rPr>
      <w:rFonts w:hint="default" w:ascii="Times New Roman" w:hAnsi="Times New Roman" w:cs="Times New Roman"/>
      <w:color w:val="000000"/>
      <w:sz w:val="24"/>
      <w:szCs w:val="24"/>
      <w:u w:val="none"/>
    </w:rPr>
  </w:style>
  <w:style w:type="character" w:customStyle="1" w:styleId="41">
    <w:name w:val="font11"/>
    <w:basedOn w:val="20"/>
    <w:qFormat/>
    <w:uiPriority w:val="0"/>
    <w:rPr>
      <w:rFonts w:hint="eastAsia" w:ascii="宋体" w:hAnsi="宋体" w:eastAsia="宋体" w:cs="宋体"/>
      <w:color w:val="000000"/>
      <w:sz w:val="24"/>
      <w:szCs w:val="24"/>
      <w:u w:val="none"/>
    </w:rPr>
  </w:style>
  <w:style w:type="table" w:customStyle="1" w:styleId="42">
    <w:name w:val="Table Normal"/>
    <w:qFormat/>
    <w:uiPriority w:val="0"/>
    <w:rPr>
      <w:rFonts w:ascii="Calibri" w:hAnsi="Calibri"/>
    </w:rPr>
    <w:tblPr>
      <w:tblCellMar>
        <w:top w:w="0" w:type="dxa"/>
        <w:left w:w="0" w:type="dxa"/>
        <w:bottom w:w="0" w:type="dxa"/>
        <w:right w:w="0" w:type="dxa"/>
      </w:tblCellMar>
    </w:tblPr>
  </w:style>
  <w:style w:type="paragraph" w:customStyle="1" w:styleId="43">
    <w:name w:val="Table Text"/>
    <w:basedOn w:val="1"/>
    <w:qFormat/>
    <w:uiPriority w:val="0"/>
    <w:pPr>
      <w:kinsoku w:val="0"/>
      <w:autoSpaceDE w:val="0"/>
      <w:autoSpaceDN w:val="0"/>
      <w:adjustRightInd w:val="0"/>
      <w:snapToGrid w:val="0"/>
      <w:jc w:val="left"/>
      <w:textAlignment w:val="baseline"/>
    </w:pPr>
    <w:rPr>
      <w:rFonts w:ascii="宋体" w:hAnsi="宋体" w:eastAsia="宋体" w:cs="宋体"/>
      <w:snapToGrid w:val="0"/>
      <w:color w:val="000000"/>
      <w:sz w:val="21"/>
      <w:szCs w:val="21"/>
      <w:lang w:eastAsia="en-US"/>
    </w:rPr>
  </w:style>
  <w:style w:type="paragraph" w:customStyle="1" w:styleId="44">
    <w:name w:val="List Paragraph1"/>
    <w:qFormat/>
    <w:uiPriority w:val="99"/>
    <w:pPr>
      <w:widowControl w:val="0"/>
      <w:ind w:firstLine="420" w:firstLineChars="200"/>
      <w:jc w:val="both"/>
    </w:pPr>
    <w:rPr>
      <w:rFonts w:ascii="Calibri" w:hAnsi="Calibri" w:eastAsia="宋体" w:cs="黑体"/>
      <w:kern w:val="2"/>
      <w:sz w:val="21"/>
      <w:szCs w:val="22"/>
      <w:lang w:val="en-US" w:eastAsia="zh-CN" w:bidi="ar-SA"/>
    </w:rPr>
  </w:style>
  <w:style w:type="character" w:customStyle="1" w:styleId="45">
    <w:name w:val="批注主题 字符"/>
    <w:basedOn w:val="27"/>
    <w:link w:val="17"/>
    <w:qFormat/>
    <w:uiPriority w:val="0"/>
    <w:rPr>
      <w:rFonts w:ascii="宋体" w:eastAsia="Times New Roman"/>
      <w:b/>
      <w:bCs/>
      <w:sz w:val="24"/>
      <w:szCs w:val="24"/>
    </w:rPr>
  </w:style>
  <w:style w:type="character" w:customStyle="1" w:styleId="46">
    <w:name w:val="副标题 Char1"/>
    <w:basedOn w:val="20"/>
    <w:link w:val="14"/>
    <w:qFormat/>
    <w:uiPriority w:val="0"/>
    <w:rPr>
      <w:rFonts w:ascii="Cambria" w:hAnsi="Cambria"/>
      <w:b/>
      <w:bCs/>
      <w:kern w:val="28"/>
      <w:sz w:val="32"/>
      <w:szCs w:val="32"/>
    </w:rPr>
  </w:style>
  <w:style w:type="paragraph" w:customStyle="1" w:styleId="47">
    <w:name w:val="NormalIndent"/>
    <w:basedOn w:val="1"/>
    <w:qFormat/>
    <w:uiPriority w:val="0"/>
    <w:pPr>
      <w:ind w:firstLine="420"/>
      <w:textAlignment w:val="baseline"/>
    </w:pPr>
  </w:style>
  <w:style w:type="character" w:customStyle="1" w:styleId="48">
    <w:name w:val="font31"/>
    <w:qFormat/>
    <w:uiPriority w:val="0"/>
    <w:rPr>
      <w:rFonts w:hint="eastAsia" w:ascii="宋体" w:hAnsi="宋体" w:eastAsia="宋体" w:cs="宋体"/>
      <w:color w:val="FF0000"/>
      <w:sz w:val="24"/>
      <w:szCs w:val="24"/>
      <w:u w:val="none"/>
    </w:rPr>
  </w:style>
  <w:style w:type="paragraph" w:customStyle="1" w:styleId="49">
    <w:name w:val="列出段落4"/>
    <w:basedOn w:val="1"/>
    <w:qFormat/>
    <w:uiPriority w:val="0"/>
    <w:pPr>
      <w:widowControl/>
      <w:ind w:firstLine="420" w:firstLineChars="200"/>
      <w:jc w:val="left"/>
    </w:pPr>
    <w:rPr>
      <w:rFonts w:ascii="Calibri" w:hAnsi="Calibri" w:eastAsiaTheme="minorEastAsia"/>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963</Words>
  <Characters>1001</Characters>
  <Lines>292</Lines>
  <Paragraphs>82</Paragraphs>
  <TotalTime>1</TotalTime>
  <ScaleCrop>false</ScaleCrop>
  <LinksUpToDate>false</LinksUpToDate>
  <CharactersWithSpaces>1042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2024-03-22T16:33:00Z</dcterms:created>
  <dc:creator>Administrator</dc:creator>
  <cp:lastModifiedBy>Fast-Yu</cp:lastModifiedBy>
  <cp:lastPrinted>2024-07-20T15:34:00Z</cp:lastPrinted>
  <dcterms:modified xsi:type="dcterms:W3CDTF">2025-07-28T08:38:06Z</dcterms:modified>
  <dc:title>盐田区2024年水资源管理和节水工作技术咨询服务招标文件信息</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ACAAC2F948C062FDA4DC65684E0CDD16</vt:lpwstr>
  </property>
  <property fmtid="{D5CDD505-2E9C-101B-9397-08002B2CF9AE}" pid="4" name="KSOTemplateDocerSaveRecord">
    <vt:lpwstr>eyJoZGlkIjoiODZjNzdhZWU4MDQ5N2QzNjMwYmM5M2NjNzUwMGYxNTgiLCJ1c2VySWQiOiIxMDM4MDM5ODk1In0=</vt:lpwstr>
  </property>
</Properties>
</file>