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黑体" w:hAnsi="华文中宋" w:eastAsia="黑体" w:cs="华文中宋"/>
          <w:b/>
          <w:bCs/>
          <w:color w:val="auto"/>
          <w:sz w:val="72"/>
          <w:szCs w:val="72"/>
          <w:highlight w:val="none"/>
        </w:rPr>
      </w:pPr>
    </w:p>
    <w:p>
      <w:pPr>
        <w:snapToGrid w:val="0"/>
        <w:spacing w:before="156" w:beforeLines="50"/>
        <w:jc w:val="center"/>
        <w:rPr>
          <w:rFonts w:ascii="黑体" w:hAnsi="华文中宋" w:eastAsia="黑体" w:cs="华文中宋"/>
          <w:b/>
          <w:bCs/>
          <w:color w:val="auto"/>
          <w:sz w:val="72"/>
          <w:szCs w:val="72"/>
          <w:highlight w:val="none"/>
        </w:rPr>
      </w:pPr>
    </w:p>
    <w:p>
      <w:pPr>
        <w:snapToGrid w:val="0"/>
        <w:spacing w:before="156" w:beforeLines="50"/>
        <w:jc w:val="center"/>
        <w:rPr>
          <w:rFonts w:ascii="黑体" w:hAnsi="华文中宋" w:eastAsia="黑体" w:cs="华文中宋"/>
          <w:b/>
          <w:bCs/>
          <w:color w:val="auto"/>
          <w:sz w:val="72"/>
          <w:szCs w:val="72"/>
          <w:highlight w:val="none"/>
        </w:rPr>
      </w:pPr>
    </w:p>
    <w:p>
      <w:pPr>
        <w:snapToGrid w:val="0"/>
        <w:spacing w:before="156" w:beforeLines="50"/>
        <w:jc w:val="center"/>
        <w:rPr>
          <w:rFonts w:hint="eastAsia" w:ascii="黑体" w:hAnsi="华文中宋" w:eastAsia="黑体" w:cs="华文中宋"/>
          <w:b/>
          <w:bCs/>
          <w:color w:val="auto"/>
          <w:sz w:val="72"/>
          <w:szCs w:val="72"/>
          <w:highlight w:val="none"/>
          <w:lang w:val="en-US" w:eastAsia="zh-CN"/>
        </w:rPr>
      </w:pPr>
      <w:r>
        <w:rPr>
          <w:rFonts w:hint="eastAsia" w:ascii="黑体" w:hAnsi="华文中宋" w:eastAsia="黑体" w:cs="华文中宋"/>
          <w:b/>
          <w:bCs/>
          <w:color w:val="auto"/>
          <w:sz w:val="72"/>
          <w:szCs w:val="72"/>
          <w:highlight w:val="none"/>
        </w:rPr>
        <w:t>工程</w:t>
      </w:r>
      <w:r>
        <w:rPr>
          <w:rFonts w:hint="eastAsia" w:ascii="黑体" w:hAnsi="华文中宋" w:eastAsia="黑体" w:cs="华文中宋"/>
          <w:b/>
          <w:bCs/>
          <w:color w:val="auto"/>
          <w:sz w:val="72"/>
          <w:szCs w:val="72"/>
          <w:highlight w:val="none"/>
          <w:lang w:val="en-US" w:eastAsia="zh-CN"/>
        </w:rPr>
        <w:t>服务</w:t>
      </w:r>
    </w:p>
    <w:p>
      <w:pPr>
        <w:snapToGrid w:val="0"/>
        <w:spacing w:before="156" w:beforeLines="50"/>
        <w:jc w:val="center"/>
        <w:rPr>
          <w:rFonts w:ascii="仿宋_GB2312" w:eastAsia="仿宋_GB2312"/>
          <w:b/>
          <w:bCs/>
          <w:color w:val="auto"/>
          <w:sz w:val="72"/>
          <w:szCs w:val="72"/>
          <w:highlight w:val="none"/>
        </w:rPr>
      </w:pPr>
      <w:r>
        <w:rPr>
          <w:rFonts w:hint="eastAsia" w:ascii="黑体" w:hAnsi="华文中宋" w:eastAsia="黑体" w:cs="华文中宋"/>
          <w:b/>
          <w:bCs/>
          <w:color w:val="auto"/>
          <w:sz w:val="72"/>
          <w:szCs w:val="72"/>
          <w:highlight w:val="none"/>
        </w:rPr>
        <w:t>公开招标文件</w:t>
      </w:r>
    </w:p>
    <w:p>
      <w:pPr>
        <w:spacing w:line="360" w:lineRule="auto"/>
        <w:jc w:val="center"/>
        <w:rPr>
          <w:rFonts w:hint="default" w:ascii="黑体" w:hAnsi="华文中宋" w:eastAsia="黑体" w:cs="华文中宋"/>
          <w:b/>
          <w:bCs/>
          <w:color w:val="auto"/>
          <w:sz w:val="72"/>
          <w:szCs w:val="72"/>
          <w:highlight w:val="none"/>
          <w:lang w:val="en-US" w:eastAsia="zh-CN"/>
        </w:rPr>
      </w:pPr>
      <w:r>
        <w:rPr>
          <w:rFonts w:hint="eastAsia" w:ascii="黑体" w:hAnsi="华文中宋" w:eastAsia="黑体" w:cs="华文中宋"/>
          <w:b/>
          <w:bCs/>
          <w:color w:val="auto"/>
          <w:sz w:val="72"/>
          <w:szCs w:val="72"/>
          <w:highlight w:val="none"/>
          <w:lang w:val="en-US" w:eastAsia="zh-CN"/>
        </w:rPr>
        <w:t>(更正)</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18"/>
        <w:spacing w:line="360" w:lineRule="auto"/>
        <w:ind w:firstLine="424" w:firstLineChars="132"/>
        <w:rPr>
          <w:rFonts w:hint="eastAsia" w:ascii="仿宋_GB2312" w:eastAsia="仿宋_GB2312"/>
          <w:b/>
          <w:color w:val="auto"/>
          <w:sz w:val="32"/>
          <w:highlight w:val="none"/>
          <w:lang w:eastAsia="zh-CN"/>
        </w:rPr>
      </w:pPr>
      <w:r>
        <w:rPr>
          <w:rFonts w:hint="eastAsia" w:ascii="仿宋_GB2312" w:eastAsia="仿宋_GB2312"/>
          <w:b/>
          <w:color w:val="auto"/>
          <w:sz w:val="32"/>
          <w:highlight w:val="none"/>
        </w:rPr>
        <w:t>项目编号：</w:t>
      </w:r>
      <w:r>
        <w:rPr>
          <w:rFonts w:hint="eastAsia" w:ascii="仿宋_GB2312" w:eastAsia="仿宋_GB2312"/>
          <w:b/>
          <w:color w:val="auto"/>
          <w:sz w:val="32"/>
          <w:highlight w:val="none"/>
          <w:shd w:val="clear" w:color="auto"/>
          <w:lang w:eastAsia="zh-CN"/>
        </w:rPr>
        <w:t>NSSHJD202505</w:t>
      </w:r>
      <w:r>
        <w:rPr>
          <w:rFonts w:hint="eastAsia" w:ascii="仿宋_GB2312" w:eastAsia="仿宋_GB2312"/>
          <w:b/>
          <w:color w:val="auto"/>
          <w:sz w:val="32"/>
          <w:highlight w:val="none"/>
          <w:shd w:val="clear" w:color="auto"/>
          <w:lang w:val="en-US" w:eastAsia="zh-CN"/>
        </w:rPr>
        <w:t>21</w:t>
      </w:r>
      <w:r>
        <w:rPr>
          <w:rFonts w:hint="eastAsia" w:ascii="仿宋_GB2312" w:eastAsia="仿宋_GB2312"/>
          <w:b/>
          <w:color w:val="auto"/>
          <w:sz w:val="32"/>
          <w:highlight w:val="none"/>
          <w:shd w:val="clear" w:color="auto"/>
          <w:lang w:eastAsia="zh-CN"/>
        </w:rPr>
        <w:t>001</w:t>
      </w:r>
    </w:p>
    <w:p>
      <w:pPr>
        <w:pStyle w:val="18"/>
        <w:spacing w:line="360" w:lineRule="auto"/>
        <w:ind w:firstLine="424" w:firstLineChars="132"/>
        <w:rPr>
          <w:rFonts w:hint="eastAsia" w:ascii="仿宋_GB2312" w:eastAsia="仿宋_GB2312"/>
          <w:b/>
          <w:color w:val="auto"/>
          <w:sz w:val="32"/>
          <w:highlight w:val="none"/>
          <w:lang w:eastAsia="zh-CN"/>
        </w:rPr>
      </w:pPr>
      <w:r>
        <w:rPr>
          <w:rFonts w:hint="eastAsia" w:ascii="仿宋_GB2312" w:eastAsia="仿宋_GB2312"/>
          <w:b/>
          <w:color w:val="auto"/>
          <w:sz w:val="32"/>
          <w:highlight w:val="none"/>
        </w:rPr>
        <w:t>项目名称：</w:t>
      </w:r>
      <w:r>
        <w:rPr>
          <w:rFonts w:hint="eastAsia" w:ascii="仿宋_GB2312" w:eastAsia="仿宋_GB2312"/>
          <w:b/>
          <w:color w:val="auto"/>
          <w:sz w:val="32"/>
          <w:highlight w:val="none"/>
          <w:lang w:eastAsia="zh-CN"/>
        </w:rPr>
        <w:t>光华街小区和光侨街小区老旧小区改造项目（设计）</w:t>
      </w:r>
    </w:p>
    <w:p>
      <w:pPr>
        <w:pStyle w:val="18"/>
        <w:spacing w:line="360" w:lineRule="auto"/>
        <w:rPr>
          <w:rFonts w:ascii="仿宋_GB2312" w:eastAsia="仿宋_GB2312"/>
          <w:b/>
          <w:color w:val="auto"/>
          <w:sz w:val="32"/>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pacing w:line="360" w:lineRule="auto"/>
        <w:rPr>
          <w:rFonts w:eastAsia="华文中宋"/>
          <w:color w:val="auto"/>
          <w:sz w:val="30"/>
          <w:highlight w:val="none"/>
        </w:rPr>
      </w:pPr>
    </w:p>
    <w:p>
      <w:pPr>
        <w:snapToGrid w:val="0"/>
        <w:spacing w:line="360" w:lineRule="auto"/>
        <w:jc w:val="center"/>
        <w:rPr>
          <w:rFonts w:ascii="黑体" w:hAnsi="华文中宋" w:eastAsia="黑体" w:cs="华文中宋"/>
          <w:color w:val="auto"/>
          <w:sz w:val="30"/>
          <w:szCs w:val="30"/>
          <w:highlight w:val="none"/>
        </w:rPr>
      </w:pPr>
    </w:p>
    <w:p>
      <w:pPr>
        <w:spacing w:line="360" w:lineRule="auto"/>
        <w:jc w:val="center"/>
        <w:rPr>
          <w:rFonts w:ascii="宋体" w:hAnsi="宋体"/>
          <w:b/>
          <w:color w:val="auto"/>
          <w:sz w:val="44"/>
          <w:szCs w:val="44"/>
          <w:highlight w:val="none"/>
        </w:rPr>
        <w:sectPr>
          <w:headerReference r:id="rId3" w:type="default"/>
          <w:footerReference r:id="rId4" w:type="default"/>
          <w:pgSz w:w="11906" w:h="16838"/>
          <w:pgMar w:top="1440" w:right="1286" w:bottom="1440" w:left="1440" w:header="851" w:footer="992" w:gutter="0"/>
          <w:cols w:space="720" w:num="1"/>
          <w:docGrid w:type="lines" w:linePitch="312" w:charSpace="0"/>
        </w:sectPr>
      </w:pPr>
      <w:r>
        <w:rPr>
          <w:rFonts w:hint="eastAsia" w:ascii="黑体" w:hAnsi="华文中宋" w:eastAsia="黑体" w:cs="华文中宋"/>
          <w:color w:val="auto"/>
          <w:sz w:val="30"/>
          <w:szCs w:val="30"/>
          <w:highlight w:val="none"/>
          <w:lang w:eastAsia="zh-CN"/>
        </w:rPr>
        <w:t>2025</w:t>
      </w:r>
      <w:r>
        <w:rPr>
          <w:rFonts w:hint="eastAsia" w:ascii="黑体" w:hAnsi="华文中宋" w:eastAsia="黑体" w:cs="华文中宋"/>
          <w:color w:val="auto"/>
          <w:sz w:val="30"/>
          <w:szCs w:val="30"/>
          <w:highlight w:val="none"/>
        </w:rPr>
        <w:t>年0</w:t>
      </w:r>
      <w:r>
        <w:rPr>
          <w:rFonts w:hint="eastAsia" w:ascii="黑体" w:hAnsi="华文中宋" w:eastAsia="黑体" w:cs="华文中宋"/>
          <w:color w:val="auto"/>
          <w:sz w:val="30"/>
          <w:szCs w:val="30"/>
          <w:highlight w:val="none"/>
          <w:lang w:val="en-US" w:eastAsia="zh-CN"/>
        </w:rPr>
        <w:t>5</w:t>
      </w:r>
      <w:r>
        <w:rPr>
          <w:rFonts w:ascii="黑体" w:hAnsi="华文中宋" w:eastAsia="黑体" w:cs="华文中宋"/>
          <w:color w:val="auto"/>
          <w:sz w:val="30"/>
          <w:szCs w:val="30"/>
          <w:highlight w:val="none"/>
        </w:rPr>
        <w:t>月</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28"/>
        <w:tabs>
          <w:tab w:val="right" w:leader="dot" w:pos="9180"/>
        </w:tabs>
      </w:pPr>
      <w:bookmarkStart w:id="0" w:name="_Toc435514842"/>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"1-2" \h \u </w:instrText>
      </w:r>
      <w:r>
        <w:rPr>
          <w:rFonts w:hint="eastAsia" w:ascii="宋体" w:hAnsi="宋体" w:cs="宋体"/>
          <w:color w:val="auto"/>
          <w:sz w:val="28"/>
          <w:szCs w:val="28"/>
          <w:highlight w:val="none"/>
        </w:rPr>
        <w:fldChar w:fldCharType="separate"/>
      </w: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_Toc14823 </w:instrText>
      </w:r>
      <w:r>
        <w:rPr>
          <w:rFonts w:hint="eastAsia" w:ascii="宋体" w:hAnsi="宋体" w:cs="宋体"/>
          <w:szCs w:val="28"/>
          <w:highlight w:val="none"/>
        </w:rPr>
        <w:fldChar w:fldCharType="separate"/>
      </w:r>
      <w:r>
        <w:rPr>
          <w:rFonts w:hint="eastAsia" w:asciiTheme="majorEastAsia" w:hAnsiTheme="majorEastAsia" w:eastAsiaTheme="majorEastAsia" w:cstheme="majorEastAsia"/>
          <w:szCs w:val="32"/>
          <w:highlight w:val="none"/>
        </w:rPr>
        <w:t>第一章 投标邀请</w:t>
      </w:r>
      <w:r>
        <w:tab/>
      </w:r>
      <w:r>
        <w:fldChar w:fldCharType="begin"/>
      </w:r>
      <w:r>
        <w:instrText xml:space="preserve"> PAGEREF _Toc14823 \h </w:instrText>
      </w:r>
      <w:r>
        <w:fldChar w:fldCharType="separate"/>
      </w:r>
      <w:r>
        <w:t>3</w:t>
      </w:r>
      <w:r>
        <w:fldChar w:fldCharType="end"/>
      </w:r>
      <w:r>
        <w:rPr>
          <w:rFonts w:hint="eastAsia" w:ascii="宋体" w:hAnsi="宋体" w:cs="宋体"/>
          <w:color w:val="auto"/>
          <w:szCs w:val="28"/>
          <w:highlight w:val="none"/>
        </w:rPr>
        <w:fldChar w:fldCharType="end"/>
      </w:r>
    </w:p>
    <w:p>
      <w:pPr>
        <w:pStyle w:val="28"/>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_Toc31789 </w:instrText>
      </w:r>
      <w:r>
        <w:rPr>
          <w:rFonts w:hint="eastAsia" w:ascii="宋体" w:hAnsi="宋体" w:cs="宋体"/>
          <w:bCs/>
          <w:szCs w:val="28"/>
          <w:highlight w:val="none"/>
        </w:rPr>
        <w:fldChar w:fldCharType="separate"/>
      </w:r>
      <w:r>
        <w:rPr>
          <w:rFonts w:hint="eastAsia" w:asciiTheme="majorEastAsia" w:hAnsiTheme="majorEastAsia" w:eastAsiaTheme="majorEastAsia" w:cstheme="majorEastAsia"/>
          <w:szCs w:val="32"/>
          <w:highlight w:val="none"/>
        </w:rPr>
        <w:t>第二章 投标资料表</w:t>
      </w:r>
      <w:r>
        <w:tab/>
      </w:r>
      <w:r>
        <w:fldChar w:fldCharType="begin"/>
      </w:r>
      <w:r>
        <w:instrText xml:space="preserve"> PAGEREF _Toc31789 \h </w:instrText>
      </w:r>
      <w:r>
        <w:fldChar w:fldCharType="separate"/>
      </w:r>
      <w:r>
        <w:t>5</w:t>
      </w:r>
      <w:r>
        <w:fldChar w:fldCharType="end"/>
      </w:r>
      <w:r>
        <w:rPr>
          <w:rFonts w:hint="eastAsia" w:ascii="宋体" w:hAnsi="宋体" w:cs="宋体"/>
          <w:bCs/>
          <w:color w:val="auto"/>
          <w:szCs w:val="28"/>
          <w:highlight w:val="none"/>
        </w:rPr>
        <w:fldChar w:fldCharType="end"/>
      </w:r>
    </w:p>
    <w:p>
      <w:pPr>
        <w:pStyle w:val="28"/>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_Toc5416 </w:instrText>
      </w:r>
      <w:r>
        <w:rPr>
          <w:rFonts w:hint="eastAsia" w:ascii="宋体" w:hAnsi="宋体" w:cs="宋体"/>
          <w:bCs/>
          <w:szCs w:val="28"/>
          <w:highlight w:val="none"/>
        </w:rPr>
        <w:fldChar w:fldCharType="separate"/>
      </w:r>
      <w:r>
        <w:rPr>
          <w:rFonts w:hint="eastAsia" w:asciiTheme="majorEastAsia" w:hAnsiTheme="majorEastAsia" w:eastAsiaTheme="majorEastAsia" w:cstheme="majorEastAsia"/>
          <w:szCs w:val="32"/>
          <w:highlight w:val="none"/>
        </w:rPr>
        <w:t>第三章 用户需求书</w:t>
      </w:r>
      <w:r>
        <w:tab/>
      </w:r>
      <w:r>
        <w:fldChar w:fldCharType="begin"/>
      </w:r>
      <w:r>
        <w:instrText xml:space="preserve"> PAGEREF _Toc5416 \h </w:instrText>
      </w:r>
      <w:r>
        <w:fldChar w:fldCharType="separate"/>
      </w:r>
      <w:r>
        <w:t>6</w:t>
      </w:r>
      <w:r>
        <w:fldChar w:fldCharType="end"/>
      </w:r>
      <w:r>
        <w:rPr>
          <w:rFonts w:hint="eastAsia" w:ascii="宋体" w:hAnsi="宋体" w:cs="宋体"/>
          <w:bCs/>
          <w:color w:val="auto"/>
          <w:szCs w:val="28"/>
          <w:highlight w:val="none"/>
        </w:rPr>
        <w:fldChar w:fldCharType="end"/>
      </w:r>
    </w:p>
    <w:p>
      <w:pPr>
        <w:pStyle w:val="28"/>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_Toc13247 </w:instrText>
      </w:r>
      <w:r>
        <w:rPr>
          <w:rFonts w:hint="eastAsia" w:ascii="宋体" w:hAnsi="宋体" w:cs="宋体"/>
          <w:bCs/>
          <w:szCs w:val="28"/>
          <w:highlight w:val="none"/>
        </w:rPr>
        <w:fldChar w:fldCharType="separate"/>
      </w:r>
      <w:r>
        <w:rPr>
          <w:rFonts w:hint="eastAsia" w:asciiTheme="majorEastAsia" w:hAnsiTheme="majorEastAsia" w:eastAsiaTheme="majorEastAsia" w:cstheme="majorEastAsia"/>
          <w:szCs w:val="32"/>
          <w:highlight w:val="none"/>
        </w:rPr>
        <w:t>第四章 评标、定标</w:t>
      </w:r>
      <w:r>
        <w:tab/>
      </w:r>
      <w:r>
        <w:fldChar w:fldCharType="begin"/>
      </w:r>
      <w:r>
        <w:instrText xml:space="preserve"> PAGEREF _Toc13247 \h </w:instrText>
      </w:r>
      <w:r>
        <w:fldChar w:fldCharType="separate"/>
      </w:r>
      <w:r>
        <w:t>8</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_Toc16531 </w:instrText>
      </w:r>
      <w:r>
        <w:rPr>
          <w:rFonts w:hint="eastAsia" w:ascii="宋体" w:hAnsi="宋体" w:cs="宋体"/>
          <w:bCs/>
          <w:szCs w:val="28"/>
          <w:highlight w:val="none"/>
        </w:rPr>
        <w:fldChar w:fldCharType="separate"/>
      </w:r>
      <w:r>
        <w:rPr>
          <w:rFonts w:hint="eastAsia" w:asciiTheme="majorEastAsia" w:hAnsiTheme="majorEastAsia" w:eastAsiaTheme="majorEastAsia"/>
          <w:szCs w:val="30"/>
        </w:rPr>
        <w:t xml:space="preserve">（一） </w:t>
      </w:r>
      <w:r>
        <w:rPr>
          <w:rFonts w:hint="eastAsia" w:asciiTheme="majorEastAsia" w:hAnsiTheme="majorEastAsia" w:eastAsiaTheme="majorEastAsia"/>
          <w:szCs w:val="30"/>
          <w:highlight w:val="none"/>
        </w:rPr>
        <w:t>资格性审查表</w:t>
      </w:r>
      <w:r>
        <w:tab/>
      </w:r>
      <w:r>
        <w:fldChar w:fldCharType="begin"/>
      </w:r>
      <w:r>
        <w:instrText xml:space="preserve"> PAGEREF _Toc16531 \h </w:instrText>
      </w:r>
      <w:r>
        <w:fldChar w:fldCharType="separate"/>
      </w:r>
      <w:r>
        <w:t>8</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_Toc12476 </w:instrText>
      </w:r>
      <w:r>
        <w:rPr>
          <w:rFonts w:hint="eastAsia" w:ascii="宋体" w:hAnsi="宋体" w:cs="宋体"/>
          <w:bCs/>
          <w:szCs w:val="28"/>
          <w:highlight w:val="none"/>
        </w:rPr>
        <w:fldChar w:fldCharType="separate"/>
      </w:r>
      <w:r>
        <w:rPr>
          <w:rFonts w:hint="eastAsia" w:asciiTheme="majorEastAsia" w:hAnsiTheme="majorEastAsia" w:eastAsiaTheme="majorEastAsia"/>
          <w:szCs w:val="30"/>
        </w:rPr>
        <w:t xml:space="preserve">（二） </w:t>
      </w:r>
      <w:r>
        <w:rPr>
          <w:rFonts w:hint="eastAsia" w:asciiTheme="majorEastAsia" w:hAnsiTheme="majorEastAsia" w:eastAsiaTheme="majorEastAsia"/>
          <w:szCs w:val="30"/>
          <w:highlight w:val="none"/>
        </w:rPr>
        <w:t>符合性审查表</w:t>
      </w:r>
      <w:r>
        <w:tab/>
      </w:r>
      <w:r>
        <w:fldChar w:fldCharType="begin"/>
      </w:r>
      <w:r>
        <w:instrText xml:space="preserve"> PAGEREF _Toc12476 \h </w:instrText>
      </w:r>
      <w:r>
        <w:fldChar w:fldCharType="separate"/>
      </w:r>
      <w:r>
        <w:t>8</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_Toc27397 </w:instrText>
      </w:r>
      <w:r>
        <w:rPr>
          <w:rFonts w:hint="eastAsia" w:ascii="宋体" w:hAnsi="宋体" w:cs="宋体"/>
          <w:bCs/>
          <w:szCs w:val="28"/>
          <w:highlight w:val="none"/>
        </w:rPr>
        <w:fldChar w:fldCharType="separate"/>
      </w:r>
      <w:r>
        <w:rPr>
          <w:rFonts w:hint="eastAsia" w:ascii="黑体" w:hAnsi="宋体" w:cs="宋体"/>
          <w:szCs w:val="28"/>
        </w:rPr>
        <w:t xml:space="preserve">（三） </w:t>
      </w:r>
      <w:r>
        <w:rPr>
          <w:rFonts w:hint="eastAsia" w:asciiTheme="majorEastAsia" w:hAnsiTheme="majorEastAsia" w:eastAsiaTheme="majorEastAsia"/>
          <w:szCs w:val="30"/>
          <w:highlight w:val="none"/>
        </w:rPr>
        <w:t>综合评分表</w:t>
      </w:r>
      <w:r>
        <w:tab/>
      </w:r>
      <w:r>
        <w:fldChar w:fldCharType="begin"/>
      </w:r>
      <w:r>
        <w:instrText xml:space="preserve"> PAGEREF _Toc27397 \h </w:instrText>
      </w:r>
      <w:r>
        <w:fldChar w:fldCharType="separate"/>
      </w:r>
      <w:r>
        <w:t>9</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_Toc28621 </w:instrText>
      </w:r>
      <w:r>
        <w:rPr>
          <w:rFonts w:hint="eastAsia" w:ascii="宋体" w:hAnsi="宋体" w:cs="宋体"/>
          <w:bCs/>
          <w:szCs w:val="28"/>
          <w:highlight w:val="none"/>
        </w:rPr>
        <w:fldChar w:fldCharType="separate"/>
      </w:r>
      <w:r>
        <w:rPr>
          <w:rFonts w:hint="eastAsia" w:asciiTheme="majorEastAsia" w:hAnsiTheme="majorEastAsia" w:eastAsiaTheme="majorEastAsia"/>
          <w:szCs w:val="30"/>
        </w:rPr>
        <w:t xml:space="preserve">（四） </w:t>
      </w:r>
      <w:r>
        <w:rPr>
          <w:rFonts w:hint="eastAsia" w:asciiTheme="majorEastAsia" w:hAnsiTheme="majorEastAsia" w:eastAsiaTheme="majorEastAsia"/>
          <w:szCs w:val="30"/>
          <w:highlight w:val="none"/>
        </w:rPr>
        <w:t>评标、定标</w:t>
      </w:r>
      <w:r>
        <w:tab/>
      </w:r>
      <w:r>
        <w:fldChar w:fldCharType="begin"/>
      </w:r>
      <w:r>
        <w:instrText xml:space="preserve"> PAGEREF _Toc28621 \h </w:instrText>
      </w:r>
      <w:r>
        <w:fldChar w:fldCharType="separate"/>
      </w:r>
      <w:r>
        <w:t>11</w:t>
      </w:r>
      <w:r>
        <w:fldChar w:fldCharType="end"/>
      </w:r>
      <w:r>
        <w:rPr>
          <w:rFonts w:hint="eastAsia" w:ascii="宋体" w:hAnsi="宋体" w:cs="宋体"/>
          <w:bCs/>
          <w:color w:val="auto"/>
          <w:szCs w:val="28"/>
          <w:highlight w:val="none"/>
        </w:rPr>
        <w:fldChar w:fldCharType="end"/>
      </w:r>
    </w:p>
    <w:p>
      <w:pPr>
        <w:pStyle w:val="28"/>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_Toc2747 </w:instrText>
      </w:r>
      <w:r>
        <w:rPr>
          <w:rFonts w:hint="eastAsia" w:ascii="宋体" w:hAnsi="宋体" w:cs="宋体"/>
          <w:bCs/>
          <w:szCs w:val="28"/>
          <w:highlight w:val="none"/>
        </w:rPr>
        <w:fldChar w:fldCharType="separate"/>
      </w:r>
      <w:r>
        <w:rPr>
          <w:rFonts w:hint="eastAsia"/>
          <w:bCs/>
          <w:szCs w:val="28"/>
          <w:highlight w:val="none"/>
        </w:rPr>
        <w:t>第五章 合同文本</w:t>
      </w:r>
      <w:r>
        <w:rPr>
          <w:rFonts w:hint="eastAsia"/>
          <w:bCs/>
          <w:szCs w:val="28"/>
          <w:highlight w:val="none"/>
          <w:lang w:eastAsia="zh-CN"/>
        </w:rPr>
        <w:t>（</w:t>
      </w:r>
      <w:r>
        <w:rPr>
          <w:rFonts w:hint="eastAsia"/>
          <w:bCs/>
          <w:szCs w:val="28"/>
          <w:highlight w:val="none"/>
          <w:lang w:val="en-US" w:eastAsia="zh-CN"/>
        </w:rPr>
        <w:t>仅供参考</w:t>
      </w:r>
      <w:r>
        <w:rPr>
          <w:rFonts w:hint="eastAsia"/>
          <w:bCs/>
          <w:szCs w:val="28"/>
          <w:highlight w:val="none"/>
          <w:lang w:eastAsia="zh-CN"/>
        </w:rPr>
        <w:t>）</w:t>
      </w:r>
      <w:r>
        <w:tab/>
      </w:r>
      <w:r>
        <w:fldChar w:fldCharType="begin"/>
      </w:r>
      <w:r>
        <w:instrText xml:space="preserve"> PAGEREF _Toc2747 \h </w:instrText>
      </w:r>
      <w:r>
        <w:fldChar w:fldCharType="separate"/>
      </w:r>
      <w:r>
        <w:t>15</w:t>
      </w:r>
      <w:r>
        <w:fldChar w:fldCharType="end"/>
      </w:r>
      <w:r>
        <w:rPr>
          <w:rFonts w:hint="eastAsia" w:ascii="宋体" w:hAnsi="宋体" w:cs="宋体"/>
          <w:bCs/>
          <w:color w:val="auto"/>
          <w:szCs w:val="28"/>
          <w:highlight w:val="none"/>
        </w:rPr>
        <w:fldChar w:fldCharType="end"/>
      </w:r>
    </w:p>
    <w:p>
      <w:pPr>
        <w:pStyle w:val="28"/>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_Toc12687 </w:instrText>
      </w:r>
      <w:r>
        <w:rPr>
          <w:rFonts w:hint="eastAsia" w:ascii="宋体" w:hAnsi="宋体" w:cs="宋体"/>
          <w:bCs/>
          <w:szCs w:val="28"/>
          <w:highlight w:val="none"/>
        </w:rPr>
        <w:fldChar w:fldCharType="separate"/>
      </w:r>
      <w:r>
        <w:rPr>
          <w:rFonts w:hint="eastAsia" w:asciiTheme="majorEastAsia" w:hAnsiTheme="majorEastAsia" w:eastAsiaTheme="majorEastAsia" w:cstheme="majorEastAsia"/>
          <w:szCs w:val="32"/>
          <w:highlight w:val="none"/>
        </w:rPr>
        <w:t>第六章 投标文件格式</w:t>
      </w:r>
      <w:r>
        <w:tab/>
      </w:r>
      <w:r>
        <w:fldChar w:fldCharType="begin"/>
      </w:r>
      <w:r>
        <w:instrText xml:space="preserve"> PAGEREF _Toc12687 \h </w:instrText>
      </w:r>
      <w:r>
        <w:fldChar w:fldCharType="separate"/>
      </w:r>
      <w:r>
        <w:t>18</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_Toc15339 </w:instrText>
      </w:r>
      <w:r>
        <w:rPr>
          <w:rFonts w:hint="eastAsia" w:ascii="宋体" w:hAnsi="宋体" w:cs="宋体"/>
          <w:bCs/>
          <w:szCs w:val="28"/>
          <w:highlight w:val="none"/>
        </w:rPr>
        <w:fldChar w:fldCharType="separate"/>
      </w:r>
      <w:r>
        <w:rPr>
          <w:rFonts w:hint="eastAsia" w:asciiTheme="majorEastAsia" w:hAnsiTheme="majorEastAsia" w:eastAsiaTheme="majorEastAsia"/>
          <w:szCs w:val="30"/>
        </w:rPr>
        <w:t xml:space="preserve">（一） </w:t>
      </w:r>
      <w:r>
        <w:rPr>
          <w:rFonts w:hint="eastAsia" w:asciiTheme="majorEastAsia" w:hAnsiTheme="majorEastAsia" w:eastAsiaTheme="majorEastAsia"/>
          <w:szCs w:val="30"/>
          <w:highlight w:val="none"/>
        </w:rPr>
        <w:t>投标文件包装封面参考</w:t>
      </w:r>
      <w:r>
        <w:tab/>
      </w:r>
      <w:r>
        <w:fldChar w:fldCharType="begin"/>
      </w:r>
      <w:r>
        <w:instrText xml:space="preserve"> PAGEREF _Toc15339 \h </w:instrText>
      </w:r>
      <w:r>
        <w:fldChar w:fldCharType="separate"/>
      </w:r>
      <w:r>
        <w:t>18</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_Toc12096 </w:instrText>
      </w:r>
      <w:r>
        <w:rPr>
          <w:rFonts w:hint="eastAsia" w:ascii="宋体" w:hAnsi="宋体" w:cs="宋体"/>
          <w:bCs/>
          <w:szCs w:val="28"/>
          <w:highlight w:val="none"/>
        </w:rPr>
        <w:fldChar w:fldCharType="separate"/>
      </w:r>
      <w:r>
        <w:rPr>
          <w:rFonts w:hint="eastAsia" w:asciiTheme="majorEastAsia" w:hAnsiTheme="majorEastAsia" w:eastAsiaTheme="majorEastAsia"/>
          <w:szCs w:val="30"/>
        </w:rPr>
        <w:t xml:space="preserve">（二） </w:t>
      </w:r>
      <w:r>
        <w:rPr>
          <w:rFonts w:hint="eastAsia" w:asciiTheme="majorEastAsia" w:hAnsiTheme="majorEastAsia" w:eastAsiaTheme="majorEastAsia"/>
          <w:szCs w:val="30"/>
          <w:highlight w:val="none"/>
        </w:rPr>
        <w:t>营业执照等资质文件</w:t>
      </w:r>
      <w:r>
        <w:tab/>
      </w:r>
      <w:r>
        <w:fldChar w:fldCharType="begin"/>
      </w:r>
      <w:r>
        <w:instrText xml:space="preserve"> PAGEREF _Toc12096 \h </w:instrText>
      </w:r>
      <w:r>
        <w:fldChar w:fldCharType="separate"/>
      </w:r>
      <w:r>
        <w:t>19</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_Toc12592 </w:instrText>
      </w:r>
      <w:r>
        <w:rPr>
          <w:rFonts w:hint="eastAsia" w:ascii="宋体" w:hAnsi="宋体" w:cs="宋体"/>
          <w:bCs/>
          <w:szCs w:val="28"/>
          <w:highlight w:val="none"/>
        </w:rPr>
        <w:fldChar w:fldCharType="separate"/>
      </w:r>
      <w:r>
        <w:rPr>
          <w:rFonts w:hint="eastAsia"/>
        </w:rPr>
        <w:t xml:space="preserve">（三） </w:t>
      </w:r>
      <w:r>
        <w:rPr>
          <w:rFonts w:hint="eastAsia" w:asciiTheme="majorEastAsia" w:hAnsiTheme="majorEastAsia" w:eastAsiaTheme="majorEastAsia"/>
          <w:szCs w:val="30"/>
          <w:highlight w:val="none"/>
        </w:rPr>
        <w:t>投标函</w:t>
      </w:r>
      <w:r>
        <w:tab/>
      </w:r>
      <w:r>
        <w:fldChar w:fldCharType="begin"/>
      </w:r>
      <w:r>
        <w:instrText xml:space="preserve"> PAGEREF _Toc12592 \h </w:instrText>
      </w:r>
      <w:r>
        <w:fldChar w:fldCharType="separate"/>
      </w:r>
      <w:r>
        <w:t>20</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_Toc7685 </w:instrText>
      </w:r>
      <w:r>
        <w:rPr>
          <w:rFonts w:hint="eastAsia" w:ascii="宋体" w:hAnsi="宋体" w:cs="宋体"/>
          <w:bCs/>
          <w:szCs w:val="28"/>
          <w:highlight w:val="none"/>
        </w:rPr>
        <w:fldChar w:fldCharType="separate"/>
      </w:r>
      <w:r>
        <w:rPr>
          <w:rFonts w:hint="eastAsia" w:asciiTheme="majorEastAsia" w:hAnsiTheme="majorEastAsia" w:eastAsiaTheme="majorEastAsia"/>
          <w:szCs w:val="30"/>
        </w:rPr>
        <w:t xml:space="preserve">（四） </w:t>
      </w:r>
      <w:r>
        <w:rPr>
          <w:rFonts w:hint="eastAsia" w:asciiTheme="majorEastAsia" w:hAnsiTheme="majorEastAsia" w:eastAsiaTheme="majorEastAsia"/>
          <w:szCs w:val="30"/>
          <w:highlight w:val="none"/>
        </w:rPr>
        <w:t>投标人资格声明函</w:t>
      </w:r>
      <w:r>
        <w:tab/>
      </w:r>
      <w:r>
        <w:fldChar w:fldCharType="begin"/>
      </w:r>
      <w:r>
        <w:instrText xml:space="preserve"> PAGEREF _Toc7685 \h </w:instrText>
      </w:r>
      <w:r>
        <w:fldChar w:fldCharType="separate"/>
      </w:r>
      <w:r>
        <w:t>21</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_Toc11340 </w:instrText>
      </w:r>
      <w:r>
        <w:rPr>
          <w:rFonts w:hint="eastAsia" w:ascii="宋体" w:hAnsi="宋体" w:cs="宋体"/>
          <w:bCs/>
          <w:szCs w:val="28"/>
          <w:highlight w:val="none"/>
        </w:rPr>
        <w:fldChar w:fldCharType="separate"/>
      </w:r>
      <w:r>
        <w:rPr>
          <w:rFonts w:hint="eastAsia" w:asciiTheme="majorEastAsia" w:hAnsiTheme="majorEastAsia" w:eastAsiaTheme="majorEastAsia"/>
          <w:szCs w:val="30"/>
        </w:rPr>
        <w:t xml:space="preserve">（五） </w:t>
      </w:r>
      <w:r>
        <w:rPr>
          <w:rFonts w:hint="eastAsia" w:asciiTheme="majorEastAsia" w:hAnsiTheme="majorEastAsia" w:eastAsiaTheme="majorEastAsia"/>
          <w:szCs w:val="30"/>
          <w:highlight w:val="none"/>
        </w:rPr>
        <w:t>公章对投标专用章授权说明</w:t>
      </w:r>
      <w:r>
        <w:tab/>
      </w:r>
      <w:r>
        <w:fldChar w:fldCharType="begin"/>
      </w:r>
      <w:r>
        <w:instrText xml:space="preserve"> PAGEREF _Toc11340 \h </w:instrText>
      </w:r>
      <w:r>
        <w:fldChar w:fldCharType="separate"/>
      </w:r>
      <w:r>
        <w:t>23</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_Toc15636 </w:instrText>
      </w:r>
      <w:r>
        <w:rPr>
          <w:rFonts w:hint="eastAsia" w:ascii="宋体" w:hAnsi="宋体" w:cs="宋体"/>
          <w:bCs/>
          <w:szCs w:val="28"/>
          <w:highlight w:val="none"/>
        </w:rPr>
        <w:fldChar w:fldCharType="separate"/>
      </w:r>
      <w:r>
        <w:rPr>
          <w:rFonts w:hint="eastAsia" w:asciiTheme="majorEastAsia" w:hAnsiTheme="majorEastAsia" w:eastAsiaTheme="majorEastAsia"/>
          <w:szCs w:val="30"/>
        </w:rPr>
        <w:t xml:space="preserve">（六） </w:t>
      </w:r>
      <w:r>
        <w:rPr>
          <w:rFonts w:hint="eastAsia" w:asciiTheme="majorEastAsia" w:hAnsiTheme="majorEastAsia" w:eastAsiaTheme="majorEastAsia"/>
          <w:szCs w:val="30"/>
          <w:highlight w:val="none"/>
        </w:rPr>
        <w:t>法定代表人授权委托书</w:t>
      </w:r>
      <w:r>
        <w:tab/>
      </w:r>
      <w:r>
        <w:fldChar w:fldCharType="begin"/>
      </w:r>
      <w:r>
        <w:instrText xml:space="preserve"> PAGEREF _Toc15636 \h </w:instrText>
      </w:r>
      <w:r>
        <w:fldChar w:fldCharType="separate"/>
      </w:r>
      <w:r>
        <w:t>24</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_Toc27154 </w:instrText>
      </w:r>
      <w:r>
        <w:rPr>
          <w:rFonts w:hint="eastAsia" w:ascii="宋体" w:hAnsi="宋体" w:cs="宋体"/>
          <w:bCs/>
          <w:szCs w:val="28"/>
          <w:highlight w:val="none"/>
        </w:rPr>
        <w:fldChar w:fldCharType="separate"/>
      </w:r>
      <w:r>
        <w:rPr>
          <w:rFonts w:hint="eastAsia" w:asciiTheme="majorEastAsia" w:hAnsiTheme="majorEastAsia" w:eastAsiaTheme="majorEastAsia"/>
          <w:szCs w:val="30"/>
        </w:rPr>
        <w:t xml:space="preserve">（七） </w:t>
      </w:r>
      <w:r>
        <w:rPr>
          <w:rFonts w:hint="eastAsia" w:asciiTheme="majorEastAsia" w:hAnsiTheme="majorEastAsia" w:eastAsiaTheme="majorEastAsia"/>
          <w:szCs w:val="30"/>
          <w:highlight w:val="none"/>
        </w:rPr>
        <w:t>法定代表人证明书</w:t>
      </w:r>
      <w:r>
        <w:tab/>
      </w:r>
      <w:r>
        <w:fldChar w:fldCharType="begin"/>
      </w:r>
      <w:r>
        <w:instrText xml:space="preserve"> PAGEREF _Toc27154 \h </w:instrText>
      </w:r>
      <w:r>
        <w:fldChar w:fldCharType="separate"/>
      </w:r>
      <w:r>
        <w:t>25</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_Toc20108 </w:instrText>
      </w:r>
      <w:r>
        <w:rPr>
          <w:rFonts w:hint="eastAsia" w:ascii="宋体" w:hAnsi="宋体" w:cs="宋体"/>
          <w:bCs/>
          <w:szCs w:val="28"/>
          <w:highlight w:val="none"/>
        </w:rPr>
        <w:fldChar w:fldCharType="separate"/>
      </w:r>
      <w:r>
        <w:rPr>
          <w:rFonts w:hint="eastAsia" w:asciiTheme="majorEastAsia" w:hAnsiTheme="majorEastAsia" w:eastAsiaTheme="majorEastAsia"/>
          <w:szCs w:val="30"/>
        </w:rPr>
        <w:t xml:space="preserve">（八） </w:t>
      </w:r>
      <w:r>
        <w:rPr>
          <w:rFonts w:hint="eastAsia" w:asciiTheme="majorEastAsia" w:hAnsiTheme="majorEastAsia" w:eastAsiaTheme="majorEastAsia"/>
          <w:szCs w:val="30"/>
          <w:highlight w:val="none"/>
        </w:rPr>
        <w:t>用户需求书条款响应一览表</w:t>
      </w:r>
      <w:r>
        <w:tab/>
      </w:r>
      <w:r>
        <w:fldChar w:fldCharType="begin"/>
      </w:r>
      <w:r>
        <w:instrText xml:space="preserve"> PAGEREF _Toc20108 \h </w:instrText>
      </w:r>
      <w:r>
        <w:fldChar w:fldCharType="separate"/>
      </w:r>
      <w:r>
        <w:t>26</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_Toc621 </w:instrText>
      </w:r>
      <w:r>
        <w:rPr>
          <w:rFonts w:hint="eastAsia" w:ascii="宋体" w:hAnsi="宋体" w:cs="宋体"/>
          <w:bCs/>
          <w:szCs w:val="28"/>
          <w:highlight w:val="none"/>
        </w:rPr>
        <w:fldChar w:fldCharType="separate"/>
      </w:r>
      <w:r>
        <w:rPr>
          <w:rFonts w:hint="eastAsia"/>
        </w:rPr>
        <w:t xml:space="preserve">（九） </w:t>
      </w:r>
      <w:r>
        <w:rPr>
          <w:rFonts w:hint="eastAsia"/>
          <w:highlight w:val="none"/>
        </w:rPr>
        <w:t>项目实施方案</w:t>
      </w:r>
      <w:r>
        <w:tab/>
      </w:r>
      <w:r>
        <w:fldChar w:fldCharType="begin"/>
      </w:r>
      <w:r>
        <w:instrText xml:space="preserve"> PAGEREF _Toc621 \h </w:instrText>
      </w:r>
      <w:r>
        <w:fldChar w:fldCharType="separate"/>
      </w:r>
      <w:r>
        <w:t>27</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_Toc6091 </w:instrText>
      </w:r>
      <w:r>
        <w:rPr>
          <w:rFonts w:hint="eastAsia" w:ascii="宋体" w:hAnsi="宋体" w:cs="宋体"/>
          <w:bCs/>
          <w:szCs w:val="28"/>
          <w:highlight w:val="none"/>
        </w:rPr>
        <w:fldChar w:fldCharType="separate"/>
      </w:r>
      <w:r>
        <w:rPr>
          <w:rFonts w:hint="eastAsia"/>
        </w:rPr>
        <w:t xml:space="preserve">（十） </w:t>
      </w:r>
      <w:r>
        <w:rPr>
          <w:rFonts w:hint="eastAsia"/>
          <w:highlight w:val="none"/>
        </w:rPr>
        <w:t>项目重难点分析、应对措施及相关的合理化建议</w:t>
      </w:r>
      <w:r>
        <w:tab/>
      </w:r>
      <w:r>
        <w:fldChar w:fldCharType="begin"/>
      </w:r>
      <w:r>
        <w:instrText xml:space="preserve"> PAGEREF _Toc6091 \h </w:instrText>
      </w:r>
      <w:r>
        <w:fldChar w:fldCharType="separate"/>
      </w:r>
      <w:r>
        <w:t>27</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_Toc1509 </w:instrText>
      </w:r>
      <w:r>
        <w:rPr>
          <w:rFonts w:hint="eastAsia" w:ascii="宋体" w:hAnsi="宋体" w:cs="宋体"/>
          <w:bCs/>
          <w:szCs w:val="28"/>
          <w:highlight w:val="none"/>
        </w:rPr>
        <w:fldChar w:fldCharType="separate"/>
      </w:r>
      <w:r>
        <w:rPr>
          <w:rFonts w:hint="eastAsia"/>
        </w:rPr>
        <w:t xml:space="preserve">（十一） </w:t>
      </w:r>
      <w:r>
        <w:rPr>
          <w:rFonts w:hint="eastAsia"/>
          <w:highlight w:val="none"/>
        </w:rPr>
        <w:t>质量保障措施及方案</w:t>
      </w:r>
      <w:r>
        <w:tab/>
      </w:r>
      <w:r>
        <w:fldChar w:fldCharType="begin"/>
      </w:r>
      <w:r>
        <w:instrText xml:space="preserve"> PAGEREF _Toc1509 \h </w:instrText>
      </w:r>
      <w:r>
        <w:fldChar w:fldCharType="separate"/>
      </w:r>
      <w:r>
        <w:t>27</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_Toc11624 </w:instrText>
      </w:r>
      <w:r>
        <w:rPr>
          <w:rFonts w:hint="eastAsia" w:ascii="宋体" w:hAnsi="宋体" w:cs="宋体"/>
          <w:bCs/>
          <w:szCs w:val="28"/>
          <w:highlight w:val="none"/>
        </w:rPr>
        <w:fldChar w:fldCharType="separate"/>
      </w:r>
      <w:r>
        <w:rPr>
          <w:rFonts w:hint="eastAsia"/>
        </w:rPr>
        <w:t xml:space="preserve">（十二） </w:t>
      </w:r>
      <w:r>
        <w:rPr>
          <w:rFonts w:hint="eastAsia"/>
          <w:highlight w:val="none"/>
        </w:rPr>
        <w:t>项目完成后的服务承诺</w:t>
      </w:r>
      <w:r>
        <w:tab/>
      </w:r>
      <w:r>
        <w:fldChar w:fldCharType="begin"/>
      </w:r>
      <w:r>
        <w:instrText xml:space="preserve"> PAGEREF _Toc11624 \h </w:instrText>
      </w:r>
      <w:r>
        <w:fldChar w:fldCharType="separate"/>
      </w:r>
      <w:r>
        <w:t>27</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_Toc11286 </w:instrText>
      </w:r>
      <w:r>
        <w:rPr>
          <w:rFonts w:hint="eastAsia" w:ascii="宋体" w:hAnsi="宋体" w:cs="宋体"/>
          <w:bCs/>
          <w:szCs w:val="28"/>
          <w:highlight w:val="none"/>
        </w:rPr>
        <w:fldChar w:fldCharType="separate"/>
      </w:r>
      <w:r>
        <w:rPr>
          <w:rFonts w:hint="eastAsia"/>
        </w:rPr>
        <w:t xml:space="preserve">（十三） </w:t>
      </w:r>
      <w:r>
        <w:rPr>
          <w:rFonts w:hint="eastAsia"/>
          <w:highlight w:val="none"/>
        </w:rPr>
        <w:t>违约承诺</w:t>
      </w:r>
      <w:r>
        <w:tab/>
      </w:r>
      <w:r>
        <w:fldChar w:fldCharType="begin"/>
      </w:r>
      <w:r>
        <w:instrText xml:space="preserve"> PAGEREF _Toc11286 \h </w:instrText>
      </w:r>
      <w:r>
        <w:fldChar w:fldCharType="separate"/>
      </w:r>
      <w:r>
        <w:t>27</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_Toc12374 </w:instrText>
      </w:r>
      <w:r>
        <w:rPr>
          <w:rFonts w:hint="eastAsia" w:ascii="宋体" w:hAnsi="宋体" w:cs="宋体"/>
          <w:bCs/>
          <w:szCs w:val="28"/>
          <w:highlight w:val="none"/>
        </w:rPr>
        <w:fldChar w:fldCharType="separate"/>
      </w:r>
      <w:r>
        <w:rPr>
          <w:rFonts w:hint="eastAsia"/>
        </w:rPr>
        <w:t xml:space="preserve">（十四） </w:t>
      </w:r>
      <w:r>
        <w:rPr>
          <w:rFonts w:hint="eastAsia"/>
          <w:highlight w:val="none"/>
        </w:rPr>
        <w:t>同类项目情况一览表</w:t>
      </w:r>
      <w:r>
        <w:tab/>
      </w:r>
      <w:r>
        <w:fldChar w:fldCharType="begin"/>
      </w:r>
      <w:r>
        <w:instrText xml:space="preserve"> PAGEREF _Toc12374 \h </w:instrText>
      </w:r>
      <w:r>
        <w:fldChar w:fldCharType="separate"/>
      </w:r>
      <w:r>
        <w:t>28</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_Toc17127 </w:instrText>
      </w:r>
      <w:r>
        <w:rPr>
          <w:rFonts w:hint="eastAsia" w:ascii="宋体" w:hAnsi="宋体" w:cs="宋体"/>
          <w:bCs/>
          <w:szCs w:val="28"/>
          <w:highlight w:val="none"/>
        </w:rPr>
        <w:fldChar w:fldCharType="separate"/>
      </w:r>
      <w:r>
        <w:rPr>
          <w:rFonts w:hint="eastAsia"/>
        </w:rPr>
        <w:t xml:space="preserve">（十五） </w:t>
      </w:r>
      <w:r>
        <w:rPr>
          <w:rFonts w:hint="eastAsia"/>
          <w:highlight w:val="none"/>
        </w:rPr>
        <w:t>项目团队人员一览表</w:t>
      </w:r>
      <w:r>
        <w:tab/>
      </w:r>
      <w:r>
        <w:fldChar w:fldCharType="begin"/>
      </w:r>
      <w:r>
        <w:instrText xml:space="preserve"> PAGEREF _Toc17127 \h </w:instrText>
      </w:r>
      <w:r>
        <w:fldChar w:fldCharType="separate"/>
      </w:r>
      <w:r>
        <w:t>29</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_Toc3249 </w:instrText>
      </w:r>
      <w:r>
        <w:rPr>
          <w:rFonts w:hint="eastAsia" w:ascii="宋体" w:hAnsi="宋体" w:cs="宋体"/>
          <w:bCs/>
          <w:szCs w:val="28"/>
          <w:highlight w:val="none"/>
        </w:rPr>
        <w:fldChar w:fldCharType="separate"/>
      </w:r>
      <w:r>
        <w:rPr>
          <w:rFonts w:hint="eastAsia"/>
        </w:rPr>
        <w:t xml:space="preserve">（十六） </w:t>
      </w:r>
      <w:r>
        <w:rPr>
          <w:rFonts w:hint="eastAsia"/>
          <w:highlight w:val="none"/>
        </w:rPr>
        <w:t>投标人证书一览表</w:t>
      </w:r>
      <w:r>
        <w:tab/>
      </w:r>
      <w:r>
        <w:fldChar w:fldCharType="begin"/>
      </w:r>
      <w:r>
        <w:instrText xml:space="preserve"> PAGEREF _Toc3249 \h </w:instrText>
      </w:r>
      <w:r>
        <w:fldChar w:fldCharType="separate"/>
      </w:r>
      <w:r>
        <w:t>30</w:t>
      </w:r>
      <w:r>
        <w:fldChar w:fldCharType="end"/>
      </w:r>
      <w:r>
        <w:rPr>
          <w:rFonts w:hint="eastAsia" w:ascii="宋体" w:hAnsi="宋体" w:cs="宋体"/>
          <w:bCs/>
          <w:color w:val="auto"/>
          <w:szCs w:val="28"/>
          <w:highlight w:val="none"/>
        </w:rPr>
        <w:fldChar w:fldCharType="end"/>
      </w:r>
    </w:p>
    <w:p>
      <w:pPr>
        <w:pStyle w:val="28"/>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_Toc19598 </w:instrText>
      </w:r>
      <w:r>
        <w:rPr>
          <w:rFonts w:hint="eastAsia" w:ascii="宋体" w:hAnsi="宋体" w:cs="宋体"/>
          <w:bCs/>
          <w:szCs w:val="28"/>
          <w:highlight w:val="none"/>
        </w:rPr>
        <w:fldChar w:fldCharType="separate"/>
      </w:r>
      <w:r>
        <w:rPr>
          <w:rFonts w:hint="eastAsia" w:asciiTheme="majorEastAsia" w:hAnsiTheme="majorEastAsia" w:eastAsiaTheme="majorEastAsia" w:cstheme="majorEastAsia"/>
          <w:szCs w:val="32"/>
          <w:highlight w:val="none"/>
        </w:rPr>
        <w:t>第七章 投标人须知</w:t>
      </w:r>
      <w:r>
        <w:tab/>
      </w:r>
      <w:r>
        <w:fldChar w:fldCharType="begin"/>
      </w:r>
      <w:r>
        <w:instrText xml:space="preserve"> PAGEREF _Toc19598 \h </w:instrText>
      </w:r>
      <w:r>
        <w:fldChar w:fldCharType="separate"/>
      </w:r>
      <w:r>
        <w:t>31</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_Toc4153 </w:instrText>
      </w:r>
      <w:r>
        <w:rPr>
          <w:rFonts w:hint="eastAsia" w:ascii="宋体" w:hAnsi="宋体" w:cs="宋体"/>
          <w:bCs/>
          <w:szCs w:val="28"/>
          <w:highlight w:val="none"/>
        </w:rPr>
        <w:fldChar w:fldCharType="separate"/>
      </w:r>
      <w:r>
        <w:rPr>
          <w:rFonts w:hint="eastAsia" w:asciiTheme="majorEastAsia" w:hAnsiTheme="majorEastAsia" w:eastAsiaTheme="majorEastAsia"/>
          <w:szCs w:val="30"/>
        </w:rPr>
        <w:t xml:space="preserve">（一） </w:t>
      </w:r>
      <w:r>
        <w:rPr>
          <w:rFonts w:asciiTheme="majorEastAsia" w:hAnsiTheme="majorEastAsia" w:eastAsiaTheme="majorEastAsia"/>
          <w:szCs w:val="30"/>
          <w:highlight w:val="none"/>
          <w:lang w:eastAsia="zh-TW"/>
        </w:rPr>
        <w:t>说 明</w:t>
      </w:r>
      <w:r>
        <w:tab/>
      </w:r>
      <w:r>
        <w:fldChar w:fldCharType="begin"/>
      </w:r>
      <w:r>
        <w:instrText xml:space="preserve"> PAGEREF _Toc4153 \h </w:instrText>
      </w:r>
      <w:r>
        <w:fldChar w:fldCharType="separate"/>
      </w:r>
      <w:r>
        <w:t>31</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_Toc27297 </w:instrText>
      </w:r>
      <w:r>
        <w:rPr>
          <w:rFonts w:hint="eastAsia" w:ascii="宋体" w:hAnsi="宋体" w:cs="宋体"/>
          <w:bCs/>
          <w:szCs w:val="28"/>
          <w:highlight w:val="none"/>
        </w:rPr>
        <w:fldChar w:fldCharType="separate"/>
      </w:r>
      <w:r>
        <w:rPr>
          <w:rFonts w:hint="eastAsia" w:asciiTheme="majorEastAsia" w:hAnsiTheme="majorEastAsia" w:eastAsiaTheme="majorEastAsia"/>
          <w:szCs w:val="30"/>
          <w:lang w:eastAsia="zh-TW"/>
        </w:rPr>
        <w:t xml:space="preserve">（二） </w:t>
      </w:r>
      <w:r>
        <w:rPr>
          <w:rFonts w:hint="eastAsia" w:asciiTheme="majorEastAsia" w:hAnsiTheme="majorEastAsia" w:eastAsiaTheme="majorEastAsia"/>
          <w:szCs w:val="30"/>
          <w:highlight w:val="none"/>
          <w:lang w:eastAsia="zh-TW"/>
        </w:rPr>
        <w:t>招标文件</w:t>
      </w:r>
      <w:r>
        <w:tab/>
      </w:r>
      <w:r>
        <w:fldChar w:fldCharType="begin"/>
      </w:r>
      <w:r>
        <w:instrText xml:space="preserve"> PAGEREF _Toc27297 \h </w:instrText>
      </w:r>
      <w:r>
        <w:fldChar w:fldCharType="separate"/>
      </w:r>
      <w:r>
        <w:t>32</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_Toc7579 </w:instrText>
      </w:r>
      <w:r>
        <w:rPr>
          <w:rFonts w:hint="eastAsia" w:ascii="宋体" w:hAnsi="宋体" w:cs="宋体"/>
          <w:bCs/>
          <w:szCs w:val="28"/>
          <w:highlight w:val="none"/>
        </w:rPr>
        <w:fldChar w:fldCharType="separate"/>
      </w:r>
      <w:r>
        <w:rPr>
          <w:rFonts w:hint="eastAsia" w:asciiTheme="majorEastAsia" w:hAnsiTheme="majorEastAsia" w:eastAsiaTheme="majorEastAsia"/>
          <w:szCs w:val="30"/>
          <w:lang w:eastAsia="zh-TW"/>
        </w:rPr>
        <w:t xml:space="preserve">（三） </w:t>
      </w:r>
      <w:r>
        <w:rPr>
          <w:rFonts w:hint="eastAsia" w:asciiTheme="majorEastAsia" w:hAnsiTheme="majorEastAsia" w:eastAsiaTheme="majorEastAsia"/>
          <w:szCs w:val="30"/>
          <w:highlight w:val="none"/>
          <w:lang w:eastAsia="zh-TW"/>
        </w:rPr>
        <w:t>投标文件的编制</w:t>
      </w:r>
      <w:r>
        <w:tab/>
      </w:r>
      <w:r>
        <w:fldChar w:fldCharType="begin"/>
      </w:r>
      <w:r>
        <w:instrText xml:space="preserve"> PAGEREF _Toc7579 \h </w:instrText>
      </w:r>
      <w:r>
        <w:fldChar w:fldCharType="separate"/>
      </w:r>
      <w:r>
        <w:t>33</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_Toc26311 </w:instrText>
      </w:r>
      <w:r>
        <w:rPr>
          <w:rFonts w:hint="eastAsia" w:ascii="宋体" w:hAnsi="宋体" w:cs="宋体"/>
          <w:bCs/>
          <w:szCs w:val="28"/>
          <w:highlight w:val="none"/>
        </w:rPr>
        <w:fldChar w:fldCharType="separate"/>
      </w:r>
      <w:r>
        <w:rPr>
          <w:rFonts w:hint="eastAsia" w:asciiTheme="majorEastAsia" w:hAnsiTheme="majorEastAsia" w:eastAsiaTheme="majorEastAsia"/>
          <w:szCs w:val="30"/>
          <w:lang w:eastAsia="zh-TW"/>
        </w:rPr>
        <w:t xml:space="preserve">（四） </w:t>
      </w:r>
      <w:r>
        <w:rPr>
          <w:rFonts w:hint="eastAsia" w:asciiTheme="majorEastAsia" w:hAnsiTheme="majorEastAsia" w:eastAsiaTheme="majorEastAsia"/>
          <w:szCs w:val="30"/>
          <w:highlight w:val="none"/>
          <w:lang w:eastAsia="zh-TW"/>
        </w:rPr>
        <w:t>投标文件的递交</w:t>
      </w:r>
      <w:r>
        <w:tab/>
      </w:r>
      <w:r>
        <w:fldChar w:fldCharType="begin"/>
      </w:r>
      <w:r>
        <w:instrText xml:space="preserve"> PAGEREF _Toc26311 \h </w:instrText>
      </w:r>
      <w:r>
        <w:fldChar w:fldCharType="separate"/>
      </w:r>
      <w:r>
        <w:t>35</w:t>
      </w:r>
      <w:r>
        <w:fldChar w:fldCharType="end"/>
      </w:r>
      <w:r>
        <w:rPr>
          <w:rFonts w:hint="eastAsia" w:ascii="宋体" w:hAnsi="宋体" w:cs="宋体"/>
          <w:bCs/>
          <w:color w:val="auto"/>
          <w:szCs w:val="28"/>
          <w:highlight w:val="none"/>
        </w:rPr>
        <w:fldChar w:fldCharType="end"/>
      </w:r>
    </w:p>
    <w:p>
      <w:pPr>
        <w:pStyle w:val="32"/>
        <w:tabs>
          <w:tab w:val="right" w:leader="dot" w:pos="9180"/>
        </w:tabs>
      </w:pPr>
      <w:r>
        <w:rPr>
          <w:rFonts w:hint="eastAsia" w:ascii="宋体" w:hAnsi="宋体" w:cs="宋体"/>
          <w:bCs/>
          <w:color w:val="auto"/>
          <w:szCs w:val="28"/>
          <w:highlight w:val="none"/>
        </w:rPr>
        <w:fldChar w:fldCharType="begin"/>
      </w:r>
      <w:r>
        <w:rPr>
          <w:rFonts w:hint="eastAsia" w:ascii="宋体" w:hAnsi="宋体" w:cs="宋体"/>
          <w:bCs/>
          <w:szCs w:val="28"/>
          <w:highlight w:val="none"/>
        </w:rPr>
        <w:instrText xml:space="preserve"> HYPERLINK \l _Toc10987 </w:instrText>
      </w:r>
      <w:r>
        <w:rPr>
          <w:rFonts w:hint="eastAsia" w:ascii="宋体" w:hAnsi="宋体" w:cs="宋体"/>
          <w:bCs/>
          <w:szCs w:val="28"/>
          <w:highlight w:val="none"/>
        </w:rPr>
        <w:fldChar w:fldCharType="separate"/>
      </w:r>
      <w:r>
        <w:rPr>
          <w:rFonts w:hint="eastAsia" w:asciiTheme="majorEastAsia" w:hAnsiTheme="majorEastAsia" w:eastAsiaTheme="majorEastAsia"/>
          <w:szCs w:val="30"/>
          <w:lang w:eastAsia="zh-TW"/>
        </w:rPr>
        <w:t xml:space="preserve">（五） </w:t>
      </w:r>
      <w:r>
        <w:rPr>
          <w:rFonts w:hint="eastAsia" w:asciiTheme="majorEastAsia" w:hAnsiTheme="majorEastAsia" w:eastAsiaTheme="majorEastAsia"/>
          <w:szCs w:val="30"/>
          <w:highlight w:val="none"/>
          <w:lang w:eastAsia="zh-TW"/>
        </w:rPr>
        <w:t>授予合同</w:t>
      </w:r>
      <w:r>
        <w:tab/>
      </w:r>
      <w:r>
        <w:fldChar w:fldCharType="begin"/>
      </w:r>
      <w:r>
        <w:instrText xml:space="preserve"> PAGEREF _Toc10987 \h </w:instrText>
      </w:r>
      <w:r>
        <w:fldChar w:fldCharType="separate"/>
      </w:r>
      <w:r>
        <w:t>37</w:t>
      </w:r>
      <w:r>
        <w:fldChar w:fldCharType="end"/>
      </w:r>
      <w:r>
        <w:rPr>
          <w:rFonts w:hint="eastAsia" w:ascii="宋体" w:hAnsi="宋体" w:cs="宋体"/>
          <w:bCs/>
          <w:color w:val="auto"/>
          <w:szCs w:val="28"/>
          <w:highlight w:val="none"/>
        </w:rPr>
        <w:fldChar w:fldCharType="end"/>
      </w:r>
    </w:p>
    <w:p>
      <w:pPr>
        <w:widowControl/>
        <w:jc w:val="left"/>
        <w:rPr>
          <w:rFonts w:ascii="宋体" w:hAnsi="宋体" w:cs="宋体"/>
          <w:b/>
          <w:bCs/>
          <w:color w:val="auto"/>
          <w:sz w:val="28"/>
          <w:szCs w:val="28"/>
          <w:highlight w:val="none"/>
        </w:rPr>
      </w:pPr>
      <w:r>
        <w:rPr>
          <w:rFonts w:hint="eastAsia" w:ascii="宋体" w:hAnsi="宋体" w:cs="宋体"/>
          <w:bCs/>
          <w:color w:val="auto"/>
          <w:szCs w:val="28"/>
          <w:highlight w:val="none"/>
        </w:rPr>
        <w:fldChar w:fldCharType="end"/>
      </w:r>
    </w:p>
    <w:p>
      <w:pPr>
        <w:widowControl/>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4"/>
        <w:jc w:val="center"/>
        <w:rPr>
          <w:rFonts w:asciiTheme="majorEastAsia" w:hAnsiTheme="majorEastAsia" w:eastAsiaTheme="majorEastAsia" w:cstheme="majorEastAsia"/>
          <w:color w:val="auto"/>
          <w:sz w:val="32"/>
          <w:szCs w:val="32"/>
          <w:highlight w:val="none"/>
        </w:rPr>
      </w:pPr>
      <w:bookmarkStart w:id="1" w:name="_Toc14823"/>
      <w:bookmarkStart w:id="2" w:name="_Toc8307299"/>
      <w:bookmarkStart w:id="3" w:name="_Toc21804"/>
      <w:bookmarkStart w:id="4" w:name="_Toc16797"/>
      <w:bookmarkStart w:id="5" w:name="_Toc4815_WPSOffice_Level1"/>
      <w:r>
        <w:rPr>
          <w:rFonts w:hint="eastAsia" w:asciiTheme="majorEastAsia" w:hAnsiTheme="majorEastAsia" w:eastAsiaTheme="majorEastAsia" w:cstheme="majorEastAsia"/>
          <w:color w:val="auto"/>
          <w:sz w:val="32"/>
          <w:szCs w:val="32"/>
          <w:highlight w:val="none"/>
        </w:rPr>
        <w:t>第一章 投标邀请</w:t>
      </w:r>
      <w:bookmarkEnd w:id="0"/>
      <w:bookmarkEnd w:id="1"/>
      <w:bookmarkEnd w:id="2"/>
      <w:bookmarkEnd w:id="3"/>
      <w:bookmarkEnd w:id="4"/>
      <w:bookmarkEnd w:id="5"/>
    </w:p>
    <w:p>
      <w:pPr>
        <w:adjustRightInd w:val="0"/>
        <w:snapToGrid w:val="0"/>
        <w:spacing w:line="360" w:lineRule="auto"/>
        <w:ind w:firstLine="420" w:firstLineChars="200"/>
        <w:rPr>
          <w:rFonts w:ascii="宋体" w:hAnsi="宋体" w:cs="宋体"/>
          <w:bCs/>
          <w:color w:val="auto"/>
          <w:szCs w:val="20"/>
          <w:highlight w:val="none"/>
        </w:rPr>
      </w:pPr>
      <w:bookmarkStart w:id="6" w:name="_Hlk111025880"/>
      <w:r>
        <w:rPr>
          <w:rFonts w:hint="eastAsia" w:ascii="宋体" w:hAnsi="宋体" w:cs="宋体"/>
          <w:color w:val="auto"/>
          <w:szCs w:val="21"/>
          <w:highlight w:val="none"/>
        </w:rPr>
        <w:t>深圳市南山区沙河街道办事处</w:t>
      </w:r>
      <w:r>
        <w:rPr>
          <w:rFonts w:hint="eastAsia" w:ascii="宋体" w:hAnsi="宋体" w:cs="宋体"/>
          <w:bCs/>
          <w:color w:val="auto"/>
          <w:szCs w:val="21"/>
          <w:highlight w:val="none"/>
        </w:rPr>
        <w:t>对</w:t>
      </w:r>
      <w:r>
        <w:rPr>
          <w:rFonts w:hint="eastAsia" w:ascii="宋体" w:hAnsi="宋体" w:cs="宋体"/>
          <w:color w:val="0000FF"/>
          <w:szCs w:val="21"/>
          <w:highlight w:val="none"/>
          <w:lang w:eastAsia="zh-CN"/>
        </w:rPr>
        <w:t>沙河街道光华街小区和光侨街小区老旧小区改造项目（设计）</w:t>
      </w:r>
      <w:r>
        <w:rPr>
          <w:rFonts w:hint="eastAsia" w:ascii="宋体" w:hAnsi="宋体" w:cs="宋体"/>
          <w:bCs/>
          <w:color w:val="auto"/>
          <w:szCs w:val="21"/>
          <w:highlight w:val="none"/>
        </w:rPr>
        <w:t>进行公开招标采购，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p>
    <w:p>
      <w:pPr>
        <w:tabs>
          <w:tab w:val="left" w:pos="567"/>
        </w:tabs>
        <w:adjustRightInd w:val="0"/>
        <w:snapToGrid w:val="0"/>
        <w:spacing w:line="360" w:lineRule="auto"/>
        <w:rPr>
          <w:rFonts w:hint="eastAsia" w:ascii="宋体" w:hAnsi="宋体" w:eastAsia="宋体" w:cs="宋体"/>
          <w:bCs/>
          <w:color w:val="auto"/>
          <w:szCs w:val="20"/>
          <w:highlight w:val="none"/>
          <w:shd w:val="clear"/>
          <w:lang w:eastAsia="zh-CN"/>
        </w:rPr>
      </w:pPr>
      <w:r>
        <w:rPr>
          <w:rFonts w:hint="eastAsia" w:ascii="宋体" w:hAnsi="宋体" w:cs="宋体"/>
          <w:bCs/>
          <w:color w:val="auto"/>
          <w:szCs w:val="20"/>
          <w:highlight w:val="none"/>
        </w:rPr>
        <w:t>一、项目编号：</w:t>
      </w:r>
      <w:r>
        <w:rPr>
          <w:rFonts w:hint="eastAsia" w:ascii="宋体" w:hAnsi="宋体" w:cs="宋体"/>
          <w:bCs/>
          <w:color w:val="0000FF"/>
          <w:szCs w:val="20"/>
          <w:highlight w:val="none"/>
          <w:shd w:val="clear" w:color="auto"/>
          <w:lang w:eastAsia="zh-CN"/>
        </w:rPr>
        <w:t>NSSHJD202505</w:t>
      </w:r>
      <w:r>
        <w:rPr>
          <w:rFonts w:hint="eastAsia" w:ascii="宋体" w:hAnsi="宋体" w:cs="宋体"/>
          <w:bCs/>
          <w:color w:val="0000FF"/>
          <w:szCs w:val="20"/>
          <w:highlight w:val="none"/>
          <w:shd w:val="clear" w:color="auto"/>
          <w:lang w:val="en-US" w:eastAsia="zh-CN"/>
        </w:rPr>
        <w:t>21</w:t>
      </w:r>
      <w:r>
        <w:rPr>
          <w:rFonts w:hint="eastAsia" w:ascii="宋体" w:hAnsi="宋体" w:cs="宋体"/>
          <w:bCs/>
          <w:color w:val="0000FF"/>
          <w:szCs w:val="20"/>
          <w:highlight w:val="none"/>
          <w:shd w:val="clear" w:color="auto"/>
          <w:lang w:eastAsia="zh-CN"/>
        </w:rPr>
        <w:t>001</w:t>
      </w:r>
    </w:p>
    <w:p>
      <w:pPr>
        <w:tabs>
          <w:tab w:val="left" w:pos="567"/>
        </w:tabs>
        <w:adjustRightInd w:val="0"/>
        <w:snapToGrid w:val="0"/>
        <w:spacing w:line="360" w:lineRule="auto"/>
        <w:rPr>
          <w:rFonts w:hint="eastAsia" w:ascii="宋体" w:hAnsi="宋体" w:eastAsia="宋体" w:cs="宋体"/>
          <w:color w:val="auto"/>
          <w:highlight w:val="none"/>
          <w:lang w:eastAsia="zh-CN"/>
        </w:rPr>
      </w:pPr>
      <w:r>
        <w:rPr>
          <w:rFonts w:hint="eastAsia" w:ascii="宋体" w:hAnsi="宋体" w:cs="宋体"/>
          <w:bCs/>
          <w:color w:val="auto"/>
          <w:szCs w:val="20"/>
          <w:highlight w:val="none"/>
        </w:rPr>
        <w:t>二、采购项目名称：</w:t>
      </w:r>
      <w:r>
        <w:rPr>
          <w:rFonts w:hint="eastAsia" w:ascii="宋体" w:hAnsi="宋体" w:cs="宋体"/>
          <w:color w:val="0000FF"/>
          <w:highlight w:val="none"/>
          <w:lang w:eastAsia="zh-CN"/>
        </w:rPr>
        <w:t>光华街小区和光侨街小区老旧小区改造项目（设计）</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1</w:t>
      </w:r>
      <w:r>
        <w:rPr>
          <w:rFonts w:ascii="宋体" w:hAnsi="宋体" w:cs="宋体"/>
          <w:bCs/>
          <w:color w:val="auto"/>
          <w:szCs w:val="20"/>
          <w:highlight w:val="none"/>
        </w:rPr>
        <w:t>.</w:t>
      </w:r>
      <w:r>
        <w:rPr>
          <w:rFonts w:hint="eastAsia" w:ascii="宋体" w:hAnsi="宋体" w:cs="宋体"/>
          <w:bCs/>
          <w:color w:val="auto"/>
          <w:szCs w:val="20"/>
          <w:highlight w:val="none"/>
        </w:rPr>
        <w:t>采购项目内容及最高限价：</w:t>
      </w:r>
    </w:p>
    <w:tbl>
      <w:tblPr>
        <w:tblStyle w:val="37"/>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709"/>
        <w:gridCol w:w="2899"/>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775" w:type="dxa"/>
            <w:shd w:val="clear" w:color="auto" w:fill="EEECE1"/>
            <w:vAlign w:val="center"/>
          </w:tcPr>
          <w:p>
            <w:pPr>
              <w:jc w:val="center"/>
              <w:rPr>
                <w:rFonts w:ascii="宋体"/>
                <w:b/>
                <w:color w:val="auto"/>
                <w:szCs w:val="21"/>
                <w:highlight w:val="none"/>
              </w:rPr>
            </w:pPr>
            <w:r>
              <w:rPr>
                <w:rFonts w:hint="eastAsia" w:ascii="宋体"/>
                <w:b/>
                <w:color w:val="auto"/>
                <w:szCs w:val="21"/>
                <w:highlight w:val="none"/>
              </w:rPr>
              <w:t>采购内容</w:t>
            </w:r>
          </w:p>
        </w:tc>
        <w:tc>
          <w:tcPr>
            <w:tcW w:w="709" w:type="dxa"/>
            <w:shd w:val="clear" w:color="auto" w:fill="EEECE1"/>
            <w:vAlign w:val="center"/>
          </w:tcPr>
          <w:p>
            <w:pPr>
              <w:jc w:val="center"/>
              <w:rPr>
                <w:rFonts w:ascii="宋体"/>
                <w:b/>
                <w:color w:val="auto"/>
                <w:szCs w:val="21"/>
                <w:highlight w:val="none"/>
              </w:rPr>
            </w:pPr>
            <w:r>
              <w:rPr>
                <w:rFonts w:hint="eastAsia" w:ascii="宋体"/>
                <w:b/>
                <w:color w:val="auto"/>
                <w:szCs w:val="21"/>
                <w:highlight w:val="none"/>
              </w:rPr>
              <w:t>数量</w:t>
            </w:r>
          </w:p>
        </w:tc>
        <w:tc>
          <w:tcPr>
            <w:tcW w:w="2899" w:type="dxa"/>
            <w:shd w:val="clear" w:color="auto" w:fill="EEECE1"/>
            <w:vAlign w:val="center"/>
          </w:tcPr>
          <w:p>
            <w:pPr>
              <w:jc w:val="center"/>
              <w:rPr>
                <w:rFonts w:hint="eastAsia" w:ascii="宋体" w:eastAsia="宋体"/>
                <w:b/>
                <w:color w:val="auto"/>
                <w:szCs w:val="21"/>
                <w:highlight w:val="none"/>
                <w:lang w:val="en-US" w:eastAsia="zh-CN"/>
              </w:rPr>
            </w:pPr>
            <w:r>
              <w:rPr>
                <w:rFonts w:hint="eastAsia" w:ascii="宋体"/>
                <w:b/>
                <w:color w:val="auto"/>
                <w:szCs w:val="21"/>
                <w:highlight w:val="none"/>
                <w:lang w:val="en-US" w:eastAsia="zh-CN"/>
              </w:rPr>
              <w:t>服务</w:t>
            </w:r>
            <w:r>
              <w:rPr>
                <w:rFonts w:hint="eastAsia" w:ascii="宋体"/>
                <w:b/>
                <w:color w:val="auto"/>
                <w:szCs w:val="21"/>
                <w:highlight w:val="none"/>
              </w:rPr>
              <w:t>期</w:t>
            </w:r>
            <w:r>
              <w:rPr>
                <w:rFonts w:hint="eastAsia" w:ascii="宋体"/>
                <w:b/>
                <w:color w:val="auto"/>
                <w:szCs w:val="21"/>
                <w:highlight w:val="none"/>
                <w:lang w:val="en-US" w:eastAsia="zh-CN"/>
              </w:rPr>
              <w:t>限</w:t>
            </w:r>
          </w:p>
        </w:tc>
        <w:tc>
          <w:tcPr>
            <w:tcW w:w="2260" w:type="dxa"/>
            <w:shd w:val="clear" w:color="auto" w:fill="EEECE1"/>
            <w:vAlign w:val="center"/>
          </w:tcPr>
          <w:p>
            <w:pPr>
              <w:jc w:val="center"/>
              <w:rPr>
                <w:rFonts w:ascii="宋体"/>
                <w:b/>
                <w:color w:val="auto"/>
                <w:szCs w:val="21"/>
                <w:highlight w:val="none"/>
              </w:rPr>
            </w:pPr>
            <w:r>
              <w:rPr>
                <w:rFonts w:hint="eastAsia" w:ascii="宋体"/>
                <w:b/>
                <w:color w:val="auto"/>
                <w:szCs w:val="21"/>
                <w:highlight w:val="none"/>
              </w:rPr>
              <w:t>预算金额（</w:t>
            </w:r>
            <w:r>
              <w:rPr>
                <w:rFonts w:hint="eastAsia" w:ascii="宋体"/>
                <w:b/>
                <w:color w:val="auto"/>
                <w:szCs w:val="21"/>
                <w:highlight w:val="none"/>
                <w:lang w:val="en-US" w:eastAsia="zh-CN"/>
              </w:rPr>
              <w:t>万</w:t>
            </w:r>
            <w:r>
              <w:rPr>
                <w:rFonts w:hint="eastAsia" w:ascii="宋体"/>
                <w:b/>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775" w:type="dxa"/>
            <w:vAlign w:val="center"/>
          </w:tcPr>
          <w:p>
            <w:pPr>
              <w:jc w:val="center"/>
              <w:rPr>
                <w:rFonts w:hint="eastAsia" w:ascii="宋体" w:eastAsia="宋体"/>
                <w:bCs/>
                <w:color w:val="auto"/>
                <w:szCs w:val="21"/>
                <w:highlight w:val="none"/>
                <w:lang w:eastAsia="zh-CN"/>
              </w:rPr>
            </w:pPr>
            <w:r>
              <w:rPr>
                <w:rFonts w:hint="eastAsia" w:ascii="宋体" w:hAnsi="宋体" w:cs="宋体"/>
                <w:color w:val="0000FF"/>
                <w:szCs w:val="21"/>
                <w:highlight w:val="none"/>
                <w:lang w:eastAsia="zh-CN"/>
              </w:rPr>
              <w:t>光华街小区和光侨街小区老旧小区改造项目（设计）</w:t>
            </w:r>
          </w:p>
        </w:tc>
        <w:tc>
          <w:tcPr>
            <w:tcW w:w="709" w:type="dxa"/>
            <w:vAlign w:val="center"/>
          </w:tcPr>
          <w:p>
            <w:pPr>
              <w:jc w:val="center"/>
              <w:rPr>
                <w:rFonts w:ascii="宋体"/>
                <w:bCs/>
                <w:color w:val="auto"/>
                <w:szCs w:val="21"/>
                <w:highlight w:val="none"/>
              </w:rPr>
            </w:pPr>
            <w:r>
              <w:rPr>
                <w:rFonts w:hint="eastAsia" w:ascii="宋体"/>
                <w:bCs/>
                <w:color w:val="auto"/>
                <w:szCs w:val="21"/>
                <w:highlight w:val="none"/>
              </w:rPr>
              <w:t>1项</w:t>
            </w:r>
          </w:p>
        </w:tc>
        <w:tc>
          <w:tcPr>
            <w:tcW w:w="2899" w:type="dxa"/>
            <w:vAlign w:val="center"/>
          </w:tcPr>
          <w:p>
            <w:pPr>
              <w:pStyle w:val="75"/>
              <w:spacing w:line="240" w:lineRule="auto"/>
              <w:rPr>
                <w:snapToGrid/>
                <w:color w:val="auto"/>
                <w:spacing w:val="0"/>
                <w:kern w:val="2"/>
                <w:sz w:val="21"/>
                <w:szCs w:val="24"/>
                <w:highlight w:val="none"/>
              </w:rPr>
            </w:pPr>
            <w:r>
              <w:rPr>
                <w:rFonts w:hint="eastAsia"/>
                <w:snapToGrid/>
                <w:color w:val="auto"/>
                <w:spacing w:val="0"/>
                <w:kern w:val="2"/>
                <w:sz w:val="21"/>
                <w:szCs w:val="24"/>
                <w:highlight w:val="yellow"/>
              </w:rPr>
              <w:t>自合同签订之日起</w:t>
            </w:r>
            <w:r>
              <w:rPr>
                <w:rFonts w:hint="eastAsia"/>
                <w:snapToGrid/>
                <w:color w:val="auto"/>
                <w:spacing w:val="0"/>
                <w:kern w:val="2"/>
                <w:sz w:val="21"/>
                <w:szCs w:val="24"/>
                <w:highlight w:val="yellow"/>
                <w:u w:val="single"/>
              </w:rPr>
              <w:t xml:space="preserve"> </w:t>
            </w:r>
            <w:r>
              <w:rPr>
                <w:rFonts w:hint="eastAsia"/>
                <w:snapToGrid/>
                <w:color w:val="auto"/>
                <w:spacing w:val="0"/>
                <w:kern w:val="2"/>
                <w:sz w:val="21"/>
                <w:szCs w:val="24"/>
                <w:highlight w:val="yellow"/>
                <w:u w:val="single"/>
                <w:lang w:val="en-US" w:eastAsia="zh-CN"/>
              </w:rPr>
              <w:t>至项目完工</w:t>
            </w:r>
          </w:p>
        </w:tc>
        <w:tc>
          <w:tcPr>
            <w:tcW w:w="2260" w:type="dxa"/>
            <w:vAlign w:val="center"/>
          </w:tcPr>
          <w:p>
            <w:pPr>
              <w:pStyle w:val="75"/>
              <w:spacing w:line="240" w:lineRule="auto"/>
              <w:rPr>
                <w:snapToGrid/>
                <w:color w:val="auto"/>
                <w:spacing w:val="0"/>
                <w:kern w:val="2"/>
                <w:sz w:val="21"/>
                <w:szCs w:val="24"/>
                <w:highlight w:val="none"/>
              </w:rPr>
            </w:pPr>
            <w:r>
              <w:rPr>
                <w:rFonts w:hint="eastAsia" w:ascii="宋体" w:hAnsi="宋体"/>
                <w:snapToGrid/>
                <w:color w:val="auto"/>
                <w:spacing w:val="0"/>
                <w:kern w:val="2"/>
                <w:sz w:val="21"/>
                <w:szCs w:val="21"/>
                <w:highlight w:val="none"/>
              </w:rPr>
              <w:t>人民币</w:t>
            </w:r>
            <w:r>
              <w:rPr>
                <w:rFonts w:hint="eastAsia" w:ascii="宋体" w:hAnsi="宋体"/>
                <w:snapToGrid/>
                <w:color w:val="auto"/>
                <w:spacing w:val="0"/>
                <w:kern w:val="2"/>
                <w:sz w:val="21"/>
                <w:szCs w:val="21"/>
                <w:highlight w:val="none"/>
                <w:lang w:val="en-US" w:eastAsia="zh-CN"/>
              </w:rPr>
              <w:t>91.38万</w:t>
            </w:r>
            <w:r>
              <w:rPr>
                <w:rFonts w:hint="eastAsia" w:ascii="宋体" w:hAnsi="宋体"/>
                <w:snapToGrid/>
                <w:color w:val="auto"/>
                <w:spacing w:val="0"/>
                <w:kern w:val="2"/>
                <w:sz w:val="21"/>
                <w:szCs w:val="21"/>
                <w:highlight w:val="none"/>
              </w:rPr>
              <w:t>元</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3</w:t>
      </w:r>
      <w:r>
        <w:rPr>
          <w:rFonts w:ascii="宋体" w:hAnsi="宋体" w:cs="宋体"/>
          <w:bCs/>
          <w:color w:val="auto"/>
          <w:szCs w:val="20"/>
          <w:highlight w:val="none"/>
        </w:rPr>
        <w:t>.</w:t>
      </w:r>
      <w:r>
        <w:rPr>
          <w:rFonts w:hint="eastAsia" w:ascii="宋体" w:hAnsi="宋体" w:cs="宋体"/>
          <w:bCs/>
          <w:color w:val="auto"/>
          <w:szCs w:val="20"/>
          <w:highlight w:val="none"/>
        </w:rPr>
        <w:t>本项目不接受进口</w:t>
      </w:r>
      <w:r>
        <w:rPr>
          <w:rFonts w:hint="eastAsia" w:ascii="宋体"/>
          <w:bCs/>
          <w:color w:val="auto"/>
          <w:szCs w:val="20"/>
          <w:highlight w:val="none"/>
        </w:rPr>
        <w:t>产品\服务。</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rPr>
        <w:t>4</w:t>
      </w:r>
      <w:r>
        <w:rPr>
          <w:rFonts w:ascii="宋体"/>
          <w:bCs/>
          <w:color w:val="auto"/>
          <w:szCs w:val="20"/>
          <w:highlight w:val="none"/>
        </w:rPr>
        <w:t>.</w:t>
      </w:r>
      <w:r>
        <w:rPr>
          <w:rFonts w:hint="eastAsia" w:ascii="宋体"/>
          <w:bCs/>
          <w:color w:val="auto"/>
          <w:szCs w:val="20"/>
          <w:highlight w:val="none"/>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pPr>
        <w:pStyle w:val="83"/>
        <w:adjustRightInd w:val="0"/>
        <w:snapToGrid w:val="0"/>
        <w:spacing w:line="360" w:lineRule="auto"/>
        <w:rPr>
          <w:rFonts w:hint="eastAsia" w:ascii="宋体" w:hAnsi="宋体"/>
          <w:bCs/>
          <w:color w:val="auto"/>
          <w:szCs w:val="21"/>
          <w:highlight w:val="none"/>
        </w:rPr>
      </w:pPr>
      <w:bookmarkStart w:id="7" w:name="_Toc435514843"/>
      <w:bookmarkStart w:id="8" w:name="_Toc435115052"/>
      <w:r>
        <w:rPr>
          <w:rFonts w:hint="eastAsia" w:ascii="宋体" w:hAnsi="宋体"/>
          <w:bCs/>
          <w:color w:val="auto"/>
          <w:szCs w:val="21"/>
          <w:highlight w:val="none"/>
        </w:rPr>
        <w:t>1.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21"/>
        <w:adjustRightInd w:val="0"/>
        <w:snapToGrid w:val="0"/>
        <w:spacing w:line="360" w:lineRule="auto"/>
        <w:ind w:firstLine="420" w:firstLineChars="200"/>
        <w:rPr>
          <w:rFonts w:hint="eastAsia" w:hAnsi="宋体"/>
          <w:bCs/>
          <w:color w:val="0000FF"/>
          <w:szCs w:val="21"/>
          <w:highlight w:val="yellow"/>
          <w:lang w:eastAsia="zh-CN"/>
        </w:rPr>
      </w:pPr>
      <w:r>
        <w:rPr>
          <w:rFonts w:hint="eastAsia" w:ascii="宋体" w:hAnsi="宋体"/>
          <w:bCs/>
          <w:color w:val="auto"/>
          <w:szCs w:val="21"/>
          <w:highlight w:val="none"/>
        </w:rPr>
        <w:t>2.投标人须</w:t>
      </w:r>
      <w:r>
        <w:rPr>
          <w:rFonts w:hint="eastAsia" w:ascii="宋体" w:hAnsi="宋体"/>
          <w:bCs/>
          <w:color w:val="0000FF"/>
          <w:szCs w:val="21"/>
          <w:highlight w:val="yellow"/>
        </w:rPr>
        <w:t>具备建设行政主管部门颁发的工程设计综合类甲级资质或工程设计建筑行业设计</w:t>
      </w:r>
      <w:r>
        <w:rPr>
          <w:rFonts w:hint="eastAsia" w:hAnsi="宋体"/>
          <w:bCs/>
          <w:color w:val="0000FF"/>
          <w:szCs w:val="21"/>
          <w:highlight w:val="yellow"/>
          <w:lang w:val="en-US" w:eastAsia="zh-CN"/>
        </w:rPr>
        <w:t>丙</w:t>
      </w:r>
      <w:r>
        <w:rPr>
          <w:rFonts w:hint="eastAsia" w:ascii="宋体" w:hAnsi="宋体"/>
          <w:bCs/>
          <w:color w:val="0000FF"/>
          <w:szCs w:val="21"/>
          <w:highlight w:val="yellow"/>
        </w:rPr>
        <w:t>级</w:t>
      </w:r>
      <w:r>
        <w:rPr>
          <w:rFonts w:hint="eastAsia" w:hAnsi="宋体"/>
          <w:bCs/>
          <w:color w:val="0000FF"/>
          <w:szCs w:val="21"/>
          <w:highlight w:val="yellow"/>
          <w:lang w:val="en-US" w:eastAsia="zh-CN"/>
        </w:rPr>
        <w:t>(或以上)</w:t>
      </w:r>
      <w:r>
        <w:rPr>
          <w:rFonts w:hint="eastAsia" w:ascii="宋体" w:hAnsi="宋体"/>
          <w:bCs/>
          <w:color w:val="0000FF"/>
          <w:szCs w:val="21"/>
          <w:highlight w:val="yellow"/>
        </w:rPr>
        <w:t>资质或工程设计建筑行业(建筑工程)专业</w:t>
      </w:r>
      <w:r>
        <w:rPr>
          <w:rFonts w:hint="eastAsia" w:hAnsi="宋体"/>
          <w:bCs/>
          <w:color w:val="0000FF"/>
          <w:szCs w:val="21"/>
          <w:highlight w:val="yellow"/>
          <w:lang w:val="en-US" w:eastAsia="zh-CN"/>
        </w:rPr>
        <w:t>丙</w:t>
      </w:r>
      <w:r>
        <w:rPr>
          <w:rFonts w:hint="eastAsia" w:ascii="宋体" w:hAnsi="宋体"/>
          <w:bCs/>
          <w:color w:val="0000FF"/>
          <w:szCs w:val="21"/>
          <w:highlight w:val="yellow"/>
        </w:rPr>
        <w:t>级</w:t>
      </w:r>
      <w:r>
        <w:rPr>
          <w:rFonts w:hint="eastAsia" w:hAnsi="宋体"/>
          <w:bCs/>
          <w:color w:val="0000FF"/>
          <w:szCs w:val="21"/>
          <w:highlight w:val="yellow"/>
          <w:lang w:val="en-US" w:eastAsia="zh-CN"/>
        </w:rPr>
        <w:t>(或以上)</w:t>
      </w:r>
      <w:r>
        <w:rPr>
          <w:rFonts w:hint="eastAsia" w:ascii="宋体" w:hAnsi="宋体"/>
          <w:bCs/>
          <w:color w:val="0000FF"/>
          <w:szCs w:val="21"/>
          <w:highlight w:val="yellow"/>
        </w:rPr>
        <w:t>资质，提供资质证书复印件</w:t>
      </w:r>
      <w:r>
        <w:rPr>
          <w:rFonts w:hint="eastAsia" w:hAnsi="宋体"/>
          <w:bCs/>
          <w:color w:val="0000FF"/>
          <w:szCs w:val="21"/>
          <w:highlight w:val="yellow"/>
          <w:lang w:eastAsia="zh-CN"/>
        </w:rPr>
        <w:t>。</w:t>
      </w:r>
    </w:p>
    <w:p>
      <w:pPr>
        <w:pStyle w:val="83"/>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3.投标人</w:t>
      </w:r>
      <w:r>
        <w:rPr>
          <w:rFonts w:hint="eastAsia" w:ascii="宋体" w:hAnsi="宋体"/>
          <w:bCs/>
          <w:color w:val="auto"/>
          <w:szCs w:val="21"/>
          <w:highlight w:val="none"/>
          <w:lang w:eastAsia="zh-CN"/>
        </w:rPr>
        <w:t>技术负责人需具有一级注册建筑师资格</w:t>
      </w:r>
      <w:r>
        <w:rPr>
          <w:rFonts w:hint="eastAsia" w:ascii="宋体" w:hAnsi="宋体"/>
          <w:bCs/>
          <w:color w:val="auto"/>
          <w:szCs w:val="21"/>
          <w:highlight w:val="none"/>
        </w:rPr>
        <w:t>。</w:t>
      </w:r>
    </w:p>
    <w:p>
      <w:pPr>
        <w:pStyle w:val="83"/>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4.本项目不接受联合体投标。</w:t>
      </w:r>
    </w:p>
    <w:p>
      <w:pPr>
        <w:pStyle w:val="83"/>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5.参与本项目投标前三年内，在经营活动中没有重大违法记录（由供应商在《投标人资格声明函》中作出声明）。</w:t>
      </w:r>
    </w:p>
    <w:p>
      <w:pPr>
        <w:pStyle w:val="83"/>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6.参与本项目政府采购活动时不存在被有关部门禁止参与政府采购活动且在有效期内的情况（由供应商在《投标人资格声明函》中作出声明）。</w:t>
      </w:r>
    </w:p>
    <w:p>
      <w:pPr>
        <w:pStyle w:val="83"/>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7.具备《中华人民共和国政府采购法》第二十二条第一款的条件（由供应商在《投标人资格声明函》中作出声明）。</w:t>
      </w:r>
    </w:p>
    <w:p>
      <w:pPr>
        <w:pStyle w:val="83"/>
        <w:adjustRightInd w:val="0"/>
        <w:snapToGrid w:val="0"/>
        <w:spacing w:line="360" w:lineRule="auto"/>
        <w:rPr>
          <w:rFonts w:hint="default" w:ascii="宋体" w:hAnsi="宋体" w:eastAsia="宋体" w:cs="宋体"/>
          <w:color w:val="auto"/>
          <w:kern w:val="0"/>
          <w:highlight w:val="yellow"/>
          <w:lang w:val="en-US" w:eastAsia="zh-CN"/>
        </w:rPr>
      </w:pPr>
      <w:r>
        <w:rPr>
          <w:rFonts w:hint="eastAsia" w:ascii="宋体" w:hAnsi="宋体"/>
          <w:bCs/>
          <w:color w:val="auto"/>
          <w:szCs w:val="21"/>
          <w:highlight w:val="none"/>
        </w:rPr>
        <w:t>8.参与政府采购项目投标的供应商未被列入失信被执行人、重大税收违法案件当事人名单、政府采购严重违法失信行为记录名单（由供应商在《投标人资格声明函》中作出声明）。</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五、符合资格的供应商应当在</w:t>
      </w:r>
      <w:r>
        <w:rPr>
          <w:rFonts w:hint="eastAsia" w:ascii="宋体" w:hAnsi="宋体" w:cs="宋体"/>
          <w:b w:val="0"/>
          <w:bCs/>
          <w:color w:val="0000FF"/>
          <w:szCs w:val="20"/>
          <w:highlight w:val="none"/>
          <w:lang w:eastAsia="zh-CN"/>
        </w:rPr>
        <w:t>2025年</w:t>
      </w:r>
      <w:r>
        <w:rPr>
          <w:rFonts w:hint="eastAsia" w:ascii="宋体" w:hAnsi="宋体"/>
          <w:b w:val="0"/>
          <w:bCs/>
          <w:color w:val="0000FF"/>
          <w:highlight w:val="none"/>
          <w:lang w:val="en-US" w:eastAsia="zh-CN"/>
        </w:rPr>
        <w:t>05</w:t>
      </w:r>
      <w:r>
        <w:rPr>
          <w:rFonts w:hint="eastAsia" w:ascii="宋体" w:hAnsi="宋体" w:cs="宋体"/>
          <w:b w:val="0"/>
          <w:bCs/>
          <w:color w:val="0000FF"/>
          <w:szCs w:val="20"/>
          <w:highlight w:val="none"/>
          <w:lang w:eastAsia="zh-CN"/>
        </w:rPr>
        <w:t>月</w:t>
      </w:r>
      <w:r>
        <w:rPr>
          <w:rFonts w:hint="eastAsia" w:ascii="宋体" w:hAnsi="宋体"/>
          <w:b w:val="0"/>
          <w:bCs/>
          <w:color w:val="0000FF"/>
          <w:highlight w:val="none"/>
          <w:lang w:val="en-US" w:eastAsia="zh-CN"/>
        </w:rPr>
        <w:t>26</w:t>
      </w:r>
      <w:r>
        <w:rPr>
          <w:rFonts w:hint="eastAsia" w:ascii="宋体" w:hAnsi="宋体" w:cs="宋体"/>
          <w:b w:val="0"/>
          <w:bCs/>
          <w:color w:val="0000FF"/>
          <w:szCs w:val="20"/>
          <w:highlight w:val="none"/>
          <w:lang w:eastAsia="zh-CN"/>
        </w:rPr>
        <w:t>日至2025年</w:t>
      </w:r>
      <w:r>
        <w:rPr>
          <w:rFonts w:hint="eastAsia" w:ascii="宋体" w:hAnsi="宋体"/>
          <w:b w:val="0"/>
          <w:bCs/>
          <w:color w:val="0000FF"/>
          <w:highlight w:val="none"/>
          <w:lang w:val="en-US" w:eastAsia="zh-CN"/>
        </w:rPr>
        <w:t>05</w:t>
      </w:r>
      <w:r>
        <w:rPr>
          <w:rFonts w:hint="eastAsia" w:ascii="宋体" w:hAnsi="宋体" w:cs="宋体"/>
          <w:b w:val="0"/>
          <w:bCs/>
          <w:color w:val="0000FF"/>
          <w:szCs w:val="20"/>
          <w:highlight w:val="none"/>
          <w:lang w:eastAsia="zh-CN"/>
        </w:rPr>
        <w:t>月</w:t>
      </w:r>
      <w:r>
        <w:rPr>
          <w:rFonts w:hint="eastAsia" w:ascii="宋体" w:hAnsi="宋体"/>
          <w:b w:val="0"/>
          <w:bCs/>
          <w:color w:val="0000FF"/>
          <w:highlight w:val="none"/>
          <w:lang w:val="en-US" w:eastAsia="zh-CN"/>
        </w:rPr>
        <w:t>30</w:t>
      </w:r>
      <w:r>
        <w:rPr>
          <w:rFonts w:hint="eastAsia" w:ascii="宋体" w:hAnsi="宋体" w:cs="宋体"/>
          <w:b w:val="0"/>
          <w:bCs/>
          <w:color w:val="0000FF"/>
          <w:szCs w:val="20"/>
          <w:highlight w:val="none"/>
          <w:lang w:eastAsia="zh-CN"/>
        </w:rPr>
        <w:t>日</w:t>
      </w:r>
      <w:r>
        <w:rPr>
          <w:rFonts w:hint="eastAsia" w:ascii="宋体" w:hAnsi="宋体" w:cs="宋体"/>
          <w:bCs/>
          <w:color w:val="auto"/>
          <w:szCs w:val="20"/>
          <w:highlight w:val="none"/>
        </w:rPr>
        <w:t>期间（不少于5个工作日），上午10：00-12：00，下午15：00-17：30，法定节假日除外，到深圳市南山区沙河街道办事处（详细地址：深圳市南山区沙河街道华侨城中新街18号沙河街道办事处302室）提交报名文件，报名文件资料包括：营业执照复印件、资质证明复印件、法定代表人证明、法定代表人授权委托书、企业法人代表身份证复印件、委托人身份证复印件。</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w:t>
      </w:r>
      <w:r>
        <w:rPr>
          <w:rFonts w:hint="eastAsia" w:ascii="宋体" w:hAnsi="宋体" w:cs="宋体"/>
          <w:b w:val="0"/>
          <w:bCs/>
          <w:color w:val="0000FF"/>
          <w:szCs w:val="20"/>
          <w:highlight w:val="none"/>
          <w:lang w:eastAsia="zh-CN"/>
        </w:rPr>
        <w:t>2025年</w:t>
      </w:r>
      <w:r>
        <w:rPr>
          <w:rFonts w:hint="eastAsia" w:ascii="宋体" w:hAnsi="宋体"/>
          <w:b w:val="0"/>
          <w:bCs/>
          <w:color w:val="0000FF"/>
          <w:highlight w:val="none"/>
          <w:lang w:val="en-US" w:eastAsia="zh-CN"/>
        </w:rPr>
        <w:t>05</w:t>
      </w:r>
      <w:r>
        <w:rPr>
          <w:rFonts w:hint="eastAsia" w:ascii="宋体" w:hAnsi="宋体" w:cs="宋体"/>
          <w:b w:val="0"/>
          <w:bCs/>
          <w:color w:val="0000FF"/>
          <w:szCs w:val="20"/>
          <w:highlight w:val="none"/>
          <w:lang w:eastAsia="zh-CN"/>
        </w:rPr>
        <w:t>月</w:t>
      </w:r>
      <w:r>
        <w:rPr>
          <w:rFonts w:hint="eastAsia" w:ascii="宋体" w:hAnsi="宋体"/>
          <w:b w:val="0"/>
          <w:bCs/>
          <w:color w:val="0000FF"/>
          <w:highlight w:val="none"/>
          <w:lang w:val="en-US" w:eastAsia="zh-CN"/>
        </w:rPr>
        <w:t>26</w:t>
      </w:r>
      <w:r>
        <w:rPr>
          <w:rFonts w:hint="eastAsia" w:ascii="宋体" w:hAnsi="宋体" w:cs="宋体"/>
          <w:b w:val="0"/>
          <w:bCs/>
          <w:color w:val="0000FF"/>
          <w:szCs w:val="20"/>
          <w:highlight w:val="none"/>
          <w:lang w:eastAsia="zh-CN"/>
        </w:rPr>
        <w:t>日至2025年</w:t>
      </w:r>
      <w:r>
        <w:rPr>
          <w:rFonts w:hint="eastAsia" w:ascii="宋体" w:hAnsi="宋体"/>
          <w:b w:val="0"/>
          <w:bCs/>
          <w:color w:val="0000FF"/>
          <w:highlight w:val="none"/>
          <w:lang w:val="en-US" w:eastAsia="zh-CN"/>
        </w:rPr>
        <w:t>05</w:t>
      </w:r>
      <w:r>
        <w:rPr>
          <w:rFonts w:hint="eastAsia" w:ascii="宋体" w:hAnsi="宋体" w:cs="宋体"/>
          <w:b w:val="0"/>
          <w:bCs/>
          <w:color w:val="0000FF"/>
          <w:szCs w:val="20"/>
          <w:highlight w:val="none"/>
          <w:lang w:eastAsia="zh-CN"/>
        </w:rPr>
        <w:t>月</w:t>
      </w:r>
      <w:r>
        <w:rPr>
          <w:rFonts w:hint="eastAsia" w:ascii="宋体" w:hAnsi="宋体"/>
          <w:b w:val="0"/>
          <w:bCs/>
          <w:color w:val="0000FF"/>
          <w:highlight w:val="none"/>
          <w:lang w:val="en-US" w:eastAsia="zh-CN"/>
        </w:rPr>
        <w:t>30</w:t>
      </w:r>
      <w:r>
        <w:rPr>
          <w:rFonts w:hint="eastAsia" w:ascii="宋体" w:hAnsi="宋体" w:cs="宋体"/>
          <w:b w:val="0"/>
          <w:bCs/>
          <w:color w:val="0000FF"/>
          <w:szCs w:val="20"/>
          <w:highlight w:val="none"/>
          <w:lang w:eastAsia="zh-CN"/>
        </w:rPr>
        <w:t>日</w:t>
      </w:r>
      <w:r>
        <w:rPr>
          <w:rFonts w:hint="eastAsia" w:ascii="宋体" w:hAnsi="宋体" w:cs="宋体"/>
          <w:bCs/>
          <w:color w:val="auto"/>
          <w:szCs w:val="20"/>
          <w:highlight w:val="none"/>
        </w:rPr>
        <w:t>，上午10：00-12：00，下午15：00-17：30。</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七、提交投标文件地点：深圳市南山区沙河街道华侨城中新街18号沙河街道办事处302室。</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w:t>
      </w:r>
      <w:r>
        <w:rPr>
          <w:rFonts w:hint="eastAsia" w:ascii="宋体" w:hAnsi="宋体" w:cs="宋体"/>
          <w:b w:val="0"/>
          <w:bCs/>
          <w:color w:val="0000FF"/>
          <w:szCs w:val="20"/>
          <w:highlight w:val="none"/>
          <w:lang w:eastAsia="zh-CN"/>
        </w:rPr>
        <w:t>2025年</w:t>
      </w:r>
      <w:r>
        <w:rPr>
          <w:rFonts w:hint="eastAsia" w:ascii="宋体" w:hAnsi="宋体"/>
          <w:b w:val="0"/>
          <w:bCs/>
          <w:color w:val="0000FF"/>
          <w:highlight w:val="none"/>
          <w:lang w:val="en-US" w:eastAsia="zh-CN"/>
        </w:rPr>
        <w:t>05</w:t>
      </w:r>
      <w:r>
        <w:rPr>
          <w:rFonts w:hint="eastAsia" w:ascii="宋体" w:hAnsi="宋体" w:cs="宋体"/>
          <w:b w:val="0"/>
          <w:bCs/>
          <w:color w:val="0000FF"/>
          <w:szCs w:val="20"/>
          <w:highlight w:val="none"/>
          <w:lang w:eastAsia="zh-CN"/>
        </w:rPr>
        <w:t>月</w:t>
      </w:r>
      <w:r>
        <w:rPr>
          <w:rFonts w:hint="eastAsia" w:ascii="宋体" w:hAnsi="宋体"/>
          <w:b w:val="0"/>
          <w:bCs/>
          <w:color w:val="0000FF"/>
          <w:highlight w:val="none"/>
          <w:lang w:val="en-US" w:eastAsia="zh-CN"/>
        </w:rPr>
        <w:t>30</w:t>
      </w:r>
      <w:r>
        <w:rPr>
          <w:rFonts w:hint="eastAsia" w:ascii="宋体" w:hAnsi="宋体" w:cs="宋体"/>
          <w:b w:val="0"/>
          <w:bCs/>
          <w:color w:val="0000FF"/>
          <w:szCs w:val="20"/>
          <w:highlight w:val="none"/>
          <w:lang w:eastAsia="zh-CN"/>
        </w:rPr>
        <w:t>日</w:t>
      </w:r>
      <w:r>
        <w:rPr>
          <w:rFonts w:hint="eastAsia" w:ascii="宋体" w:hAnsi="宋体" w:cs="宋体"/>
          <w:bCs/>
          <w:color w:val="0000FF"/>
          <w:szCs w:val="20"/>
          <w:highlight w:val="none"/>
        </w:rPr>
        <w:t>下午17:30</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评标、定标时间：投标截止后5个工作日内，我街道召开评标、定标会议。</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九、评标、定标地点：深圳市南山区沙河街道办事处。</w:t>
      </w:r>
    </w:p>
    <w:p>
      <w:pPr>
        <w:tabs>
          <w:tab w:val="left" w:pos="425"/>
          <w:tab w:val="left" w:pos="567"/>
          <w:tab w:val="left" w:pos="728"/>
        </w:tabs>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十、本项目相关公告在以下媒体发布：</w:t>
      </w:r>
    </w:p>
    <w:p>
      <w:pPr>
        <w:tabs>
          <w:tab w:val="left" w:pos="425"/>
          <w:tab w:val="left" w:pos="567"/>
          <w:tab w:val="left" w:pos="728"/>
        </w:tabs>
        <w:adjustRightInd w:val="0"/>
        <w:snapToGrid w:val="0"/>
        <w:spacing w:line="360" w:lineRule="auto"/>
        <w:rPr>
          <w:rFonts w:hint="eastAsia" w:ascii="宋体" w:hAnsi="宋体" w:cs="宋体"/>
          <w:bCs/>
          <w:color w:val="auto"/>
          <w:szCs w:val="20"/>
          <w:highlight w:val="none"/>
        </w:rPr>
      </w:pPr>
      <w:r>
        <w:rPr>
          <w:rFonts w:hint="eastAsia" w:ascii="宋体" w:hAnsi="宋体" w:cs="宋体"/>
          <w:bCs/>
          <w:color w:val="auto"/>
          <w:szCs w:val="20"/>
          <w:highlight w:val="none"/>
          <w:lang w:eastAsia="zh-CN"/>
        </w:rPr>
        <w:t>深圳公共资源交易中心</w:t>
      </w:r>
      <w:r>
        <w:rPr>
          <w:rFonts w:hint="eastAsia" w:ascii="宋体" w:hAnsi="宋体" w:cs="宋体"/>
          <w:bCs/>
          <w:color w:val="auto"/>
          <w:szCs w:val="20"/>
          <w:highlight w:val="none"/>
        </w:rPr>
        <w:t>https://www.szexgrp.com/jyfw/zfcg-view.html?id=zfcg</w:t>
      </w:r>
    </w:p>
    <w:p>
      <w:pPr>
        <w:tabs>
          <w:tab w:val="left" w:pos="425"/>
          <w:tab w:val="left" w:pos="567"/>
          <w:tab w:val="left" w:pos="728"/>
        </w:tabs>
        <w:adjustRightInd w:val="0"/>
        <w:snapToGrid w:val="0"/>
        <w:spacing w:line="360" w:lineRule="auto"/>
        <w:rPr>
          <w:rFonts w:ascii="宋体" w:hAnsi="宋体" w:cs="宋体"/>
          <w:bCs/>
          <w:color w:val="auto"/>
          <w:szCs w:val="21"/>
          <w:highlight w:val="none"/>
        </w:rPr>
      </w:pPr>
      <w:r>
        <w:rPr>
          <w:rFonts w:hint="eastAsia" w:ascii="宋体" w:hAnsi="宋体"/>
          <w:color w:val="auto"/>
          <w:szCs w:val="21"/>
          <w:highlight w:val="none"/>
        </w:rPr>
        <w:t>相关公告在上述媒体上公布之日即视为有效送达，不再另行通知。</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十一、本公告期限（5个工作日）</w:t>
      </w:r>
      <w:r>
        <w:rPr>
          <w:rFonts w:hint="eastAsia" w:ascii="宋体" w:hAnsi="宋体" w:cs="宋体"/>
          <w:bCs/>
          <w:color w:val="0000FF"/>
          <w:szCs w:val="20"/>
          <w:highlight w:val="none"/>
        </w:rPr>
        <w:t>自</w:t>
      </w:r>
      <w:r>
        <w:rPr>
          <w:rFonts w:hint="eastAsia" w:ascii="宋体" w:hAnsi="宋体" w:cs="宋体"/>
          <w:b w:val="0"/>
          <w:bCs/>
          <w:color w:val="0000FF"/>
          <w:szCs w:val="20"/>
          <w:highlight w:val="none"/>
          <w:lang w:eastAsia="zh-CN"/>
        </w:rPr>
        <w:t>2025年</w:t>
      </w:r>
      <w:r>
        <w:rPr>
          <w:rFonts w:hint="eastAsia" w:ascii="宋体" w:hAnsi="宋体"/>
          <w:b w:val="0"/>
          <w:bCs/>
          <w:color w:val="0000FF"/>
          <w:highlight w:val="none"/>
          <w:lang w:val="en-US" w:eastAsia="zh-CN"/>
        </w:rPr>
        <w:t>05</w:t>
      </w:r>
      <w:r>
        <w:rPr>
          <w:rFonts w:hint="eastAsia" w:ascii="宋体" w:hAnsi="宋体" w:cs="宋体"/>
          <w:b w:val="0"/>
          <w:bCs/>
          <w:color w:val="0000FF"/>
          <w:szCs w:val="20"/>
          <w:highlight w:val="none"/>
          <w:lang w:eastAsia="zh-CN"/>
        </w:rPr>
        <w:t>月</w:t>
      </w:r>
      <w:r>
        <w:rPr>
          <w:rFonts w:hint="eastAsia" w:ascii="宋体" w:hAnsi="宋体"/>
          <w:b w:val="0"/>
          <w:bCs/>
          <w:color w:val="0000FF"/>
          <w:highlight w:val="none"/>
          <w:lang w:val="en-US" w:eastAsia="zh-CN"/>
        </w:rPr>
        <w:t>26</w:t>
      </w:r>
      <w:r>
        <w:rPr>
          <w:rFonts w:hint="eastAsia" w:ascii="宋体" w:hAnsi="宋体" w:cs="宋体"/>
          <w:b w:val="0"/>
          <w:bCs/>
          <w:color w:val="0000FF"/>
          <w:szCs w:val="20"/>
          <w:highlight w:val="none"/>
          <w:lang w:eastAsia="zh-CN"/>
        </w:rPr>
        <w:t>日至2025年</w:t>
      </w:r>
      <w:r>
        <w:rPr>
          <w:rFonts w:hint="eastAsia" w:ascii="宋体" w:hAnsi="宋体"/>
          <w:b w:val="0"/>
          <w:bCs/>
          <w:color w:val="0000FF"/>
          <w:highlight w:val="none"/>
          <w:lang w:val="en-US" w:eastAsia="zh-CN"/>
        </w:rPr>
        <w:t>05</w:t>
      </w:r>
      <w:r>
        <w:rPr>
          <w:rFonts w:hint="eastAsia" w:ascii="宋体" w:hAnsi="宋体" w:cs="宋体"/>
          <w:b w:val="0"/>
          <w:bCs/>
          <w:color w:val="0000FF"/>
          <w:szCs w:val="20"/>
          <w:highlight w:val="none"/>
          <w:lang w:eastAsia="zh-CN"/>
        </w:rPr>
        <w:t>月</w:t>
      </w:r>
      <w:r>
        <w:rPr>
          <w:rFonts w:hint="eastAsia" w:ascii="宋体" w:hAnsi="宋体"/>
          <w:b w:val="0"/>
          <w:bCs/>
          <w:color w:val="0000FF"/>
          <w:highlight w:val="none"/>
          <w:lang w:val="en-US" w:eastAsia="zh-CN"/>
        </w:rPr>
        <w:t>30</w:t>
      </w:r>
      <w:r>
        <w:rPr>
          <w:rFonts w:hint="eastAsia" w:ascii="宋体" w:hAnsi="宋体" w:cs="宋体"/>
          <w:b w:val="0"/>
          <w:bCs/>
          <w:color w:val="0000FF"/>
          <w:szCs w:val="20"/>
          <w:highlight w:val="none"/>
          <w:lang w:eastAsia="zh-CN"/>
        </w:rPr>
        <w:t>日</w:t>
      </w:r>
      <w:r>
        <w:rPr>
          <w:rFonts w:hint="eastAsia" w:ascii="宋体" w:hAnsi="宋体" w:cs="宋体"/>
          <w:bCs/>
          <w:color w:val="0000FF"/>
          <w:szCs w:val="20"/>
          <w:highlight w:val="none"/>
        </w:rPr>
        <w:t>止</w:t>
      </w:r>
      <w:r>
        <w:rPr>
          <w:rFonts w:hint="eastAsia" w:ascii="宋体" w:hAnsi="宋体" w:cs="宋体"/>
          <w:bCs/>
          <w:color w:val="auto"/>
          <w:szCs w:val="20"/>
          <w:highlight w:val="none"/>
        </w:rPr>
        <w:t>。</w:t>
      </w:r>
    </w:p>
    <w:p>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color w:val="auto"/>
          <w:szCs w:val="21"/>
          <w:highlight w:val="none"/>
        </w:rPr>
        <w:t>十二、联系事项：</w:t>
      </w:r>
    </w:p>
    <w:p>
      <w:pPr>
        <w:pStyle w:val="69"/>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采购人：深圳市南山区沙河街道办事处</w:t>
      </w:r>
    </w:p>
    <w:p>
      <w:pPr>
        <w:pStyle w:val="69"/>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地址：深圳市南山区沙河街道华侨城中新街18号沙河街道办事处302室</w:t>
      </w:r>
    </w:p>
    <w:p>
      <w:pPr>
        <w:pStyle w:val="69"/>
        <w:shd w:val="clear"/>
        <w:spacing w:line="360" w:lineRule="auto"/>
        <w:ind w:left="720" w:firstLine="0"/>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金</w:t>
      </w:r>
      <w:r>
        <w:rPr>
          <w:rFonts w:hint="eastAsia" w:ascii="宋体" w:hAnsi="宋体" w:cs="宋体"/>
          <w:color w:val="auto"/>
          <w:szCs w:val="21"/>
          <w:highlight w:val="none"/>
          <w:shd w:val="clear" w:color="auto"/>
          <w:lang w:val="en-US" w:eastAsia="zh-CN"/>
        </w:rPr>
        <w:t>工</w:t>
      </w:r>
    </w:p>
    <w:p>
      <w:pPr>
        <w:pStyle w:val="69"/>
        <w:spacing w:line="360" w:lineRule="auto"/>
        <w:ind w:left="720" w:firstLine="0"/>
        <w:rPr>
          <w:rFonts w:hint="default" w:ascii="宋体" w:hAnsi="宋体" w:eastAsia="宋体" w:cs="宋体"/>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shd w:val="clear" w:color="auto"/>
        </w:rPr>
        <w:t>0755-</w:t>
      </w:r>
      <w:r>
        <w:rPr>
          <w:rFonts w:hint="eastAsia" w:ascii="宋体" w:hAnsi="宋体"/>
          <w:color w:val="auto"/>
          <w:szCs w:val="21"/>
          <w:highlight w:val="none"/>
          <w:shd w:val="clear" w:color="auto"/>
          <w:lang w:val="en-US" w:eastAsia="zh-CN"/>
        </w:rPr>
        <w:t>26905311</w:t>
      </w:r>
    </w:p>
    <w:p>
      <w:pPr>
        <w:tabs>
          <w:tab w:val="right" w:pos="9180"/>
        </w:tabs>
        <w:adjustRightInd w:val="0"/>
        <w:snapToGrid w:val="0"/>
        <w:spacing w:line="360" w:lineRule="auto"/>
        <w:ind w:firstLine="435"/>
        <w:jc w:val="right"/>
        <w:rPr>
          <w:b/>
          <w:color w:val="auto"/>
          <w:highlight w:val="none"/>
        </w:rPr>
      </w:pPr>
    </w:p>
    <w:p>
      <w:pPr>
        <w:tabs>
          <w:tab w:val="right" w:pos="9180"/>
        </w:tabs>
        <w:adjustRightInd w:val="0"/>
        <w:snapToGrid w:val="0"/>
        <w:spacing w:line="360" w:lineRule="auto"/>
        <w:ind w:firstLine="435"/>
        <w:jc w:val="right"/>
        <w:rPr>
          <w:b/>
          <w:color w:val="auto"/>
          <w:highlight w:val="none"/>
        </w:rPr>
      </w:pPr>
      <w:r>
        <w:rPr>
          <w:b/>
          <w:color w:val="auto"/>
          <w:highlight w:val="none"/>
        </w:rPr>
        <w:tab/>
      </w:r>
    </w:p>
    <w:p>
      <w:pPr>
        <w:tabs>
          <w:tab w:val="right" w:pos="9180"/>
        </w:tabs>
        <w:adjustRightInd w:val="0"/>
        <w:snapToGrid w:val="0"/>
        <w:spacing w:line="360" w:lineRule="auto"/>
        <w:ind w:firstLine="435"/>
        <w:jc w:val="right"/>
        <w:rPr>
          <w:b/>
          <w:color w:val="auto"/>
          <w:highlight w:val="none"/>
        </w:rPr>
      </w:pPr>
      <w:r>
        <w:rPr>
          <w:rFonts w:hint="eastAsia"/>
          <w:b/>
          <w:color w:val="auto"/>
          <w:highlight w:val="none"/>
        </w:rPr>
        <w:t>发布人：</w:t>
      </w:r>
      <w:r>
        <w:rPr>
          <w:b/>
          <w:color w:val="auto"/>
          <w:highlight w:val="none"/>
        </w:rPr>
        <w:t xml:space="preserve"> </w:t>
      </w:r>
      <w:r>
        <w:rPr>
          <w:rFonts w:hint="eastAsia"/>
          <w:b/>
          <w:color w:val="auto"/>
          <w:highlight w:val="none"/>
        </w:rPr>
        <w:t>深圳市南山区沙河街道办事处</w:t>
      </w:r>
    </w:p>
    <w:p>
      <w:pPr>
        <w:adjustRightInd w:val="0"/>
        <w:snapToGrid w:val="0"/>
        <w:spacing w:line="360" w:lineRule="auto"/>
        <w:ind w:firstLine="435"/>
        <w:jc w:val="center"/>
        <w:rPr>
          <w:rFonts w:ascii="宋体" w:hAnsi="宋体"/>
          <w:b/>
          <w:color w:val="0000FF"/>
          <w:highlight w:val="none"/>
        </w:rPr>
      </w:pPr>
      <w:r>
        <w:rPr>
          <w:rFonts w:hint="eastAsia" w:ascii="宋体" w:hAnsi="宋体"/>
          <w:b/>
          <w:color w:val="0000FF"/>
          <w:highlight w:val="none"/>
          <w:lang w:val="en-US" w:eastAsia="zh-CN"/>
        </w:rPr>
        <w:t xml:space="preserve">                                     </w:t>
      </w:r>
      <w:r>
        <w:rPr>
          <w:rFonts w:hint="eastAsia" w:ascii="宋体" w:hAnsi="宋体"/>
          <w:b/>
          <w:color w:val="0000FF"/>
          <w:highlight w:val="none"/>
        </w:rPr>
        <w:t>发布时间：</w:t>
      </w:r>
      <w:r>
        <w:rPr>
          <w:rFonts w:hint="eastAsia" w:ascii="宋体" w:hAnsi="宋体"/>
          <w:b/>
          <w:color w:val="0000FF"/>
          <w:highlight w:val="none"/>
          <w:lang w:eastAsia="zh-CN"/>
        </w:rPr>
        <w:t>2025</w:t>
      </w:r>
      <w:r>
        <w:rPr>
          <w:rFonts w:hint="eastAsia" w:ascii="宋体" w:hAnsi="宋体"/>
          <w:b/>
          <w:color w:val="0000FF"/>
          <w:highlight w:val="none"/>
        </w:rPr>
        <w:t>年</w:t>
      </w:r>
      <w:r>
        <w:rPr>
          <w:rFonts w:hint="eastAsia" w:ascii="宋体" w:hAnsi="宋体"/>
          <w:b/>
          <w:color w:val="0000FF"/>
          <w:highlight w:val="none"/>
          <w:lang w:val="en-US" w:eastAsia="zh-CN"/>
        </w:rPr>
        <w:t>05</w:t>
      </w:r>
      <w:r>
        <w:rPr>
          <w:rFonts w:hint="eastAsia" w:ascii="宋体" w:hAnsi="宋体"/>
          <w:b/>
          <w:color w:val="0000FF"/>
          <w:highlight w:val="none"/>
        </w:rPr>
        <w:t>月</w:t>
      </w:r>
      <w:r>
        <w:rPr>
          <w:rFonts w:hint="eastAsia" w:ascii="宋体" w:hAnsi="宋体"/>
          <w:b/>
          <w:color w:val="0000FF"/>
          <w:highlight w:val="none"/>
          <w:lang w:val="en-US" w:eastAsia="zh-CN"/>
        </w:rPr>
        <w:t>26</w:t>
      </w:r>
      <w:bookmarkStart w:id="228" w:name="_GoBack"/>
      <w:bookmarkEnd w:id="228"/>
      <w:r>
        <w:rPr>
          <w:rFonts w:hint="eastAsia" w:ascii="宋体" w:hAnsi="宋体"/>
          <w:b/>
          <w:color w:val="0000FF"/>
          <w:highlight w:val="none"/>
        </w:rPr>
        <w:t>日</w:t>
      </w:r>
    </w:p>
    <w:bookmarkEnd w:id="6"/>
    <w:p>
      <w:pPr>
        <w:widowControl/>
        <w:jc w:val="left"/>
        <w:rPr>
          <w:b/>
          <w:bCs/>
          <w:color w:val="auto"/>
          <w:sz w:val="28"/>
          <w:szCs w:val="28"/>
          <w:highlight w:val="none"/>
        </w:rPr>
      </w:pPr>
      <w:r>
        <w:rPr>
          <w:b/>
          <w:bCs/>
          <w:color w:val="auto"/>
          <w:sz w:val="28"/>
          <w:szCs w:val="28"/>
          <w:highlight w:val="none"/>
        </w:rPr>
        <w:br w:type="page"/>
      </w:r>
    </w:p>
    <w:p>
      <w:pPr>
        <w:pStyle w:val="4"/>
        <w:jc w:val="center"/>
        <w:rPr>
          <w:rFonts w:asciiTheme="majorEastAsia" w:hAnsiTheme="majorEastAsia" w:eastAsiaTheme="majorEastAsia" w:cstheme="majorEastAsia"/>
          <w:color w:val="auto"/>
          <w:sz w:val="32"/>
          <w:szCs w:val="32"/>
          <w:highlight w:val="none"/>
        </w:rPr>
      </w:pPr>
      <w:bookmarkStart w:id="9" w:name="_Toc31789"/>
      <w:bookmarkStart w:id="10" w:name="_Toc9213"/>
      <w:bookmarkStart w:id="11" w:name="_Toc2045"/>
      <w:bookmarkStart w:id="12" w:name="_Toc12489_WPSOffice_Level1"/>
      <w:bookmarkStart w:id="13" w:name="_Toc8307300"/>
      <w:r>
        <w:rPr>
          <w:rFonts w:hint="eastAsia" w:asciiTheme="majorEastAsia" w:hAnsiTheme="majorEastAsia" w:eastAsiaTheme="majorEastAsia" w:cstheme="majorEastAsia"/>
          <w:color w:val="auto"/>
          <w:sz w:val="32"/>
          <w:szCs w:val="32"/>
          <w:highlight w:val="none"/>
        </w:rPr>
        <w:t>第二章 投标资料表</w:t>
      </w:r>
      <w:bookmarkEnd w:id="7"/>
      <w:bookmarkEnd w:id="8"/>
      <w:bookmarkEnd w:id="9"/>
      <w:bookmarkEnd w:id="10"/>
      <w:bookmarkEnd w:id="11"/>
      <w:bookmarkEnd w:id="12"/>
      <w:bookmarkEnd w:id="13"/>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37"/>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8" w:type="dxa"/>
            <w:vAlign w:val="center"/>
          </w:tcPr>
          <w:p>
            <w:pPr>
              <w:jc w:val="center"/>
              <w:rPr>
                <w:rFonts w:ascii="宋体" w:hAnsi="宋体"/>
                <w:color w:val="auto"/>
                <w:szCs w:val="21"/>
                <w:highlight w:val="none"/>
              </w:rPr>
            </w:pPr>
            <w:r>
              <w:rPr>
                <w:rFonts w:ascii="宋体" w:hAnsi="宋体"/>
                <w:color w:val="auto"/>
                <w:szCs w:val="21"/>
                <w:highlight w:val="none"/>
              </w:rPr>
              <w:t>条款</w:t>
            </w:r>
            <w:r>
              <w:rPr>
                <w:rFonts w:hint="eastAsia" w:ascii="宋体" w:hAnsi="宋体"/>
                <w:color w:val="auto"/>
                <w:szCs w:val="21"/>
                <w:highlight w:val="none"/>
              </w:rPr>
              <w:t>项</w:t>
            </w:r>
            <w:r>
              <w:rPr>
                <w:rFonts w:ascii="宋体" w:hAnsi="宋体"/>
                <w:color w:val="auto"/>
                <w:szCs w:val="21"/>
                <w:highlight w:val="none"/>
              </w:rPr>
              <w:t>号</w:t>
            </w:r>
          </w:p>
        </w:tc>
        <w:tc>
          <w:tcPr>
            <w:tcW w:w="8000" w:type="dxa"/>
            <w:vAlign w:val="center"/>
          </w:tcPr>
          <w:p>
            <w:pPr>
              <w:jc w:val="center"/>
              <w:rPr>
                <w:rFonts w:ascii="宋体" w:hAnsi="宋体"/>
                <w:b/>
                <w:color w:val="auto"/>
                <w:szCs w:val="21"/>
                <w:highlight w:val="none"/>
              </w:rPr>
            </w:pPr>
            <w:r>
              <w:rPr>
                <w:rFonts w:ascii="宋体" w:hAnsi="宋体"/>
                <w:b/>
                <w:color w:val="auto"/>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088" w:type="dxa"/>
            <w:gridSpan w:val="2"/>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8000" w:type="dxa"/>
            <w:vAlign w:val="center"/>
          </w:tcPr>
          <w:p>
            <w:pPr>
              <w:rPr>
                <w:rFonts w:ascii="宋体" w:hAnsi="宋体" w:cs="宋体"/>
                <w:color w:val="auto"/>
                <w:szCs w:val="21"/>
                <w:highlight w:val="none"/>
              </w:rPr>
            </w:pPr>
            <w:r>
              <w:rPr>
                <w:rFonts w:hint="eastAsia" w:ascii="宋体" w:hAnsi="宋体" w:cs="宋体"/>
                <w:color w:val="auto"/>
                <w:szCs w:val="21"/>
                <w:highlight w:val="none"/>
              </w:rPr>
              <w:t>资金来源</w:t>
            </w:r>
            <w:r>
              <w:rPr>
                <w:rFonts w:hint="eastAsia" w:ascii="宋体" w:hAnsi="宋体"/>
                <w:color w:val="auto"/>
                <w:szCs w:val="21"/>
                <w:highlight w:val="none"/>
              </w:rPr>
              <w:t>：</w:t>
            </w:r>
            <w:r>
              <w:rPr>
                <w:rFonts w:hint="eastAsia" w:ascii="宋体" w:hAnsi="宋体" w:cs="宋体"/>
                <w:color w:val="auto"/>
                <w:szCs w:val="21"/>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88" w:type="dxa"/>
            <w:gridSpan w:val="2"/>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8000" w:type="dxa"/>
            <w:vAlign w:val="center"/>
          </w:tcPr>
          <w:p>
            <w:pPr>
              <w:adjustRightInd w:val="0"/>
              <w:snapToGrid w:val="0"/>
              <w:rPr>
                <w:rFonts w:ascii="宋体" w:hAnsi="宋体"/>
                <w:color w:val="auto"/>
                <w:szCs w:val="21"/>
                <w:highlight w:val="none"/>
              </w:rPr>
            </w:pPr>
            <w:r>
              <w:rPr>
                <w:rFonts w:hint="eastAsia" w:ascii="宋体" w:hAnsi="宋体"/>
                <w:b/>
                <w:bCs/>
                <w:color w:val="auto"/>
                <w:szCs w:val="21"/>
                <w:highlight w:val="none"/>
              </w:rPr>
              <w:t>现场考察或者召开开标前答疑会</w:t>
            </w:r>
            <w:r>
              <w:rPr>
                <w:rFonts w:hint="eastAsia" w:ascii="宋体" w:hAnsi="宋体"/>
                <w:color w:val="auto"/>
                <w:szCs w:val="21"/>
                <w:highlight w:val="none"/>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8" w:type="dxa"/>
            <w:vAlign w:val="center"/>
          </w:tcPr>
          <w:p>
            <w:pPr>
              <w:jc w:val="center"/>
              <w:rPr>
                <w:rFonts w:ascii="宋体" w:hAnsi="宋体"/>
                <w:dstrike/>
                <w:color w:val="auto"/>
                <w:szCs w:val="21"/>
                <w:highlight w:val="none"/>
                <w:em w:val="dot"/>
              </w:rPr>
            </w:pPr>
            <w:r>
              <w:rPr>
                <w:rFonts w:hint="eastAsia" w:ascii="宋体" w:hAnsi="宋体"/>
                <w:color w:val="auto"/>
                <w:szCs w:val="21"/>
                <w:highlight w:val="none"/>
              </w:rPr>
              <w:t>12.2.1</w:t>
            </w:r>
          </w:p>
        </w:tc>
        <w:tc>
          <w:tcPr>
            <w:tcW w:w="8000" w:type="dxa"/>
            <w:vAlign w:val="center"/>
          </w:tcPr>
          <w:p>
            <w:pPr>
              <w:adjustRightInd w:val="0"/>
              <w:snapToGrid w:val="0"/>
              <w:ind w:left="210" w:hanging="210"/>
              <w:rPr>
                <w:rFonts w:ascii="宋体" w:hAnsi="宋体"/>
                <w:color w:val="auto"/>
                <w:szCs w:val="21"/>
                <w:highlight w:val="none"/>
              </w:rPr>
            </w:pPr>
            <w:r>
              <w:rPr>
                <w:rFonts w:hint="eastAsia" w:ascii="宋体" w:hAnsi="宋体"/>
                <w:color w:val="auto"/>
                <w:szCs w:val="21"/>
                <w:highlight w:val="none"/>
              </w:rPr>
              <w:t>（境外货物）</w:t>
            </w:r>
            <w:r>
              <w:rPr>
                <w:rFonts w:hint="eastAsia" w:ascii="宋体" w:hAnsi="宋体" w:cs="宋体"/>
                <w:color w:val="auto"/>
                <w:szCs w:val="21"/>
                <w:highlight w:val="none"/>
                <w:lang w:val="zh-CN"/>
              </w:rPr>
              <w:t>进口环节关税和增值税：无。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8000" w:type="dxa"/>
            <w:vAlign w:val="center"/>
          </w:tcPr>
          <w:p>
            <w:pPr>
              <w:rPr>
                <w:rFonts w:ascii="宋体" w:hAnsi="宋体"/>
                <w:color w:val="auto"/>
                <w:szCs w:val="21"/>
                <w:highlight w:val="none"/>
              </w:rPr>
            </w:pPr>
            <w:r>
              <w:rPr>
                <w:rFonts w:ascii="宋体" w:hAnsi="宋体"/>
                <w:color w:val="auto"/>
                <w:szCs w:val="21"/>
                <w:highlight w:val="none"/>
              </w:rPr>
              <w:t>投标有效期：90天</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p>
        </w:tc>
        <w:tc>
          <w:tcPr>
            <w:tcW w:w="8000" w:type="dxa"/>
            <w:vAlign w:val="center"/>
          </w:tcPr>
          <w:p>
            <w:pPr>
              <w:rPr>
                <w:rFonts w:ascii="宋体" w:hAnsi="宋体"/>
                <w:color w:val="auto"/>
                <w:szCs w:val="21"/>
                <w:highlight w:val="none"/>
              </w:rPr>
            </w:pPr>
            <w:r>
              <w:rPr>
                <w:rFonts w:ascii="宋体" w:hAnsi="宋体"/>
                <w:color w:val="auto"/>
                <w:szCs w:val="21"/>
                <w:highlight w:val="none"/>
              </w:rPr>
              <w:t>投标文件份数：正本一份，副本</w:t>
            </w:r>
            <w:r>
              <w:rPr>
                <w:rFonts w:hint="eastAsia" w:ascii="宋体" w:hAnsi="宋体"/>
                <w:color w:val="auto"/>
                <w:szCs w:val="21"/>
                <w:highlight w:val="none"/>
              </w:rPr>
              <w:t>四</w:t>
            </w:r>
            <w:r>
              <w:rPr>
                <w:rFonts w:ascii="宋体" w:hAnsi="宋体"/>
                <w:color w:val="auto"/>
                <w:szCs w:val="21"/>
                <w:highlight w:val="none"/>
              </w:rPr>
              <w:t>份，电子文件</w:t>
            </w:r>
            <w:r>
              <w:rPr>
                <w:rFonts w:hint="eastAsia" w:ascii="宋体" w:hAnsi="宋体"/>
                <w:color w:val="auto"/>
                <w:szCs w:val="21"/>
                <w:highlight w:val="none"/>
              </w:rPr>
              <w:t>一</w:t>
            </w:r>
            <w:r>
              <w:rPr>
                <w:rFonts w:ascii="宋体" w:hAnsi="宋体"/>
                <w:color w:val="auto"/>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2.1.3</w:t>
            </w:r>
          </w:p>
        </w:tc>
        <w:tc>
          <w:tcPr>
            <w:tcW w:w="8000" w:type="dxa"/>
            <w:vAlign w:val="center"/>
          </w:tcPr>
          <w:p>
            <w:pPr>
              <w:rPr>
                <w:rFonts w:ascii="宋体" w:hAnsi="宋体" w:cs="宋体"/>
                <w:color w:val="auto"/>
                <w:szCs w:val="21"/>
                <w:highlight w:val="none"/>
              </w:rPr>
            </w:pPr>
            <w:r>
              <w:rPr>
                <w:rFonts w:hint="eastAsia" w:ascii="宋体" w:hAnsi="宋体" w:cs="宋体"/>
                <w:color w:val="auto"/>
                <w:szCs w:val="21"/>
                <w:highlight w:val="none"/>
              </w:rPr>
              <w:t>质疑函接收的方式：</w:t>
            </w:r>
          </w:p>
          <w:p>
            <w:pPr>
              <w:rPr>
                <w:rFonts w:ascii="宋体" w:hAnsi="宋体"/>
                <w:color w:val="auto"/>
                <w:szCs w:val="21"/>
                <w:highlight w:val="none"/>
              </w:rPr>
            </w:pPr>
            <w:r>
              <w:rPr>
                <w:rFonts w:hint="eastAsia" w:ascii="宋体" w:hAnsi="宋体" w:cs="宋体"/>
                <w:bCs/>
                <w:color w:val="auto"/>
                <w:szCs w:val="20"/>
                <w:highlight w:val="none"/>
                <w:lang w:eastAsia="zh-CN"/>
              </w:rPr>
              <w:t>2025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05</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23</w:t>
            </w:r>
            <w:r>
              <w:rPr>
                <w:rFonts w:hint="eastAsia" w:ascii="宋体" w:hAnsi="宋体" w:cs="宋体"/>
                <w:bCs/>
                <w:color w:val="auto"/>
                <w:szCs w:val="20"/>
                <w:highlight w:val="none"/>
              </w:rPr>
              <w:t>日</w:t>
            </w:r>
            <w:r>
              <w:rPr>
                <w:rFonts w:hint="eastAsia" w:ascii="宋体" w:hAnsi="宋体"/>
                <w:color w:val="auto"/>
                <w:szCs w:val="21"/>
                <w:highlight w:val="none"/>
              </w:rPr>
              <w:t>上午12:00前，凡对招标文件的疑问（包括认为招标文件的技术指标或参数存在排他性或歧视性条款），投标人须以书面形式加盖单位公章送达我街道办，逾期不予受理。我街道将通过官网公告的形式发布答疑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26.1</w:t>
            </w:r>
          </w:p>
        </w:tc>
        <w:tc>
          <w:tcPr>
            <w:tcW w:w="8000" w:type="dxa"/>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履约保证金：无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8000" w:type="dxa"/>
            <w:vAlign w:val="center"/>
          </w:tcPr>
          <w:p>
            <w:pPr>
              <w:rPr>
                <w:rFonts w:ascii="宋体" w:hAnsi="宋体"/>
                <w:color w:val="auto"/>
                <w:szCs w:val="21"/>
                <w:highlight w:val="none"/>
              </w:rPr>
            </w:pPr>
            <w:r>
              <w:rPr>
                <w:rFonts w:hint="eastAsia" w:ascii="宋体" w:hAnsi="宋体"/>
                <w:bCs/>
                <w:color w:val="auto"/>
                <w:highlight w:val="none"/>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8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8000" w:type="dxa"/>
            <w:vAlign w:val="center"/>
          </w:tcPr>
          <w:p>
            <w:pPr>
              <w:autoSpaceDE w:val="0"/>
              <w:autoSpaceDN w:val="0"/>
              <w:adjustRightInd w:val="0"/>
              <w:snapToGrid w:val="0"/>
              <w:rPr>
                <w:rFonts w:ascii="宋体" w:hAnsi="宋体"/>
                <w:color w:val="auto"/>
                <w:kern w:val="0"/>
                <w:sz w:val="24"/>
                <w:highlight w:val="none"/>
              </w:rPr>
            </w:pPr>
            <w:r>
              <w:rPr>
                <w:rFonts w:hint="eastAsia" w:ascii="宋体" w:hAnsi="宋体" w:cs="宋体"/>
                <w:bCs/>
                <w:color w:val="auto"/>
                <w:szCs w:val="20"/>
                <w:highlight w:val="none"/>
              </w:rPr>
              <w:t>采购代理服务费：招标代理机构向</w:t>
            </w:r>
            <w:r>
              <w:rPr>
                <w:rFonts w:hint="eastAsia" w:ascii="宋体" w:hAnsi="宋体" w:cs="宋体"/>
                <w:bCs/>
                <w:color w:val="auto"/>
                <w:szCs w:val="20"/>
                <w:highlight w:val="none"/>
                <w:lang w:val="en-US" w:eastAsia="zh-CN"/>
              </w:rPr>
              <w:t>中标</w:t>
            </w:r>
            <w:r>
              <w:rPr>
                <w:rFonts w:hint="eastAsia" w:ascii="宋体" w:hAnsi="宋体" w:cs="宋体"/>
                <w:bCs/>
                <w:color w:val="auto"/>
                <w:szCs w:val="20"/>
                <w:highlight w:val="none"/>
              </w:rPr>
              <w:t>人收取招标代理服务费，金额为人民币5000.00元</w:t>
            </w:r>
            <w:r>
              <w:rPr>
                <w:rFonts w:hint="eastAsia" w:ascii="宋体" w:hAnsi="宋体"/>
                <w:color w:val="auto"/>
                <w:szCs w:val="21"/>
                <w:highlight w:val="none"/>
              </w:rPr>
              <w:t>。</w:t>
            </w:r>
          </w:p>
        </w:tc>
      </w:tr>
    </w:tbl>
    <w:p>
      <w:pPr>
        <w:rPr>
          <w:rStyle w:val="45"/>
          <w:rFonts w:asciiTheme="minorHAnsi" w:hAnsiTheme="minorHAnsi" w:eastAsiaTheme="minorEastAsia" w:cstheme="minorBidi"/>
          <w:color w:val="auto"/>
          <w:highlight w:val="none"/>
        </w:rPr>
      </w:pPr>
      <w:r>
        <w:rPr>
          <w:color w:val="auto"/>
          <w:highlight w:val="none"/>
        </w:rPr>
        <w:br w:type="page"/>
      </w:r>
      <w:bookmarkStart w:id="14" w:name="_Toc435514849"/>
      <w:bookmarkStart w:id="15" w:name="_Toc435115054"/>
      <w:bookmarkStart w:id="16" w:name="_Toc8307303"/>
      <w:bookmarkStart w:id="17" w:name="_Toc8307302"/>
    </w:p>
    <w:p>
      <w:pPr>
        <w:rPr>
          <w:rStyle w:val="45"/>
          <w:rFonts w:asciiTheme="minorHAnsi" w:hAnsiTheme="minorHAnsi" w:eastAsiaTheme="minorEastAsia" w:cstheme="minorBidi"/>
          <w:color w:val="auto"/>
          <w:highlight w:val="none"/>
        </w:rPr>
      </w:pPr>
    </w:p>
    <w:p>
      <w:pPr>
        <w:pStyle w:val="4"/>
        <w:jc w:val="center"/>
        <w:rPr>
          <w:rFonts w:asciiTheme="majorEastAsia" w:hAnsiTheme="majorEastAsia" w:eastAsiaTheme="majorEastAsia" w:cstheme="majorEastAsia"/>
          <w:color w:val="auto"/>
          <w:sz w:val="32"/>
          <w:szCs w:val="32"/>
          <w:highlight w:val="none"/>
        </w:rPr>
      </w:pPr>
      <w:bookmarkStart w:id="18" w:name="_Toc22038"/>
      <w:bookmarkStart w:id="19" w:name="_Toc5416"/>
      <w:bookmarkStart w:id="20" w:name="_Toc13175"/>
      <w:bookmarkStart w:id="21" w:name="_Toc24913_WPSOffice_Level1"/>
      <w:r>
        <w:rPr>
          <w:rFonts w:hint="eastAsia" w:asciiTheme="majorEastAsia" w:hAnsiTheme="majorEastAsia" w:eastAsiaTheme="majorEastAsia" w:cstheme="majorEastAsia"/>
          <w:color w:val="auto"/>
          <w:sz w:val="32"/>
          <w:szCs w:val="32"/>
          <w:highlight w:val="none"/>
        </w:rPr>
        <w:t>第三章 用户需求书</w:t>
      </w:r>
      <w:bookmarkEnd w:id="14"/>
      <w:bookmarkEnd w:id="15"/>
      <w:bookmarkEnd w:id="16"/>
      <w:bookmarkEnd w:id="18"/>
      <w:bookmarkEnd w:id="19"/>
      <w:bookmarkEnd w:id="20"/>
      <w:bookmarkEnd w:id="21"/>
    </w:p>
    <w:p>
      <w:pPr>
        <w:snapToGrid w:val="0"/>
        <w:spacing w:line="360" w:lineRule="auto"/>
        <w:rPr>
          <w:rFonts w:ascii="宋体"/>
          <w:b/>
          <w:bCs/>
          <w:color w:val="auto"/>
          <w:szCs w:val="20"/>
          <w:highlight w:val="none"/>
        </w:rPr>
      </w:pPr>
      <w:r>
        <w:rPr>
          <w:rFonts w:hint="eastAsia" w:ascii="宋体"/>
          <w:b/>
          <w:bCs/>
          <w:color w:val="auto"/>
          <w:szCs w:val="20"/>
          <w:highlight w:val="none"/>
        </w:rPr>
        <w:t>说明：</w:t>
      </w:r>
    </w:p>
    <w:p>
      <w:pPr>
        <w:numPr>
          <w:ilvl w:val="0"/>
          <w:numId w:val="1"/>
        </w:numPr>
        <w:snapToGrid w:val="0"/>
        <w:spacing w:line="360" w:lineRule="auto"/>
        <w:ind w:left="422" w:hanging="422" w:hangingChars="200"/>
        <w:rPr>
          <w:rFonts w:ascii="宋体"/>
          <w:b/>
          <w:bCs/>
          <w:color w:val="auto"/>
          <w:szCs w:val="20"/>
          <w:highlight w:val="none"/>
        </w:rPr>
      </w:pPr>
      <w:r>
        <w:rPr>
          <w:rFonts w:hint="eastAsia" w:ascii="宋体"/>
          <w:b/>
          <w:bCs/>
          <w:color w:val="auto"/>
          <w:szCs w:val="20"/>
          <w:highlight w:val="none"/>
        </w:rPr>
        <w:t>投标人须对本项目的</w:t>
      </w:r>
      <w:r>
        <w:rPr>
          <w:rFonts w:hint="eastAsia" w:asciiTheme="minorEastAsia" w:hAnsiTheme="minorEastAsia" w:eastAsiaTheme="minorEastAsia"/>
          <w:b/>
          <w:bCs/>
          <w:color w:val="auto"/>
          <w:szCs w:val="21"/>
          <w:highlight w:val="none"/>
        </w:rPr>
        <w:t>采购标的或服务内容</w:t>
      </w:r>
      <w:r>
        <w:rPr>
          <w:rFonts w:hint="eastAsia" w:ascii="宋体"/>
          <w:b/>
          <w:bCs/>
          <w:color w:val="auto"/>
          <w:szCs w:val="20"/>
          <w:highlight w:val="none"/>
        </w:rPr>
        <w:t>进行整体响应，任何只对</w:t>
      </w:r>
      <w:r>
        <w:rPr>
          <w:rFonts w:hint="eastAsia" w:asciiTheme="minorEastAsia" w:hAnsiTheme="minorEastAsia" w:eastAsiaTheme="minorEastAsia"/>
          <w:b/>
          <w:bCs/>
          <w:color w:val="auto"/>
          <w:szCs w:val="21"/>
          <w:highlight w:val="none"/>
        </w:rPr>
        <w:t>采购标的或服务内容</w:t>
      </w:r>
      <w:r>
        <w:rPr>
          <w:rFonts w:hint="eastAsia" w:ascii="宋体"/>
          <w:b/>
          <w:bCs/>
          <w:color w:val="auto"/>
          <w:szCs w:val="20"/>
          <w:highlight w:val="none"/>
        </w:rPr>
        <w:t>其中一部分内容进行的响应都被视为无效投标。</w:t>
      </w:r>
    </w:p>
    <w:p>
      <w:pPr>
        <w:numPr>
          <w:ilvl w:val="0"/>
          <w:numId w:val="1"/>
        </w:numPr>
        <w:snapToGrid w:val="0"/>
        <w:spacing w:line="360" w:lineRule="auto"/>
        <w:ind w:left="422" w:hanging="422" w:hanging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用户需求书中打</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号条款为实质性条款，有任何一条负偏离则导致无效投标。（如有）</w:t>
      </w:r>
    </w:p>
    <w:p>
      <w:pPr>
        <w:numPr>
          <w:ilvl w:val="0"/>
          <w:numId w:val="1"/>
        </w:numPr>
        <w:snapToGrid w:val="0"/>
        <w:spacing w:line="360" w:lineRule="auto"/>
        <w:ind w:left="422" w:hanging="422" w:hangingChars="200"/>
        <w:rPr>
          <w:rFonts w:ascii="宋体"/>
          <w:b/>
          <w:bCs/>
          <w:color w:val="auto"/>
          <w:szCs w:val="20"/>
          <w:highlight w:val="none"/>
        </w:rPr>
      </w:pPr>
      <w:r>
        <w:rPr>
          <w:rFonts w:hint="eastAsia" w:ascii="宋体"/>
          <w:b/>
          <w:bCs/>
          <w:color w:val="auto"/>
          <w:szCs w:val="20"/>
          <w:highlight w:val="none"/>
        </w:rPr>
        <w:t>用户需求书中打</w:t>
      </w:r>
      <w:r>
        <w:rPr>
          <w:rFonts w:ascii="宋体"/>
          <w:b/>
          <w:bCs/>
          <w:color w:val="auto"/>
          <w:szCs w:val="20"/>
          <w:highlight w:val="none"/>
        </w:rPr>
        <w:t>“</w:t>
      </w:r>
      <w:r>
        <w:rPr>
          <w:rFonts w:hint="eastAsia" w:ascii="宋体"/>
          <w:b/>
          <w:bCs/>
          <w:color w:val="auto"/>
          <w:szCs w:val="20"/>
          <w:highlight w:val="none"/>
        </w:rPr>
        <w:t>▲</w:t>
      </w:r>
      <w:r>
        <w:rPr>
          <w:rFonts w:ascii="宋体"/>
          <w:b/>
          <w:bCs/>
          <w:color w:val="auto"/>
          <w:szCs w:val="20"/>
          <w:highlight w:val="none"/>
        </w:rPr>
        <w:t>”</w:t>
      </w:r>
      <w:r>
        <w:rPr>
          <w:rFonts w:hint="eastAsia" w:ascii="宋体"/>
          <w:b/>
          <w:bCs/>
          <w:color w:val="auto"/>
          <w:szCs w:val="20"/>
          <w:highlight w:val="none"/>
        </w:rPr>
        <w:t>号条款为重要技术参数，但不作为无效投标条款。</w:t>
      </w:r>
      <w:r>
        <w:rPr>
          <w:rFonts w:hint="eastAsia" w:asciiTheme="minorEastAsia" w:hAnsiTheme="minorEastAsia" w:eastAsiaTheme="minorEastAsia"/>
          <w:b/>
          <w:bCs/>
          <w:color w:val="auto"/>
          <w:szCs w:val="21"/>
          <w:highlight w:val="none"/>
        </w:rPr>
        <w:t>（如有）</w:t>
      </w:r>
    </w:p>
    <w:p>
      <w:pPr>
        <w:pStyle w:val="113"/>
        <w:numPr>
          <w:ilvl w:val="0"/>
          <w:numId w:val="1"/>
        </w:numPr>
        <w:spacing w:line="400" w:lineRule="exact"/>
        <w:ind w:firstLineChars="0"/>
        <w:rPr>
          <w:b/>
          <w:color w:val="auto"/>
          <w:szCs w:val="21"/>
          <w:highlight w:val="none"/>
        </w:rPr>
      </w:pPr>
      <w:r>
        <w:rPr>
          <w:rFonts w:hint="eastAsia"/>
          <w:b/>
          <w:color w:val="auto"/>
          <w:highlight w:val="none"/>
        </w:rPr>
        <w:t>招标技术要求中，用红色字体标注的条款为要求提供证明资料的条款，其余为未要求提供证明资料的条款，无需提供相关证明资料。</w:t>
      </w:r>
      <w:r>
        <w:rPr>
          <w:rFonts w:hint="eastAsia" w:asciiTheme="minorEastAsia" w:hAnsiTheme="minorEastAsia" w:eastAsiaTheme="minorEastAsia"/>
          <w:b/>
          <w:bCs/>
          <w:color w:val="auto"/>
          <w:szCs w:val="21"/>
          <w:highlight w:val="none"/>
        </w:rPr>
        <w:t>（如有）</w:t>
      </w:r>
    </w:p>
    <w:p>
      <w:pPr>
        <w:pStyle w:val="113"/>
        <w:numPr>
          <w:ilvl w:val="0"/>
          <w:numId w:val="1"/>
        </w:numPr>
        <w:spacing w:line="400" w:lineRule="exact"/>
        <w:ind w:firstLineChars="0"/>
        <w:rPr>
          <w:color w:val="auto"/>
          <w:highlight w:val="none"/>
        </w:rPr>
      </w:pPr>
      <w:r>
        <w:rPr>
          <w:rFonts w:hint="eastAsia"/>
          <w:b/>
          <w:color w:val="auto"/>
          <w:highlight w:val="none"/>
        </w:rPr>
        <w:t>说明：投标人须如实填写《技术规格偏离表》，并按招标文件的要求提供相关证明资料。提供的证明资料与投标响应情况不相符的，视为《技术规格偏离表》填写不实，按负偏离扣分处理。</w:t>
      </w:r>
      <w:r>
        <w:rPr>
          <w:rFonts w:hint="eastAsia" w:asciiTheme="minorEastAsia" w:hAnsiTheme="minorEastAsia" w:eastAsiaTheme="minorEastAsia"/>
          <w:b/>
          <w:bCs/>
          <w:color w:val="auto"/>
          <w:szCs w:val="21"/>
          <w:highlight w:val="none"/>
        </w:rPr>
        <w:t>（如有）</w:t>
      </w:r>
    </w:p>
    <w:p>
      <w:pPr>
        <w:pStyle w:val="21"/>
        <w:numPr>
          <w:ilvl w:val="0"/>
          <w:numId w:val="0"/>
        </w:numPr>
        <w:tabs>
          <w:tab w:val="left" w:pos="540"/>
        </w:tabs>
        <w:adjustRightInd w:val="0"/>
        <w:snapToGrid w:val="0"/>
        <w:spacing w:line="360" w:lineRule="auto"/>
        <w:ind w:left="420" w:leftChars="0" w:hanging="420" w:firstLineChars="0"/>
        <w:rPr>
          <w:rFonts w:hAnsi="宋体"/>
          <w:b/>
          <w:color w:val="auto"/>
          <w:highlight w:val="none"/>
        </w:rPr>
      </w:pPr>
      <w:r>
        <w:rPr>
          <w:rFonts w:ascii="宋体" w:hAnsi="宋体" w:eastAsia="宋体" w:cs="Courier New"/>
          <w:b/>
          <w:color w:val="auto"/>
          <w:kern w:val="2"/>
          <w:sz w:val="21"/>
          <w:szCs w:val="21"/>
          <w:lang w:val="en-US" w:eastAsia="zh-CN" w:bidi="ar-SA"/>
        </w:rPr>
        <w:t>一、</w:t>
      </w:r>
      <w:r>
        <w:rPr>
          <w:rFonts w:hint="eastAsia"/>
          <w:b/>
          <w:color w:val="auto"/>
          <w:szCs w:val="20"/>
          <w:highlight w:val="none"/>
        </w:rPr>
        <w:t>项目背景：</w:t>
      </w:r>
    </w:p>
    <w:p>
      <w:pPr>
        <w:pStyle w:val="21"/>
        <w:adjustRightInd w:val="0"/>
        <w:snapToGrid w:val="0"/>
        <w:spacing w:line="360" w:lineRule="auto"/>
        <w:ind w:firstLine="420" w:firstLineChars="200"/>
        <w:rPr>
          <w:rFonts w:hint="eastAsia" w:cs="宋体" w:asciiTheme="minorEastAsia" w:hAnsiTheme="minorEastAsia"/>
          <w:color w:val="0000FF"/>
          <w:kern w:val="2"/>
          <w:sz w:val="21"/>
          <w:szCs w:val="21"/>
          <w:highlight w:val="none"/>
          <w:lang w:val="en-US" w:eastAsia="zh-CN" w:bidi="ar-SA"/>
        </w:rPr>
      </w:pPr>
      <w:r>
        <w:rPr>
          <w:rFonts w:hint="eastAsia" w:cs="宋体" w:asciiTheme="minorEastAsia" w:hAnsiTheme="minorEastAsia"/>
          <w:color w:val="0000FF"/>
          <w:kern w:val="2"/>
          <w:sz w:val="21"/>
          <w:szCs w:val="21"/>
          <w:highlight w:val="none"/>
          <w:lang w:val="en-US" w:eastAsia="zh-CN" w:bidi="ar-SA"/>
        </w:rPr>
        <w:t>光华街小区位于深圳市南山区沙河路光华街，北邻海景花园和华侨城东组团住宅区，南邻深南大道，西邻光侨街小区，东邻汕头街和龙光总部中心，1983年建成，总用地面积约87534平方米，总建筑面积约61248平方米，共23栋楼。纳入本次改造的建筑面积约44411平方米，共15栋楼。</w:t>
      </w:r>
    </w:p>
    <w:p>
      <w:pPr>
        <w:pStyle w:val="21"/>
        <w:adjustRightInd w:val="0"/>
        <w:snapToGrid w:val="0"/>
        <w:spacing w:line="360" w:lineRule="auto"/>
        <w:ind w:firstLine="420" w:firstLineChars="200"/>
        <w:rPr>
          <w:rFonts w:hint="eastAsia" w:cs="宋体" w:asciiTheme="minorEastAsia" w:hAnsiTheme="minorEastAsia"/>
          <w:color w:val="0000FF"/>
          <w:kern w:val="2"/>
          <w:sz w:val="21"/>
          <w:szCs w:val="21"/>
          <w:highlight w:val="none"/>
          <w:lang w:val="en-US" w:eastAsia="zh-CN" w:bidi="ar-SA"/>
        </w:rPr>
      </w:pPr>
      <w:r>
        <w:rPr>
          <w:rFonts w:hint="eastAsia" w:cs="宋体" w:asciiTheme="minorEastAsia" w:hAnsiTheme="minorEastAsia"/>
          <w:color w:val="0000FF"/>
          <w:kern w:val="2"/>
          <w:sz w:val="21"/>
          <w:szCs w:val="21"/>
          <w:highlight w:val="none"/>
          <w:lang w:val="en-US" w:eastAsia="zh-CN" w:bidi="ar-SA"/>
        </w:rPr>
        <w:t>光侨街小区位于深圳市南山区沙河路光侨街15号，北邻南山外国语学校(集团)华侨城小学和深圳市南山华侨城体育场，南邻深南大道，西邻湖滨花园，东邻光华街小区，1985年建成，总用地面积87543平方米总建筑面积45935平方米，共18栋楼。</w:t>
      </w:r>
    </w:p>
    <w:p>
      <w:pPr>
        <w:pStyle w:val="21"/>
        <w:adjustRightInd w:val="0"/>
        <w:snapToGrid w:val="0"/>
        <w:spacing w:line="360" w:lineRule="auto"/>
        <w:ind w:firstLine="420" w:firstLineChars="200"/>
        <w:rPr>
          <w:rFonts w:hint="eastAsia" w:cs="宋体" w:asciiTheme="minorEastAsia" w:hAnsiTheme="minorEastAsia"/>
          <w:color w:val="0000FF"/>
          <w:kern w:val="2"/>
          <w:sz w:val="21"/>
          <w:szCs w:val="21"/>
          <w:highlight w:val="none"/>
          <w:lang w:val="en-US" w:eastAsia="zh-CN" w:bidi="ar-SA"/>
        </w:rPr>
      </w:pPr>
      <w:r>
        <w:rPr>
          <w:rFonts w:hint="eastAsia" w:cs="宋体" w:asciiTheme="minorEastAsia" w:hAnsiTheme="minorEastAsia"/>
          <w:color w:val="0000FF"/>
          <w:kern w:val="2"/>
          <w:sz w:val="21"/>
          <w:szCs w:val="21"/>
          <w:highlight w:val="none"/>
          <w:lang w:val="en-US" w:eastAsia="zh-CN" w:bidi="ar-SA"/>
        </w:rPr>
        <w:t>改造内容主要包括:楼道整修、屋面整修、道路整治、给排水设施改造、建筑外饰面改造、标识系统改造等。</w:t>
      </w:r>
    </w:p>
    <w:p>
      <w:pPr>
        <w:pStyle w:val="21"/>
        <w:numPr>
          <w:ilvl w:val="0"/>
          <w:numId w:val="0"/>
        </w:numPr>
        <w:tabs>
          <w:tab w:val="left" w:pos="540"/>
        </w:tabs>
        <w:adjustRightInd w:val="0"/>
        <w:snapToGrid w:val="0"/>
        <w:spacing w:line="360" w:lineRule="auto"/>
        <w:ind w:left="420" w:leftChars="0" w:hanging="420" w:firstLineChars="0"/>
        <w:rPr>
          <w:rFonts w:hAnsi="宋体"/>
          <w:b/>
          <w:bCs/>
          <w:color w:val="auto"/>
          <w:highlight w:val="none"/>
        </w:rPr>
      </w:pPr>
      <w:r>
        <w:rPr>
          <w:rFonts w:ascii="宋体" w:hAnsi="宋体" w:eastAsia="宋体" w:cs="Courier New"/>
          <w:b/>
          <w:bCs/>
          <w:color w:val="auto"/>
          <w:kern w:val="2"/>
          <w:sz w:val="21"/>
          <w:szCs w:val="21"/>
          <w:lang w:val="en-US" w:eastAsia="zh-CN" w:bidi="ar-SA"/>
        </w:rPr>
        <w:t>二、</w:t>
      </w:r>
      <w:r>
        <w:rPr>
          <w:rFonts w:hint="eastAsia" w:cs="宋体" w:asciiTheme="minorEastAsia" w:hAnsiTheme="minorEastAsia"/>
          <w:b/>
          <w:bCs/>
          <w:color w:val="auto"/>
          <w:highlight w:val="none"/>
        </w:rPr>
        <w:t>项目概况</w:t>
      </w:r>
    </w:p>
    <w:p>
      <w:pPr>
        <w:spacing w:after="156" w:afterLines="50" w:line="360" w:lineRule="auto"/>
        <w:ind w:firstLine="420" w:firstLineChars="200"/>
        <w:rPr>
          <w:rFonts w:hint="eastAsia" w:cs="宋体" w:asciiTheme="minorEastAsia" w:hAnsiTheme="minorEastAsia" w:eastAsiaTheme="minorEastAsia"/>
          <w:color w:val="0000FF"/>
          <w:kern w:val="2"/>
          <w:sz w:val="21"/>
          <w:szCs w:val="21"/>
          <w:highlight w:val="none"/>
          <w:lang w:val="en-US" w:eastAsia="zh-CN" w:bidi="ar-SA"/>
        </w:rPr>
      </w:pPr>
      <w:r>
        <w:rPr>
          <w:rFonts w:hint="eastAsia" w:cs="宋体" w:asciiTheme="minorEastAsia" w:hAnsiTheme="minorEastAsia" w:eastAsiaTheme="minorEastAsia"/>
          <w:color w:val="0000FF"/>
          <w:szCs w:val="21"/>
          <w:highlight w:val="none"/>
        </w:rPr>
        <w:t>本工程</w:t>
      </w:r>
      <w:r>
        <w:rPr>
          <w:rFonts w:hint="eastAsia" w:cs="宋体" w:asciiTheme="minorEastAsia" w:hAnsiTheme="minorEastAsia" w:eastAsiaTheme="minorEastAsia"/>
          <w:color w:val="0000FF"/>
          <w:szCs w:val="21"/>
          <w:highlight w:val="none"/>
          <w:lang w:val="en-US" w:eastAsia="zh-CN"/>
        </w:rPr>
        <w:t>项目</w:t>
      </w:r>
      <w:r>
        <w:rPr>
          <w:rFonts w:hint="eastAsia" w:cs="宋体" w:asciiTheme="minorEastAsia" w:hAnsiTheme="minorEastAsia" w:eastAsiaTheme="minorEastAsia"/>
          <w:color w:val="0000FF"/>
          <w:kern w:val="2"/>
          <w:sz w:val="21"/>
          <w:szCs w:val="21"/>
          <w:highlight w:val="none"/>
          <w:lang w:val="en-US" w:eastAsia="zh-CN" w:bidi="ar-SA"/>
        </w:rPr>
        <w:t>改造内容主要包括:楼道整修、屋面整修、道路整治、给排水设施改造、建筑外饰面改造、标识系统改造等。</w:t>
      </w:r>
    </w:p>
    <w:p>
      <w:pPr>
        <w:pStyle w:val="21"/>
        <w:numPr>
          <w:ilvl w:val="0"/>
          <w:numId w:val="0"/>
        </w:numPr>
        <w:tabs>
          <w:tab w:val="left" w:pos="540"/>
        </w:tabs>
        <w:adjustRightInd w:val="0"/>
        <w:snapToGrid w:val="0"/>
        <w:spacing w:line="360" w:lineRule="auto"/>
        <w:ind w:left="420" w:leftChars="0" w:hanging="420" w:firstLineChars="0"/>
        <w:rPr>
          <w:rFonts w:hint="default" w:eastAsia="宋体" w:cs="宋体" w:asciiTheme="minorEastAsia" w:hAnsiTheme="minorEastAsia"/>
          <w:color w:val="auto"/>
          <w:highlight w:val="none"/>
          <w:lang w:val="en-US" w:eastAsia="zh-CN"/>
        </w:rPr>
      </w:pPr>
      <w:r>
        <w:rPr>
          <w:rFonts w:ascii="宋体" w:hAnsi="宋体" w:eastAsia="宋体" w:cs="Courier New"/>
          <w:color w:val="auto"/>
          <w:kern w:val="2"/>
          <w:sz w:val="21"/>
          <w:szCs w:val="21"/>
          <w:lang w:val="en-US" w:eastAsia="zh-CN" w:bidi="ar-SA"/>
        </w:rPr>
        <w:t>三、</w:t>
      </w:r>
      <w:r>
        <w:rPr>
          <w:rFonts w:hint="eastAsia" w:eastAsia="宋体" w:cs="宋体" w:asciiTheme="minorEastAsia" w:hAnsiTheme="minorEastAsia"/>
          <w:b/>
          <w:bCs/>
          <w:color w:val="auto"/>
          <w:highlight w:val="none"/>
          <w:lang w:val="en-US" w:eastAsia="zh-CN"/>
        </w:rPr>
        <w:t>服务范围</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cs="宋体" w:asciiTheme="minorEastAsia" w:hAnsiTheme="minorEastAsia" w:eastAsiaTheme="minorEastAsia"/>
          <w:color w:val="0000FF"/>
          <w:szCs w:val="21"/>
          <w:highlight w:val="none"/>
        </w:rPr>
      </w:pPr>
      <w:bookmarkStart w:id="22" w:name="_Toc28953521"/>
      <w:r>
        <w:rPr>
          <w:rFonts w:hint="eastAsia" w:cs="宋体" w:asciiTheme="minorEastAsia" w:hAnsiTheme="minorEastAsia" w:eastAsiaTheme="minorEastAsia"/>
          <w:color w:val="0000FF"/>
          <w:szCs w:val="21"/>
          <w:highlight w:val="none"/>
          <w:lang w:val="en-US" w:eastAsia="zh-CN"/>
        </w:rPr>
        <w:t>本次</w:t>
      </w:r>
      <w:r>
        <w:rPr>
          <w:rFonts w:hint="eastAsia" w:cs="宋体" w:asciiTheme="minorEastAsia" w:hAnsiTheme="minorEastAsia" w:eastAsiaTheme="minorEastAsia"/>
          <w:color w:val="0000FF"/>
          <w:szCs w:val="21"/>
          <w:highlight w:val="none"/>
        </w:rPr>
        <w:t>招标范围包括但不限于：</w:t>
      </w:r>
    </w:p>
    <w:p>
      <w:pPr>
        <w:pStyle w:val="21"/>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cs="宋体" w:asciiTheme="minorEastAsia" w:hAnsiTheme="minorEastAsia" w:eastAsiaTheme="minorEastAsia"/>
          <w:color w:val="0000FF"/>
          <w:szCs w:val="21"/>
          <w:highlight w:val="none"/>
        </w:rPr>
      </w:pPr>
      <w:r>
        <w:rPr>
          <w:rFonts w:hint="eastAsia" w:cs="宋体" w:asciiTheme="minorEastAsia" w:hAnsiTheme="minorEastAsia" w:eastAsiaTheme="minorEastAsia"/>
          <w:color w:val="0000FF"/>
          <w:szCs w:val="21"/>
          <w:highlight w:val="none"/>
        </w:rPr>
        <w:t>方案设计、初步设计及概算编制、施工图设计及配合预算编制（需确保相关成果文件通过相关审查或审批）、施工现场配合、设计变更、工程竣工验收、协助竣工图编制 、竣工结（决）算（含审计）配合服务等全过程设计服务工作。具体内容以发包人认可的全部内容为准，承包单位不得拒绝执行为完成全部工程而须执行的不可或缺的工作。发包人保留调整发包范围的权利，承包人不得提出异议。</w:t>
      </w:r>
    </w:p>
    <w:p>
      <w:pPr>
        <w:pStyle w:val="21"/>
        <w:numPr>
          <w:ilvl w:val="0"/>
          <w:numId w:val="0"/>
        </w:numPr>
        <w:tabs>
          <w:tab w:val="left" w:pos="540"/>
        </w:tabs>
        <w:adjustRightInd w:val="0"/>
        <w:snapToGrid w:val="0"/>
        <w:spacing w:line="360" w:lineRule="auto"/>
        <w:ind w:left="420" w:leftChars="0" w:hanging="420" w:firstLineChars="0"/>
        <w:rPr>
          <w:rFonts w:hint="default" w:ascii="宋体" w:hAnsi="宋体" w:eastAsia="宋体" w:cs="Courier New"/>
          <w:b/>
          <w:color w:val="auto"/>
          <w:kern w:val="2"/>
          <w:sz w:val="21"/>
          <w:szCs w:val="21"/>
          <w:lang w:val="en-US" w:eastAsia="zh-CN" w:bidi="ar-SA"/>
        </w:rPr>
      </w:pPr>
      <w:r>
        <w:rPr>
          <w:rFonts w:hint="eastAsia" w:hAnsi="宋体" w:eastAsia="宋体" w:cs="Courier New"/>
          <w:b/>
          <w:color w:val="auto"/>
          <w:kern w:val="2"/>
          <w:sz w:val="21"/>
          <w:szCs w:val="21"/>
          <w:lang w:val="en-US" w:eastAsia="zh-CN" w:bidi="ar-SA"/>
        </w:rPr>
        <w:t>四</w:t>
      </w:r>
      <w:r>
        <w:rPr>
          <w:rFonts w:hint="eastAsia" w:ascii="宋体" w:hAnsi="宋体" w:eastAsia="宋体" w:cs="Courier New"/>
          <w:b/>
          <w:color w:val="auto"/>
          <w:kern w:val="2"/>
          <w:sz w:val="21"/>
          <w:szCs w:val="21"/>
          <w:lang w:val="en-US" w:eastAsia="zh-CN" w:bidi="ar-SA"/>
        </w:rPr>
        <w:t>、</w:t>
      </w:r>
      <w:r>
        <w:rPr>
          <w:rFonts w:hint="eastAsia" w:hAnsi="宋体" w:eastAsia="宋体" w:cs="Courier New"/>
          <w:b/>
          <w:color w:val="auto"/>
          <w:kern w:val="2"/>
          <w:sz w:val="21"/>
          <w:szCs w:val="21"/>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asciiTheme="minorEastAsia" w:hAnsiTheme="minorEastAsia" w:eastAsiaTheme="minorEastAsia"/>
          <w:color w:val="0000FF"/>
          <w:kern w:val="2"/>
          <w:sz w:val="21"/>
          <w:szCs w:val="21"/>
          <w:highlight w:val="none"/>
          <w:lang w:val="en-US" w:eastAsia="zh-CN" w:bidi="ar-SA"/>
        </w:rPr>
      </w:pPr>
      <w:r>
        <w:rPr>
          <w:rFonts w:hint="eastAsia" w:cs="宋体" w:asciiTheme="minorEastAsia" w:hAnsiTheme="minorEastAsia" w:eastAsiaTheme="minorEastAsia"/>
          <w:color w:val="0000FF"/>
          <w:kern w:val="2"/>
          <w:sz w:val="21"/>
          <w:szCs w:val="21"/>
          <w:highlight w:val="none"/>
          <w:lang w:val="en-US" w:eastAsia="zh-CN" w:bidi="ar-SA"/>
        </w:rPr>
        <w:t>本次招标项目投标报价按暂定价人民币91.38万元进行固定报价，该投标报价将作为中标价（合同暂定价）。未按招标文件要求报价的，做投标无效处理。</w:t>
      </w:r>
    </w:p>
    <w:p>
      <w:pPr>
        <w:pStyle w:val="21"/>
        <w:numPr>
          <w:ilvl w:val="0"/>
          <w:numId w:val="0"/>
        </w:numPr>
        <w:tabs>
          <w:tab w:val="left" w:pos="540"/>
        </w:tabs>
        <w:adjustRightInd w:val="0"/>
        <w:snapToGrid w:val="0"/>
        <w:spacing w:line="360" w:lineRule="auto"/>
        <w:ind w:left="420" w:leftChars="0" w:hanging="420" w:firstLineChars="0"/>
        <w:rPr>
          <w:rFonts w:hAnsi="宋体"/>
          <w:b/>
          <w:color w:val="auto"/>
          <w:highlight w:val="none"/>
        </w:rPr>
      </w:pPr>
      <w:r>
        <w:rPr>
          <w:rFonts w:ascii="宋体" w:hAnsi="宋体" w:eastAsia="宋体" w:cs="Courier New"/>
          <w:b/>
          <w:color w:val="auto"/>
          <w:kern w:val="2"/>
          <w:sz w:val="21"/>
          <w:szCs w:val="21"/>
          <w:lang w:val="en-US" w:eastAsia="zh-CN" w:bidi="ar-SA"/>
        </w:rPr>
        <w:t>五、</w:t>
      </w:r>
      <w:r>
        <w:rPr>
          <w:rFonts w:hint="eastAsia" w:hAnsi="宋体"/>
          <w:b/>
          <w:color w:val="auto"/>
          <w:highlight w:val="none"/>
        </w:rPr>
        <w:t>商务要求：</w:t>
      </w:r>
    </w:p>
    <w:p>
      <w:pPr>
        <w:pStyle w:val="113"/>
        <w:adjustRightInd w:val="0"/>
        <w:snapToGrid w:val="0"/>
        <w:spacing w:line="360" w:lineRule="auto"/>
        <w:ind w:firstLine="422"/>
        <w:rPr>
          <w:rFonts w:hint="eastAsia" w:ascii="宋体" w:hAnsi="宋体" w:eastAsia="宋体" w:cs="宋体"/>
          <w:b/>
          <w:color w:val="auto"/>
          <w:highlight w:val="yellow"/>
          <w:lang w:eastAsia="zh-CN"/>
        </w:rPr>
      </w:pPr>
      <w:r>
        <w:rPr>
          <w:rFonts w:hint="eastAsia" w:ascii="宋体" w:hAnsi="宋体" w:cs="宋体"/>
          <w:b/>
          <w:color w:val="auto"/>
          <w:highlight w:val="yellow"/>
          <w:lang w:val="en-US" w:eastAsia="zh-CN"/>
        </w:rPr>
        <w:t>1</w:t>
      </w:r>
      <w:r>
        <w:rPr>
          <w:rFonts w:hint="eastAsia" w:ascii="宋体" w:hAnsi="宋体" w:cs="宋体"/>
          <w:b/>
          <w:color w:val="auto"/>
          <w:highlight w:val="yellow"/>
        </w:rPr>
        <w:t>.项目</w:t>
      </w:r>
      <w:r>
        <w:rPr>
          <w:rFonts w:hint="eastAsia" w:ascii="宋体" w:hAnsi="宋体" w:cs="宋体"/>
          <w:b/>
          <w:color w:val="auto"/>
          <w:highlight w:val="yellow"/>
          <w:lang w:val="en-US" w:eastAsia="zh-CN"/>
        </w:rPr>
        <w:t>服务期限</w:t>
      </w:r>
      <w:r>
        <w:rPr>
          <w:rFonts w:hint="eastAsia" w:ascii="宋体" w:hAnsi="宋体" w:cs="宋体"/>
          <w:b/>
          <w:color w:val="auto"/>
          <w:highlight w:val="yellow"/>
        </w:rPr>
        <w:t>：自合同签订之日起</w:t>
      </w:r>
      <w:r>
        <w:rPr>
          <w:rFonts w:hint="eastAsia" w:ascii="宋体" w:hAnsi="宋体" w:cs="宋体"/>
          <w:b/>
          <w:color w:val="auto"/>
          <w:highlight w:val="yellow"/>
          <w:lang w:val="en-US" w:eastAsia="zh-CN"/>
        </w:rPr>
        <w:t xml:space="preserve"> 至项目完工</w:t>
      </w:r>
      <w:r>
        <w:rPr>
          <w:rFonts w:hint="eastAsia" w:ascii="宋体" w:hAnsi="宋体" w:cs="宋体"/>
          <w:b/>
          <w:color w:val="auto"/>
          <w:highlight w:val="yellow"/>
          <w:lang w:eastAsia="zh-CN"/>
        </w:rPr>
        <w:t>。</w:t>
      </w:r>
    </w:p>
    <w:p>
      <w:pPr>
        <w:pStyle w:val="113"/>
        <w:adjustRightInd w:val="0"/>
        <w:snapToGrid w:val="0"/>
        <w:spacing w:line="360" w:lineRule="auto"/>
        <w:ind w:firstLine="422"/>
        <w:rPr>
          <w:rFonts w:ascii="宋体" w:hAnsi="宋体" w:cs="宋体"/>
          <w:b/>
          <w:color w:val="auto"/>
          <w:highlight w:val="none"/>
        </w:rPr>
      </w:pPr>
      <w:r>
        <w:rPr>
          <w:rFonts w:hint="eastAsia" w:ascii="宋体" w:hAnsi="宋体" w:cs="宋体"/>
          <w:b/>
          <w:color w:val="auto"/>
          <w:highlight w:val="none"/>
          <w:lang w:val="en-US" w:eastAsia="zh-CN"/>
        </w:rPr>
        <w:t>2</w:t>
      </w:r>
      <w:r>
        <w:rPr>
          <w:rFonts w:hint="eastAsia" w:ascii="宋体" w:hAnsi="宋体" w:cs="宋体"/>
          <w:b/>
          <w:color w:val="auto"/>
          <w:highlight w:val="none"/>
        </w:rPr>
        <w:t>.实施地点：采购人指定地点。</w:t>
      </w:r>
    </w:p>
    <w:p>
      <w:pPr>
        <w:pStyle w:val="113"/>
        <w:adjustRightInd w:val="0"/>
        <w:snapToGrid w:val="0"/>
        <w:spacing w:line="360" w:lineRule="auto"/>
        <w:ind w:firstLine="422"/>
        <w:rPr>
          <w:rFonts w:hint="eastAsia" w:ascii="宋体" w:hAnsi="宋体" w:cs="宋体"/>
          <w:b/>
          <w:color w:val="auto"/>
          <w:highlight w:val="none"/>
        </w:rPr>
      </w:pPr>
      <w:r>
        <w:rPr>
          <w:rFonts w:hint="eastAsia" w:ascii="宋体" w:hAnsi="宋体" w:cs="宋体"/>
          <w:b/>
          <w:color w:val="auto"/>
          <w:highlight w:val="none"/>
          <w:lang w:val="en-US" w:eastAsia="zh-CN"/>
        </w:rPr>
        <w:t>3</w:t>
      </w:r>
      <w:r>
        <w:rPr>
          <w:rFonts w:hint="eastAsia" w:ascii="宋体" w:hAnsi="宋体" w:cs="宋体"/>
          <w:b/>
          <w:color w:val="auto"/>
          <w:highlight w:val="none"/>
        </w:rPr>
        <w:t>、付款方式：</w:t>
      </w:r>
    </w:p>
    <w:p>
      <w:pPr>
        <w:pStyle w:val="113"/>
        <w:adjustRightInd w:val="0"/>
        <w:snapToGrid w:val="0"/>
        <w:spacing w:line="360" w:lineRule="auto"/>
        <w:ind w:firstLine="422"/>
        <w:rPr>
          <w:rFonts w:hint="eastAsia" w:ascii="宋体" w:hAnsi="宋体" w:cs="宋体"/>
          <w:b w:val="0"/>
          <w:bCs/>
          <w:color w:val="auto"/>
          <w:highlight w:val="yellow"/>
        </w:rPr>
      </w:pPr>
      <w:r>
        <w:rPr>
          <w:rFonts w:hint="eastAsia" w:ascii="宋体" w:hAnsi="宋体" w:cs="宋体"/>
          <w:b w:val="0"/>
          <w:bCs/>
          <w:color w:val="auto"/>
          <w:highlight w:val="yellow"/>
        </w:rPr>
        <w:t>按照营商环境相关文件要求，进行分期付款（第一期付款在合同签订且财政拨款到位后支付，支付比例不低于30%，最多不超过</w:t>
      </w:r>
      <w:r>
        <w:rPr>
          <w:rFonts w:hint="eastAsia" w:ascii="宋体" w:hAnsi="宋体" w:cs="宋体"/>
          <w:b w:val="0"/>
          <w:bCs/>
          <w:color w:val="auto"/>
          <w:highlight w:val="yellow"/>
          <w:lang w:eastAsia="zh-CN"/>
        </w:rPr>
        <w:t>三</w:t>
      </w:r>
      <w:r>
        <w:rPr>
          <w:rFonts w:hint="eastAsia" w:ascii="宋体" w:hAnsi="宋体" w:cs="宋体"/>
          <w:b w:val="0"/>
          <w:bCs/>
          <w:color w:val="auto"/>
          <w:highlight w:val="yellow"/>
        </w:rPr>
        <w:t>期分期付款），具体以合同为准。</w:t>
      </w:r>
    </w:p>
    <w:p>
      <w:pPr>
        <w:pStyle w:val="113"/>
        <w:adjustRightInd w:val="0"/>
        <w:snapToGrid w:val="0"/>
        <w:spacing w:line="360" w:lineRule="auto"/>
        <w:ind w:firstLine="422"/>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4、关于验收：</w:t>
      </w:r>
    </w:p>
    <w:p>
      <w:pPr>
        <w:pStyle w:val="113"/>
        <w:adjustRightInd w:val="0"/>
        <w:snapToGrid w:val="0"/>
        <w:spacing w:line="360" w:lineRule="auto"/>
        <w:ind w:firstLine="422"/>
        <w:rPr>
          <w:rFonts w:hint="eastAsia" w:ascii="宋体" w:hAnsi="宋体" w:cs="宋体"/>
          <w:b w:val="0"/>
          <w:bCs/>
          <w:color w:val="auto"/>
          <w:highlight w:val="none"/>
          <w:lang w:val="en-US" w:eastAsia="zh-CN"/>
        </w:rPr>
      </w:pPr>
      <w:r>
        <w:rPr>
          <w:rFonts w:hint="eastAsia" w:ascii="宋体" w:hAnsi="宋体" w:cs="宋体"/>
          <w:b w:val="0"/>
          <w:bCs/>
          <w:color w:val="auto"/>
          <w:highlight w:val="none"/>
          <w:lang w:val="en-US" w:eastAsia="zh-CN"/>
        </w:rPr>
        <w:t>1）服务经过双方检验认可后，签署验收报告。</w:t>
      </w:r>
    </w:p>
    <w:p>
      <w:pPr>
        <w:pStyle w:val="113"/>
        <w:adjustRightInd w:val="0"/>
        <w:snapToGrid w:val="0"/>
        <w:spacing w:line="360" w:lineRule="auto"/>
        <w:ind w:firstLine="422"/>
        <w:rPr>
          <w:rFonts w:hint="eastAsia" w:ascii="宋体" w:hAnsi="宋体" w:cs="宋体"/>
          <w:b w:val="0"/>
          <w:bCs/>
          <w:color w:val="auto"/>
          <w:highlight w:val="none"/>
          <w:lang w:val="en-US" w:eastAsia="zh-CN"/>
        </w:rPr>
      </w:pPr>
      <w:r>
        <w:rPr>
          <w:rFonts w:hint="eastAsia" w:ascii="宋体" w:hAnsi="宋体" w:cs="宋体"/>
          <w:b w:val="0"/>
          <w:bCs/>
          <w:color w:val="auto"/>
          <w:highlight w:val="none"/>
          <w:lang w:val="en-US" w:eastAsia="zh-CN"/>
        </w:rPr>
        <w:t>2）当满足以下条件时，采购人才向中标人签发验收报告：</w:t>
      </w:r>
    </w:p>
    <w:p>
      <w:pPr>
        <w:pStyle w:val="113"/>
        <w:adjustRightInd w:val="0"/>
        <w:snapToGrid w:val="0"/>
        <w:spacing w:line="360" w:lineRule="auto"/>
        <w:ind w:firstLine="422"/>
        <w:rPr>
          <w:rFonts w:hint="eastAsia" w:ascii="宋体" w:hAnsi="宋体" w:cs="宋体"/>
          <w:b w:val="0"/>
          <w:bCs/>
          <w:color w:val="auto"/>
          <w:highlight w:val="none"/>
          <w:lang w:val="en-US" w:eastAsia="zh-CN"/>
        </w:rPr>
      </w:pPr>
      <w:r>
        <w:rPr>
          <w:rFonts w:hint="eastAsia" w:ascii="宋体" w:hAnsi="宋体" w:cs="宋体"/>
          <w:b w:val="0"/>
          <w:bCs/>
          <w:color w:val="auto"/>
          <w:highlight w:val="none"/>
          <w:lang w:val="en-US" w:eastAsia="zh-CN"/>
        </w:rPr>
        <w:t>a、中标人已按照合同规定提供了全部技术资料。</w:t>
      </w:r>
    </w:p>
    <w:p>
      <w:pPr>
        <w:pStyle w:val="113"/>
        <w:adjustRightInd w:val="0"/>
        <w:snapToGrid w:val="0"/>
        <w:spacing w:line="360" w:lineRule="auto"/>
        <w:ind w:firstLine="422"/>
        <w:rPr>
          <w:rFonts w:hint="eastAsia" w:ascii="宋体" w:hAnsi="宋体" w:cs="宋体"/>
          <w:b w:val="0"/>
          <w:bCs/>
          <w:color w:val="auto"/>
          <w:highlight w:val="none"/>
          <w:lang w:val="en-US" w:eastAsia="zh-CN"/>
        </w:rPr>
      </w:pPr>
      <w:r>
        <w:rPr>
          <w:rFonts w:hint="eastAsia" w:ascii="宋体" w:hAnsi="宋体" w:cs="宋体"/>
          <w:b w:val="0"/>
          <w:bCs/>
          <w:color w:val="auto"/>
          <w:highlight w:val="none"/>
          <w:lang w:val="en-US" w:eastAsia="zh-CN"/>
        </w:rPr>
        <w:t>b、服务项目符合招标文件的服务要求。</w:t>
      </w:r>
    </w:p>
    <w:p>
      <w:pPr>
        <w:pStyle w:val="113"/>
        <w:adjustRightInd w:val="0"/>
        <w:snapToGrid w:val="0"/>
        <w:spacing w:line="360" w:lineRule="auto"/>
        <w:ind w:firstLine="422"/>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5、其他：</w:t>
      </w:r>
    </w:p>
    <w:p>
      <w:pPr>
        <w:pStyle w:val="113"/>
        <w:adjustRightInd w:val="0"/>
        <w:snapToGrid w:val="0"/>
        <w:spacing w:line="360" w:lineRule="auto"/>
        <w:ind w:firstLine="422"/>
        <w:rPr>
          <w:rFonts w:hint="default" w:ascii="宋体" w:hAnsi="宋体" w:cs="宋体"/>
          <w:b/>
          <w:color w:val="auto"/>
          <w:highlight w:val="none"/>
          <w:lang w:val="en-US" w:eastAsia="zh-CN"/>
        </w:rPr>
      </w:pPr>
      <w:r>
        <w:rPr>
          <w:rFonts w:hint="eastAsia" w:ascii="宋体" w:hAnsi="宋体" w:cs="宋体"/>
          <w:b w:val="0"/>
          <w:bCs/>
          <w:color w:val="auto"/>
          <w:highlight w:val="none"/>
          <w:lang w:val="en-US" w:eastAsia="zh-CN"/>
        </w:rPr>
        <w:t>项目设计流程以及设计成果必须符合国家、省市相关设计规范要求，如有违反，乙方必须退回项目款项，甲方有权追究乙方法律责任。</w:t>
      </w:r>
    </w:p>
    <w:p>
      <w:pPr>
        <w:pStyle w:val="113"/>
        <w:adjustRightInd w:val="0"/>
        <w:snapToGrid w:val="0"/>
        <w:spacing w:line="360" w:lineRule="auto"/>
        <w:ind w:firstLine="422"/>
        <w:rPr>
          <w:rFonts w:ascii="宋体" w:hAnsi="宋体" w:cs="宋体"/>
          <w:b w:val="0"/>
          <w:bCs/>
          <w:color w:val="auto"/>
          <w:highlight w:val="yellow"/>
        </w:rPr>
      </w:pPr>
    </w:p>
    <w:p>
      <w:pPr>
        <w:spacing w:line="360" w:lineRule="auto"/>
        <w:ind w:left="420"/>
        <w:rPr>
          <w:rFonts w:cs="宋体" w:asciiTheme="minorEastAsia" w:hAnsiTheme="minorEastAsia" w:eastAsiaTheme="minorEastAsia"/>
          <w:color w:val="auto"/>
          <w:szCs w:val="21"/>
          <w:highlight w:val="none"/>
        </w:rPr>
      </w:pPr>
    </w:p>
    <w:bookmarkEnd w:id="22"/>
    <w:p>
      <w:pPr>
        <w:rPr>
          <w:b/>
          <w:bCs/>
          <w:color w:val="auto"/>
          <w:sz w:val="28"/>
          <w:szCs w:val="28"/>
          <w:highlight w:val="none"/>
        </w:rPr>
      </w:pPr>
      <w:r>
        <w:rPr>
          <w:rFonts w:hint="eastAsia"/>
          <w:b/>
          <w:bCs/>
          <w:color w:val="auto"/>
          <w:sz w:val="28"/>
          <w:szCs w:val="28"/>
          <w:highlight w:val="none"/>
        </w:rPr>
        <w:br w:type="page"/>
      </w:r>
    </w:p>
    <w:p>
      <w:pPr>
        <w:pStyle w:val="4"/>
        <w:jc w:val="center"/>
        <w:rPr>
          <w:rFonts w:asciiTheme="majorEastAsia" w:hAnsiTheme="majorEastAsia" w:eastAsiaTheme="majorEastAsia" w:cstheme="majorEastAsia"/>
          <w:color w:val="auto"/>
          <w:sz w:val="32"/>
          <w:szCs w:val="32"/>
          <w:highlight w:val="none"/>
        </w:rPr>
      </w:pPr>
      <w:bookmarkStart w:id="23" w:name="_Toc13247"/>
      <w:bookmarkStart w:id="24" w:name="_Toc4019"/>
      <w:bookmarkStart w:id="25" w:name="_Toc7253"/>
      <w:bookmarkStart w:id="26" w:name="_Toc5667_WPSOffice_Level1"/>
      <w:r>
        <w:rPr>
          <w:rFonts w:hint="eastAsia" w:asciiTheme="majorEastAsia" w:hAnsiTheme="majorEastAsia" w:eastAsiaTheme="majorEastAsia" w:cstheme="majorEastAsia"/>
          <w:color w:val="auto"/>
          <w:sz w:val="32"/>
          <w:szCs w:val="32"/>
          <w:highlight w:val="none"/>
        </w:rPr>
        <w:t>第四章 评标、定标</w:t>
      </w:r>
      <w:bookmarkEnd w:id="17"/>
      <w:bookmarkEnd w:id="23"/>
      <w:bookmarkEnd w:id="24"/>
      <w:bookmarkEnd w:id="25"/>
      <w:bookmarkEnd w:id="26"/>
      <w:bookmarkStart w:id="27" w:name="_Toc435514846"/>
    </w:p>
    <w:p>
      <w:pPr>
        <w:pStyle w:val="5"/>
        <w:numPr>
          <w:ilvl w:val="0"/>
          <w:numId w:val="2"/>
        </w:numPr>
        <w:spacing w:line="240" w:lineRule="auto"/>
        <w:jc w:val="center"/>
        <w:rPr>
          <w:rFonts w:asciiTheme="majorEastAsia" w:hAnsiTheme="majorEastAsia" w:eastAsiaTheme="majorEastAsia"/>
          <w:color w:val="auto"/>
          <w:sz w:val="30"/>
          <w:szCs w:val="30"/>
          <w:highlight w:val="none"/>
        </w:rPr>
      </w:pPr>
      <w:bookmarkStart w:id="28" w:name="_Toc16531"/>
      <w:bookmarkStart w:id="29" w:name="_Toc15209"/>
      <w:r>
        <w:rPr>
          <w:rFonts w:hint="eastAsia" w:asciiTheme="majorEastAsia" w:hAnsiTheme="majorEastAsia" w:eastAsiaTheme="majorEastAsia"/>
          <w:color w:val="auto"/>
          <w:sz w:val="30"/>
          <w:szCs w:val="30"/>
          <w:highlight w:val="none"/>
        </w:rPr>
        <w:t>资格性审查表</w:t>
      </w:r>
      <w:bookmarkEnd w:id="28"/>
      <w:bookmarkEnd w:id="29"/>
    </w:p>
    <w:tbl>
      <w:tblPr>
        <w:tblStyle w:val="37"/>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color w:val="auto"/>
                <w:highlight w:val="none"/>
              </w:rPr>
            </w:pPr>
            <w:r>
              <w:rPr>
                <w:rFonts w:hint="eastAsia" w:ascii="宋体" w:cs="宋体"/>
                <w:b/>
                <w:color w:val="auto"/>
                <w:highlight w:val="none"/>
              </w:rPr>
              <w:t>序号</w:t>
            </w:r>
          </w:p>
        </w:tc>
        <w:tc>
          <w:tcPr>
            <w:tcW w:w="7499"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具备招标文件中规定资格要求的及资格证明文件齐全；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投标人资格声明函已提交并符合招标文件要求的；</w:t>
            </w:r>
          </w:p>
        </w:tc>
      </w:tr>
    </w:tbl>
    <w:p>
      <w:pPr>
        <w:adjustRightInd w:val="0"/>
        <w:snapToGrid w:val="0"/>
        <w:spacing w:line="360" w:lineRule="auto"/>
        <w:jc w:val="left"/>
        <w:outlineLvl w:val="2"/>
        <w:rPr>
          <w:rFonts w:ascii="宋体" w:hAnsi="宋体"/>
          <w:color w:val="auto"/>
          <w:highlight w:val="none"/>
        </w:rPr>
      </w:pPr>
      <w:bookmarkStart w:id="30" w:name="_Toc15975"/>
      <w:r>
        <w:rPr>
          <w:rFonts w:hint="eastAsia" w:ascii="宋体" w:hAnsi="宋体" w:cs="宋体"/>
          <w:color w:val="auto"/>
          <w:highlight w:val="none"/>
        </w:rPr>
        <w:t>说明：</w:t>
      </w:r>
      <w:r>
        <w:rPr>
          <w:rFonts w:hint="eastAsia" w:ascii="宋体" w:hAnsi="宋体"/>
          <w:color w:val="auto"/>
          <w:highlight w:val="none"/>
        </w:rPr>
        <w:t>投标人必须严格按照《资格性审查表》的评审内容的要求如实提供证明材料</w:t>
      </w:r>
      <w:r>
        <w:rPr>
          <w:rFonts w:hint="eastAsia" w:ascii="宋体" w:hAnsi="宋体"/>
          <w:bCs/>
          <w:color w:val="auto"/>
          <w:highlight w:val="none"/>
        </w:rPr>
        <w:t>并应加盖投标人公章，</w:t>
      </w:r>
      <w:r>
        <w:rPr>
          <w:rFonts w:hint="eastAsia" w:ascii="宋体" w:hAnsi="宋体"/>
          <w:color w:val="auto"/>
          <w:highlight w:val="none"/>
        </w:rPr>
        <w:t>对缺漏或不符合项将直接导致无效投标</w:t>
      </w:r>
      <w:r>
        <w:rPr>
          <w:rFonts w:hint="eastAsia" w:ascii="宋体" w:cs="宋体"/>
          <w:color w:val="auto"/>
          <w:szCs w:val="21"/>
          <w:highlight w:val="none"/>
        </w:rPr>
        <w:t>。</w:t>
      </w:r>
      <w:bookmarkEnd w:id="30"/>
    </w:p>
    <w:p>
      <w:pPr>
        <w:rPr>
          <w:color w:val="auto"/>
          <w:highlight w:val="none"/>
        </w:rPr>
      </w:pPr>
    </w:p>
    <w:p>
      <w:pPr>
        <w:pStyle w:val="5"/>
        <w:numPr>
          <w:ilvl w:val="0"/>
          <w:numId w:val="2"/>
        </w:numPr>
        <w:spacing w:line="240" w:lineRule="auto"/>
        <w:jc w:val="center"/>
        <w:rPr>
          <w:rFonts w:asciiTheme="majorEastAsia" w:hAnsiTheme="majorEastAsia" w:eastAsiaTheme="majorEastAsia"/>
          <w:color w:val="auto"/>
          <w:sz w:val="30"/>
          <w:szCs w:val="30"/>
          <w:highlight w:val="none"/>
        </w:rPr>
      </w:pPr>
      <w:bookmarkStart w:id="31" w:name="_Toc12476"/>
      <w:bookmarkStart w:id="32" w:name="_Toc13229"/>
      <w:r>
        <w:rPr>
          <w:rFonts w:hint="eastAsia" w:asciiTheme="majorEastAsia" w:hAnsiTheme="majorEastAsia" w:eastAsiaTheme="majorEastAsia"/>
          <w:color w:val="auto"/>
          <w:sz w:val="30"/>
          <w:szCs w:val="30"/>
          <w:highlight w:val="none"/>
        </w:rPr>
        <w:t>符合性审查表</w:t>
      </w:r>
      <w:bookmarkEnd w:id="31"/>
      <w:bookmarkEnd w:id="32"/>
    </w:p>
    <w:tbl>
      <w:tblPr>
        <w:tblStyle w:val="37"/>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jc w:val="center"/>
              <w:rPr>
                <w:rFonts w:ascii="宋体" w:cs="宋体"/>
                <w:b/>
                <w:color w:val="auto"/>
                <w:highlight w:val="none"/>
              </w:rPr>
            </w:pPr>
            <w:r>
              <w:rPr>
                <w:rFonts w:hint="eastAsia" w:ascii="宋体" w:cs="宋体"/>
                <w:b/>
                <w:color w:val="auto"/>
                <w:highlight w:val="none"/>
              </w:rPr>
              <w:t>序号</w:t>
            </w:r>
          </w:p>
        </w:tc>
        <w:tc>
          <w:tcPr>
            <w:tcW w:w="7499"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按照招标文件规定要求签署、盖章且投标文件有法定代表人签字或盖章（或签字人有法定代表人有效授权书）的；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投标函已提交并符合招标文件要求的，且</w:t>
            </w:r>
            <w:r>
              <w:rPr>
                <w:rFonts w:hint="eastAsia" w:ascii="宋体" w:hAnsi="宋体"/>
                <w:color w:val="auto"/>
                <w:szCs w:val="21"/>
                <w:highlight w:val="none"/>
              </w:rPr>
              <w:t>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bCs/>
                <w:color w:val="auto"/>
                <w:szCs w:val="20"/>
                <w:highlight w:val="none"/>
              </w:rPr>
              <w:t>投标人按招标文件要求提供本国产品\服务</w:t>
            </w:r>
            <w:r>
              <w:rPr>
                <w:rStyle w:val="45"/>
                <w:rFonts w:hint="eastAsia" w:asciiTheme="minorHAnsi" w:hAnsiTheme="minorHAnsi" w:eastAsiaTheme="minorEastAsia" w:cstheme="minorBidi"/>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hAnsi="宋体" w:cs="宋体"/>
                <w:color w:val="auto"/>
                <w:highlight w:val="none"/>
              </w:rPr>
              <w:t>投标文件没有招标文件中规定的其他无效投标条款的；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color w:val="auto"/>
                <w:highlight w:val="none"/>
              </w:rPr>
            </w:pPr>
          </w:p>
        </w:tc>
        <w:tc>
          <w:tcPr>
            <w:tcW w:w="7499" w:type="dxa"/>
            <w:vAlign w:val="center"/>
          </w:tcPr>
          <w:p>
            <w:pPr>
              <w:rPr>
                <w:rFonts w:ascii="宋体" w:hAnsi="宋体" w:cs="宋体"/>
                <w:color w:val="auto"/>
                <w:highlight w:val="none"/>
              </w:rPr>
            </w:pPr>
            <w:r>
              <w:rPr>
                <w:rFonts w:hint="eastAsia" w:ascii="宋体" w:hAnsi="宋体" w:cs="宋体"/>
                <w:color w:val="auto"/>
                <w:highlight w:val="none"/>
              </w:rPr>
              <w:t>按有关法律法规、规章不属于投标无效的。</w:t>
            </w:r>
          </w:p>
        </w:tc>
      </w:tr>
    </w:tbl>
    <w:p>
      <w:pPr>
        <w:tabs>
          <w:tab w:val="left" w:pos="420"/>
          <w:tab w:val="left" w:pos="630"/>
        </w:tabs>
        <w:autoSpaceDE w:val="0"/>
        <w:autoSpaceDN w:val="0"/>
        <w:adjustRightInd w:val="0"/>
        <w:spacing w:line="360" w:lineRule="auto"/>
        <w:rPr>
          <w:b/>
          <w:bCs/>
          <w:color w:val="auto"/>
          <w:sz w:val="28"/>
          <w:szCs w:val="28"/>
          <w:highlight w:val="none"/>
        </w:rPr>
      </w:pPr>
      <w:r>
        <w:rPr>
          <w:rFonts w:hint="eastAsia" w:ascii="宋体" w:hAnsi="宋体"/>
          <w:color w:val="auto"/>
          <w:szCs w:val="21"/>
          <w:highlight w:val="none"/>
        </w:rPr>
        <w:t>说明：</w:t>
      </w:r>
      <w:r>
        <w:rPr>
          <w:rFonts w:hint="eastAsia" w:ascii="宋体" w:hAnsi="宋体"/>
          <w:color w:val="auto"/>
          <w:highlight w:val="none"/>
        </w:rPr>
        <w:t>投标人必须严格按照《符合性审查表》的评审内容的要求如实提供证明材料</w:t>
      </w:r>
      <w:r>
        <w:rPr>
          <w:rFonts w:hint="eastAsia" w:ascii="宋体" w:hAnsi="宋体"/>
          <w:bCs/>
          <w:color w:val="auto"/>
          <w:highlight w:val="none"/>
        </w:rPr>
        <w:t>并应加盖投标人公章，</w:t>
      </w:r>
      <w:r>
        <w:rPr>
          <w:rFonts w:hint="eastAsia" w:ascii="宋体" w:hAnsi="宋体"/>
          <w:color w:val="auto"/>
          <w:highlight w:val="none"/>
        </w:rPr>
        <w:t>对缺漏或不符合项将直接导致无效投标</w:t>
      </w:r>
      <w:r>
        <w:rPr>
          <w:rFonts w:hint="eastAsia" w:ascii="宋体" w:cs="宋体"/>
          <w:color w:val="auto"/>
          <w:szCs w:val="21"/>
          <w:highlight w:val="none"/>
        </w:rPr>
        <w:t>。</w:t>
      </w:r>
    </w:p>
    <w:p>
      <w:pPr>
        <w:pStyle w:val="5"/>
        <w:numPr>
          <w:ilvl w:val="0"/>
          <w:numId w:val="2"/>
        </w:numPr>
        <w:spacing w:line="240" w:lineRule="auto"/>
        <w:jc w:val="center"/>
        <w:rPr>
          <w:rFonts w:ascii="黑体" w:hAnsi="宋体" w:cs="宋体"/>
          <w:color w:val="auto"/>
          <w:sz w:val="28"/>
          <w:szCs w:val="28"/>
          <w:highlight w:val="none"/>
        </w:rPr>
      </w:pPr>
      <w:r>
        <w:rPr>
          <w:rFonts w:ascii="黑体" w:hAnsi="宋体" w:cs="宋体"/>
          <w:color w:val="auto"/>
          <w:sz w:val="28"/>
          <w:szCs w:val="28"/>
          <w:highlight w:val="none"/>
        </w:rPr>
        <w:br w:type="page"/>
      </w:r>
      <w:bookmarkStart w:id="33" w:name="_Toc27397"/>
      <w:r>
        <w:rPr>
          <w:rFonts w:hint="eastAsia" w:asciiTheme="majorEastAsia" w:hAnsiTheme="majorEastAsia" w:eastAsiaTheme="majorEastAsia"/>
          <w:color w:val="auto"/>
          <w:sz w:val="30"/>
          <w:szCs w:val="30"/>
          <w:highlight w:val="none"/>
        </w:rPr>
        <w:t>综合评分表</w:t>
      </w:r>
      <w:bookmarkEnd w:id="33"/>
    </w:p>
    <w:tbl>
      <w:tblPr>
        <w:tblStyle w:val="37"/>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评审部分</w:t>
            </w:r>
          </w:p>
        </w:tc>
        <w:tc>
          <w:tcPr>
            <w:tcW w:w="1355"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评审因素</w:t>
            </w:r>
          </w:p>
        </w:tc>
        <w:tc>
          <w:tcPr>
            <w:tcW w:w="5635"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评分细则</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权重</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一</w:t>
            </w:r>
          </w:p>
        </w:tc>
        <w:tc>
          <w:tcPr>
            <w:tcW w:w="8467" w:type="dxa"/>
            <w:gridSpan w:val="4"/>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技术部分（</w:t>
            </w:r>
            <w:r>
              <w:rPr>
                <w:rFonts w:asciiTheme="minorEastAsia" w:hAnsiTheme="minorEastAsia" w:eastAsiaTheme="minorEastAsia"/>
                <w:b/>
                <w:color w:val="auto"/>
                <w:szCs w:val="21"/>
                <w:highlight w:val="none"/>
              </w:rPr>
              <w:t>75</w:t>
            </w:r>
            <w:r>
              <w:rPr>
                <w:rFonts w:hint="eastAsia" w:asciiTheme="minorEastAsia" w:hAnsiTheme="minorEastAsia" w:eastAsiaTheme="minorEastAsia"/>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83"/>
              <w:numPr>
                <w:ilvl w:val="0"/>
                <w:numId w:val="5"/>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项目实施方案</w:t>
            </w:r>
          </w:p>
        </w:tc>
        <w:tc>
          <w:tcPr>
            <w:tcW w:w="5635" w:type="dxa"/>
            <w:vAlign w:val="center"/>
          </w:tcPr>
          <w:p>
            <w:pPr>
              <w:widowControl/>
              <w:wordWrap w:val="0"/>
              <w:jc w:val="left"/>
              <w:rPr>
                <w:rFonts w:ascii="宋体" w:hAnsi="宋体" w:cs="宋体"/>
                <w:color w:val="auto"/>
                <w:kern w:val="0"/>
                <w:szCs w:val="21"/>
                <w:highlight w:val="none"/>
              </w:rPr>
            </w:pPr>
            <w:r>
              <w:rPr>
                <w:rFonts w:hint="eastAsia" w:ascii="宋体" w:hAnsi="宋体" w:cs="宋体"/>
                <w:b/>
                <w:bCs/>
                <w:color w:val="auto"/>
                <w:kern w:val="0"/>
                <w:szCs w:val="21"/>
                <w:highlight w:val="none"/>
              </w:rPr>
              <w:t>（一）评分内容：根据招标文件的要求，投标人对项目服务提供具体实施方案，内容应包括：</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1.对咨询设计工作任务的理解；</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2.编制详细的咨询设计实施方案（至少包含团队组建、工作措施、工作方案、工作手段、工作流程等）；</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3.结合项目建设内容和工期要求提供项目进度计划清单和甘特图。</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（二）评分标准：</w:t>
            </w:r>
          </w:p>
          <w:p>
            <w:pPr>
              <w:widowControl/>
              <w:wordWrap w:val="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专家根据内容的合理性进行评分：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评审为优：方案全面完善，目标清晰明确，充分满足客户的应用需求，</w:t>
            </w:r>
            <w:r>
              <w:rPr>
                <w:rFonts w:hint="eastAsia" w:ascii="宋体" w:hAnsi="宋体" w:cs="宋体"/>
                <w:color w:val="auto"/>
                <w:kern w:val="0"/>
                <w:szCs w:val="21"/>
                <w:highlight w:val="none"/>
                <w:lang w:val="en-US" w:eastAsia="zh-CN"/>
              </w:rPr>
              <w:t>得15</w:t>
            </w:r>
            <w:r>
              <w:rPr>
                <w:rFonts w:hint="eastAsia" w:ascii="宋体" w:hAnsi="宋体" w:cs="宋体"/>
                <w:color w:val="auto"/>
                <w:kern w:val="0"/>
                <w:szCs w:val="21"/>
                <w:highlight w:val="none"/>
              </w:rPr>
              <w:t>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评审为良：方案比较全面完善，目标比较清晰明确，比较满足客户的应用需求，</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评审为中：方案相对全面完善，目标相对清晰明确，相对满足客户的应用需求，</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评审为差：方案一般，目标不明确不清晰，不能满足客户的应用需求，得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p>
            <w:pPr>
              <w:ind w:left="-78" w:leftChars="-37" w:right="-73" w:rightChars="-35"/>
              <w:jc w:val="left"/>
              <w:rPr>
                <w:rFonts w:cs="宋体" w:asciiTheme="minorEastAsia" w:hAnsiTheme="minorEastAsia" w:eastAsiaTheme="minorEastAsia"/>
                <w:color w:val="auto"/>
                <w:szCs w:val="21"/>
                <w:highlight w:val="none"/>
              </w:rPr>
            </w:pPr>
            <w:r>
              <w:rPr>
                <w:rFonts w:hint="eastAsia" w:ascii="宋体" w:hAnsi="宋体" w:cs="宋体"/>
                <w:b/>
                <w:bCs/>
                <w:color w:val="auto"/>
                <w:kern w:val="0"/>
                <w:szCs w:val="21"/>
                <w:highlight w:val="none"/>
              </w:rPr>
              <w:t>未提供方案的不得分。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3"/>
              <w:numPr>
                <w:ilvl w:val="0"/>
                <w:numId w:val="5"/>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ascii="宋体" w:hAnsi="宋体" w:cs="宋体"/>
                <w:color w:val="auto"/>
                <w:szCs w:val="21"/>
                <w:highlight w:val="none"/>
              </w:rPr>
              <w:t>项目重难点分析、应对措施及相关的合理化建议</w:t>
            </w:r>
          </w:p>
        </w:tc>
        <w:tc>
          <w:tcPr>
            <w:tcW w:w="5635" w:type="dxa"/>
            <w:vAlign w:val="center"/>
          </w:tcPr>
          <w:p>
            <w:pPr>
              <w:widowControl/>
              <w:wordWrap w:val="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（一）评分内容：根据招标文件的要求，投标人对项目服务进行重点和难点分析并提出相关合理化建议，内容应包括：</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详细阐述本项目实施中存在的重点、难点；</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根据项目重难点，详细阐述可行性应对措施；</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提出项目实施的相关合理化建议。</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（二）评分标准：</w:t>
            </w:r>
          </w:p>
          <w:p>
            <w:pPr>
              <w:widowControl/>
              <w:wordWrap w:val="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专家根据内容的合理性进行评分：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评审为优：项目重难点阐述详细，重难点分析全面准确，提出可行的合理化建议，</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评审为良：项目重难点阐述较为详细，重难点分析较为完善、准确，提出较为合理可行的建议，</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评审为中：项目重难点分析阐述一般，重难点分析准确性一般，提出的建议可行性、合理性一般，</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评审为差：无法阐述项目重难点或重难点分析差，不能够提出合理化建议，得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pPr>
              <w:jc w:val="left"/>
              <w:rPr>
                <w:rFonts w:cs="宋体" w:asciiTheme="minorEastAsia" w:hAnsiTheme="minorEastAsia" w:eastAsiaTheme="minorEastAsia"/>
                <w:color w:val="auto"/>
                <w:szCs w:val="21"/>
                <w:highlight w:val="none"/>
              </w:rPr>
            </w:pPr>
            <w:r>
              <w:rPr>
                <w:rFonts w:hint="eastAsia" w:ascii="宋体" w:hAnsi="宋体" w:cs="宋体"/>
                <w:b/>
                <w:bCs/>
                <w:color w:val="auto"/>
                <w:kern w:val="0"/>
                <w:szCs w:val="21"/>
                <w:highlight w:val="none"/>
              </w:rPr>
              <w:t>未提供</w:t>
            </w:r>
            <w:r>
              <w:rPr>
                <w:rFonts w:hint="eastAsia" w:ascii="宋体" w:hAnsi="宋体" w:cs="宋体"/>
                <w:b/>
                <w:bCs/>
                <w:color w:val="auto"/>
                <w:kern w:val="0"/>
                <w:szCs w:val="21"/>
                <w:highlight w:val="none"/>
                <w:lang w:val="en-US" w:eastAsia="zh-CN"/>
              </w:rPr>
              <w:t>方案</w:t>
            </w:r>
            <w:r>
              <w:rPr>
                <w:rFonts w:hint="eastAsia" w:ascii="宋体" w:hAnsi="宋体" w:cs="宋体"/>
                <w:b/>
                <w:bCs/>
                <w:color w:val="auto"/>
                <w:kern w:val="0"/>
                <w:szCs w:val="21"/>
                <w:highlight w:val="none"/>
              </w:rPr>
              <w:t>的不得分。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20</w:t>
            </w:r>
            <w:r>
              <w:rPr>
                <w:rFonts w:cs="宋体" w:asciiTheme="minorEastAsia" w:hAnsiTheme="minorEastAsia" w:eastAsiaTheme="minorEastAsia"/>
                <w:color w:val="auto"/>
                <w:szCs w:val="21"/>
                <w:highlight w:val="none"/>
              </w:rPr>
              <w:t>%</w:t>
            </w:r>
          </w:p>
        </w:tc>
        <w:tc>
          <w:tcPr>
            <w:tcW w:w="697" w:type="dxa"/>
            <w:tcBorders>
              <w:lef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680" w:type="dxa"/>
            <w:tcBorders>
              <w:top w:val="single" w:color="auto" w:sz="4" w:space="0"/>
              <w:bottom w:val="single" w:color="auto" w:sz="4" w:space="0"/>
            </w:tcBorders>
            <w:vAlign w:val="center"/>
          </w:tcPr>
          <w:p>
            <w:pPr>
              <w:pStyle w:val="83"/>
              <w:numPr>
                <w:ilvl w:val="0"/>
                <w:numId w:val="5"/>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ascii="宋体" w:hAnsi="宋体" w:cs="宋体"/>
                <w:color w:val="auto"/>
                <w:szCs w:val="21"/>
                <w:highlight w:val="none"/>
              </w:rPr>
              <w:t>质量保障措施及方案</w:t>
            </w:r>
          </w:p>
        </w:tc>
        <w:tc>
          <w:tcPr>
            <w:tcW w:w="5635" w:type="dxa"/>
            <w:vAlign w:val="center"/>
          </w:tcPr>
          <w:p>
            <w:pPr>
              <w:widowControl/>
              <w:wordWrap w:val="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（一）评分内容：根据招标文件的要求，投标人对项目服务提供质量保障措施及方案，内容应包括：</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1.对质量保障措施提出的方案包括但不限于设计保障措施、质量保障的相关管理制度；</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2.对项目总体推进计划、项目工期、项目运行保障措施提出合理、完善方案。</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（二）评分标准：</w:t>
            </w:r>
          </w:p>
          <w:p>
            <w:pPr>
              <w:widowControl/>
              <w:wordWrap w:val="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专家根据下述标准进行评分：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（1）内容全面；</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（2）内容具体；</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（3）内容针对性强；</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（4）内容科学合理；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（5）内容可操作性强。</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优：满足以上五项要求</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良：满足以上四项要求</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分；</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中：满足以上三项要求</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差：其它情况为差，得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p>
            <w:pPr>
              <w:widowControl/>
              <w:wordWrap w:val="0"/>
              <w:jc w:val="left"/>
              <w:rPr>
                <w:rFonts w:cs="宋体" w:asciiTheme="minorEastAsia" w:hAnsiTheme="minorEastAsia" w:eastAsiaTheme="minorEastAsia"/>
                <w:color w:val="auto"/>
                <w:szCs w:val="21"/>
                <w:highlight w:val="none"/>
              </w:rPr>
            </w:pPr>
            <w:r>
              <w:rPr>
                <w:rFonts w:hint="eastAsia" w:ascii="宋体" w:hAnsi="宋体" w:cs="宋体"/>
                <w:b/>
                <w:bCs/>
                <w:color w:val="auto"/>
                <w:kern w:val="0"/>
                <w:szCs w:val="21"/>
                <w:highlight w:val="none"/>
              </w:rPr>
              <w:t>未提供质量保障措施及方案的不得分。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lang w:val="en-US" w:eastAsia="zh-CN"/>
              </w:rPr>
              <w:t>15</w:t>
            </w:r>
            <w:r>
              <w:rPr>
                <w:rFonts w:cs="宋体" w:asciiTheme="minorEastAsia" w:hAnsiTheme="minorEastAsia" w:eastAsiaTheme="minorEastAsia"/>
                <w:color w:val="auto"/>
                <w:szCs w:val="21"/>
                <w:highlight w:val="none"/>
              </w:rPr>
              <w:t>%</w:t>
            </w:r>
          </w:p>
        </w:tc>
        <w:tc>
          <w:tcPr>
            <w:tcW w:w="697" w:type="dxa"/>
            <w:tcBorders>
              <w:lef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3"/>
              <w:numPr>
                <w:ilvl w:val="0"/>
                <w:numId w:val="5"/>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项目完成后的服务承诺</w:t>
            </w:r>
          </w:p>
        </w:tc>
        <w:tc>
          <w:tcPr>
            <w:tcW w:w="5635" w:type="dxa"/>
            <w:vAlign w:val="center"/>
          </w:tcPr>
          <w:p>
            <w:pPr>
              <w:widowControl/>
              <w:wordWrap w:val="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（一）评分内容：投标人提供项目完成后的服务承诺函（格式自拟），内容应包括：</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1.项目完成后服务负责人信息与联系方式；</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2.明确的服务年限；</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3.服务制度与响应时间；</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4.项目完成后服务内容。</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（二）评分标准：</w:t>
            </w:r>
          </w:p>
          <w:p>
            <w:pPr>
              <w:widowControl/>
              <w:wordWrap w:val="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专家根据下述标准进行评分：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评审为优：服务承诺内容全面具体，售后服务措施针对性强，</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评审为良：服务承诺内容相对全面具体，售后服务措施针对性较强，</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评审为中：服务承诺内容全面性和具体性一般，售后服务措施针对性一般，</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评审为差：服务承诺内容不全面、不具体，售后服务措施针对性差，得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p>
            <w:pPr>
              <w:ind w:left="-78" w:leftChars="-37" w:right="-73" w:rightChars="-35"/>
              <w:jc w:val="left"/>
              <w:rPr>
                <w:rFonts w:cs="宋体" w:asciiTheme="minorEastAsia" w:hAnsiTheme="minorEastAsia" w:eastAsiaTheme="minorEastAsia"/>
                <w:color w:val="auto"/>
                <w:szCs w:val="21"/>
                <w:highlight w:val="none"/>
              </w:rPr>
            </w:pPr>
            <w:r>
              <w:rPr>
                <w:rFonts w:hint="eastAsia" w:ascii="宋体" w:hAnsi="宋体" w:cs="宋体"/>
                <w:b/>
                <w:bCs/>
                <w:color w:val="auto"/>
                <w:kern w:val="0"/>
                <w:szCs w:val="21"/>
                <w:highlight w:val="none"/>
              </w:rPr>
              <w:t>未提供项目完成后的服务承诺函不得分。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3"/>
              <w:numPr>
                <w:ilvl w:val="0"/>
                <w:numId w:val="5"/>
              </w:numPr>
              <w:ind w:firstLineChars="0"/>
              <w:jc w:val="right"/>
              <w:rPr>
                <w:rFonts w:asciiTheme="minorEastAsia" w:hAnsiTheme="minorEastAsia" w:eastAsiaTheme="minorEastAsia"/>
                <w:color w:val="auto"/>
                <w:szCs w:val="21"/>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违约承诺</w:t>
            </w:r>
          </w:p>
        </w:tc>
        <w:tc>
          <w:tcPr>
            <w:tcW w:w="5635" w:type="dxa"/>
            <w:vAlign w:val="center"/>
          </w:tcPr>
          <w:p>
            <w:pPr>
              <w:widowControl/>
              <w:wordWrap w:val="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（一）评分内容：投标人提供违约承诺函（格式自拟），</w:t>
            </w:r>
            <w:r>
              <w:rPr>
                <w:rFonts w:hint="eastAsia" w:ascii="宋体" w:hAnsi="宋体" w:cs="宋体"/>
                <w:color w:val="auto"/>
                <w:kern w:val="0"/>
                <w:szCs w:val="21"/>
                <w:highlight w:val="none"/>
              </w:rPr>
              <w:t>内容应包括：</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中标履约承诺；</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服务期间遵守合同约定条款；</w:t>
            </w:r>
          </w:p>
          <w:p>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违约后接受处罚。</w:t>
            </w:r>
          </w:p>
          <w:p>
            <w:pPr>
              <w:ind w:left="-78" w:leftChars="-37" w:right="-73" w:rightChars="-35"/>
              <w:jc w:val="left"/>
              <w:rPr>
                <w:rFonts w:cs="宋体" w:asciiTheme="minorEastAsia" w:hAnsiTheme="minorEastAsia" w:eastAsiaTheme="minorEastAsia"/>
                <w:color w:val="auto"/>
                <w:szCs w:val="21"/>
                <w:highlight w:val="none"/>
              </w:rPr>
            </w:pPr>
            <w:r>
              <w:rPr>
                <w:rFonts w:hint="eastAsia" w:ascii="宋体" w:hAnsi="宋体" w:cs="宋体"/>
                <w:b/>
                <w:bCs/>
                <w:color w:val="auto"/>
                <w:kern w:val="0"/>
                <w:szCs w:val="21"/>
                <w:highlight w:val="none"/>
              </w:rPr>
              <w:t>（二）评分标准：承诺函具备以上3项内容得10分，未提供承诺或承诺内容不满足要求不得分。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10%</w:t>
            </w:r>
          </w:p>
        </w:tc>
        <w:tc>
          <w:tcPr>
            <w:tcW w:w="697" w:type="dxa"/>
            <w:tcBorders>
              <w:left w:val="single" w:color="auto" w:sz="4" w:space="0"/>
            </w:tcBorders>
            <w:vAlign w:val="center"/>
          </w:tcPr>
          <w:p>
            <w:pPr>
              <w:ind w:left="-78" w:leftChars="-37" w:right="-73" w:rightChars="-35"/>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二</w:t>
            </w:r>
          </w:p>
        </w:tc>
        <w:tc>
          <w:tcPr>
            <w:tcW w:w="8467" w:type="dxa"/>
            <w:gridSpan w:val="4"/>
            <w:vAlign w:val="center"/>
          </w:tcPr>
          <w:p>
            <w:pPr>
              <w:ind w:left="-78" w:leftChars="-37" w:right="-73" w:rightChars="-35"/>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商务部分</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trPr>
        <w:tc>
          <w:tcPr>
            <w:tcW w:w="680" w:type="dxa"/>
            <w:tcBorders>
              <w:bottom w:val="single" w:color="auto" w:sz="4" w:space="0"/>
            </w:tcBorders>
            <w:vAlign w:val="center"/>
          </w:tcPr>
          <w:p>
            <w:pPr>
              <w:pStyle w:val="83"/>
              <w:numPr>
                <w:ilvl w:val="0"/>
                <w:numId w:val="6"/>
              </w:numPr>
              <w:ind w:firstLineChars="0"/>
              <w:jc w:val="center"/>
              <w:rPr>
                <w:rFonts w:asciiTheme="minorEastAsia" w:hAnsiTheme="minorEastAsia" w:eastAsiaTheme="minorEastAsia"/>
                <w:color w:val="auto"/>
                <w:szCs w:val="21"/>
                <w:highlight w:val="none"/>
              </w:rPr>
            </w:pPr>
          </w:p>
        </w:tc>
        <w:tc>
          <w:tcPr>
            <w:tcW w:w="1355" w:type="dxa"/>
            <w:tcBorders>
              <w:top w:val="single" w:color="000000" w:sz="8" w:space="0"/>
              <w:left w:val="single" w:color="000000" w:sz="8" w:space="0"/>
              <w:bottom w:val="single" w:color="000000" w:sz="8" w:space="0"/>
              <w:right w:val="single" w:color="000000" w:sz="8" w:space="0"/>
            </w:tcBorders>
            <w:vAlign w:val="center"/>
          </w:tcPr>
          <w:p>
            <w:pPr>
              <w:ind w:left="-63" w:leftChars="-30" w:right="-88" w:rightChars="-42"/>
              <w:jc w:val="center"/>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业绩</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投标人在20</w:t>
            </w:r>
            <w:r>
              <w:rPr>
                <w:rFonts w:hint="eastAsia" w:asciiTheme="minorEastAsia" w:hAnsiTheme="minorEastAsia" w:eastAsiaTheme="minorEastAsia"/>
                <w:color w:val="auto"/>
                <w:szCs w:val="21"/>
                <w:highlight w:val="none"/>
              </w:rPr>
              <w:t>21</w:t>
            </w:r>
            <w:r>
              <w:rPr>
                <w:rFonts w:asciiTheme="minorEastAsia" w:hAnsiTheme="minorEastAsia" w:eastAsiaTheme="minorEastAsia"/>
                <w:color w:val="auto"/>
                <w:szCs w:val="21"/>
                <w:highlight w:val="none"/>
              </w:rPr>
              <w:t>年至</w:t>
            </w:r>
            <w:r>
              <w:rPr>
                <w:rFonts w:hint="eastAsia" w:asciiTheme="minorEastAsia" w:hAnsiTheme="minorEastAsia" w:eastAsiaTheme="minorEastAsia"/>
                <w:color w:val="auto"/>
                <w:szCs w:val="21"/>
                <w:highlight w:val="none"/>
                <w:lang w:val="en-US" w:eastAsia="zh-CN"/>
              </w:rPr>
              <w:t>本项目</w:t>
            </w:r>
            <w:r>
              <w:rPr>
                <w:rFonts w:asciiTheme="minorEastAsia" w:hAnsiTheme="minorEastAsia" w:eastAsiaTheme="minorEastAsia"/>
                <w:color w:val="auto"/>
                <w:szCs w:val="21"/>
                <w:highlight w:val="none"/>
              </w:rPr>
              <w:t>投标截止日前（以合同签订时间为准）签订的同类</w:t>
            </w:r>
            <w:r>
              <w:rPr>
                <w:rFonts w:hint="eastAsia" w:asciiTheme="minorEastAsia" w:hAnsiTheme="minorEastAsia" w:eastAsiaTheme="minorEastAsia"/>
                <w:color w:val="auto"/>
                <w:szCs w:val="21"/>
                <w:highlight w:val="none"/>
                <w:lang w:val="en-US" w:eastAsia="zh-CN"/>
              </w:rPr>
              <w:t>设计类</w:t>
            </w:r>
            <w:r>
              <w:rPr>
                <w:rFonts w:asciiTheme="minorEastAsia" w:hAnsiTheme="minorEastAsia" w:eastAsiaTheme="minorEastAsia"/>
                <w:color w:val="auto"/>
                <w:szCs w:val="21"/>
                <w:highlight w:val="none"/>
              </w:rPr>
              <w:t>项目：每</w:t>
            </w:r>
            <w:r>
              <w:rPr>
                <w:rFonts w:hint="eastAsia" w:asciiTheme="minorEastAsia" w:hAnsiTheme="minorEastAsia" w:eastAsiaTheme="minorEastAsia"/>
                <w:color w:val="auto"/>
                <w:szCs w:val="21"/>
                <w:highlight w:val="none"/>
                <w:lang w:val="en-US" w:eastAsia="zh-CN"/>
              </w:rPr>
              <w:t>提供</w:t>
            </w:r>
            <w:r>
              <w:rPr>
                <w:rFonts w:asciiTheme="minorEastAsia" w:hAnsiTheme="minorEastAsia" w:eastAsiaTheme="minorEastAsia"/>
                <w:color w:val="auto"/>
                <w:szCs w:val="21"/>
                <w:highlight w:val="none"/>
              </w:rPr>
              <w:t xml:space="preserve">一个得2分，本项满分8分。 </w:t>
            </w:r>
          </w:p>
          <w:p>
            <w:pPr>
              <w:ind w:left="-63" w:leftChars="-30" w:right="-88" w:rightChars="-42"/>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（提供合同</w:t>
            </w:r>
            <w:r>
              <w:rPr>
                <w:rFonts w:hint="eastAsia" w:asciiTheme="minorEastAsia" w:hAnsiTheme="minorEastAsia" w:eastAsiaTheme="minorEastAsia"/>
                <w:color w:val="auto"/>
                <w:szCs w:val="21"/>
                <w:highlight w:val="none"/>
                <w:lang w:val="en-US" w:eastAsia="zh-CN"/>
              </w:rPr>
              <w:t>关键页</w:t>
            </w:r>
            <w:r>
              <w:rPr>
                <w:rFonts w:asciiTheme="minorEastAsia" w:hAnsiTheme="minorEastAsia" w:eastAsiaTheme="minorEastAsia"/>
                <w:color w:val="auto"/>
                <w:szCs w:val="21"/>
                <w:highlight w:val="none"/>
              </w:rPr>
              <w:t>或中标通知书等证明材料复印件，否则不计分）</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3"/>
              <w:numPr>
                <w:ilvl w:val="0"/>
                <w:numId w:val="6"/>
              </w:numPr>
              <w:ind w:firstLineChars="0"/>
              <w:jc w:val="center"/>
              <w:rPr>
                <w:rFonts w:asciiTheme="minorEastAsia" w:hAnsiTheme="minorEastAsia" w:eastAsiaTheme="minorEastAsia"/>
                <w:color w:val="auto"/>
                <w:szCs w:val="21"/>
                <w:highlight w:val="none"/>
              </w:rPr>
            </w:pPr>
          </w:p>
        </w:tc>
        <w:tc>
          <w:tcPr>
            <w:tcW w:w="135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获奖情况</w:t>
            </w:r>
          </w:p>
        </w:tc>
        <w:tc>
          <w:tcPr>
            <w:tcW w:w="5635" w:type="dxa"/>
            <w:tcBorders>
              <w:top w:val="single" w:color="000000" w:sz="8" w:space="0"/>
              <w:left w:val="single" w:color="000000" w:sz="8" w:space="0"/>
              <w:bottom w:val="single" w:color="000000" w:sz="8" w:space="0"/>
              <w:right w:val="single" w:color="000000" w:sz="8" w:space="0"/>
            </w:tcBorders>
          </w:tcPr>
          <w:p>
            <w:pPr>
              <w:ind w:left="-78" w:leftChars="-37" w:right="-73" w:rightChars="-35"/>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投标人具有工程设计</w:t>
            </w:r>
            <w:r>
              <w:rPr>
                <w:rFonts w:hint="eastAsia" w:asciiTheme="minorEastAsia" w:hAnsiTheme="minorEastAsia" w:eastAsiaTheme="minorEastAsia"/>
                <w:color w:val="auto"/>
                <w:szCs w:val="21"/>
                <w:highlight w:val="none"/>
                <w:lang w:val="en-US" w:eastAsia="zh-CN"/>
              </w:rPr>
              <w:t>类</w:t>
            </w:r>
            <w:r>
              <w:rPr>
                <w:rFonts w:hint="eastAsia" w:asciiTheme="minorEastAsia" w:hAnsiTheme="minorEastAsia" w:eastAsiaTheme="minorEastAsia"/>
                <w:color w:val="auto"/>
                <w:szCs w:val="21"/>
                <w:highlight w:val="none"/>
              </w:rPr>
              <w:t>相关奖项的：每</w:t>
            </w:r>
            <w:r>
              <w:rPr>
                <w:rFonts w:hint="eastAsia" w:asciiTheme="minorEastAsia" w:hAnsiTheme="minorEastAsia" w:eastAsiaTheme="minorEastAsia"/>
                <w:color w:val="auto"/>
                <w:szCs w:val="21"/>
                <w:highlight w:val="none"/>
                <w:lang w:val="en-US" w:eastAsia="zh-CN"/>
              </w:rPr>
              <w:t>提供一</w:t>
            </w:r>
            <w:r>
              <w:rPr>
                <w:rFonts w:hint="eastAsia" w:asciiTheme="minorEastAsia" w:hAnsiTheme="minorEastAsia" w:eastAsiaTheme="minorEastAsia"/>
                <w:color w:val="auto"/>
                <w:szCs w:val="21"/>
                <w:highlight w:val="none"/>
              </w:rPr>
              <w:t>项得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本项最高得</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p>
            <w:pPr>
              <w:ind w:left="-78" w:leftChars="-37" w:right="-73" w:rightChars="-35"/>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注：</w:t>
            </w:r>
            <w:r>
              <w:rPr>
                <w:rFonts w:hint="eastAsia" w:asciiTheme="minorEastAsia" w:hAnsiTheme="minorEastAsia" w:eastAsiaTheme="minorEastAsia"/>
                <w:color w:val="auto"/>
                <w:szCs w:val="21"/>
                <w:highlight w:val="none"/>
              </w:rPr>
              <w:t>提供获奖（荣誉）证书的扫描件（或官方网站截图）或奖牌照片，原件备查</w:t>
            </w:r>
            <w:r>
              <w:rPr>
                <w:rFonts w:hint="eastAsia" w:asciiTheme="minorEastAsia" w:hAnsiTheme="minorEastAsia" w:eastAsiaTheme="minorEastAsia"/>
                <w:color w:val="auto"/>
                <w:szCs w:val="21"/>
                <w:highlight w:val="none"/>
                <w:lang w:eastAsia="zh-CN"/>
              </w:rPr>
              <w:t>。未按要求提供或提供不清晰导致专家无</w:t>
            </w:r>
          </w:p>
          <w:p>
            <w:pPr>
              <w:ind w:left="-78" w:leftChars="-37" w:right="-73" w:rightChars="-35"/>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法判断的不得分。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3"/>
              <w:numPr>
                <w:ilvl w:val="0"/>
                <w:numId w:val="6"/>
              </w:numPr>
              <w:ind w:firstLineChars="0"/>
              <w:jc w:val="center"/>
              <w:rPr>
                <w:rFonts w:asciiTheme="minorEastAsia" w:hAnsiTheme="minorEastAsia" w:eastAsiaTheme="minorEastAsia"/>
                <w:color w:val="auto"/>
                <w:szCs w:val="21"/>
                <w:highlight w:val="none"/>
              </w:rPr>
            </w:pPr>
          </w:p>
        </w:tc>
        <w:tc>
          <w:tcPr>
            <w:tcW w:w="135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项目团队实力</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（1）项目负责人</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设计负责人</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具有有效的</w:t>
            </w:r>
            <w:r>
              <w:rPr>
                <w:rFonts w:hint="eastAsia" w:asciiTheme="minorEastAsia" w:hAnsiTheme="minorEastAsia" w:eastAsiaTheme="minorEastAsia"/>
                <w:color w:val="FF0000"/>
                <w:szCs w:val="21"/>
                <w:highlight w:val="yellow"/>
                <w:lang w:val="en-US" w:eastAsia="zh-CN"/>
              </w:rPr>
              <w:t>一级</w:t>
            </w:r>
            <w:r>
              <w:rPr>
                <w:rFonts w:hint="eastAsia" w:asciiTheme="minorEastAsia" w:hAnsiTheme="minorEastAsia" w:eastAsiaTheme="minorEastAsia"/>
                <w:color w:val="auto"/>
                <w:szCs w:val="21"/>
                <w:highlight w:val="yellow"/>
                <w:lang w:val="en-US" w:eastAsia="zh-CN"/>
              </w:rPr>
              <w:t>注册建筑师资格或高级工程师及以上职称得3分</w:t>
            </w:r>
            <w:r>
              <w:rPr>
                <w:rFonts w:asciiTheme="minorEastAsia" w:hAnsiTheme="minorEastAsia" w:eastAsiaTheme="minorEastAsia"/>
                <w:color w:val="auto"/>
                <w:szCs w:val="21"/>
                <w:highlight w:val="none"/>
              </w:rPr>
              <w:t>；</w:t>
            </w:r>
          </w:p>
          <w:p>
            <w:pPr>
              <w:wordWrap w:val="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yellow"/>
                <w:lang w:val="en-US" w:eastAsia="zh-CN"/>
              </w:rPr>
              <w:t>项目团队成员具有中级或以上职称的，每提供1人得1分，最高得3分。</w:t>
            </w:r>
            <w:r>
              <w:rPr>
                <w:rFonts w:asciiTheme="minorEastAsia" w:hAnsiTheme="minorEastAsia" w:eastAsiaTheme="minorEastAsia"/>
                <w:color w:val="auto"/>
                <w:szCs w:val="21"/>
                <w:highlight w:val="yellow"/>
              </w:rPr>
              <w:t xml:space="preserve"> </w:t>
            </w:r>
          </w:p>
          <w:p>
            <w:pPr>
              <w:wordWrap w:val="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以上两项累加计分，</w:t>
            </w:r>
            <w:r>
              <w:rPr>
                <w:rFonts w:asciiTheme="minorEastAsia" w:hAnsiTheme="minorEastAsia" w:eastAsiaTheme="minorEastAsia"/>
                <w:color w:val="auto"/>
                <w:szCs w:val="21"/>
                <w:highlight w:val="none"/>
              </w:rPr>
              <w:t>最</w:t>
            </w:r>
            <w:r>
              <w:rPr>
                <w:rFonts w:hint="eastAsia" w:asciiTheme="minorEastAsia" w:hAnsiTheme="minorEastAsia" w:eastAsiaTheme="minorEastAsia"/>
                <w:color w:val="auto"/>
                <w:szCs w:val="21"/>
                <w:highlight w:val="none"/>
              </w:rPr>
              <w:t>高</w:t>
            </w:r>
            <w:r>
              <w:rPr>
                <w:rFonts w:hint="eastAsia" w:asciiTheme="minorEastAsia" w:hAnsiTheme="minorEastAsia" w:eastAsiaTheme="minorEastAsia"/>
                <w:color w:val="auto"/>
                <w:szCs w:val="21"/>
                <w:highlight w:val="none"/>
                <w:lang w:val="en-US" w:eastAsia="zh-CN"/>
              </w:rPr>
              <w:t>得</w:t>
            </w:r>
            <w:r>
              <w:rPr>
                <w:rFonts w:asciiTheme="minorEastAsia" w:hAnsiTheme="minorEastAsia" w:eastAsiaTheme="minorEastAsia"/>
                <w:color w:val="auto"/>
                <w:szCs w:val="21"/>
                <w:highlight w:val="none"/>
              </w:rPr>
              <w:t xml:space="preserve">6分。 </w:t>
            </w:r>
          </w:p>
          <w:p>
            <w:pPr>
              <w:ind w:left="-78" w:leftChars="-37" w:right="-73" w:rightChars="-35"/>
              <w:jc w:val="left"/>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以上人员均必须提供相关职称/执业资格等证书的复印件及劳务合同复印件。</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p>
        </w:tc>
        <w:tc>
          <w:tcPr>
            <w:tcW w:w="697" w:type="dxa"/>
            <w:tcBorders>
              <w:left w:val="single" w:color="auto" w:sz="4" w:space="0"/>
            </w:tcBorders>
            <w:vAlign w:val="center"/>
          </w:tcPr>
          <w:p>
            <w:pPr>
              <w:ind w:left="-78" w:leftChars="-37" w:right="-73" w:rightChars="-35"/>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3"/>
              <w:numPr>
                <w:ilvl w:val="0"/>
                <w:numId w:val="6"/>
              </w:numPr>
              <w:ind w:firstLineChars="0"/>
              <w:jc w:val="center"/>
              <w:rPr>
                <w:rFonts w:asciiTheme="minorEastAsia" w:hAnsiTheme="minorEastAsia" w:eastAsiaTheme="minorEastAsia"/>
                <w:color w:val="auto"/>
                <w:szCs w:val="21"/>
                <w:highlight w:val="none"/>
              </w:rPr>
            </w:pPr>
          </w:p>
        </w:tc>
        <w:tc>
          <w:tcPr>
            <w:tcW w:w="1355" w:type="dxa"/>
            <w:vAlign w:val="center"/>
          </w:tcPr>
          <w:p>
            <w:pPr>
              <w:jc w:val="center"/>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rPr>
              <w:t>诚信</w:t>
            </w:r>
          </w:p>
        </w:tc>
        <w:tc>
          <w:tcPr>
            <w:tcW w:w="5635" w:type="dxa"/>
            <w:vAlign w:val="center"/>
          </w:tcPr>
          <w:p>
            <w:pPr>
              <w:spacing w:line="36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780" w:type="dxa"/>
            <w:tcBorders>
              <w:right w:val="single" w:color="auto" w:sz="4" w:space="0"/>
            </w:tcBorders>
            <w:vAlign w:val="center"/>
          </w:tcPr>
          <w:p>
            <w:pPr>
              <w:ind w:left="-78" w:leftChars="-37" w:right="-73" w:rightChars="-3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合计</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100分</w:t>
            </w:r>
          </w:p>
        </w:tc>
      </w:tr>
    </w:tbl>
    <w:p>
      <w:pPr>
        <w:snapToGrid w:val="0"/>
        <w:spacing w:line="360" w:lineRule="auto"/>
        <w:rPr>
          <w:rFonts w:ascii="宋体" w:cs="宋体"/>
          <w:snapToGrid w:val="0"/>
          <w:color w:val="auto"/>
          <w:kern w:val="0"/>
          <w:highlight w:val="none"/>
        </w:rPr>
      </w:pPr>
      <w:r>
        <w:rPr>
          <w:rFonts w:hint="eastAsia" w:ascii="宋体" w:cs="宋体"/>
          <w:snapToGrid w:val="0"/>
          <w:color w:val="auto"/>
          <w:kern w:val="0"/>
          <w:highlight w:val="none"/>
        </w:rPr>
        <w:t>备注：</w:t>
      </w:r>
    </w:p>
    <w:p>
      <w:pPr>
        <w:tabs>
          <w:tab w:val="left" w:pos="420"/>
        </w:tabs>
        <w:snapToGrid w:val="0"/>
        <w:spacing w:line="360" w:lineRule="auto"/>
        <w:rPr>
          <w:rFonts w:ascii="宋体" w:hAnsi="宋体"/>
          <w:bCs/>
          <w:color w:val="auto"/>
          <w:highlight w:val="none"/>
        </w:rPr>
      </w:pPr>
      <w:r>
        <w:rPr>
          <w:rFonts w:hint="eastAsia" w:ascii="宋体" w:hAnsi="宋体"/>
          <w:bCs/>
          <w:color w:val="auto"/>
          <w:highlight w:val="none"/>
        </w:rPr>
        <w:t>招标文件要求提交的与评价指标体系相关的各类有效资料，投标人如未按要求提交的，该项评分为零分。</w:t>
      </w:r>
    </w:p>
    <w:bookmarkEnd w:id="27"/>
    <w:p>
      <w:pPr>
        <w:pStyle w:val="5"/>
        <w:numPr>
          <w:ilvl w:val="0"/>
          <w:numId w:val="2"/>
        </w:numPr>
        <w:spacing w:line="240" w:lineRule="auto"/>
        <w:jc w:val="center"/>
        <w:rPr>
          <w:rFonts w:asciiTheme="majorEastAsia" w:hAnsiTheme="majorEastAsia" w:eastAsiaTheme="majorEastAsia"/>
          <w:color w:val="auto"/>
          <w:sz w:val="30"/>
          <w:szCs w:val="30"/>
          <w:highlight w:val="none"/>
        </w:rPr>
      </w:pPr>
      <w:bookmarkStart w:id="34" w:name="_Toc28621"/>
      <w:r>
        <w:rPr>
          <w:rFonts w:hint="eastAsia" w:asciiTheme="majorEastAsia" w:hAnsiTheme="majorEastAsia" w:eastAsiaTheme="majorEastAsia"/>
          <w:color w:val="auto"/>
          <w:sz w:val="30"/>
          <w:szCs w:val="30"/>
          <w:highlight w:val="none"/>
        </w:rPr>
        <w:t>评标、定标</w:t>
      </w:r>
      <w:bookmarkEnd w:id="34"/>
    </w:p>
    <w:p>
      <w:pPr>
        <w:pStyle w:val="83"/>
        <w:widowControl/>
        <w:numPr>
          <w:ilvl w:val="0"/>
          <w:numId w:val="7"/>
        </w:numPr>
        <w:spacing w:line="360" w:lineRule="auto"/>
        <w:ind w:firstLineChars="0"/>
        <w:jc w:val="left"/>
        <w:rPr>
          <w:rFonts w:hAnsi="宋体"/>
          <w:color w:val="auto"/>
          <w:highlight w:val="none"/>
        </w:rPr>
      </w:pPr>
      <w:r>
        <w:rPr>
          <w:rFonts w:hint="eastAsia" w:hAnsi="宋体"/>
          <w:color w:val="auto"/>
          <w:highlight w:val="none"/>
        </w:rPr>
        <w:t>评标委员会的组成</w:t>
      </w:r>
    </w:p>
    <w:p>
      <w:pPr>
        <w:pStyle w:val="83"/>
        <w:widowControl/>
        <w:numPr>
          <w:ilvl w:val="1"/>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评标委员会依法组建，由5</w:t>
      </w:r>
      <w:r>
        <w:rPr>
          <w:rFonts w:hint="eastAsia" w:ascii="宋体" w:hAnsi="宋体" w:cs="宋体"/>
          <w:color w:val="auto"/>
          <w:szCs w:val="21"/>
          <w:highlight w:val="none"/>
        </w:rPr>
        <w:t>人</w:t>
      </w:r>
      <w:r>
        <w:rPr>
          <w:rFonts w:hint="eastAsia" w:ascii="宋体" w:hAnsi="宋体" w:cs="宋体"/>
          <w:color w:val="auto"/>
          <w:szCs w:val="21"/>
          <w:highlight w:val="none"/>
          <w:lang w:eastAsia="zh-TW"/>
        </w:rPr>
        <w:t>单数组成。</w:t>
      </w:r>
    </w:p>
    <w:p>
      <w:pPr>
        <w:pStyle w:val="83"/>
        <w:widowControl/>
        <w:numPr>
          <w:ilvl w:val="1"/>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评标委员会成员名单在评标结果公告前应当保密。评审专家有下列情形之一的，受到邀请应主动提出回避，采购当事人也可以要求该评审专家回避：</w:t>
      </w:r>
    </w:p>
    <w:p>
      <w:pPr>
        <w:pStyle w:val="113"/>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参加采购活动前3年内与供应商存在劳动关系；</w:t>
      </w:r>
    </w:p>
    <w:p>
      <w:pPr>
        <w:pStyle w:val="113"/>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参加采购活动前3年内担任供应商的董事、监事；</w:t>
      </w:r>
    </w:p>
    <w:p>
      <w:pPr>
        <w:pStyle w:val="113"/>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参加采购活动前3年内是供应商的控股股东或者实际控制人；</w:t>
      </w:r>
    </w:p>
    <w:p>
      <w:pPr>
        <w:pStyle w:val="113"/>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与供应商的法定代表人或者负责人有夫妻、直系血亲、三代以内旁系血亲或者近姻亲关系；</w:t>
      </w:r>
    </w:p>
    <w:p>
      <w:pPr>
        <w:pStyle w:val="113"/>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与供应商有其他可能影响采购活动公平、公正进行的关系。</w:t>
      </w:r>
    </w:p>
    <w:p>
      <w:pPr>
        <w:pStyle w:val="83"/>
        <w:widowControl/>
        <w:numPr>
          <w:ilvl w:val="1"/>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评标委员会和有关工作人员不得透露对投标文件的评审和比较以及与评标有关的其他情况。</w:t>
      </w:r>
    </w:p>
    <w:p>
      <w:pPr>
        <w:pStyle w:val="83"/>
        <w:widowControl/>
        <w:numPr>
          <w:ilvl w:val="1"/>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评标委员会负责具体评标事务，并独立履行下列职责：</w:t>
      </w:r>
    </w:p>
    <w:p>
      <w:pPr>
        <w:pStyle w:val="83"/>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审查、评价投标文件是否符合招标文件的商务、技术等实质性要求；</w:t>
      </w:r>
    </w:p>
    <w:p>
      <w:pPr>
        <w:pStyle w:val="83"/>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83"/>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83"/>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确定中标候选人名单，以及根据采购人委托直接确定中标人；</w:t>
      </w:r>
    </w:p>
    <w:p>
      <w:pPr>
        <w:pStyle w:val="83"/>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向采购人或者有关部门报告评标中发现的违法行为。</w:t>
      </w:r>
    </w:p>
    <w:p>
      <w:pPr>
        <w:pStyle w:val="83"/>
        <w:widowControl/>
        <w:numPr>
          <w:ilvl w:val="1"/>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对于投标文件中含义不明确、同类问题表述不一致或者有明显文字和计算错误的内容，评标委员会应当以书面形式要求投标人作出必要的澄清、说明或者补正。</w:t>
      </w:r>
    </w:p>
    <w:p>
      <w:pPr>
        <w:pStyle w:val="83"/>
        <w:widowControl/>
        <w:numPr>
          <w:ilvl w:val="1"/>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83"/>
        <w:widowControl/>
        <w:numPr>
          <w:ilvl w:val="1"/>
          <w:numId w:val="7"/>
        </w:numPr>
        <w:spacing w:line="360" w:lineRule="auto"/>
        <w:ind w:firstLineChars="0"/>
        <w:jc w:val="left"/>
        <w:rPr>
          <w:rFonts w:ascii="宋体" w:hAnsi="宋体" w:cs="宋体"/>
          <w:color w:val="auto"/>
          <w:szCs w:val="21"/>
          <w:highlight w:val="none"/>
          <w:lang w:eastAsia="zh-TW"/>
        </w:rPr>
      </w:pPr>
      <w:r>
        <w:rPr>
          <w:color w:val="auto"/>
          <w:highlight w:val="none"/>
        </w:rPr>
        <w:t>评标委员会决定投标的响应性只根据投标文件中提供的材料内容，而不依据外部的材料证据</w:t>
      </w:r>
      <w:r>
        <w:rPr>
          <w:rFonts w:hint="eastAsia" w:ascii="宋体" w:hAnsi="宋体" w:cs="宋体"/>
          <w:color w:val="auto"/>
          <w:szCs w:val="21"/>
          <w:highlight w:val="none"/>
          <w:lang w:eastAsia="zh-TW"/>
        </w:rPr>
        <w:t>。</w:t>
      </w:r>
    </w:p>
    <w:p>
      <w:pPr>
        <w:pStyle w:val="83"/>
        <w:widowControl/>
        <w:numPr>
          <w:ilvl w:val="1"/>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83"/>
        <w:widowControl/>
        <w:numPr>
          <w:ilvl w:val="0"/>
          <w:numId w:val="7"/>
        </w:numPr>
        <w:spacing w:line="360" w:lineRule="auto"/>
        <w:ind w:firstLineChars="0"/>
        <w:jc w:val="left"/>
        <w:rPr>
          <w:rFonts w:hAnsi="宋体"/>
          <w:b/>
          <w:color w:val="auto"/>
          <w:highlight w:val="none"/>
        </w:rPr>
      </w:pPr>
      <w:r>
        <w:rPr>
          <w:rFonts w:hint="eastAsia" w:hAnsi="宋体"/>
          <w:b/>
          <w:color w:val="auto"/>
          <w:highlight w:val="none"/>
        </w:rPr>
        <w:t>评标（适用综合评分法）：</w:t>
      </w:r>
    </w:p>
    <w:p>
      <w:pPr>
        <w:pStyle w:val="83"/>
        <w:widowControl/>
        <w:numPr>
          <w:ilvl w:val="1"/>
          <w:numId w:val="7"/>
        </w:numPr>
        <w:spacing w:line="360" w:lineRule="auto"/>
        <w:ind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评标方法：</w:t>
      </w:r>
      <w:r>
        <w:rPr>
          <w:rFonts w:hint="eastAsia" w:asciiTheme="minorEastAsia" w:hAnsiTheme="minorEastAsia" w:eastAsiaTheme="minorEastAsia" w:cstheme="minorEastAsia"/>
          <w:color w:val="auto"/>
          <w:highlight w:val="none"/>
        </w:rPr>
        <w:t>综合评分法，是指投标文件满足招标文件全部实质性要求，且按照评审因素的量化指标评审得分最高的投标人为中标候选人的评标方法。</w:t>
      </w:r>
    </w:p>
    <w:p>
      <w:pPr>
        <w:pStyle w:val="83"/>
        <w:widowControl/>
        <w:spacing w:line="360" w:lineRule="auto"/>
        <w:ind w:left="567"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评标总得分＝F1×A1＋F2×A2＋……＋Fn×An </w:t>
      </w:r>
    </w:p>
    <w:p>
      <w:pPr>
        <w:pStyle w:val="83"/>
        <w:widowControl/>
        <w:spacing w:line="360" w:lineRule="auto"/>
        <w:ind w:left="567"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F1、F2……Fn分别为各项评审因素的得分； </w:t>
      </w:r>
    </w:p>
    <w:p>
      <w:pPr>
        <w:pStyle w:val="83"/>
        <w:widowControl/>
        <w:spacing w:line="360" w:lineRule="auto"/>
        <w:ind w:left="567" w:firstLine="0" w:firstLineChars="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A1、A2、……An 分别为各项评审因素所占的权重（A1＋A2＋……＋An＝1）。</w:t>
      </w:r>
    </w:p>
    <w:p>
      <w:pPr>
        <w:pStyle w:val="83"/>
        <w:widowControl/>
        <w:numPr>
          <w:ilvl w:val="1"/>
          <w:numId w:val="7"/>
        </w:numPr>
        <w:spacing w:line="360" w:lineRule="auto"/>
        <w:ind w:firstLineChars="0"/>
        <w:jc w:val="left"/>
        <w:rPr>
          <w:rFonts w:ascii="宋体" w:hAnsi="宋体"/>
          <w:bCs/>
          <w:color w:val="auto"/>
          <w:szCs w:val="21"/>
          <w:highlight w:val="none"/>
        </w:rPr>
      </w:pPr>
      <w:r>
        <w:rPr>
          <w:rFonts w:hint="eastAsia" w:ascii="宋体" w:hAnsi="宋体"/>
          <w:bCs/>
          <w:color w:val="auto"/>
          <w:szCs w:val="21"/>
          <w:highlight w:val="none"/>
        </w:rPr>
        <w:t>评标步骤：</w:t>
      </w:r>
    </w:p>
    <w:p>
      <w:pPr>
        <w:pStyle w:val="83"/>
        <w:widowControl/>
        <w:numPr>
          <w:ilvl w:val="2"/>
          <w:numId w:val="7"/>
        </w:numPr>
        <w:spacing w:line="360" w:lineRule="auto"/>
        <w:ind w:firstLineChars="0"/>
        <w:jc w:val="left"/>
        <w:rPr>
          <w:rFonts w:ascii="宋体" w:hAnsi="宋体"/>
          <w:bCs/>
          <w:color w:val="auto"/>
          <w:szCs w:val="21"/>
          <w:highlight w:val="none"/>
        </w:rPr>
      </w:pPr>
      <w:r>
        <w:rPr>
          <w:rFonts w:hint="eastAsia" w:ascii="宋体" w:hAnsi="宋体"/>
          <w:bCs/>
          <w:color w:val="auto"/>
          <w:szCs w:val="21"/>
          <w:highlight w:val="none"/>
        </w:rPr>
        <w:t>本项目按各包组进行独立评审，按包组的自然顺序进行评审。</w:t>
      </w:r>
    </w:p>
    <w:p>
      <w:pPr>
        <w:pStyle w:val="83"/>
        <w:widowControl/>
        <w:numPr>
          <w:ilvl w:val="2"/>
          <w:numId w:val="7"/>
        </w:numPr>
        <w:spacing w:line="360" w:lineRule="auto"/>
        <w:ind w:firstLineChars="0"/>
        <w:jc w:val="left"/>
        <w:rPr>
          <w:rFonts w:ascii="宋体" w:cs="宋体"/>
          <w:color w:val="auto"/>
          <w:szCs w:val="21"/>
          <w:highlight w:val="none"/>
        </w:rPr>
      </w:pPr>
      <w:r>
        <w:rPr>
          <w:rFonts w:hint="eastAsia" w:ascii="宋体" w:hAnsi="宋体"/>
          <w:bCs/>
          <w:color w:val="auto"/>
          <w:szCs w:val="21"/>
          <w:highlight w:val="none"/>
        </w:rPr>
        <w:t>资格性审查：</w:t>
      </w:r>
      <w:r>
        <w:rPr>
          <w:rFonts w:hint="eastAsia" w:ascii="宋体" w:cs="宋体"/>
          <w:color w:val="auto"/>
          <w:szCs w:val="21"/>
          <w:highlight w:val="none"/>
        </w:rPr>
        <w:t>开标结束后，采购人应当依法对投标人的资格进行审查，详见《资格性审查表》。对初步被认定为资格性审查不合格的，可实行告知投标当事人，以让其核证、澄清事实。未通过资格性审查的投标人，不进入符合性审查。</w:t>
      </w:r>
    </w:p>
    <w:p>
      <w:pPr>
        <w:pStyle w:val="83"/>
        <w:widowControl/>
        <w:numPr>
          <w:ilvl w:val="2"/>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符合性审查：评标委员会应当对符合资格的投标人的投标文件进行符合性审查，详见《符合性审查表》，以确定其是否满足招标文件的实质性要求。</w:t>
      </w:r>
      <w:r>
        <w:rPr>
          <w:rFonts w:hint="eastAsia" w:ascii="宋体" w:hAnsi="宋体" w:cs="宋体"/>
          <w:color w:val="auto"/>
          <w:szCs w:val="21"/>
          <w:highlight w:val="none"/>
          <w:lang w:eastAsia="zh-TW"/>
        </w:rPr>
        <w:t>评标委员会对初步被认定为符合性审查不合格或无效投标者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由评标委员会主任或采购人代表将集体意见现场及时告知投标当事人，以让其核证、澄清事实。</w:t>
      </w:r>
      <w:r>
        <w:rPr>
          <w:rFonts w:hint="eastAsia" w:ascii="宋体" w:cs="宋体"/>
          <w:color w:val="auto"/>
          <w:szCs w:val="21"/>
          <w:highlight w:val="none"/>
        </w:rPr>
        <w:t>未通过符合性审查的投标人，不进入技术、商务和价格评审。</w:t>
      </w:r>
    </w:p>
    <w:p>
      <w:pPr>
        <w:pStyle w:val="83"/>
        <w:widowControl/>
        <w:numPr>
          <w:ilvl w:val="2"/>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详细评审及推荐中标候选人：</w:t>
      </w:r>
    </w:p>
    <w:p>
      <w:pPr>
        <w:pStyle w:val="83"/>
        <w:widowControl/>
        <w:numPr>
          <w:ilvl w:val="3"/>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评标委员会对符合性审查合格的投标文件进行商务和技术评估，综合比较与评价，具体技术、商务、价格部分的评审因素详见《综合评分表》。</w:t>
      </w:r>
    </w:p>
    <w:p>
      <w:pPr>
        <w:pStyle w:val="83"/>
        <w:widowControl/>
        <w:numPr>
          <w:ilvl w:val="3"/>
          <w:numId w:val="7"/>
        </w:numPr>
        <w:spacing w:line="360" w:lineRule="auto"/>
        <w:ind w:firstLineChars="0"/>
        <w:jc w:val="left"/>
        <w:rPr>
          <w:rFonts w:ascii="宋体" w:hAnsi="宋体"/>
          <w:color w:val="auto"/>
          <w:szCs w:val="21"/>
          <w:highlight w:val="none"/>
        </w:rPr>
      </w:pPr>
      <w:bookmarkStart w:id="35" w:name="EB067d940baba349e582b898bfd18c9719"/>
      <w:r>
        <w:rPr>
          <w:rFonts w:ascii="宋体" w:hAnsi="宋体" w:cs="宋体"/>
          <w:color w:val="auto"/>
          <w:szCs w:val="21"/>
          <w:highlight w:val="none"/>
        </w:rPr>
        <w:t>综合</w:t>
      </w:r>
      <w:r>
        <w:rPr>
          <w:rFonts w:hint="eastAsia" w:ascii="宋体" w:hAnsi="宋体" w:cs="宋体"/>
          <w:color w:val="auto"/>
          <w:szCs w:val="21"/>
          <w:highlight w:val="none"/>
        </w:rPr>
        <w:t>得分</w:t>
      </w:r>
      <w:r>
        <w:rPr>
          <w:rFonts w:ascii="宋体" w:hAnsi="宋体" w:cs="宋体"/>
          <w:color w:val="auto"/>
          <w:szCs w:val="21"/>
          <w:highlight w:val="none"/>
        </w:rPr>
        <w:t>=技术</w:t>
      </w:r>
      <w:r>
        <w:rPr>
          <w:rFonts w:hint="eastAsia" w:ascii="宋体" w:hAnsi="宋体" w:cs="宋体"/>
          <w:color w:val="auto"/>
          <w:szCs w:val="21"/>
          <w:highlight w:val="none"/>
        </w:rPr>
        <w:t>得分</w:t>
      </w:r>
      <w:r>
        <w:rPr>
          <w:rFonts w:ascii="宋体" w:hAnsi="宋体" w:cs="宋体"/>
          <w:color w:val="auto"/>
          <w:szCs w:val="21"/>
          <w:highlight w:val="none"/>
        </w:rPr>
        <w:t>+商务</w:t>
      </w:r>
      <w:r>
        <w:rPr>
          <w:rFonts w:hint="eastAsia" w:ascii="宋体" w:hAnsi="宋体" w:cs="宋体"/>
          <w:color w:val="auto"/>
          <w:szCs w:val="21"/>
          <w:highlight w:val="none"/>
        </w:rPr>
        <w:t>得分</w:t>
      </w:r>
      <w:bookmarkEnd w:id="35"/>
      <w:r>
        <w:rPr>
          <w:rFonts w:hint="eastAsia" w:ascii="宋体" w:hAnsi="宋体" w:cs="宋体"/>
          <w:color w:val="auto"/>
          <w:szCs w:val="21"/>
          <w:highlight w:val="none"/>
        </w:rPr>
        <w:t>。</w:t>
      </w:r>
    </w:p>
    <w:p>
      <w:pPr>
        <w:pStyle w:val="83"/>
        <w:widowControl/>
        <w:numPr>
          <w:ilvl w:val="3"/>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使用综合评分法的采购项目，单一产品采购</w:t>
      </w:r>
      <w:r>
        <w:rPr>
          <w:rFonts w:hint="eastAsia" w:ascii="宋体" w:hAnsi="宋体"/>
          <w:color w:val="auto"/>
          <w:szCs w:val="21"/>
          <w:highlight w:val="none"/>
        </w:rPr>
        <w:t>项目</w:t>
      </w:r>
      <w:r>
        <w:rPr>
          <w:rFonts w:hint="eastAsia" w:ascii="宋体" w:hAnsi="宋体" w:cs="宋体"/>
          <w:color w:val="auto"/>
          <w:szCs w:val="21"/>
          <w:highlight w:val="none"/>
          <w:lang w:eastAsia="zh-TW"/>
        </w:rPr>
        <w:t>提供相同品牌产品或</w:t>
      </w:r>
      <w:r>
        <w:rPr>
          <w:rFonts w:hint="eastAsia" w:ascii="宋体" w:hAnsi="宋体"/>
          <w:color w:val="auto"/>
          <w:szCs w:val="21"/>
          <w:highlight w:val="none"/>
        </w:rPr>
        <w:t>非单一产品采购项目多家投标人提供的核心产品品牌相同的，</w:t>
      </w:r>
      <w:r>
        <w:rPr>
          <w:rFonts w:hint="eastAsia" w:ascii="宋体" w:hAnsi="宋体" w:cs="宋体"/>
          <w:color w:val="auto"/>
          <w:szCs w:val="21"/>
          <w:highlight w:val="none"/>
          <w:lang w:eastAsia="zh-TW"/>
        </w:rPr>
        <w:t>且通过资格审查、符合性审查的不同投标人参加同一合同项下投标的，按一家投标人计算，评审后得分最高的同品牌投标人获得中标人推荐资格；评审得分相同的，其他同品牌投标人不作为中标候选人。</w:t>
      </w:r>
    </w:p>
    <w:p>
      <w:pPr>
        <w:pStyle w:val="83"/>
        <w:widowControl/>
        <w:numPr>
          <w:ilvl w:val="3"/>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采用综合评分法的，评标结果按评审后得分由高到低顺序排列。得分相同的并列。投标文件满足招标文件全部实质性要求，且按照评审因素的量化指标评审得分最高的投标人为排名第一的中标候选人。</w:t>
      </w:r>
    </w:p>
    <w:p>
      <w:pPr>
        <w:pStyle w:val="83"/>
        <w:widowControl/>
        <w:numPr>
          <w:ilvl w:val="3"/>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推荐综合得分排名第一的投标人为第一中标候选人，排名第二的投标人为第二中标候选人，排名第三的投标人为第三中标候选人。</w:t>
      </w:r>
    </w:p>
    <w:p>
      <w:pPr>
        <w:pStyle w:val="83"/>
        <w:widowControl/>
        <w:numPr>
          <w:ilvl w:val="3"/>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第一中标候选人并列的，由采购人采取随机抽取的方式确定中标人。</w:t>
      </w:r>
    </w:p>
    <w:p>
      <w:pPr>
        <w:pStyle w:val="113"/>
        <w:widowControl/>
        <w:numPr>
          <w:ilvl w:val="0"/>
          <w:numId w:val="7"/>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113"/>
        <w:widowControl/>
        <w:numPr>
          <w:ilvl w:val="1"/>
          <w:numId w:val="7"/>
        </w:numPr>
        <w:spacing w:line="360" w:lineRule="auto"/>
        <w:ind w:left="426" w:hanging="426" w:firstLineChars="0"/>
        <w:jc w:val="left"/>
        <w:rPr>
          <w:rFonts w:ascii="宋体" w:hAnsi="宋体"/>
          <w:color w:val="auto"/>
          <w:szCs w:val="21"/>
          <w:highlight w:val="none"/>
        </w:rPr>
      </w:pPr>
      <w:r>
        <w:rPr>
          <w:rFonts w:hint="eastAsia" w:ascii="宋体" w:hAnsi="宋体"/>
          <w:color w:val="auto"/>
          <w:szCs w:val="21"/>
          <w:highlight w:val="none"/>
        </w:rPr>
        <w:t>采购人在收到评标报告</w:t>
      </w:r>
      <w:r>
        <w:rPr>
          <w:rFonts w:ascii="宋体" w:hAnsi="宋体"/>
          <w:color w:val="auto"/>
          <w:szCs w:val="21"/>
          <w:highlight w:val="none"/>
        </w:rPr>
        <w:t>3</w:t>
      </w:r>
      <w:r>
        <w:rPr>
          <w:rFonts w:hint="eastAsia" w:ascii="宋体" w:hAnsi="宋体"/>
          <w:color w:val="auto"/>
          <w:szCs w:val="21"/>
          <w:highlight w:val="none"/>
        </w:rPr>
        <w:t>个工作日内确定中标人，按照评标报告中推荐的中标候选人顺序确定中标人，也可以事先授权评标委员会直接确定中标人。确认后采购人将在刊登本项目招标公告的法定媒体上</w:t>
      </w:r>
      <w:r>
        <w:rPr>
          <w:rFonts w:ascii="宋体" w:hAnsi="宋体"/>
          <w:color w:val="auto"/>
          <w:szCs w:val="21"/>
          <w:highlight w:val="none"/>
        </w:rPr>
        <w:t>发</w:t>
      </w:r>
      <w:r>
        <w:rPr>
          <w:rFonts w:hint="eastAsia" w:ascii="宋体" w:hAnsi="宋体"/>
          <w:color w:val="auto"/>
          <w:szCs w:val="21"/>
          <w:highlight w:val="none"/>
        </w:rPr>
        <w:t>布中标公告。</w:t>
      </w:r>
    </w:p>
    <w:p>
      <w:pPr>
        <w:pStyle w:val="113"/>
        <w:widowControl/>
        <w:numPr>
          <w:ilvl w:val="1"/>
          <w:numId w:val="7"/>
        </w:numPr>
        <w:spacing w:line="360" w:lineRule="auto"/>
        <w:ind w:left="426" w:hanging="426" w:firstLineChars="0"/>
        <w:jc w:val="left"/>
        <w:rPr>
          <w:rFonts w:ascii="宋体" w:hAnsi="宋体"/>
          <w:color w:val="auto"/>
          <w:szCs w:val="21"/>
          <w:highlight w:val="none"/>
        </w:rPr>
      </w:pPr>
      <w:r>
        <w:rPr>
          <w:rFonts w:hint="eastAsia" w:ascii="宋体" w:hAnsi="宋体"/>
          <w:color w:val="auto"/>
          <w:szCs w:val="21"/>
          <w:highlight w:val="none"/>
        </w:rPr>
        <w:t>中标人拒绝与采购人签订合同的，采购人可以按照评审报告推荐的中标候选人名单排序，确定下一候选人为中标人，也可以重新开展政府采购活动。</w:t>
      </w:r>
    </w:p>
    <w:p>
      <w:pPr>
        <w:pStyle w:val="83"/>
        <w:widowControl/>
        <w:numPr>
          <w:ilvl w:val="0"/>
          <w:numId w:val="7"/>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83"/>
        <w:widowControl/>
        <w:numPr>
          <w:ilvl w:val="1"/>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有下列情形之一的，视为投标人串通投标，其投标无效：</w:t>
      </w:r>
    </w:p>
    <w:p>
      <w:pPr>
        <w:pStyle w:val="83"/>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83"/>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83"/>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p>
    <w:p>
      <w:pPr>
        <w:pStyle w:val="83"/>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83"/>
        <w:widowControl/>
        <w:numPr>
          <w:ilvl w:val="1"/>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投标人存在下列情况之一的，投标无效：</w:t>
      </w:r>
    </w:p>
    <w:p>
      <w:pPr>
        <w:pStyle w:val="83"/>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投标文件未按招标文件要求签署、盖章的；</w:t>
      </w:r>
    </w:p>
    <w:p>
      <w:pPr>
        <w:pStyle w:val="83"/>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不具备招标文件中规定的资格要求的；</w:t>
      </w:r>
    </w:p>
    <w:p>
      <w:pPr>
        <w:pStyle w:val="83"/>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投标文件含有采购人不能接受的附加条件的；</w:t>
      </w:r>
    </w:p>
    <w:p>
      <w:pPr>
        <w:pStyle w:val="83"/>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法律法规和招标文件规定的其他无效情形。</w:t>
      </w:r>
    </w:p>
    <w:p>
      <w:pPr>
        <w:pStyle w:val="83"/>
        <w:widowControl/>
        <w:numPr>
          <w:ilvl w:val="1"/>
          <w:numId w:val="7"/>
        </w:numPr>
        <w:spacing w:line="360" w:lineRule="auto"/>
        <w:ind w:firstLineChars="0"/>
        <w:jc w:val="left"/>
        <w:rPr>
          <w:rFonts w:ascii="宋体" w:hAnsi="宋体"/>
          <w:b/>
          <w:color w:val="auto"/>
          <w:szCs w:val="21"/>
          <w:highlight w:val="none"/>
        </w:rPr>
      </w:pPr>
      <w:r>
        <w:rPr>
          <w:rFonts w:ascii="宋体" w:hAnsi="宋体"/>
          <w:b/>
          <w:color w:val="auto"/>
          <w:szCs w:val="21"/>
          <w:highlight w:val="none"/>
        </w:rPr>
        <w:t>废标</w:t>
      </w:r>
    </w:p>
    <w:p>
      <w:pPr>
        <w:pStyle w:val="83"/>
        <w:widowControl/>
        <w:numPr>
          <w:ilvl w:val="2"/>
          <w:numId w:val="7"/>
        </w:numPr>
        <w:spacing w:line="360" w:lineRule="auto"/>
        <w:ind w:firstLineChars="0"/>
        <w:jc w:val="left"/>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pStyle w:val="83"/>
        <w:widowControl/>
        <w:numPr>
          <w:ilvl w:val="2"/>
          <w:numId w:val="7"/>
        </w:numPr>
        <w:spacing w:line="360" w:lineRule="auto"/>
        <w:ind w:firstLineChars="0"/>
        <w:jc w:val="left"/>
        <w:rPr>
          <w:rFonts w:ascii="宋体" w:hAnsi="宋体"/>
          <w:color w:val="auto"/>
          <w:szCs w:val="21"/>
          <w:highlight w:val="none"/>
        </w:rPr>
      </w:pPr>
      <w:r>
        <w:rPr>
          <w:rFonts w:ascii="宋体" w:hAnsi="宋体"/>
          <w:color w:val="auto"/>
          <w:szCs w:val="21"/>
          <w:highlight w:val="none"/>
        </w:rPr>
        <w:t>符合专业条件的供应商或者对</w:t>
      </w:r>
      <w:r>
        <w:rPr>
          <w:rFonts w:hint="eastAsia" w:ascii="宋体" w:hAnsi="宋体"/>
          <w:color w:val="auto"/>
          <w:szCs w:val="21"/>
          <w:highlight w:val="none"/>
        </w:rPr>
        <w:t>招标</w:t>
      </w:r>
      <w:r>
        <w:rPr>
          <w:rFonts w:ascii="宋体" w:hAnsi="宋体"/>
          <w:color w:val="auto"/>
          <w:szCs w:val="21"/>
          <w:highlight w:val="none"/>
        </w:rPr>
        <w:t>文件作实质响应的供应商不足三家的；</w:t>
      </w:r>
    </w:p>
    <w:p>
      <w:pPr>
        <w:pStyle w:val="83"/>
        <w:widowControl/>
        <w:numPr>
          <w:ilvl w:val="2"/>
          <w:numId w:val="7"/>
        </w:numPr>
        <w:spacing w:line="360" w:lineRule="auto"/>
        <w:ind w:firstLineChars="0"/>
        <w:jc w:val="left"/>
        <w:rPr>
          <w:rFonts w:ascii="宋体" w:hAnsi="宋体"/>
          <w:color w:val="auto"/>
          <w:szCs w:val="21"/>
          <w:highlight w:val="none"/>
        </w:rPr>
      </w:pPr>
      <w:r>
        <w:rPr>
          <w:rFonts w:ascii="宋体" w:hAnsi="宋体"/>
          <w:color w:val="auto"/>
          <w:szCs w:val="21"/>
          <w:highlight w:val="none"/>
        </w:rPr>
        <w:t>出现影响采购公正的违法、违规行为的；</w:t>
      </w:r>
    </w:p>
    <w:p>
      <w:pPr>
        <w:pStyle w:val="83"/>
        <w:widowControl/>
        <w:numPr>
          <w:ilvl w:val="2"/>
          <w:numId w:val="7"/>
        </w:numPr>
        <w:spacing w:line="360" w:lineRule="auto"/>
        <w:ind w:firstLineChars="0"/>
        <w:jc w:val="left"/>
        <w:rPr>
          <w:rFonts w:ascii="宋体" w:hAnsi="宋体"/>
          <w:color w:val="auto"/>
          <w:szCs w:val="21"/>
          <w:highlight w:val="none"/>
        </w:rPr>
      </w:pPr>
      <w:r>
        <w:rPr>
          <w:rFonts w:ascii="宋体" w:hAnsi="宋体"/>
          <w:color w:val="auto"/>
          <w:szCs w:val="21"/>
          <w:highlight w:val="none"/>
        </w:rPr>
        <w:t>因重大变故，采购任务取消的</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br w:type="page"/>
      </w:r>
    </w:p>
    <w:p>
      <w:pPr>
        <w:spacing w:before="156" w:beforeLines="50" w:after="156" w:afterLines="50" w:line="360" w:lineRule="auto"/>
        <w:jc w:val="center"/>
        <w:outlineLvl w:val="0"/>
        <w:rPr>
          <w:rFonts w:hint="eastAsia" w:eastAsia="宋体"/>
          <w:b/>
          <w:bCs/>
          <w:color w:val="auto"/>
          <w:sz w:val="28"/>
          <w:szCs w:val="28"/>
          <w:highlight w:val="none"/>
          <w:lang w:eastAsia="zh-CN"/>
        </w:rPr>
      </w:pPr>
      <w:bookmarkStart w:id="36" w:name="_Toc8307305"/>
      <w:bookmarkStart w:id="37" w:name="_Toc29575"/>
      <w:bookmarkStart w:id="38" w:name="_Toc10385"/>
      <w:bookmarkStart w:id="39" w:name="_Toc983_WPSOffice_Level1"/>
      <w:bookmarkStart w:id="40" w:name="_Toc2747"/>
      <w:r>
        <w:rPr>
          <w:rFonts w:hint="eastAsia"/>
          <w:b/>
          <w:bCs/>
          <w:color w:val="auto"/>
          <w:sz w:val="28"/>
          <w:szCs w:val="28"/>
          <w:highlight w:val="none"/>
        </w:rPr>
        <w:t>第五章 合同文本</w:t>
      </w:r>
      <w:bookmarkEnd w:id="36"/>
      <w:bookmarkEnd w:id="37"/>
      <w:bookmarkEnd w:id="38"/>
      <w:bookmarkEnd w:id="39"/>
      <w:r>
        <w:rPr>
          <w:rFonts w:hint="eastAsia"/>
          <w:b/>
          <w:bCs/>
          <w:color w:val="auto"/>
          <w:sz w:val="28"/>
          <w:szCs w:val="28"/>
          <w:highlight w:val="none"/>
          <w:lang w:eastAsia="zh-CN"/>
        </w:rPr>
        <w:t>（</w:t>
      </w:r>
      <w:r>
        <w:rPr>
          <w:rFonts w:hint="eastAsia"/>
          <w:b/>
          <w:bCs/>
          <w:color w:val="auto"/>
          <w:sz w:val="28"/>
          <w:szCs w:val="28"/>
          <w:highlight w:val="none"/>
          <w:lang w:val="en-US" w:eastAsia="zh-CN"/>
        </w:rPr>
        <w:t>仅供参考</w:t>
      </w:r>
      <w:r>
        <w:rPr>
          <w:rFonts w:hint="eastAsia"/>
          <w:b/>
          <w:bCs/>
          <w:color w:val="auto"/>
          <w:sz w:val="28"/>
          <w:szCs w:val="28"/>
          <w:highlight w:val="none"/>
          <w:lang w:eastAsia="zh-CN"/>
        </w:rPr>
        <w:t>）</w:t>
      </w:r>
      <w:bookmarkEnd w:id="40"/>
    </w:p>
    <w:p>
      <w:pPr>
        <w:tabs>
          <w:tab w:val="left" w:pos="720"/>
        </w:tabs>
        <w:spacing w:line="360" w:lineRule="auto"/>
        <w:jc w:val="center"/>
        <w:rPr>
          <w:rFonts w:ascii="宋体" w:hAnsi="宋体" w:cs="宋体"/>
          <w:b/>
          <w:color w:val="auto"/>
          <w:sz w:val="24"/>
          <w:szCs w:val="21"/>
          <w:highlight w:val="none"/>
        </w:rPr>
      </w:pPr>
      <w:bookmarkStart w:id="41" w:name="_Toc4489_WPSOffice_Level1"/>
      <w:r>
        <w:rPr>
          <w:rFonts w:hint="eastAsia" w:ascii="宋体" w:hAnsi="宋体" w:cs="宋体"/>
          <w:b/>
          <w:color w:val="auto"/>
          <w:sz w:val="24"/>
          <w:szCs w:val="21"/>
          <w:highlight w:val="none"/>
        </w:rPr>
        <w:t>合同通用条款</w:t>
      </w:r>
      <w:bookmarkEnd w:id="41"/>
    </w:p>
    <w:p>
      <w:pPr>
        <w:spacing w:line="360" w:lineRule="auto"/>
        <w:rPr>
          <w:rFonts w:ascii="宋体" w:hAnsi="宋体"/>
          <w:b/>
          <w:color w:val="auto"/>
          <w:szCs w:val="21"/>
          <w:highlight w:val="none"/>
        </w:rPr>
      </w:pPr>
      <w:bookmarkStart w:id="42" w:name="_Toc23844_WPSOffice_Level1"/>
      <w:r>
        <w:rPr>
          <w:rFonts w:hint="eastAsia" w:ascii="宋体" w:hAnsi="宋体"/>
          <w:b/>
          <w:color w:val="auto"/>
          <w:szCs w:val="21"/>
          <w:highlight w:val="none"/>
        </w:rPr>
        <w:t>甲    方</w:t>
      </w:r>
      <w:r>
        <w:rPr>
          <w:rFonts w:hint="eastAsia" w:ascii="宋体" w:hAnsi="宋体" w:cs="宋体"/>
          <w:color w:val="auto"/>
          <w:szCs w:val="21"/>
          <w:highlight w:val="none"/>
        </w:rPr>
        <w:t>（采购人）</w:t>
      </w:r>
      <w:r>
        <w:rPr>
          <w:rFonts w:hint="eastAsia" w:ascii="宋体" w:hAnsi="宋体"/>
          <w:b/>
          <w:color w:val="auto"/>
          <w:szCs w:val="21"/>
          <w:highlight w:val="none"/>
        </w:rPr>
        <w:t>：</w:t>
      </w:r>
      <w:bookmarkEnd w:id="42"/>
    </w:p>
    <w:p>
      <w:pPr>
        <w:spacing w:line="360" w:lineRule="auto"/>
        <w:rPr>
          <w:rFonts w:ascii="宋体" w:hAnsi="宋体"/>
          <w:color w:val="auto"/>
          <w:szCs w:val="21"/>
          <w:highlight w:val="none"/>
        </w:rPr>
      </w:pPr>
      <w:r>
        <w:rPr>
          <w:rFonts w:hint="eastAsia" w:ascii="宋体" w:hAnsi="宋体"/>
          <w:color w:val="auto"/>
          <w:szCs w:val="21"/>
          <w:highlight w:val="none"/>
        </w:rPr>
        <w:t>电    话：           　   传  真：           住  所：</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bookmarkStart w:id="43" w:name="_Toc24303_WPSOffice_Level1"/>
      <w:r>
        <w:rPr>
          <w:rFonts w:hint="eastAsia" w:ascii="宋体" w:hAnsi="宋体"/>
          <w:b/>
          <w:color w:val="auto"/>
          <w:szCs w:val="21"/>
          <w:highlight w:val="none"/>
        </w:rPr>
        <w:t>乙    方</w:t>
      </w:r>
      <w:r>
        <w:rPr>
          <w:rFonts w:hint="eastAsia" w:ascii="宋体" w:hAnsi="宋体" w:cs="宋体"/>
          <w:color w:val="auto"/>
          <w:szCs w:val="21"/>
          <w:highlight w:val="none"/>
        </w:rPr>
        <w:t>（中标人）</w:t>
      </w:r>
      <w:r>
        <w:rPr>
          <w:rFonts w:hint="eastAsia" w:ascii="宋体" w:hAnsi="宋体"/>
          <w:b/>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电    话：                传  真：           住  所：</w:t>
      </w:r>
      <w:bookmarkEnd w:id="43"/>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项目名称：                                   </w:t>
      </w:r>
      <w:r>
        <w:rPr>
          <w:rFonts w:hint="eastAsia" w:ascii="宋体" w:hAnsi="宋体" w:cs="宋体"/>
          <w:color w:val="auto"/>
          <w:szCs w:val="21"/>
          <w:highlight w:val="none"/>
        </w:rPr>
        <w:t>项目</w:t>
      </w:r>
      <w:r>
        <w:rPr>
          <w:rFonts w:hint="eastAsia" w:ascii="宋体" w:hAnsi="宋体"/>
          <w:color w:val="auto"/>
          <w:szCs w:val="21"/>
          <w:highlight w:val="none"/>
        </w:rPr>
        <w:t xml:space="preserve">编号：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0000FF"/>
          <w:szCs w:val="21"/>
          <w:highlight w:val="none"/>
          <w:u w:val="single"/>
          <w:lang w:eastAsia="zh-CN"/>
        </w:rPr>
        <w:t>光华街小区和光侨街小区老旧小区改造项目（设计）</w:t>
      </w:r>
      <w:r>
        <w:rPr>
          <w:rFonts w:hint="eastAsia" w:ascii="宋体" w:hAnsi="宋体" w:cs="宋体"/>
          <w:color w:val="0000FF"/>
          <w:szCs w:val="21"/>
          <w:highlight w:val="none"/>
          <w:u w:val="single"/>
        </w:rPr>
        <w:t xml:space="preserve">  </w:t>
      </w:r>
      <w:r>
        <w:rPr>
          <w:rFonts w:hint="eastAsia" w:ascii="宋体" w:hAnsi="宋体" w:cs="宋体"/>
          <w:color w:val="0000FF"/>
          <w:szCs w:val="21"/>
          <w:highlight w:val="none"/>
        </w:rPr>
        <w:t>（项目编号：</w:t>
      </w:r>
      <w:r>
        <w:rPr>
          <w:rFonts w:hint="eastAsia" w:ascii="宋体" w:hAnsi="宋体"/>
          <w:color w:val="0000FF"/>
          <w:highlight w:val="none"/>
          <w:shd w:val="clear" w:color="auto"/>
          <w:lang w:eastAsia="zh-CN"/>
        </w:rPr>
        <w:t>NSSHJD202505</w:t>
      </w:r>
      <w:r>
        <w:rPr>
          <w:rFonts w:hint="eastAsia" w:ascii="宋体" w:hAnsi="宋体"/>
          <w:color w:val="0000FF"/>
          <w:highlight w:val="none"/>
          <w:shd w:val="clear" w:color="auto"/>
          <w:lang w:val="en-US" w:eastAsia="zh-CN"/>
        </w:rPr>
        <w:t>21</w:t>
      </w:r>
      <w:r>
        <w:rPr>
          <w:rFonts w:hint="eastAsia" w:ascii="宋体" w:hAnsi="宋体"/>
          <w:color w:val="0000FF"/>
          <w:highlight w:val="none"/>
          <w:shd w:val="clear" w:color="auto"/>
          <w:lang w:eastAsia="zh-CN"/>
        </w:rPr>
        <w:t>001</w:t>
      </w:r>
      <w:r>
        <w:rPr>
          <w:rFonts w:hint="eastAsia" w:ascii="宋体" w:hAnsi="宋体" w:cs="宋体"/>
          <w:color w:val="0000FF"/>
          <w:szCs w:val="21"/>
          <w:highlight w:val="none"/>
        </w:rPr>
        <w:t>）</w:t>
      </w:r>
      <w:r>
        <w:rPr>
          <w:rFonts w:hint="eastAsia" w:ascii="宋体" w:hAnsi="宋体"/>
          <w:color w:val="auto"/>
          <w:szCs w:val="21"/>
          <w:highlight w:val="none"/>
        </w:rPr>
        <w:t>的采购结果，按照</w:t>
      </w:r>
      <w:r>
        <w:rPr>
          <w:rFonts w:hint="eastAsia" w:asciiTheme="minorEastAsia" w:hAnsiTheme="minorEastAsia" w:eastAsiaTheme="minorEastAsia"/>
          <w:color w:val="auto"/>
          <w:szCs w:val="21"/>
          <w:highlight w:val="none"/>
        </w:rPr>
        <w:t>《中华人民共和国民法典》和《深圳经济特区政府采购条例》</w:t>
      </w:r>
      <w:r>
        <w:rPr>
          <w:rFonts w:hint="eastAsia" w:ascii="宋体" w:hAnsi="宋体"/>
          <w:color w:val="auto"/>
          <w:szCs w:val="21"/>
          <w:highlight w:val="none"/>
        </w:rPr>
        <w:t>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44" w:name="_Toc28004"/>
      <w:r>
        <w:rPr>
          <w:rFonts w:hint="eastAsia" w:ascii="宋体" w:hAnsi="宋体"/>
          <w:b/>
          <w:color w:val="auto"/>
          <w:szCs w:val="21"/>
          <w:highlight w:val="none"/>
        </w:rPr>
        <w:t>采购标的、数量</w:t>
      </w:r>
      <w:bookmarkEnd w:id="44"/>
    </w:p>
    <w:tbl>
      <w:tblPr>
        <w:tblStyle w:val="38"/>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022"/>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b/>
                <w:color w:val="auto"/>
                <w:kern w:val="0"/>
                <w:sz w:val="20"/>
                <w:szCs w:val="21"/>
                <w:highlight w:val="none"/>
              </w:rPr>
            </w:pPr>
            <w:bookmarkStart w:id="45" w:name="_Toc30376"/>
            <w:r>
              <w:rPr>
                <w:rFonts w:hint="eastAsia" w:ascii="宋体" w:hAnsi="宋体"/>
                <w:b/>
                <w:color w:val="auto"/>
                <w:kern w:val="0"/>
                <w:sz w:val="20"/>
                <w:szCs w:val="21"/>
                <w:highlight w:val="none"/>
              </w:rPr>
              <w:t>序号</w:t>
            </w:r>
            <w:bookmarkEnd w:id="45"/>
          </w:p>
        </w:tc>
        <w:tc>
          <w:tcPr>
            <w:tcW w:w="502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46" w:name="_Toc10646"/>
            <w:r>
              <w:rPr>
                <w:rFonts w:hint="eastAsia" w:ascii="宋体" w:hAnsi="宋体"/>
                <w:b/>
                <w:color w:val="auto"/>
                <w:kern w:val="0"/>
                <w:sz w:val="20"/>
                <w:szCs w:val="21"/>
                <w:highlight w:val="none"/>
              </w:rPr>
              <w:t>采购标的</w:t>
            </w:r>
            <w:bookmarkEnd w:id="46"/>
          </w:p>
        </w:tc>
        <w:tc>
          <w:tcPr>
            <w:tcW w:w="3132" w:type="dxa"/>
          </w:tcPr>
          <w:p>
            <w:pPr>
              <w:tabs>
                <w:tab w:val="left" w:pos="426"/>
              </w:tabs>
              <w:autoSpaceDE w:val="0"/>
              <w:autoSpaceDN w:val="0"/>
              <w:adjustRightInd w:val="0"/>
              <w:spacing w:line="360" w:lineRule="auto"/>
              <w:jc w:val="center"/>
              <w:outlineLvl w:val="2"/>
              <w:rPr>
                <w:rFonts w:ascii="宋体" w:hAnsi="宋体"/>
                <w:b/>
                <w:color w:val="auto"/>
                <w:kern w:val="0"/>
                <w:sz w:val="20"/>
                <w:szCs w:val="21"/>
                <w:highlight w:val="none"/>
              </w:rPr>
            </w:pPr>
            <w:bookmarkStart w:id="47" w:name="_Toc25294"/>
            <w:r>
              <w:rPr>
                <w:rFonts w:hint="eastAsia" w:ascii="宋体" w:hAnsi="宋体"/>
                <w:b/>
                <w:color w:val="auto"/>
                <w:kern w:val="0"/>
                <w:sz w:val="20"/>
                <w:szCs w:val="21"/>
                <w:highlight w:val="none"/>
              </w:rPr>
              <w:t>数量</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48" w:name="_Toc18061"/>
            <w:r>
              <w:rPr>
                <w:rFonts w:hint="eastAsia" w:ascii="宋体" w:hAnsi="宋体"/>
                <w:color w:val="auto"/>
                <w:kern w:val="0"/>
                <w:sz w:val="20"/>
                <w:szCs w:val="21"/>
                <w:highlight w:val="none"/>
              </w:rPr>
              <w:t>1</w:t>
            </w:r>
            <w:bookmarkEnd w:id="48"/>
          </w:p>
        </w:tc>
        <w:tc>
          <w:tcPr>
            <w:tcW w:w="502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c>
          <w:tcPr>
            <w:tcW w:w="313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color w:val="auto"/>
                <w:kern w:val="0"/>
                <w:sz w:val="20"/>
                <w:szCs w:val="21"/>
                <w:highlight w:val="none"/>
              </w:rPr>
            </w:pPr>
            <w:bookmarkStart w:id="49" w:name="_Toc7369"/>
            <w:r>
              <w:rPr>
                <w:rFonts w:hint="eastAsia" w:ascii="宋体" w:hAnsi="宋体"/>
                <w:color w:val="auto"/>
                <w:kern w:val="0"/>
                <w:sz w:val="20"/>
                <w:szCs w:val="21"/>
                <w:highlight w:val="none"/>
              </w:rPr>
              <w:t>2</w:t>
            </w:r>
            <w:bookmarkEnd w:id="49"/>
          </w:p>
        </w:tc>
        <w:tc>
          <w:tcPr>
            <w:tcW w:w="5022" w:type="dxa"/>
          </w:tcPr>
          <w:p>
            <w:pPr>
              <w:pStyle w:val="83"/>
              <w:widowControl/>
              <w:spacing w:line="360" w:lineRule="auto"/>
              <w:ind w:left="425" w:firstLine="0" w:firstLineChars="0"/>
              <w:jc w:val="left"/>
              <w:rPr>
                <w:rFonts w:ascii="宋体" w:hAnsi="宋体"/>
                <w:color w:val="auto"/>
                <w:kern w:val="0"/>
                <w:sz w:val="20"/>
                <w:szCs w:val="21"/>
                <w:highlight w:val="none"/>
              </w:rPr>
            </w:pPr>
          </w:p>
        </w:tc>
        <w:tc>
          <w:tcPr>
            <w:tcW w:w="3132" w:type="dxa"/>
          </w:tcPr>
          <w:p>
            <w:pPr>
              <w:tabs>
                <w:tab w:val="left" w:pos="426"/>
              </w:tabs>
              <w:autoSpaceDE w:val="0"/>
              <w:autoSpaceDN w:val="0"/>
              <w:adjustRightInd w:val="0"/>
              <w:spacing w:line="360" w:lineRule="auto"/>
              <w:jc w:val="left"/>
              <w:outlineLvl w:val="2"/>
              <w:rPr>
                <w:rFonts w:ascii="宋体" w:hAnsi="宋体"/>
                <w:color w:val="auto"/>
                <w:kern w:val="0"/>
                <w:sz w:val="20"/>
                <w:szCs w:val="21"/>
                <w:highlight w:val="none"/>
              </w:rPr>
            </w:pPr>
          </w:p>
        </w:tc>
      </w:tr>
    </w:tbl>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0" w:name="_Toc435540759"/>
      <w:bookmarkStart w:id="51" w:name="_Toc18079"/>
      <w:r>
        <w:rPr>
          <w:rFonts w:hint="eastAsia" w:ascii="宋体" w:hAnsi="宋体"/>
          <w:b/>
          <w:color w:val="auto"/>
          <w:szCs w:val="21"/>
          <w:highlight w:val="none"/>
        </w:rPr>
        <w:t>合同金额</w:t>
      </w:r>
      <w:bookmarkEnd w:id="50"/>
      <w:bookmarkEnd w:id="51"/>
    </w:p>
    <w:p>
      <w:pPr>
        <w:pStyle w:val="21"/>
        <w:spacing w:line="360" w:lineRule="auto"/>
        <w:ind w:firstLine="420" w:firstLineChars="200"/>
        <w:rPr>
          <w:rFonts w:hAnsi="宋体"/>
          <w:color w:val="auto"/>
          <w:highlight w:val="none"/>
        </w:rPr>
      </w:pPr>
      <w:r>
        <w:rPr>
          <w:rFonts w:hint="eastAsia" w:hAnsi="宋体"/>
          <w:color w:val="auto"/>
          <w:highlight w:val="none"/>
        </w:rPr>
        <w:t>合同金额为（大写）：_________________元（￥_______________元）。</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2" w:name="_Toc28847"/>
      <w:bookmarkStart w:id="53" w:name="_Toc435540760"/>
      <w:r>
        <w:rPr>
          <w:rFonts w:hint="eastAsia" w:ascii="宋体" w:hAnsi="宋体"/>
          <w:b/>
          <w:color w:val="auto"/>
          <w:szCs w:val="21"/>
          <w:highlight w:val="none"/>
        </w:rPr>
        <w:t>服务范围</w:t>
      </w:r>
      <w:bookmarkEnd w:id="52"/>
      <w:bookmarkEnd w:id="53"/>
    </w:p>
    <w:p>
      <w:pPr>
        <w:spacing w:line="360" w:lineRule="auto"/>
        <w:rPr>
          <w:rFonts w:ascii="宋体" w:hAnsi="宋体"/>
          <w:color w:val="auto"/>
          <w:szCs w:val="21"/>
          <w:highlight w:val="none"/>
        </w:rPr>
      </w:pPr>
      <w:r>
        <w:rPr>
          <w:rFonts w:hint="eastAsia" w:ascii="宋体" w:hAnsi="宋体"/>
          <w:color w:val="auto"/>
          <w:szCs w:val="21"/>
          <w:highlight w:val="none"/>
        </w:rPr>
        <w:t>　　甲方聘请乙方提供以下服务：</w:t>
      </w:r>
    </w:p>
    <w:p>
      <w:pPr>
        <w:spacing w:line="360" w:lineRule="auto"/>
        <w:rPr>
          <w:rFonts w:ascii="宋体" w:hAnsi="宋体"/>
          <w:color w:val="auto"/>
          <w:szCs w:val="21"/>
          <w:highlight w:val="none"/>
          <w:u w:val="single"/>
        </w:rPr>
      </w:pPr>
      <w:r>
        <w:rPr>
          <w:rFonts w:hint="eastAsia" w:ascii="宋体" w:hAnsi="宋体"/>
          <w:color w:val="auto"/>
          <w:szCs w:val="21"/>
          <w:highlight w:val="none"/>
        </w:rPr>
        <w:t>　　1．本合同项下的服务指。</w:t>
      </w:r>
    </w:p>
    <w:p>
      <w:pPr>
        <w:spacing w:line="360" w:lineRule="auto"/>
        <w:rPr>
          <w:rFonts w:ascii="宋体" w:hAnsi="宋体"/>
          <w:color w:val="auto"/>
          <w:szCs w:val="21"/>
          <w:highlight w:val="none"/>
        </w:rPr>
      </w:pPr>
      <w:r>
        <w:rPr>
          <w:rFonts w:hint="eastAsia" w:ascii="宋体" w:hAnsi="宋体"/>
          <w:color w:val="auto"/>
          <w:szCs w:val="21"/>
          <w:highlight w:val="none"/>
        </w:rPr>
        <w:t>　　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4" w:name="_Toc13367"/>
      <w:r>
        <w:rPr>
          <w:rFonts w:hint="eastAsia" w:ascii="宋体" w:hAnsi="宋体"/>
          <w:b/>
          <w:color w:val="auto"/>
          <w:szCs w:val="21"/>
          <w:highlight w:val="none"/>
        </w:rPr>
        <w:t>质量要求：</w:t>
      </w:r>
      <w:bookmarkEnd w:id="54"/>
    </w:p>
    <w:p>
      <w:pPr>
        <w:spacing w:line="360" w:lineRule="auto"/>
        <w:ind w:firstLine="420" w:firstLineChars="200"/>
        <w:rPr>
          <w:rFonts w:ascii="宋体" w:hAnsi="宋体"/>
          <w:color w:val="auto"/>
          <w:szCs w:val="21"/>
          <w:highlight w:val="none"/>
        </w:rPr>
      </w:pP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5" w:name="_Toc435540761"/>
      <w:bookmarkStart w:id="56" w:name="_Toc15148"/>
      <w:r>
        <w:rPr>
          <w:rFonts w:hint="eastAsia" w:ascii="宋体" w:hAnsi="宋体"/>
          <w:b/>
          <w:color w:val="auto"/>
          <w:szCs w:val="21"/>
          <w:highlight w:val="none"/>
        </w:rPr>
        <w:t>甲方乙方的权利和义务</w:t>
      </w:r>
      <w:bookmarkEnd w:id="55"/>
      <w:bookmarkEnd w:id="56"/>
    </w:p>
    <w:p>
      <w:pPr>
        <w:spacing w:line="360" w:lineRule="auto"/>
        <w:rPr>
          <w:rFonts w:ascii="宋体" w:hAnsi="宋体"/>
          <w:color w:val="auto"/>
          <w:szCs w:val="21"/>
          <w:highlight w:val="none"/>
        </w:rPr>
      </w:pPr>
      <w:r>
        <w:rPr>
          <w:rFonts w:hint="eastAsia" w:ascii="宋体" w:hAnsi="宋体"/>
          <w:color w:val="auto"/>
          <w:szCs w:val="21"/>
          <w:highlight w:val="none"/>
        </w:rPr>
        <w:t>　　（一） 甲方的权利和义务</w:t>
      </w:r>
    </w:p>
    <w:p>
      <w:pPr>
        <w:spacing w:line="360" w:lineRule="auto"/>
        <w:rPr>
          <w:rFonts w:ascii="宋体" w:hAnsi="宋体"/>
          <w:color w:val="auto"/>
          <w:szCs w:val="21"/>
          <w:highlight w:val="none"/>
        </w:rPr>
      </w:pPr>
      <w:r>
        <w:rPr>
          <w:rFonts w:hint="eastAsia" w:ascii="宋体" w:hAnsi="宋体"/>
          <w:color w:val="auto"/>
          <w:szCs w:val="21"/>
          <w:highlight w:val="none"/>
        </w:rPr>
        <w:t>　　（二） 乙方的权利和义务</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7" w:name="_Toc11665"/>
      <w:r>
        <w:rPr>
          <w:rFonts w:hint="eastAsia" w:ascii="宋体" w:hAnsi="宋体"/>
          <w:b/>
          <w:color w:val="auto"/>
          <w:szCs w:val="21"/>
          <w:highlight w:val="none"/>
        </w:rPr>
        <w:t>履行期限及地点和方式：</w:t>
      </w:r>
      <w:bookmarkEnd w:id="57"/>
    </w:p>
    <w:p>
      <w:pPr>
        <w:spacing w:line="360" w:lineRule="auto"/>
        <w:ind w:firstLine="435"/>
        <w:rPr>
          <w:rFonts w:ascii="宋体" w:hAnsi="宋体"/>
          <w:color w:val="auto"/>
          <w:szCs w:val="21"/>
          <w:highlight w:val="none"/>
        </w:rPr>
      </w:pPr>
      <w:r>
        <w:rPr>
          <w:rFonts w:hint="eastAsia" w:ascii="宋体" w:hAnsi="宋体"/>
          <w:color w:val="auto"/>
          <w:szCs w:val="21"/>
          <w:highlight w:val="none"/>
        </w:rPr>
        <w:t>履行期限：委托服务期间自______年______月至______年______月止。</w:t>
      </w:r>
    </w:p>
    <w:p>
      <w:pPr>
        <w:spacing w:line="360" w:lineRule="auto"/>
        <w:ind w:firstLine="435"/>
        <w:rPr>
          <w:rFonts w:ascii="宋体" w:hAnsi="宋体"/>
          <w:color w:val="auto"/>
          <w:szCs w:val="21"/>
          <w:highlight w:val="none"/>
        </w:rPr>
      </w:pPr>
      <w:r>
        <w:rPr>
          <w:rFonts w:hint="eastAsia" w:ascii="宋体" w:hAnsi="宋体"/>
          <w:color w:val="auto"/>
          <w:szCs w:val="21"/>
          <w:highlight w:val="none"/>
        </w:rPr>
        <w:t>履约地点：</w:t>
      </w:r>
    </w:p>
    <w:p>
      <w:pPr>
        <w:spacing w:line="360" w:lineRule="auto"/>
        <w:ind w:firstLine="435"/>
        <w:rPr>
          <w:rFonts w:ascii="宋体" w:hAnsi="宋体"/>
          <w:color w:val="auto"/>
          <w:szCs w:val="21"/>
          <w:highlight w:val="none"/>
        </w:rPr>
      </w:pPr>
      <w:r>
        <w:rPr>
          <w:rFonts w:hint="eastAsia" w:ascii="宋体" w:hAnsi="宋体"/>
          <w:color w:val="auto"/>
          <w:szCs w:val="21"/>
          <w:highlight w:val="none"/>
        </w:rPr>
        <w:t>方式：</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58" w:name="_Toc435540763"/>
      <w:bookmarkStart w:id="59" w:name="_Toc3267"/>
      <w:r>
        <w:rPr>
          <w:rFonts w:hint="eastAsia" w:ascii="宋体" w:hAnsi="宋体"/>
          <w:b/>
          <w:color w:val="auto"/>
          <w:szCs w:val="21"/>
          <w:highlight w:val="none"/>
        </w:rPr>
        <w:t>付款方式</w:t>
      </w:r>
      <w:bookmarkEnd w:id="58"/>
      <w:bookmarkEnd w:id="59"/>
    </w:p>
    <w:p>
      <w:pPr>
        <w:rPr>
          <w:color w:val="auto"/>
          <w:highlight w:val="none"/>
        </w:rPr>
      </w:pPr>
      <w:bookmarkStart w:id="60" w:name="_Toc435540764"/>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1" w:name="_Toc10107"/>
      <w:r>
        <w:rPr>
          <w:rFonts w:hint="eastAsia" w:ascii="宋体" w:hAnsi="宋体"/>
          <w:b/>
          <w:color w:val="auto"/>
          <w:szCs w:val="21"/>
          <w:highlight w:val="none"/>
        </w:rPr>
        <w:t>验收要求：</w:t>
      </w:r>
      <w:bookmarkEnd w:id="61"/>
    </w:p>
    <w:p>
      <w:pPr>
        <w:widowControl/>
        <w:shd w:val="clear" w:color="auto" w:fill="FFFFFF"/>
        <w:spacing w:line="360" w:lineRule="auto"/>
        <w:ind w:firstLine="480"/>
        <w:jc w:val="left"/>
        <w:rPr>
          <w:rFonts w:ascii="Arial" w:hAnsi="Arial" w:cs="Arial"/>
          <w:color w:val="auto"/>
          <w:kern w:val="0"/>
          <w:szCs w:val="21"/>
          <w:highlight w:val="none"/>
        </w:rPr>
      </w:pPr>
      <w:r>
        <w:rPr>
          <w:rFonts w:ascii="Arial" w:hAnsi="Arial" w:cs="Arial"/>
          <w:color w:val="auto"/>
          <w:kern w:val="0"/>
          <w:szCs w:val="21"/>
          <w:highlight w:val="none"/>
        </w:rPr>
        <w:t>技术服务或者技术培训按 _______标准，采用______方式验收，由_____方出具服务或者培训项目验收证明。</w:t>
      </w:r>
    </w:p>
    <w:p>
      <w:pPr>
        <w:widowControl/>
        <w:shd w:val="clear" w:color="auto" w:fill="FFFFFF"/>
        <w:spacing w:line="360" w:lineRule="auto"/>
        <w:ind w:firstLine="480"/>
        <w:jc w:val="left"/>
        <w:rPr>
          <w:rFonts w:ascii="Arial" w:hAnsi="Arial" w:cs="Arial"/>
          <w:color w:val="auto"/>
          <w:kern w:val="0"/>
          <w:szCs w:val="21"/>
          <w:highlight w:val="none"/>
        </w:rPr>
      </w:pPr>
      <w:r>
        <w:rPr>
          <w:rFonts w:ascii="Arial" w:hAnsi="Arial" w:cs="Arial"/>
          <w:color w:val="auto"/>
          <w:kern w:val="0"/>
          <w:szCs w:val="21"/>
          <w:highlight w:val="none"/>
        </w:rPr>
        <w:t>本合同服务项目的保证期为______。在保证期内发现服务质量缺陷的，服务方应当负责返工或者采取补救措施。但因委托方使用、保管不当引起的问题除外。</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2" w:name="_Toc23573"/>
      <w:r>
        <w:rPr>
          <w:rFonts w:hint="eastAsia" w:ascii="宋体" w:hAnsi="宋体"/>
          <w:b/>
          <w:color w:val="auto"/>
          <w:szCs w:val="21"/>
          <w:highlight w:val="none"/>
        </w:rPr>
        <w:t>知识产权归属</w:t>
      </w:r>
      <w:bookmarkEnd w:id="60"/>
      <w:bookmarkEnd w:id="6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3" w:name="_Toc435540765"/>
      <w:bookmarkStart w:id="64" w:name="_Toc26358"/>
      <w:r>
        <w:rPr>
          <w:rFonts w:hint="eastAsia" w:ascii="宋体" w:hAnsi="宋体"/>
          <w:b/>
          <w:color w:val="auto"/>
          <w:szCs w:val="21"/>
          <w:highlight w:val="none"/>
        </w:rPr>
        <w:t>保密</w:t>
      </w:r>
      <w:bookmarkEnd w:id="63"/>
      <w:bookmarkEnd w:id="6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autoSpaceDE w:val="0"/>
        <w:autoSpaceDN w:val="0"/>
        <w:adjustRightInd w:val="0"/>
        <w:spacing w:line="360" w:lineRule="auto"/>
        <w:ind w:left="315" w:hanging="315" w:hangingChars="150"/>
        <w:jc w:val="left"/>
        <w:outlineLvl w:val="9"/>
        <w:rPr>
          <w:rFonts w:ascii="宋体" w:hAnsi="宋体"/>
          <w:color w:val="auto"/>
          <w:szCs w:val="21"/>
          <w:highlight w:val="none"/>
        </w:rPr>
      </w:pPr>
      <w:bookmarkStart w:id="65" w:name="_Toc26491"/>
      <w:bookmarkStart w:id="66" w:name="_Toc435540766"/>
      <w:r>
        <w:rPr>
          <w:rFonts w:hint="eastAsia" w:ascii="宋体" w:hAnsi="宋体"/>
          <w:color w:val="auto"/>
          <w:szCs w:val="21"/>
          <w:highlight w:val="none"/>
        </w:rPr>
        <w:t>1）未经甲方事先书面同意，乙方不得将由甲方为本合同提供的条文、规格、计划、图纸、模型、样品或资料提供给予本合同无关的任何第三方，不得将其用于履行本合同之外的其他用途。即使向与履行本合同有关的人员提供，也应注意保密并限于履行合同所必需的范围。</w:t>
      </w:r>
      <w:bookmarkEnd w:id="65"/>
    </w:p>
    <w:p>
      <w:pPr>
        <w:tabs>
          <w:tab w:val="left" w:pos="420"/>
        </w:tabs>
        <w:autoSpaceDE w:val="0"/>
        <w:autoSpaceDN w:val="0"/>
        <w:adjustRightInd w:val="0"/>
        <w:spacing w:line="360" w:lineRule="auto"/>
        <w:ind w:left="315" w:hanging="315" w:hangingChars="150"/>
        <w:jc w:val="left"/>
        <w:outlineLvl w:val="9"/>
        <w:rPr>
          <w:rFonts w:ascii="宋体" w:hAnsi="宋体"/>
          <w:b/>
          <w:color w:val="auto"/>
          <w:szCs w:val="21"/>
          <w:highlight w:val="none"/>
        </w:rPr>
      </w:pPr>
      <w:bookmarkStart w:id="67" w:name="_Toc28896"/>
      <w:r>
        <w:rPr>
          <w:rFonts w:hint="eastAsia" w:ascii="宋体" w:hAnsi="宋体"/>
          <w:color w:val="auto"/>
          <w:szCs w:val="21"/>
          <w:highlight w:val="none"/>
        </w:rPr>
        <w:t>2）除了合同本身之外，上款所列举的任何物件均是甲方的财产。如果甲方有要求，乙方在完成合同后应将这些物件及全部复制件还给甲方。</w:t>
      </w:r>
      <w:bookmarkEnd w:id="66"/>
      <w:bookmarkEnd w:id="67"/>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68" w:name="_Toc10369"/>
      <w:bookmarkStart w:id="69" w:name="_Toc435540767"/>
      <w:r>
        <w:rPr>
          <w:rFonts w:hint="eastAsia" w:ascii="宋体" w:hAnsi="宋体"/>
          <w:b/>
          <w:color w:val="auto"/>
          <w:szCs w:val="21"/>
          <w:highlight w:val="none"/>
        </w:rPr>
        <w:t>违约责任与赔偿损失</w:t>
      </w:r>
      <w:bookmarkEnd w:id="68"/>
    </w:p>
    <w:p>
      <w:pPr>
        <w:tabs>
          <w:tab w:val="left" w:pos="900"/>
        </w:tabs>
        <w:spacing w:line="360" w:lineRule="auto"/>
        <w:ind w:left="315" w:hanging="315" w:hangingChars="150"/>
        <w:rPr>
          <w:rFonts w:ascii="宋体" w:hAnsi="宋体"/>
          <w:color w:val="auto"/>
          <w:szCs w:val="21"/>
          <w:highlight w:val="none"/>
        </w:rPr>
      </w:pPr>
      <w:r>
        <w:rPr>
          <w:rFonts w:hint="eastAsia" w:ascii="宋体" w:hAnsi="宋体"/>
          <w:color w:val="auto"/>
          <w:szCs w:val="21"/>
          <w:highlight w:val="none"/>
        </w:rPr>
        <w:t>1）乙方提供的服务不符合采购文件、投标文件或本合同规定的，甲方有权拒收，并且乙方须向甲方支付本合同总价5%的违约金。</w:t>
      </w:r>
    </w:p>
    <w:p>
      <w:pPr>
        <w:tabs>
          <w:tab w:val="left" w:pos="720"/>
          <w:tab w:val="left" w:pos="900"/>
        </w:tabs>
        <w:spacing w:line="360" w:lineRule="auto"/>
        <w:ind w:left="315" w:right="51" w:hanging="315" w:hangingChars="150"/>
        <w:rPr>
          <w:rFonts w:ascii="宋体" w:hAnsi="宋体"/>
          <w:color w:val="auto"/>
          <w:szCs w:val="21"/>
          <w:highlight w:val="none"/>
        </w:rPr>
      </w:pPr>
      <w:r>
        <w:rPr>
          <w:rFonts w:hint="eastAsia" w:ascii="宋体" w:hAnsi="宋体"/>
          <w:color w:val="auto"/>
          <w:szCs w:val="21"/>
          <w:highlight w:val="none"/>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color w:val="auto"/>
          <w:szCs w:val="21"/>
          <w:highlight w:val="none"/>
        </w:rPr>
      </w:pPr>
      <w:r>
        <w:rPr>
          <w:rFonts w:hint="eastAsia" w:ascii="宋体" w:hAnsi="宋体"/>
          <w:color w:val="auto"/>
          <w:szCs w:val="21"/>
          <w:highlight w:val="none"/>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color w:val="auto"/>
          <w:szCs w:val="21"/>
          <w:highlight w:val="none"/>
        </w:rPr>
      </w:pPr>
      <w:r>
        <w:rPr>
          <w:rFonts w:hint="eastAsia" w:ascii="宋体" w:hAnsi="宋体"/>
          <w:bCs/>
          <w:color w:val="auto"/>
          <w:szCs w:val="21"/>
          <w:highlight w:val="none"/>
        </w:rPr>
        <w:t>4）其它违约责任按《中华人民共和国</w:t>
      </w:r>
      <w:r>
        <w:rPr>
          <w:rFonts w:hint="eastAsia" w:asciiTheme="minorEastAsia" w:hAnsiTheme="minorEastAsia" w:eastAsiaTheme="minorEastAsia"/>
          <w:color w:val="auto"/>
          <w:szCs w:val="21"/>
          <w:highlight w:val="none"/>
        </w:rPr>
        <w:t>民法典</w:t>
      </w:r>
      <w:r>
        <w:rPr>
          <w:rFonts w:hint="eastAsia" w:ascii="宋体" w:hAnsi="宋体"/>
          <w:bCs/>
          <w:color w:val="auto"/>
          <w:szCs w:val="21"/>
          <w:highlight w:val="none"/>
        </w:rPr>
        <w:t>》处理。</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0" w:name="_Toc26655"/>
      <w:r>
        <w:rPr>
          <w:rFonts w:hint="eastAsia" w:ascii="宋体" w:hAnsi="宋体"/>
          <w:b/>
          <w:color w:val="auto"/>
          <w:szCs w:val="21"/>
          <w:highlight w:val="none"/>
        </w:rPr>
        <w:t>争端的解决</w:t>
      </w:r>
      <w:bookmarkEnd w:id="69"/>
      <w:bookmarkEnd w:id="7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合同执行过程中发生的任何争议，如双方不能通过友好协商解决，甲、乙双方一致同意向甲方所在地人民法院提起诉讼。</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1" w:name="_Toc4084"/>
      <w:bookmarkStart w:id="72" w:name="_Toc435540768"/>
      <w:r>
        <w:rPr>
          <w:rFonts w:hint="eastAsia" w:ascii="宋体" w:hAnsi="宋体"/>
          <w:b/>
          <w:color w:val="auto"/>
          <w:szCs w:val="21"/>
          <w:highlight w:val="none"/>
        </w:rPr>
        <w:t>不可抗力</w:t>
      </w:r>
      <w:bookmarkEnd w:id="71"/>
      <w:bookmarkEnd w:id="7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3" w:name="_Toc435540769"/>
      <w:bookmarkStart w:id="74" w:name="_Toc21978"/>
      <w:r>
        <w:rPr>
          <w:rFonts w:hint="eastAsia" w:ascii="宋体" w:hAnsi="宋体"/>
          <w:b/>
          <w:color w:val="auto"/>
          <w:szCs w:val="21"/>
          <w:highlight w:val="none"/>
        </w:rPr>
        <w:t>税费</w:t>
      </w:r>
      <w:bookmarkEnd w:id="73"/>
      <w:bookmarkEnd w:id="7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在中国境内、外发生的与本合同执行有关的一切税费均由乙方负担。</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5" w:name="_Toc435540770"/>
      <w:bookmarkStart w:id="76" w:name="_Toc14244"/>
      <w:r>
        <w:rPr>
          <w:rFonts w:hint="eastAsia" w:ascii="宋体" w:hAnsi="宋体"/>
          <w:b/>
          <w:color w:val="auto"/>
          <w:szCs w:val="21"/>
          <w:highlight w:val="none"/>
        </w:rPr>
        <w:t>其它</w:t>
      </w:r>
      <w:bookmarkEnd w:id="75"/>
      <w:bookmarkEnd w:id="76"/>
    </w:p>
    <w:p>
      <w:pPr>
        <w:spacing w:line="360" w:lineRule="auto"/>
        <w:ind w:left="349" w:hanging="348" w:hangingChars="166"/>
        <w:rPr>
          <w:rFonts w:ascii="宋体" w:hAnsi="宋体"/>
          <w:b/>
          <w:color w:val="auto"/>
          <w:szCs w:val="21"/>
          <w:highlight w:val="none"/>
        </w:rPr>
      </w:pPr>
      <w:r>
        <w:rPr>
          <w:rFonts w:hint="eastAsia" w:ascii="宋体" w:hAnsi="宋体"/>
          <w:color w:val="auto"/>
          <w:szCs w:val="21"/>
          <w:highlight w:val="none"/>
        </w:rPr>
        <w:t>1）本合同所有附件、招标文件、投标文件、中标通知书均为合同的有效组成部分，与本合同具有同等法律效力。</w:t>
      </w:r>
    </w:p>
    <w:p>
      <w:pPr>
        <w:spacing w:line="360" w:lineRule="auto"/>
        <w:ind w:left="321" w:hanging="321" w:hangingChars="153"/>
        <w:rPr>
          <w:rFonts w:ascii="宋体" w:hAnsi="宋体"/>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）在执行本合同的过程中，所有经双方签署确认的文件（包括会议纪要、补充协议、往来信函）即成为本合同的有效组成部分。</w:t>
      </w:r>
    </w:p>
    <w:p>
      <w:pPr>
        <w:spacing w:line="360" w:lineRule="auto"/>
        <w:rPr>
          <w:rFonts w:ascii="宋体" w:hAnsi="宋体"/>
          <w:color w:val="auto"/>
          <w:szCs w:val="21"/>
          <w:highlight w:val="none"/>
        </w:rPr>
      </w:pPr>
      <w:r>
        <w:rPr>
          <w:rFonts w:hint="eastAsia" w:ascii="宋体" w:hAnsi="宋体"/>
          <w:color w:val="auto"/>
          <w:szCs w:val="21"/>
          <w:highlight w:val="none"/>
        </w:rPr>
        <w:t xml:space="preserve">3）如一方地址、电话、传真号码有变更，应在变更当日内书面通知对方，否则，应承担相应责任。 </w:t>
      </w:r>
    </w:p>
    <w:p>
      <w:pPr>
        <w:spacing w:line="360" w:lineRule="auto"/>
        <w:rPr>
          <w:rFonts w:ascii="宋体" w:hAnsi="宋体"/>
          <w:color w:val="auto"/>
          <w:szCs w:val="21"/>
          <w:highlight w:val="none"/>
        </w:rPr>
      </w:pPr>
      <w:r>
        <w:rPr>
          <w:rFonts w:hint="eastAsia" w:ascii="宋体" w:hAnsi="宋体"/>
          <w:color w:val="auto"/>
          <w:szCs w:val="21"/>
          <w:highlight w:val="none"/>
        </w:rPr>
        <w:t>4）除甲方事先书面同意外，乙方不得部分或全部转让其应履行的合同项下的义务。</w:t>
      </w:r>
    </w:p>
    <w:p>
      <w:pPr>
        <w:numPr>
          <w:ilvl w:val="0"/>
          <w:numId w:val="8"/>
        </w:numPr>
        <w:autoSpaceDE w:val="0"/>
        <w:autoSpaceDN w:val="0"/>
        <w:adjustRightInd w:val="0"/>
        <w:spacing w:line="360" w:lineRule="auto"/>
        <w:ind w:left="443" w:hanging="443" w:hangingChars="210"/>
        <w:jc w:val="left"/>
        <w:outlineLvl w:val="2"/>
        <w:rPr>
          <w:rFonts w:ascii="宋体" w:hAnsi="宋体"/>
          <w:b/>
          <w:color w:val="auto"/>
          <w:szCs w:val="21"/>
          <w:highlight w:val="none"/>
        </w:rPr>
      </w:pPr>
      <w:bookmarkStart w:id="77" w:name="_Toc29893"/>
      <w:bookmarkStart w:id="78" w:name="_Toc435540771"/>
      <w:r>
        <w:rPr>
          <w:rFonts w:hint="eastAsia" w:ascii="宋体" w:hAnsi="宋体"/>
          <w:b/>
          <w:color w:val="auto"/>
          <w:szCs w:val="21"/>
          <w:highlight w:val="none"/>
        </w:rPr>
        <w:t>合同生效</w:t>
      </w:r>
      <w:bookmarkEnd w:id="77"/>
      <w:bookmarkEnd w:id="78"/>
    </w:p>
    <w:p>
      <w:pPr>
        <w:spacing w:line="360" w:lineRule="auto"/>
        <w:rPr>
          <w:rFonts w:ascii="宋体" w:hAnsi="宋体" w:cs="宋体"/>
          <w:color w:val="auto"/>
          <w:szCs w:val="21"/>
          <w:highlight w:val="none"/>
        </w:rPr>
      </w:pPr>
      <w:r>
        <w:rPr>
          <w:rFonts w:hint="eastAsia" w:ascii="宋体" w:hAnsi="宋体" w:cs="宋体"/>
          <w:color w:val="auto"/>
          <w:szCs w:val="21"/>
          <w:highlight w:val="none"/>
        </w:rPr>
        <w:t>1）合同自甲乙双方法人代表或其授权代表签字盖章之日起生效。</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合同壹式陆份，其中甲方执肆份，乙方执贰份</w:t>
      </w:r>
      <w:r>
        <w:rPr>
          <w:rFonts w:hint="eastAsia" w:ascii="宋体" w:hAnsi="宋体"/>
          <w:color w:val="auto"/>
          <w:szCs w:val="21"/>
          <w:highlight w:val="none"/>
        </w:rPr>
        <w:t>。</w:t>
      </w:r>
    </w:p>
    <w:p>
      <w:pPr>
        <w:tabs>
          <w:tab w:val="left" w:pos="720"/>
        </w:tabs>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甲方（盖章）：                          乙方（盖章）：</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代表：                                  代表：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签订地点：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签订日期：        年     月    日       签订日期：        年     月     日    </w:t>
      </w:r>
    </w:p>
    <w:p>
      <w:pPr>
        <w:snapToGrid w:val="0"/>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开户名称：</w:t>
      </w:r>
    </w:p>
    <w:p>
      <w:pPr>
        <w:snapToGrid w:val="0"/>
        <w:spacing w:line="36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银行账号：</w:t>
      </w:r>
    </w:p>
    <w:p>
      <w:pPr>
        <w:snapToGrid w:val="0"/>
        <w:spacing w:line="360" w:lineRule="auto"/>
        <w:ind w:firstLine="4200" w:firstLineChars="2000"/>
        <w:rPr>
          <w:rFonts w:ascii="宋体" w:hAnsi="宋体"/>
          <w:color w:val="auto"/>
          <w:szCs w:val="21"/>
          <w:highlight w:val="none"/>
        </w:rPr>
      </w:pPr>
      <w:r>
        <w:rPr>
          <w:rFonts w:hint="eastAsia" w:ascii="宋体" w:hAnsi="宋体" w:cs="宋体"/>
          <w:color w:val="auto"/>
          <w:szCs w:val="21"/>
          <w:highlight w:val="none"/>
        </w:rPr>
        <w:t>开 户 行：</w:t>
      </w:r>
    </w:p>
    <w:p/>
    <w:p>
      <w:pPr>
        <w:snapToGrid w:val="0"/>
        <w:spacing w:line="360" w:lineRule="auto"/>
        <w:ind w:firstLine="4200" w:firstLineChars="2000"/>
        <w:rPr>
          <w:rFonts w:ascii="宋体" w:hAnsi="宋体"/>
          <w:color w:val="auto"/>
          <w:szCs w:val="21"/>
          <w:highlight w:val="none"/>
        </w:rPr>
      </w:pPr>
    </w:p>
    <w:p>
      <w:pPr>
        <w:widowControl/>
        <w:jc w:val="left"/>
        <w:rPr>
          <w:b/>
          <w:bCs/>
          <w:color w:val="auto"/>
          <w:sz w:val="28"/>
          <w:szCs w:val="28"/>
          <w:highlight w:val="none"/>
        </w:rPr>
        <w:sectPr>
          <w:pgSz w:w="11906" w:h="16838"/>
          <w:pgMar w:top="1440" w:right="1286" w:bottom="1440" w:left="1440" w:header="851" w:footer="992" w:gutter="0"/>
          <w:cols w:space="720" w:num="1"/>
          <w:docGrid w:type="lines" w:linePitch="312" w:charSpace="0"/>
        </w:sectPr>
      </w:pPr>
      <w:r>
        <w:rPr>
          <w:b/>
          <w:bCs/>
          <w:color w:val="auto"/>
          <w:sz w:val="28"/>
          <w:szCs w:val="28"/>
          <w:highlight w:val="none"/>
        </w:rPr>
        <w:br w:type="page"/>
      </w:r>
    </w:p>
    <w:p>
      <w:pPr>
        <w:pStyle w:val="4"/>
        <w:jc w:val="center"/>
        <w:rPr>
          <w:rFonts w:asciiTheme="majorEastAsia" w:hAnsiTheme="majorEastAsia" w:eastAsiaTheme="majorEastAsia" w:cstheme="majorEastAsia"/>
          <w:color w:val="auto"/>
          <w:sz w:val="32"/>
          <w:szCs w:val="32"/>
          <w:highlight w:val="none"/>
        </w:rPr>
      </w:pPr>
      <w:bookmarkStart w:id="79" w:name="_Toc12687"/>
      <w:bookmarkStart w:id="80" w:name="_Toc435115056"/>
      <w:bookmarkStart w:id="81" w:name="_Toc24338"/>
      <w:bookmarkStart w:id="82" w:name="_Toc9128_WPSOffice_Level1"/>
      <w:bookmarkStart w:id="83" w:name="_Toc8307306"/>
      <w:bookmarkStart w:id="84" w:name="_Toc22206"/>
      <w:bookmarkStart w:id="85" w:name="_Toc435514851"/>
      <w:r>
        <w:rPr>
          <w:rFonts w:hint="eastAsia" w:asciiTheme="majorEastAsia" w:hAnsiTheme="majorEastAsia" w:eastAsiaTheme="majorEastAsia" w:cstheme="majorEastAsia"/>
          <w:color w:val="auto"/>
          <w:sz w:val="32"/>
          <w:szCs w:val="32"/>
          <w:highlight w:val="none"/>
        </w:rPr>
        <w:t>第六章 投标文件格式</w:t>
      </w:r>
      <w:bookmarkEnd w:id="79"/>
      <w:bookmarkEnd w:id="80"/>
      <w:bookmarkEnd w:id="81"/>
      <w:bookmarkEnd w:id="82"/>
      <w:bookmarkEnd w:id="83"/>
      <w:bookmarkEnd w:id="84"/>
      <w:bookmarkEnd w:id="85"/>
    </w:p>
    <w:p>
      <w:pPr>
        <w:pStyle w:val="5"/>
        <w:numPr>
          <w:ilvl w:val="0"/>
          <w:numId w:val="9"/>
        </w:numPr>
        <w:spacing w:line="240" w:lineRule="auto"/>
        <w:jc w:val="center"/>
        <w:rPr>
          <w:rFonts w:asciiTheme="majorEastAsia" w:hAnsiTheme="majorEastAsia" w:eastAsiaTheme="majorEastAsia"/>
          <w:color w:val="auto"/>
          <w:sz w:val="30"/>
          <w:szCs w:val="30"/>
          <w:highlight w:val="none"/>
        </w:rPr>
      </w:pPr>
      <w:bookmarkStart w:id="86" w:name="_Toc435514852"/>
      <w:bookmarkStart w:id="87" w:name="_Toc435515292"/>
      <w:bookmarkStart w:id="88" w:name="_Toc15339"/>
      <w:bookmarkStart w:id="89" w:name="_Toc8080"/>
      <w:r>
        <w:rPr>
          <w:rFonts w:hint="eastAsia" w:asciiTheme="majorEastAsia" w:hAnsiTheme="majorEastAsia" w:eastAsiaTheme="majorEastAsia"/>
          <w:color w:val="auto"/>
          <w:sz w:val="30"/>
          <w:szCs w:val="30"/>
          <w:highlight w:val="none"/>
        </w:rPr>
        <w:t>投标文件包装封面参考</w:t>
      </w:r>
      <w:bookmarkEnd w:id="86"/>
      <w:bookmarkEnd w:id="87"/>
      <w:bookmarkEnd w:id="88"/>
      <w:bookmarkEnd w:id="89"/>
    </w:p>
    <w:tbl>
      <w:tblPr>
        <w:tblStyle w:val="37"/>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18"/>
              <w:spacing w:line="360" w:lineRule="auto"/>
              <w:ind w:firstLine="482" w:firstLineChars="150"/>
              <w:rPr>
                <w:rFonts w:ascii="仿宋_GB2312" w:eastAsia="仿宋_GB2312"/>
                <w:b/>
                <w:color w:val="auto"/>
                <w:sz w:val="32"/>
                <w:highlight w:val="none"/>
              </w:rPr>
            </w:pPr>
          </w:p>
          <w:p>
            <w:pPr>
              <w:pStyle w:val="18"/>
              <w:spacing w:line="360" w:lineRule="auto"/>
              <w:ind w:firstLine="482" w:firstLineChars="150"/>
              <w:rPr>
                <w:rFonts w:ascii="仿宋_GB2312" w:eastAsia="仿宋_GB2312"/>
                <w:b/>
                <w:color w:val="auto"/>
                <w:sz w:val="32"/>
                <w:highlight w:val="none"/>
              </w:rPr>
            </w:pPr>
          </w:p>
          <w:p>
            <w:pPr>
              <w:pStyle w:val="18"/>
              <w:spacing w:line="360" w:lineRule="auto"/>
              <w:ind w:firstLine="482" w:firstLineChars="150"/>
              <w:rPr>
                <w:rFonts w:ascii="仿宋_GB2312" w:eastAsia="仿宋_GB2312"/>
                <w:b/>
                <w:color w:val="auto"/>
                <w:sz w:val="32"/>
                <w:highlight w:val="none"/>
              </w:rPr>
            </w:pPr>
          </w:p>
          <w:p>
            <w:pPr>
              <w:pStyle w:val="18"/>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1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1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18"/>
              <w:spacing w:line="360" w:lineRule="auto"/>
              <w:rPr>
                <w:rFonts w:ascii="仿宋_GB2312" w:eastAsia="仿宋_GB2312"/>
                <w:b/>
                <w:color w:val="auto"/>
                <w:sz w:val="32"/>
                <w:highlight w:val="none"/>
              </w:rPr>
            </w:pPr>
          </w:p>
          <w:p>
            <w:pPr>
              <w:pStyle w:val="18"/>
              <w:spacing w:line="360" w:lineRule="auto"/>
              <w:rPr>
                <w:rFonts w:ascii="仿宋_GB2312" w:eastAsia="仿宋_GB2312"/>
                <w:b/>
                <w:color w:val="auto"/>
                <w:sz w:val="32"/>
                <w:highlight w:val="none"/>
              </w:rPr>
            </w:pPr>
          </w:p>
          <w:p>
            <w:pPr>
              <w:pStyle w:val="18"/>
              <w:spacing w:line="360" w:lineRule="auto"/>
              <w:rPr>
                <w:rFonts w:ascii="仿宋_GB2312" w:eastAsia="仿宋_GB2312"/>
                <w:b/>
                <w:color w:val="auto"/>
                <w:sz w:val="32"/>
                <w:highlight w:val="none"/>
              </w:rPr>
            </w:pPr>
          </w:p>
          <w:p>
            <w:pPr>
              <w:pStyle w:val="18"/>
              <w:spacing w:line="400" w:lineRule="exact"/>
              <w:ind w:firstLine="900" w:firstLineChars="320"/>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shd w:val="clear" w:color="auto"/>
                <w:lang w:eastAsia="zh-CN"/>
              </w:rPr>
              <w:t>NSSHJD202505</w:t>
            </w:r>
            <w:r>
              <w:rPr>
                <w:rFonts w:hint="eastAsia" w:ascii="仿宋_GB2312" w:eastAsia="仿宋_GB2312"/>
                <w:b/>
                <w:color w:val="auto"/>
                <w:sz w:val="28"/>
                <w:szCs w:val="28"/>
                <w:highlight w:val="none"/>
                <w:shd w:val="clear" w:color="auto"/>
                <w:lang w:val="en-US" w:eastAsia="zh-CN"/>
              </w:rPr>
              <w:t>21</w:t>
            </w:r>
            <w:r>
              <w:rPr>
                <w:rFonts w:hint="eastAsia" w:ascii="仿宋_GB2312" w:eastAsia="仿宋_GB2312"/>
                <w:b/>
                <w:color w:val="auto"/>
                <w:sz w:val="28"/>
                <w:szCs w:val="28"/>
                <w:highlight w:val="none"/>
                <w:shd w:val="clear" w:color="auto"/>
                <w:lang w:eastAsia="zh-CN"/>
              </w:rPr>
              <w:t>001</w:t>
            </w:r>
          </w:p>
          <w:p>
            <w:pPr>
              <w:pStyle w:val="18"/>
              <w:spacing w:line="400" w:lineRule="exact"/>
              <w:ind w:firstLine="900" w:firstLineChars="320"/>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光华街小区和光侨街小区老旧小区改造项目（设计）</w:t>
            </w:r>
          </w:p>
          <w:p>
            <w:pPr>
              <w:pStyle w:val="18"/>
              <w:spacing w:line="400" w:lineRule="exact"/>
              <w:ind w:firstLine="900" w:firstLineChars="32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p>
          <w:p>
            <w:pPr>
              <w:pStyle w:val="18"/>
              <w:spacing w:line="400" w:lineRule="exact"/>
              <w:ind w:firstLine="900" w:firstLineChars="32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pPr>
              <w:tabs>
                <w:tab w:val="left" w:pos="851"/>
              </w:tabs>
              <w:autoSpaceDE w:val="0"/>
              <w:autoSpaceDN w:val="0"/>
              <w:adjustRightInd w:val="0"/>
              <w:snapToGrid w:val="0"/>
              <w:spacing w:line="420" w:lineRule="auto"/>
              <w:ind w:firstLine="829" w:firstLineChars="295"/>
              <w:rPr>
                <w:rFonts w:ascii="仿宋_GB2312" w:eastAsia="仿宋_GB2312"/>
                <w:b/>
                <w:color w:val="auto"/>
                <w:sz w:val="32"/>
                <w:highlight w:val="none"/>
              </w:rPr>
            </w:pPr>
            <w:r>
              <w:rPr>
                <w:rFonts w:hint="eastAsia" w:ascii="仿宋_GB2312" w:eastAsia="仿宋_GB2312"/>
                <w:b/>
                <w:color w:val="auto"/>
                <w:sz w:val="28"/>
                <w:szCs w:val="28"/>
                <w:highlight w:val="none"/>
              </w:rPr>
              <w:t>开标之前不得启封</w:t>
            </w:r>
          </w:p>
        </w:tc>
      </w:tr>
    </w:tbl>
    <w:p>
      <w:pPr>
        <w:rPr>
          <w:color w:val="auto"/>
          <w:highlight w:val="none"/>
        </w:rPr>
      </w:pPr>
      <w:bookmarkStart w:id="90" w:name="_Toc435515305"/>
      <w:bookmarkStart w:id="91" w:name="_Toc435514865"/>
      <w:r>
        <w:rPr>
          <w:rFonts w:hint="eastAsia"/>
          <w:color w:val="auto"/>
          <w:highlight w:val="none"/>
        </w:rPr>
        <w:br w:type="page"/>
      </w:r>
    </w:p>
    <w:p>
      <w:pPr>
        <w:pStyle w:val="5"/>
        <w:numPr>
          <w:ilvl w:val="0"/>
          <w:numId w:val="9"/>
        </w:numPr>
        <w:spacing w:line="240" w:lineRule="auto"/>
        <w:jc w:val="center"/>
        <w:rPr>
          <w:rFonts w:asciiTheme="majorEastAsia" w:hAnsiTheme="majorEastAsia" w:eastAsiaTheme="majorEastAsia"/>
          <w:color w:val="auto"/>
          <w:sz w:val="30"/>
          <w:szCs w:val="30"/>
          <w:highlight w:val="none"/>
        </w:rPr>
      </w:pPr>
      <w:bookmarkStart w:id="92" w:name="_Toc12096"/>
      <w:bookmarkStart w:id="93" w:name="_Toc29334"/>
      <w:r>
        <w:rPr>
          <w:rFonts w:hint="eastAsia" w:asciiTheme="majorEastAsia" w:hAnsiTheme="majorEastAsia" w:eastAsiaTheme="majorEastAsia"/>
          <w:color w:val="auto"/>
          <w:sz w:val="30"/>
          <w:szCs w:val="30"/>
          <w:highlight w:val="none"/>
        </w:rPr>
        <w:t>营业执照等资质文件</w:t>
      </w:r>
      <w:bookmarkEnd w:id="92"/>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bookmarkEnd w:id="90"/>
    <w:bookmarkEnd w:id="91"/>
    <w:bookmarkEnd w:id="93"/>
    <w:p>
      <w:pPr>
        <w:spacing w:line="400" w:lineRule="exact"/>
        <w:rPr>
          <w:rFonts w:ascii="宋体" w:hAnsi="宋体"/>
          <w:b/>
          <w:bCs/>
          <w:color w:val="auto"/>
          <w:szCs w:val="21"/>
          <w:highlight w:val="none"/>
        </w:rPr>
        <w:sectPr>
          <w:pgSz w:w="11906" w:h="16838"/>
          <w:pgMar w:top="1440" w:right="1286" w:bottom="1440" w:left="1440" w:header="851" w:footer="992" w:gutter="0"/>
          <w:cols w:space="720" w:num="1"/>
          <w:docGrid w:type="lines" w:linePitch="312" w:charSpace="0"/>
        </w:sectPr>
      </w:pPr>
    </w:p>
    <w:p>
      <w:pPr>
        <w:pStyle w:val="5"/>
        <w:numPr>
          <w:ilvl w:val="0"/>
          <w:numId w:val="9"/>
        </w:numPr>
        <w:spacing w:line="240" w:lineRule="auto"/>
        <w:jc w:val="center"/>
        <w:rPr>
          <w:b w:val="0"/>
          <w:color w:val="auto"/>
          <w:highlight w:val="none"/>
        </w:rPr>
      </w:pPr>
      <w:bookmarkStart w:id="94" w:name="_Toc1762"/>
      <w:bookmarkStart w:id="95" w:name="_Toc435515294"/>
      <w:bookmarkStart w:id="96" w:name="_Toc435514854"/>
      <w:bookmarkStart w:id="97" w:name="_Toc20322_WPSOffice_Level1"/>
      <w:bookmarkStart w:id="98" w:name="_Toc12592"/>
      <w:bookmarkStart w:id="99" w:name="_Toc275865605"/>
      <w:r>
        <w:rPr>
          <w:rFonts w:hint="eastAsia" w:asciiTheme="majorEastAsia" w:hAnsiTheme="majorEastAsia" w:eastAsiaTheme="majorEastAsia"/>
          <w:color w:val="auto"/>
          <w:sz w:val="30"/>
          <w:szCs w:val="30"/>
          <w:highlight w:val="none"/>
        </w:rPr>
        <w:t>投标函</w:t>
      </w:r>
      <w:bookmarkEnd w:id="94"/>
      <w:bookmarkEnd w:id="95"/>
      <w:bookmarkEnd w:id="96"/>
      <w:bookmarkEnd w:id="97"/>
      <w:bookmarkEnd w:id="98"/>
      <w:bookmarkEnd w:id="99"/>
    </w:p>
    <w:p>
      <w:pPr>
        <w:spacing w:line="360" w:lineRule="auto"/>
        <w:ind w:left="105" w:leftChars="50" w:firstLine="2"/>
        <w:rPr>
          <w:rFonts w:ascii="宋体" w:hAnsi="宋体"/>
          <w:b/>
          <w:color w:val="auto"/>
          <w:highlight w:val="none"/>
        </w:rPr>
      </w:pPr>
      <w:r>
        <w:rPr>
          <w:rFonts w:hint="eastAsia" w:ascii="宋体" w:hAnsi="宋体"/>
          <w:b/>
          <w:color w:val="auto"/>
          <w:highlight w:val="none"/>
        </w:rPr>
        <w:t>致：深圳市南山区沙河街道办事处</w:t>
      </w:r>
    </w:p>
    <w:p>
      <w:pPr>
        <w:spacing w:line="360" w:lineRule="auto"/>
        <w:ind w:left="105" w:leftChars="50" w:firstLine="373" w:firstLineChars="178"/>
        <w:rPr>
          <w:rFonts w:ascii="宋体" w:hAnsi="宋体"/>
          <w:color w:val="auto"/>
          <w:highlight w:val="none"/>
        </w:rPr>
      </w:pPr>
      <w:r>
        <w:rPr>
          <w:rFonts w:hint="eastAsia" w:ascii="宋体" w:hAnsi="宋体"/>
          <w:color w:val="auto"/>
          <w:highlight w:val="none"/>
        </w:rPr>
        <w:t>我方确认收到贵方</w:t>
      </w:r>
      <w:r>
        <w:rPr>
          <w:rFonts w:hint="eastAsia" w:ascii="宋体" w:hAnsi="宋体"/>
          <w:color w:val="auto"/>
          <w:kern w:val="28"/>
          <w:highlight w:val="none"/>
          <w:u w:val="single"/>
        </w:rPr>
        <w:t xml:space="preserve">           </w:t>
      </w:r>
      <w:r>
        <w:rPr>
          <w:rFonts w:hint="eastAsia" w:ascii="宋体" w:hAnsi="宋体"/>
          <w:color w:val="auto"/>
          <w:kern w:val="28"/>
          <w:highlight w:val="none"/>
          <w:u w:val="single"/>
          <w:lang w:eastAsia="zh-CN"/>
        </w:rPr>
        <w:t>光华街小区和光侨街小区老旧小区改造项目（设计）</w:t>
      </w:r>
      <w:r>
        <w:rPr>
          <w:rFonts w:hint="eastAsia" w:ascii="宋体" w:hAnsi="宋体"/>
          <w:color w:val="auto"/>
          <w:kern w:val="28"/>
          <w:highlight w:val="none"/>
          <w:u w:val="single"/>
        </w:rPr>
        <w:t xml:space="preserve">        </w:t>
      </w:r>
      <w:r>
        <w:rPr>
          <w:rFonts w:hint="eastAsia" w:ascii="宋体" w:hAnsi="宋体"/>
          <w:color w:val="auto"/>
          <w:kern w:val="28"/>
          <w:highlight w:val="none"/>
        </w:rPr>
        <w:t>采购</w:t>
      </w:r>
      <w:r>
        <w:rPr>
          <w:rFonts w:hint="eastAsia" w:ascii="宋体" w:hAnsi="宋体"/>
          <w:color w:val="auto"/>
          <w:highlight w:val="none"/>
        </w:rPr>
        <w:t>货物及相关服务的招标文件（项目编号：</w:t>
      </w:r>
      <w:r>
        <w:rPr>
          <w:rFonts w:hint="eastAsia" w:ascii="宋体" w:hAnsi="宋体"/>
          <w:color w:val="auto"/>
          <w:highlight w:val="none"/>
          <w:shd w:val="clear" w:color="auto"/>
          <w:lang w:eastAsia="zh-CN"/>
        </w:rPr>
        <w:t>NSSHJD202505</w:t>
      </w:r>
      <w:r>
        <w:rPr>
          <w:rFonts w:hint="eastAsia" w:ascii="宋体" w:hAnsi="宋体"/>
          <w:color w:val="auto"/>
          <w:highlight w:val="none"/>
          <w:shd w:val="clear" w:color="auto"/>
          <w:lang w:val="en-US" w:eastAsia="zh-CN"/>
        </w:rPr>
        <w:t>21</w:t>
      </w:r>
      <w:r>
        <w:rPr>
          <w:rFonts w:hint="eastAsia" w:ascii="宋体" w:hAnsi="宋体"/>
          <w:color w:val="auto"/>
          <w:highlight w:val="none"/>
          <w:shd w:val="clear" w:color="auto"/>
          <w:lang w:eastAsia="zh-CN"/>
        </w:rPr>
        <w:t>001</w:t>
      </w:r>
      <w:r>
        <w:rPr>
          <w:rFonts w:hint="eastAsia" w:ascii="宋体" w:hAnsi="宋体"/>
          <w:color w:val="auto"/>
          <w:highlight w:val="none"/>
        </w:rPr>
        <w:t>），</w:t>
      </w:r>
      <w:r>
        <w:rPr>
          <w:rFonts w:hint="eastAsia" w:ascii="宋体" w:hAnsi="宋体"/>
          <w:color w:val="auto"/>
          <w:highlight w:val="none"/>
          <w:u w:val="single"/>
        </w:rPr>
        <w:t xml:space="preserve"> （投标人名称、地址）</w:t>
      </w:r>
      <w:r>
        <w:rPr>
          <w:rFonts w:hint="eastAsia" w:ascii="宋体" w:hAnsi="宋体"/>
          <w:color w:val="auto"/>
          <w:highlight w:val="none"/>
        </w:rPr>
        <w:t>作为投标人已正式授权</w:t>
      </w:r>
      <w:r>
        <w:rPr>
          <w:rFonts w:hint="eastAsia" w:ascii="宋体" w:hAnsi="宋体"/>
          <w:color w:val="auto"/>
          <w:highlight w:val="none"/>
          <w:u w:val="single"/>
        </w:rPr>
        <w:t xml:space="preserve"> （被投标人授权代表全名、职务）</w:t>
      </w:r>
      <w:r>
        <w:rPr>
          <w:rFonts w:hint="eastAsia" w:ascii="宋体" w:hAnsi="宋体"/>
          <w:color w:val="auto"/>
          <w:highlight w:val="none"/>
        </w:rPr>
        <w:t>为我方签名代表，签名代表在此声明并同意：</w:t>
      </w:r>
    </w:p>
    <w:p>
      <w:pPr>
        <w:numPr>
          <w:ilvl w:val="0"/>
          <w:numId w:val="10"/>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我单位愿意遵守招标文件的各项规定，自愿参加投标，并已清楚招标文件的要求及有关文件规定，并严格按照招标文件的规定履行全部责任和义务。</w:t>
      </w:r>
    </w:p>
    <w:p>
      <w:pPr>
        <w:numPr>
          <w:ilvl w:val="0"/>
          <w:numId w:val="10"/>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我们同意本投标文件的投标有效期从提交投标文件的截止之日起 90 日历日内有效，并承诺不予撤销已递交的投标文件。</w:t>
      </w:r>
    </w:p>
    <w:p>
      <w:pPr>
        <w:numPr>
          <w:ilvl w:val="0"/>
          <w:numId w:val="10"/>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我单位已经详细地阅读并完全明白了全部招标文件及附件，包括澄清（如有）及参考文件，我单位完全理解本招标文件的要求，</w:t>
      </w:r>
      <w:r>
        <w:rPr>
          <w:rFonts w:hint="eastAsia" w:ascii="宋体"/>
          <w:b/>
          <w:color w:val="auto"/>
          <w:highlight w:val="none"/>
        </w:rPr>
        <w:t>我单位同意放弃对招标文件提出不明或误解的一切权力</w:t>
      </w:r>
      <w:r>
        <w:rPr>
          <w:rFonts w:hint="eastAsia" w:ascii="宋体" w:hAnsi="宋体"/>
          <w:b/>
          <w:color w:val="auto"/>
          <w:highlight w:val="none"/>
        </w:rPr>
        <w:t>。</w:t>
      </w:r>
    </w:p>
    <w:p>
      <w:pPr>
        <w:numPr>
          <w:ilvl w:val="0"/>
          <w:numId w:val="10"/>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我单位同意提供</w:t>
      </w:r>
      <w:r>
        <w:rPr>
          <w:rFonts w:hint="eastAsia" w:ascii="宋体" w:hAnsi="宋体" w:cs="宋体"/>
          <w:b/>
          <w:color w:val="auto"/>
          <w:szCs w:val="21"/>
          <w:highlight w:val="none"/>
          <w:lang w:eastAsia="zh-TW"/>
        </w:rPr>
        <w:t>采购人</w:t>
      </w:r>
      <w:r>
        <w:rPr>
          <w:rFonts w:hint="eastAsia" w:ascii="宋体" w:hAnsi="宋体"/>
          <w:b/>
          <w:color w:val="auto"/>
          <w:highlight w:val="none"/>
        </w:rPr>
        <w:t>与评标委员会要求的有关投标的一切数据或资料。</w:t>
      </w:r>
    </w:p>
    <w:p>
      <w:pPr>
        <w:numPr>
          <w:ilvl w:val="0"/>
          <w:numId w:val="10"/>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 xml:space="preserve">如果我单位未对招标文件全部要求作出实质性响应，则完全同意并接受按无效投标处理。 </w:t>
      </w:r>
    </w:p>
    <w:p>
      <w:pPr>
        <w:numPr>
          <w:ilvl w:val="0"/>
          <w:numId w:val="10"/>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0"/>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如果我单位提供的声明或承诺不真实，则完全同意认定为我司提供虚假材料，并同意作相应处理。</w:t>
      </w:r>
    </w:p>
    <w:p>
      <w:pPr>
        <w:numPr>
          <w:ilvl w:val="0"/>
          <w:numId w:val="10"/>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我单位是依法注册的法人，在法律、财务及运作上完全独立于本项目采购人、用户单位（如有）和采购人。</w:t>
      </w:r>
    </w:p>
    <w:p>
      <w:pPr>
        <w:numPr>
          <w:ilvl w:val="0"/>
          <w:numId w:val="10"/>
        </w:numPr>
        <w:tabs>
          <w:tab w:val="clear" w:pos="780"/>
        </w:tabs>
        <w:snapToGrid w:val="0"/>
        <w:spacing w:line="360" w:lineRule="auto"/>
        <w:ind w:left="426"/>
        <w:rPr>
          <w:rFonts w:ascii="宋体" w:hAnsi="宋体"/>
          <w:b/>
          <w:color w:val="auto"/>
          <w:highlight w:val="none"/>
        </w:rPr>
      </w:pPr>
      <w:r>
        <w:rPr>
          <w:rFonts w:hint="eastAsia" w:ascii="宋体" w:hAnsi="宋体"/>
          <w:b/>
          <w:color w:val="auto"/>
          <w:highlight w:val="none"/>
        </w:rPr>
        <w:t>所有有关本次投标的函电请寄：</w:t>
      </w:r>
      <w:r>
        <w:rPr>
          <w:rFonts w:hint="eastAsia" w:ascii="宋体" w:hAnsi="宋体"/>
          <w:b/>
          <w:color w:val="auto"/>
          <w:highlight w:val="none"/>
          <w:u w:val="single"/>
        </w:rPr>
        <w:t xml:space="preserve">  （投标人地址）   </w:t>
      </w:r>
    </w:p>
    <w:p>
      <w:pPr>
        <w:autoSpaceDE w:val="0"/>
        <w:autoSpaceDN w:val="0"/>
        <w:adjustRightInd w:val="0"/>
        <w:spacing w:line="360" w:lineRule="auto"/>
        <w:rPr>
          <w:rFonts w:ascii="宋体" w:hAnsi="宋体"/>
          <w:b/>
          <w:color w:val="auto"/>
          <w:sz w:val="22"/>
          <w:szCs w:val="22"/>
          <w:highlight w:val="none"/>
        </w:rPr>
      </w:pPr>
      <w:r>
        <w:rPr>
          <w:rFonts w:hint="eastAsia" w:ascii="宋体" w:hAnsi="宋体"/>
          <w:b/>
          <w:color w:val="auto"/>
          <w:sz w:val="22"/>
          <w:szCs w:val="22"/>
          <w:highlight w:val="none"/>
        </w:rPr>
        <w:t>备注：1、投标函中承诺的投标有效期应当不少于招标文件中载明的投标有效期，否则视为无效投标。</w:t>
      </w:r>
    </w:p>
    <w:p>
      <w:pPr>
        <w:autoSpaceDE w:val="0"/>
        <w:autoSpaceDN w:val="0"/>
        <w:adjustRightInd w:val="0"/>
        <w:spacing w:line="360" w:lineRule="auto"/>
        <w:rPr>
          <w:rFonts w:ascii="宋体" w:hAnsi="宋体"/>
          <w:b/>
          <w:color w:val="auto"/>
          <w:sz w:val="22"/>
          <w:szCs w:val="22"/>
          <w:highlight w:val="none"/>
        </w:rPr>
      </w:pPr>
      <w:r>
        <w:rPr>
          <w:rFonts w:hint="eastAsia" w:ascii="宋体" w:hAnsi="宋体"/>
          <w:b/>
          <w:color w:val="auto"/>
          <w:sz w:val="22"/>
          <w:szCs w:val="22"/>
          <w:highlight w:val="none"/>
        </w:rPr>
        <w:t xml:space="preserve">2、除投标有效期承诺的时间外，本投标函内容不得擅自删改，否则视为无效投标。 </w:t>
      </w:r>
    </w:p>
    <w:p>
      <w:pPr>
        <w:autoSpaceDE w:val="0"/>
        <w:autoSpaceDN w:val="0"/>
        <w:adjustRightInd w:val="0"/>
        <w:spacing w:line="360" w:lineRule="auto"/>
        <w:rPr>
          <w:rFonts w:ascii="宋体" w:hAnsi="宋体"/>
          <w:b/>
          <w:color w:val="auto"/>
          <w:sz w:val="20"/>
          <w:szCs w:val="22"/>
          <w:highlight w:val="none"/>
        </w:rPr>
      </w:pPr>
    </w:p>
    <w:p>
      <w:pPr>
        <w:spacing w:line="360" w:lineRule="auto"/>
        <w:rPr>
          <w:color w:val="auto"/>
          <w:sz w:val="22"/>
          <w:szCs w:val="22"/>
          <w:highlight w:val="none"/>
        </w:rPr>
      </w:pPr>
      <w:r>
        <w:rPr>
          <w:rFonts w:hint="eastAsia"/>
          <w:b/>
          <w:bCs/>
          <w:color w:val="auto"/>
          <w:sz w:val="22"/>
          <w:szCs w:val="22"/>
          <w:highlight w:val="none"/>
        </w:rPr>
        <w:t>投标人单位名称：</w:t>
      </w:r>
      <w:r>
        <w:rPr>
          <w:rFonts w:hint="eastAsia"/>
          <w:color w:val="auto"/>
          <w:sz w:val="22"/>
          <w:szCs w:val="22"/>
          <w:highlight w:val="none"/>
          <w:u w:val="single"/>
        </w:rPr>
        <w:t xml:space="preserve">                            </w:t>
      </w:r>
      <w:r>
        <w:rPr>
          <w:rFonts w:hint="eastAsia"/>
          <w:color w:val="auto"/>
          <w:sz w:val="22"/>
          <w:szCs w:val="22"/>
          <w:highlight w:val="none"/>
        </w:rPr>
        <w:t xml:space="preserve"> </w:t>
      </w:r>
    </w:p>
    <w:p>
      <w:pPr>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t>日期：</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年</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月</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日</w:t>
      </w:r>
    </w:p>
    <w:p>
      <w:pPr>
        <w:spacing w:line="360" w:lineRule="auto"/>
        <w:rPr>
          <w:color w:val="auto"/>
          <w:sz w:val="22"/>
          <w:szCs w:val="22"/>
          <w:highlight w:val="none"/>
        </w:rPr>
      </w:pPr>
      <w:r>
        <w:rPr>
          <w:rFonts w:hint="eastAsia"/>
          <w:b/>
          <w:color w:val="auto"/>
          <w:sz w:val="22"/>
          <w:szCs w:val="22"/>
          <w:highlight w:val="none"/>
        </w:rPr>
        <w:t>（此处加盖投标人单位公章）</w:t>
      </w:r>
    </w:p>
    <w:p>
      <w:pPr>
        <w:adjustRightInd w:val="0"/>
        <w:snapToGrid w:val="0"/>
        <w:spacing w:line="360" w:lineRule="auto"/>
        <w:rPr>
          <w:rFonts w:ascii="黑体" w:eastAsia="黑体"/>
          <w:b/>
          <w:bCs/>
          <w:color w:val="auto"/>
          <w:sz w:val="22"/>
          <w:szCs w:val="22"/>
          <w:highlight w:val="none"/>
        </w:rPr>
        <w:sectPr>
          <w:pgSz w:w="11906" w:h="16838"/>
          <w:pgMar w:top="1440" w:right="1286" w:bottom="1440" w:left="1440" w:header="851" w:footer="992" w:gutter="0"/>
          <w:cols w:space="720" w:num="1"/>
          <w:docGrid w:type="lines" w:linePitch="312" w:charSpace="0"/>
        </w:sectPr>
      </w:pPr>
    </w:p>
    <w:p>
      <w:pPr>
        <w:pStyle w:val="5"/>
        <w:numPr>
          <w:ilvl w:val="0"/>
          <w:numId w:val="9"/>
        </w:numPr>
        <w:spacing w:line="240" w:lineRule="auto"/>
        <w:jc w:val="center"/>
        <w:rPr>
          <w:rFonts w:asciiTheme="majorEastAsia" w:hAnsiTheme="majorEastAsia" w:eastAsiaTheme="majorEastAsia"/>
          <w:color w:val="auto"/>
          <w:sz w:val="30"/>
          <w:szCs w:val="30"/>
          <w:highlight w:val="none"/>
        </w:rPr>
      </w:pPr>
      <w:bookmarkStart w:id="100" w:name="_Toc435514855"/>
      <w:bookmarkStart w:id="101" w:name="_Toc7685"/>
      <w:bookmarkStart w:id="102" w:name="_Toc435515295"/>
      <w:bookmarkStart w:id="103" w:name="_Toc24650"/>
      <w:bookmarkStart w:id="104" w:name="_Toc275865606"/>
      <w:r>
        <w:rPr>
          <w:rFonts w:hint="eastAsia" w:asciiTheme="majorEastAsia" w:hAnsiTheme="majorEastAsia" w:eastAsiaTheme="majorEastAsia"/>
          <w:color w:val="auto"/>
          <w:sz w:val="30"/>
          <w:szCs w:val="30"/>
          <w:highlight w:val="none"/>
        </w:rPr>
        <w:t>投标人资格声明函</w:t>
      </w:r>
      <w:bookmarkEnd w:id="100"/>
      <w:bookmarkEnd w:id="101"/>
      <w:bookmarkEnd w:id="102"/>
      <w:bookmarkEnd w:id="103"/>
      <w:bookmarkEnd w:id="104"/>
    </w:p>
    <w:p>
      <w:pPr>
        <w:spacing w:line="360" w:lineRule="auto"/>
        <w:rPr>
          <w:rFonts w:ascii="宋体" w:hAnsi="宋体"/>
          <w:color w:val="auto"/>
          <w:szCs w:val="21"/>
          <w:highlight w:val="none"/>
        </w:rPr>
      </w:pPr>
      <w:r>
        <w:rPr>
          <w:rFonts w:hint="eastAsia" w:ascii="宋体" w:hAnsi="宋体"/>
          <w:color w:val="auto"/>
          <w:szCs w:val="21"/>
          <w:highlight w:val="none"/>
        </w:rPr>
        <w:t>致：</w:t>
      </w:r>
      <w:bookmarkStart w:id="105" w:name="_Hlk77945936"/>
      <w:r>
        <w:rPr>
          <w:rFonts w:hint="eastAsia" w:ascii="宋体" w:hAnsi="宋体"/>
          <w:color w:val="auto"/>
          <w:szCs w:val="21"/>
          <w:highlight w:val="none"/>
        </w:rPr>
        <w:t>深圳市南山区沙河街道办事处</w:t>
      </w:r>
      <w:bookmarkEnd w:id="105"/>
    </w:p>
    <w:p>
      <w:pPr>
        <w:pStyle w:val="113"/>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关于贵街道采购的</w:t>
      </w:r>
      <w:r>
        <w:rPr>
          <w:rFonts w:hint="eastAsia" w:ascii="宋体" w:hAnsi="宋体"/>
          <w:color w:val="auto"/>
          <w:highlight w:val="none"/>
          <w:u w:val="single"/>
        </w:rPr>
        <w:t xml:space="preserve">  </w:t>
      </w:r>
      <w:r>
        <w:rPr>
          <w:rFonts w:hint="eastAsia" w:ascii="宋体" w:hAnsi="宋体"/>
          <w:color w:val="auto"/>
          <w:highlight w:val="none"/>
          <w:u w:val="single"/>
          <w:lang w:eastAsia="zh-CN"/>
        </w:rPr>
        <w:t>光华街小区和光侨街小区老旧小区改造项目（设计）</w:t>
      </w:r>
      <w:r>
        <w:rPr>
          <w:rFonts w:hint="eastAsia" w:ascii="宋体" w:hAnsi="宋体"/>
          <w:color w:val="auto"/>
          <w:highlight w:val="none"/>
          <w:u w:val="single"/>
        </w:rPr>
        <w:t xml:space="preserve"> </w:t>
      </w:r>
      <w:r>
        <w:rPr>
          <w:rFonts w:hint="eastAsia" w:ascii="宋体" w:hAnsi="宋体"/>
          <w:color w:val="auto"/>
          <w:highlight w:val="none"/>
        </w:rPr>
        <w:t>（项目编号：</w:t>
      </w:r>
      <w:r>
        <w:rPr>
          <w:rFonts w:hint="eastAsia" w:ascii="宋体" w:hAnsi="宋体"/>
          <w:color w:val="auto"/>
          <w:highlight w:val="none"/>
          <w:shd w:val="clear" w:color="auto"/>
          <w:lang w:eastAsia="zh-CN"/>
        </w:rPr>
        <w:t>NSSHJD202505</w:t>
      </w:r>
      <w:r>
        <w:rPr>
          <w:rFonts w:hint="eastAsia" w:ascii="宋体" w:hAnsi="宋体"/>
          <w:color w:val="auto"/>
          <w:highlight w:val="none"/>
          <w:shd w:val="clear" w:color="auto"/>
          <w:lang w:val="en-US" w:eastAsia="zh-CN"/>
        </w:rPr>
        <w:t>21</w:t>
      </w:r>
      <w:r>
        <w:rPr>
          <w:rFonts w:hint="eastAsia" w:ascii="宋体" w:hAnsi="宋体"/>
          <w:color w:val="auto"/>
          <w:highlight w:val="none"/>
          <w:shd w:val="clear" w:color="auto"/>
          <w:lang w:eastAsia="zh-CN"/>
        </w:rPr>
        <w:t>001</w:t>
      </w:r>
      <w:r>
        <w:rPr>
          <w:rFonts w:hint="eastAsia" w:ascii="宋体" w:hAnsi="宋体"/>
          <w:color w:val="auto"/>
          <w:highlight w:val="none"/>
        </w:rPr>
        <w:t>）招标，本公司（企业）愿意参加投标，并声明：</w:t>
      </w:r>
    </w:p>
    <w:p>
      <w:pPr>
        <w:numPr>
          <w:ilvl w:val="0"/>
          <w:numId w:val="1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《中华人民共和国政府采购法》</w:t>
      </w:r>
      <w:r>
        <w:rPr>
          <w:rFonts w:hint="eastAsia" w:asciiTheme="minorEastAsia" w:hAnsiTheme="minorEastAsia" w:eastAsiaTheme="minorEastAsia"/>
          <w:bCs/>
          <w:color w:val="auto"/>
          <w:szCs w:val="21"/>
          <w:highlight w:val="none"/>
        </w:rPr>
        <w:t>第二十二条规定的条件：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numPr>
          <w:ilvl w:val="0"/>
          <w:numId w:val="1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我公司对本招标项目所提供的货物或服务未侵犯知识产权。</w:t>
      </w:r>
    </w:p>
    <w:p>
      <w:pPr>
        <w:numPr>
          <w:ilvl w:val="0"/>
          <w:numId w:val="1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我公司保证采购人拥有所投产品完整的所有权，不以保护知识产权或技术保密的名义对所有权和使用权进行任何限制。</w:t>
      </w:r>
    </w:p>
    <w:p>
      <w:pPr>
        <w:numPr>
          <w:ilvl w:val="0"/>
          <w:numId w:val="1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numPr>
          <w:ilvl w:val="0"/>
          <w:numId w:val="1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pPr>
        <w:numPr>
          <w:ilvl w:val="0"/>
          <w:numId w:val="11"/>
        </w:numPr>
        <w:spacing w:line="360" w:lineRule="auto"/>
        <w:ind w:right="-815" w:firstLineChars="200"/>
        <w:rPr>
          <w:bCs/>
          <w:color w:val="auto"/>
          <w:szCs w:val="21"/>
          <w:highlight w:val="none"/>
        </w:rPr>
      </w:pPr>
      <w:r>
        <w:rPr>
          <w:rFonts w:hint="eastAsia"/>
          <w:bCs/>
          <w:color w:val="auto"/>
          <w:szCs w:val="21"/>
          <w:highlight w:val="none"/>
        </w:rPr>
        <w:t>根据《中华人民共和国政府采购法实施条例》的规定，本公司（企业）如为采购项目（包组）提供整体设计、规范编制或者项目管理、监理、检测等服务的供应商，不再参加该采购项目的其他采购活动</w:t>
      </w:r>
    </w:p>
    <w:p>
      <w:pPr>
        <w:numPr>
          <w:ilvl w:val="0"/>
          <w:numId w:val="11"/>
        </w:numPr>
        <w:spacing w:line="360" w:lineRule="auto"/>
        <w:ind w:right="-815" w:firstLineChars="200"/>
        <w:rPr>
          <w:rFonts w:ascii="宋体" w:hAnsi="宋体"/>
          <w:color w:val="auto"/>
          <w:highlight w:val="none"/>
        </w:rPr>
      </w:pPr>
      <w:r>
        <w:rPr>
          <w:rFonts w:hint="eastAsia" w:ascii="宋体" w:hAnsi="宋体"/>
          <w:color w:val="auto"/>
          <w:highlight w:val="none"/>
        </w:rPr>
        <w:t>本公司（企业）的法定代表人或单位负责人与本项目其他投标人的法定代表人或单位负责人不为同一人且与其他投标人之间不存在直接控股、管理关系。</w:t>
      </w:r>
    </w:p>
    <w:p>
      <w:pPr>
        <w:numPr>
          <w:ilvl w:val="0"/>
          <w:numId w:val="11"/>
        </w:numPr>
        <w:spacing w:line="360" w:lineRule="auto"/>
        <w:ind w:right="-815" w:firstLineChars="200"/>
        <w:rPr>
          <w:rFonts w:ascii="宋体" w:hAnsi="宋体"/>
          <w:color w:val="auto"/>
          <w:szCs w:val="21"/>
          <w:highlight w:val="none"/>
        </w:rPr>
      </w:pPr>
      <w:r>
        <w:rPr>
          <w:rFonts w:hint="eastAsia" w:ascii="宋体" w:hAnsi="宋体"/>
          <w:color w:val="auto"/>
          <w:highlight w:val="none"/>
        </w:rPr>
        <w:t>本公司（企业）承诺在本次招标采购活动中，如有违法、违规、弄虚作假行为，所造成的损失、不良后果及法律责任，一律由我公司（企业）承担。</w:t>
      </w:r>
    </w:p>
    <w:p>
      <w:pPr>
        <w:numPr>
          <w:ilvl w:val="0"/>
          <w:numId w:val="1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在参与</w:t>
      </w:r>
      <w:r>
        <w:rPr>
          <w:rFonts w:hint="eastAsia" w:ascii="宋体" w:hAnsi="宋体"/>
          <w:color w:val="auto"/>
          <w:highlight w:val="none"/>
        </w:rPr>
        <w:t>本次招标采购活动中</w:t>
      </w:r>
      <w:r>
        <w:rPr>
          <w:rFonts w:hint="eastAsia" w:ascii="宋体" w:hAnsi="宋体"/>
          <w:color w:val="auto"/>
          <w:szCs w:val="21"/>
          <w:highlight w:val="none"/>
        </w:rPr>
        <w:t>投标截止日前三年内，在我公司的经营活动中没有存在重大违法记录，即我公司没有受到刑事处罚或者责令停产停业、吊销许可证或者执照、较大数额罚款等行政处罚。</w:t>
      </w:r>
    </w:p>
    <w:p>
      <w:pPr>
        <w:numPr>
          <w:ilvl w:val="0"/>
          <w:numId w:val="11"/>
        </w:numPr>
        <w:spacing w:line="360" w:lineRule="auto"/>
        <w:ind w:right="-815" w:firstLineChars="200"/>
        <w:rPr>
          <w:rFonts w:ascii="宋体" w:hAnsi="宋体"/>
          <w:color w:val="auto"/>
          <w:szCs w:val="21"/>
          <w:highlight w:val="none"/>
        </w:rPr>
      </w:pPr>
      <w:r>
        <w:rPr>
          <w:rFonts w:hint="eastAsia"/>
          <w:color w:val="auto"/>
          <w:szCs w:val="21"/>
          <w:highlight w:val="none"/>
        </w:rPr>
        <w:t>在参与</w:t>
      </w:r>
      <w:r>
        <w:rPr>
          <w:rFonts w:hint="eastAsia" w:ascii="宋体" w:hAnsi="宋体"/>
          <w:color w:val="auto"/>
          <w:highlight w:val="none"/>
        </w:rPr>
        <w:t>本次招标采购活动中</w:t>
      </w:r>
      <w:r>
        <w:rPr>
          <w:rFonts w:hint="eastAsia"/>
          <w:color w:val="auto"/>
          <w:szCs w:val="21"/>
          <w:highlight w:val="none"/>
        </w:rPr>
        <w:t>，我公司不存在被政府主管部门禁止参与政府采购活动的情形，即我公司不存在还处于被禁止参与政府采购活动的期限内情形。</w:t>
      </w:r>
    </w:p>
    <w:p>
      <w:pPr>
        <w:numPr>
          <w:ilvl w:val="0"/>
          <w:numId w:val="1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参与本项目采购活动时未被列入失信被执行人、重大税收违法案件当事人名单、政府采购严重违法失信行为记录名单</w:t>
      </w:r>
    </w:p>
    <w:p>
      <w:pPr>
        <w:numPr>
          <w:ilvl w:val="0"/>
          <w:numId w:val="11"/>
        </w:numPr>
        <w:spacing w:line="360" w:lineRule="auto"/>
        <w:ind w:right="-815" w:firstLineChars="200"/>
        <w:rPr>
          <w:rFonts w:ascii="宋体" w:hAnsi="宋体"/>
          <w:color w:val="auto"/>
          <w:szCs w:val="21"/>
          <w:highlight w:val="none"/>
        </w:rPr>
      </w:pPr>
      <w:r>
        <w:rPr>
          <w:rFonts w:hint="eastAsia"/>
          <w:color w:val="auto"/>
          <w:szCs w:val="21"/>
          <w:highlight w:val="none"/>
        </w:rPr>
        <w:t>在参与</w:t>
      </w:r>
      <w:r>
        <w:rPr>
          <w:rFonts w:hint="eastAsia" w:ascii="宋体" w:hAnsi="宋体"/>
          <w:color w:val="auto"/>
          <w:highlight w:val="none"/>
        </w:rPr>
        <w:t>本次招标采购活动中</w:t>
      </w:r>
      <w:r>
        <w:rPr>
          <w:rFonts w:hint="eastAsia"/>
          <w:color w:val="auto"/>
          <w:szCs w:val="21"/>
          <w:highlight w:val="none"/>
        </w:rPr>
        <w:t>，我公司承诺按招标文件要求提供本国产品/服务。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以上承诺，如有违反，愿依照国家相关法律处理，并承担由此给采购人带来的损失。</w:t>
      </w:r>
    </w:p>
    <w:p>
      <w:pPr>
        <w:autoSpaceDE w:val="0"/>
        <w:autoSpaceDN w:val="0"/>
        <w:adjustRightInd w:val="0"/>
        <w:spacing w:line="360" w:lineRule="auto"/>
        <w:rPr>
          <w:rFonts w:ascii="宋体" w:hAnsi="宋体"/>
          <w:b/>
          <w:color w:val="auto"/>
          <w:sz w:val="22"/>
          <w:szCs w:val="22"/>
          <w:highlight w:val="none"/>
        </w:rPr>
      </w:pPr>
      <w:r>
        <w:rPr>
          <w:rFonts w:hint="eastAsia" w:ascii="宋体" w:hAnsi="宋体"/>
          <w:b/>
          <w:color w:val="auto"/>
          <w:sz w:val="22"/>
          <w:szCs w:val="22"/>
          <w:highlight w:val="none"/>
        </w:rPr>
        <w:t>备注：1.本声明函必须提供且内容不得擅自删改，否则视为无效投标。</w:t>
      </w:r>
    </w:p>
    <w:p>
      <w:pPr>
        <w:snapToGrid w:val="0"/>
        <w:spacing w:line="360" w:lineRule="auto"/>
        <w:ind w:firstLine="663" w:firstLineChars="300"/>
        <w:rPr>
          <w:rFonts w:ascii="宋体" w:hAnsi="宋体"/>
          <w:b/>
          <w:color w:val="auto"/>
          <w:sz w:val="22"/>
          <w:szCs w:val="22"/>
          <w:highlight w:val="none"/>
        </w:rPr>
      </w:pPr>
      <w:r>
        <w:rPr>
          <w:rFonts w:hint="eastAsia" w:ascii="宋体" w:hAnsi="宋体"/>
          <w:b/>
          <w:color w:val="auto"/>
          <w:sz w:val="22"/>
          <w:szCs w:val="22"/>
          <w:highlight w:val="none"/>
        </w:rPr>
        <w:t>2. 本声明函如有虚假或与事实不符的，作无效投标处理。</w:t>
      </w:r>
    </w:p>
    <w:p>
      <w:pPr>
        <w:spacing w:line="360" w:lineRule="auto"/>
        <w:ind w:firstLine="440" w:firstLineChars="200"/>
        <w:rPr>
          <w:rFonts w:ascii="宋体" w:hAnsi="宋体"/>
          <w:color w:val="auto"/>
          <w:sz w:val="22"/>
          <w:szCs w:val="22"/>
          <w:highlight w:val="none"/>
        </w:rPr>
      </w:pPr>
    </w:p>
    <w:p>
      <w:pPr>
        <w:spacing w:line="360" w:lineRule="auto"/>
        <w:ind w:firstLine="420"/>
        <w:rPr>
          <w:color w:val="auto"/>
          <w:sz w:val="22"/>
          <w:szCs w:val="22"/>
          <w:highlight w:val="none"/>
        </w:rPr>
      </w:pPr>
      <w:r>
        <w:rPr>
          <w:rFonts w:hint="eastAsia"/>
          <w:b/>
          <w:bCs/>
          <w:color w:val="auto"/>
          <w:sz w:val="22"/>
          <w:szCs w:val="22"/>
          <w:highlight w:val="none"/>
        </w:rPr>
        <w:t>投标人单位名称：</w:t>
      </w:r>
      <w:r>
        <w:rPr>
          <w:rFonts w:hint="eastAsia"/>
          <w:color w:val="auto"/>
          <w:sz w:val="22"/>
          <w:szCs w:val="22"/>
          <w:highlight w:val="none"/>
          <w:u w:val="single"/>
        </w:rPr>
        <w:t xml:space="preserve">                             </w:t>
      </w:r>
      <w:r>
        <w:rPr>
          <w:rFonts w:hint="eastAsia"/>
          <w:color w:val="auto"/>
          <w:sz w:val="22"/>
          <w:szCs w:val="22"/>
          <w:highlight w:val="none"/>
        </w:rPr>
        <w:t>　　　　　　　</w:t>
      </w:r>
    </w:p>
    <w:p>
      <w:pPr>
        <w:spacing w:line="360" w:lineRule="auto"/>
        <w:ind w:firstLine="420"/>
        <w:rPr>
          <w:rFonts w:ascii="宋体" w:hAnsi="宋体"/>
          <w:b/>
          <w:bCs/>
          <w:color w:val="auto"/>
          <w:sz w:val="22"/>
          <w:szCs w:val="22"/>
          <w:highlight w:val="none"/>
        </w:rPr>
      </w:pPr>
      <w:r>
        <w:rPr>
          <w:rFonts w:hint="eastAsia"/>
          <w:b/>
          <w:bCs/>
          <w:color w:val="auto"/>
          <w:sz w:val="22"/>
          <w:szCs w:val="22"/>
          <w:highlight w:val="none"/>
        </w:rPr>
        <w:t>日期：</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年</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月</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日</w:t>
      </w:r>
    </w:p>
    <w:p>
      <w:pPr>
        <w:spacing w:line="360" w:lineRule="auto"/>
        <w:ind w:firstLine="221" w:firstLineChars="100"/>
        <w:rPr>
          <w:b/>
          <w:color w:val="auto"/>
          <w:sz w:val="22"/>
          <w:szCs w:val="22"/>
          <w:highlight w:val="none"/>
        </w:rPr>
      </w:pPr>
      <w:r>
        <w:rPr>
          <w:rFonts w:hint="eastAsia"/>
          <w:b/>
          <w:color w:val="auto"/>
          <w:sz w:val="22"/>
          <w:szCs w:val="22"/>
          <w:highlight w:val="none"/>
        </w:rPr>
        <w:t>（此处加盖投标人单位公章）</w:t>
      </w:r>
    </w:p>
    <w:p>
      <w:pPr>
        <w:widowControl/>
        <w:jc w:val="left"/>
        <w:rPr>
          <w:b/>
          <w:color w:val="auto"/>
          <w:sz w:val="28"/>
          <w:szCs w:val="28"/>
          <w:highlight w:val="none"/>
        </w:rPr>
      </w:pPr>
      <w:r>
        <w:rPr>
          <w:b/>
          <w:color w:val="auto"/>
          <w:sz w:val="28"/>
          <w:szCs w:val="28"/>
          <w:highlight w:val="none"/>
        </w:rPr>
        <w:br w:type="page"/>
      </w:r>
    </w:p>
    <w:p>
      <w:pPr>
        <w:pStyle w:val="5"/>
        <w:numPr>
          <w:ilvl w:val="0"/>
          <w:numId w:val="9"/>
        </w:numPr>
        <w:spacing w:line="240" w:lineRule="auto"/>
        <w:jc w:val="center"/>
        <w:rPr>
          <w:rFonts w:asciiTheme="majorEastAsia" w:hAnsiTheme="majorEastAsia" w:eastAsiaTheme="majorEastAsia"/>
          <w:color w:val="auto"/>
          <w:sz w:val="30"/>
          <w:szCs w:val="30"/>
          <w:highlight w:val="none"/>
        </w:rPr>
      </w:pPr>
      <w:bookmarkStart w:id="106" w:name="_承诺函"/>
      <w:bookmarkEnd w:id="106"/>
      <w:bookmarkStart w:id="107" w:name="_Toc11340"/>
      <w:bookmarkStart w:id="108" w:name="_Toc27672"/>
      <w:bookmarkStart w:id="109" w:name="_Toc435514859"/>
      <w:bookmarkStart w:id="110" w:name="_Toc52165081"/>
      <w:bookmarkStart w:id="111" w:name="_Toc275865607"/>
      <w:bookmarkStart w:id="112" w:name="_Toc50737297"/>
      <w:bookmarkStart w:id="113" w:name="_Toc435515299"/>
      <w:bookmarkStart w:id="114" w:name="_Toc50736477"/>
      <w:bookmarkStart w:id="115" w:name="_Toc50737329"/>
      <w:bookmarkStart w:id="116" w:name="_Toc50691034"/>
      <w:bookmarkStart w:id="117" w:name="_Toc50737296"/>
      <w:bookmarkStart w:id="118" w:name="_Toc50737328"/>
      <w:bookmarkStart w:id="119" w:name="_Toc52165080"/>
      <w:bookmarkStart w:id="120" w:name="_Toc50736476"/>
      <w:r>
        <w:rPr>
          <w:rFonts w:hint="eastAsia" w:asciiTheme="majorEastAsia" w:hAnsiTheme="majorEastAsia" w:eastAsiaTheme="majorEastAsia"/>
          <w:color w:val="auto"/>
          <w:sz w:val="30"/>
          <w:szCs w:val="30"/>
          <w:highlight w:val="none"/>
        </w:rPr>
        <w:t>公章对投标专用章授权说明</w:t>
      </w:r>
      <w:bookmarkEnd w:id="107"/>
    </w:p>
    <w:p>
      <w:pPr>
        <w:snapToGrid w:val="0"/>
        <w:spacing w:line="360" w:lineRule="auto"/>
        <w:rPr>
          <w:rFonts w:ascii="宋体" w:hAnsi="宋体"/>
          <w:color w:val="auto"/>
          <w:szCs w:val="21"/>
          <w:highlight w:val="none"/>
        </w:rPr>
      </w:pPr>
      <w:r>
        <w:rPr>
          <w:rFonts w:hint="eastAsia" w:ascii="宋体" w:hAnsi="宋体"/>
          <w:b/>
          <w:color w:val="auto"/>
          <w:szCs w:val="21"/>
          <w:highlight w:val="none"/>
        </w:rPr>
        <w:t>深圳市南山区沙河街道办事处：</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本单位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（投标人名称）  </w:t>
      </w:r>
      <w:r>
        <w:rPr>
          <w:rFonts w:hint="eastAsia" w:ascii="宋体" w:hAnsi="宋体"/>
          <w:color w:val="auto"/>
          <w:szCs w:val="21"/>
          <w:highlight w:val="none"/>
        </w:rPr>
        <w:t>参加</w:t>
      </w:r>
      <w:r>
        <w:rPr>
          <w:rFonts w:hint="eastAsia" w:ascii="宋体" w:hAnsi="宋体"/>
          <w:color w:val="auto"/>
          <w:szCs w:val="21"/>
          <w:highlight w:val="none"/>
          <w:u w:val="single"/>
          <w:lang w:eastAsia="zh-CN"/>
        </w:rPr>
        <w:t>光华街小区和光侨街小区老旧小区改造项目（设计）</w:t>
      </w:r>
      <w:r>
        <w:rPr>
          <w:rFonts w:hint="eastAsia" w:ascii="宋体" w:hAnsi="宋体"/>
          <w:color w:val="auto"/>
          <w:szCs w:val="21"/>
          <w:highlight w:val="none"/>
          <w:u w:val="single"/>
          <w:shd w:val="clear" w:color="auto"/>
        </w:rPr>
        <w:t>（</w:t>
      </w:r>
      <w:r>
        <w:rPr>
          <w:rFonts w:hint="eastAsia" w:ascii="宋体" w:hAnsi="宋体"/>
          <w:color w:val="auto"/>
          <w:szCs w:val="21"/>
          <w:highlight w:val="none"/>
          <w:u w:val="single"/>
          <w:shd w:val="clear" w:color="auto"/>
          <w:lang w:eastAsia="zh-CN"/>
        </w:rPr>
        <w:t>NSSHJD202505</w:t>
      </w:r>
      <w:r>
        <w:rPr>
          <w:rFonts w:hint="eastAsia" w:ascii="宋体" w:hAnsi="宋体"/>
          <w:color w:val="auto"/>
          <w:szCs w:val="21"/>
          <w:highlight w:val="none"/>
          <w:u w:val="single"/>
          <w:shd w:val="clear" w:color="auto"/>
          <w:lang w:val="en-US" w:eastAsia="zh-CN"/>
        </w:rPr>
        <w:t>21</w:t>
      </w:r>
      <w:r>
        <w:rPr>
          <w:rFonts w:hint="eastAsia" w:ascii="宋体" w:hAnsi="宋体"/>
          <w:color w:val="auto"/>
          <w:szCs w:val="21"/>
          <w:highlight w:val="none"/>
          <w:u w:val="single"/>
          <w:shd w:val="clear" w:color="auto"/>
          <w:lang w:eastAsia="zh-CN"/>
        </w:rPr>
        <w:t>001</w:t>
      </w:r>
      <w:r>
        <w:rPr>
          <w:rFonts w:hint="eastAsia" w:ascii="宋体" w:hAnsi="宋体"/>
          <w:color w:val="auto"/>
          <w:szCs w:val="21"/>
          <w:highlight w:val="none"/>
          <w:u w:val="single"/>
          <w:shd w:val="clear" w:color="auto"/>
        </w:rPr>
        <w:t>）</w:t>
      </w:r>
      <w:r>
        <w:rPr>
          <w:rFonts w:hint="eastAsia" w:ascii="宋体" w:hAnsi="宋体"/>
          <w:color w:val="auto"/>
          <w:szCs w:val="21"/>
          <w:highlight w:val="none"/>
        </w:rPr>
        <w:t>的采购活动，在此做如下说明：</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在此次采购活动中，我单位所使用的“投标专用章”与我单位公章具有同等的法律效力，我单位对所使用“投标专用章”的行为和相应责任予以完全承认。</w:t>
      </w:r>
    </w:p>
    <w:p>
      <w:pPr>
        <w:snapToGrid w:val="0"/>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特此说明。</w:t>
      </w:r>
    </w:p>
    <w:p>
      <w:pPr>
        <w:snapToGrid w:val="0"/>
        <w:spacing w:line="360" w:lineRule="auto"/>
        <w:rPr>
          <w:rFonts w:ascii="宋体" w:hAnsi="宋体"/>
          <w:color w:val="auto"/>
          <w:szCs w:val="21"/>
          <w:highlight w:val="none"/>
        </w:rPr>
      </w:pPr>
    </w:p>
    <w:p>
      <w:pPr>
        <w:snapToGrid w:val="0"/>
        <w:spacing w:line="360" w:lineRule="auto"/>
        <w:rPr>
          <w:rFonts w:ascii="宋体" w:hAnsi="宋体"/>
          <w:b/>
          <w:bCs/>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单位注册地址：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color w:val="auto"/>
          <w:szCs w:val="21"/>
          <w:highlight w:val="none"/>
        </w:rPr>
        <w:t>或</w:t>
      </w:r>
      <w:r>
        <w:rPr>
          <w:rFonts w:hint="eastAsia" w:ascii="宋体" w:hAnsi="宋体"/>
          <w:color w:val="auto"/>
          <w:szCs w:val="21"/>
          <w:highlight w:val="none"/>
        </w:rPr>
        <w:t>投标人授权代表（签名或盖个人名章）：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我单位投标专用章样式如下：</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Pr>
          <w:p>
            <w:pPr>
              <w:spacing w:line="400" w:lineRule="exact"/>
              <w:rPr>
                <w:rFonts w:ascii="宋体" w:hAnsi="宋体"/>
                <w:b/>
                <w:bCs/>
                <w:color w:val="auto"/>
                <w:szCs w:val="21"/>
                <w:highlight w:val="none"/>
              </w:rPr>
            </w:pPr>
          </w:p>
        </w:tc>
      </w:tr>
    </w:tbl>
    <w:p>
      <w:pPr>
        <w:rPr>
          <w:rFonts w:asciiTheme="majorEastAsia" w:hAnsiTheme="majorEastAsia" w:eastAsiaTheme="majorEastAsia"/>
          <w:color w:val="auto"/>
          <w:sz w:val="30"/>
          <w:szCs w:val="30"/>
          <w:highlight w:val="none"/>
        </w:rPr>
      </w:pPr>
    </w:p>
    <w:p>
      <w:pPr>
        <w:rPr>
          <w:rFonts w:asciiTheme="majorEastAsia" w:hAnsiTheme="majorEastAsia" w:eastAsiaTheme="majorEastAsia"/>
          <w:color w:val="auto"/>
          <w:sz w:val="30"/>
          <w:szCs w:val="30"/>
          <w:highlight w:val="none"/>
        </w:rPr>
      </w:pPr>
      <w:r>
        <w:rPr>
          <w:rFonts w:hint="eastAsia" w:asciiTheme="majorEastAsia" w:hAnsiTheme="majorEastAsia" w:eastAsiaTheme="majorEastAsia"/>
          <w:color w:val="auto"/>
          <w:sz w:val="30"/>
          <w:szCs w:val="30"/>
          <w:highlight w:val="none"/>
        </w:rPr>
        <w:br w:type="page"/>
      </w:r>
    </w:p>
    <w:p>
      <w:pPr>
        <w:pStyle w:val="5"/>
        <w:numPr>
          <w:ilvl w:val="0"/>
          <w:numId w:val="9"/>
        </w:numPr>
        <w:spacing w:line="240" w:lineRule="auto"/>
        <w:jc w:val="center"/>
        <w:rPr>
          <w:rFonts w:asciiTheme="majorEastAsia" w:hAnsiTheme="majorEastAsia" w:eastAsiaTheme="majorEastAsia"/>
          <w:color w:val="auto"/>
          <w:sz w:val="30"/>
          <w:szCs w:val="30"/>
          <w:highlight w:val="none"/>
        </w:rPr>
      </w:pPr>
      <w:bookmarkStart w:id="121" w:name="_Toc15636"/>
      <w:r>
        <w:rPr>
          <w:rFonts w:hint="eastAsia" w:asciiTheme="majorEastAsia" w:hAnsiTheme="majorEastAsia" w:eastAsiaTheme="majorEastAsia"/>
          <w:color w:val="auto"/>
          <w:sz w:val="30"/>
          <w:szCs w:val="30"/>
          <w:highlight w:val="none"/>
        </w:rPr>
        <w:t>法定代表人授权委托书</w:t>
      </w:r>
      <w:bookmarkEnd w:id="108"/>
      <w:bookmarkEnd w:id="109"/>
      <w:bookmarkEnd w:id="110"/>
      <w:bookmarkEnd w:id="111"/>
      <w:bookmarkEnd w:id="112"/>
      <w:bookmarkEnd w:id="113"/>
      <w:bookmarkEnd w:id="114"/>
      <w:bookmarkEnd w:id="115"/>
      <w:bookmarkEnd w:id="121"/>
    </w:p>
    <w:p>
      <w:pPr>
        <w:pStyle w:val="21"/>
        <w:spacing w:line="360" w:lineRule="auto"/>
        <w:ind w:firstLine="420" w:firstLineChars="200"/>
        <w:rPr>
          <w:color w:val="auto"/>
          <w:highlight w:val="none"/>
        </w:rPr>
      </w:pPr>
      <w:r>
        <w:rPr>
          <w:rFonts w:hint="eastAsia"/>
          <w:color w:val="auto"/>
          <w:highlight w:val="none"/>
        </w:rPr>
        <w:t>本授权委托书声明：注册于</w:t>
      </w:r>
      <w:r>
        <w:rPr>
          <w:rFonts w:hint="eastAsia"/>
          <w:color w:val="auto"/>
          <w:highlight w:val="none"/>
          <w:u w:val="single"/>
        </w:rPr>
        <w:t xml:space="preserve"> （投标人地址）  </w:t>
      </w:r>
      <w:r>
        <w:rPr>
          <w:rFonts w:hint="eastAsia"/>
          <w:color w:val="auto"/>
          <w:highlight w:val="none"/>
        </w:rPr>
        <w:t>的</w:t>
      </w:r>
      <w:r>
        <w:rPr>
          <w:rFonts w:hint="eastAsia"/>
          <w:color w:val="auto"/>
          <w:highlight w:val="none"/>
          <w:u w:val="single"/>
        </w:rPr>
        <w:t xml:space="preserve">  （投标人名称）    </w:t>
      </w:r>
      <w:r>
        <w:rPr>
          <w:rFonts w:hint="eastAsia"/>
          <w:color w:val="auto"/>
          <w:highlight w:val="none"/>
        </w:rPr>
        <w:t>由</w:t>
      </w:r>
      <w:r>
        <w:rPr>
          <w:rFonts w:hint="eastAsia"/>
          <w:color w:val="auto"/>
          <w:highlight w:val="none"/>
          <w:u w:val="single"/>
        </w:rPr>
        <w:t>（法定代表人姓名、职务</w:t>
      </w:r>
      <w:r>
        <w:rPr>
          <w:rFonts w:hint="eastAsia" w:hAnsi="宋体" w:eastAsia="宋体"/>
          <w:color w:val="auto"/>
          <w:highlight w:val="none"/>
          <w:u w:val="single"/>
        </w:rPr>
        <w:t>、手机号码</w:t>
      </w:r>
      <w:r>
        <w:rPr>
          <w:rFonts w:hint="eastAsia"/>
          <w:color w:val="auto"/>
          <w:highlight w:val="none"/>
          <w:u w:val="single"/>
        </w:rPr>
        <w:t>）</w:t>
      </w:r>
      <w:r>
        <w:rPr>
          <w:rFonts w:hint="eastAsia"/>
          <w:color w:val="auto"/>
          <w:highlight w:val="none"/>
        </w:rPr>
        <w:t>在此授权</w:t>
      </w:r>
      <w:r>
        <w:rPr>
          <w:rFonts w:hint="eastAsia"/>
          <w:color w:val="auto"/>
          <w:highlight w:val="none"/>
          <w:u w:val="single"/>
        </w:rPr>
        <w:t>（被授权人姓名、职务、</w:t>
      </w:r>
      <w:r>
        <w:rPr>
          <w:rFonts w:hint="eastAsia" w:hAnsi="宋体" w:eastAsia="宋体"/>
          <w:color w:val="auto"/>
          <w:highlight w:val="none"/>
          <w:u w:val="single"/>
        </w:rPr>
        <w:t>手机号码</w:t>
      </w:r>
      <w:r>
        <w:rPr>
          <w:rFonts w:hint="eastAsia"/>
          <w:color w:val="auto"/>
          <w:highlight w:val="none"/>
          <w:u w:val="single"/>
        </w:rPr>
        <w:t>）</w:t>
      </w:r>
      <w:r>
        <w:rPr>
          <w:rFonts w:hint="eastAsia"/>
          <w:color w:val="auto"/>
          <w:highlight w:val="none"/>
        </w:rPr>
        <w:t>作为我公司的合法代理人，就</w:t>
      </w:r>
      <w:r>
        <w:rPr>
          <w:rFonts w:hint="eastAsia"/>
          <w:color w:val="auto"/>
          <w:highlight w:val="none"/>
          <w:u w:val="single"/>
        </w:rPr>
        <w:t>（项目名称、项目编号</w:t>
      </w:r>
      <w:r>
        <w:rPr>
          <w:rFonts w:hint="eastAsia"/>
          <w:color w:val="auto"/>
          <w:highlight w:val="none"/>
        </w:rPr>
        <w:t>）的招投标活动，采购合同的签订、执行、完成和售后服务，作为投标人代表以我方的名义处理一切与之有关的事务。</w:t>
      </w:r>
    </w:p>
    <w:p>
      <w:pPr>
        <w:pStyle w:val="21"/>
        <w:spacing w:line="360" w:lineRule="auto"/>
        <w:ind w:firstLine="420" w:firstLineChars="200"/>
        <w:rPr>
          <w:color w:val="auto"/>
          <w:highlight w:val="none"/>
        </w:rPr>
      </w:pPr>
      <w:r>
        <w:rPr>
          <w:rFonts w:hint="eastAsia"/>
          <w:color w:val="auto"/>
          <w:highlight w:val="none"/>
        </w:rPr>
        <w:t>被授权人（投标人授权代表）无转委托权限。</w:t>
      </w:r>
    </w:p>
    <w:p>
      <w:pPr>
        <w:spacing w:line="360" w:lineRule="auto"/>
        <w:ind w:firstLine="420" w:firstLineChars="200"/>
        <w:rPr>
          <w:rFonts w:ascii="宋体"/>
          <w:color w:val="auto"/>
          <w:highlight w:val="none"/>
        </w:rPr>
      </w:pPr>
      <w:r>
        <w:rPr>
          <w:rFonts w:hint="eastAsia" w:ascii="宋体"/>
          <w:color w:val="auto"/>
          <w:highlight w:val="none"/>
        </w:rPr>
        <w:t>本授权书自盖章之日起生效，特此声明。</w:t>
      </w:r>
    </w:p>
    <w:p>
      <w:pPr>
        <w:spacing w:line="360" w:lineRule="auto"/>
        <w:rPr>
          <w:rFonts w:ascii="宋体"/>
          <w:b/>
          <w:color w:val="auto"/>
          <w:highlight w:val="none"/>
        </w:rPr>
      </w:pPr>
      <w:r>
        <w:rPr>
          <w:rFonts w:hint="eastAsia" w:ascii="宋体"/>
          <w:b/>
          <w:color w:val="auto"/>
          <w:highlight w:val="none"/>
        </w:rPr>
        <w:t>随附《法定代表人证明》</w:t>
      </w:r>
    </w:p>
    <w:p>
      <w:pPr>
        <w:spacing w:line="360" w:lineRule="auto"/>
        <w:rPr>
          <w:rFonts w:ascii="宋体"/>
          <w:color w:val="auto"/>
          <w:highlight w:val="none"/>
        </w:rPr>
      </w:pPr>
    </w:p>
    <w:p>
      <w:pPr>
        <w:spacing w:line="360" w:lineRule="auto"/>
        <w:rPr>
          <w:color w:val="auto"/>
          <w:sz w:val="22"/>
          <w:szCs w:val="22"/>
          <w:highlight w:val="none"/>
        </w:rPr>
      </w:pPr>
      <w:r>
        <w:rPr>
          <w:rFonts w:hint="eastAsia"/>
          <w:b/>
          <w:bCs/>
          <w:color w:val="auto"/>
          <w:sz w:val="22"/>
          <w:szCs w:val="22"/>
          <w:highlight w:val="none"/>
        </w:rPr>
        <w:t>投标人单位名称：</w:t>
      </w:r>
      <w:r>
        <w:rPr>
          <w:rFonts w:hint="eastAsia"/>
          <w:color w:val="auto"/>
          <w:sz w:val="22"/>
          <w:szCs w:val="22"/>
          <w:highlight w:val="none"/>
          <w:u w:val="single"/>
        </w:rPr>
        <w:t xml:space="preserve">                            </w:t>
      </w:r>
      <w:r>
        <w:rPr>
          <w:rFonts w:hint="eastAsia"/>
          <w:color w:val="auto"/>
          <w:sz w:val="22"/>
          <w:szCs w:val="22"/>
          <w:highlight w:val="none"/>
        </w:rPr>
        <w:t xml:space="preserve"> </w:t>
      </w:r>
    </w:p>
    <w:p>
      <w:pPr>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t>日期：</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年</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月</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日</w:t>
      </w:r>
    </w:p>
    <w:p>
      <w:pPr>
        <w:spacing w:line="360" w:lineRule="auto"/>
        <w:rPr>
          <w:color w:val="auto"/>
          <w:sz w:val="22"/>
          <w:szCs w:val="22"/>
          <w:highlight w:val="none"/>
        </w:rPr>
      </w:pPr>
      <w:r>
        <w:rPr>
          <w:rFonts w:hint="eastAsia"/>
          <w:b/>
          <w:color w:val="auto"/>
          <w:sz w:val="22"/>
          <w:szCs w:val="22"/>
          <w:highlight w:val="none"/>
        </w:rPr>
        <w:t>（此处加盖投标人单位公章）</w:t>
      </w:r>
    </w:p>
    <w:p>
      <w:pPr>
        <w:tabs>
          <w:tab w:val="left" w:pos="3780"/>
        </w:tabs>
        <w:spacing w:line="360" w:lineRule="auto"/>
        <w:rPr>
          <w:rFonts w:ascii="宋体" w:hAnsi="宋体"/>
          <w:b/>
          <w:bCs/>
          <w:color w:val="auto"/>
          <w:sz w:val="22"/>
          <w:szCs w:val="22"/>
          <w:highlight w:val="none"/>
        </w:rPr>
      </w:pPr>
    </w:p>
    <w:p>
      <w:pPr>
        <w:tabs>
          <w:tab w:val="left" w:pos="3780"/>
        </w:tabs>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t>提供被授权人（授权代表）居民身份证（正反面）复印件：</w:t>
      </w:r>
    </w:p>
    <w:p>
      <w:pPr>
        <w:spacing w:line="360" w:lineRule="auto"/>
        <w:ind w:left="1159" w:leftChars="552" w:firstLine="2261"/>
        <w:rPr>
          <w:rFonts w:ascii="宋体"/>
          <w:color w:val="auto"/>
          <w:highlight w:val="none"/>
        </w:rPr>
      </w:pPr>
    </w:p>
    <w:p>
      <w:pPr>
        <w:rPr>
          <w:rFonts w:asciiTheme="majorEastAsia" w:hAnsiTheme="majorEastAsia" w:eastAsiaTheme="majorEastAsia"/>
          <w:color w:val="auto"/>
          <w:sz w:val="30"/>
          <w:szCs w:val="30"/>
          <w:highlight w:val="none"/>
        </w:rPr>
      </w:pPr>
      <w:bookmarkStart w:id="122" w:name="_Toc14289"/>
      <w:bookmarkStart w:id="123" w:name="_Toc435514860"/>
      <w:bookmarkStart w:id="124" w:name="_Toc435515300"/>
      <w:bookmarkStart w:id="125" w:name="_Toc275865608"/>
      <w:r>
        <w:rPr>
          <w:rFonts w:hint="eastAsia" w:asciiTheme="majorEastAsia" w:hAnsiTheme="majorEastAsia" w:eastAsiaTheme="majorEastAsia"/>
          <w:color w:val="auto"/>
          <w:sz w:val="30"/>
          <w:szCs w:val="30"/>
          <w:highlight w:val="none"/>
        </w:rPr>
        <w:br w:type="page"/>
      </w:r>
    </w:p>
    <w:p>
      <w:pPr>
        <w:pStyle w:val="5"/>
        <w:numPr>
          <w:ilvl w:val="0"/>
          <w:numId w:val="9"/>
        </w:numPr>
        <w:spacing w:line="240" w:lineRule="auto"/>
        <w:jc w:val="center"/>
        <w:rPr>
          <w:rFonts w:asciiTheme="majorEastAsia" w:hAnsiTheme="majorEastAsia" w:eastAsiaTheme="majorEastAsia"/>
          <w:color w:val="auto"/>
          <w:sz w:val="30"/>
          <w:szCs w:val="30"/>
          <w:highlight w:val="none"/>
        </w:rPr>
      </w:pPr>
      <w:bookmarkStart w:id="126" w:name="_Toc27154"/>
      <w:r>
        <w:rPr>
          <w:rFonts w:hint="eastAsia" w:asciiTheme="majorEastAsia" w:hAnsiTheme="majorEastAsia" w:eastAsiaTheme="majorEastAsia"/>
          <w:color w:val="auto"/>
          <w:sz w:val="30"/>
          <w:szCs w:val="30"/>
          <w:highlight w:val="none"/>
        </w:rPr>
        <w:t>法定代表人证明书</w:t>
      </w:r>
      <w:bookmarkEnd w:id="116"/>
      <w:bookmarkEnd w:id="117"/>
      <w:bookmarkEnd w:id="118"/>
      <w:bookmarkEnd w:id="119"/>
      <w:bookmarkEnd w:id="120"/>
      <w:bookmarkEnd w:id="122"/>
      <w:bookmarkEnd w:id="123"/>
      <w:bookmarkEnd w:id="124"/>
      <w:bookmarkEnd w:id="125"/>
      <w:bookmarkEnd w:id="126"/>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hint="eastAsia" w:ascii="宋体" w:hAnsi="宋体"/>
          <w:color w:val="auto"/>
          <w:highlight w:val="none"/>
          <w:u w:val="single"/>
        </w:rPr>
        <w:t xml:space="preserve">       </w:t>
      </w:r>
      <w:r>
        <w:rPr>
          <w:rFonts w:hint="eastAsia" w:ascii="宋体" w:hAnsi="宋体"/>
          <w:color w:val="auto"/>
          <w:highlight w:val="none"/>
        </w:rPr>
        <w:t>职务，为法定代表人，特此证明。</w:t>
      </w:r>
    </w:p>
    <w:p>
      <w:pPr>
        <w:spacing w:line="360" w:lineRule="auto"/>
        <w:ind w:firstLine="420" w:firstLineChars="200"/>
        <w:rPr>
          <w:rFonts w:ascii="宋体" w:hAnsi="宋体"/>
          <w:color w:val="auto"/>
          <w:highlight w:val="none"/>
        </w:rPr>
      </w:pPr>
      <w:r>
        <w:rPr>
          <w:rFonts w:hint="eastAsia" w:ascii="宋体"/>
          <w:color w:val="auto"/>
          <w:highlight w:val="none"/>
        </w:rPr>
        <w:t>本证明书自签发之日起生效，</w:t>
      </w:r>
      <w:r>
        <w:rPr>
          <w:rFonts w:hint="eastAsia" w:ascii="宋体" w:hAnsi="宋体"/>
          <w:color w:val="auto"/>
          <w:highlight w:val="none"/>
        </w:rPr>
        <w:t>有效期与本公司投标文件中标注的投标有效期相同。</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500" w:lineRule="exact"/>
        <w:rPr>
          <w:rFonts w:ascii="宋体"/>
          <w:b/>
          <w:bCs/>
          <w:color w:val="auto"/>
          <w:highlight w:val="none"/>
        </w:rPr>
      </w:pPr>
    </w:p>
    <w:p>
      <w:pPr>
        <w:spacing w:line="360" w:lineRule="auto"/>
        <w:rPr>
          <w:color w:val="auto"/>
          <w:sz w:val="22"/>
          <w:szCs w:val="22"/>
          <w:highlight w:val="none"/>
        </w:rPr>
      </w:pPr>
      <w:r>
        <w:rPr>
          <w:rFonts w:hint="eastAsia"/>
          <w:b/>
          <w:bCs/>
          <w:color w:val="auto"/>
          <w:sz w:val="22"/>
          <w:szCs w:val="22"/>
          <w:highlight w:val="none"/>
        </w:rPr>
        <w:t>投标人单位名称：</w:t>
      </w:r>
      <w:r>
        <w:rPr>
          <w:rFonts w:hint="eastAsia"/>
          <w:color w:val="auto"/>
          <w:sz w:val="22"/>
          <w:szCs w:val="22"/>
          <w:highlight w:val="none"/>
          <w:u w:val="single"/>
        </w:rPr>
        <w:t xml:space="preserve">                            </w:t>
      </w:r>
      <w:r>
        <w:rPr>
          <w:rFonts w:hint="eastAsia"/>
          <w:color w:val="auto"/>
          <w:sz w:val="22"/>
          <w:szCs w:val="22"/>
          <w:highlight w:val="none"/>
        </w:rPr>
        <w:t xml:space="preserve"> </w:t>
      </w:r>
    </w:p>
    <w:p>
      <w:pPr>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t>签发日期：</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年</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月</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日</w:t>
      </w:r>
    </w:p>
    <w:p>
      <w:pPr>
        <w:spacing w:line="360" w:lineRule="auto"/>
        <w:rPr>
          <w:color w:val="auto"/>
          <w:sz w:val="22"/>
          <w:szCs w:val="22"/>
          <w:highlight w:val="none"/>
        </w:rPr>
      </w:pPr>
      <w:r>
        <w:rPr>
          <w:rFonts w:hint="eastAsia"/>
          <w:b/>
          <w:color w:val="auto"/>
          <w:sz w:val="22"/>
          <w:szCs w:val="22"/>
          <w:highlight w:val="none"/>
        </w:rPr>
        <w:t>（此处加盖投标人单位公章）</w:t>
      </w:r>
    </w:p>
    <w:p>
      <w:pPr>
        <w:spacing w:line="500" w:lineRule="exact"/>
        <w:rPr>
          <w:rFonts w:ascii="宋体" w:hAnsi="宋体"/>
          <w:color w:val="auto"/>
          <w:sz w:val="20"/>
          <w:szCs w:val="22"/>
          <w:highlight w:val="none"/>
        </w:rPr>
      </w:pPr>
    </w:p>
    <w:p>
      <w:pPr>
        <w:spacing w:line="360" w:lineRule="auto"/>
        <w:rPr>
          <w:b/>
          <w:color w:val="auto"/>
          <w:sz w:val="22"/>
          <w:szCs w:val="22"/>
          <w:highlight w:val="none"/>
        </w:rPr>
      </w:pPr>
      <w:r>
        <w:rPr>
          <w:rFonts w:hint="eastAsia"/>
          <w:b/>
          <w:color w:val="auto"/>
          <w:sz w:val="22"/>
          <w:szCs w:val="22"/>
          <w:highlight w:val="none"/>
        </w:rPr>
        <w:t>提供法定代表人居民身份证（正反面）复印件：</w:t>
      </w:r>
    </w:p>
    <w:p>
      <w:pPr>
        <w:spacing w:line="500" w:lineRule="exact"/>
        <w:rPr>
          <w:rFonts w:ascii="宋体" w:hAnsi="宋体"/>
          <w:color w:val="auto"/>
          <w:highlight w:val="none"/>
        </w:rPr>
      </w:pPr>
      <w:r>
        <w:rPr>
          <w:rFonts w:hint="eastAsia" w:ascii="宋体" w:hAnsi="宋体"/>
          <w:color w:val="auto"/>
          <w:highlight w:val="none"/>
        </w:rPr>
        <w:br w:type="page"/>
      </w:r>
    </w:p>
    <w:p>
      <w:pPr>
        <w:pStyle w:val="5"/>
        <w:numPr>
          <w:ilvl w:val="0"/>
          <w:numId w:val="9"/>
        </w:numPr>
        <w:spacing w:line="240" w:lineRule="auto"/>
        <w:jc w:val="center"/>
        <w:rPr>
          <w:rFonts w:asciiTheme="majorEastAsia" w:hAnsiTheme="majorEastAsia" w:eastAsiaTheme="majorEastAsia"/>
          <w:color w:val="auto"/>
          <w:sz w:val="30"/>
          <w:szCs w:val="30"/>
          <w:highlight w:val="none"/>
        </w:rPr>
      </w:pPr>
      <w:bookmarkStart w:id="127" w:name="_Toc8619"/>
      <w:bookmarkStart w:id="128" w:name="_Toc20108"/>
      <w:bookmarkStart w:id="129" w:name="_Toc435514868"/>
      <w:bookmarkStart w:id="130" w:name="_Toc435515308"/>
      <w:r>
        <w:rPr>
          <w:rFonts w:hint="eastAsia" w:asciiTheme="majorEastAsia" w:hAnsiTheme="majorEastAsia" w:eastAsiaTheme="majorEastAsia"/>
          <w:color w:val="auto"/>
          <w:sz w:val="30"/>
          <w:szCs w:val="30"/>
          <w:highlight w:val="none"/>
        </w:rPr>
        <w:t>用户需求书条款响应一览表</w:t>
      </w:r>
      <w:bookmarkEnd w:id="127"/>
      <w:bookmarkEnd w:id="128"/>
    </w:p>
    <w:p>
      <w:pPr>
        <w:spacing w:line="400" w:lineRule="exact"/>
        <w:rPr>
          <w:rFonts w:ascii="宋体" w:hAnsi="宋体"/>
          <w:color w:val="auto"/>
          <w:highlight w:val="none"/>
        </w:rPr>
      </w:pPr>
      <w:r>
        <w:rPr>
          <w:rFonts w:hint="eastAsia" w:ascii="宋体" w:hAnsi="宋体"/>
          <w:color w:val="auto"/>
          <w:highlight w:val="none"/>
        </w:rPr>
        <w:t>说明：投标人必须对应招标文件第三章 用户需求书条款逐条应答并按要求填写下表。</w:t>
      </w:r>
    </w:p>
    <w:tbl>
      <w:tblPr>
        <w:tblStyle w:val="37"/>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515"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招标条款</w:t>
            </w:r>
          </w:p>
        </w:tc>
        <w:tc>
          <w:tcPr>
            <w:tcW w:w="2341"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投标条款</w:t>
            </w:r>
          </w:p>
        </w:tc>
        <w:tc>
          <w:tcPr>
            <w:tcW w:w="1750"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偏离情况</w:t>
            </w:r>
          </w:p>
        </w:tc>
        <w:tc>
          <w:tcPr>
            <w:tcW w:w="1623" w:type="dxa"/>
            <w:shd w:val="clear" w:color="auto" w:fill="EAF1DD" w:themeFill="accent3" w:themeFillTint="3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515" w:type="dxa"/>
            <w:vAlign w:val="center"/>
          </w:tcPr>
          <w:p>
            <w:pPr>
              <w:rPr>
                <w:rFonts w:asciiTheme="minorEastAsia" w:hAnsiTheme="minorEastAsia" w:eastAsiaTheme="minorEastAsia"/>
                <w:color w:val="auto"/>
                <w:szCs w:val="21"/>
                <w:highlight w:val="none"/>
              </w:rPr>
            </w:pPr>
          </w:p>
        </w:tc>
        <w:tc>
          <w:tcPr>
            <w:tcW w:w="2341" w:type="dxa"/>
            <w:vAlign w:val="center"/>
          </w:tcPr>
          <w:p>
            <w:pPr>
              <w:rPr>
                <w:rFonts w:asciiTheme="minorEastAsia" w:hAnsiTheme="minorEastAsia" w:eastAsiaTheme="minorEastAsia"/>
                <w:color w:val="auto"/>
                <w:szCs w:val="21"/>
                <w:highlight w:val="none"/>
              </w:rPr>
            </w:pPr>
          </w:p>
        </w:tc>
        <w:tc>
          <w:tcPr>
            <w:tcW w:w="1750" w:type="dxa"/>
            <w:vAlign w:val="center"/>
          </w:tcPr>
          <w:p>
            <w:pPr>
              <w:rPr>
                <w:rFonts w:asciiTheme="minorEastAsia" w:hAnsiTheme="minorEastAsia" w:eastAsiaTheme="minorEastAsia"/>
                <w:color w:val="auto"/>
                <w:szCs w:val="21"/>
                <w:highlight w:val="none"/>
              </w:rPr>
            </w:pPr>
          </w:p>
        </w:tc>
        <w:tc>
          <w:tcPr>
            <w:tcW w:w="1623" w:type="dxa"/>
            <w:vAlign w:val="center"/>
          </w:tcPr>
          <w:p>
            <w:pPr>
              <w:rPr>
                <w:rFonts w:asciiTheme="minorEastAsia" w:hAnsiTheme="minorEastAsia" w:eastAsiaTheme="minorEastAsia"/>
                <w:color w:val="auto"/>
                <w:szCs w:val="21"/>
                <w:highlight w:val="none"/>
              </w:rPr>
            </w:pPr>
          </w:p>
        </w:tc>
      </w:tr>
    </w:tbl>
    <w:p>
      <w:pPr>
        <w:spacing w:line="360" w:lineRule="auto"/>
        <w:ind w:right="84" w:rightChars="40"/>
        <w:rPr>
          <w:rFonts w:ascii="宋体" w:hAnsi="宋体"/>
          <w:color w:val="auto"/>
          <w:szCs w:val="21"/>
          <w:highlight w:val="none"/>
        </w:rPr>
      </w:pPr>
      <w:r>
        <w:rPr>
          <w:rFonts w:hint="eastAsia" w:ascii="宋体" w:hAnsi="宋体"/>
          <w:color w:val="auto"/>
          <w:szCs w:val="21"/>
          <w:highlight w:val="none"/>
        </w:rPr>
        <w:t>备注：投标人必须按招标文件要求附相关证明文件，如未提供的视为负偏离。</w:t>
      </w:r>
    </w:p>
    <w:p>
      <w:pPr>
        <w:widowControl/>
        <w:jc w:val="left"/>
        <w:rPr>
          <w:rFonts w:ascii="Arial" w:hAnsi="Arial" w:eastAsia="黑体"/>
          <w:bCs/>
          <w:color w:val="auto"/>
          <w:sz w:val="32"/>
          <w:szCs w:val="32"/>
          <w:highlight w:val="none"/>
        </w:rPr>
      </w:pPr>
      <w:bookmarkStart w:id="131" w:name="_Toc50737333"/>
      <w:bookmarkStart w:id="132" w:name="_Toc435515310"/>
      <w:bookmarkStart w:id="133" w:name="_Toc275865617"/>
      <w:bookmarkStart w:id="134" w:name="_Toc43264525"/>
      <w:bookmarkStart w:id="135" w:name="_Toc435514870"/>
      <w:bookmarkStart w:id="136" w:name="_Toc50737301"/>
      <w:bookmarkStart w:id="137" w:name="_Toc50736481"/>
      <w:bookmarkStart w:id="138" w:name="_Toc50691044"/>
      <w:bookmarkStart w:id="139" w:name="_Toc30664887"/>
      <w:bookmarkStart w:id="140" w:name="_Toc110937994"/>
      <w:bookmarkStart w:id="141" w:name="_Toc52165085"/>
      <w:bookmarkStart w:id="142" w:name="_Toc16957"/>
      <w:r>
        <w:rPr>
          <w:b/>
          <w:color w:val="auto"/>
          <w:highlight w:val="none"/>
        </w:rPr>
        <w:br w:type="page"/>
      </w:r>
    </w:p>
    <w:p>
      <w:pPr>
        <w:pStyle w:val="5"/>
        <w:numPr>
          <w:ilvl w:val="0"/>
          <w:numId w:val="9"/>
        </w:numPr>
        <w:tabs>
          <w:tab w:val="left" w:pos="360"/>
        </w:tabs>
        <w:spacing w:line="240" w:lineRule="auto"/>
        <w:ind w:left="0" w:firstLine="0"/>
        <w:jc w:val="center"/>
        <w:rPr>
          <w:b w:val="0"/>
          <w:color w:val="auto"/>
          <w:highlight w:val="none"/>
        </w:rPr>
      </w:pPr>
      <w:bookmarkStart w:id="143" w:name="_Toc621"/>
      <w:r>
        <w:rPr>
          <w:rFonts w:hint="eastAsia"/>
          <w:b w:val="0"/>
          <w:color w:val="auto"/>
          <w:highlight w:val="none"/>
        </w:rPr>
        <w:t>项目实施方案</w:t>
      </w:r>
      <w:bookmarkEnd w:id="143"/>
    </w:p>
    <w:p>
      <w:pPr>
        <w:rPr>
          <w:color w:val="auto"/>
          <w:highlight w:val="none"/>
        </w:rPr>
      </w:pPr>
      <w:r>
        <w:rPr>
          <w:rFonts w:hint="eastAsia"/>
          <w:color w:val="auto"/>
          <w:highlight w:val="none"/>
        </w:rPr>
        <w:t>格式自拟</w:t>
      </w:r>
    </w:p>
    <w:p>
      <w:pPr>
        <w:pStyle w:val="5"/>
        <w:numPr>
          <w:ilvl w:val="0"/>
          <w:numId w:val="9"/>
        </w:numPr>
        <w:tabs>
          <w:tab w:val="left" w:pos="360"/>
        </w:tabs>
        <w:spacing w:line="240" w:lineRule="auto"/>
        <w:ind w:left="0" w:firstLine="0"/>
        <w:jc w:val="center"/>
        <w:rPr>
          <w:b w:val="0"/>
          <w:color w:val="auto"/>
          <w:highlight w:val="none"/>
        </w:rPr>
      </w:pPr>
      <w:bookmarkStart w:id="144" w:name="_Toc6091"/>
      <w:r>
        <w:rPr>
          <w:rFonts w:hint="eastAsia"/>
          <w:b w:val="0"/>
          <w:color w:val="auto"/>
          <w:highlight w:val="none"/>
        </w:rPr>
        <w:t>项目重难点分析、应对措施及相关的合理化建议</w:t>
      </w:r>
      <w:bookmarkEnd w:id="144"/>
    </w:p>
    <w:p>
      <w:pPr>
        <w:rPr>
          <w:color w:val="auto"/>
          <w:highlight w:val="none"/>
        </w:rPr>
      </w:pPr>
      <w:r>
        <w:rPr>
          <w:rFonts w:hint="eastAsia"/>
          <w:color w:val="auto"/>
          <w:highlight w:val="none"/>
        </w:rPr>
        <w:t>格式自拟</w:t>
      </w:r>
    </w:p>
    <w:p>
      <w:pPr>
        <w:pStyle w:val="5"/>
        <w:numPr>
          <w:ilvl w:val="0"/>
          <w:numId w:val="9"/>
        </w:numPr>
        <w:tabs>
          <w:tab w:val="left" w:pos="360"/>
        </w:tabs>
        <w:spacing w:line="240" w:lineRule="auto"/>
        <w:ind w:left="0" w:firstLine="0"/>
        <w:jc w:val="center"/>
        <w:rPr>
          <w:b w:val="0"/>
          <w:color w:val="auto"/>
          <w:highlight w:val="none"/>
        </w:rPr>
      </w:pPr>
      <w:bookmarkStart w:id="145" w:name="_Toc1509"/>
      <w:r>
        <w:rPr>
          <w:rFonts w:hint="eastAsia"/>
          <w:b w:val="0"/>
          <w:color w:val="auto"/>
          <w:highlight w:val="none"/>
        </w:rPr>
        <w:t>质量保障措施及方案</w:t>
      </w:r>
      <w:bookmarkEnd w:id="145"/>
    </w:p>
    <w:p>
      <w:pPr>
        <w:rPr>
          <w:color w:val="auto"/>
          <w:highlight w:val="none"/>
        </w:rPr>
      </w:pPr>
      <w:r>
        <w:rPr>
          <w:rFonts w:hint="eastAsia"/>
          <w:color w:val="auto"/>
          <w:highlight w:val="none"/>
        </w:rPr>
        <w:t>格式自拟</w:t>
      </w:r>
    </w:p>
    <w:p>
      <w:pPr>
        <w:pStyle w:val="5"/>
        <w:numPr>
          <w:ilvl w:val="0"/>
          <w:numId w:val="9"/>
        </w:numPr>
        <w:tabs>
          <w:tab w:val="left" w:pos="360"/>
        </w:tabs>
        <w:spacing w:line="240" w:lineRule="auto"/>
        <w:ind w:left="0" w:firstLine="0"/>
        <w:jc w:val="center"/>
        <w:rPr>
          <w:b w:val="0"/>
          <w:color w:val="auto"/>
          <w:highlight w:val="none"/>
        </w:rPr>
      </w:pPr>
      <w:bookmarkStart w:id="146" w:name="_Toc11624"/>
      <w:r>
        <w:rPr>
          <w:rFonts w:hint="eastAsia"/>
          <w:b w:val="0"/>
          <w:color w:val="auto"/>
          <w:highlight w:val="none"/>
        </w:rPr>
        <w:t>项目完成后的服务承诺</w:t>
      </w:r>
      <w:bookmarkEnd w:id="146"/>
    </w:p>
    <w:p>
      <w:pPr>
        <w:rPr>
          <w:color w:val="auto"/>
          <w:highlight w:val="none"/>
        </w:rPr>
      </w:pPr>
      <w:r>
        <w:rPr>
          <w:rFonts w:hint="eastAsia"/>
          <w:color w:val="auto"/>
          <w:highlight w:val="none"/>
        </w:rPr>
        <w:t>格式自拟</w:t>
      </w:r>
    </w:p>
    <w:p>
      <w:pPr>
        <w:pStyle w:val="5"/>
        <w:numPr>
          <w:ilvl w:val="0"/>
          <w:numId w:val="9"/>
        </w:numPr>
        <w:tabs>
          <w:tab w:val="left" w:pos="360"/>
        </w:tabs>
        <w:spacing w:line="240" w:lineRule="auto"/>
        <w:ind w:left="0" w:firstLine="0"/>
        <w:jc w:val="center"/>
        <w:rPr>
          <w:b w:val="0"/>
          <w:color w:val="auto"/>
          <w:highlight w:val="none"/>
        </w:rPr>
      </w:pPr>
      <w:bookmarkStart w:id="147" w:name="_Toc11286"/>
      <w:r>
        <w:rPr>
          <w:rFonts w:hint="eastAsia"/>
          <w:b w:val="0"/>
          <w:color w:val="auto"/>
          <w:highlight w:val="none"/>
        </w:rPr>
        <w:t>违约承诺</w:t>
      </w:r>
      <w:bookmarkEnd w:id="147"/>
    </w:p>
    <w:p>
      <w:pPr>
        <w:rPr>
          <w:color w:val="auto"/>
          <w:highlight w:val="none"/>
        </w:rPr>
      </w:pPr>
      <w:r>
        <w:rPr>
          <w:rFonts w:hint="eastAsia"/>
          <w:color w:val="auto"/>
          <w:highlight w:val="none"/>
        </w:rPr>
        <w:t>格式自拟</w:t>
      </w:r>
    </w:p>
    <w:p>
      <w:pPr>
        <w:widowControl/>
        <w:jc w:val="left"/>
        <w:rPr>
          <w:rFonts w:ascii="Arial" w:hAnsi="Arial" w:eastAsia="黑体"/>
          <w:bCs/>
          <w:color w:val="auto"/>
          <w:sz w:val="32"/>
          <w:szCs w:val="32"/>
          <w:highlight w:val="none"/>
        </w:rPr>
      </w:pPr>
      <w:r>
        <w:rPr>
          <w:b/>
          <w:color w:val="auto"/>
          <w:highlight w:val="none"/>
        </w:rPr>
        <w:br w:type="page"/>
      </w:r>
    </w:p>
    <w:p>
      <w:pPr>
        <w:pStyle w:val="5"/>
        <w:numPr>
          <w:ilvl w:val="0"/>
          <w:numId w:val="9"/>
        </w:numPr>
        <w:tabs>
          <w:tab w:val="left" w:pos="360"/>
        </w:tabs>
        <w:spacing w:line="240" w:lineRule="auto"/>
        <w:ind w:left="0" w:firstLine="0"/>
        <w:jc w:val="center"/>
        <w:rPr>
          <w:b w:val="0"/>
          <w:color w:val="auto"/>
          <w:highlight w:val="none"/>
        </w:rPr>
      </w:pPr>
      <w:bookmarkStart w:id="148" w:name="_Toc12374"/>
      <w:r>
        <w:rPr>
          <w:rFonts w:hint="eastAsia"/>
          <w:b w:val="0"/>
          <w:color w:val="auto"/>
          <w:highlight w:val="none"/>
        </w:rPr>
        <w:t>同类项目情况一览表</w:t>
      </w:r>
      <w:bookmarkEnd w:id="131"/>
      <w:bookmarkEnd w:id="132"/>
      <w:bookmarkEnd w:id="133"/>
      <w:bookmarkEnd w:id="134"/>
      <w:bookmarkEnd w:id="135"/>
      <w:bookmarkEnd w:id="136"/>
      <w:bookmarkEnd w:id="137"/>
      <w:bookmarkEnd w:id="138"/>
      <w:bookmarkEnd w:id="139"/>
      <w:bookmarkEnd w:id="140"/>
      <w:bookmarkEnd w:id="141"/>
      <w:bookmarkEnd w:id="142"/>
      <w:bookmarkEnd w:id="148"/>
    </w:p>
    <w:tbl>
      <w:tblPr>
        <w:tblStyle w:val="37"/>
        <w:tblW w:w="98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0"/>
        <w:gridCol w:w="1658"/>
        <w:gridCol w:w="1442"/>
        <w:gridCol w:w="2176"/>
        <w:gridCol w:w="2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color w:val="auto"/>
                <w:sz w:val="24"/>
                <w:highlight w:val="none"/>
              </w:rPr>
            </w:pPr>
            <w:r>
              <w:rPr>
                <w:rFonts w:hint="eastAsia"/>
                <w:color w:val="auto"/>
                <w:sz w:val="24"/>
                <w:highlight w:val="none"/>
              </w:rPr>
              <w:t>序号</w:t>
            </w:r>
          </w:p>
        </w:tc>
        <w:tc>
          <w:tcPr>
            <w:tcW w:w="1460"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业主名称</w:t>
            </w:r>
          </w:p>
        </w:tc>
        <w:tc>
          <w:tcPr>
            <w:tcW w:w="1658"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项目名称</w:t>
            </w:r>
          </w:p>
        </w:tc>
        <w:tc>
          <w:tcPr>
            <w:tcW w:w="1442"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合同总价</w:t>
            </w:r>
          </w:p>
        </w:tc>
        <w:tc>
          <w:tcPr>
            <w:tcW w:w="2176"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签约及完成时间</w:t>
            </w:r>
          </w:p>
        </w:tc>
        <w:tc>
          <w:tcPr>
            <w:tcW w:w="2456" w:type="dxa"/>
            <w:tcBorders>
              <w:top w:val="single" w:color="auto" w:sz="12" w:space="0"/>
              <w:bottom w:val="double" w:color="auto" w:sz="4" w:space="0"/>
            </w:tcBorders>
            <w:shd w:val="clear" w:color="auto" w:fill="EEECE1"/>
            <w:vAlign w:val="center"/>
          </w:tcPr>
          <w:p>
            <w:pPr>
              <w:adjustRightInd w:val="0"/>
              <w:snapToGrid w:val="0"/>
              <w:jc w:val="center"/>
              <w:rPr>
                <w:color w:val="auto"/>
                <w:sz w:val="24"/>
                <w:highlight w:val="none"/>
              </w:rPr>
            </w:pPr>
            <w:r>
              <w:rPr>
                <w:rFonts w:hint="eastAsia"/>
                <w:color w:val="auto"/>
                <w:sz w:val="24"/>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tcBorders>
              <w:top w:val="double" w:color="auto" w:sz="4" w:space="0"/>
            </w:tcBorders>
            <w:vAlign w:val="center"/>
          </w:tcPr>
          <w:p>
            <w:pPr>
              <w:spacing w:line="400" w:lineRule="exact"/>
              <w:jc w:val="center"/>
              <w:rPr>
                <w:color w:val="auto"/>
                <w:sz w:val="24"/>
                <w:highlight w:val="none"/>
              </w:rPr>
            </w:pPr>
          </w:p>
        </w:tc>
        <w:tc>
          <w:tcPr>
            <w:tcW w:w="1460" w:type="dxa"/>
            <w:tcBorders>
              <w:top w:val="double" w:color="auto" w:sz="4" w:space="0"/>
            </w:tcBorders>
            <w:vAlign w:val="center"/>
          </w:tcPr>
          <w:p>
            <w:pPr>
              <w:spacing w:line="400" w:lineRule="exact"/>
              <w:jc w:val="center"/>
              <w:rPr>
                <w:color w:val="auto"/>
                <w:sz w:val="24"/>
                <w:highlight w:val="none"/>
              </w:rPr>
            </w:pPr>
          </w:p>
        </w:tc>
        <w:tc>
          <w:tcPr>
            <w:tcW w:w="1658" w:type="dxa"/>
            <w:tcBorders>
              <w:top w:val="double" w:color="auto" w:sz="4" w:space="0"/>
            </w:tcBorders>
            <w:vAlign w:val="center"/>
          </w:tcPr>
          <w:p>
            <w:pPr>
              <w:spacing w:line="400" w:lineRule="exact"/>
              <w:jc w:val="center"/>
              <w:rPr>
                <w:color w:val="auto"/>
                <w:sz w:val="24"/>
                <w:highlight w:val="none"/>
              </w:rPr>
            </w:pPr>
          </w:p>
        </w:tc>
        <w:tc>
          <w:tcPr>
            <w:tcW w:w="1442" w:type="dxa"/>
            <w:tcBorders>
              <w:top w:val="double" w:color="auto" w:sz="4" w:space="0"/>
            </w:tcBorders>
            <w:vAlign w:val="center"/>
          </w:tcPr>
          <w:p>
            <w:pPr>
              <w:spacing w:line="400" w:lineRule="exact"/>
              <w:jc w:val="center"/>
              <w:rPr>
                <w:color w:val="auto"/>
                <w:sz w:val="24"/>
                <w:highlight w:val="none"/>
              </w:rPr>
            </w:pPr>
          </w:p>
        </w:tc>
        <w:tc>
          <w:tcPr>
            <w:tcW w:w="2176" w:type="dxa"/>
            <w:tcBorders>
              <w:top w:val="double" w:color="auto" w:sz="4" w:space="0"/>
            </w:tcBorders>
            <w:vAlign w:val="center"/>
          </w:tcPr>
          <w:p>
            <w:pPr>
              <w:spacing w:line="400" w:lineRule="exact"/>
              <w:jc w:val="center"/>
              <w:rPr>
                <w:color w:val="auto"/>
                <w:sz w:val="24"/>
                <w:highlight w:val="none"/>
              </w:rPr>
            </w:pPr>
          </w:p>
        </w:tc>
        <w:tc>
          <w:tcPr>
            <w:tcW w:w="2456" w:type="dxa"/>
            <w:tcBorders>
              <w:top w:val="double" w:color="auto" w:sz="4" w:space="0"/>
            </w:tcBorders>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0" w:type="dxa"/>
            <w:vAlign w:val="center"/>
          </w:tcPr>
          <w:p>
            <w:pPr>
              <w:spacing w:line="400" w:lineRule="exact"/>
              <w:jc w:val="center"/>
              <w:rPr>
                <w:color w:val="auto"/>
                <w:sz w:val="24"/>
                <w:highlight w:val="none"/>
              </w:rPr>
            </w:pPr>
          </w:p>
        </w:tc>
        <w:tc>
          <w:tcPr>
            <w:tcW w:w="1460" w:type="dxa"/>
            <w:vAlign w:val="center"/>
          </w:tcPr>
          <w:p>
            <w:pPr>
              <w:spacing w:line="400" w:lineRule="exact"/>
              <w:jc w:val="center"/>
              <w:rPr>
                <w:color w:val="auto"/>
                <w:sz w:val="24"/>
                <w:highlight w:val="none"/>
              </w:rPr>
            </w:pPr>
          </w:p>
        </w:tc>
        <w:tc>
          <w:tcPr>
            <w:tcW w:w="1658" w:type="dxa"/>
            <w:vAlign w:val="center"/>
          </w:tcPr>
          <w:p>
            <w:pPr>
              <w:spacing w:line="400" w:lineRule="exact"/>
              <w:jc w:val="center"/>
              <w:rPr>
                <w:color w:val="auto"/>
                <w:sz w:val="24"/>
                <w:highlight w:val="none"/>
              </w:rPr>
            </w:pPr>
          </w:p>
        </w:tc>
        <w:tc>
          <w:tcPr>
            <w:tcW w:w="1442" w:type="dxa"/>
            <w:vAlign w:val="center"/>
          </w:tcPr>
          <w:p>
            <w:pPr>
              <w:spacing w:line="400" w:lineRule="exact"/>
              <w:jc w:val="center"/>
              <w:rPr>
                <w:color w:val="auto"/>
                <w:sz w:val="24"/>
                <w:highlight w:val="none"/>
              </w:rPr>
            </w:pPr>
          </w:p>
        </w:tc>
        <w:tc>
          <w:tcPr>
            <w:tcW w:w="2176" w:type="dxa"/>
            <w:vAlign w:val="center"/>
          </w:tcPr>
          <w:p>
            <w:pPr>
              <w:spacing w:line="400" w:lineRule="exact"/>
              <w:jc w:val="center"/>
              <w:rPr>
                <w:color w:val="auto"/>
                <w:sz w:val="24"/>
                <w:highlight w:val="none"/>
              </w:rPr>
            </w:pPr>
          </w:p>
        </w:tc>
        <w:tc>
          <w:tcPr>
            <w:tcW w:w="2456" w:type="dxa"/>
            <w:vAlign w:val="center"/>
          </w:tcPr>
          <w:p>
            <w:pPr>
              <w:spacing w:line="400" w:lineRule="exact"/>
              <w:jc w:val="center"/>
              <w:rPr>
                <w:color w:val="auto"/>
                <w:sz w:val="24"/>
                <w:highlight w:val="none"/>
              </w:rPr>
            </w:pPr>
          </w:p>
        </w:tc>
      </w:tr>
    </w:tbl>
    <w:p>
      <w:pPr>
        <w:spacing w:line="440" w:lineRule="exact"/>
        <w:rPr>
          <w:rFonts w:ascii="宋体" w:hAnsi="宋体"/>
          <w:color w:val="auto"/>
          <w:sz w:val="24"/>
          <w:highlight w:val="none"/>
        </w:rPr>
      </w:pPr>
      <w:r>
        <w:rPr>
          <w:rFonts w:hint="eastAsia"/>
          <w:bCs/>
          <w:color w:val="auto"/>
          <w:sz w:val="24"/>
          <w:highlight w:val="none"/>
        </w:rPr>
        <w:t>备注：</w:t>
      </w:r>
      <w:r>
        <w:rPr>
          <w:rFonts w:hint="eastAsia" w:ascii="宋体" w:hAnsi="宋体"/>
          <w:color w:val="auto"/>
          <w:sz w:val="24"/>
          <w:highlight w:val="none"/>
        </w:rPr>
        <w:t>根据评分表的要求提交相应资料。</w:t>
      </w:r>
    </w:p>
    <w:p>
      <w:pPr>
        <w:adjustRightInd w:val="0"/>
        <w:snapToGrid w:val="0"/>
        <w:spacing w:line="360" w:lineRule="auto"/>
        <w:ind w:left="732" w:hanging="732" w:hangingChars="305"/>
        <w:rPr>
          <w:rFonts w:ascii="宋体" w:hAnsi="宋体"/>
          <w:color w:val="auto"/>
          <w:sz w:val="24"/>
          <w:highlight w:val="none"/>
        </w:rPr>
      </w:pPr>
    </w:p>
    <w:p>
      <w:pPr>
        <w:widowControl/>
        <w:jc w:val="left"/>
        <w:rPr>
          <w:rFonts w:hAnsi="宋体"/>
          <w:bCs/>
          <w:color w:val="auto"/>
          <w:sz w:val="24"/>
          <w:highlight w:val="none"/>
        </w:rPr>
      </w:pPr>
      <w:r>
        <w:rPr>
          <w:rFonts w:hAnsi="宋体"/>
          <w:bCs/>
          <w:color w:val="auto"/>
          <w:sz w:val="24"/>
          <w:highlight w:val="none"/>
        </w:rPr>
        <w:br w:type="page"/>
      </w:r>
    </w:p>
    <w:p>
      <w:pPr>
        <w:pStyle w:val="5"/>
        <w:numPr>
          <w:ilvl w:val="0"/>
          <w:numId w:val="9"/>
        </w:numPr>
        <w:tabs>
          <w:tab w:val="left" w:pos="360"/>
        </w:tabs>
        <w:spacing w:line="240" w:lineRule="auto"/>
        <w:ind w:left="0" w:firstLine="0"/>
        <w:jc w:val="center"/>
        <w:rPr>
          <w:b w:val="0"/>
          <w:color w:val="auto"/>
          <w:highlight w:val="none"/>
        </w:rPr>
      </w:pPr>
      <w:bookmarkStart w:id="149" w:name="_Toc50737300"/>
      <w:bookmarkStart w:id="150" w:name="_Toc435514871"/>
      <w:bookmarkStart w:id="151" w:name="_Toc17127"/>
      <w:bookmarkStart w:id="152" w:name="_Toc19597"/>
      <w:bookmarkStart w:id="153" w:name="_Toc110937995"/>
      <w:bookmarkStart w:id="154" w:name="_Toc50737332"/>
      <w:bookmarkStart w:id="155" w:name="_Toc275865618"/>
      <w:bookmarkStart w:id="156" w:name="_Toc30664888"/>
      <w:bookmarkStart w:id="157" w:name="_Toc50736480"/>
      <w:bookmarkStart w:id="158" w:name="_Toc52165084"/>
      <w:bookmarkStart w:id="159" w:name="_Toc435515311"/>
      <w:bookmarkStart w:id="160" w:name="_Toc50691042"/>
      <w:r>
        <w:rPr>
          <w:rFonts w:hint="eastAsia"/>
          <w:b w:val="0"/>
          <w:color w:val="auto"/>
          <w:highlight w:val="none"/>
        </w:rPr>
        <w:t>项目团队人员一览表</w:t>
      </w:r>
      <w:bookmarkEnd w:id="149"/>
      <w:bookmarkEnd w:id="150"/>
      <w:bookmarkEnd w:id="151"/>
      <w:bookmarkEnd w:id="152"/>
      <w:bookmarkEnd w:id="153"/>
      <w:bookmarkEnd w:id="154"/>
      <w:bookmarkEnd w:id="155"/>
      <w:bookmarkEnd w:id="156"/>
      <w:bookmarkEnd w:id="157"/>
      <w:bookmarkEnd w:id="158"/>
      <w:bookmarkEnd w:id="159"/>
      <w:bookmarkEnd w:id="160"/>
    </w:p>
    <w:tbl>
      <w:tblPr>
        <w:tblStyle w:val="37"/>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80" w:rightChars="-38"/>
              <w:jc w:val="center"/>
              <w:rPr>
                <w:rFonts w:ascii="宋体" w:hAnsi="宋体"/>
                <w:color w:val="auto"/>
                <w:sz w:val="24"/>
                <w:highlight w:val="none"/>
              </w:rPr>
            </w:pPr>
            <w:r>
              <w:rPr>
                <w:rFonts w:hint="eastAsia" w:ascii="宋体" w:hAnsi="宋体"/>
                <w:color w:val="auto"/>
                <w:sz w:val="24"/>
                <w:highlight w:val="none"/>
              </w:rPr>
              <w:t>序号</w:t>
            </w:r>
          </w:p>
        </w:tc>
        <w:tc>
          <w:tcPr>
            <w:tcW w:w="1034" w:type="dxa"/>
            <w:tcBorders>
              <w:top w:val="single" w:color="auto" w:sz="12" w:space="0"/>
              <w:bottom w:val="double" w:color="auto" w:sz="4" w:space="0"/>
            </w:tcBorders>
            <w:shd w:val="clear" w:color="auto" w:fill="EEECE1"/>
            <w:vAlign w:val="center"/>
          </w:tcPr>
          <w:p>
            <w:pPr>
              <w:pStyle w:val="75"/>
              <w:keepNext w:val="0"/>
              <w:snapToGrid w:val="0"/>
              <w:spacing w:before="0" w:after="0" w:line="240" w:lineRule="auto"/>
              <w:textAlignment w:val="auto"/>
              <w:rPr>
                <w:rFonts w:ascii="宋体" w:hAnsi="宋体"/>
                <w:snapToGrid/>
                <w:color w:val="auto"/>
                <w:spacing w:val="0"/>
                <w:kern w:val="2"/>
                <w:szCs w:val="24"/>
                <w:highlight w:val="none"/>
              </w:rPr>
            </w:pPr>
            <w:r>
              <w:rPr>
                <w:rFonts w:hint="eastAsia" w:ascii="宋体" w:hAnsi="宋体"/>
                <w:snapToGrid/>
                <w:color w:val="auto"/>
                <w:spacing w:val="0"/>
                <w:kern w:val="2"/>
                <w:szCs w:val="24"/>
                <w:highlight w:val="none"/>
              </w:rPr>
              <w:t>姓名</w:t>
            </w:r>
          </w:p>
        </w:tc>
        <w:tc>
          <w:tcPr>
            <w:tcW w:w="823"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性别</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年龄</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学历</w:t>
            </w:r>
          </w:p>
        </w:tc>
        <w:tc>
          <w:tcPr>
            <w:tcW w:w="105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职称</w:t>
            </w:r>
          </w:p>
        </w:tc>
        <w:tc>
          <w:tcPr>
            <w:tcW w:w="121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专业</w:t>
            </w:r>
          </w:p>
        </w:tc>
        <w:tc>
          <w:tcPr>
            <w:tcW w:w="124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经验年限</w:t>
            </w:r>
          </w:p>
        </w:tc>
        <w:tc>
          <w:tcPr>
            <w:tcW w:w="168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spacing w:line="400" w:lineRule="exact"/>
              <w:jc w:val="center"/>
              <w:rPr>
                <w:rFonts w:ascii="宋体" w:hAnsi="宋体"/>
                <w:color w:val="auto"/>
                <w:sz w:val="24"/>
                <w:highlight w:val="none"/>
              </w:rPr>
            </w:pPr>
          </w:p>
        </w:tc>
        <w:tc>
          <w:tcPr>
            <w:tcW w:w="1034" w:type="dxa"/>
            <w:tcBorders>
              <w:top w:val="double" w:color="auto" w:sz="4" w:space="0"/>
            </w:tcBorders>
            <w:vAlign w:val="center"/>
          </w:tcPr>
          <w:p>
            <w:pPr>
              <w:spacing w:line="400" w:lineRule="exact"/>
              <w:jc w:val="center"/>
              <w:rPr>
                <w:rFonts w:ascii="宋体" w:hAnsi="宋体"/>
                <w:color w:val="auto"/>
                <w:sz w:val="24"/>
                <w:highlight w:val="none"/>
              </w:rPr>
            </w:pPr>
          </w:p>
        </w:tc>
        <w:tc>
          <w:tcPr>
            <w:tcW w:w="823" w:type="dxa"/>
            <w:tcBorders>
              <w:top w:val="double" w:color="auto" w:sz="4" w:space="0"/>
            </w:tcBorders>
            <w:vAlign w:val="center"/>
          </w:tcPr>
          <w:p>
            <w:pPr>
              <w:spacing w:line="400" w:lineRule="exact"/>
              <w:jc w:val="center"/>
              <w:rPr>
                <w:rFonts w:ascii="宋体" w:hAnsi="宋体"/>
                <w:color w:val="auto"/>
                <w:sz w:val="24"/>
                <w:highlight w:val="none"/>
              </w:rPr>
            </w:pPr>
          </w:p>
        </w:tc>
        <w:tc>
          <w:tcPr>
            <w:tcW w:w="822" w:type="dxa"/>
            <w:tcBorders>
              <w:top w:val="double" w:color="auto" w:sz="4" w:space="0"/>
            </w:tcBorders>
            <w:vAlign w:val="center"/>
          </w:tcPr>
          <w:p>
            <w:pPr>
              <w:spacing w:line="400" w:lineRule="exact"/>
              <w:jc w:val="center"/>
              <w:rPr>
                <w:rFonts w:ascii="宋体" w:hAnsi="宋体"/>
                <w:color w:val="auto"/>
                <w:sz w:val="24"/>
                <w:highlight w:val="none"/>
              </w:rPr>
            </w:pPr>
          </w:p>
        </w:tc>
        <w:tc>
          <w:tcPr>
            <w:tcW w:w="822" w:type="dxa"/>
            <w:tcBorders>
              <w:top w:val="double" w:color="auto" w:sz="4" w:space="0"/>
            </w:tcBorders>
            <w:vAlign w:val="center"/>
          </w:tcPr>
          <w:p>
            <w:pPr>
              <w:spacing w:line="400" w:lineRule="exact"/>
              <w:jc w:val="center"/>
              <w:rPr>
                <w:rFonts w:ascii="宋体" w:hAnsi="宋体"/>
                <w:color w:val="auto"/>
                <w:sz w:val="24"/>
                <w:highlight w:val="none"/>
              </w:rPr>
            </w:pPr>
          </w:p>
        </w:tc>
        <w:tc>
          <w:tcPr>
            <w:tcW w:w="1051" w:type="dxa"/>
            <w:tcBorders>
              <w:top w:val="double" w:color="auto" w:sz="4" w:space="0"/>
            </w:tcBorders>
            <w:vAlign w:val="center"/>
          </w:tcPr>
          <w:p>
            <w:pPr>
              <w:spacing w:line="400" w:lineRule="exact"/>
              <w:jc w:val="center"/>
              <w:rPr>
                <w:rFonts w:ascii="宋体" w:hAnsi="宋体"/>
                <w:color w:val="auto"/>
                <w:sz w:val="24"/>
                <w:highlight w:val="none"/>
              </w:rPr>
            </w:pPr>
          </w:p>
        </w:tc>
        <w:tc>
          <w:tcPr>
            <w:tcW w:w="1217" w:type="dxa"/>
            <w:tcBorders>
              <w:top w:val="double" w:color="auto" w:sz="4" w:space="0"/>
            </w:tcBorders>
            <w:vAlign w:val="center"/>
          </w:tcPr>
          <w:p>
            <w:pPr>
              <w:spacing w:line="400" w:lineRule="exact"/>
              <w:jc w:val="center"/>
              <w:rPr>
                <w:rFonts w:ascii="宋体" w:hAnsi="宋体"/>
                <w:color w:val="auto"/>
                <w:sz w:val="24"/>
                <w:highlight w:val="none"/>
              </w:rPr>
            </w:pPr>
          </w:p>
        </w:tc>
        <w:tc>
          <w:tcPr>
            <w:tcW w:w="1242" w:type="dxa"/>
            <w:tcBorders>
              <w:top w:val="double" w:color="auto" w:sz="4" w:space="0"/>
            </w:tcBorders>
            <w:vAlign w:val="center"/>
          </w:tcPr>
          <w:p>
            <w:pPr>
              <w:spacing w:line="400" w:lineRule="exact"/>
              <w:jc w:val="center"/>
              <w:rPr>
                <w:rFonts w:ascii="宋体" w:hAnsi="宋体"/>
                <w:color w:val="auto"/>
                <w:sz w:val="24"/>
                <w:highlight w:val="none"/>
              </w:rPr>
            </w:pPr>
          </w:p>
        </w:tc>
        <w:tc>
          <w:tcPr>
            <w:tcW w:w="1681" w:type="dxa"/>
            <w:tcBorders>
              <w:top w:val="double" w:color="auto" w:sz="4" w:space="0"/>
            </w:tcBorders>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color w:val="auto"/>
                <w:sz w:val="24"/>
                <w:highlight w:val="none"/>
              </w:rPr>
            </w:pPr>
          </w:p>
        </w:tc>
        <w:tc>
          <w:tcPr>
            <w:tcW w:w="1034" w:type="dxa"/>
            <w:vAlign w:val="center"/>
          </w:tcPr>
          <w:p>
            <w:pPr>
              <w:spacing w:line="400" w:lineRule="exact"/>
              <w:jc w:val="center"/>
              <w:rPr>
                <w:rFonts w:ascii="宋体" w:hAnsi="宋体"/>
                <w:color w:val="auto"/>
                <w:sz w:val="24"/>
                <w:highlight w:val="none"/>
              </w:rPr>
            </w:pPr>
          </w:p>
        </w:tc>
        <w:tc>
          <w:tcPr>
            <w:tcW w:w="823"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822" w:type="dxa"/>
            <w:vAlign w:val="center"/>
          </w:tcPr>
          <w:p>
            <w:pPr>
              <w:spacing w:line="400" w:lineRule="exact"/>
              <w:jc w:val="center"/>
              <w:rPr>
                <w:rFonts w:ascii="宋体" w:hAnsi="宋体"/>
                <w:color w:val="auto"/>
                <w:sz w:val="24"/>
                <w:highlight w:val="none"/>
              </w:rPr>
            </w:pPr>
          </w:p>
        </w:tc>
        <w:tc>
          <w:tcPr>
            <w:tcW w:w="1051" w:type="dxa"/>
            <w:vAlign w:val="center"/>
          </w:tcPr>
          <w:p>
            <w:pPr>
              <w:spacing w:line="400" w:lineRule="exact"/>
              <w:jc w:val="center"/>
              <w:rPr>
                <w:rFonts w:ascii="宋体" w:hAnsi="宋体"/>
                <w:color w:val="auto"/>
                <w:sz w:val="24"/>
                <w:highlight w:val="none"/>
              </w:rPr>
            </w:pPr>
          </w:p>
        </w:tc>
        <w:tc>
          <w:tcPr>
            <w:tcW w:w="1217" w:type="dxa"/>
            <w:vAlign w:val="center"/>
          </w:tcPr>
          <w:p>
            <w:pPr>
              <w:spacing w:line="400" w:lineRule="exact"/>
              <w:jc w:val="center"/>
              <w:rPr>
                <w:rFonts w:ascii="宋体" w:hAnsi="宋体"/>
                <w:color w:val="auto"/>
                <w:sz w:val="24"/>
                <w:highlight w:val="none"/>
              </w:rPr>
            </w:pPr>
          </w:p>
        </w:tc>
        <w:tc>
          <w:tcPr>
            <w:tcW w:w="1242" w:type="dxa"/>
            <w:vAlign w:val="center"/>
          </w:tcPr>
          <w:p>
            <w:pPr>
              <w:spacing w:line="400" w:lineRule="exact"/>
              <w:jc w:val="center"/>
              <w:rPr>
                <w:rFonts w:ascii="宋体" w:hAnsi="宋体"/>
                <w:color w:val="auto"/>
                <w:sz w:val="24"/>
                <w:highlight w:val="none"/>
              </w:rPr>
            </w:pPr>
          </w:p>
        </w:tc>
        <w:tc>
          <w:tcPr>
            <w:tcW w:w="1681" w:type="dxa"/>
            <w:vAlign w:val="center"/>
          </w:tcPr>
          <w:p>
            <w:pPr>
              <w:spacing w:line="400" w:lineRule="exact"/>
              <w:jc w:val="center"/>
              <w:rPr>
                <w:rFonts w:ascii="宋体" w:hAnsi="宋体"/>
                <w:color w:val="auto"/>
                <w:sz w:val="24"/>
                <w:highlight w:val="none"/>
              </w:rPr>
            </w:pPr>
          </w:p>
        </w:tc>
      </w:tr>
    </w:tbl>
    <w:p>
      <w:pPr>
        <w:spacing w:line="500" w:lineRule="exact"/>
        <w:rPr>
          <w:rFonts w:ascii="宋体" w:hAnsi="宋体"/>
          <w:bCs/>
          <w:color w:val="auto"/>
          <w:sz w:val="24"/>
          <w:highlight w:val="none"/>
        </w:rPr>
      </w:pPr>
      <w:r>
        <w:rPr>
          <w:rFonts w:hint="eastAsia" w:ascii="宋体" w:hAnsi="宋体"/>
          <w:bCs/>
          <w:color w:val="auto"/>
          <w:sz w:val="24"/>
          <w:highlight w:val="none"/>
        </w:rPr>
        <w:t>备注</w:t>
      </w:r>
      <w:r>
        <w:rPr>
          <w:rFonts w:hint="eastAsia"/>
          <w:bCs/>
          <w:color w:val="auto"/>
          <w:sz w:val="24"/>
          <w:highlight w:val="none"/>
        </w:rPr>
        <w:t>：</w:t>
      </w:r>
      <w:r>
        <w:rPr>
          <w:rFonts w:hint="eastAsia" w:ascii="宋体" w:hAnsi="宋体"/>
          <w:color w:val="auto"/>
          <w:sz w:val="24"/>
          <w:highlight w:val="none"/>
        </w:rPr>
        <w:t>根据评分表的要求提交相应资料</w:t>
      </w:r>
      <w:r>
        <w:rPr>
          <w:rFonts w:hint="eastAsia" w:ascii="宋体" w:hAnsi="宋体"/>
          <w:bCs/>
          <w:color w:val="auto"/>
          <w:sz w:val="24"/>
          <w:highlight w:val="none"/>
        </w:rPr>
        <w:t>。</w:t>
      </w:r>
    </w:p>
    <w:p>
      <w:pPr>
        <w:spacing w:line="500" w:lineRule="exact"/>
        <w:ind w:firstLine="496" w:firstLineChars="200"/>
        <w:rPr>
          <w:color w:val="auto"/>
          <w:spacing w:val="4"/>
          <w:sz w:val="24"/>
          <w:highlight w:val="none"/>
        </w:rPr>
      </w:pPr>
    </w:p>
    <w:p>
      <w:pPr>
        <w:spacing w:line="500" w:lineRule="exact"/>
        <w:ind w:firstLine="436" w:firstLineChars="200"/>
        <w:rPr>
          <w:color w:val="auto"/>
          <w:spacing w:val="4"/>
          <w:highlight w:val="none"/>
        </w:rPr>
      </w:pPr>
    </w:p>
    <w:p>
      <w:pPr>
        <w:pStyle w:val="5"/>
        <w:numPr>
          <w:ilvl w:val="0"/>
          <w:numId w:val="9"/>
        </w:numPr>
        <w:tabs>
          <w:tab w:val="left" w:pos="360"/>
        </w:tabs>
        <w:spacing w:line="240" w:lineRule="auto"/>
        <w:ind w:left="0" w:firstLine="0"/>
        <w:jc w:val="center"/>
        <w:rPr>
          <w:b w:val="0"/>
          <w:color w:val="auto"/>
          <w:highlight w:val="none"/>
        </w:rPr>
      </w:pPr>
      <w:r>
        <w:rPr>
          <w:rFonts w:hint="eastAsia"/>
          <w:color w:val="auto"/>
          <w:highlight w:val="none"/>
        </w:rPr>
        <w:br w:type="page"/>
      </w:r>
      <w:bookmarkStart w:id="161" w:name="_Toc3249"/>
      <w:bookmarkStart w:id="162" w:name="_Toc110937996"/>
      <w:r>
        <w:rPr>
          <w:rFonts w:hint="eastAsia"/>
          <w:b w:val="0"/>
          <w:color w:val="auto"/>
          <w:highlight w:val="none"/>
        </w:rPr>
        <w:t>投标人证书一览表</w:t>
      </w:r>
      <w:bookmarkEnd w:id="161"/>
      <w:bookmarkEnd w:id="162"/>
    </w:p>
    <w:tbl>
      <w:tblPr>
        <w:tblStyle w:val="37"/>
        <w:tblW w:w="93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2545"/>
        <w:gridCol w:w="2400"/>
        <w:gridCol w:w="27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674" w:type="dxa"/>
            <w:shd w:val="clear" w:color="auto" w:fill="EEECE1" w:themeFill="background2"/>
          </w:tcPr>
          <w:p>
            <w:pPr>
              <w:pStyle w:val="122"/>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证书名称</w:t>
            </w:r>
          </w:p>
        </w:tc>
        <w:tc>
          <w:tcPr>
            <w:tcW w:w="2545" w:type="dxa"/>
            <w:shd w:val="clear" w:color="auto" w:fill="EEECE1" w:themeFill="background2"/>
          </w:tcPr>
          <w:p>
            <w:pPr>
              <w:pStyle w:val="122"/>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发证单位</w:t>
            </w:r>
          </w:p>
        </w:tc>
        <w:tc>
          <w:tcPr>
            <w:tcW w:w="2400" w:type="dxa"/>
            <w:shd w:val="clear" w:color="auto" w:fill="EEECE1" w:themeFill="background2"/>
          </w:tcPr>
          <w:p>
            <w:pPr>
              <w:pStyle w:val="122"/>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证书等级</w:t>
            </w:r>
          </w:p>
        </w:tc>
        <w:tc>
          <w:tcPr>
            <w:tcW w:w="2704" w:type="dxa"/>
            <w:shd w:val="clear" w:color="auto" w:fill="EEECE1" w:themeFill="background2"/>
          </w:tcPr>
          <w:p>
            <w:pPr>
              <w:pStyle w:val="122"/>
              <w:spacing w:line="36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74" w:type="dxa"/>
          </w:tcPr>
          <w:p>
            <w:pPr>
              <w:pStyle w:val="122"/>
              <w:spacing w:line="360" w:lineRule="auto"/>
              <w:jc w:val="center"/>
              <w:rPr>
                <w:rFonts w:ascii="宋体" w:hAnsi="宋体" w:cs="Arial"/>
                <w:color w:val="auto"/>
                <w:sz w:val="24"/>
                <w:szCs w:val="24"/>
                <w:highlight w:val="none"/>
              </w:rPr>
            </w:pPr>
          </w:p>
        </w:tc>
        <w:tc>
          <w:tcPr>
            <w:tcW w:w="2545" w:type="dxa"/>
          </w:tcPr>
          <w:p>
            <w:pPr>
              <w:pStyle w:val="122"/>
              <w:spacing w:line="360" w:lineRule="auto"/>
              <w:jc w:val="center"/>
              <w:rPr>
                <w:rFonts w:ascii="宋体" w:hAnsi="宋体" w:cs="Arial"/>
                <w:color w:val="auto"/>
                <w:sz w:val="24"/>
                <w:szCs w:val="24"/>
                <w:highlight w:val="none"/>
              </w:rPr>
            </w:pPr>
          </w:p>
        </w:tc>
        <w:tc>
          <w:tcPr>
            <w:tcW w:w="2400" w:type="dxa"/>
          </w:tcPr>
          <w:p>
            <w:pPr>
              <w:pStyle w:val="122"/>
              <w:spacing w:line="360" w:lineRule="auto"/>
              <w:jc w:val="center"/>
              <w:rPr>
                <w:rFonts w:ascii="宋体" w:hAnsi="宋体" w:cs="Arial"/>
                <w:color w:val="auto"/>
                <w:sz w:val="24"/>
                <w:szCs w:val="24"/>
                <w:highlight w:val="none"/>
              </w:rPr>
            </w:pPr>
          </w:p>
        </w:tc>
        <w:tc>
          <w:tcPr>
            <w:tcW w:w="2704" w:type="dxa"/>
          </w:tcPr>
          <w:p>
            <w:pPr>
              <w:pStyle w:val="122"/>
              <w:spacing w:line="360" w:lineRule="auto"/>
              <w:jc w:val="center"/>
              <w:rPr>
                <w:rFonts w:ascii="宋体" w:hAnsi="宋体" w:cs="Arial"/>
                <w:color w:val="auto"/>
                <w:sz w:val="24"/>
                <w:szCs w:val="24"/>
                <w:highlight w:val="none"/>
              </w:rPr>
            </w:pPr>
          </w:p>
        </w:tc>
      </w:tr>
    </w:tbl>
    <w:p>
      <w:pPr>
        <w:pStyle w:val="113"/>
        <w:widowControl/>
        <w:numPr>
          <w:ilvl w:val="0"/>
          <w:numId w:val="12"/>
        </w:numPr>
        <w:tabs>
          <w:tab w:val="left" w:pos="0"/>
        </w:tabs>
        <w:spacing w:line="360" w:lineRule="auto"/>
        <w:ind w:left="0" w:firstLine="0" w:firstLineChars="0"/>
        <w:rPr>
          <w:rFonts w:ascii="宋体" w:hAnsi="宋体"/>
          <w:color w:val="auto"/>
          <w:sz w:val="24"/>
          <w:highlight w:val="none"/>
        </w:rPr>
      </w:pPr>
      <w:r>
        <w:rPr>
          <w:rFonts w:hint="eastAsia" w:ascii="宋体" w:hAnsi="宋体"/>
          <w:color w:val="auto"/>
          <w:sz w:val="24"/>
          <w:highlight w:val="none"/>
        </w:rPr>
        <w:t>请根据评分表中要求填写投标人获得资质、认证或企业信誉证书。</w:t>
      </w:r>
    </w:p>
    <w:p>
      <w:pPr>
        <w:pStyle w:val="113"/>
        <w:widowControl/>
        <w:numPr>
          <w:ilvl w:val="0"/>
          <w:numId w:val="12"/>
        </w:numPr>
        <w:tabs>
          <w:tab w:val="left" w:pos="0"/>
        </w:tabs>
        <w:spacing w:line="360" w:lineRule="auto"/>
        <w:ind w:left="0" w:firstLine="0" w:firstLineChars="0"/>
        <w:rPr>
          <w:rFonts w:ascii="宋体" w:hAnsi="宋体"/>
          <w:color w:val="auto"/>
          <w:sz w:val="24"/>
          <w:highlight w:val="none"/>
        </w:rPr>
      </w:pPr>
      <w:r>
        <w:rPr>
          <w:rFonts w:hint="eastAsia" w:ascii="宋体" w:hAnsi="宋体"/>
          <w:color w:val="auto"/>
          <w:sz w:val="24"/>
          <w:highlight w:val="none"/>
        </w:rPr>
        <w:t>请提供本表所列的证书资料。</w:t>
      </w:r>
    </w:p>
    <w:p>
      <w:pPr>
        <w:spacing w:line="500" w:lineRule="exact"/>
        <w:ind w:firstLine="436" w:firstLineChars="200"/>
        <w:rPr>
          <w:color w:val="auto"/>
          <w:spacing w:val="4"/>
          <w:highlight w:val="none"/>
        </w:rPr>
      </w:pPr>
    </w:p>
    <w:p>
      <w:pPr>
        <w:widowControl/>
        <w:jc w:val="left"/>
        <w:rPr>
          <w:rFonts w:ascii="Arial" w:hAnsi="Arial" w:eastAsia="黑体"/>
          <w:bCs/>
          <w:color w:val="auto"/>
          <w:sz w:val="32"/>
          <w:szCs w:val="32"/>
          <w:highlight w:val="none"/>
        </w:rPr>
      </w:pPr>
    </w:p>
    <w:bookmarkEnd w:id="129"/>
    <w:bookmarkEnd w:id="130"/>
    <w:p>
      <w:pPr>
        <w:spacing w:line="520" w:lineRule="exact"/>
        <w:ind w:firstLine="436" w:firstLineChars="200"/>
        <w:rPr>
          <w:color w:val="auto"/>
          <w:spacing w:val="4"/>
          <w:highlight w:val="none"/>
        </w:rPr>
        <w:sectPr>
          <w:pgSz w:w="11906" w:h="16838"/>
          <w:pgMar w:top="1440" w:right="1286" w:bottom="1440" w:left="1440" w:header="851" w:footer="992" w:gutter="0"/>
          <w:cols w:space="720" w:num="1"/>
          <w:docGrid w:type="lines" w:linePitch="312" w:charSpace="0"/>
        </w:sectPr>
      </w:pPr>
      <w:bookmarkStart w:id="163" w:name="_Toc50703730"/>
      <w:bookmarkStart w:id="164" w:name="_Toc50691037"/>
      <w:bookmarkStart w:id="165" w:name="_Toc43264518"/>
    </w:p>
    <w:bookmarkEnd w:id="163"/>
    <w:bookmarkEnd w:id="164"/>
    <w:bookmarkEnd w:id="165"/>
    <w:p>
      <w:pPr>
        <w:pStyle w:val="4"/>
        <w:jc w:val="center"/>
        <w:rPr>
          <w:rFonts w:asciiTheme="majorEastAsia" w:hAnsiTheme="majorEastAsia" w:eastAsiaTheme="majorEastAsia" w:cstheme="majorEastAsia"/>
          <w:color w:val="auto"/>
          <w:sz w:val="32"/>
          <w:szCs w:val="32"/>
          <w:highlight w:val="none"/>
        </w:rPr>
      </w:pPr>
      <w:bookmarkStart w:id="166" w:name="_Toc438223135"/>
      <w:bookmarkStart w:id="167" w:name="_Toc13635"/>
      <w:bookmarkStart w:id="168" w:name="_Toc4723"/>
      <w:bookmarkStart w:id="169" w:name="_Toc5615_WPSOffice_Level1"/>
      <w:bookmarkStart w:id="170" w:name="_Toc435516649"/>
      <w:bookmarkStart w:id="171" w:name="_Toc19598"/>
      <w:bookmarkStart w:id="172" w:name="_Toc8307307"/>
      <w:bookmarkStart w:id="173" w:name="_Toc435174932"/>
      <w:r>
        <w:rPr>
          <w:rFonts w:hint="eastAsia" w:asciiTheme="majorEastAsia" w:hAnsiTheme="majorEastAsia" w:eastAsiaTheme="majorEastAsia" w:cstheme="majorEastAsia"/>
          <w:color w:val="auto"/>
          <w:sz w:val="32"/>
          <w:szCs w:val="32"/>
          <w:highlight w:val="none"/>
        </w:rPr>
        <w:t>第七章 投标人须知</w:t>
      </w:r>
      <w:bookmarkEnd w:id="166"/>
      <w:bookmarkEnd w:id="167"/>
      <w:bookmarkEnd w:id="168"/>
      <w:bookmarkEnd w:id="169"/>
      <w:bookmarkEnd w:id="170"/>
      <w:bookmarkEnd w:id="171"/>
      <w:bookmarkEnd w:id="172"/>
      <w:bookmarkEnd w:id="173"/>
    </w:p>
    <w:p>
      <w:pPr>
        <w:pStyle w:val="5"/>
        <w:numPr>
          <w:ilvl w:val="0"/>
          <w:numId w:val="13"/>
        </w:numPr>
        <w:spacing w:line="240" w:lineRule="auto"/>
        <w:jc w:val="center"/>
        <w:rPr>
          <w:rFonts w:asciiTheme="majorEastAsia" w:hAnsiTheme="majorEastAsia" w:eastAsiaTheme="majorEastAsia"/>
          <w:color w:val="auto"/>
          <w:sz w:val="30"/>
          <w:szCs w:val="30"/>
          <w:highlight w:val="none"/>
        </w:rPr>
      </w:pPr>
      <w:bookmarkStart w:id="174" w:name="_Toc435516650"/>
      <w:bookmarkStart w:id="175" w:name="_Toc435174933"/>
      <w:bookmarkStart w:id="176" w:name="_Toc438223136"/>
      <w:bookmarkStart w:id="177" w:name="_Toc1658"/>
      <w:bookmarkStart w:id="178" w:name="_Toc4153"/>
      <w:r>
        <w:rPr>
          <w:rFonts w:asciiTheme="majorEastAsia" w:hAnsiTheme="majorEastAsia" w:eastAsiaTheme="majorEastAsia"/>
          <w:color w:val="auto"/>
          <w:sz w:val="30"/>
          <w:szCs w:val="30"/>
          <w:highlight w:val="none"/>
          <w:lang w:eastAsia="zh-TW"/>
        </w:rPr>
        <w:t>说 明</w:t>
      </w:r>
      <w:bookmarkEnd w:id="174"/>
      <w:bookmarkEnd w:id="175"/>
      <w:bookmarkEnd w:id="176"/>
      <w:bookmarkEnd w:id="177"/>
      <w:bookmarkEnd w:id="178"/>
      <w:bookmarkStart w:id="179" w:name="_Toc292267791"/>
    </w:p>
    <w:bookmarkEnd w:id="179"/>
    <w:p>
      <w:pPr>
        <w:numPr>
          <w:ilvl w:val="0"/>
          <w:numId w:val="14"/>
        </w:numPr>
        <w:autoSpaceDE w:val="0"/>
        <w:autoSpaceDN w:val="0"/>
        <w:adjustRightInd w:val="0"/>
        <w:snapToGrid w:val="0"/>
        <w:spacing w:line="360" w:lineRule="auto"/>
        <w:outlineLvl w:val="2"/>
        <w:rPr>
          <w:rFonts w:ascii="宋体" w:hAnsi="宋体"/>
          <w:b/>
          <w:bCs/>
          <w:color w:val="auto"/>
          <w:szCs w:val="21"/>
          <w:highlight w:val="none"/>
        </w:rPr>
      </w:pPr>
      <w:bookmarkStart w:id="180" w:name="_Toc23054"/>
      <w:r>
        <w:rPr>
          <w:rFonts w:hint="eastAsia" w:ascii="宋体" w:hAnsi="宋体"/>
          <w:b/>
          <w:bCs/>
          <w:color w:val="auto"/>
          <w:szCs w:val="21"/>
          <w:highlight w:val="none"/>
        </w:rPr>
        <w:t>适用范围</w:t>
      </w:r>
      <w:bookmarkEnd w:id="180"/>
    </w:p>
    <w:p>
      <w:pPr>
        <w:numPr>
          <w:ilvl w:val="1"/>
          <w:numId w:val="14"/>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本招标文件适用于本投标邀请中所述采购项目。</w:t>
      </w:r>
    </w:p>
    <w:p>
      <w:pPr>
        <w:numPr>
          <w:ilvl w:val="0"/>
          <w:numId w:val="14"/>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bookmarkStart w:id="181" w:name="_Toc28379"/>
      <w:r>
        <w:rPr>
          <w:rFonts w:hint="eastAsia" w:ascii="宋体" w:hAnsi="宋体"/>
          <w:b/>
          <w:color w:val="auto"/>
          <w:szCs w:val="21"/>
          <w:highlight w:val="none"/>
        </w:rPr>
        <w:t>定义</w:t>
      </w:r>
      <w:bookmarkEnd w:id="181"/>
    </w:p>
    <w:p>
      <w:pPr>
        <w:numPr>
          <w:ilvl w:val="1"/>
          <w:numId w:val="1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采购人指各级</w:t>
      </w:r>
      <w:r>
        <w:rPr>
          <w:rFonts w:ascii="宋体" w:hAnsi="宋体"/>
          <w:color w:val="auto"/>
          <w:szCs w:val="21"/>
          <w:highlight w:val="none"/>
        </w:rPr>
        <w:t>国家机关、事业单位和团体组织</w:t>
      </w:r>
      <w:r>
        <w:rPr>
          <w:rFonts w:hint="eastAsia" w:ascii="宋体" w:hAnsi="宋体"/>
          <w:color w:val="auto"/>
          <w:szCs w:val="21"/>
          <w:highlight w:val="none"/>
        </w:rPr>
        <w:t>。</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中所述的采购人已拥有一笔</w:t>
      </w: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。采购人计划将一部分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1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供应商是指向采购人提供货物、工程或者服务的法人、其他组织或者自然人。</w:t>
      </w:r>
    </w:p>
    <w:p>
      <w:pPr>
        <w:numPr>
          <w:ilvl w:val="1"/>
          <w:numId w:val="1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1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2" w:name="_Toc4681"/>
      <w:r>
        <w:rPr>
          <w:rFonts w:hint="eastAsia" w:ascii="宋体" w:hAnsi="宋体"/>
          <w:b/>
          <w:bCs/>
          <w:color w:val="auto"/>
          <w:szCs w:val="21"/>
          <w:highlight w:val="none"/>
        </w:rPr>
        <w:t>合格的货物和服务</w:t>
      </w:r>
      <w:bookmarkEnd w:id="182"/>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“服务”是指除货物和工程以外的其他政府采购对象，其中包括：投标人须承担的运输、安装、技术支持、培训以及招标文件规定的其他服务。</w:t>
      </w:r>
    </w:p>
    <w:p>
      <w:pPr>
        <w:numPr>
          <w:ilvl w:val="1"/>
          <w:numId w:val="1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1"/>
          <w:numId w:val="1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若所投产品属于政府强制采购节能产品的，则投标人必须提供该产品国家强制性节能产品进行响应，并提供强制性节能产品认证证书，否则视为无效投标。</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3" w:name="_Toc4403"/>
      <w:r>
        <w:rPr>
          <w:rFonts w:hint="eastAsia" w:ascii="宋体" w:hAnsi="宋体"/>
          <w:b/>
          <w:bCs/>
          <w:color w:val="auto"/>
          <w:szCs w:val="21"/>
          <w:highlight w:val="none"/>
        </w:rPr>
        <w:t>投标费用</w:t>
      </w:r>
      <w:bookmarkEnd w:id="183"/>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采购人均无义务和责任承担这些费用</w:t>
      </w:r>
      <w:r>
        <w:rPr>
          <w:rFonts w:hint="eastAsia" w:ascii="宋体" w:hAnsi="宋体" w:cs="宋体"/>
          <w:color w:val="auto"/>
          <w:szCs w:val="21"/>
          <w:highlight w:val="none"/>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84" w:name="_Toc27847"/>
      <w:r>
        <w:rPr>
          <w:rFonts w:hint="eastAsia" w:ascii="宋体" w:hAnsi="宋体"/>
          <w:b/>
          <w:bCs/>
          <w:color w:val="auto"/>
          <w:szCs w:val="21"/>
          <w:highlight w:val="none"/>
        </w:rPr>
        <w:t>其他</w:t>
      </w:r>
      <w:bookmarkEnd w:id="184"/>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1"/>
          <w:numId w:val="14"/>
        </w:numPr>
        <w:adjustRightInd w:val="0"/>
        <w:snapToGrid w:val="0"/>
        <w:spacing w:line="360" w:lineRule="auto"/>
        <w:rPr>
          <w:rFonts w:cs="宋体" w:asciiTheme="minorEastAsia" w:hAnsiTheme="minorEastAsia" w:eastAsiaTheme="minorEastAsia"/>
          <w:bCs/>
          <w:color w:val="auto"/>
          <w:szCs w:val="21"/>
          <w:highlight w:val="none"/>
        </w:rPr>
      </w:pPr>
      <w:bookmarkStart w:id="185"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86" w:name="_Hlk21591509"/>
      <w:r>
        <w:rPr>
          <w:rFonts w:hint="eastAsia" w:asciiTheme="minorEastAsia" w:hAnsiTheme="minorEastAsia" w:eastAsiaTheme="minorEastAsia"/>
          <w:color w:val="auto"/>
          <w:szCs w:val="21"/>
          <w:highlight w:val="none"/>
        </w:rPr>
        <w:t>供应商限制参与政府采购</w:t>
      </w:r>
      <w:bookmarkEnd w:id="186"/>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t>
      </w:r>
      <w:r>
        <w:rPr>
          <w:rFonts w:hint="eastAsia" w:asciiTheme="minorEastAsia" w:hAnsiTheme="minorEastAsia" w:eastAsiaTheme="minorEastAsia"/>
          <w:color w:val="auto"/>
          <w:szCs w:val="21"/>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4"/>
          <w:rFonts w:asciiTheme="minorEastAsia" w:hAnsiTheme="minorEastAsia" w:eastAsiaTheme="minorEastAsia"/>
          <w:color w:val="auto"/>
          <w:sz w:val="21"/>
          <w:szCs w:val="21"/>
          <w:highlight w:val="none"/>
        </w:rPr>
        <w:t>www.creditchina.gov.cn</w:t>
      </w:r>
      <w:r>
        <w:rPr>
          <w:rStyle w:val="44"/>
          <w:rFonts w:asciiTheme="minorEastAsia" w:hAnsiTheme="minorEastAsia" w:eastAsiaTheme="minorEastAsia"/>
          <w:color w:val="auto"/>
          <w:sz w:val="21"/>
          <w:szCs w:val="21"/>
          <w:highlight w:val="none"/>
        </w:rPr>
        <w:fldChar w:fldCharType="end"/>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t>重大税收违法案件当事人名单</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中国政府采购网</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www.ccgp.gov.cn</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85"/>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深圳市政府采购监督管理网（zfcg.sz.gov.cn）查询相关主体信用记录，对不符合《中华人民共和国政府采购法》第二十二条规定条件的供应商限制参与政府采购。本项目不接受</w:t>
      </w:r>
      <w:r>
        <w:rPr>
          <w:rFonts w:hint="eastAsia" w:cs="宋体" w:asciiTheme="minorEastAsia" w:hAnsiTheme="minorEastAsia" w:eastAsiaTheme="minorEastAsia"/>
          <w:color w:val="auto"/>
          <w:szCs w:val="21"/>
          <w:highlight w:val="none"/>
        </w:rPr>
        <w:t>联合体投标</w:t>
      </w:r>
      <w:r>
        <w:rPr>
          <w:rFonts w:cs="宋体" w:asciiTheme="minorEastAsia" w:hAnsiTheme="minorEastAsia" w:eastAsiaTheme="minorEastAsia"/>
          <w:color w:val="auto"/>
          <w:szCs w:val="21"/>
          <w:highlight w:val="none"/>
        </w:rPr>
        <w:t>。</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。由采购人对信用信息查询记录和证据截图或下载存档，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pPr>
        <w:pStyle w:val="5"/>
        <w:numPr>
          <w:ilvl w:val="0"/>
          <w:numId w:val="13"/>
        </w:numPr>
        <w:spacing w:line="240" w:lineRule="auto"/>
        <w:jc w:val="center"/>
        <w:rPr>
          <w:rFonts w:asciiTheme="majorEastAsia" w:hAnsiTheme="majorEastAsia" w:eastAsiaTheme="majorEastAsia"/>
          <w:color w:val="auto"/>
          <w:sz w:val="30"/>
          <w:szCs w:val="30"/>
          <w:highlight w:val="none"/>
          <w:lang w:eastAsia="zh-TW"/>
        </w:rPr>
      </w:pPr>
      <w:bookmarkStart w:id="187" w:name="_Toc21826"/>
      <w:bookmarkStart w:id="188" w:name="_Toc435174934"/>
      <w:bookmarkStart w:id="189" w:name="_Toc435516651"/>
      <w:bookmarkStart w:id="190" w:name="_Toc438223137"/>
      <w:bookmarkStart w:id="191" w:name="_Toc27297"/>
      <w:r>
        <w:rPr>
          <w:rFonts w:hint="eastAsia" w:asciiTheme="majorEastAsia" w:hAnsiTheme="majorEastAsia" w:eastAsiaTheme="majorEastAsia"/>
          <w:color w:val="auto"/>
          <w:sz w:val="30"/>
          <w:szCs w:val="30"/>
          <w:highlight w:val="none"/>
          <w:lang w:eastAsia="zh-TW"/>
        </w:rPr>
        <w:t>招标文件</w:t>
      </w:r>
      <w:bookmarkEnd w:id="187"/>
      <w:bookmarkEnd w:id="188"/>
      <w:bookmarkEnd w:id="189"/>
      <w:bookmarkEnd w:id="190"/>
      <w:bookmarkEnd w:id="191"/>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2" w:name="_Toc23967"/>
      <w:r>
        <w:rPr>
          <w:rFonts w:hint="eastAsia" w:ascii="宋体" w:hAnsi="宋体"/>
          <w:b/>
          <w:bCs/>
          <w:color w:val="auto"/>
          <w:szCs w:val="21"/>
          <w:highlight w:val="none"/>
        </w:rPr>
        <w:t>招标文件的构成</w:t>
      </w:r>
      <w:bookmarkEnd w:id="192"/>
    </w:p>
    <w:p>
      <w:pPr>
        <w:numPr>
          <w:ilvl w:val="1"/>
          <w:numId w:val="14"/>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第一章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投标邀请</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第二章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投标资料表</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用户需求书</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四</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评标、定标</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五</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w:t>
      </w:r>
      <w:r>
        <w:rPr>
          <w:rFonts w:hint="eastAsia" w:ascii="宋体" w:hAnsi="宋体" w:cs="宋体"/>
          <w:color w:val="auto"/>
          <w:szCs w:val="21"/>
          <w:highlight w:val="none"/>
          <w:lang w:eastAsia="zh-TW"/>
        </w:rPr>
        <w:t>合同</w:t>
      </w:r>
      <w:r>
        <w:rPr>
          <w:rFonts w:hint="eastAsia" w:ascii="宋体" w:hAnsi="宋体" w:cs="宋体"/>
          <w:color w:val="auto"/>
          <w:szCs w:val="21"/>
          <w:highlight w:val="none"/>
        </w:rPr>
        <w:t>文本</w:t>
      </w:r>
    </w:p>
    <w:p>
      <w:pPr>
        <w:snapToGrid w:val="0"/>
        <w:spacing w:line="360" w:lineRule="auto"/>
        <w:ind w:left="445" w:leftChars="212" w:firstLine="1"/>
        <w:rPr>
          <w:rFonts w:ascii="宋体" w:hAnsi="宋体" w:cs="宋体"/>
          <w:color w:val="auto"/>
          <w:szCs w:val="21"/>
          <w:highlight w:val="none"/>
        </w:rPr>
      </w:pPr>
      <w:r>
        <w:rPr>
          <w:rFonts w:hint="eastAsia" w:ascii="宋体" w:hAnsi="宋体" w:cs="宋体"/>
          <w:color w:val="auto"/>
          <w:szCs w:val="21"/>
          <w:highlight w:val="none"/>
          <w:lang w:eastAsia="zh-TW"/>
        </w:rPr>
        <w:t>第</w:t>
      </w:r>
      <w:r>
        <w:rPr>
          <w:rFonts w:hint="eastAsia" w:ascii="宋体" w:hAnsi="宋体" w:cs="宋体"/>
          <w:color w:val="auto"/>
          <w:szCs w:val="21"/>
          <w:highlight w:val="none"/>
        </w:rPr>
        <w:t>六</w:t>
      </w:r>
      <w:r>
        <w:rPr>
          <w:rFonts w:hint="eastAsia" w:ascii="宋体" w:hAnsi="宋体" w:cs="宋体"/>
          <w:color w:val="auto"/>
          <w:szCs w:val="21"/>
          <w:highlight w:val="none"/>
          <w:lang w:eastAsia="zh-TW"/>
        </w:rPr>
        <w:t>章</w:t>
      </w:r>
      <w:r>
        <w:rPr>
          <w:rFonts w:hint="eastAsia" w:ascii="宋体" w:hAnsi="宋体" w:cs="宋体"/>
          <w:color w:val="auto"/>
          <w:szCs w:val="21"/>
          <w:highlight w:val="none"/>
        </w:rPr>
        <w:t>　投标文件格式</w:t>
      </w:r>
    </w:p>
    <w:p>
      <w:pPr>
        <w:snapToGrid w:val="0"/>
        <w:spacing w:line="360" w:lineRule="auto"/>
        <w:ind w:left="445" w:leftChars="212" w:firstLine="1"/>
        <w:rPr>
          <w:rFonts w:ascii="宋体" w:hAnsi="宋体"/>
          <w:color w:val="auto"/>
          <w:szCs w:val="21"/>
          <w:highlight w:val="none"/>
        </w:rPr>
      </w:pPr>
      <w:r>
        <w:rPr>
          <w:rFonts w:hint="eastAsia" w:ascii="宋体" w:hAnsi="宋体" w:cs="宋体"/>
          <w:color w:val="auto"/>
          <w:szCs w:val="21"/>
          <w:highlight w:val="none"/>
        </w:rPr>
        <w:t>第七章　</w:t>
      </w:r>
      <w:r>
        <w:rPr>
          <w:rFonts w:hint="eastAsia" w:ascii="宋体" w:hAnsi="宋体" w:cs="宋体"/>
          <w:color w:val="auto"/>
          <w:szCs w:val="21"/>
          <w:highlight w:val="none"/>
          <w:lang w:eastAsia="zh-TW"/>
        </w:rPr>
        <w:t>投标人须知</w:t>
      </w:r>
    </w:p>
    <w:p>
      <w:pPr>
        <w:numPr>
          <w:ilvl w:val="1"/>
          <w:numId w:val="14"/>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rPr>
        <w:t>深圳</w:t>
      </w:r>
      <w:r>
        <w:rPr>
          <w:rFonts w:hint="eastAsia" w:ascii="宋体" w:hAnsi="宋体" w:cs="宋体"/>
          <w:color w:val="auto"/>
          <w:szCs w:val="21"/>
          <w:highlight w:val="none"/>
          <w:lang w:val="en-US" w:eastAsia="zh-CN"/>
        </w:rPr>
        <w:t>利盛</w:t>
      </w:r>
      <w:r>
        <w:rPr>
          <w:rFonts w:hint="eastAsia" w:ascii="宋体" w:hAnsi="宋体" w:cs="宋体"/>
          <w:color w:val="auto"/>
          <w:szCs w:val="21"/>
          <w:highlight w:val="none"/>
        </w:rPr>
        <w:t>管理</w:t>
      </w:r>
      <w:r>
        <w:rPr>
          <w:rFonts w:hint="eastAsia" w:ascii="宋体" w:hAnsi="宋体" w:cs="宋体"/>
          <w:color w:val="auto"/>
          <w:szCs w:val="21"/>
          <w:highlight w:val="none"/>
          <w:lang w:val="en-US" w:eastAsia="zh-CN"/>
        </w:rPr>
        <w:t>咨询</w:t>
      </w:r>
      <w:r>
        <w:rPr>
          <w:rFonts w:hint="eastAsia" w:ascii="宋体" w:hAnsi="宋体" w:cs="宋体"/>
          <w:color w:val="auto"/>
          <w:szCs w:val="21"/>
          <w:highlight w:val="none"/>
        </w:rPr>
        <w:t>有限公司</w:t>
      </w:r>
      <w:r>
        <w:rPr>
          <w:rFonts w:hint="eastAsia" w:ascii="宋体" w:hAnsi="宋体" w:cs="宋体"/>
          <w:color w:val="auto"/>
          <w:szCs w:val="21"/>
          <w:highlight w:val="none"/>
          <w:lang w:eastAsia="zh-TW"/>
        </w:rPr>
        <w:t>”所有。</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193" w:name="_Toc9423"/>
      <w:r>
        <w:rPr>
          <w:rFonts w:hint="eastAsia" w:ascii="宋体" w:hAnsi="宋体"/>
          <w:b/>
          <w:bCs/>
          <w:color w:val="auto"/>
          <w:szCs w:val="21"/>
          <w:highlight w:val="none"/>
        </w:rPr>
        <w:t>招标文件的澄清或修改</w:t>
      </w:r>
      <w:bookmarkEnd w:id="193"/>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采购人可以对已发出的招标文件进行必要的澄清或者修改。澄清或者修改应当在原公告发布媒体上发布澄清</w:t>
      </w:r>
      <w:r>
        <w:rPr>
          <w:rFonts w:hint="eastAsia" w:ascii="宋体" w:hAnsi="宋体"/>
          <w:color w:val="auto"/>
          <w:szCs w:val="21"/>
          <w:highlight w:val="none"/>
        </w:rPr>
        <w:t>（更正/变更）</w:t>
      </w:r>
      <w:r>
        <w:rPr>
          <w:rFonts w:hint="eastAsia" w:ascii="宋体" w:hAnsi="宋体" w:cs="宋体"/>
          <w:color w:val="auto"/>
          <w:szCs w:val="21"/>
          <w:highlight w:val="none"/>
          <w:lang w:eastAsia="zh-TW"/>
        </w:rPr>
        <w:t>公告。</w:t>
      </w:r>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无论出于何种原因</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采购人可以主动地或在解答投标人提出的疑问时对已发出的招标文件进行必要的</w:t>
      </w:r>
      <w:r>
        <w:rPr>
          <w:rFonts w:hint="eastAsia" w:ascii="宋体" w:hAnsi="宋体"/>
          <w:color w:val="auto"/>
          <w:szCs w:val="21"/>
          <w:highlight w:val="none"/>
        </w:rPr>
        <w:t>澄清或</w:t>
      </w:r>
      <w:r>
        <w:rPr>
          <w:rFonts w:hint="eastAsia" w:ascii="宋体" w:hAnsi="宋体" w:cs="宋体"/>
          <w:color w:val="auto"/>
          <w:szCs w:val="21"/>
          <w:highlight w:val="none"/>
          <w:lang w:eastAsia="zh-TW"/>
        </w:rPr>
        <w:t>修改</w:t>
      </w:r>
      <w:r>
        <w:rPr>
          <w:rFonts w:hint="eastAsia" w:ascii="宋体" w:hAnsi="宋体"/>
          <w:color w:val="auto"/>
          <w:szCs w:val="21"/>
          <w:highlight w:val="none"/>
        </w:rPr>
        <w:t>（更正）</w:t>
      </w:r>
      <w:r>
        <w:rPr>
          <w:rFonts w:hint="eastAsia" w:ascii="宋体" w:hAnsi="宋体" w:cs="宋体"/>
          <w:color w:val="auto"/>
          <w:szCs w:val="21"/>
          <w:highlight w:val="none"/>
        </w:rPr>
        <w:t>的</w:t>
      </w:r>
      <w:r>
        <w:rPr>
          <w:rFonts w:hint="eastAsia" w:ascii="宋体" w:hAnsi="宋体"/>
          <w:color w:val="auto"/>
          <w:szCs w:val="21"/>
          <w:highlight w:val="none"/>
        </w:rPr>
        <w:t>，于投标截止时间前在指定媒体上发布公告，并通知所有报名的投标</w:t>
      </w:r>
      <w:r>
        <w:rPr>
          <w:rFonts w:hint="eastAsia" w:ascii="宋体" w:hAnsi="宋体" w:cs="宋体"/>
          <w:color w:val="auto"/>
          <w:szCs w:val="21"/>
          <w:highlight w:val="none"/>
        </w:rPr>
        <w:t>人</w:t>
      </w:r>
      <w:r>
        <w:rPr>
          <w:rFonts w:hint="eastAsia" w:ascii="宋体" w:hAnsi="宋体"/>
          <w:color w:val="auto"/>
          <w:szCs w:val="21"/>
          <w:highlight w:val="none"/>
        </w:rPr>
        <w:t>，报名的投标人在收到澄清或修改（更正）通知后应按要求以书面形式（传真有效）予以确认，</w:t>
      </w:r>
      <w:r>
        <w:rPr>
          <w:rFonts w:hint="eastAsia" w:ascii="宋体" w:hAnsi="宋体" w:cs="宋体"/>
          <w:color w:val="auto"/>
          <w:szCs w:val="21"/>
          <w:highlight w:val="none"/>
          <w:lang w:eastAsia="zh-TW"/>
        </w:rPr>
        <w:t>如在24小时之内无书面回函则视为同意修改内容，并有责任履行相应的义务。</w:t>
      </w:r>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采购人</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并对供应商具有约束力</w:t>
      </w:r>
      <w:r>
        <w:rPr>
          <w:rFonts w:hint="eastAsia" w:ascii="宋体" w:hAnsi="宋体" w:cs="宋体"/>
          <w:color w:val="auto"/>
          <w:szCs w:val="21"/>
          <w:highlight w:val="none"/>
        </w:rPr>
        <w:t>。</w:t>
      </w:r>
    </w:p>
    <w:p>
      <w:pPr>
        <w:numPr>
          <w:ilvl w:val="1"/>
          <w:numId w:val="1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对招标文件中描述</w:t>
      </w:r>
      <w:r>
        <w:rPr>
          <w:rFonts w:hint="eastAsia" w:ascii="宋体" w:hAnsi="宋体" w:cs="宋体"/>
          <w:color w:val="auto"/>
          <w:szCs w:val="21"/>
          <w:highlight w:val="none"/>
        </w:rPr>
        <w:t>有歧义</w:t>
      </w:r>
      <w:r>
        <w:rPr>
          <w:rFonts w:hint="eastAsia" w:ascii="宋体" w:hAnsi="宋体" w:cs="宋体"/>
          <w:color w:val="auto"/>
          <w:szCs w:val="21"/>
          <w:highlight w:val="none"/>
          <w:lang w:eastAsia="zh-TW"/>
        </w:rPr>
        <w:t>或前后不一致的地方，评标委员会有权进行评判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numPr>
          <w:ilvl w:val="0"/>
          <w:numId w:val="14"/>
        </w:numPr>
        <w:autoSpaceDE w:val="0"/>
        <w:autoSpaceDN w:val="0"/>
        <w:adjustRightInd w:val="0"/>
        <w:snapToGrid w:val="0"/>
        <w:spacing w:line="360" w:lineRule="auto"/>
        <w:ind w:left="449" w:hanging="449" w:hangingChars="213"/>
        <w:outlineLvl w:val="2"/>
        <w:rPr>
          <w:rFonts w:ascii="宋体" w:hAnsi="宋体" w:cs="宋体"/>
          <w:color w:val="auto"/>
          <w:szCs w:val="21"/>
          <w:highlight w:val="none"/>
        </w:rPr>
      </w:pPr>
      <w:bookmarkStart w:id="194" w:name="_Toc32090"/>
      <w:r>
        <w:rPr>
          <w:rFonts w:hint="eastAsia" w:ascii="宋体" w:hAnsi="宋体"/>
          <w:b/>
          <w:bCs/>
          <w:color w:val="auto"/>
          <w:szCs w:val="21"/>
          <w:highlight w:val="none"/>
        </w:rPr>
        <w:t>现场考察或者召开开标前答疑会</w:t>
      </w:r>
      <w:bookmarkEnd w:id="194"/>
    </w:p>
    <w:p>
      <w:pPr>
        <w:numPr>
          <w:ilvl w:val="1"/>
          <w:numId w:val="14"/>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除非</w:t>
      </w:r>
      <w:r>
        <w:rPr>
          <w:rFonts w:hint="eastAsia" w:ascii="宋体" w:hAnsi="宋体" w:cs="黑体"/>
          <w:b/>
          <w:color w:val="auto"/>
          <w:szCs w:val="21"/>
          <w:highlight w:val="none"/>
        </w:rPr>
        <w:t>投标资料表</w:t>
      </w:r>
      <w:r>
        <w:rPr>
          <w:rFonts w:hint="eastAsia" w:ascii="宋体" w:hAnsi="宋体" w:cs="宋体"/>
          <w:color w:val="auto"/>
          <w:szCs w:val="21"/>
          <w:highlight w:val="none"/>
        </w:rPr>
        <w:t>中另有规定，不举行项目</w:t>
      </w:r>
      <w:r>
        <w:rPr>
          <w:rFonts w:hint="eastAsia" w:ascii="宋体" w:hAnsi="宋体"/>
          <w:bCs/>
          <w:color w:val="auto"/>
          <w:szCs w:val="21"/>
          <w:highlight w:val="none"/>
        </w:rPr>
        <w:t>现场考察或者召开评标前答疑会</w:t>
      </w:r>
      <w:r>
        <w:rPr>
          <w:rFonts w:hint="eastAsia" w:ascii="宋体" w:hAnsi="宋体" w:cs="宋体"/>
          <w:color w:val="auto"/>
          <w:szCs w:val="21"/>
          <w:highlight w:val="none"/>
        </w:rPr>
        <w:t>，如举行</w:t>
      </w:r>
      <w:r>
        <w:rPr>
          <w:rFonts w:hint="eastAsia" w:ascii="宋体" w:hAnsi="宋体"/>
          <w:bCs/>
          <w:color w:val="auto"/>
          <w:szCs w:val="21"/>
          <w:highlight w:val="none"/>
        </w:rPr>
        <w:t>现场考察或者召开评标前答疑会</w:t>
      </w:r>
      <w:r>
        <w:rPr>
          <w:rFonts w:hint="eastAsia" w:ascii="宋体" w:hAnsi="宋体" w:cs="宋体"/>
          <w:color w:val="auto"/>
          <w:szCs w:val="21"/>
          <w:highlight w:val="none"/>
        </w:rPr>
        <w:t>的，则按以下规定：</w:t>
      </w:r>
    </w:p>
    <w:p>
      <w:pPr>
        <w:numPr>
          <w:ilvl w:val="2"/>
          <w:numId w:val="14"/>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在</w:t>
      </w:r>
      <w:r>
        <w:rPr>
          <w:rFonts w:hint="eastAsia" w:ascii="宋体" w:hAnsi="宋体" w:cs="黑体"/>
          <w:color w:val="auto"/>
          <w:szCs w:val="21"/>
          <w:highlight w:val="none"/>
          <w:lang w:eastAsia="zh-TW"/>
        </w:rPr>
        <w:t>投标资料表</w:t>
      </w:r>
      <w:r>
        <w:rPr>
          <w:rFonts w:hint="eastAsia" w:ascii="宋体" w:hAnsi="宋体" w:cs="宋体"/>
          <w:color w:val="auto"/>
          <w:szCs w:val="21"/>
          <w:highlight w:val="none"/>
        </w:rPr>
        <w:t>中规定的日期、时间和地点组织</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rPr>
        <w:t>；</w:t>
      </w:r>
    </w:p>
    <w:p>
      <w:pPr>
        <w:numPr>
          <w:ilvl w:val="2"/>
          <w:numId w:val="14"/>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对本项目提出的疑问，</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在</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lang w:eastAsia="zh-TW"/>
        </w:rPr>
        <w:t>召开日前至少一个工作日将问题清单以书面形式（加盖公章）提交至采购人。</w:t>
      </w:r>
    </w:p>
    <w:p>
      <w:pPr>
        <w:pStyle w:val="5"/>
        <w:numPr>
          <w:ilvl w:val="0"/>
          <w:numId w:val="13"/>
        </w:numPr>
        <w:spacing w:line="240" w:lineRule="auto"/>
        <w:jc w:val="center"/>
        <w:rPr>
          <w:rFonts w:asciiTheme="majorEastAsia" w:hAnsiTheme="majorEastAsia" w:eastAsiaTheme="majorEastAsia"/>
          <w:color w:val="auto"/>
          <w:sz w:val="30"/>
          <w:szCs w:val="30"/>
          <w:highlight w:val="none"/>
          <w:lang w:eastAsia="zh-TW"/>
        </w:rPr>
      </w:pPr>
      <w:bookmarkStart w:id="195" w:name="_Toc15510"/>
      <w:bookmarkStart w:id="196" w:name="_Toc435516652"/>
      <w:bookmarkStart w:id="197" w:name="_Toc7579"/>
      <w:bookmarkStart w:id="198" w:name="_Toc438223138"/>
      <w:bookmarkStart w:id="199" w:name="_Toc435174935"/>
      <w:r>
        <w:rPr>
          <w:rFonts w:hint="eastAsia" w:asciiTheme="majorEastAsia" w:hAnsiTheme="majorEastAsia" w:eastAsiaTheme="majorEastAsia"/>
          <w:color w:val="auto"/>
          <w:sz w:val="30"/>
          <w:szCs w:val="30"/>
          <w:highlight w:val="none"/>
          <w:lang w:eastAsia="zh-TW"/>
        </w:rPr>
        <w:t>投标文件的编制</w:t>
      </w:r>
      <w:bookmarkEnd w:id="195"/>
      <w:bookmarkEnd w:id="196"/>
      <w:bookmarkEnd w:id="197"/>
      <w:bookmarkEnd w:id="198"/>
      <w:bookmarkEnd w:id="199"/>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0" w:name="_Toc27317"/>
      <w:r>
        <w:rPr>
          <w:rFonts w:hint="eastAsia" w:ascii="宋体" w:hAnsi="宋体"/>
          <w:b/>
          <w:bCs/>
          <w:color w:val="auto"/>
          <w:szCs w:val="21"/>
          <w:highlight w:val="none"/>
        </w:rPr>
        <w:t>投标的语言</w:t>
      </w:r>
      <w:bookmarkEnd w:id="200"/>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投标人提交的投标文件以及投标人与采购人就有关投标的所有来往函电均应使用中文书写</w:t>
      </w:r>
      <w:r>
        <w:rPr>
          <w:rFonts w:hint="eastAsia" w:ascii="宋体" w:hAnsi="宋体" w:cs="宋体"/>
          <w:color w:val="auto"/>
          <w:szCs w:val="21"/>
          <w:highlight w:val="none"/>
        </w:rPr>
        <w:t>。投</w:t>
      </w:r>
      <w:r>
        <w:rPr>
          <w:rFonts w:hint="eastAsia" w:ascii="宋体" w:hAnsi="宋体" w:cs="宋体"/>
          <w:color w:val="auto"/>
          <w:szCs w:val="21"/>
          <w:highlight w:val="none"/>
          <w:lang w:eastAsia="zh-TW"/>
        </w:rPr>
        <w:t>标人提交的支持文件或印刷的资料可以用另一种语言</w:t>
      </w:r>
      <w:r>
        <w:rPr>
          <w:rFonts w:hint="eastAsia" w:ascii="宋体" w:hAnsi="宋体" w:cs="宋体"/>
          <w:color w:val="auto"/>
          <w:szCs w:val="21"/>
          <w:highlight w:val="none"/>
        </w:rPr>
        <w:t>，</w:t>
      </w:r>
      <w:r>
        <w:rPr>
          <w:rFonts w:hint="eastAsia" w:ascii="宋体" w:hAnsi="宋体" w:cs="宋体"/>
          <w:color w:val="auto"/>
          <w:szCs w:val="21"/>
          <w:highlight w:val="none"/>
          <w:lang w:eastAsia="zh-TW"/>
        </w:rPr>
        <w:t>但相应内容应附有中文翻译本</w:t>
      </w:r>
      <w:r>
        <w:rPr>
          <w:rFonts w:hint="eastAsia" w:ascii="宋体" w:hAnsi="宋体" w:cs="宋体"/>
          <w:color w:val="auto"/>
          <w:szCs w:val="21"/>
          <w:highlight w:val="none"/>
        </w:rPr>
        <w:t>，由翻译机构盖章或者翻译人员签名。</w:t>
      </w:r>
      <w:r>
        <w:rPr>
          <w:rFonts w:hint="eastAsia" w:ascii="宋体" w:hAnsi="宋体"/>
          <w:color w:val="auto"/>
          <w:highlight w:val="none"/>
        </w:rPr>
        <w:t>两种语言不一致时以中文翻译本为准。</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1" w:name="_Toc2446"/>
      <w:r>
        <w:rPr>
          <w:rFonts w:hint="eastAsia" w:ascii="宋体" w:hAnsi="宋体"/>
          <w:b/>
          <w:bCs/>
          <w:color w:val="auto"/>
          <w:szCs w:val="21"/>
          <w:highlight w:val="none"/>
        </w:rPr>
        <w:t>投标文件的构成</w:t>
      </w:r>
      <w:bookmarkEnd w:id="201"/>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color w:val="auto"/>
          <w:szCs w:val="21"/>
          <w:highlight w:val="none"/>
        </w:rPr>
        <w:t>资格性文件、符合性文件、技术文件、商务文件等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2" w:name="_Toc11091"/>
      <w:r>
        <w:rPr>
          <w:rFonts w:hint="eastAsia" w:ascii="宋体" w:hAnsi="宋体"/>
          <w:b/>
          <w:bCs/>
          <w:color w:val="auto"/>
          <w:szCs w:val="21"/>
          <w:highlight w:val="none"/>
        </w:rPr>
        <w:t>投标文件的编写</w:t>
      </w:r>
      <w:bookmarkEnd w:id="202"/>
    </w:p>
    <w:p>
      <w:pPr>
        <w:numPr>
          <w:ilvl w:val="1"/>
          <w:numId w:val="1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投标人对招标文件中多个包组进行投标的</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其投标文件的编制</w:t>
      </w:r>
      <w:r>
        <w:rPr>
          <w:rFonts w:hint="eastAsia" w:ascii="宋体" w:hAnsi="宋体" w:cs="宋体"/>
          <w:color w:val="auto"/>
          <w:szCs w:val="21"/>
          <w:highlight w:val="none"/>
        </w:rPr>
        <w:t>可按</w:t>
      </w:r>
      <w:r>
        <w:rPr>
          <w:rFonts w:hint="eastAsia" w:ascii="宋体" w:hAnsi="宋体" w:cs="宋体"/>
          <w:color w:val="auto"/>
          <w:szCs w:val="21"/>
          <w:highlight w:val="none"/>
          <w:lang w:eastAsia="zh-TW"/>
        </w:rPr>
        <w:t>每个包组的要求分别装订和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4"/>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w:t>
      </w:r>
      <w:r>
        <w:rPr>
          <w:rFonts w:hint="eastAsia" w:ascii="宋体" w:hAnsi="宋体" w:cs="宋体"/>
          <w:color w:val="auto"/>
          <w:szCs w:val="21"/>
          <w:highlight w:val="none"/>
        </w:rPr>
        <w:t>采购人或者</w:t>
      </w:r>
      <w:r>
        <w:rPr>
          <w:rFonts w:hint="eastAsia" w:ascii="宋体" w:hAnsi="宋体"/>
          <w:color w:val="auto"/>
          <w:szCs w:val="21"/>
          <w:highlight w:val="none"/>
        </w:rPr>
        <w:t>政府采购监督管理部门</w:t>
      </w:r>
      <w:r>
        <w:rPr>
          <w:rFonts w:hint="eastAsia" w:ascii="宋体" w:hAnsi="宋体" w:cs="宋体"/>
          <w:color w:val="auto"/>
          <w:szCs w:val="21"/>
          <w:highlight w:val="none"/>
          <w:lang w:eastAsia="zh-TW"/>
        </w:rPr>
        <w:t>对其中任何资料进行核实的要求。</w:t>
      </w:r>
    </w:p>
    <w:p>
      <w:pPr>
        <w:numPr>
          <w:ilvl w:val="1"/>
          <w:numId w:val="1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3" w:name="_Toc23174"/>
      <w:r>
        <w:rPr>
          <w:rFonts w:hint="eastAsia" w:ascii="宋体" w:hAnsi="宋体"/>
          <w:b/>
          <w:bCs/>
          <w:color w:val="auto"/>
          <w:szCs w:val="21"/>
          <w:highlight w:val="none"/>
        </w:rPr>
        <w:t>联合体投标</w:t>
      </w:r>
      <w:bookmarkEnd w:id="203"/>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14"/>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以联合体形式参加投标的，联合体各方均必须符合</w:t>
      </w:r>
      <w:r>
        <w:rPr>
          <w:rFonts w:hint="eastAsia" w:ascii="宋体" w:hAnsi="宋体"/>
          <w:bCs/>
          <w:color w:val="auto"/>
          <w:szCs w:val="20"/>
          <w:highlight w:val="none"/>
        </w:rPr>
        <w:t>《中华人民共和国政府采购法》第二十二条第（一）至（六）项规定。</w:t>
      </w:r>
    </w:p>
    <w:p>
      <w:pPr>
        <w:numPr>
          <w:ilvl w:val="2"/>
          <w:numId w:val="14"/>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pPr>
        <w:numPr>
          <w:ilvl w:val="2"/>
          <w:numId w:val="14"/>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14"/>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采购</w:t>
      </w:r>
      <w:r>
        <w:rPr>
          <w:rFonts w:ascii="宋体" w:hAnsi="宋体"/>
          <w:color w:val="auto"/>
          <w:szCs w:val="21"/>
          <w:highlight w:val="none"/>
        </w:rPr>
        <w:t>人签订合同。</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4" w:name="_Toc14020"/>
      <w:r>
        <w:rPr>
          <w:rFonts w:hint="eastAsia" w:ascii="宋体" w:hAnsi="宋体"/>
          <w:b/>
          <w:bCs/>
          <w:color w:val="auto"/>
          <w:szCs w:val="21"/>
          <w:highlight w:val="none"/>
        </w:rPr>
        <w:t>证明投标人合格和资格的文件</w:t>
      </w:r>
      <w:bookmarkEnd w:id="204"/>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w:t>
      </w:r>
      <w:r>
        <w:rPr>
          <w:rFonts w:hint="eastAsia" w:ascii="宋体" w:hAnsi="宋体"/>
          <w:color w:val="auto"/>
          <w:szCs w:val="21"/>
          <w:highlight w:val="none"/>
        </w:rPr>
        <w:t>联合</w:t>
      </w:r>
      <w:r>
        <w:rPr>
          <w:rFonts w:hint="eastAsia" w:ascii="宋体" w:hAnsi="宋体" w:cs="宋体"/>
          <w:color w:val="auto"/>
          <w:szCs w:val="21"/>
          <w:highlight w:val="none"/>
        </w:rPr>
        <w:t>投标协议</w:t>
      </w:r>
      <w:r>
        <w:rPr>
          <w:rFonts w:hint="eastAsia" w:ascii="宋体" w:hAnsi="宋体" w:cs="宋体"/>
          <w:color w:val="auto"/>
          <w:szCs w:val="21"/>
          <w:highlight w:val="none"/>
          <w:lang w:eastAsia="zh-TW"/>
        </w:rPr>
        <w:t>并注明</w:t>
      </w:r>
      <w:r>
        <w:rPr>
          <w:rFonts w:hint="eastAsia" w:ascii="宋体" w:hAnsi="宋体" w:cs="宋体"/>
          <w:color w:val="auto"/>
          <w:szCs w:val="21"/>
          <w:highlight w:val="none"/>
        </w:rPr>
        <w:t>主体方及各方拟承担的工作和责任。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5" w:name="_Toc17198"/>
      <w:r>
        <w:rPr>
          <w:rFonts w:ascii="宋体" w:hAnsi="宋体"/>
          <w:b/>
          <w:bCs/>
          <w:color w:val="auto"/>
          <w:szCs w:val="21"/>
          <w:highlight w:val="none"/>
        </w:rPr>
        <w:t>证明投标标的的合格性和符合招标文件规定的文件</w:t>
      </w:r>
      <w:bookmarkEnd w:id="205"/>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14"/>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6" w:name="_Toc30449"/>
      <w:r>
        <w:rPr>
          <w:rFonts w:hint="eastAsia" w:ascii="宋体" w:hAnsi="宋体"/>
          <w:b/>
          <w:bCs/>
          <w:color w:val="auto"/>
          <w:szCs w:val="21"/>
          <w:highlight w:val="none"/>
        </w:rPr>
        <w:t>投标保证金</w:t>
      </w:r>
      <w:bookmarkEnd w:id="206"/>
      <w:r>
        <w:rPr>
          <w:rFonts w:hint="eastAsia" w:ascii="宋体" w:hAnsi="宋体"/>
          <w:b/>
          <w:bCs/>
          <w:color w:val="auto"/>
          <w:szCs w:val="21"/>
          <w:highlight w:val="none"/>
        </w:rPr>
        <w:t>（本项目不适用）</w:t>
      </w:r>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的金</w:t>
      </w:r>
      <w:r>
        <w:rPr>
          <w:rFonts w:hint="eastAsia" w:ascii="宋体" w:hAnsi="宋体" w:cs="宋体"/>
          <w:color w:val="auto"/>
          <w:szCs w:val="21"/>
          <w:highlight w:val="none"/>
          <w:lang w:eastAsia="zh-TW"/>
        </w:rPr>
        <w:t>额</w:t>
      </w:r>
      <w:r>
        <w:rPr>
          <w:rFonts w:hint="eastAsia" w:ascii="宋体" w:hAnsi="宋体" w:cs="宋体"/>
          <w:color w:val="auto"/>
          <w:szCs w:val="21"/>
          <w:highlight w:val="none"/>
        </w:rPr>
        <w:t>和期限缴纳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投标人在投标截止时间前撤回已提交的投标文件的，采购人或者采购人应当自收到投标人书面撤回通知之日起5个工作日内，退还已收取的投标保证金，但因投标人自身原因导致无法及时退还的除外。</w:t>
      </w:r>
    </w:p>
    <w:p>
      <w:pPr>
        <w:numPr>
          <w:ilvl w:val="1"/>
          <w:numId w:val="14"/>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中标人的投标保证金，在中标人与采购人签订采购合同之日起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下列任一情况发生时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14"/>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14"/>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拒绝与采购人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14"/>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依法</w:t>
      </w:r>
      <w:r>
        <w:rPr>
          <w:rFonts w:hint="eastAsia" w:ascii="宋体" w:hAnsi="宋体" w:cs="宋体"/>
          <w:color w:val="auto"/>
          <w:szCs w:val="21"/>
          <w:highlight w:val="none"/>
        </w:rPr>
        <w:t>被认定中标无效</w:t>
      </w:r>
      <w:r>
        <w:rPr>
          <w:rFonts w:hint="eastAsia" w:ascii="宋体" w:hAnsi="宋体" w:cs="宋体"/>
          <w:color w:val="auto"/>
          <w:szCs w:val="21"/>
          <w:highlight w:val="none"/>
          <w:lang w:eastAsia="zh-TW"/>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7" w:name="_Toc23376"/>
      <w:r>
        <w:rPr>
          <w:rFonts w:hint="eastAsia" w:ascii="宋体" w:hAnsi="宋体"/>
          <w:b/>
          <w:bCs/>
          <w:color w:val="auto"/>
          <w:szCs w:val="21"/>
          <w:highlight w:val="none"/>
        </w:rPr>
        <w:t>投标有效期</w:t>
      </w:r>
      <w:bookmarkEnd w:id="207"/>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14"/>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采购人可要求投标人延长投标有效期。这种要求与答复均应以书面形式提交。投标人可拒绝采购人的这种要求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w:t>
      </w:r>
      <w:r>
        <w:rPr>
          <w:rFonts w:hint="eastAsia" w:ascii="宋体" w:hAnsi="宋体" w:cs="宋体"/>
          <w:color w:val="auto"/>
          <w:szCs w:val="21"/>
          <w:highlight w:val="none"/>
        </w:rPr>
        <w:t>不予退还</w:t>
      </w:r>
      <w:r>
        <w:rPr>
          <w:rFonts w:hint="eastAsia" w:ascii="宋体" w:hAnsi="宋体" w:cs="宋体"/>
          <w:color w:val="auto"/>
          <w:szCs w:val="21"/>
          <w:highlight w:val="none"/>
          <w:lang w:eastAsia="zh-TW"/>
        </w:rPr>
        <w:t>的规定将在延长了的有效期内继续有效。</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08" w:name="_Toc20270"/>
      <w:r>
        <w:rPr>
          <w:rFonts w:hint="eastAsia" w:ascii="宋体" w:hAnsi="宋体"/>
          <w:b/>
          <w:bCs/>
          <w:color w:val="auto"/>
          <w:szCs w:val="21"/>
          <w:highlight w:val="none"/>
        </w:rPr>
        <w:t>投标文件的式样和签署、密封</w:t>
      </w:r>
      <w:bookmarkEnd w:id="208"/>
    </w:p>
    <w:p>
      <w:pPr>
        <w:numPr>
          <w:ilvl w:val="1"/>
          <w:numId w:val="14"/>
        </w:numPr>
        <w:autoSpaceDE w:val="0"/>
        <w:autoSpaceDN w:val="0"/>
        <w:adjustRightInd w:val="0"/>
        <w:snapToGrid w:val="0"/>
        <w:spacing w:line="360" w:lineRule="auto"/>
        <w:rPr>
          <w:rFonts w:ascii="宋体" w:hAnsi="宋体" w:cs="黑体"/>
          <w:b/>
          <w:bCs/>
          <w:color w:val="auto"/>
          <w:szCs w:val="21"/>
          <w:highlight w:val="none"/>
        </w:rPr>
      </w:pPr>
      <w:bookmarkStart w:id="209" w:name="_Toc438223139"/>
      <w:bookmarkStart w:id="210" w:name="_Toc435174936"/>
      <w:bookmarkStart w:id="211" w:name="_Toc435516653"/>
      <w:r>
        <w:rPr>
          <w:rFonts w:hint="eastAsia" w:ascii="宋体" w:hAnsi="宋体" w:cs="宋体"/>
          <w:color w:val="auto"/>
          <w:szCs w:val="21"/>
          <w:highlight w:val="none"/>
          <w:lang w:eastAsia="zh-TW"/>
        </w:rPr>
        <w:t>投标文件的式样：投标人应准备</w:t>
      </w:r>
      <w:r>
        <w:rPr>
          <w:rFonts w:hint="eastAsia" w:ascii="宋体" w:hAnsi="宋体" w:cs="宋体"/>
          <w:color w:val="auto"/>
          <w:szCs w:val="21"/>
          <w:highlight w:val="none"/>
        </w:rPr>
        <w:t>纸质</w:t>
      </w:r>
      <w:r>
        <w:rPr>
          <w:rFonts w:hint="eastAsia" w:ascii="宋体" w:hAnsi="宋体" w:cs="宋体"/>
          <w:color w:val="auto"/>
          <w:szCs w:val="21"/>
          <w:highlight w:val="none"/>
          <w:lang w:eastAsia="zh-TW"/>
        </w:rPr>
        <w:t>投标文件一份正本</w:t>
      </w:r>
      <w:r>
        <w:rPr>
          <w:rFonts w:hint="eastAsia" w:ascii="宋体" w:hAnsi="宋体" w:cs="宋体"/>
          <w:color w:val="auto"/>
          <w:szCs w:val="21"/>
          <w:highlight w:val="none"/>
        </w:rPr>
        <w:t>、电子文件</w:t>
      </w:r>
      <w:r>
        <w:rPr>
          <w:rFonts w:hint="eastAsia" w:ascii="宋体" w:hAnsi="宋体" w:cs="宋体"/>
          <w:color w:val="auto"/>
          <w:szCs w:val="21"/>
          <w:highlight w:val="none"/>
          <w:lang w:eastAsia="zh-TW"/>
        </w:rPr>
        <w:t>和</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中规定数目的</w:t>
      </w:r>
      <w:r>
        <w:rPr>
          <w:rFonts w:hint="eastAsia" w:ascii="宋体" w:hAnsi="宋体" w:cs="宋体"/>
          <w:color w:val="auto"/>
          <w:szCs w:val="21"/>
          <w:highlight w:val="none"/>
        </w:rPr>
        <w:t>纸质</w:t>
      </w:r>
      <w:r>
        <w:rPr>
          <w:rFonts w:hint="eastAsia" w:ascii="宋体" w:hAnsi="宋体" w:cs="宋体"/>
          <w:color w:val="auto"/>
          <w:szCs w:val="21"/>
          <w:highlight w:val="none"/>
          <w:lang w:eastAsia="zh-TW"/>
        </w:rPr>
        <w:t>副本</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投标文件的副本可采用正本的复印件。每套投标文件须清楚地标明“正本”或</w:t>
      </w:r>
      <w:r>
        <w:rPr>
          <w:rFonts w:hint="eastAsia" w:ascii="宋体" w:hAnsi="宋体" w:cs="宋体"/>
          <w:color w:val="auto"/>
          <w:szCs w:val="21"/>
          <w:highlight w:val="none"/>
        </w:rPr>
        <w:t>“副</w:t>
      </w:r>
      <w:r>
        <w:rPr>
          <w:rFonts w:hint="eastAsia" w:ascii="宋体" w:hAnsi="宋体" w:cs="宋体"/>
          <w:color w:val="auto"/>
          <w:szCs w:val="21"/>
          <w:highlight w:val="none"/>
          <w:lang w:eastAsia="zh-TW"/>
        </w:rPr>
        <w:t>本</w:t>
      </w:r>
      <w:r>
        <w:rPr>
          <w:rFonts w:hint="eastAsia" w:ascii="宋体" w:hAnsi="宋体" w:cs="宋体"/>
          <w:color w:val="auto"/>
          <w:szCs w:val="21"/>
          <w:highlight w:val="none"/>
        </w:rPr>
        <w:t>”</w:t>
      </w:r>
      <w:r>
        <w:rPr>
          <w:rFonts w:hint="eastAsia" w:ascii="宋体" w:hAnsi="宋体" w:cs="宋体"/>
          <w:color w:val="auto"/>
          <w:szCs w:val="21"/>
          <w:highlight w:val="none"/>
          <w:lang w:eastAsia="zh-TW"/>
        </w:rPr>
        <w:t>。若副本与正本不符</w:t>
      </w:r>
      <w:r>
        <w:rPr>
          <w:rFonts w:hint="eastAsia" w:ascii="宋体" w:hAnsi="宋体" w:cs="宋体"/>
          <w:color w:val="auto"/>
          <w:szCs w:val="21"/>
          <w:highlight w:val="none"/>
        </w:rPr>
        <w:t>，</w:t>
      </w:r>
      <w:r>
        <w:rPr>
          <w:rFonts w:hint="eastAsia" w:ascii="宋体" w:hAnsi="宋体" w:cs="宋体"/>
          <w:color w:val="auto"/>
          <w:szCs w:val="21"/>
          <w:highlight w:val="none"/>
          <w:lang w:eastAsia="zh-TW"/>
        </w:rPr>
        <w:t>以正本为准。</w:t>
      </w:r>
    </w:p>
    <w:p>
      <w:pPr>
        <w:numPr>
          <w:ilvl w:val="1"/>
          <w:numId w:val="14"/>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电子文件：是指将按招标文件要求签署、盖章后的正本投标文件扫描成PDF格式后拷贝至无病毒无密码的U盘或光盘。电子文件与正本投标文件一同密封</w:t>
      </w:r>
      <w:r>
        <w:rPr>
          <w:rFonts w:hint="eastAsia" w:ascii="宋体" w:hAnsi="宋体" w:cs="宋体"/>
          <w:color w:val="auto"/>
          <w:szCs w:val="21"/>
          <w:highlight w:val="none"/>
        </w:rPr>
        <w:t>，若电子文件</w:t>
      </w:r>
      <w:r>
        <w:rPr>
          <w:rFonts w:hint="eastAsia" w:ascii="宋体" w:hAnsi="宋体" w:cs="宋体"/>
          <w:color w:val="auto"/>
          <w:szCs w:val="21"/>
          <w:highlight w:val="none"/>
          <w:lang w:eastAsia="zh-TW"/>
        </w:rPr>
        <w:t>与正本不符</w:t>
      </w:r>
      <w:r>
        <w:rPr>
          <w:rFonts w:hint="eastAsia" w:ascii="宋体" w:hAnsi="宋体" w:cs="宋体"/>
          <w:color w:val="auto"/>
          <w:szCs w:val="21"/>
          <w:highlight w:val="none"/>
        </w:rPr>
        <w:t>，</w:t>
      </w:r>
      <w:r>
        <w:rPr>
          <w:rFonts w:hint="eastAsia" w:ascii="宋体" w:hAnsi="宋体" w:cs="宋体"/>
          <w:color w:val="auto"/>
          <w:szCs w:val="21"/>
          <w:highlight w:val="none"/>
          <w:lang w:eastAsia="zh-TW"/>
        </w:rPr>
        <w:t>以正本为准</w:t>
      </w:r>
      <w:r>
        <w:rPr>
          <w:rFonts w:hint="eastAsia" w:ascii="宋体" w:hAnsi="宋体" w:cs="宋体"/>
          <w:color w:val="auto"/>
          <w:szCs w:val="21"/>
          <w:highlight w:val="none"/>
        </w:rPr>
        <w:t>。</w:t>
      </w:r>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投标文件的签署：</w:t>
      </w:r>
      <w:r>
        <w:rPr>
          <w:rFonts w:ascii="宋体" w:hAnsi="宋体" w:cs="黑体"/>
          <w:b/>
          <w:bCs/>
          <w:color w:val="auto"/>
          <w:szCs w:val="21"/>
          <w:highlight w:val="none"/>
        </w:rPr>
        <w:t xml:space="preserve"> </w:t>
      </w:r>
    </w:p>
    <w:p>
      <w:pPr>
        <w:numPr>
          <w:ilvl w:val="2"/>
          <w:numId w:val="14"/>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投标文件的正本需打印或用不褪色墨水书写</w:t>
      </w:r>
      <w:r>
        <w:rPr>
          <w:rFonts w:hint="eastAsia" w:ascii="宋体" w:hAnsi="宋体" w:cs="宋体"/>
          <w:color w:val="auto"/>
          <w:szCs w:val="21"/>
          <w:highlight w:val="none"/>
        </w:rPr>
        <w:t>，且招标文件要求签名的</w:t>
      </w:r>
      <w:r>
        <w:rPr>
          <w:rFonts w:hint="eastAsia" w:ascii="宋体" w:hAnsi="宋体" w:cs="宋体"/>
          <w:color w:val="auto"/>
          <w:szCs w:val="21"/>
          <w:highlight w:val="none"/>
          <w:lang w:eastAsia="zh-TW"/>
        </w:rPr>
        <w:t>由</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代表人或经其正式授权的代表签字</w:t>
      </w:r>
      <w:r>
        <w:rPr>
          <w:rFonts w:hint="eastAsia" w:ascii="宋体" w:hAnsi="宋体" w:cs="宋体"/>
          <w:color w:val="auto"/>
          <w:szCs w:val="21"/>
          <w:highlight w:val="none"/>
        </w:rPr>
        <w:t>或盖章</w:t>
      </w:r>
      <w:r>
        <w:rPr>
          <w:rFonts w:hint="eastAsia" w:ascii="宋体" w:hAnsi="宋体" w:cs="宋体"/>
          <w:color w:val="auto"/>
          <w:szCs w:val="21"/>
          <w:highlight w:val="none"/>
          <w:lang w:eastAsia="zh-TW"/>
        </w:rPr>
        <w:t>，以及招标文件中明示盖公章</w:t>
      </w:r>
      <w:r>
        <w:rPr>
          <w:rFonts w:hint="eastAsia" w:ascii="宋体" w:hAnsi="宋体" w:cs="宋体"/>
          <w:color w:val="auto"/>
          <w:szCs w:val="21"/>
          <w:highlight w:val="none"/>
        </w:rPr>
        <w:t>处</w:t>
      </w:r>
      <w:r>
        <w:rPr>
          <w:rFonts w:hint="eastAsia" w:ascii="宋体" w:hAnsi="宋体" w:cs="宋体"/>
          <w:color w:val="auto"/>
          <w:szCs w:val="21"/>
          <w:highlight w:val="none"/>
          <w:lang w:eastAsia="zh-TW"/>
        </w:rPr>
        <w:t>及</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提供的证明材料应盖投标人公章，</w:t>
      </w:r>
      <w:r>
        <w:rPr>
          <w:rFonts w:hint="eastAsia" w:ascii="宋体" w:hAnsi="宋体" w:cs="宋体"/>
          <w:color w:val="auto"/>
          <w:szCs w:val="21"/>
          <w:highlight w:val="none"/>
        </w:rPr>
        <w:t>副本可以</w:t>
      </w:r>
      <w:r>
        <w:rPr>
          <w:rFonts w:hint="eastAsia" w:ascii="宋体" w:hAnsi="宋体" w:cs="Courier New"/>
          <w:color w:val="auto"/>
          <w:highlight w:val="none"/>
        </w:rPr>
        <w:t>用正本</w:t>
      </w:r>
      <w:r>
        <w:rPr>
          <w:rFonts w:hint="eastAsia" w:ascii="宋体" w:hAnsi="宋体" w:cs="宋体"/>
          <w:color w:val="auto"/>
          <w:szCs w:val="21"/>
          <w:highlight w:val="none"/>
        </w:rPr>
        <w:t>复印，与正本具有同等法律效力</w:t>
      </w:r>
      <w:r>
        <w:rPr>
          <w:rFonts w:hint="eastAsia" w:ascii="宋体" w:hAnsi="宋体" w:cs="宋体"/>
          <w:color w:val="auto"/>
          <w:szCs w:val="21"/>
          <w:highlight w:val="none"/>
          <w:lang w:eastAsia="zh-TW"/>
        </w:rPr>
        <w:t>。授权代表须将以书面形式出具的《法定代表人授权</w:t>
      </w:r>
      <w:r>
        <w:rPr>
          <w:rFonts w:hint="eastAsia" w:ascii="宋体" w:hAnsi="宋体" w:cs="宋体"/>
          <w:color w:val="auto"/>
          <w:szCs w:val="21"/>
          <w:highlight w:val="none"/>
        </w:rPr>
        <w:t>委托</w:t>
      </w:r>
      <w:r>
        <w:rPr>
          <w:rFonts w:hint="eastAsia" w:ascii="宋体" w:hAnsi="宋体" w:cs="宋体"/>
          <w:color w:val="auto"/>
          <w:szCs w:val="21"/>
          <w:highlight w:val="none"/>
          <w:lang w:eastAsia="zh-TW"/>
        </w:rPr>
        <w:t>书》附在</w:t>
      </w:r>
      <w:r>
        <w:rPr>
          <w:rFonts w:hint="eastAsia" w:ascii="宋体" w:hAnsi="宋体" w:cs="宋体"/>
          <w:color w:val="auto"/>
          <w:szCs w:val="21"/>
          <w:highlight w:val="none"/>
        </w:rPr>
        <w:t>投</w:t>
      </w:r>
      <w:r>
        <w:rPr>
          <w:rFonts w:hint="eastAsia" w:ascii="宋体" w:hAnsi="宋体" w:cs="宋体"/>
          <w:color w:val="auto"/>
          <w:szCs w:val="21"/>
          <w:highlight w:val="none"/>
          <w:lang w:eastAsia="zh-TW"/>
        </w:rPr>
        <w:t>标文件中。</w:t>
      </w:r>
    </w:p>
    <w:p>
      <w:pPr>
        <w:numPr>
          <w:ilvl w:val="2"/>
          <w:numId w:val="14"/>
        </w:numPr>
        <w:tabs>
          <w:tab w:val="left" w:pos="851"/>
        </w:tabs>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投标文件中的任何重要的插字、涂改和增删，必须由法定代表人或经其正式授权的代表在旁边签章或签字</w:t>
      </w:r>
      <w:r>
        <w:rPr>
          <w:rFonts w:hint="eastAsia" w:ascii="宋体" w:hAnsi="宋体"/>
          <w:color w:val="auto"/>
          <w:highlight w:val="none"/>
        </w:rPr>
        <w:t>或盖投标人公章</w:t>
      </w:r>
      <w:r>
        <w:rPr>
          <w:rFonts w:hint="eastAsia" w:ascii="宋体" w:hAnsi="宋体" w:cs="宋体"/>
          <w:color w:val="auto"/>
          <w:szCs w:val="21"/>
          <w:highlight w:val="none"/>
          <w:lang w:eastAsia="zh-TW"/>
        </w:rPr>
        <w:t>才有效。</w:t>
      </w:r>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color w:val="auto"/>
          <w:szCs w:val="21"/>
          <w:highlight w:val="none"/>
          <w:lang w:eastAsia="zh-TW"/>
        </w:rPr>
        <w:t>：</w:t>
      </w:r>
    </w:p>
    <w:p>
      <w:pPr>
        <w:numPr>
          <w:ilvl w:val="2"/>
          <w:numId w:val="14"/>
        </w:numPr>
        <w:tabs>
          <w:tab w:val="left" w:pos="851"/>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highlight w:val="none"/>
        </w:rPr>
        <w:t>信封或外包装上应当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w:t>
      </w:r>
      <w:r>
        <w:rPr>
          <w:rFonts w:hint="eastAsia" w:ascii="宋体" w:hAnsi="宋体" w:cs="宋体"/>
          <w:color w:val="auto"/>
          <w:szCs w:val="21"/>
          <w:highlight w:val="none"/>
          <w:lang w:eastAsia="zh-TW"/>
        </w:rPr>
        <w:t>和</w:t>
      </w:r>
      <w:r>
        <w:rPr>
          <w:rFonts w:hint="eastAsia" w:ascii="宋体" w:hAnsi="宋体"/>
          <w:color w:val="auto"/>
          <w:szCs w:val="21"/>
          <w:highlight w:val="none"/>
        </w:rPr>
        <w:t>“</w:t>
      </w:r>
      <w:r>
        <w:rPr>
          <w:rFonts w:hint="eastAsia" w:ascii="宋体" w:hAnsi="宋体" w:cs="宋体"/>
          <w:color w:val="auto"/>
          <w:szCs w:val="21"/>
          <w:highlight w:val="none"/>
          <w:lang w:eastAsia="zh-TW"/>
        </w:rPr>
        <w:t>在</w:t>
      </w:r>
      <w:r>
        <w:rPr>
          <w:rFonts w:hint="eastAsia" w:ascii="宋体" w:hAnsi="宋体" w:cs="宋体"/>
          <w:color w:val="auto"/>
          <w:szCs w:val="21"/>
          <w:highlight w:val="none"/>
        </w:rPr>
        <w:t>（招标文件中规定的开标日期和时间）之前不得启封”的</w:t>
      </w:r>
      <w:r>
        <w:rPr>
          <w:rFonts w:hint="eastAsia" w:ascii="宋体" w:hAnsi="宋体" w:cs="宋体"/>
          <w:color w:val="auto"/>
          <w:szCs w:val="21"/>
          <w:highlight w:val="none"/>
          <w:lang w:eastAsia="zh-TW"/>
        </w:rPr>
        <w:t>字样。</w:t>
      </w:r>
    </w:p>
    <w:p>
      <w:pPr>
        <w:numPr>
          <w:ilvl w:val="2"/>
          <w:numId w:val="14"/>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采购人对误投或提前启封概不负责</w:t>
      </w:r>
      <w:r>
        <w:rPr>
          <w:rFonts w:hint="eastAsia" w:ascii="宋体" w:hAnsi="宋体" w:cs="宋体"/>
          <w:color w:val="auto"/>
          <w:szCs w:val="21"/>
          <w:highlight w:val="none"/>
        </w:rPr>
        <w:t>。</w:t>
      </w:r>
    </w:p>
    <w:p>
      <w:pPr>
        <w:pStyle w:val="5"/>
        <w:numPr>
          <w:ilvl w:val="0"/>
          <w:numId w:val="13"/>
        </w:numPr>
        <w:spacing w:line="240" w:lineRule="auto"/>
        <w:jc w:val="center"/>
        <w:rPr>
          <w:rFonts w:asciiTheme="majorEastAsia" w:hAnsiTheme="majorEastAsia" w:eastAsiaTheme="majorEastAsia"/>
          <w:color w:val="auto"/>
          <w:sz w:val="30"/>
          <w:szCs w:val="30"/>
          <w:highlight w:val="none"/>
          <w:lang w:eastAsia="zh-TW"/>
        </w:rPr>
      </w:pPr>
      <w:bookmarkStart w:id="212" w:name="_Toc28883"/>
      <w:bookmarkStart w:id="213" w:name="_Toc26311"/>
      <w:r>
        <w:rPr>
          <w:rFonts w:hint="eastAsia" w:asciiTheme="majorEastAsia" w:hAnsiTheme="majorEastAsia" w:eastAsiaTheme="majorEastAsia"/>
          <w:color w:val="auto"/>
          <w:sz w:val="30"/>
          <w:szCs w:val="30"/>
          <w:highlight w:val="none"/>
          <w:lang w:eastAsia="zh-TW"/>
        </w:rPr>
        <w:t>投标文件的递交</w:t>
      </w:r>
      <w:bookmarkEnd w:id="209"/>
      <w:bookmarkEnd w:id="210"/>
      <w:bookmarkEnd w:id="211"/>
      <w:bookmarkEnd w:id="212"/>
      <w:bookmarkEnd w:id="213"/>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4" w:name="_Toc13202"/>
      <w:r>
        <w:rPr>
          <w:rFonts w:hint="eastAsia" w:ascii="宋体" w:hAnsi="宋体"/>
          <w:b/>
          <w:bCs/>
          <w:color w:val="auto"/>
          <w:szCs w:val="21"/>
          <w:highlight w:val="none"/>
        </w:rPr>
        <w:t>投标文件递交</w:t>
      </w:r>
      <w:bookmarkEnd w:id="214"/>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本项目投标截止时间前送达开标地点。</w:t>
      </w:r>
    </w:p>
    <w:p>
      <w:pPr>
        <w:numPr>
          <w:ilvl w:val="1"/>
          <w:numId w:val="14"/>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逾期送达或者未按照招标文件要求密封的投标文件，采购人应当拒收。</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5" w:name="_Toc22017"/>
      <w:r>
        <w:rPr>
          <w:rFonts w:hint="eastAsia" w:ascii="宋体" w:hAnsi="宋体"/>
          <w:b/>
          <w:bCs/>
          <w:color w:val="auto"/>
          <w:szCs w:val="21"/>
          <w:highlight w:val="none"/>
        </w:rPr>
        <w:t>投标文件的修改和撤回、撤销</w:t>
      </w:r>
      <w:bookmarkEnd w:id="215"/>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采购人。补充、修改的内容应当按招标文件要求签署、盖章、密封后，并作为投标文件的组成部分。在投标截止时间之后，投标人不得对其投标文件做任何修改和补充。</w:t>
      </w:r>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bCs/>
          <w:color w:val="auto"/>
          <w:highlight w:val="none"/>
        </w:rPr>
        <w:t>投标人在投标截止后或在招标文件中规定的投标有效期内不可撤销其投标。否则，不予退还其投标保证金。</w:t>
      </w:r>
    </w:p>
    <w:p>
      <w:pPr>
        <w:numPr>
          <w:ilvl w:val="1"/>
          <w:numId w:val="14"/>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投标人所提交的投标文件在本项目投标截止时间后均不予退还。</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6" w:name="_Toc18853"/>
      <w:r>
        <w:rPr>
          <w:rFonts w:hint="eastAsia" w:ascii="宋体" w:hAnsi="宋体"/>
          <w:b/>
          <w:bCs/>
          <w:color w:val="auto"/>
          <w:szCs w:val="21"/>
          <w:highlight w:val="none"/>
        </w:rPr>
        <w:t>质疑</w:t>
      </w:r>
      <w:bookmarkEnd w:id="216"/>
    </w:p>
    <w:p>
      <w:pPr>
        <w:numPr>
          <w:ilvl w:val="1"/>
          <w:numId w:val="14"/>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14"/>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14"/>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供应商认为采购文件的内容损害其权益的，应在采购文件公布之日起七个工作日内。</w:t>
      </w:r>
    </w:p>
    <w:p>
      <w:pPr>
        <w:numPr>
          <w:ilvl w:val="3"/>
          <w:numId w:val="14"/>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供应商认为采购过程损害其权益的，应在各采购程序环节结束之日起七个工作日内。</w:t>
      </w:r>
    </w:p>
    <w:p>
      <w:pPr>
        <w:numPr>
          <w:ilvl w:val="3"/>
          <w:numId w:val="14"/>
        </w:numPr>
        <w:tabs>
          <w:tab w:val="left" w:pos="1078"/>
        </w:tabs>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供应商认为中标或者成交结果以及评审委员会、谈判小组、竞价小组组成人员损害其权益的，应在中标或者成交结果公示之日起七个工作日内。</w:t>
      </w:r>
    </w:p>
    <w:p>
      <w:pPr>
        <w:numPr>
          <w:ilvl w:val="2"/>
          <w:numId w:val="14"/>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14"/>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以书面形式向采购人</w:t>
      </w:r>
      <w:r>
        <w:rPr>
          <w:rFonts w:hint="eastAsia" w:ascii="宋体" w:hAnsi="宋体" w:cs="宋体"/>
          <w:color w:val="auto"/>
          <w:szCs w:val="21"/>
          <w:highlight w:val="none"/>
        </w:rPr>
        <w:t>一次性提出针对同一采购程序环节的</w:t>
      </w:r>
      <w:r>
        <w:rPr>
          <w:rFonts w:hint="eastAsia" w:ascii="宋体" w:hAnsi="宋体" w:cs="黑体"/>
          <w:bCs/>
          <w:color w:val="auto"/>
          <w:szCs w:val="21"/>
          <w:highlight w:val="none"/>
        </w:rPr>
        <w:t>质疑。</w:t>
      </w:r>
    </w:p>
    <w:p>
      <w:pPr>
        <w:numPr>
          <w:ilvl w:val="3"/>
          <w:numId w:val="14"/>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以联合体形式参加政府采购活动的，其质疑应当由组成联合体的所有供应商共同提出。</w:t>
      </w:r>
    </w:p>
    <w:p>
      <w:pPr>
        <w:numPr>
          <w:ilvl w:val="3"/>
          <w:numId w:val="14"/>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3"/>
          <w:numId w:val="14"/>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14"/>
        </w:numPr>
        <w:tabs>
          <w:tab w:val="left" w:pos="1134"/>
        </w:tabs>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olor w:val="auto"/>
          <w:szCs w:val="21"/>
          <w:highlight w:val="none"/>
        </w:rPr>
        <w:tab/>
      </w:r>
      <w:r>
        <w:rPr>
          <w:rFonts w:hint="eastAsia" w:ascii="宋体" w:hAnsi="宋体" w:cs="宋体"/>
          <w:color w:val="auto"/>
          <w:szCs w:val="21"/>
          <w:highlight w:val="none"/>
          <w:lang w:eastAsia="zh-TW"/>
        </w:rPr>
        <w:t>采购人</w:t>
      </w:r>
      <w:r>
        <w:rPr>
          <w:rFonts w:hint="eastAsia" w:ascii="宋体" w:hAnsi="宋体"/>
          <w:color w:val="auto"/>
          <w:szCs w:val="21"/>
          <w:highlight w:val="none"/>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14"/>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hAnsi="宋体"/>
          <w:snapToGrid w:val="0"/>
          <w:color w:val="auto"/>
          <w:szCs w:val="21"/>
          <w:highlight w:val="none"/>
        </w:rPr>
        <w:t>采购人接收以书面形式递交的质疑函，接收质疑函的联系人、联系方式和通讯地址详见</w:t>
      </w:r>
      <w:bookmarkStart w:id="217" w:name="_Hlk57971227"/>
      <w:r>
        <w:rPr>
          <w:rFonts w:hint="eastAsia" w:hAnsi="宋体"/>
          <w:b/>
          <w:bCs/>
          <w:snapToGrid w:val="0"/>
          <w:color w:val="auto"/>
          <w:szCs w:val="21"/>
          <w:highlight w:val="none"/>
        </w:rPr>
        <w:t>第二章 投标资料表</w:t>
      </w:r>
      <w:bookmarkEnd w:id="217"/>
      <w:r>
        <w:rPr>
          <w:rFonts w:hint="eastAsia" w:ascii="宋体" w:hAnsi="宋体"/>
          <w:color w:val="auto"/>
          <w:szCs w:val="21"/>
          <w:highlight w:val="none"/>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18" w:name="_Toc19729"/>
      <w:r>
        <w:rPr>
          <w:rFonts w:hint="eastAsia" w:ascii="宋体" w:hAnsi="宋体"/>
          <w:b/>
          <w:bCs/>
          <w:color w:val="auto"/>
          <w:szCs w:val="21"/>
          <w:highlight w:val="none"/>
        </w:rPr>
        <w:t>中标通知书</w:t>
      </w:r>
      <w:bookmarkEnd w:id="218"/>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采购人将在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上发布中标公告，并向中标人发出《中标通知书》，向采购人及未中标人发出《招标结果通知书》，《中标通知书》对中标人和采购人具有同等法律效力。</w:t>
      </w:r>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pStyle w:val="5"/>
        <w:numPr>
          <w:ilvl w:val="0"/>
          <w:numId w:val="13"/>
        </w:numPr>
        <w:spacing w:line="240" w:lineRule="auto"/>
        <w:jc w:val="center"/>
        <w:rPr>
          <w:rFonts w:asciiTheme="majorEastAsia" w:hAnsiTheme="majorEastAsia" w:eastAsiaTheme="majorEastAsia"/>
          <w:color w:val="auto"/>
          <w:sz w:val="30"/>
          <w:szCs w:val="30"/>
          <w:highlight w:val="none"/>
          <w:lang w:eastAsia="zh-TW"/>
        </w:rPr>
      </w:pPr>
      <w:bookmarkStart w:id="219" w:name="_Toc438223141"/>
      <w:bookmarkStart w:id="220" w:name="_Toc6704"/>
      <w:bookmarkStart w:id="221" w:name="_Toc435516655"/>
      <w:bookmarkStart w:id="222" w:name="_Toc10987"/>
      <w:bookmarkStart w:id="223" w:name="_Toc435174938"/>
      <w:r>
        <w:rPr>
          <w:rFonts w:hint="eastAsia" w:asciiTheme="majorEastAsia" w:hAnsiTheme="majorEastAsia" w:eastAsiaTheme="majorEastAsia"/>
          <w:color w:val="auto"/>
          <w:sz w:val="30"/>
          <w:szCs w:val="30"/>
          <w:highlight w:val="none"/>
          <w:lang w:eastAsia="zh-TW"/>
        </w:rPr>
        <w:t>授予合同</w:t>
      </w:r>
      <w:bookmarkEnd w:id="219"/>
      <w:bookmarkEnd w:id="220"/>
      <w:bookmarkEnd w:id="221"/>
      <w:bookmarkEnd w:id="222"/>
      <w:bookmarkEnd w:id="223"/>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4" w:name="_Toc5467"/>
      <w:r>
        <w:rPr>
          <w:rFonts w:hint="eastAsia" w:ascii="宋体" w:hAnsi="宋体"/>
          <w:b/>
          <w:bCs/>
          <w:color w:val="auto"/>
          <w:szCs w:val="21"/>
          <w:highlight w:val="none"/>
        </w:rPr>
        <w:t>合同的订立</w:t>
      </w:r>
      <w:bookmarkEnd w:id="224"/>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采购人应当自中标通知书发出之日起</w:t>
      </w:r>
      <w:r>
        <w:rPr>
          <w:rFonts w:hint="eastAsia" w:ascii="宋体" w:hAnsi="宋体" w:cs="宋体"/>
          <w:color w:val="auto"/>
          <w:szCs w:val="21"/>
          <w:highlight w:val="none"/>
        </w:rPr>
        <w:t>30</w:t>
      </w:r>
      <w:r>
        <w:rPr>
          <w:rFonts w:hint="eastAsia" w:ascii="宋体" w:hAnsi="宋体" w:cs="宋体"/>
          <w:color w:val="auto"/>
          <w:szCs w:val="21"/>
          <w:highlight w:val="none"/>
          <w:lang w:eastAsia="zh-TW"/>
        </w:rPr>
        <w:t>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1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采购人</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5" w:name="_Toc560"/>
      <w:r>
        <w:rPr>
          <w:rFonts w:hint="eastAsia" w:ascii="宋体" w:hAnsi="宋体"/>
          <w:b/>
          <w:bCs/>
          <w:color w:val="auto"/>
          <w:szCs w:val="21"/>
          <w:highlight w:val="none"/>
        </w:rPr>
        <w:t>合同的履行</w:t>
      </w:r>
      <w:bookmarkEnd w:id="225"/>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6" w:name="_Toc20193"/>
      <w:r>
        <w:rPr>
          <w:rFonts w:hint="eastAsia" w:ascii="宋体" w:hAnsi="宋体"/>
          <w:b/>
          <w:bCs/>
          <w:color w:val="auto"/>
          <w:szCs w:val="21"/>
          <w:highlight w:val="none"/>
        </w:rPr>
        <w:t>履约保证金</w:t>
      </w:r>
      <w:bookmarkEnd w:id="226"/>
    </w:p>
    <w:p>
      <w:pPr>
        <w:numPr>
          <w:ilvl w:val="1"/>
          <w:numId w:val="14"/>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中标人应按照</w:t>
      </w:r>
      <w:r>
        <w:rPr>
          <w:rFonts w:hint="eastAsia" w:ascii="宋体" w:hAnsi="宋体" w:cs="宋体"/>
          <w:b/>
          <w:color w:val="auto"/>
          <w:szCs w:val="21"/>
          <w:highlight w:val="none"/>
        </w:rPr>
        <w:t>投标资料表</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金额，</w:t>
      </w:r>
      <w:r>
        <w:rPr>
          <w:rFonts w:hint="eastAsia" w:ascii="宋体" w:hAnsi="宋体" w:cs="宋体"/>
          <w:color w:val="auto"/>
          <w:szCs w:val="21"/>
          <w:highlight w:val="none"/>
          <w:lang w:eastAsia="zh-TW"/>
        </w:rPr>
        <w:t>采用招标文件中提供的履约保证金保函格式或采购人可以接受的其他形式向采购人提交履约保证金。</w:t>
      </w:r>
    </w:p>
    <w:p>
      <w:pPr>
        <w:numPr>
          <w:ilvl w:val="0"/>
          <w:numId w:val="14"/>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bookmarkStart w:id="227" w:name="_Toc25777"/>
      <w:r>
        <w:rPr>
          <w:rFonts w:hint="eastAsia" w:ascii="宋体" w:hAnsi="宋体"/>
          <w:b/>
          <w:bCs/>
          <w:color w:val="auto"/>
          <w:szCs w:val="21"/>
          <w:highlight w:val="none"/>
        </w:rPr>
        <w:t>采购代理服务费</w:t>
      </w:r>
      <w:bookmarkEnd w:id="227"/>
    </w:p>
    <w:p>
      <w:pPr>
        <w:numPr>
          <w:ilvl w:val="1"/>
          <w:numId w:val="1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采购代理机构向</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人收取招标代理服务费。</w:t>
      </w:r>
    </w:p>
    <w:sectPr>
      <w:headerReference r:id="rId5"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ExtB"/>
    <w:panose1 w:val="02020502050306020203"/>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fldChar w:fldCharType="begin"/>
    </w:r>
    <w:r>
      <w:rPr>
        <w:rStyle w:val="41"/>
      </w:rPr>
      <w:instrText xml:space="preserve"> PAGE </w:instrText>
    </w:r>
    <w:r>
      <w:fldChar w:fldCharType="separate"/>
    </w:r>
    <w:r>
      <w:rPr>
        <w:rStyle w:val="41"/>
      </w:rPr>
      <w:t>3</w:t>
    </w:r>
    <w:r>
      <w:fldChar w:fldCharType="end"/>
    </w:r>
    <w:r>
      <w:rPr>
        <w:rStyle w:val="41"/>
        <w:rFonts w:hint="eastAsia"/>
      </w:rPr>
      <w:t>页，共</w:t>
    </w:r>
    <w:r>
      <w:fldChar w:fldCharType="begin"/>
    </w:r>
    <w:r>
      <w:rPr>
        <w:rStyle w:val="41"/>
      </w:rPr>
      <w:instrText xml:space="preserve"> NUMPAGES </w:instrText>
    </w:r>
    <w:r>
      <w:fldChar w:fldCharType="separate"/>
    </w:r>
    <w:r>
      <w:rPr>
        <w:rStyle w:val="41"/>
      </w:rPr>
      <w:t>40</w:t>
    </w:r>
    <w:r>
      <w:fldChar w:fldCharType="end"/>
    </w:r>
    <w:r>
      <w:rPr>
        <w:rStyle w:val="41"/>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hint="eastAsia" w:ascii="宋体" w:hAnsi="宋体" w:eastAsia="宋体"/>
        <w:highlight w:val="none"/>
        <w:lang w:eastAsia="zh-CN"/>
      </w:rPr>
    </w:pPr>
    <w:r>
      <w:rPr>
        <w:rFonts w:hint="eastAsia" w:ascii="宋体" w:hAnsi="宋体"/>
      </w:rPr>
      <w:t xml:space="preserve">                        </w:t>
    </w:r>
    <w:r>
      <w:rPr>
        <w:rFonts w:hint="eastAsia" w:ascii="宋体" w:hAnsi="宋体"/>
        <w:highlight w:val="none"/>
      </w:rPr>
      <w:t xml:space="preserve">   </w:t>
    </w:r>
    <w:r>
      <w:rPr>
        <w:rFonts w:hint="eastAsia" w:ascii="宋体"/>
        <w:bCs/>
        <w:szCs w:val="20"/>
        <w:highlight w:val="none"/>
      </w:rPr>
      <w:t>项目编号：</w:t>
    </w:r>
    <w:r>
      <w:rPr>
        <w:rFonts w:hint="eastAsia" w:ascii="宋体" w:hAnsi="宋体" w:cs="宋体"/>
        <w:bCs/>
        <w:szCs w:val="20"/>
        <w:highlight w:val="none"/>
        <w:lang w:eastAsia="zh-CN"/>
      </w:rPr>
      <w:t>NSSHJD202505</w:t>
    </w:r>
    <w:r>
      <w:rPr>
        <w:rFonts w:hint="eastAsia" w:ascii="宋体" w:hAnsi="宋体" w:cs="宋体"/>
        <w:bCs/>
        <w:szCs w:val="20"/>
        <w:highlight w:val="none"/>
        <w:lang w:val="en-US" w:eastAsia="zh-CN"/>
      </w:rPr>
      <w:t>21</w:t>
    </w:r>
    <w:r>
      <w:rPr>
        <w:rFonts w:hint="eastAsia" w:ascii="宋体" w:hAnsi="宋体" w:cs="宋体"/>
        <w:bCs/>
        <w:szCs w:val="20"/>
        <w:highlight w:val="none"/>
        <w:lang w:eastAsia="zh-CN"/>
      </w:rPr>
      <w:t>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hint="eastAsia" w:ascii="宋体" w:hAnsi="宋体" w:eastAsia="宋体"/>
        <w:lang w:eastAsia="zh-CN"/>
      </w:rPr>
    </w:pPr>
    <w:r>
      <w:rPr>
        <w:rFonts w:hint="eastAsia" w:ascii="宋体"/>
        <w:bCs/>
        <w:szCs w:val="20"/>
      </w:rPr>
      <w:t>项目编号：</w:t>
    </w:r>
    <w:r>
      <w:rPr>
        <w:rFonts w:hint="eastAsia" w:ascii="宋体" w:hAnsi="宋体" w:cs="宋体"/>
        <w:bCs/>
        <w:szCs w:val="20"/>
        <w:lang w:eastAsia="zh-CN"/>
      </w:rPr>
      <w:t>NSSHJD20250514001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4019CA"/>
    <w:multiLevelType w:val="multilevel"/>
    <w:tmpl w:val="2E4019C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01719F"/>
    <w:multiLevelType w:val="multilevel"/>
    <w:tmpl w:val="4501719F"/>
    <w:lvl w:ilvl="0" w:tentative="0">
      <w:start w:val="1"/>
      <w:numFmt w:val="decimal"/>
      <w:lvlText w:val="%1."/>
      <w:lvlJc w:val="left"/>
      <w:pPr>
        <w:tabs>
          <w:tab w:val="left" w:pos="420"/>
        </w:tabs>
        <w:ind w:left="420" w:hanging="420"/>
      </w:pPr>
      <w:rPr>
        <w:rFonts w:asciiTheme="minorEastAsia" w:hAnsiTheme="minorEastAsia" w:eastAsiaTheme="minorEastAsia"/>
        <w:b/>
        <w:bCs/>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5">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16415CE"/>
    <w:multiLevelType w:val="multilevel"/>
    <w:tmpl w:val="616415CE"/>
    <w:lvl w:ilvl="0" w:tentative="0">
      <w:start w:val="1"/>
      <w:numFmt w:val="decimal"/>
      <w:lvlText w:val="%1."/>
      <w:lvlJc w:val="left"/>
      <w:pPr>
        <w:ind w:left="425" w:hanging="425"/>
      </w:pPr>
    </w:lvl>
    <w:lvl w:ilvl="1" w:tentative="0">
      <w:start w:val="1"/>
      <w:numFmt w:val="decimal"/>
      <w:lvlText w:val="%1.%2."/>
      <w:lvlJc w:val="left"/>
      <w:pPr>
        <w:ind w:left="567" w:hanging="567"/>
      </w:pPr>
      <w:rPr>
        <w:b w:val="0"/>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6E6F6101"/>
    <w:multiLevelType w:val="multilevel"/>
    <w:tmpl w:val="6E6F610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EB7F65"/>
    <w:multiLevelType w:val="multilevel"/>
    <w:tmpl w:val="6EEB7F65"/>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5"/>
  </w:num>
  <w:num w:numId="4">
    <w:abstractNumId w:val="3"/>
  </w:num>
  <w:num w:numId="5">
    <w:abstractNumId w:val="13"/>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4"/>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jNjOGQ3OGFmZGI2ZDg3OWJlNDJlMzUxZDRjMDUifQ=="/>
  </w:docVars>
  <w:rsids>
    <w:rsidRoot w:val="0092721E"/>
    <w:rsid w:val="00001700"/>
    <w:rsid w:val="00001ADA"/>
    <w:rsid w:val="00002DD8"/>
    <w:rsid w:val="0000783A"/>
    <w:rsid w:val="00010219"/>
    <w:rsid w:val="00011524"/>
    <w:rsid w:val="00015A07"/>
    <w:rsid w:val="00021301"/>
    <w:rsid w:val="0002510B"/>
    <w:rsid w:val="0002533E"/>
    <w:rsid w:val="00027156"/>
    <w:rsid w:val="00027507"/>
    <w:rsid w:val="000320C2"/>
    <w:rsid w:val="000336C8"/>
    <w:rsid w:val="0003409E"/>
    <w:rsid w:val="000358D2"/>
    <w:rsid w:val="000360DD"/>
    <w:rsid w:val="000362CD"/>
    <w:rsid w:val="0003715C"/>
    <w:rsid w:val="00042776"/>
    <w:rsid w:val="00042CF9"/>
    <w:rsid w:val="00045787"/>
    <w:rsid w:val="00051B2A"/>
    <w:rsid w:val="00052F73"/>
    <w:rsid w:val="00054202"/>
    <w:rsid w:val="00055562"/>
    <w:rsid w:val="00056807"/>
    <w:rsid w:val="000608FC"/>
    <w:rsid w:val="0006314C"/>
    <w:rsid w:val="00063D2C"/>
    <w:rsid w:val="00075810"/>
    <w:rsid w:val="00080811"/>
    <w:rsid w:val="000808FD"/>
    <w:rsid w:val="00081CA0"/>
    <w:rsid w:val="00083B4B"/>
    <w:rsid w:val="00084660"/>
    <w:rsid w:val="00084BCA"/>
    <w:rsid w:val="00085C34"/>
    <w:rsid w:val="000860F1"/>
    <w:rsid w:val="00086188"/>
    <w:rsid w:val="000902F5"/>
    <w:rsid w:val="0009106B"/>
    <w:rsid w:val="0009174E"/>
    <w:rsid w:val="00091C48"/>
    <w:rsid w:val="000922CA"/>
    <w:rsid w:val="0009795D"/>
    <w:rsid w:val="000A13E7"/>
    <w:rsid w:val="000A458C"/>
    <w:rsid w:val="000A5671"/>
    <w:rsid w:val="000A6DE6"/>
    <w:rsid w:val="000B0204"/>
    <w:rsid w:val="000B4393"/>
    <w:rsid w:val="000C1E87"/>
    <w:rsid w:val="000C6BE9"/>
    <w:rsid w:val="000D0262"/>
    <w:rsid w:val="000D0396"/>
    <w:rsid w:val="000D0AD6"/>
    <w:rsid w:val="000D0EC5"/>
    <w:rsid w:val="000D161C"/>
    <w:rsid w:val="000D1F76"/>
    <w:rsid w:val="000D2D47"/>
    <w:rsid w:val="000D32D1"/>
    <w:rsid w:val="000D4DC8"/>
    <w:rsid w:val="000D56F8"/>
    <w:rsid w:val="000D6897"/>
    <w:rsid w:val="000D6E79"/>
    <w:rsid w:val="000D74BE"/>
    <w:rsid w:val="000E171F"/>
    <w:rsid w:val="000E26C3"/>
    <w:rsid w:val="000E35B4"/>
    <w:rsid w:val="000E735D"/>
    <w:rsid w:val="000F018F"/>
    <w:rsid w:val="000F0687"/>
    <w:rsid w:val="000F2249"/>
    <w:rsid w:val="000F2A7D"/>
    <w:rsid w:val="000F5D87"/>
    <w:rsid w:val="001051C9"/>
    <w:rsid w:val="0010648E"/>
    <w:rsid w:val="001066F5"/>
    <w:rsid w:val="00107D78"/>
    <w:rsid w:val="001101AF"/>
    <w:rsid w:val="00111F67"/>
    <w:rsid w:val="001177E7"/>
    <w:rsid w:val="00117E87"/>
    <w:rsid w:val="00125DB1"/>
    <w:rsid w:val="0012713F"/>
    <w:rsid w:val="0013147A"/>
    <w:rsid w:val="0013238D"/>
    <w:rsid w:val="00132434"/>
    <w:rsid w:val="0013496E"/>
    <w:rsid w:val="0013792D"/>
    <w:rsid w:val="001408BB"/>
    <w:rsid w:val="001434A5"/>
    <w:rsid w:val="00143653"/>
    <w:rsid w:val="001465F6"/>
    <w:rsid w:val="00152A9F"/>
    <w:rsid w:val="00153301"/>
    <w:rsid w:val="00153B9E"/>
    <w:rsid w:val="001542F6"/>
    <w:rsid w:val="00154590"/>
    <w:rsid w:val="001548AD"/>
    <w:rsid w:val="00155CDD"/>
    <w:rsid w:val="00157F06"/>
    <w:rsid w:val="00160030"/>
    <w:rsid w:val="00162ABC"/>
    <w:rsid w:val="001632B3"/>
    <w:rsid w:val="00170D22"/>
    <w:rsid w:val="00175B9F"/>
    <w:rsid w:val="001836B6"/>
    <w:rsid w:val="0019030F"/>
    <w:rsid w:val="00190B48"/>
    <w:rsid w:val="00191023"/>
    <w:rsid w:val="00195DF5"/>
    <w:rsid w:val="001A1DD8"/>
    <w:rsid w:val="001A50AA"/>
    <w:rsid w:val="001A580A"/>
    <w:rsid w:val="001A616C"/>
    <w:rsid w:val="001A6511"/>
    <w:rsid w:val="001A7C1E"/>
    <w:rsid w:val="001B0E95"/>
    <w:rsid w:val="001B148E"/>
    <w:rsid w:val="001B2082"/>
    <w:rsid w:val="001B4FC6"/>
    <w:rsid w:val="001B5E1E"/>
    <w:rsid w:val="001B60F2"/>
    <w:rsid w:val="001B6492"/>
    <w:rsid w:val="001C3B02"/>
    <w:rsid w:val="001C510A"/>
    <w:rsid w:val="001C5BBC"/>
    <w:rsid w:val="001C5C19"/>
    <w:rsid w:val="001D01D4"/>
    <w:rsid w:val="001D17E8"/>
    <w:rsid w:val="001D438B"/>
    <w:rsid w:val="001D5BF9"/>
    <w:rsid w:val="001E00E8"/>
    <w:rsid w:val="001E1909"/>
    <w:rsid w:val="001E442D"/>
    <w:rsid w:val="001E5677"/>
    <w:rsid w:val="001E7793"/>
    <w:rsid w:val="001F1F84"/>
    <w:rsid w:val="001F29C9"/>
    <w:rsid w:val="001F3AFD"/>
    <w:rsid w:val="001F5382"/>
    <w:rsid w:val="002050AC"/>
    <w:rsid w:val="002067F0"/>
    <w:rsid w:val="0021058E"/>
    <w:rsid w:val="00212D60"/>
    <w:rsid w:val="00212F40"/>
    <w:rsid w:val="00217995"/>
    <w:rsid w:val="00222C5C"/>
    <w:rsid w:val="00223671"/>
    <w:rsid w:val="0022377B"/>
    <w:rsid w:val="00224BC8"/>
    <w:rsid w:val="002254DF"/>
    <w:rsid w:val="00230D64"/>
    <w:rsid w:val="00231CC0"/>
    <w:rsid w:val="0023292F"/>
    <w:rsid w:val="002369B8"/>
    <w:rsid w:val="00240703"/>
    <w:rsid w:val="00240A0F"/>
    <w:rsid w:val="00241A10"/>
    <w:rsid w:val="0024273E"/>
    <w:rsid w:val="00245D64"/>
    <w:rsid w:val="00245EB6"/>
    <w:rsid w:val="002463EC"/>
    <w:rsid w:val="00247EE9"/>
    <w:rsid w:val="0025208A"/>
    <w:rsid w:val="0025220D"/>
    <w:rsid w:val="00252759"/>
    <w:rsid w:val="002552AB"/>
    <w:rsid w:val="0025664A"/>
    <w:rsid w:val="00263A81"/>
    <w:rsid w:val="00264597"/>
    <w:rsid w:val="0026687D"/>
    <w:rsid w:val="002704F2"/>
    <w:rsid w:val="0027428C"/>
    <w:rsid w:val="00274D35"/>
    <w:rsid w:val="00275E64"/>
    <w:rsid w:val="00280001"/>
    <w:rsid w:val="002804D6"/>
    <w:rsid w:val="00281A24"/>
    <w:rsid w:val="0028260A"/>
    <w:rsid w:val="0028361C"/>
    <w:rsid w:val="002841E9"/>
    <w:rsid w:val="0028452A"/>
    <w:rsid w:val="002927D4"/>
    <w:rsid w:val="00294B95"/>
    <w:rsid w:val="00294F7C"/>
    <w:rsid w:val="00296F34"/>
    <w:rsid w:val="00297BDD"/>
    <w:rsid w:val="002A2DB3"/>
    <w:rsid w:val="002A734B"/>
    <w:rsid w:val="002B0DB3"/>
    <w:rsid w:val="002B12E8"/>
    <w:rsid w:val="002C4E0D"/>
    <w:rsid w:val="002C4F5A"/>
    <w:rsid w:val="002C769D"/>
    <w:rsid w:val="002D1179"/>
    <w:rsid w:val="002D1DF7"/>
    <w:rsid w:val="002D2115"/>
    <w:rsid w:val="002D4667"/>
    <w:rsid w:val="002E1FE6"/>
    <w:rsid w:val="002E33EA"/>
    <w:rsid w:val="002E6315"/>
    <w:rsid w:val="002E7B9E"/>
    <w:rsid w:val="002E7E44"/>
    <w:rsid w:val="002F631B"/>
    <w:rsid w:val="002F7360"/>
    <w:rsid w:val="003004AE"/>
    <w:rsid w:val="00303375"/>
    <w:rsid w:val="00307974"/>
    <w:rsid w:val="00310240"/>
    <w:rsid w:val="00311BFC"/>
    <w:rsid w:val="00312E66"/>
    <w:rsid w:val="00314A31"/>
    <w:rsid w:val="00314FC4"/>
    <w:rsid w:val="003159FF"/>
    <w:rsid w:val="00316AC9"/>
    <w:rsid w:val="00320690"/>
    <w:rsid w:val="00324B55"/>
    <w:rsid w:val="003260EE"/>
    <w:rsid w:val="00330FDE"/>
    <w:rsid w:val="003334CA"/>
    <w:rsid w:val="0033452D"/>
    <w:rsid w:val="00340BEE"/>
    <w:rsid w:val="00341B48"/>
    <w:rsid w:val="00342196"/>
    <w:rsid w:val="00342BB7"/>
    <w:rsid w:val="0034325A"/>
    <w:rsid w:val="0035506B"/>
    <w:rsid w:val="003556B3"/>
    <w:rsid w:val="00355823"/>
    <w:rsid w:val="0036344E"/>
    <w:rsid w:val="0036385E"/>
    <w:rsid w:val="003646BE"/>
    <w:rsid w:val="003659B8"/>
    <w:rsid w:val="00366470"/>
    <w:rsid w:val="00367F19"/>
    <w:rsid w:val="00373413"/>
    <w:rsid w:val="00375D19"/>
    <w:rsid w:val="00377915"/>
    <w:rsid w:val="00377B58"/>
    <w:rsid w:val="00381A92"/>
    <w:rsid w:val="0038213F"/>
    <w:rsid w:val="003839EC"/>
    <w:rsid w:val="00383A5C"/>
    <w:rsid w:val="0038674D"/>
    <w:rsid w:val="00387BAD"/>
    <w:rsid w:val="00391238"/>
    <w:rsid w:val="003919ED"/>
    <w:rsid w:val="00394B8A"/>
    <w:rsid w:val="003A015C"/>
    <w:rsid w:val="003A2CBB"/>
    <w:rsid w:val="003A46BE"/>
    <w:rsid w:val="003A7A45"/>
    <w:rsid w:val="003B0F9C"/>
    <w:rsid w:val="003B75C8"/>
    <w:rsid w:val="003C0EBC"/>
    <w:rsid w:val="003C1459"/>
    <w:rsid w:val="003C2744"/>
    <w:rsid w:val="003C4AC5"/>
    <w:rsid w:val="003C60D2"/>
    <w:rsid w:val="003D1EAE"/>
    <w:rsid w:val="003D2A4D"/>
    <w:rsid w:val="003D2E0E"/>
    <w:rsid w:val="003D3EC2"/>
    <w:rsid w:val="003D62D3"/>
    <w:rsid w:val="003D741C"/>
    <w:rsid w:val="003D793A"/>
    <w:rsid w:val="003D7DF4"/>
    <w:rsid w:val="003E16EF"/>
    <w:rsid w:val="003E1A07"/>
    <w:rsid w:val="003E1D9E"/>
    <w:rsid w:val="003E3761"/>
    <w:rsid w:val="003E6098"/>
    <w:rsid w:val="003E7A1A"/>
    <w:rsid w:val="003F1BB4"/>
    <w:rsid w:val="003F1BCD"/>
    <w:rsid w:val="003F268B"/>
    <w:rsid w:val="003F6D74"/>
    <w:rsid w:val="00400B0C"/>
    <w:rsid w:val="0040421B"/>
    <w:rsid w:val="004070AE"/>
    <w:rsid w:val="00416802"/>
    <w:rsid w:val="00417D92"/>
    <w:rsid w:val="00421E4B"/>
    <w:rsid w:val="00425997"/>
    <w:rsid w:val="00426F37"/>
    <w:rsid w:val="00431308"/>
    <w:rsid w:val="0043183A"/>
    <w:rsid w:val="00431932"/>
    <w:rsid w:val="004342B4"/>
    <w:rsid w:val="004348CD"/>
    <w:rsid w:val="00441E67"/>
    <w:rsid w:val="00450035"/>
    <w:rsid w:val="00451220"/>
    <w:rsid w:val="00451A79"/>
    <w:rsid w:val="00461CCC"/>
    <w:rsid w:val="004621DF"/>
    <w:rsid w:val="0046302B"/>
    <w:rsid w:val="004648D1"/>
    <w:rsid w:val="00467EB9"/>
    <w:rsid w:val="00470425"/>
    <w:rsid w:val="00470D03"/>
    <w:rsid w:val="004721EF"/>
    <w:rsid w:val="00472AC0"/>
    <w:rsid w:val="00474379"/>
    <w:rsid w:val="00475AF1"/>
    <w:rsid w:val="0047730C"/>
    <w:rsid w:val="00480D27"/>
    <w:rsid w:val="00484795"/>
    <w:rsid w:val="00484807"/>
    <w:rsid w:val="004917F1"/>
    <w:rsid w:val="004A0EAD"/>
    <w:rsid w:val="004A110E"/>
    <w:rsid w:val="004A41F0"/>
    <w:rsid w:val="004A663F"/>
    <w:rsid w:val="004A7634"/>
    <w:rsid w:val="004B12B8"/>
    <w:rsid w:val="004B1576"/>
    <w:rsid w:val="004B7336"/>
    <w:rsid w:val="004C202C"/>
    <w:rsid w:val="004C6DF3"/>
    <w:rsid w:val="004D2988"/>
    <w:rsid w:val="004D4BB4"/>
    <w:rsid w:val="004D626A"/>
    <w:rsid w:val="004D655F"/>
    <w:rsid w:val="004D65FC"/>
    <w:rsid w:val="004D7474"/>
    <w:rsid w:val="004D7A45"/>
    <w:rsid w:val="004E063D"/>
    <w:rsid w:val="004E2335"/>
    <w:rsid w:val="004E3B37"/>
    <w:rsid w:val="004E5049"/>
    <w:rsid w:val="004E76F2"/>
    <w:rsid w:val="005009A4"/>
    <w:rsid w:val="005060C9"/>
    <w:rsid w:val="00506488"/>
    <w:rsid w:val="005078E9"/>
    <w:rsid w:val="00510EA7"/>
    <w:rsid w:val="00512A85"/>
    <w:rsid w:val="00513851"/>
    <w:rsid w:val="00513E79"/>
    <w:rsid w:val="00514B81"/>
    <w:rsid w:val="00517521"/>
    <w:rsid w:val="00522515"/>
    <w:rsid w:val="00524F35"/>
    <w:rsid w:val="0052710E"/>
    <w:rsid w:val="0052736B"/>
    <w:rsid w:val="0053371F"/>
    <w:rsid w:val="00537753"/>
    <w:rsid w:val="005416C8"/>
    <w:rsid w:val="00542113"/>
    <w:rsid w:val="005455FD"/>
    <w:rsid w:val="00547D67"/>
    <w:rsid w:val="005524CE"/>
    <w:rsid w:val="005531F3"/>
    <w:rsid w:val="00555CFB"/>
    <w:rsid w:val="00555F4F"/>
    <w:rsid w:val="00556439"/>
    <w:rsid w:val="00556939"/>
    <w:rsid w:val="0056055F"/>
    <w:rsid w:val="0056100E"/>
    <w:rsid w:val="00561341"/>
    <w:rsid w:val="00564DC6"/>
    <w:rsid w:val="005671AA"/>
    <w:rsid w:val="00567770"/>
    <w:rsid w:val="00572522"/>
    <w:rsid w:val="00574D5F"/>
    <w:rsid w:val="00576106"/>
    <w:rsid w:val="00576E3D"/>
    <w:rsid w:val="00581131"/>
    <w:rsid w:val="0058488F"/>
    <w:rsid w:val="0058716D"/>
    <w:rsid w:val="0059023D"/>
    <w:rsid w:val="005908ED"/>
    <w:rsid w:val="00593FEC"/>
    <w:rsid w:val="005A0682"/>
    <w:rsid w:val="005A11D1"/>
    <w:rsid w:val="005A6373"/>
    <w:rsid w:val="005B020A"/>
    <w:rsid w:val="005B4291"/>
    <w:rsid w:val="005B5388"/>
    <w:rsid w:val="005B6604"/>
    <w:rsid w:val="005B673D"/>
    <w:rsid w:val="005B6FE9"/>
    <w:rsid w:val="005B7D46"/>
    <w:rsid w:val="005C41E3"/>
    <w:rsid w:val="005C53B8"/>
    <w:rsid w:val="005C7E25"/>
    <w:rsid w:val="005D0AD2"/>
    <w:rsid w:val="005D7D3D"/>
    <w:rsid w:val="005E06E8"/>
    <w:rsid w:val="005E3019"/>
    <w:rsid w:val="005E3406"/>
    <w:rsid w:val="005E706A"/>
    <w:rsid w:val="005E753B"/>
    <w:rsid w:val="005F03B6"/>
    <w:rsid w:val="005F16D1"/>
    <w:rsid w:val="005F3388"/>
    <w:rsid w:val="005F6355"/>
    <w:rsid w:val="006000D1"/>
    <w:rsid w:val="00603607"/>
    <w:rsid w:val="00603F49"/>
    <w:rsid w:val="00606978"/>
    <w:rsid w:val="00610619"/>
    <w:rsid w:val="00610975"/>
    <w:rsid w:val="0062125E"/>
    <w:rsid w:val="0062212B"/>
    <w:rsid w:val="006225DB"/>
    <w:rsid w:val="0062260D"/>
    <w:rsid w:val="00623369"/>
    <w:rsid w:val="00623C97"/>
    <w:rsid w:val="006319CC"/>
    <w:rsid w:val="00634A21"/>
    <w:rsid w:val="006357E2"/>
    <w:rsid w:val="00637069"/>
    <w:rsid w:val="006372F9"/>
    <w:rsid w:val="00641107"/>
    <w:rsid w:val="00641797"/>
    <w:rsid w:val="00644032"/>
    <w:rsid w:val="006506D0"/>
    <w:rsid w:val="00650E75"/>
    <w:rsid w:val="00657879"/>
    <w:rsid w:val="00657D67"/>
    <w:rsid w:val="00667569"/>
    <w:rsid w:val="006702B3"/>
    <w:rsid w:val="006732DD"/>
    <w:rsid w:val="00674492"/>
    <w:rsid w:val="00674A8B"/>
    <w:rsid w:val="00674CE0"/>
    <w:rsid w:val="00674CFD"/>
    <w:rsid w:val="006835FA"/>
    <w:rsid w:val="00690296"/>
    <w:rsid w:val="00690C0D"/>
    <w:rsid w:val="00692A58"/>
    <w:rsid w:val="00692F0C"/>
    <w:rsid w:val="006964E2"/>
    <w:rsid w:val="006A1FD4"/>
    <w:rsid w:val="006A5E12"/>
    <w:rsid w:val="006B0FCC"/>
    <w:rsid w:val="006B344A"/>
    <w:rsid w:val="006C45BC"/>
    <w:rsid w:val="006C5EBC"/>
    <w:rsid w:val="006D1898"/>
    <w:rsid w:val="006D24C9"/>
    <w:rsid w:val="006D35A1"/>
    <w:rsid w:val="006D4112"/>
    <w:rsid w:val="006D4312"/>
    <w:rsid w:val="006D4367"/>
    <w:rsid w:val="006D5D42"/>
    <w:rsid w:val="006E43BE"/>
    <w:rsid w:val="006E6E37"/>
    <w:rsid w:val="006F428C"/>
    <w:rsid w:val="006F55C7"/>
    <w:rsid w:val="006F737B"/>
    <w:rsid w:val="006F78BA"/>
    <w:rsid w:val="007007AD"/>
    <w:rsid w:val="007033A9"/>
    <w:rsid w:val="007117F6"/>
    <w:rsid w:val="00712C52"/>
    <w:rsid w:val="0071336B"/>
    <w:rsid w:val="00716CD2"/>
    <w:rsid w:val="0072185F"/>
    <w:rsid w:val="007246E4"/>
    <w:rsid w:val="0073039E"/>
    <w:rsid w:val="00734F94"/>
    <w:rsid w:val="0073673B"/>
    <w:rsid w:val="00737D95"/>
    <w:rsid w:val="00737FC4"/>
    <w:rsid w:val="00741FD2"/>
    <w:rsid w:val="00743641"/>
    <w:rsid w:val="0074554E"/>
    <w:rsid w:val="00746085"/>
    <w:rsid w:val="007478D2"/>
    <w:rsid w:val="00747EB3"/>
    <w:rsid w:val="00751803"/>
    <w:rsid w:val="00752BE7"/>
    <w:rsid w:val="00761704"/>
    <w:rsid w:val="00765F75"/>
    <w:rsid w:val="0076757B"/>
    <w:rsid w:val="00774808"/>
    <w:rsid w:val="00775174"/>
    <w:rsid w:val="00776370"/>
    <w:rsid w:val="00776C08"/>
    <w:rsid w:val="00781730"/>
    <w:rsid w:val="00781936"/>
    <w:rsid w:val="00781FA1"/>
    <w:rsid w:val="0078421C"/>
    <w:rsid w:val="00785989"/>
    <w:rsid w:val="0078698F"/>
    <w:rsid w:val="00791B01"/>
    <w:rsid w:val="00791BE5"/>
    <w:rsid w:val="00792DC5"/>
    <w:rsid w:val="00792F46"/>
    <w:rsid w:val="00794A33"/>
    <w:rsid w:val="00794CD9"/>
    <w:rsid w:val="007969F3"/>
    <w:rsid w:val="007A1386"/>
    <w:rsid w:val="007A4481"/>
    <w:rsid w:val="007A4A7D"/>
    <w:rsid w:val="007A51B4"/>
    <w:rsid w:val="007A7268"/>
    <w:rsid w:val="007B04BF"/>
    <w:rsid w:val="007B0787"/>
    <w:rsid w:val="007B26C7"/>
    <w:rsid w:val="007B2B61"/>
    <w:rsid w:val="007B3AD9"/>
    <w:rsid w:val="007B58FA"/>
    <w:rsid w:val="007B74AA"/>
    <w:rsid w:val="007B7AF5"/>
    <w:rsid w:val="007C0D11"/>
    <w:rsid w:val="007C0D69"/>
    <w:rsid w:val="007C257D"/>
    <w:rsid w:val="007C26B2"/>
    <w:rsid w:val="007C2F5D"/>
    <w:rsid w:val="007C4F53"/>
    <w:rsid w:val="007C58D1"/>
    <w:rsid w:val="007D5DA8"/>
    <w:rsid w:val="007D66B8"/>
    <w:rsid w:val="007E02D8"/>
    <w:rsid w:val="007E1366"/>
    <w:rsid w:val="007E1962"/>
    <w:rsid w:val="007E48DC"/>
    <w:rsid w:val="007E76F6"/>
    <w:rsid w:val="007F165A"/>
    <w:rsid w:val="007F17BF"/>
    <w:rsid w:val="007F27D8"/>
    <w:rsid w:val="007F4543"/>
    <w:rsid w:val="008030D9"/>
    <w:rsid w:val="0080582E"/>
    <w:rsid w:val="00807B71"/>
    <w:rsid w:val="008237EB"/>
    <w:rsid w:val="008269F9"/>
    <w:rsid w:val="00826A54"/>
    <w:rsid w:val="00827512"/>
    <w:rsid w:val="00832E2E"/>
    <w:rsid w:val="0083614F"/>
    <w:rsid w:val="00837CC4"/>
    <w:rsid w:val="00837FCF"/>
    <w:rsid w:val="00841316"/>
    <w:rsid w:val="008415AA"/>
    <w:rsid w:val="0084690F"/>
    <w:rsid w:val="00847334"/>
    <w:rsid w:val="00847B07"/>
    <w:rsid w:val="0085321A"/>
    <w:rsid w:val="00855F99"/>
    <w:rsid w:val="00857D42"/>
    <w:rsid w:val="00860C0F"/>
    <w:rsid w:val="0086284B"/>
    <w:rsid w:val="00863CAD"/>
    <w:rsid w:val="008651E1"/>
    <w:rsid w:val="0086746B"/>
    <w:rsid w:val="0086784A"/>
    <w:rsid w:val="008722B7"/>
    <w:rsid w:val="00876E91"/>
    <w:rsid w:val="0088159C"/>
    <w:rsid w:val="00883163"/>
    <w:rsid w:val="008851EB"/>
    <w:rsid w:val="0088638A"/>
    <w:rsid w:val="00890CA8"/>
    <w:rsid w:val="00890FDF"/>
    <w:rsid w:val="00892A33"/>
    <w:rsid w:val="00895D7F"/>
    <w:rsid w:val="00897349"/>
    <w:rsid w:val="008A0AE8"/>
    <w:rsid w:val="008A1AF1"/>
    <w:rsid w:val="008A4379"/>
    <w:rsid w:val="008A6C49"/>
    <w:rsid w:val="008B0207"/>
    <w:rsid w:val="008B4DA0"/>
    <w:rsid w:val="008B637F"/>
    <w:rsid w:val="008C2590"/>
    <w:rsid w:val="008C2827"/>
    <w:rsid w:val="008C3704"/>
    <w:rsid w:val="008C5021"/>
    <w:rsid w:val="008C6A90"/>
    <w:rsid w:val="008C6CFC"/>
    <w:rsid w:val="008E260A"/>
    <w:rsid w:val="008E293B"/>
    <w:rsid w:val="008E3FAA"/>
    <w:rsid w:val="008E60B0"/>
    <w:rsid w:val="008E61F6"/>
    <w:rsid w:val="008E7E92"/>
    <w:rsid w:val="008E7F88"/>
    <w:rsid w:val="008F3BA9"/>
    <w:rsid w:val="00903A19"/>
    <w:rsid w:val="0091015C"/>
    <w:rsid w:val="009104BA"/>
    <w:rsid w:val="009112FF"/>
    <w:rsid w:val="00914903"/>
    <w:rsid w:val="0091601F"/>
    <w:rsid w:val="0091741B"/>
    <w:rsid w:val="00917609"/>
    <w:rsid w:val="00921F09"/>
    <w:rsid w:val="009255DA"/>
    <w:rsid w:val="00926F67"/>
    <w:rsid w:val="0092721E"/>
    <w:rsid w:val="00932B30"/>
    <w:rsid w:val="009331B8"/>
    <w:rsid w:val="00933C43"/>
    <w:rsid w:val="0094309C"/>
    <w:rsid w:val="00945824"/>
    <w:rsid w:val="00945BC4"/>
    <w:rsid w:val="00945F96"/>
    <w:rsid w:val="00953A98"/>
    <w:rsid w:val="0096534D"/>
    <w:rsid w:val="00965DAA"/>
    <w:rsid w:val="00967D26"/>
    <w:rsid w:val="0097174A"/>
    <w:rsid w:val="00971E9E"/>
    <w:rsid w:val="00977BFA"/>
    <w:rsid w:val="00980873"/>
    <w:rsid w:val="00982129"/>
    <w:rsid w:val="0098352D"/>
    <w:rsid w:val="00986AEC"/>
    <w:rsid w:val="00990B82"/>
    <w:rsid w:val="009927A3"/>
    <w:rsid w:val="009A337D"/>
    <w:rsid w:val="009A35B7"/>
    <w:rsid w:val="009A43C8"/>
    <w:rsid w:val="009A5606"/>
    <w:rsid w:val="009A781C"/>
    <w:rsid w:val="009B3841"/>
    <w:rsid w:val="009B5DD1"/>
    <w:rsid w:val="009C31D2"/>
    <w:rsid w:val="009C45A9"/>
    <w:rsid w:val="009C4ABC"/>
    <w:rsid w:val="009C5636"/>
    <w:rsid w:val="009C5668"/>
    <w:rsid w:val="009C69B9"/>
    <w:rsid w:val="009C6AB2"/>
    <w:rsid w:val="009C7A54"/>
    <w:rsid w:val="009D2CFF"/>
    <w:rsid w:val="009D3B80"/>
    <w:rsid w:val="009D4B28"/>
    <w:rsid w:val="009D5377"/>
    <w:rsid w:val="009E46B5"/>
    <w:rsid w:val="009E5524"/>
    <w:rsid w:val="009E55F7"/>
    <w:rsid w:val="009E56FB"/>
    <w:rsid w:val="009E6211"/>
    <w:rsid w:val="009F11A5"/>
    <w:rsid w:val="009F2391"/>
    <w:rsid w:val="009F3518"/>
    <w:rsid w:val="009F53D8"/>
    <w:rsid w:val="009F7CBC"/>
    <w:rsid w:val="00A00EF7"/>
    <w:rsid w:val="00A0147C"/>
    <w:rsid w:val="00A0302B"/>
    <w:rsid w:val="00A044A7"/>
    <w:rsid w:val="00A0476A"/>
    <w:rsid w:val="00A04E77"/>
    <w:rsid w:val="00A05EFF"/>
    <w:rsid w:val="00A06797"/>
    <w:rsid w:val="00A122A1"/>
    <w:rsid w:val="00A1405C"/>
    <w:rsid w:val="00A15D08"/>
    <w:rsid w:val="00A21DC1"/>
    <w:rsid w:val="00A274B6"/>
    <w:rsid w:val="00A276AE"/>
    <w:rsid w:val="00A278DE"/>
    <w:rsid w:val="00A379E7"/>
    <w:rsid w:val="00A42BF9"/>
    <w:rsid w:val="00A45A5E"/>
    <w:rsid w:val="00A5002F"/>
    <w:rsid w:val="00A511BD"/>
    <w:rsid w:val="00A519DF"/>
    <w:rsid w:val="00A64F97"/>
    <w:rsid w:val="00A6524E"/>
    <w:rsid w:val="00A65723"/>
    <w:rsid w:val="00A66587"/>
    <w:rsid w:val="00A70495"/>
    <w:rsid w:val="00A70508"/>
    <w:rsid w:val="00A7103B"/>
    <w:rsid w:val="00A73BED"/>
    <w:rsid w:val="00A73F1E"/>
    <w:rsid w:val="00A75CF3"/>
    <w:rsid w:val="00A7694D"/>
    <w:rsid w:val="00A777C7"/>
    <w:rsid w:val="00A829A3"/>
    <w:rsid w:val="00A839A7"/>
    <w:rsid w:val="00A83D9C"/>
    <w:rsid w:val="00A83FD6"/>
    <w:rsid w:val="00A85936"/>
    <w:rsid w:val="00A91FC7"/>
    <w:rsid w:val="00A95530"/>
    <w:rsid w:val="00A97E74"/>
    <w:rsid w:val="00AA0039"/>
    <w:rsid w:val="00AA2949"/>
    <w:rsid w:val="00AA2B72"/>
    <w:rsid w:val="00AA5CD1"/>
    <w:rsid w:val="00AB1F05"/>
    <w:rsid w:val="00AB3EA6"/>
    <w:rsid w:val="00AC11D1"/>
    <w:rsid w:val="00AC5C09"/>
    <w:rsid w:val="00AC60AF"/>
    <w:rsid w:val="00AC6C16"/>
    <w:rsid w:val="00AC7E29"/>
    <w:rsid w:val="00AD1D64"/>
    <w:rsid w:val="00AD2C87"/>
    <w:rsid w:val="00AD45EF"/>
    <w:rsid w:val="00AD54B6"/>
    <w:rsid w:val="00AE0AF4"/>
    <w:rsid w:val="00AE145A"/>
    <w:rsid w:val="00AE2FD7"/>
    <w:rsid w:val="00AE4FBA"/>
    <w:rsid w:val="00AE5548"/>
    <w:rsid w:val="00AF5EFA"/>
    <w:rsid w:val="00AF6E32"/>
    <w:rsid w:val="00B004A7"/>
    <w:rsid w:val="00B01244"/>
    <w:rsid w:val="00B024C1"/>
    <w:rsid w:val="00B03D31"/>
    <w:rsid w:val="00B050C8"/>
    <w:rsid w:val="00B150F4"/>
    <w:rsid w:val="00B154D9"/>
    <w:rsid w:val="00B20BF2"/>
    <w:rsid w:val="00B20F68"/>
    <w:rsid w:val="00B24F2D"/>
    <w:rsid w:val="00B25C40"/>
    <w:rsid w:val="00B31D23"/>
    <w:rsid w:val="00B40884"/>
    <w:rsid w:val="00B428CE"/>
    <w:rsid w:val="00B42917"/>
    <w:rsid w:val="00B460E0"/>
    <w:rsid w:val="00B465AC"/>
    <w:rsid w:val="00B46C05"/>
    <w:rsid w:val="00B47897"/>
    <w:rsid w:val="00B50098"/>
    <w:rsid w:val="00B52A0A"/>
    <w:rsid w:val="00B5646B"/>
    <w:rsid w:val="00B572DA"/>
    <w:rsid w:val="00B63AED"/>
    <w:rsid w:val="00B6513D"/>
    <w:rsid w:val="00B654D7"/>
    <w:rsid w:val="00B70BD3"/>
    <w:rsid w:val="00B74143"/>
    <w:rsid w:val="00B7730E"/>
    <w:rsid w:val="00B8077A"/>
    <w:rsid w:val="00B830C6"/>
    <w:rsid w:val="00B832A0"/>
    <w:rsid w:val="00B86999"/>
    <w:rsid w:val="00B92CA9"/>
    <w:rsid w:val="00B94780"/>
    <w:rsid w:val="00B95C3B"/>
    <w:rsid w:val="00B96274"/>
    <w:rsid w:val="00B97BEF"/>
    <w:rsid w:val="00B97D8F"/>
    <w:rsid w:val="00BA050F"/>
    <w:rsid w:val="00BA27BC"/>
    <w:rsid w:val="00BA2E52"/>
    <w:rsid w:val="00BA330A"/>
    <w:rsid w:val="00BA4DB4"/>
    <w:rsid w:val="00BA6798"/>
    <w:rsid w:val="00BB38E9"/>
    <w:rsid w:val="00BB78C0"/>
    <w:rsid w:val="00BC75E7"/>
    <w:rsid w:val="00BD0CD6"/>
    <w:rsid w:val="00BD5EF6"/>
    <w:rsid w:val="00BE0158"/>
    <w:rsid w:val="00BE182E"/>
    <w:rsid w:val="00BE396E"/>
    <w:rsid w:val="00BE3EBF"/>
    <w:rsid w:val="00BE6513"/>
    <w:rsid w:val="00BE69CF"/>
    <w:rsid w:val="00BE7E35"/>
    <w:rsid w:val="00BF0E06"/>
    <w:rsid w:val="00BF441D"/>
    <w:rsid w:val="00BF6916"/>
    <w:rsid w:val="00C00312"/>
    <w:rsid w:val="00C03C34"/>
    <w:rsid w:val="00C065F1"/>
    <w:rsid w:val="00C07200"/>
    <w:rsid w:val="00C114B4"/>
    <w:rsid w:val="00C13C37"/>
    <w:rsid w:val="00C14E97"/>
    <w:rsid w:val="00C159B0"/>
    <w:rsid w:val="00C15CA9"/>
    <w:rsid w:val="00C17119"/>
    <w:rsid w:val="00C20A46"/>
    <w:rsid w:val="00C2192B"/>
    <w:rsid w:val="00C306B1"/>
    <w:rsid w:val="00C30E01"/>
    <w:rsid w:val="00C33865"/>
    <w:rsid w:val="00C33D67"/>
    <w:rsid w:val="00C3492F"/>
    <w:rsid w:val="00C4078F"/>
    <w:rsid w:val="00C40D78"/>
    <w:rsid w:val="00C47A19"/>
    <w:rsid w:val="00C50D9C"/>
    <w:rsid w:val="00C51D94"/>
    <w:rsid w:val="00C533C0"/>
    <w:rsid w:val="00C54B0E"/>
    <w:rsid w:val="00C56B00"/>
    <w:rsid w:val="00C61111"/>
    <w:rsid w:val="00C62012"/>
    <w:rsid w:val="00C63914"/>
    <w:rsid w:val="00C67202"/>
    <w:rsid w:val="00C67671"/>
    <w:rsid w:val="00C718DD"/>
    <w:rsid w:val="00C746B1"/>
    <w:rsid w:val="00C8338C"/>
    <w:rsid w:val="00C83CF6"/>
    <w:rsid w:val="00C87456"/>
    <w:rsid w:val="00C90013"/>
    <w:rsid w:val="00C915BE"/>
    <w:rsid w:val="00C9438D"/>
    <w:rsid w:val="00C95509"/>
    <w:rsid w:val="00C962B0"/>
    <w:rsid w:val="00C96876"/>
    <w:rsid w:val="00CA1C7E"/>
    <w:rsid w:val="00CA342B"/>
    <w:rsid w:val="00CA7EA4"/>
    <w:rsid w:val="00CA7EC6"/>
    <w:rsid w:val="00CB035B"/>
    <w:rsid w:val="00CB7362"/>
    <w:rsid w:val="00CB7BC1"/>
    <w:rsid w:val="00CC0113"/>
    <w:rsid w:val="00CC1EFC"/>
    <w:rsid w:val="00CC44DD"/>
    <w:rsid w:val="00CC5D2F"/>
    <w:rsid w:val="00CC66C4"/>
    <w:rsid w:val="00CD0E99"/>
    <w:rsid w:val="00CD12C1"/>
    <w:rsid w:val="00CD23D3"/>
    <w:rsid w:val="00CD35E2"/>
    <w:rsid w:val="00CD559E"/>
    <w:rsid w:val="00CE02DE"/>
    <w:rsid w:val="00CE044A"/>
    <w:rsid w:val="00CE79BA"/>
    <w:rsid w:val="00CF5BDF"/>
    <w:rsid w:val="00CF5D13"/>
    <w:rsid w:val="00CF6C8E"/>
    <w:rsid w:val="00CF78C4"/>
    <w:rsid w:val="00CF7918"/>
    <w:rsid w:val="00D002F6"/>
    <w:rsid w:val="00D010E8"/>
    <w:rsid w:val="00D01CEB"/>
    <w:rsid w:val="00D071DD"/>
    <w:rsid w:val="00D07825"/>
    <w:rsid w:val="00D161B4"/>
    <w:rsid w:val="00D21D24"/>
    <w:rsid w:val="00D22C58"/>
    <w:rsid w:val="00D23654"/>
    <w:rsid w:val="00D302D5"/>
    <w:rsid w:val="00D302E7"/>
    <w:rsid w:val="00D311D5"/>
    <w:rsid w:val="00D32C2F"/>
    <w:rsid w:val="00D363C1"/>
    <w:rsid w:val="00D37BD4"/>
    <w:rsid w:val="00D40031"/>
    <w:rsid w:val="00D44A17"/>
    <w:rsid w:val="00D51499"/>
    <w:rsid w:val="00D51B32"/>
    <w:rsid w:val="00D521D5"/>
    <w:rsid w:val="00D52CE8"/>
    <w:rsid w:val="00D52E22"/>
    <w:rsid w:val="00D54E2B"/>
    <w:rsid w:val="00D55532"/>
    <w:rsid w:val="00D55E4A"/>
    <w:rsid w:val="00D6021B"/>
    <w:rsid w:val="00D609F7"/>
    <w:rsid w:val="00D61B9D"/>
    <w:rsid w:val="00D66300"/>
    <w:rsid w:val="00D6742C"/>
    <w:rsid w:val="00D72720"/>
    <w:rsid w:val="00D761F6"/>
    <w:rsid w:val="00D76638"/>
    <w:rsid w:val="00D77521"/>
    <w:rsid w:val="00D77672"/>
    <w:rsid w:val="00D77FC1"/>
    <w:rsid w:val="00D82076"/>
    <w:rsid w:val="00D84838"/>
    <w:rsid w:val="00D8544A"/>
    <w:rsid w:val="00D85969"/>
    <w:rsid w:val="00D85F34"/>
    <w:rsid w:val="00D86969"/>
    <w:rsid w:val="00D869BC"/>
    <w:rsid w:val="00D872C4"/>
    <w:rsid w:val="00D93333"/>
    <w:rsid w:val="00D93FBC"/>
    <w:rsid w:val="00D964BD"/>
    <w:rsid w:val="00D96B9C"/>
    <w:rsid w:val="00DA0EEF"/>
    <w:rsid w:val="00DA3A20"/>
    <w:rsid w:val="00DA5935"/>
    <w:rsid w:val="00DA727F"/>
    <w:rsid w:val="00DB0D78"/>
    <w:rsid w:val="00DB0F78"/>
    <w:rsid w:val="00DB392E"/>
    <w:rsid w:val="00DC10E9"/>
    <w:rsid w:val="00DC3AD7"/>
    <w:rsid w:val="00DC5D0B"/>
    <w:rsid w:val="00DC7767"/>
    <w:rsid w:val="00DD0784"/>
    <w:rsid w:val="00DD2311"/>
    <w:rsid w:val="00DD34FB"/>
    <w:rsid w:val="00DD3899"/>
    <w:rsid w:val="00DD68C9"/>
    <w:rsid w:val="00DD78F5"/>
    <w:rsid w:val="00DD7C6C"/>
    <w:rsid w:val="00DE260D"/>
    <w:rsid w:val="00DE38CC"/>
    <w:rsid w:val="00DE413C"/>
    <w:rsid w:val="00DE55E7"/>
    <w:rsid w:val="00DE787B"/>
    <w:rsid w:val="00DE7A63"/>
    <w:rsid w:val="00DF0A47"/>
    <w:rsid w:val="00DF120D"/>
    <w:rsid w:val="00DF13EC"/>
    <w:rsid w:val="00DF3CF6"/>
    <w:rsid w:val="00DF4757"/>
    <w:rsid w:val="00E0054F"/>
    <w:rsid w:val="00E0397C"/>
    <w:rsid w:val="00E03FF5"/>
    <w:rsid w:val="00E04B8E"/>
    <w:rsid w:val="00E21F5F"/>
    <w:rsid w:val="00E30C88"/>
    <w:rsid w:val="00E316A5"/>
    <w:rsid w:val="00E42AAA"/>
    <w:rsid w:val="00E42C79"/>
    <w:rsid w:val="00E45C51"/>
    <w:rsid w:val="00E5260D"/>
    <w:rsid w:val="00E5445C"/>
    <w:rsid w:val="00E55870"/>
    <w:rsid w:val="00E57DD4"/>
    <w:rsid w:val="00E6358D"/>
    <w:rsid w:val="00E6617F"/>
    <w:rsid w:val="00E6657B"/>
    <w:rsid w:val="00E6687A"/>
    <w:rsid w:val="00E67AF0"/>
    <w:rsid w:val="00E67DFC"/>
    <w:rsid w:val="00E702B6"/>
    <w:rsid w:val="00E72109"/>
    <w:rsid w:val="00E74032"/>
    <w:rsid w:val="00E75436"/>
    <w:rsid w:val="00E84324"/>
    <w:rsid w:val="00E843EB"/>
    <w:rsid w:val="00E847FE"/>
    <w:rsid w:val="00E87789"/>
    <w:rsid w:val="00E90D12"/>
    <w:rsid w:val="00E93437"/>
    <w:rsid w:val="00E94825"/>
    <w:rsid w:val="00E94860"/>
    <w:rsid w:val="00E95D2D"/>
    <w:rsid w:val="00EA010D"/>
    <w:rsid w:val="00EA3A62"/>
    <w:rsid w:val="00EA5B0C"/>
    <w:rsid w:val="00EA5CD9"/>
    <w:rsid w:val="00EC60E8"/>
    <w:rsid w:val="00EC7641"/>
    <w:rsid w:val="00ED2029"/>
    <w:rsid w:val="00ED5C5E"/>
    <w:rsid w:val="00ED6AB4"/>
    <w:rsid w:val="00EE094F"/>
    <w:rsid w:val="00EE0FB2"/>
    <w:rsid w:val="00EE1BF2"/>
    <w:rsid w:val="00EE5C4F"/>
    <w:rsid w:val="00EF1C61"/>
    <w:rsid w:val="00EF4D85"/>
    <w:rsid w:val="00EF7352"/>
    <w:rsid w:val="00F01D8F"/>
    <w:rsid w:val="00F04196"/>
    <w:rsid w:val="00F06302"/>
    <w:rsid w:val="00F07632"/>
    <w:rsid w:val="00F104DE"/>
    <w:rsid w:val="00F11013"/>
    <w:rsid w:val="00F12E4B"/>
    <w:rsid w:val="00F145ED"/>
    <w:rsid w:val="00F15515"/>
    <w:rsid w:val="00F16535"/>
    <w:rsid w:val="00F21613"/>
    <w:rsid w:val="00F24EC2"/>
    <w:rsid w:val="00F315A5"/>
    <w:rsid w:val="00F35A3D"/>
    <w:rsid w:val="00F363E8"/>
    <w:rsid w:val="00F379A2"/>
    <w:rsid w:val="00F37C26"/>
    <w:rsid w:val="00F450AB"/>
    <w:rsid w:val="00F45EF7"/>
    <w:rsid w:val="00F50C05"/>
    <w:rsid w:val="00F54675"/>
    <w:rsid w:val="00F5640B"/>
    <w:rsid w:val="00F61B67"/>
    <w:rsid w:val="00F61CB9"/>
    <w:rsid w:val="00F63336"/>
    <w:rsid w:val="00F6389B"/>
    <w:rsid w:val="00F63DBC"/>
    <w:rsid w:val="00F646EC"/>
    <w:rsid w:val="00F66DDB"/>
    <w:rsid w:val="00F67623"/>
    <w:rsid w:val="00F75831"/>
    <w:rsid w:val="00F7646E"/>
    <w:rsid w:val="00F7750B"/>
    <w:rsid w:val="00F80C96"/>
    <w:rsid w:val="00F814CD"/>
    <w:rsid w:val="00F815F4"/>
    <w:rsid w:val="00F84116"/>
    <w:rsid w:val="00F908C6"/>
    <w:rsid w:val="00F9099E"/>
    <w:rsid w:val="00F90F09"/>
    <w:rsid w:val="00F92B1A"/>
    <w:rsid w:val="00F948C3"/>
    <w:rsid w:val="00F94D57"/>
    <w:rsid w:val="00FA187D"/>
    <w:rsid w:val="00FA2DE0"/>
    <w:rsid w:val="00FA5383"/>
    <w:rsid w:val="00FA6A08"/>
    <w:rsid w:val="00FA6B1A"/>
    <w:rsid w:val="00FB241A"/>
    <w:rsid w:val="00FB2D6B"/>
    <w:rsid w:val="00FB4792"/>
    <w:rsid w:val="00FB6140"/>
    <w:rsid w:val="00FC0238"/>
    <w:rsid w:val="00FC44D0"/>
    <w:rsid w:val="00FC6FD2"/>
    <w:rsid w:val="00FC71DD"/>
    <w:rsid w:val="00FC7AE7"/>
    <w:rsid w:val="00FD006C"/>
    <w:rsid w:val="00FD0D5C"/>
    <w:rsid w:val="00FD1029"/>
    <w:rsid w:val="00FD5266"/>
    <w:rsid w:val="00FD71A3"/>
    <w:rsid w:val="00FD7C0B"/>
    <w:rsid w:val="00FE03E1"/>
    <w:rsid w:val="00FF0084"/>
    <w:rsid w:val="00FF1227"/>
    <w:rsid w:val="00FF2E2F"/>
    <w:rsid w:val="00FF3314"/>
    <w:rsid w:val="00FF3666"/>
    <w:rsid w:val="00FF447A"/>
    <w:rsid w:val="00FF5777"/>
    <w:rsid w:val="01641DCA"/>
    <w:rsid w:val="01C84ACF"/>
    <w:rsid w:val="01FF6BA9"/>
    <w:rsid w:val="02D159D1"/>
    <w:rsid w:val="02F419D3"/>
    <w:rsid w:val="02FE3537"/>
    <w:rsid w:val="034155E9"/>
    <w:rsid w:val="04712AB4"/>
    <w:rsid w:val="054A1175"/>
    <w:rsid w:val="054E09BE"/>
    <w:rsid w:val="05D851BE"/>
    <w:rsid w:val="06291FC7"/>
    <w:rsid w:val="06974D24"/>
    <w:rsid w:val="07E0325B"/>
    <w:rsid w:val="08210266"/>
    <w:rsid w:val="08BD63ED"/>
    <w:rsid w:val="08F60773"/>
    <w:rsid w:val="0994675E"/>
    <w:rsid w:val="09A55995"/>
    <w:rsid w:val="09D2509D"/>
    <w:rsid w:val="0AD51A28"/>
    <w:rsid w:val="0B1D5B5E"/>
    <w:rsid w:val="0B9C1408"/>
    <w:rsid w:val="0C762DC1"/>
    <w:rsid w:val="0CE70ED2"/>
    <w:rsid w:val="0D23177C"/>
    <w:rsid w:val="0D9C069D"/>
    <w:rsid w:val="0E1034C8"/>
    <w:rsid w:val="0E9555F6"/>
    <w:rsid w:val="1003681B"/>
    <w:rsid w:val="116F7B99"/>
    <w:rsid w:val="11874FBE"/>
    <w:rsid w:val="11CA62F8"/>
    <w:rsid w:val="11F9626D"/>
    <w:rsid w:val="12102DB6"/>
    <w:rsid w:val="12441A2F"/>
    <w:rsid w:val="128B44DB"/>
    <w:rsid w:val="12A1740C"/>
    <w:rsid w:val="12B27391"/>
    <w:rsid w:val="12C2254C"/>
    <w:rsid w:val="12C372BA"/>
    <w:rsid w:val="12E20848"/>
    <w:rsid w:val="12FD4A57"/>
    <w:rsid w:val="131258B0"/>
    <w:rsid w:val="131964ED"/>
    <w:rsid w:val="133E521F"/>
    <w:rsid w:val="13C67FD4"/>
    <w:rsid w:val="14083370"/>
    <w:rsid w:val="14C514E9"/>
    <w:rsid w:val="14CF5540"/>
    <w:rsid w:val="156B1F9A"/>
    <w:rsid w:val="158A2763"/>
    <w:rsid w:val="158D7F1F"/>
    <w:rsid w:val="15B048EF"/>
    <w:rsid w:val="15CB2BCA"/>
    <w:rsid w:val="15D73229"/>
    <w:rsid w:val="164E12CF"/>
    <w:rsid w:val="167D26E9"/>
    <w:rsid w:val="168D7598"/>
    <w:rsid w:val="17DA3CAD"/>
    <w:rsid w:val="17FC7F04"/>
    <w:rsid w:val="189669D2"/>
    <w:rsid w:val="18E011D9"/>
    <w:rsid w:val="19942538"/>
    <w:rsid w:val="1A0F29BA"/>
    <w:rsid w:val="1A102821"/>
    <w:rsid w:val="1A786618"/>
    <w:rsid w:val="1A90434E"/>
    <w:rsid w:val="1A9D17F9"/>
    <w:rsid w:val="1AF736B3"/>
    <w:rsid w:val="1B545730"/>
    <w:rsid w:val="1B8148BC"/>
    <w:rsid w:val="1B896599"/>
    <w:rsid w:val="1BA06EA1"/>
    <w:rsid w:val="1CA7361F"/>
    <w:rsid w:val="1CDC12E6"/>
    <w:rsid w:val="1D0E0CA7"/>
    <w:rsid w:val="1DD93E81"/>
    <w:rsid w:val="1E0D3178"/>
    <w:rsid w:val="1E120C67"/>
    <w:rsid w:val="1E9D55C9"/>
    <w:rsid w:val="2088262E"/>
    <w:rsid w:val="20A13576"/>
    <w:rsid w:val="21A26BDD"/>
    <w:rsid w:val="21AB454B"/>
    <w:rsid w:val="2247415A"/>
    <w:rsid w:val="228215B9"/>
    <w:rsid w:val="23044152"/>
    <w:rsid w:val="231A58BB"/>
    <w:rsid w:val="24332D1E"/>
    <w:rsid w:val="244D419B"/>
    <w:rsid w:val="247A52BF"/>
    <w:rsid w:val="24A93E4E"/>
    <w:rsid w:val="24DC54B3"/>
    <w:rsid w:val="25F33F52"/>
    <w:rsid w:val="261730B7"/>
    <w:rsid w:val="26BA7DD1"/>
    <w:rsid w:val="27BD29B1"/>
    <w:rsid w:val="28B94C71"/>
    <w:rsid w:val="296D0753"/>
    <w:rsid w:val="296D600F"/>
    <w:rsid w:val="29B331FB"/>
    <w:rsid w:val="2ADA66CC"/>
    <w:rsid w:val="2AF32F8C"/>
    <w:rsid w:val="2B5257FF"/>
    <w:rsid w:val="2B606BD1"/>
    <w:rsid w:val="2CB7248E"/>
    <w:rsid w:val="2D194A73"/>
    <w:rsid w:val="2D28362B"/>
    <w:rsid w:val="2D8C1A45"/>
    <w:rsid w:val="2D911AC4"/>
    <w:rsid w:val="2D9E167E"/>
    <w:rsid w:val="2DD65AFA"/>
    <w:rsid w:val="2DF9FE57"/>
    <w:rsid w:val="2DFD1CC9"/>
    <w:rsid w:val="2EED7377"/>
    <w:rsid w:val="30585C02"/>
    <w:rsid w:val="30ED230F"/>
    <w:rsid w:val="31347A94"/>
    <w:rsid w:val="31BE7FF5"/>
    <w:rsid w:val="325A3A14"/>
    <w:rsid w:val="325C2FDC"/>
    <w:rsid w:val="32BD343E"/>
    <w:rsid w:val="346E158D"/>
    <w:rsid w:val="35087B02"/>
    <w:rsid w:val="35C07F84"/>
    <w:rsid w:val="36567498"/>
    <w:rsid w:val="36900730"/>
    <w:rsid w:val="36920582"/>
    <w:rsid w:val="38095242"/>
    <w:rsid w:val="387E6AA8"/>
    <w:rsid w:val="38841336"/>
    <w:rsid w:val="38860C34"/>
    <w:rsid w:val="38B7210C"/>
    <w:rsid w:val="38E839A5"/>
    <w:rsid w:val="397B42AA"/>
    <w:rsid w:val="39E569E8"/>
    <w:rsid w:val="3AAA7DB1"/>
    <w:rsid w:val="3ACA2F50"/>
    <w:rsid w:val="3AE78FF8"/>
    <w:rsid w:val="3C7052B5"/>
    <w:rsid w:val="3C8A61F2"/>
    <w:rsid w:val="3CDF9756"/>
    <w:rsid w:val="3D0E417C"/>
    <w:rsid w:val="3F0432D7"/>
    <w:rsid w:val="3F1D5B21"/>
    <w:rsid w:val="3F234856"/>
    <w:rsid w:val="3F2C0B45"/>
    <w:rsid w:val="3F8C6FC8"/>
    <w:rsid w:val="404203B9"/>
    <w:rsid w:val="42680D91"/>
    <w:rsid w:val="42B17F68"/>
    <w:rsid w:val="439249A4"/>
    <w:rsid w:val="43A115C2"/>
    <w:rsid w:val="44AB4958"/>
    <w:rsid w:val="44C95E4D"/>
    <w:rsid w:val="458315D1"/>
    <w:rsid w:val="458E49BA"/>
    <w:rsid w:val="45915284"/>
    <w:rsid w:val="45A81449"/>
    <w:rsid w:val="46050649"/>
    <w:rsid w:val="46726930"/>
    <w:rsid w:val="46A369EF"/>
    <w:rsid w:val="46B836EA"/>
    <w:rsid w:val="46BC1807"/>
    <w:rsid w:val="46C24A73"/>
    <w:rsid w:val="473070C1"/>
    <w:rsid w:val="47815855"/>
    <w:rsid w:val="47A22569"/>
    <w:rsid w:val="47B6547B"/>
    <w:rsid w:val="487F2A35"/>
    <w:rsid w:val="48B673C6"/>
    <w:rsid w:val="495D6541"/>
    <w:rsid w:val="49BE6FF7"/>
    <w:rsid w:val="4A3E7AAC"/>
    <w:rsid w:val="4A422225"/>
    <w:rsid w:val="4B8F5DC2"/>
    <w:rsid w:val="4BC82845"/>
    <w:rsid w:val="4C916798"/>
    <w:rsid w:val="4CDD7942"/>
    <w:rsid w:val="4CFC2B05"/>
    <w:rsid w:val="4D0842AE"/>
    <w:rsid w:val="4D1F0574"/>
    <w:rsid w:val="4D273696"/>
    <w:rsid w:val="4D620F8E"/>
    <w:rsid w:val="4D6F0F27"/>
    <w:rsid w:val="4DD30ADB"/>
    <w:rsid w:val="4E7E5854"/>
    <w:rsid w:val="4E95688E"/>
    <w:rsid w:val="4F0A4D9C"/>
    <w:rsid w:val="4F2C382D"/>
    <w:rsid w:val="4F2E3217"/>
    <w:rsid w:val="4F6F4579"/>
    <w:rsid w:val="4F947BD2"/>
    <w:rsid w:val="4FFFCB84"/>
    <w:rsid w:val="50683BF9"/>
    <w:rsid w:val="506E2FA9"/>
    <w:rsid w:val="50FE11CB"/>
    <w:rsid w:val="51167DB6"/>
    <w:rsid w:val="513545A9"/>
    <w:rsid w:val="519C31EF"/>
    <w:rsid w:val="51A95397"/>
    <w:rsid w:val="520E5239"/>
    <w:rsid w:val="523D231B"/>
    <w:rsid w:val="529511CB"/>
    <w:rsid w:val="531373EA"/>
    <w:rsid w:val="53485162"/>
    <w:rsid w:val="53634631"/>
    <w:rsid w:val="53675695"/>
    <w:rsid w:val="53CF11CD"/>
    <w:rsid w:val="544E765F"/>
    <w:rsid w:val="55034069"/>
    <w:rsid w:val="5539570C"/>
    <w:rsid w:val="555E7F41"/>
    <w:rsid w:val="55C65745"/>
    <w:rsid w:val="56655707"/>
    <w:rsid w:val="5679604D"/>
    <w:rsid w:val="574F208F"/>
    <w:rsid w:val="57CB2D78"/>
    <w:rsid w:val="57CE2535"/>
    <w:rsid w:val="57DD63F9"/>
    <w:rsid w:val="57E642AD"/>
    <w:rsid w:val="58CC1B7A"/>
    <w:rsid w:val="58E6777D"/>
    <w:rsid w:val="58EF734E"/>
    <w:rsid w:val="590349EA"/>
    <w:rsid w:val="59296DD4"/>
    <w:rsid w:val="599E4BE5"/>
    <w:rsid w:val="59C77C42"/>
    <w:rsid w:val="59D92CDC"/>
    <w:rsid w:val="59F471C6"/>
    <w:rsid w:val="5A106B3E"/>
    <w:rsid w:val="5A1F0010"/>
    <w:rsid w:val="5AB71FF9"/>
    <w:rsid w:val="5AC91D2F"/>
    <w:rsid w:val="5ADA4713"/>
    <w:rsid w:val="5AEE474F"/>
    <w:rsid w:val="5B7E4B0D"/>
    <w:rsid w:val="5B857A67"/>
    <w:rsid w:val="5B894E42"/>
    <w:rsid w:val="5BA31905"/>
    <w:rsid w:val="5BA6437E"/>
    <w:rsid w:val="5C07656E"/>
    <w:rsid w:val="5CCA6CF3"/>
    <w:rsid w:val="5CE96177"/>
    <w:rsid w:val="5CF94CC8"/>
    <w:rsid w:val="5D874C1C"/>
    <w:rsid w:val="5DFC4D91"/>
    <w:rsid w:val="5E54348F"/>
    <w:rsid w:val="5E5B7AAE"/>
    <w:rsid w:val="5F585977"/>
    <w:rsid w:val="600318B5"/>
    <w:rsid w:val="60427BE4"/>
    <w:rsid w:val="60971686"/>
    <w:rsid w:val="61812EBD"/>
    <w:rsid w:val="61A92371"/>
    <w:rsid w:val="61B612ED"/>
    <w:rsid w:val="62285A03"/>
    <w:rsid w:val="62D82485"/>
    <w:rsid w:val="63401DB2"/>
    <w:rsid w:val="63B94B74"/>
    <w:rsid w:val="66463CD1"/>
    <w:rsid w:val="67D840B0"/>
    <w:rsid w:val="67FF4CD7"/>
    <w:rsid w:val="682F49FC"/>
    <w:rsid w:val="68402852"/>
    <w:rsid w:val="69325DE5"/>
    <w:rsid w:val="69A10D40"/>
    <w:rsid w:val="6A636C9A"/>
    <w:rsid w:val="6ADA181C"/>
    <w:rsid w:val="6B5B1417"/>
    <w:rsid w:val="6B60619E"/>
    <w:rsid w:val="6BA71178"/>
    <w:rsid w:val="6C9331E3"/>
    <w:rsid w:val="6CBB05EB"/>
    <w:rsid w:val="6D4BD2C1"/>
    <w:rsid w:val="6D88143E"/>
    <w:rsid w:val="6DAB622D"/>
    <w:rsid w:val="6DAFB0F6"/>
    <w:rsid w:val="6DD7078C"/>
    <w:rsid w:val="6E024D7E"/>
    <w:rsid w:val="6E771456"/>
    <w:rsid w:val="6E8359FA"/>
    <w:rsid w:val="6ED4144E"/>
    <w:rsid w:val="6F26173F"/>
    <w:rsid w:val="6F3329E1"/>
    <w:rsid w:val="6F666F52"/>
    <w:rsid w:val="6FDFAEB1"/>
    <w:rsid w:val="6FFFACFA"/>
    <w:rsid w:val="700B19B6"/>
    <w:rsid w:val="706C6AEF"/>
    <w:rsid w:val="707412E6"/>
    <w:rsid w:val="70C54BE4"/>
    <w:rsid w:val="70DD729C"/>
    <w:rsid w:val="71101551"/>
    <w:rsid w:val="711A4EDD"/>
    <w:rsid w:val="71C03716"/>
    <w:rsid w:val="71D92BDF"/>
    <w:rsid w:val="72050762"/>
    <w:rsid w:val="72122E05"/>
    <w:rsid w:val="7225363D"/>
    <w:rsid w:val="72455CBC"/>
    <w:rsid w:val="727D5794"/>
    <w:rsid w:val="72F765AB"/>
    <w:rsid w:val="73AF0E87"/>
    <w:rsid w:val="73B6B418"/>
    <w:rsid w:val="73E91CC6"/>
    <w:rsid w:val="746F3DF1"/>
    <w:rsid w:val="75C37045"/>
    <w:rsid w:val="760723A4"/>
    <w:rsid w:val="76D506A4"/>
    <w:rsid w:val="76F49B7D"/>
    <w:rsid w:val="775B2373"/>
    <w:rsid w:val="775D7A36"/>
    <w:rsid w:val="78054975"/>
    <w:rsid w:val="780D2EC9"/>
    <w:rsid w:val="78C01E37"/>
    <w:rsid w:val="79236EA2"/>
    <w:rsid w:val="797034BF"/>
    <w:rsid w:val="7A1F6EC5"/>
    <w:rsid w:val="7A406952"/>
    <w:rsid w:val="7A8C22DE"/>
    <w:rsid w:val="7AAE5DB4"/>
    <w:rsid w:val="7B8261FA"/>
    <w:rsid w:val="7B913B8F"/>
    <w:rsid w:val="7BDD9A5C"/>
    <w:rsid w:val="7C387A49"/>
    <w:rsid w:val="7C591904"/>
    <w:rsid w:val="7C92478F"/>
    <w:rsid w:val="7CBF510C"/>
    <w:rsid w:val="7CDB12D7"/>
    <w:rsid w:val="7CF4770A"/>
    <w:rsid w:val="7D565F82"/>
    <w:rsid w:val="7DE35C30"/>
    <w:rsid w:val="7DEF77E7"/>
    <w:rsid w:val="7DFE679C"/>
    <w:rsid w:val="7E1068A1"/>
    <w:rsid w:val="7E710884"/>
    <w:rsid w:val="7EE76221"/>
    <w:rsid w:val="7EFB74E7"/>
    <w:rsid w:val="7F433388"/>
    <w:rsid w:val="7F4E1799"/>
    <w:rsid w:val="7F8222CF"/>
    <w:rsid w:val="7FB99AFC"/>
    <w:rsid w:val="7FDF2D3C"/>
    <w:rsid w:val="95DA999E"/>
    <w:rsid w:val="A2F793F4"/>
    <w:rsid w:val="A377F12E"/>
    <w:rsid w:val="AAEECA80"/>
    <w:rsid w:val="ADFE42DE"/>
    <w:rsid w:val="AF57A193"/>
    <w:rsid w:val="B5FD2A89"/>
    <w:rsid w:val="BB39B87F"/>
    <w:rsid w:val="C37F6FD4"/>
    <w:rsid w:val="DBB7EF9B"/>
    <w:rsid w:val="DC3F77C8"/>
    <w:rsid w:val="DFFFC04D"/>
    <w:rsid w:val="E5FF6D69"/>
    <w:rsid w:val="E65DBF85"/>
    <w:rsid w:val="E77BECCA"/>
    <w:rsid w:val="EFDFF4F1"/>
    <w:rsid w:val="F1FD0C19"/>
    <w:rsid w:val="F7FF9A29"/>
    <w:rsid w:val="F8DEED88"/>
    <w:rsid w:val="F92F84C1"/>
    <w:rsid w:val="FE7F4C9B"/>
    <w:rsid w:val="FEF83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0"/>
    <w:pPr>
      <w:keepNext/>
      <w:widowControl/>
      <w:jc w:val="left"/>
      <w:outlineLvl w:val="0"/>
    </w:pPr>
    <w:rPr>
      <w:b/>
      <w:bCs/>
      <w:kern w:val="0"/>
      <w:sz w:val="24"/>
    </w:rPr>
  </w:style>
  <w:style w:type="paragraph" w:styleId="5">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0"/>
    <w:qFormat/>
    <w:uiPriority w:val="0"/>
    <w:pPr>
      <w:keepNext/>
      <w:outlineLvl w:val="2"/>
    </w:pPr>
    <w:rPr>
      <w:rFonts w:ascii="楷体_GB2312" w:hAnsi="宋体" w:eastAsia="楷体_GB2312"/>
      <w:b/>
      <w:bCs/>
      <w:sz w:val="32"/>
    </w:rPr>
  </w:style>
  <w:style w:type="paragraph" w:styleId="7">
    <w:name w:val="heading 4"/>
    <w:basedOn w:val="1"/>
    <w:next w:val="1"/>
    <w:link w:val="5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8">
    <w:name w:val="heading 5"/>
    <w:basedOn w:val="1"/>
    <w:next w:val="1"/>
    <w:link w:val="52"/>
    <w:qFormat/>
    <w:uiPriority w:val="0"/>
    <w:pPr>
      <w:keepNext/>
      <w:keepLines/>
      <w:widowControl/>
      <w:spacing w:before="280" w:after="290" w:line="376" w:lineRule="auto"/>
      <w:jc w:val="left"/>
      <w:outlineLvl w:val="4"/>
    </w:pPr>
    <w:rPr>
      <w:b/>
      <w:bCs/>
      <w:kern w:val="0"/>
      <w:sz w:val="28"/>
      <w:szCs w:val="28"/>
    </w:rPr>
  </w:style>
  <w:style w:type="paragraph" w:styleId="9">
    <w:name w:val="heading 6"/>
    <w:basedOn w:val="1"/>
    <w:next w:val="1"/>
    <w:link w:val="53"/>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10">
    <w:name w:val="heading 7"/>
    <w:basedOn w:val="1"/>
    <w:next w:val="1"/>
    <w:link w:val="54"/>
    <w:qFormat/>
    <w:uiPriority w:val="0"/>
    <w:pPr>
      <w:keepNext/>
      <w:keepLines/>
      <w:widowControl/>
      <w:spacing w:before="240" w:after="64" w:line="320" w:lineRule="auto"/>
      <w:jc w:val="left"/>
      <w:outlineLvl w:val="6"/>
    </w:pPr>
    <w:rPr>
      <w:b/>
      <w:bCs/>
      <w:kern w:val="0"/>
      <w:sz w:val="24"/>
    </w:rPr>
  </w:style>
  <w:style w:type="paragraph" w:styleId="11">
    <w:name w:val="heading 8"/>
    <w:basedOn w:val="1"/>
    <w:next w:val="1"/>
    <w:link w:val="55"/>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56"/>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pPr>
  </w:style>
  <w:style w:type="paragraph" w:styleId="3">
    <w:name w:val="Body Text Indent"/>
    <w:basedOn w:val="1"/>
    <w:link w:val="76"/>
    <w:qFormat/>
    <w:uiPriority w:val="0"/>
    <w:pPr>
      <w:spacing w:line="560" w:lineRule="exact"/>
      <w:ind w:left="300"/>
    </w:pPr>
    <w:rPr>
      <w:sz w:val="24"/>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Normal Indent"/>
    <w:basedOn w:val="1"/>
    <w:link w:val="106"/>
    <w:qFormat/>
    <w:uiPriority w:val="0"/>
    <w:pPr>
      <w:ind w:firstLine="420" w:firstLineChars="200"/>
    </w:pPr>
    <w:rPr>
      <w:szCs w:val="21"/>
    </w:rPr>
  </w:style>
  <w:style w:type="paragraph" w:styleId="15">
    <w:name w:val="Document Map"/>
    <w:basedOn w:val="1"/>
    <w:link w:val="88"/>
    <w:qFormat/>
    <w:uiPriority w:val="0"/>
    <w:pPr>
      <w:shd w:val="clear" w:color="auto" w:fill="000080"/>
    </w:pPr>
    <w:rPr>
      <w:szCs w:val="20"/>
    </w:rPr>
  </w:style>
  <w:style w:type="paragraph" w:styleId="16">
    <w:name w:val="annotation text"/>
    <w:basedOn w:val="1"/>
    <w:link w:val="63"/>
    <w:qFormat/>
    <w:uiPriority w:val="0"/>
    <w:pPr>
      <w:jc w:val="left"/>
    </w:pPr>
    <w:rPr>
      <w:rFonts w:asciiTheme="minorHAnsi" w:hAnsiTheme="minorHAnsi" w:eastAsiaTheme="minorEastAsia" w:cstheme="minorBidi"/>
    </w:rPr>
  </w:style>
  <w:style w:type="paragraph" w:styleId="17">
    <w:name w:val="Body Text 3"/>
    <w:basedOn w:val="1"/>
    <w:link w:val="81"/>
    <w:qFormat/>
    <w:uiPriority w:val="0"/>
    <w:pPr>
      <w:spacing w:after="120"/>
    </w:pPr>
    <w:rPr>
      <w:sz w:val="16"/>
      <w:szCs w:val="16"/>
    </w:rPr>
  </w:style>
  <w:style w:type="paragraph" w:styleId="18">
    <w:name w:val="Body Text"/>
    <w:basedOn w:val="1"/>
    <w:link w:val="91"/>
    <w:qFormat/>
    <w:uiPriority w:val="0"/>
    <w:pPr>
      <w:spacing w:after="120"/>
    </w:pPr>
  </w:style>
  <w:style w:type="paragraph" w:styleId="19">
    <w:name w:val="toc 5"/>
    <w:basedOn w:val="1"/>
    <w:next w:val="1"/>
    <w:qFormat/>
    <w:uiPriority w:val="0"/>
    <w:pPr>
      <w:ind w:left="840"/>
      <w:jc w:val="left"/>
    </w:pPr>
    <w:rPr>
      <w:rFonts w:ascii="Calibri" w:hAnsi="Calibri" w:cs="Calibri"/>
      <w:sz w:val="18"/>
      <w:szCs w:val="18"/>
    </w:rPr>
  </w:style>
  <w:style w:type="paragraph" w:styleId="20">
    <w:name w:val="toc 3"/>
    <w:basedOn w:val="1"/>
    <w:next w:val="1"/>
    <w:qFormat/>
    <w:uiPriority w:val="39"/>
    <w:pPr>
      <w:ind w:left="420"/>
      <w:jc w:val="left"/>
    </w:pPr>
    <w:rPr>
      <w:rFonts w:ascii="Calibri" w:hAnsi="Calibri" w:cs="Calibri"/>
      <w:i/>
      <w:iCs/>
      <w:sz w:val="20"/>
      <w:szCs w:val="20"/>
    </w:rPr>
  </w:style>
  <w:style w:type="paragraph" w:styleId="21">
    <w:name w:val="Plain Text"/>
    <w:basedOn w:val="1"/>
    <w:link w:val="62"/>
    <w:qFormat/>
    <w:uiPriority w:val="0"/>
    <w:rPr>
      <w:rFonts w:ascii="宋体" w:hAnsi="Courier New" w:cs="Courier New" w:eastAsiaTheme="minorEastAsia"/>
      <w:szCs w:val="21"/>
    </w:rPr>
  </w:style>
  <w:style w:type="paragraph" w:styleId="22">
    <w:name w:val="toc 8"/>
    <w:basedOn w:val="1"/>
    <w:next w:val="1"/>
    <w:qFormat/>
    <w:uiPriority w:val="0"/>
    <w:pPr>
      <w:ind w:left="1470"/>
      <w:jc w:val="left"/>
    </w:pPr>
    <w:rPr>
      <w:rFonts w:ascii="Calibri" w:hAnsi="Calibri" w:cs="Calibri"/>
      <w:sz w:val="18"/>
      <w:szCs w:val="18"/>
    </w:rPr>
  </w:style>
  <w:style w:type="paragraph" w:styleId="23">
    <w:name w:val="Date"/>
    <w:basedOn w:val="1"/>
    <w:next w:val="1"/>
    <w:link w:val="94"/>
    <w:qFormat/>
    <w:uiPriority w:val="0"/>
    <w:pPr>
      <w:widowControl/>
    </w:pPr>
    <w:rPr>
      <w:rFonts w:ascii="宋体"/>
      <w:kern w:val="0"/>
      <w:szCs w:val="20"/>
    </w:rPr>
  </w:style>
  <w:style w:type="paragraph" w:styleId="24">
    <w:name w:val="Body Text Indent 2"/>
    <w:basedOn w:val="1"/>
    <w:link w:val="92"/>
    <w:qFormat/>
    <w:uiPriority w:val="0"/>
    <w:pPr>
      <w:spacing w:line="540" w:lineRule="exact"/>
      <w:ind w:left="462" w:leftChars="220"/>
    </w:pPr>
    <w:rPr>
      <w:sz w:val="24"/>
    </w:rPr>
  </w:style>
  <w:style w:type="paragraph" w:styleId="25">
    <w:name w:val="Balloon Text"/>
    <w:basedOn w:val="1"/>
    <w:link w:val="59"/>
    <w:qFormat/>
    <w:uiPriority w:val="0"/>
    <w:rPr>
      <w:rFonts w:asciiTheme="minorHAnsi" w:hAnsiTheme="minorHAnsi" w:cstheme="minorBidi"/>
      <w:sz w:val="18"/>
      <w:szCs w:val="22"/>
    </w:rPr>
  </w:style>
  <w:style w:type="paragraph" w:styleId="26">
    <w:name w:val="footer"/>
    <w:basedOn w:val="1"/>
    <w:link w:val="47"/>
    <w:unhideWhenUsed/>
    <w:qFormat/>
    <w:uiPriority w:val="0"/>
    <w:pPr>
      <w:tabs>
        <w:tab w:val="center" w:pos="4153"/>
        <w:tab w:val="right" w:pos="8306"/>
      </w:tabs>
      <w:snapToGrid w:val="0"/>
      <w:jc w:val="left"/>
    </w:pPr>
    <w:rPr>
      <w:sz w:val="18"/>
      <w:szCs w:val="18"/>
    </w:rPr>
  </w:style>
  <w:style w:type="paragraph" w:styleId="27">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rFonts w:ascii="Calibri" w:hAnsi="Calibri" w:cs="Calibri"/>
      <w:b/>
      <w:bCs/>
      <w:caps/>
      <w:szCs w:val="20"/>
    </w:rPr>
  </w:style>
  <w:style w:type="paragraph" w:styleId="29">
    <w:name w:val="toc 4"/>
    <w:basedOn w:val="1"/>
    <w:next w:val="1"/>
    <w:qFormat/>
    <w:uiPriority w:val="0"/>
    <w:pPr>
      <w:ind w:left="630"/>
      <w:jc w:val="left"/>
    </w:pPr>
    <w:rPr>
      <w:rFonts w:ascii="Calibri" w:hAnsi="Calibri" w:cs="Calibri"/>
      <w:sz w:val="18"/>
      <w:szCs w:val="18"/>
    </w:rPr>
  </w:style>
  <w:style w:type="paragraph" w:styleId="30">
    <w:name w:val="toc 6"/>
    <w:basedOn w:val="1"/>
    <w:next w:val="1"/>
    <w:qFormat/>
    <w:uiPriority w:val="0"/>
    <w:pPr>
      <w:ind w:left="1050"/>
      <w:jc w:val="left"/>
    </w:pPr>
    <w:rPr>
      <w:rFonts w:ascii="Calibri" w:hAnsi="Calibri" w:cs="Calibri"/>
      <w:sz w:val="18"/>
      <w:szCs w:val="18"/>
    </w:rPr>
  </w:style>
  <w:style w:type="paragraph" w:styleId="31">
    <w:name w:val="Body Text Indent 3"/>
    <w:basedOn w:val="1"/>
    <w:link w:val="97"/>
    <w:qFormat/>
    <w:uiPriority w:val="0"/>
    <w:pPr>
      <w:spacing w:after="120"/>
      <w:ind w:left="420" w:leftChars="200"/>
    </w:pPr>
    <w:rPr>
      <w:sz w:val="16"/>
      <w:szCs w:val="16"/>
    </w:rPr>
  </w:style>
  <w:style w:type="paragraph" w:styleId="32">
    <w:name w:val="toc 2"/>
    <w:basedOn w:val="1"/>
    <w:next w:val="1"/>
    <w:qFormat/>
    <w:uiPriority w:val="39"/>
    <w:pPr>
      <w:ind w:left="210"/>
      <w:jc w:val="left"/>
    </w:pPr>
    <w:rPr>
      <w:rFonts w:ascii="Calibri" w:hAnsi="Calibri" w:cs="Calibri"/>
      <w:smallCaps/>
      <w:szCs w:val="20"/>
    </w:rPr>
  </w:style>
  <w:style w:type="paragraph" w:styleId="33">
    <w:name w:val="toc 9"/>
    <w:basedOn w:val="1"/>
    <w:next w:val="1"/>
    <w:qFormat/>
    <w:uiPriority w:val="0"/>
    <w:pPr>
      <w:ind w:left="1680"/>
      <w:jc w:val="left"/>
    </w:pPr>
    <w:rPr>
      <w:rFonts w:ascii="Calibri" w:hAnsi="Calibri" w:cs="Calibri"/>
      <w:sz w:val="18"/>
      <w:szCs w:val="18"/>
    </w:rPr>
  </w:style>
  <w:style w:type="paragraph" w:styleId="34">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kern w:val="0"/>
      <w:sz w:val="24"/>
    </w:rPr>
  </w:style>
  <w:style w:type="paragraph" w:styleId="36">
    <w:name w:val="annotation subject"/>
    <w:basedOn w:val="16"/>
    <w:next w:val="16"/>
    <w:link w:val="87"/>
    <w:semiHidden/>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themeColor="followedHyperlink"/>
      <w:u w:val="single"/>
      <w14:textFill>
        <w14:solidFill>
          <w14:schemeClr w14:val="folHlink"/>
        </w14:solidFill>
      </w14:textFill>
    </w:rPr>
  </w:style>
  <w:style w:type="character" w:styleId="43">
    <w:name w:val="Emphasis"/>
    <w:qFormat/>
    <w:uiPriority w:val="20"/>
    <w:rPr>
      <w:color w:val="CC0000"/>
    </w:rPr>
  </w:style>
  <w:style w:type="character" w:styleId="44">
    <w:name w:val="Hyperlink"/>
    <w:basedOn w:val="39"/>
    <w:qFormat/>
    <w:uiPriority w:val="99"/>
    <w:rPr>
      <w:rFonts w:eastAsia="宋体"/>
      <w:color w:val="0000FF"/>
      <w:sz w:val="28"/>
      <w:u w:val="single"/>
    </w:rPr>
  </w:style>
  <w:style w:type="character" w:styleId="45">
    <w:name w:val="annotation reference"/>
    <w:qFormat/>
    <w:uiPriority w:val="0"/>
    <w:rPr>
      <w:sz w:val="21"/>
      <w:szCs w:val="21"/>
    </w:rPr>
  </w:style>
  <w:style w:type="character" w:customStyle="1" w:styleId="46">
    <w:name w:val="页眉 字符"/>
    <w:basedOn w:val="39"/>
    <w:link w:val="27"/>
    <w:qFormat/>
    <w:uiPriority w:val="0"/>
    <w:rPr>
      <w:sz w:val="18"/>
      <w:szCs w:val="18"/>
    </w:rPr>
  </w:style>
  <w:style w:type="character" w:customStyle="1" w:styleId="47">
    <w:name w:val="页脚 字符"/>
    <w:basedOn w:val="39"/>
    <w:link w:val="26"/>
    <w:qFormat/>
    <w:uiPriority w:val="0"/>
    <w:rPr>
      <w:sz w:val="18"/>
      <w:szCs w:val="18"/>
    </w:rPr>
  </w:style>
  <w:style w:type="character" w:customStyle="1" w:styleId="48">
    <w:name w:val="标题 1 字符"/>
    <w:basedOn w:val="39"/>
    <w:link w:val="4"/>
    <w:qFormat/>
    <w:uiPriority w:val="0"/>
    <w:rPr>
      <w:rFonts w:ascii="Times New Roman" w:hAnsi="Times New Roman" w:eastAsia="宋体" w:cs="Times New Roman"/>
      <w:b/>
      <w:bCs/>
      <w:kern w:val="0"/>
      <w:sz w:val="24"/>
      <w:szCs w:val="24"/>
    </w:rPr>
  </w:style>
  <w:style w:type="character" w:customStyle="1" w:styleId="49">
    <w:name w:val="标题 2 字符"/>
    <w:basedOn w:val="39"/>
    <w:link w:val="5"/>
    <w:qFormat/>
    <w:uiPriority w:val="0"/>
    <w:rPr>
      <w:rFonts w:ascii="Arial" w:hAnsi="Arial" w:eastAsia="黑体" w:cs="Times New Roman"/>
      <w:b/>
      <w:bCs/>
      <w:sz w:val="32"/>
      <w:szCs w:val="32"/>
    </w:rPr>
  </w:style>
  <w:style w:type="character" w:customStyle="1" w:styleId="50">
    <w:name w:val="标题 3 字符"/>
    <w:basedOn w:val="39"/>
    <w:link w:val="6"/>
    <w:qFormat/>
    <w:uiPriority w:val="0"/>
    <w:rPr>
      <w:rFonts w:ascii="楷体_GB2312" w:hAnsi="宋体" w:eastAsia="楷体_GB2312" w:cs="Times New Roman"/>
      <w:b/>
      <w:bCs/>
      <w:sz w:val="32"/>
      <w:szCs w:val="24"/>
    </w:rPr>
  </w:style>
  <w:style w:type="character" w:customStyle="1" w:styleId="51">
    <w:name w:val="标题 4 字符"/>
    <w:basedOn w:val="39"/>
    <w:link w:val="7"/>
    <w:qFormat/>
    <w:uiPriority w:val="0"/>
    <w:rPr>
      <w:rFonts w:ascii="Arial" w:hAnsi="Arial" w:eastAsia="黑体" w:cs="Times New Roman"/>
      <w:b/>
      <w:bCs/>
      <w:kern w:val="0"/>
      <w:sz w:val="28"/>
      <w:szCs w:val="28"/>
    </w:rPr>
  </w:style>
  <w:style w:type="character" w:customStyle="1" w:styleId="52">
    <w:name w:val="标题 5 字符"/>
    <w:basedOn w:val="39"/>
    <w:link w:val="8"/>
    <w:qFormat/>
    <w:uiPriority w:val="0"/>
    <w:rPr>
      <w:rFonts w:ascii="Times New Roman" w:hAnsi="Times New Roman" w:eastAsia="宋体" w:cs="Times New Roman"/>
      <w:b/>
      <w:bCs/>
      <w:kern w:val="0"/>
      <w:sz w:val="28"/>
      <w:szCs w:val="28"/>
    </w:rPr>
  </w:style>
  <w:style w:type="character" w:customStyle="1" w:styleId="53">
    <w:name w:val="标题 6 字符"/>
    <w:basedOn w:val="39"/>
    <w:link w:val="9"/>
    <w:qFormat/>
    <w:uiPriority w:val="0"/>
    <w:rPr>
      <w:rFonts w:ascii="Arial" w:hAnsi="Arial" w:eastAsia="黑体" w:cs="Times New Roman"/>
      <w:b/>
      <w:bCs/>
      <w:kern w:val="0"/>
      <w:sz w:val="24"/>
      <w:szCs w:val="24"/>
    </w:rPr>
  </w:style>
  <w:style w:type="character" w:customStyle="1" w:styleId="54">
    <w:name w:val="标题 7 字符"/>
    <w:basedOn w:val="39"/>
    <w:link w:val="10"/>
    <w:qFormat/>
    <w:uiPriority w:val="0"/>
    <w:rPr>
      <w:rFonts w:ascii="Times New Roman" w:hAnsi="Times New Roman" w:eastAsia="宋体" w:cs="Times New Roman"/>
      <w:b/>
      <w:bCs/>
      <w:kern w:val="0"/>
      <w:sz w:val="24"/>
      <w:szCs w:val="24"/>
    </w:rPr>
  </w:style>
  <w:style w:type="character" w:customStyle="1" w:styleId="55">
    <w:name w:val="标题 8 字符"/>
    <w:basedOn w:val="39"/>
    <w:link w:val="11"/>
    <w:qFormat/>
    <w:uiPriority w:val="0"/>
    <w:rPr>
      <w:rFonts w:ascii="Arial" w:hAnsi="Arial" w:eastAsia="黑体" w:cs="Times New Roman"/>
      <w:kern w:val="0"/>
      <w:sz w:val="24"/>
      <w:szCs w:val="24"/>
    </w:rPr>
  </w:style>
  <w:style w:type="character" w:customStyle="1" w:styleId="56">
    <w:name w:val="标题 9 字符"/>
    <w:basedOn w:val="39"/>
    <w:link w:val="12"/>
    <w:qFormat/>
    <w:uiPriority w:val="0"/>
    <w:rPr>
      <w:rFonts w:ascii="Arial" w:hAnsi="Arial" w:eastAsia="黑体" w:cs="Times New Roman"/>
      <w:kern w:val="0"/>
      <w:szCs w:val="21"/>
    </w:rPr>
  </w:style>
  <w:style w:type="character" w:customStyle="1" w:styleId="57">
    <w:name w:val="f141"/>
    <w:qFormat/>
    <w:uiPriority w:val="0"/>
    <w:rPr>
      <w:sz w:val="21"/>
      <w:szCs w:val="21"/>
    </w:rPr>
  </w:style>
  <w:style w:type="character" w:customStyle="1" w:styleId="58">
    <w:name w:val="p141"/>
    <w:qFormat/>
    <w:uiPriority w:val="0"/>
    <w:rPr>
      <w:sz w:val="21"/>
      <w:szCs w:val="21"/>
    </w:rPr>
  </w:style>
  <w:style w:type="character" w:customStyle="1" w:styleId="59">
    <w:name w:val="批注框文本 字符"/>
    <w:link w:val="25"/>
    <w:qFormat/>
    <w:locked/>
    <w:uiPriority w:val="0"/>
    <w:rPr>
      <w:rFonts w:eastAsia="宋体"/>
      <w:sz w:val="18"/>
    </w:rPr>
  </w:style>
  <w:style w:type="paragraph" w:customStyle="1" w:styleId="60">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s10pv000000"/>
    <w:basedOn w:val="39"/>
    <w:qFormat/>
    <w:uiPriority w:val="0"/>
  </w:style>
  <w:style w:type="character" w:customStyle="1" w:styleId="62">
    <w:name w:val="纯文本 字符"/>
    <w:link w:val="21"/>
    <w:qFormat/>
    <w:uiPriority w:val="0"/>
    <w:rPr>
      <w:rFonts w:ascii="宋体" w:hAnsi="Courier New" w:cs="Courier New"/>
      <w:szCs w:val="21"/>
    </w:rPr>
  </w:style>
  <w:style w:type="character" w:customStyle="1" w:styleId="63">
    <w:name w:val="批注文字 字符"/>
    <w:link w:val="16"/>
    <w:qFormat/>
    <w:uiPriority w:val="0"/>
    <w:rPr>
      <w:szCs w:val="24"/>
    </w:rPr>
  </w:style>
  <w:style w:type="paragraph" w:customStyle="1" w:styleId="64">
    <w:name w:val="样式 标题 4 + 段前: 5 磅 段后: 5 磅 行距: 单倍行距"/>
    <w:basedOn w:val="7"/>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基准标题"/>
    <w:basedOn w:val="18"/>
    <w:next w:val="18"/>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7">
    <w:name w:val="表格"/>
    <w:basedOn w:val="1"/>
    <w:qFormat/>
    <w:uiPriority w:val="0"/>
    <w:pPr>
      <w:spacing w:line="420" w:lineRule="exact"/>
      <w:ind w:left="84" w:leftChars="40"/>
      <w:jc w:val="center"/>
    </w:pPr>
    <w:rPr>
      <w:rFonts w:ascii="宋体" w:hAnsi="宋体"/>
      <w:bCs/>
      <w:spacing w:val="-12"/>
    </w:rPr>
  </w:style>
  <w:style w:type="paragraph" w:customStyle="1" w:styleId="68">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9">
    <w:name w:val="样式4"/>
    <w:basedOn w:val="1"/>
    <w:qFormat/>
    <w:uiPriority w:val="0"/>
    <w:pPr>
      <w:tabs>
        <w:tab w:val="left" w:pos="2328"/>
      </w:tabs>
      <w:ind w:left="2328" w:hanging="708"/>
    </w:pPr>
  </w:style>
  <w:style w:type="paragraph" w:customStyle="1" w:styleId="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
    <w:name w:val="3 Char"/>
    <w:basedOn w:val="1"/>
    <w:qFormat/>
    <w:uiPriority w:val="0"/>
    <w:pPr>
      <w:widowControl/>
      <w:spacing w:line="400" w:lineRule="exact"/>
      <w:jc w:val="center"/>
    </w:pPr>
    <w:rPr>
      <w:rFonts w:ascii="Verdana" w:hAnsi="Verdana"/>
      <w:kern w:val="0"/>
      <w:szCs w:val="20"/>
      <w:lang w:eastAsia="en-US"/>
    </w:rPr>
  </w:style>
  <w:style w:type="character" w:customStyle="1" w:styleId="72">
    <w:name w:val="批注文字 Char1"/>
    <w:basedOn w:val="39"/>
    <w:semiHidden/>
    <w:qFormat/>
    <w:uiPriority w:val="99"/>
    <w:rPr>
      <w:rFonts w:ascii="Times New Roman" w:hAnsi="Times New Roman" w:eastAsia="宋体" w:cs="Times New Roman"/>
      <w:szCs w:val="24"/>
    </w:rPr>
  </w:style>
  <w:style w:type="paragraph" w:customStyle="1" w:styleId="73">
    <w:name w:val="样式 标题 2 + 宋体 五号 非加粗 黑色"/>
    <w:basedOn w:val="5"/>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74">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76">
    <w:name w:val="正文文本缩进 字符"/>
    <w:basedOn w:val="39"/>
    <w:link w:val="3"/>
    <w:qFormat/>
    <w:uiPriority w:val="0"/>
    <w:rPr>
      <w:rFonts w:ascii="Times New Roman" w:hAnsi="Times New Roman" w:eastAsia="宋体" w:cs="Times New Roman"/>
      <w:sz w:val="24"/>
      <w:szCs w:val="24"/>
    </w:rPr>
  </w:style>
  <w:style w:type="paragraph" w:customStyle="1" w:styleId="77">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7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0">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81">
    <w:name w:val="正文文本 3 字符"/>
    <w:basedOn w:val="39"/>
    <w:link w:val="17"/>
    <w:qFormat/>
    <w:uiPriority w:val="0"/>
    <w:rPr>
      <w:rFonts w:ascii="Times New Roman" w:hAnsi="Times New Roman" w:eastAsia="宋体" w:cs="Times New Roman"/>
      <w:sz w:val="16"/>
      <w:szCs w:val="16"/>
    </w:rPr>
  </w:style>
  <w:style w:type="paragraph" w:customStyle="1" w:styleId="8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83">
    <w:name w:val="列出段落1"/>
    <w:basedOn w:val="1"/>
    <w:qFormat/>
    <w:uiPriority w:val="34"/>
    <w:pPr>
      <w:ind w:firstLine="420" w:firstLineChars="200"/>
    </w:pPr>
  </w:style>
  <w:style w:type="paragraph" w:customStyle="1" w:styleId="84">
    <w:name w:val="默认段落字体 Para Char Char Char Char"/>
    <w:basedOn w:val="1"/>
    <w:qFormat/>
    <w:uiPriority w:val="0"/>
    <w:rPr>
      <w:szCs w:val="20"/>
    </w:rPr>
  </w:style>
  <w:style w:type="paragraph" w:customStyle="1" w:styleId="8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87">
    <w:name w:val="批注主题 字符"/>
    <w:basedOn w:val="72"/>
    <w:link w:val="36"/>
    <w:semiHidden/>
    <w:qFormat/>
    <w:uiPriority w:val="0"/>
    <w:rPr>
      <w:rFonts w:ascii="Times New Roman" w:hAnsi="Times New Roman" w:eastAsia="宋体" w:cs="Times New Roman"/>
      <w:b/>
      <w:bCs/>
      <w:szCs w:val="24"/>
    </w:rPr>
  </w:style>
  <w:style w:type="character" w:customStyle="1" w:styleId="88">
    <w:name w:val="文档结构图 字符"/>
    <w:basedOn w:val="39"/>
    <w:link w:val="15"/>
    <w:qFormat/>
    <w:uiPriority w:val="0"/>
    <w:rPr>
      <w:rFonts w:ascii="Times New Roman" w:hAnsi="Times New Roman" w:eastAsia="宋体" w:cs="Times New Roman"/>
      <w:szCs w:val="20"/>
      <w:shd w:val="clear" w:color="auto" w:fill="000080"/>
    </w:rPr>
  </w:style>
  <w:style w:type="paragraph" w:customStyle="1" w:styleId="89">
    <w:name w:val="Char Char Char Char Char Char Char"/>
    <w:basedOn w:val="1"/>
    <w:qFormat/>
    <w:uiPriority w:val="0"/>
    <w:rPr>
      <w:rFonts w:ascii="Tahoma" w:hAnsi="Tahoma" w:cs="Tahoma"/>
      <w:sz w:val="30"/>
      <w:szCs w:val="30"/>
    </w:rPr>
  </w:style>
  <w:style w:type="paragraph" w:customStyle="1" w:styleId="90">
    <w:name w:val="样式 标题 3h3H3sect1.2.3 + 五号 段前: 6 磅 段后: 6 磅 行距: 单倍行距"/>
    <w:basedOn w:val="6"/>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character" w:customStyle="1" w:styleId="91">
    <w:name w:val="正文文本 字符"/>
    <w:basedOn w:val="39"/>
    <w:link w:val="18"/>
    <w:qFormat/>
    <w:uiPriority w:val="0"/>
    <w:rPr>
      <w:rFonts w:ascii="Times New Roman" w:hAnsi="Times New Roman" w:eastAsia="宋体" w:cs="Times New Roman"/>
      <w:szCs w:val="24"/>
    </w:rPr>
  </w:style>
  <w:style w:type="character" w:customStyle="1" w:styleId="92">
    <w:name w:val="正文文本缩进 2 字符"/>
    <w:basedOn w:val="39"/>
    <w:link w:val="24"/>
    <w:qFormat/>
    <w:uiPriority w:val="0"/>
    <w:rPr>
      <w:rFonts w:ascii="Times New Roman" w:hAnsi="Times New Roman" w:eastAsia="宋体" w:cs="Times New Roman"/>
      <w:sz w:val="24"/>
      <w:szCs w:val="24"/>
    </w:rPr>
  </w:style>
  <w:style w:type="character" w:customStyle="1" w:styleId="93">
    <w:name w:val="纯文本 Char1"/>
    <w:basedOn w:val="39"/>
    <w:qFormat/>
    <w:uiPriority w:val="0"/>
    <w:rPr>
      <w:rFonts w:ascii="宋体" w:hAnsi="Courier New" w:eastAsia="宋体" w:cs="Courier New"/>
      <w:szCs w:val="21"/>
    </w:rPr>
  </w:style>
  <w:style w:type="character" w:customStyle="1" w:styleId="94">
    <w:name w:val="日期 字符"/>
    <w:basedOn w:val="39"/>
    <w:link w:val="23"/>
    <w:qFormat/>
    <w:uiPriority w:val="0"/>
    <w:rPr>
      <w:rFonts w:ascii="宋体" w:hAnsi="Times New Roman" w:eastAsia="宋体" w:cs="Times New Roman"/>
      <w:kern w:val="0"/>
      <w:szCs w:val="20"/>
    </w:rPr>
  </w:style>
  <w:style w:type="character" w:customStyle="1" w:styleId="95">
    <w:name w:val="批注框文本 Char1"/>
    <w:basedOn w:val="39"/>
    <w:semiHidden/>
    <w:qFormat/>
    <w:uiPriority w:val="99"/>
    <w:rPr>
      <w:rFonts w:ascii="Times New Roman" w:hAnsi="Times New Roman" w:eastAsia="宋体" w:cs="Times New Roman"/>
      <w:sz w:val="18"/>
      <w:szCs w:val="18"/>
    </w:rPr>
  </w:style>
  <w:style w:type="character" w:customStyle="1" w:styleId="96">
    <w:name w:val="HTML 预设格式 字符"/>
    <w:basedOn w:val="39"/>
    <w:link w:val="34"/>
    <w:qFormat/>
    <w:uiPriority w:val="0"/>
    <w:rPr>
      <w:rFonts w:ascii="黑体" w:hAnsi="Courier New" w:eastAsia="黑体" w:cs="Courier New"/>
      <w:kern w:val="0"/>
      <w:sz w:val="20"/>
      <w:szCs w:val="20"/>
    </w:rPr>
  </w:style>
  <w:style w:type="character" w:customStyle="1" w:styleId="97">
    <w:name w:val="正文文本缩进 3 字符"/>
    <w:basedOn w:val="39"/>
    <w:link w:val="31"/>
    <w:qFormat/>
    <w:uiPriority w:val="0"/>
    <w:rPr>
      <w:rFonts w:ascii="Times New Roman" w:hAnsi="Times New Roman" w:eastAsia="宋体" w:cs="Times New Roman"/>
      <w:sz w:val="16"/>
      <w:szCs w:val="16"/>
    </w:rPr>
  </w:style>
  <w:style w:type="paragraph" w:customStyle="1" w:styleId="98">
    <w:name w:val="Char1 Char Char Char"/>
    <w:basedOn w:val="1"/>
    <w:qFormat/>
    <w:uiPriority w:val="0"/>
    <w:rPr>
      <w:szCs w:val="20"/>
    </w:rPr>
  </w:style>
  <w:style w:type="paragraph" w:customStyle="1" w:styleId="99">
    <w:name w:val="Char1"/>
    <w:basedOn w:val="1"/>
    <w:qFormat/>
    <w:uiPriority w:val="0"/>
    <w:pPr>
      <w:widowControl/>
      <w:spacing w:after="160" w:line="240" w:lineRule="exact"/>
      <w:jc w:val="left"/>
    </w:pPr>
    <w:rPr>
      <w:sz w:val="24"/>
    </w:rPr>
  </w:style>
  <w:style w:type="paragraph" w:customStyle="1" w:styleId="100">
    <w:name w:val="默认段落字体 Para Char"/>
    <w:basedOn w:val="1"/>
    <w:qFormat/>
    <w:uiPriority w:val="0"/>
  </w:style>
  <w:style w:type="paragraph" w:customStyle="1" w:styleId="101">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02">
    <w:name w:val="TOC 标题1"/>
    <w:basedOn w:val="4"/>
    <w:next w:val="1"/>
    <w:qFormat/>
    <w:uiPriority w:val="39"/>
    <w:pPr>
      <w:keepLines/>
      <w:spacing w:before="480" w:line="276" w:lineRule="auto"/>
      <w:outlineLvl w:val="9"/>
    </w:pPr>
    <w:rPr>
      <w:rFonts w:ascii="Cambria" w:hAnsi="Cambria"/>
      <w:color w:val="365F91"/>
      <w:sz w:val="28"/>
      <w:szCs w:val="28"/>
    </w:rPr>
  </w:style>
  <w:style w:type="paragraph" w:customStyle="1" w:styleId="10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4">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5">
    <w:name w:val="Char Char2 Char"/>
    <w:basedOn w:val="1"/>
    <w:qFormat/>
    <w:uiPriority w:val="0"/>
    <w:rPr>
      <w:rFonts w:ascii="宋体" w:hAnsi="宋体"/>
      <w:b/>
      <w:sz w:val="28"/>
      <w:szCs w:val="28"/>
    </w:rPr>
  </w:style>
  <w:style w:type="character" w:customStyle="1" w:styleId="106">
    <w:name w:val="正文缩进 字符"/>
    <w:link w:val="14"/>
    <w:qFormat/>
    <w:uiPriority w:val="0"/>
    <w:rPr>
      <w:rFonts w:ascii="Times New Roman" w:hAnsi="Times New Roman" w:eastAsia="宋体" w:cs="Times New Roman"/>
      <w:szCs w:val="21"/>
    </w:rPr>
  </w:style>
  <w:style w:type="paragraph" w:customStyle="1" w:styleId="107">
    <w:name w:val="Char Char Char"/>
    <w:basedOn w:val="1"/>
    <w:qFormat/>
    <w:uiPriority w:val="0"/>
    <w:rPr>
      <w:rFonts w:ascii="宋体" w:hAnsi="宋体"/>
      <w:b/>
      <w:sz w:val="28"/>
      <w:szCs w:val="28"/>
    </w:rPr>
  </w:style>
  <w:style w:type="paragraph" w:customStyle="1" w:styleId="108">
    <w:name w:val="Char2"/>
    <w:basedOn w:val="1"/>
    <w:qFormat/>
    <w:uiPriority w:val="0"/>
    <w:pPr>
      <w:widowControl/>
      <w:spacing w:after="160" w:line="240" w:lineRule="exact"/>
      <w:jc w:val="left"/>
    </w:pPr>
    <w:rPr>
      <w:szCs w:val="20"/>
    </w:rPr>
  </w:style>
  <w:style w:type="paragraph" w:customStyle="1" w:styleId="109">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明显参考1"/>
    <w:qFormat/>
    <w:uiPriority w:val="32"/>
    <w:rPr>
      <w:b/>
      <w:bCs/>
      <w:smallCaps/>
      <w:color w:val="C0504D"/>
      <w:spacing w:val="5"/>
      <w:u w:val="single"/>
    </w:rPr>
  </w:style>
  <w:style w:type="paragraph" w:customStyle="1" w:styleId="11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2">
    <w:name w:val="列出段落11"/>
    <w:basedOn w:val="1"/>
    <w:qFormat/>
    <w:uiPriority w:val="34"/>
    <w:pPr>
      <w:ind w:firstLine="420" w:firstLineChars="200"/>
    </w:pPr>
  </w:style>
  <w:style w:type="paragraph" w:styleId="113">
    <w:name w:val="List Paragraph"/>
    <w:basedOn w:val="1"/>
    <w:link w:val="120"/>
    <w:qFormat/>
    <w:uiPriority w:val="34"/>
    <w:pPr>
      <w:ind w:firstLine="420" w:firstLineChars="200"/>
    </w:pPr>
  </w:style>
  <w:style w:type="character" w:customStyle="1" w:styleId="114">
    <w:name w:val="rec-status-desc"/>
    <w:basedOn w:val="39"/>
    <w:qFormat/>
    <w:uiPriority w:val="0"/>
  </w:style>
  <w:style w:type="character" w:customStyle="1" w:styleId="115">
    <w:name w:val="rec-volume"/>
    <w:basedOn w:val="39"/>
    <w:qFormat/>
    <w:uiPriority w:val="0"/>
  </w:style>
  <w:style w:type="character" w:customStyle="1" w:styleId="116">
    <w:name w:val="rec-time"/>
    <w:basedOn w:val="39"/>
    <w:qFormat/>
    <w:uiPriority w:val="0"/>
  </w:style>
  <w:style w:type="paragraph" w:customStyle="1" w:styleId="117">
    <w:name w:val="WPSOffice手动目录 1"/>
    <w:qFormat/>
    <w:uiPriority w:val="0"/>
    <w:rPr>
      <w:rFonts w:ascii="Times New Roman" w:hAnsi="Times New Roman" w:eastAsia="宋体" w:cs="Times New Roman"/>
      <w:lang w:val="en-US" w:eastAsia="zh-CN" w:bidi="ar-SA"/>
    </w:rPr>
  </w:style>
  <w:style w:type="paragraph" w:customStyle="1" w:styleId="1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0">
    <w:name w:val="列表段落 字符"/>
    <w:link w:val="113"/>
    <w:qFormat/>
    <w:uiPriority w:val="34"/>
    <w:rPr>
      <w:kern w:val="2"/>
      <w:sz w:val="21"/>
      <w:szCs w:val="24"/>
    </w:rPr>
  </w:style>
  <w:style w:type="paragraph" w:customStyle="1" w:styleId="12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Normal_13"/>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37</Pages>
  <Words>18214</Words>
  <Characters>18809</Characters>
  <Lines>187</Lines>
  <Paragraphs>52</Paragraphs>
  <TotalTime>3</TotalTime>
  <ScaleCrop>false</ScaleCrop>
  <LinksUpToDate>false</LinksUpToDate>
  <CharactersWithSpaces>19521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2023-10-09T04:13:00Z</dcterms:created>
  <dc:creator>HXM</dc:creator>
  <cp:lastModifiedBy>ggh</cp:lastModifiedBy>
  <cp:lastPrinted>2025-05-21T02:52:00Z</cp:lastPrinted>
  <dcterms:modified xsi:type="dcterms:W3CDTF">2025-05-26T09:52:20Z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D586F1F60B84413083BD76C6008EF7EF</vt:lpwstr>
  </property>
  <property fmtid="{D5CDD505-2E9C-101B-9397-08002B2CF9AE}" pid="4" name="KSOTemplateDocerSaveRecord">
    <vt:lpwstr>eyJoZGlkIjoiNTY4NjNjOGQ3OGFmZGI2ZDg3OWJlNDJlMzUxZDRjMDUiLCJ1c2VySWQiOiI1OTIwNDM3MjYifQ==</vt:lpwstr>
  </property>
</Properties>
</file>