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widowControl w:val="0"/>
        <w:tabs>
          <w:tab w:val="left" w:pos="2790"/>
        </w:tabs>
        <w:snapToGrid w:val="0"/>
        <w:jc w:val="center"/>
        <w:outlineLvl w:val="0"/>
        <w:rPr>
          <w:rFonts w:ascii="黑体" w:eastAsia="黑体" w:hAnsi="黑体" w:hint="eastAsia"/>
          <w:kern w:val="2"/>
          <w:sz w:val="40"/>
          <w:szCs w:val="40"/>
          <w:lang w:eastAsia="zh-CN"/>
        </w:rPr>
      </w:pP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LHAZXDL-2024-00080</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医疗设备一批（医用输血输液加温器等）</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tabs>
          <w:tab w:val="left" w:pos="2790"/>
        </w:tabs>
        <w:snapToGrid w:val="0"/>
        <w:jc w:val="both"/>
        <w:outlineLvl w:val="9"/>
        <w:rPr>
          <w:rFonts w:ascii="宋体" w:eastAsia="宋体" w:hAnsi="宋体" w:cs="宋体" w:hint="eastAsia"/>
          <w:kern w:val="2"/>
          <w:sz w:val="32"/>
          <w:szCs w:val="32"/>
          <w:lang w:eastAsia="zh-CN"/>
        </w:rPr>
      </w:pPr>
    </w:p>
    <w:p>
      <w:pPr>
        <w:widowControl w:val="0"/>
        <w:spacing w:line="360" w:lineRule="auto"/>
        <w:jc w:val="both"/>
        <w:rPr>
          <w:rFonts w:ascii="Calibri" w:eastAsia="宋体" w:hAnsi="Calibri" w:hint="eastAsia"/>
          <w:b/>
          <w:bCs/>
          <w:kern w:val="2"/>
          <w:szCs w:val="22"/>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未按招标文件所提供的样式填写《投标函》、《股东构成审查表》；未按招标文件所提供的《政府采购投标及履约承诺函》进行承诺；未按招标文件对投标文件组成的要求提供投标文件；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63"/>
        <w:gridCol w:w="613"/>
        <w:gridCol w:w="676"/>
        <w:gridCol w:w="2817"/>
        <w:gridCol w:w="676"/>
        <w:gridCol w:w="3885"/>
        <w:gridCol w:w="63"/>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gridBefore w:val="1"/>
          <w:wBefore w:w="63" w:type="dxa"/>
          <w:tblCellSpacing w:w="0" w:type="dxa"/>
          <w:jc w:val="center"/>
        </w:trPr>
        <w:tc>
          <w:tcPr>
            <w:tcW w:w="8730" w:type="dxa"/>
            <w:gridSpan w:val="6"/>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gridBefore w:val="1"/>
          <w:wBefore w:w="63" w:type="dxa"/>
          <w:tblCellSpacing w:w="0" w:type="dxa"/>
          <w:jc w:val="center"/>
        </w:trPr>
        <w:tc>
          <w:tcPr>
            <w:tcW w:w="8730" w:type="dxa"/>
            <w:gridSpan w:val="6"/>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采用低价优先法计算，即满足招标文件要求且投标价格最低的投标报价为评标基准价，其价格分为满分。其他投标人的价格分统一按照下列公式计算：</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投标报价得分=(评标基准价／投标报价)×100</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评标总得分＝F1×A1＋F2×A2＋……＋Fn×An</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F1、F2……Fn分别为各项评审因素的得分；</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A1、A2、……An分别为各项评审因素所占的权重(A1＋A2＋……＋An＝1)。</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rPr>
            </w:pPr>
            <w:bookmarkStart w:id="1" w:name="_Hlk72360569"/>
            <w:r>
              <w:rPr>
                <w:rFonts w:ascii="宋体" w:eastAsia="宋体" w:hAnsi="宋体" w:cs="宋体" w:hint="eastAsia"/>
                <w:b/>
                <w:bCs/>
                <w:lang w:bidi="ar"/>
              </w:rPr>
              <w:t>序号</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rPr>
            </w:pPr>
            <w:r>
              <w:rPr>
                <w:rFonts w:ascii="宋体" w:eastAsia="宋体" w:hAnsi="宋体" w:cs="宋体" w:hint="eastAsia"/>
                <w:b/>
                <w:bCs/>
                <w:lang w:bidi="ar"/>
              </w:rPr>
              <w:t>评分项</w:t>
            </w:r>
          </w:p>
        </w:tc>
        <w:tc>
          <w:tcPr>
            <w:tcW w:w="3913" w:type="dxa"/>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rPr>
            </w:pPr>
            <w:r>
              <w:rPr>
                <w:rFonts w:ascii="宋体" w:eastAsia="宋体" w:hAnsi="宋体" w:cs="宋体" w:hint="eastAsia"/>
                <w:b/>
                <w:bCs/>
                <w:lang w:bidi="ar"/>
              </w:rPr>
              <w:t>权重(%)</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r>
              <w:rPr>
                <w:rFonts w:ascii="宋体" w:eastAsia="宋体" w:hAnsi="宋体" w:cs="宋体" w:hint="eastAsia"/>
                <w:b/>
                <w:bCs/>
                <w:color w:val="0000FF"/>
                <w:lang w:bidi="ar"/>
              </w:rPr>
              <w:t>1</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r>
              <w:rPr>
                <w:rFonts w:ascii="宋体" w:eastAsia="宋体" w:hAnsi="宋体" w:cs="宋体" w:hint="eastAsia"/>
                <w:b/>
                <w:bCs/>
                <w:color w:val="0000FF"/>
                <w:lang w:bidi="ar"/>
              </w:rPr>
              <w:t>价格</w:t>
            </w:r>
          </w:p>
        </w:tc>
        <w:tc>
          <w:tcPr>
            <w:tcW w:w="3913"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r>
              <w:rPr>
                <w:rFonts w:ascii="宋体" w:eastAsia="宋体" w:hAnsi="宋体" w:cs="宋体" w:hint="eastAsia"/>
                <w:b/>
                <w:bCs/>
                <w:color w:val="0000FF"/>
                <w:lang w:bidi="ar"/>
              </w:rPr>
              <w:t>30</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8112" w:type="dxa"/>
            <w:gridSpan w:val="4"/>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val="restart"/>
            <w:tcBorders>
              <w:top w:val="single" w:sz="8" w:space="0" w:color="000000"/>
              <w:left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r>
              <w:rPr>
                <w:rFonts w:ascii="宋体" w:eastAsia="宋体" w:hAnsi="宋体" w:cs="宋体" w:hint="eastAsia"/>
                <w:b/>
                <w:bCs/>
                <w:color w:val="0000FF"/>
                <w:lang w:bidi="ar"/>
              </w:rPr>
              <w:t>2</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r>
              <w:rPr>
                <w:rFonts w:ascii="宋体" w:eastAsia="宋体" w:hAnsi="宋体" w:cs="宋体" w:hint="eastAsia"/>
                <w:b/>
                <w:bCs/>
                <w:color w:val="0000FF"/>
                <w:lang w:bidi="ar"/>
              </w:rPr>
              <w:t>技术部分</w:t>
            </w:r>
          </w:p>
        </w:tc>
        <w:tc>
          <w:tcPr>
            <w:tcW w:w="3913"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b/>
                <w:bCs/>
                <w:color w:val="0000FF"/>
                <w:lang w:eastAsia="zh-CN"/>
              </w:rPr>
            </w:pPr>
            <w:r>
              <w:rPr>
                <w:rFonts w:ascii="宋体" w:hAnsi="宋体" w:cs="宋体" w:hint="eastAsia"/>
                <w:b/>
                <w:bCs/>
                <w:color w:val="0000FF"/>
                <w:lang w:eastAsia="zh-CN"/>
              </w:rPr>
              <w:t>55</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8112" w:type="dxa"/>
            <w:gridSpan w:val="4"/>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left w:val="single" w:sz="8" w:space="0" w:color="000000"/>
              <w:right w:val="single" w:sz="8" w:space="0" w:color="000000"/>
            </w:tcBorders>
            <w:shd w:val="clear" w:color="auto" w:fill="E6EFFA"/>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权重(%)</w:t>
            </w:r>
          </w:p>
        </w:tc>
        <w:tc>
          <w:tcPr>
            <w:tcW w:w="3913"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Cs w:val="21"/>
              </w:rPr>
            </w:pPr>
            <w:r>
              <w:rPr>
                <w:rFonts w:ascii="宋体" w:eastAsia="宋体" w:hAnsi="宋体" w:cs="宋体" w:hint="eastAsia"/>
                <w:szCs w:val="21"/>
                <w:lang w:bidi="ar"/>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Cs w:val="21"/>
              </w:rPr>
            </w:pPr>
            <w:r>
              <w:rPr>
                <w:rFonts w:ascii="宋体" w:eastAsia="宋体" w:hAnsi="宋体" w:cs="宋体" w:hint="eastAsia"/>
                <w:sz w:val="21"/>
                <w:szCs w:val="21"/>
              </w:rPr>
              <w:t>技术保障措施</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Cs w:val="21"/>
              </w:rPr>
            </w:pPr>
            <w:r>
              <w:rPr>
                <w:rFonts w:ascii="宋体" w:hAnsi="宋体" w:cs="宋体" w:hint="eastAsia"/>
                <w:sz w:val="21"/>
                <w:szCs w:val="21"/>
                <w:lang w:eastAsia="zh-CN"/>
              </w:rPr>
              <w:t>4</w:t>
            </w:r>
          </w:p>
        </w:tc>
        <w:tc>
          <w:tcPr>
            <w:tcW w:w="3913" w:type="dxa"/>
            <w:tcBorders>
              <w:top w:val="single" w:sz="8" w:space="0" w:color="000000"/>
              <w:left w:val="single" w:sz="8" w:space="0" w:color="000000"/>
              <w:bottom w:val="single" w:sz="8" w:space="0" w:color="000000"/>
              <w:right w:val="single" w:sz="8" w:space="0" w:color="000000"/>
            </w:tcBorders>
            <w:shd w:val="clear" w:color="auto" w:fill="auto"/>
            <w:vAlign w:val="top"/>
          </w:tcPr>
          <w:p>
            <w:pPr>
              <w:keepNext w:val="0"/>
              <w:keepLines w:val="0"/>
              <w:widowControl/>
              <w:suppressLineNumbers w:val="0"/>
              <w:spacing w:line="360" w:lineRule="auto"/>
              <w:jc w:val="left"/>
              <w:rPr>
                <w:sz w:val="21"/>
                <w:szCs w:val="21"/>
              </w:rPr>
            </w:pPr>
            <w:r>
              <w:rPr>
                <w:rFonts w:ascii="宋体" w:eastAsia="宋体" w:hAnsi="宋体" w:cs="宋体" w:hint="eastAsia"/>
                <w:b/>
                <w:bCs/>
                <w:color w:val="000000"/>
                <w:sz w:val="21"/>
                <w:szCs w:val="21"/>
                <w:lang w:eastAsia="zh-CN" w:bidi="ar"/>
              </w:rPr>
              <w:t>考察内容：</w:t>
            </w:r>
            <w:r>
              <w:rPr>
                <w:rFonts w:ascii="宋体" w:eastAsia="宋体" w:hAnsi="宋体" w:cs="宋体" w:hint="eastAsia"/>
                <w:b/>
                <w:bCs/>
                <w:color w:val="000000"/>
                <w:sz w:val="21"/>
                <w:szCs w:val="21"/>
                <w:lang w:eastAsia="zh-CN" w:bidi="ar"/>
              </w:rPr>
              <w:br/>
            </w:r>
            <w:r>
              <w:rPr>
                <w:rFonts w:ascii="宋体" w:eastAsia="宋体" w:hAnsi="宋体" w:cs="宋体" w:hint="eastAsia"/>
                <w:color w:val="000000"/>
                <w:sz w:val="21"/>
                <w:szCs w:val="21"/>
                <w:lang w:eastAsia="zh-CN" w:bidi="ar"/>
              </w:rPr>
              <w:t>投标人需针对本项目提供技术保障措施方案，方案内容</w:t>
            </w:r>
            <w:r>
              <w:rPr>
                <w:rFonts w:ascii="宋体" w:hAnsi="宋体" w:cs="宋体" w:hint="eastAsia"/>
                <w:color w:val="000000"/>
                <w:sz w:val="21"/>
                <w:szCs w:val="21"/>
                <w:lang w:eastAsia="zh-CN" w:bidi="ar"/>
              </w:rPr>
              <w:t>需</w:t>
            </w:r>
            <w:r>
              <w:rPr>
                <w:rFonts w:ascii="宋体" w:eastAsia="宋体" w:hAnsi="宋体" w:cs="宋体" w:hint="eastAsia"/>
                <w:color w:val="000000"/>
                <w:sz w:val="21"/>
                <w:szCs w:val="21"/>
                <w:lang w:eastAsia="zh-CN" w:bidi="ar"/>
              </w:rPr>
              <w:t xml:space="preserve">包括：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（1）技术团队；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（2）技术方案；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（3）技术人员等。 </w:t>
            </w:r>
          </w:p>
          <w:p>
            <w:pPr>
              <w:keepNext w:val="0"/>
              <w:keepLines w:val="0"/>
              <w:widowControl/>
              <w:suppressLineNumbers w:val="0"/>
              <w:spacing w:line="360" w:lineRule="auto"/>
              <w:jc w:val="left"/>
              <w:rPr>
                <w:sz w:val="21"/>
                <w:szCs w:val="21"/>
              </w:rPr>
            </w:pPr>
            <w:r>
              <w:rPr>
                <w:rFonts w:ascii="宋体" w:eastAsia="宋体" w:hAnsi="宋体" w:cs="宋体" w:hint="eastAsia"/>
                <w:b/>
                <w:bCs/>
                <w:color w:val="000000"/>
                <w:sz w:val="21"/>
                <w:szCs w:val="21"/>
                <w:lang w:eastAsia="zh-CN" w:bidi="ar"/>
              </w:rPr>
              <w:t xml:space="preserve">评审标准：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1、评审委员会根据招标文件的需求和投标文件的内容响应情况进行评分：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内容满足以上 3 项要求的，得 </w:t>
            </w:r>
            <w:r>
              <w:rPr>
                <w:rFonts w:ascii="宋体" w:hAnsi="宋体" w:cs="宋体" w:hint="eastAsia"/>
                <w:color w:val="000000"/>
                <w:sz w:val="21"/>
                <w:szCs w:val="21"/>
                <w:lang w:eastAsia="zh-CN" w:bidi="ar"/>
              </w:rPr>
              <w:t>60</w:t>
            </w:r>
            <w:r>
              <w:rPr>
                <w:rFonts w:ascii="宋体" w:eastAsia="宋体" w:hAnsi="宋体" w:cs="宋体" w:hint="eastAsia"/>
                <w:color w:val="000000"/>
                <w:sz w:val="21"/>
                <w:szCs w:val="21"/>
                <w:lang w:eastAsia="zh-CN" w:bidi="ar"/>
              </w:rPr>
              <w:t xml:space="preserve"> 分；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内容满足以上任意 2 项要求的，得</w:t>
            </w:r>
            <w:r>
              <w:rPr>
                <w:rFonts w:ascii="宋体" w:hAnsi="宋体" w:cs="宋体" w:hint="eastAsia"/>
                <w:color w:val="000000"/>
                <w:sz w:val="21"/>
                <w:szCs w:val="21"/>
                <w:lang w:eastAsia="zh-CN" w:bidi="ar"/>
              </w:rPr>
              <w:t>40</w:t>
            </w:r>
            <w:r>
              <w:rPr>
                <w:rFonts w:ascii="宋体" w:eastAsia="宋体" w:hAnsi="宋体" w:cs="宋体" w:hint="eastAsia"/>
                <w:color w:val="000000"/>
                <w:sz w:val="21"/>
                <w:szCs w:val="21"/>
                <w:lang w:eastAsia="zh-CN" w:bidi="ar"/>
              </w:rPr>
              <w:t xml:space="preserve">分；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内容满足以上任意 1 项要求的，得10分；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内容不满足不得分。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2、在此基础上，评审委员会根据各投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标人的具体响应情况按照以下评审标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准进一步评审：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评审为优（方案整体科学合理、针对性强、可操作性强、条理非常清晰的的加 </w:t>
            </w:r>
            <w:r>
              <w:rPr>
                <w:rFonts w:ascii="宋体" w:hAnsi="宋体" w:cs="宋体" w:hint="eastAsia"/>
                <w:color w:val="000000"/>
                <w:sz w:val="21"/>
                <w:szCs w:val="21"/>
                <w:lang w:eastAsia="zh-CN" w:bidi="ar"/>
              </w:rPr>
              <w:t>40</w:t>
            </w:r>
            <w:r>
              <w:rPr>
                <w:rFonts w:ascii="宋体" w:eastAsia="宋体" w:hAnsi="宋体" w:cs="宋体" w:hint="eastAsia"/>
                <w:color w:val="000000"/>
                <w:sz w:val="21"/>
                <w:szCs w:val="21"/>
                <w:lang w:eastAsia="zh-CN" w:bidi="ar"/>
              </w:rPr>
              <w:t xml:space="preserve"> 分；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评审为良（方案整体较比科学合理、有较强针对性、有较强可操作性、比较条理清晰的）的加 </w:t>
            </w:r>
            <w:r>
              <w:rPr>
                <w:rFonts w:ascii="宋体" w:hAnsi="宋体" w:cs="宋体" w:hint="eastAsia"/>
                <w:color w:val="000000"/>
                <w:sz w:val="21"/>
                <w:szCs w:val="21"/>
                <w:lang w:eastAsia="zh-CN" w:bidi="ar"/>
              </w:rPr>
              <w:t>20</w:t>
            </w:r>
            <w:r>
              <w:rPr>
                <w:rFonts w:ascii="宋体" w:eastAsia="宋体" w:hAnsi="宋体" w:cs="宋体" w:hint="eastAsia"/>
                <w:color w:val="000000"/>
                <w:sz w:val="21"/>
                <w:szCs w:val="21"/>
                <w:lang w:eastAsia="zh-CN" w:bidi="ar"/>
              </w:rPr>
              <w:t xml:space="preserve"> 分； </w:t>
            </w:r>
          </w:p>
          <w:p>
            <w:pPr>
              <w:keepNext w:val="0"/>
              <w:keepLines w:val="0"/>
              <w:widowControl/>
              <w:suppressLineNumbers w:val="0"/>
              <w:spacing w:line="360" w:lineRule="auto"/>
              <w:jc w:val="left"/>
              <w:rPr>
                <w:sz w:val="21"/>
                <w:szCs w:val="21"/>
              </w:rPr>
            </w:pPr>
            <w:r>
              <w:rPr>
                <w:rFonts w:ascii="宋体" w:eastAsia="宋体" w:hAnsi="宋体" w:cs="宋体" w:hint="eastAsia"/>
                <w:color w:val="000000"/>
                <w:sz w:val="21"/>
                <w:szCs w:val="21"/>
                <w:lang w:eastAsia="zh-CN" w:bidi="ar"/>
              </w:rPr>
              <w:t xml:space="preserve">评审为中（方案整体科学合理性一般、针对性一般、可操作性一般，条理清晰度一般的）的加 </w:t>
            </w:r>
            <w:r>
              <w:rPr>
                <w:rFonts w:ascii="宋体" w:hAnsi="宋体" w:cs="宋体" w:hint="eastAsia"/>
                <w:color w:val="000000"/>
                <w:sz w:val="21"/>
                <w:szCs w:val="21"/>
                <w:lang w:eastAsia="zh-CN" w:bidi="ar"/>
              </w:rPr>
              <w:t>10</w:t>
            </w:r>
            <w:r>
              <w:rPr>
                <w:rFonts w:ascii="宋体" w:eastAsia="宋体" w:hAnsi="宋体" w:cs="宋体" w:hint="eastAsia"/>
                <w:color w:val="000000"/>
                <w:sz w:val="21"/>
                <w:szCs w:val="21"/>
                <w:lang w:eastAsia="zh-CN" w:bidi="ar"/>
              </w:rPr>
              <w:t xml:space="preserve"> 分； </w:t>
            </w:r>
          </w:p>
          <w:p>
            <w:pPr>
              <w:pageBreakBefore w:val="0"/>
              <w:kinsoku/>
              <w:wordWrap w:val="0"/>
              <w:overflowPunct/>
              <w:topLinePunct w:val="0"/>
              <w:autoSpaceDE/>
              <w:autoSpaceDN/>
              <w:bidi w:val="0"/>
              <w:adjustRightInd/>
              <w:spacing w:beforeAutospacing="0" w:afterAutospacing="0" w:line="360" w:lineRule="auto"/>
              <w:ind w:left="0" w:right="0" w:firstLine="0" w:leftChars="0" w:rightChars="0" w:firstLineChars="0"/>
              <w:jc w:val="both"/>
              <w:rPr>
                <w:rFonts w:ascii="宋体" w:eastAsia="宋体" w:hAnsi="宋体" w:cs="宋体" w:hint="eastAsia"/>
                <w:szCs w:val="21"/>
              </w:rPr>
            </w:pPr>
            <w:r>
              <w:rPr>
                <w:rFonts w:ascii="宋体" w:eastAsia="宋体" w:hAnsi="宋体" w:cs="宋体" w:hint="eastAsia"/>
                <w:color w:val="000000"/>
                <w:sz w:val="21"/>
                <w:szCs w:val="21"/>
                <w:lang w:eastAsia="zh-CN" w:bidi="ar"/>
              </w:rPr>
              <w:t>评审为差（如不满足项目要求的）的不加分。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Cs w:val="21"/>
                <w:lang w:eastAsia="zh-CN" w:bidi="ar"/>
              </w:rPr>
            </w:pPr>
            <w:r>
              <w:rPr>
                <w:rFonts w:ascii="宋体" w:eastAsia="宋体" w:hAnsi="宋体" w:cs="宋体" w:hint="eastAsia"/>
                <w:szCs w:val="21"/>
                <w:lang w:eastAsia="zh-CN" w:bidi="ar"/>
              </w:rPr>
              <w:t>2</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Cs w:val="21"/>
              </w:rPr>
            </w:pPr>
            <w:r>
              <w:rPr>
                <w:rFonts w:ascii="宋体" w:eastAsia="宋体" w:hAnsi="宋体" w:cs="宋体" w:hint="eastAsia"/>
                <w:sz w:val="21"/>
                <w:szCs w:val="21"/>
                <w:lang w:eastAsia="zh-CN"/>
              </w:rPr>
              <w:t>一般参数</w:t>
            </w:r>
            <w:r>
              <w:rPr>
                <w:rFonts w:ascii="宋体" w:eastAsia="宋体" w:hAnsi="宋体" w:cs="宋体" w:hint="eastAsia"/>
                <w:sz w:val="21"/>
                <w:szCs w:val="21"/>
              </w:rPr>
              <w:t>技术规格偏离情况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Cs w:val="21"/>
              </w:rPr>
            </w:pPr>
            <w:r>
              <w:rPr>
                <w:rFonts w:ascii="宋体" w:hAnsi="宋体" w:cs="宋体" w:hint="eastAsia"/>
                <w:sz w:val="21"/>
                <w:szCs w:val="21"/>
                <w:lang w:eastAsia="zh-CN"/>
              </w:rPr>
              <w:t>10</w:t>
            </w:r>
          </w:p>
        </w:tc>
        <w:tc>
          <w:tcPr>
            <w:tcW w:w="3913" w:type="dxa"/>
            <w:tcBorders>
              <w:top w:val="single" w:sz="8" w:space="0" w:color="000000"/>
              <w:left w:val="single" w:sz="8" w:space="0" w:color="000000"/>
              <w:bottom w:val="single" w:sz="8" w:space="0" w:color="000000"/>
              <w:right w:val="single" w:sz="8" w:space="0" w:color="000000"/>
            </w:tcBorders>
            <w:shd w:val="clear" w:color="auto" w:fill="auto"/>
            <w:vAlign w:val="top"/>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left"/>
              <w:rPr>
                <w:rFonts w:ascii="宋体" w:eastAsia="宋体" w:hAnsi="宋体" w:cs="宋体" w:hint="eastAsia"/>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lang w:eastAsia="zh-CN"/>
              </w:rPr>
              <w:br/>
            </w:r>
            <w:r>
              <w:rPr>
                <w:rFonts w:ascii="宋体" w:eastAsia="宋体" w:hAnsi="宋体" w:cs="宋体" w:hint="eastAsia"/>
                <w:sz w:val="21"/>
                <w:szCs w:val="21"/>
              </w:rPr>
              <w:t>评审委员会根据《技术规格偏离表》（以下简称“偏离表”）响应情况进行打分，全部满足的得100分，一般参数每负偏离一项扣</w:t>
            </w:r>
            <w:r>
              <w:rPr>
                <w:rFonts w:ascii="宋体" w:hAnsi="宋体" w:cs="宋体" w:hint="eastAsia"/>
                <w:sz w:val="21"/>
                <w:szCs w:val="21"/>
                <w:lang w:eastAsia="zh-CN"/>
              </w:rPr>
              <w:t>1.5</w:t>
            </w:r>
            <w:r>
              <w:rPr>
                <w:rFonts w:ascii="宋体" w:eastAsia="宋体" w:hAnsi="宋体" w:cs="宋体" w:hint="eastAsia"/>
                <w:sz w:val="21"/>
                <w:szCs w:val="21"/>
              </w:rPr>
              <w:t>分</w:t>
            </w:r>
            <w:r>
              <w:rPr>
                <w:rFonts w:ascii="宋体" w:hAnsi="宋体" w:cs="宋体" w:hint="eastAsia"/>
                <w:sz w:val="21"/>
                <w:szCs w:val="21"/>
                <w:lang w:eastAsia="zh-CN"/>
              </w:rPr>
              <w:t>，</w:t>
            </w:r>
            <w:r>
              <w:rPr>
                <w:rFonts w:ascii="宋体" w:eastAsia="宋体" w:hAnsi="宋体" w:cs="宋体" w:hint="eastAsia"/>
                <w:sz w:val="21"/>
                <w:szCs w:val="21"/>
              </w:rPr>
              <w:t>扣完为止。</w:t>
            </w:r>
            <w:r>
              <w:rPr>
                <w:rFonts w:ascii="宋体" w:eastAsia="宋体" w:hAnsi="宋体" w:cs="宋体" w:hint="eastAsia"/>
                <w:sz w:val="21"/>
                <w:szCs w:val="21"/>
              </w:rPr>
              <w:br/>
            </w:r>
            <w:r>
              <w:rPr>
                <w:rFonts w:ascii="宋体" w:eastAsia="宋体" w:hAnsi="宋体" w:cs="宋体" w:hint="eastAsia"/>
                <w:b/>
                <w:bCs/>
                <w:sz w:val="21"/>
                <w:szCs w:val="21"/>
                <w:lang w:eastAsia="zh-CN"/>
              </w:rPr>
              <w:t>证明文件：</w:t>
            </w:r>
            <w:r>
              <w:rPr>
                <w:rFonts w:ascii="宋体" w:eastAsia="宋体" w:hAnsi="宋体" w:cs="宋体" w:hint="eastAsia"/>
                <w:b/>
                <w:bCs/>
                <w:sz w:val="21"/>
                <w:szCs w:val="21"/>
                <w:lang w:eastAsia="zh-CN"/>
              </w:rPr>
              <w:br/>
            </w:r>
            <w:r>
              <w:rPr>
                <w:rFonts w:ascii="宋体" w:eastAsia="宋体" w:hAnsi="宋体" w:cs="宋体" w:hint="eastAsia"/>
                <w:sz w:val="21"/>
                <w:szCs w:val="21"/>
              </w:rPr>
              <w:t>偏离表应如实对应填写所投产品的具体参数。</w:t>
            </w:r>
            <w:r>
              <w:rPr>
                <w:rFonts w:ascii="宋体" w:eastAsia="宋体" w:hAnsi="宋体" w:cs="宋体" w:hint="eastAsia"/>
                <w:sz w:val="21"/>
                <w:szCs w:val="21"/>
                <w:lang w:eastAsia="zh-CN"/>
              </w:rPr>
              <w:t>（未提供或未按要求提供或提供的不清晰导致专家无法判断的，不得分）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Cs w:val="21"/>
                <w:lang w:eastAsia="zh-CN" w:bidi="ar"/>
              </w:rPr>
            </w:pPr>
            <w:r>
              <w:rPr>
                <w:rFonts w:ascii="宋体" w:hAnsi="宋体" w:cs="宋体" w:hint="eastAsia"/>
                <w:szCs w:val="21"/>
                <w:lang w:eastAsia="zh-CN" w:bidi="ar"/>
              </w:rPr>
              <w:t>3</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Cs w:val="21"/>
              </w:rPr>
            </w:pPr>
            <w:r>
              <w:rPr>
                <w:rFonts w:ascii="宋体" w:eastAsia="宋体" w:hAnsi="宋体" w:cs="宋体" w:hint="eastAsia"/>
                <w:sz w:val="21"/>
                <w:szCs w:val="21"/>
                <w:lang w:eastAsia="zh-CN"/>
              </w:rPr>
              <w:t>重点参数</w:t>
            </w:r>
            <w:r>
              <w:rPr>
                <w:rFonts w:ascii="宋体" w:eastAsia="宋体" w:hAnsi="宋体" w:cs="宋体" w:hint="eastAsia"/>
                <w:sz w:val="21"/>
                <w:szCs w:val="21"/>
              </w:rPr>
              <w:t>技术规格偏离情况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Cs w:val="21"/>
              </w:rPr>
            </w:pPr>
            <w:r>
              <w:rPr>
                <w:rFonts w:ascii="宋体" w:hAnsi="宋体" w:cs="宋体" w:hint="eastAsia"/>
                <w:sz w:val="21"/>
                <w:szCs w:val="21"/>
                <w:lang w:eastAsia="zh-CN"/>
              </w:rPr>
              <w:t>41</w:t>
            </w:r>
          </w:p>
        </w:tc>
        <w:tc>
          <w:tcPr>
            <w:tcW w:w="3913" w:type="dxa"/>
            <w:tcBorders>
              <w:top w:val="single" w:sz="8" w:space="0" w:color="000000"/>
              <w:left w:val="single" w:sz="8" w:space="0" w:color="000000"/>
              <w:bottom w:val="single" w:sz="8" w:space="0" w:color="000000"/>
              <w:right w:val="single" w:sz="8" w:space="0" w:color="000000"/>
            </w:tcBorders>
            <w:shd w:val="clear" w:color="auto" w:fill="auto"/>
            <w:vAlign w:val="top"/>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left"/>
              <w:rPr>
                <w:rFonts w:ascii="宋体" w:eastAsia="宋体" w:hAnsi="宋体" w:cs="宋体" w:hint="eastAsia"/>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lang w:eastAsia="zh-CN"/>
              </w:rPr>
              <w:br/>
            </w:r>
            <w:r>
              <w:rPr>
                <w:rFonts w:ascii="宋体" w:eastAsia="宋体" w:hAnsi="宋体" w:cs="宋体" w:hint="eastAsia"/>
                <w:sz w:val="21"/>
                <w:szCs w:val="21"/>
              </w:rPr>
              <w:t>评审委员会根据《技术规格偏离表》（以下简称“偏离表”）响应情况进行打分，全部满足的得100分，重点技术参数▲项每负偏离一项扣</w:t>
            </w:r>
            <w:r>
              <w:rPr>
                <w:rFonts w:ascii="宋体" w:hAnsi="宋体" w:cs="宋体" w:hint="eastAsia"/>
                <w:sz w:val="21"/>
                <w:szCs w:val="21"/>
                <w:lang w:eastAsia="zh-CN"/>
              </w:rPr>
              <w:t>10</w:t>
            </w:r>
            <w:r>
              <w:rPr>
                <w:rFonts w:ascii="宋体" w:eastAsia="宋体" w:hAnsi="宋体" w:cs="宋体" w:hint="eastAsia"/>
                <w:sz w:val="21"/>
                <w:szCs w:val="21"/>
              </w:rPr>
              <w:t>分</w:t>
            </w:r>
            <w:r>
              <w:rPr>
                <w:rFonts w:ascii="宋体" w:hAnsi="宋体" w:cs="宋体" w:hint="eastAsia"/>
                <w:sz w:val="21"/>
                <w:szCs w:val="21"/>
                <w:lang w:eastAsia="zh-CN"/>
              </w:rPr>
              <w:t>，</w:t>
            </w:r>
            <w:r>
              <w:rPr>
                <w:rFonts w:ascii="宋体" w:eastAsia="宋体" w:hAnsi="宋体" w:cs="宋体" w:hint="eastAsia"/>
                <w:sz w:val="21"/>
                <w:szCs w:val="21"/>
              </w:rPr>
              <w:t>扣完为止。</w:t>
            </w:r>
            <w:r>
              <w:rPr>
                <w:rFonts w:ascii="宋体" w:eastAsia="宋体" w:hAnsi="宋体" w:cs="宋体" w:hint="eastAsia"/>
                <w:sz w:val="21"/>
                <w:szCs w:val="21"/>
              </w:rPr>
              <w:br/>
            </w:r>
            <w:r>
              <w:rPr>
                <w:rFonts w:ascii="宋体" w:eastAsia="宋体" w:hAnsi="宋体" w:cs="宋体" w:hint="eastAsia"/>
                <w:b/>
                <w:bCs/>
                <w:sz w:val="21"/>
                <w:szCs w:val="21"/>
                <w:lang w:eastAsia="zh-CN"/>
              </w:rPr>
              <w:t>证明文件：</w:t>
            </w:r>
            <w:r>
              <w:rPr>
                <w:rFonts w:ascii="宋体" w:eastAsia="宋体" w:hAnsi="宋体" w:cs="宋体" w:hint="eastAsia"/>
                <w:b/>
                <w:bCs/>
                <w:sz w:val="21"/>
                <w:szCs w:val="21"/>
                <w:lang w:eastAsia="zh-CN"/>
              </w:rPr>
              <w:br/>
            </w:r>
            <w:r>
              <w:rPr>
                <w:rFonts w:ascii="宋体" w:eastAsia="宋体" w:hAnsi="宋体" w:cs="宋体" w:hint="eastAsia"/>
                <w:sz w:val="21"/>
                <w:szCs w:val="21"/>
              </w:rPr>
              <w:t>偏离表应如实对应填写所投产品的具体参数。如要求提供证明资料的，需按要求提供相关证明资料；提供的证明资料与所填写内容不一致的，以证明资料为准，原件备查。证明材料不能满足招标要求的，该项按负偏离处理。</w:t>
            </w:r>
            <w:r>
              <w:rPr>
                <w:rFonts w:ascii="宋体" w:eastAsia="宋体" w:hAnsi="宋体" w:cs="宋体" w:hint="eastAsia"/>
                <w:sz w:val="21"/>
                <w:szCs w:val="21"/>
                <w:lang w:eastAsia="zh-CN"/>
              </w:rPr>
              <w:t>（未提供或未按要求提供或提供的不清晰导致专家无法判断的，不得分）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val="restart"/>
            <w:tcBorders>
              <w:top w:val="single" w:sz="8" w:space="0" w:color="000000"/>
              <w:left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r>
              <w:rPr>
                <w:rFonts w:ascii="宋体" w:eastAsia="宋体" w:hAnsi="宋体" w:cs="宋体" w:hint="eastAsia"/>
                <w:b/>
                <w:bCs/>
                <w:color w:val="0000FF"/>
                <w:lang w:bidi="ar"/>
              </w:rPr>
              <w:t>3</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r>
              <w:rPr>
                <w:rFonts w:ascii="宋体" w:eastAsia="宋体" w:hAnsi="宋体" w:cs="宋体" w:hint="eastAsia"/>
                <w:b/>
                <w:bCs/>
                <w:color w:val="0000FF"/>
                <w:lang w:bidi="ar"/>
              </w:rPr>
              <w:t>商务部分</w:t>
            </w:r>
          </w:p>
        </w:tc>
        <w:tc>
          <w:tcPr>
            <w:tcW w:w="3913"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rPr>
              <w:t>10</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8112" w:type="dxa"/>
            <w:gridSpan w:val="4"/>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left w:val="single" w:sz="8" w:space="0" w:color="000000"/>
              <w:right w:val="single" w:sz="8" w:space="0" w:color="000000"/>
            </w:tcBorders>
            <w:shd w:val="clear" w:color="auto" w:fill="E6EFFA"/>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权重(%)</w:t>
            </w:r>
          </w:p>
        </w:tc>
        <w:tc>
          <w:tcPr>
            <w:tcW w:w="3913"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Cs w:val="21"/>
              </w:rPr>
            </w:pPr>
            <w:r>
              <w:rPr>
                <w:rFonts w:ascii="宋体" w:eastAsia="宋体" w:hAnsi="宋体" w:cs="宋体" w:hint="eastAsia"/>
                <w:sz w:val="21"/>
                <w:szCs w:val="21"/>
                <w:lang w:eastAsia="zh-CN"/>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Cs w:val="21"/>
              </w:rPr>
            </w:pPr>
            <w:r>
              <w:rPr>
                <w:rFonts w:ascii="宋体" w:eastAsia="宋体" w:hAnsi="宋体" w:cs="宋体" w:hint="eastAsia"/>
                <w:sz w:val="21"/>
                <w:szCs w:val="21"/>
              </w:rPr>
              <w:t>免费保修期内售后服务条款偏离情况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Cs w:val="21"/>
              </w:rPr>
            </w:pPr>
            <w:r>
              <w:rPr>
                <w:rFonts w:ascii="宋体" w:hAnsi="宋体" w:cs="宋体" w:hint="eastAsia"/>
                <w:bCs/>
                <w:sz w:val="21"/>
                <w:szCs w:val="21"/>
                <w:lang w:eastAsia="zh-CN"/>
              </w:rPr>
              <w:t>5</w:t>
            </w:r>
          </w:p>
        </w:tc>
        <w:tc>
          <w:tcPr>
            <w:tcW w:w="3913"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firstLineChars="0"/>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考察内容：</w:t>
            </w:r>
          </w:p>
          <w:p>
            <w:pPr>
              <w:wordWrap/>
              <w:spacing w:line="360" w:lineRule="auto"/>
              <w:rPr>
                <w:rFonts w:ascii="宋体" w:eastAsia="宋体" w:hAnsi="宋体" w:cs="宋体" w:hint="eastAsia"/>
                <w:szCs w:val="21"/>
              </w:rPr>
            </w:pPr>
            <w:r>
              <w:rPr>
                <w:rFonts w:hint="eastAsia"/>
                <w:sz w:val="21"/>
                <w:szCs w:val="21"/>
              </w:rPr>
              <w:t>投标人应如实填写</w:t>
            </w:r>
            <w:r>
              <w:rPr>
                <w:rFonts w:ascii="宋体" w:eastAsia="宋体" w:hAnsi="宋体" w:cs="宋体" w:hint="eastAsia"/>
                <w:sz w:val="21"/>
                <w:szCs w:val="21"/>
              </w:rPr>
              <w:t>商务</w:t>
            </w:r>
            <w:r>
              <w:rPr>
                <w:rFonts w:ascii="宋体" w:eastAsia="宋体" w:hAnsi="宋体" w:cs="宋体" w:hint="eastAsia"/>
                <w:sz w:val="21"/>
                <w:szCs w:val="21"/>
                <w:lang w:eastAsia="zh-CN"/>
              </w:rPr>
              <w:t>要求</w:t>
            </w:r>
            <w:r>
              <w:rPr>
                <w:rFonts w:ascii="宋体" w:eastAsia="宋体" w:hAnsi="宋体" w:cs="宋体" w:hint="eastAsia"/>
                <w:sz w:val="21"/>
                <w:szCs w:val="21"/>
              </w:rPr>
              <w:t>偏离表</w:t>
            </w:r>
            <w:r>
              <w:rPr>
                <w:rFonts w:ascii="宋体" w:eastAsia="宋体" w:hAnsi="宋体" w:cs="宋体" w:hint="eastAsia"/>
                <w:sz w:val="21"/>
                <w:szCs w:val="21"/>
                <w:lang w:eastAsia="zh-CN"/>
              </w:rPr>
              <w:t>（</w:t>
            </w:r>
            <w:r>
              <w:rPr>
                <w:rFonts w:ascii="宋体" w:eastAsia="宋体" w:hAnsi="宋体" w:cs="宋体" w:hint="eastAsia"/>
                <w:sz w:val="21"/>
                <w:szCs w:val="21"/>
              </w:rPr>
              <w:t>免费保修期内售后服务条款偏离情况</w:t>
            </w:r>
            <w:r>
              <w:rPr>
                <w:rFonts w:ascii="宋体" w:eastAsia="宋体" w:hAnsi="宋体" w:cs="宋体" w:hint="eastAsia"/>
                <w:sz w:val="21"/>
                <w:szCs w:val="21"/>
                <w:lang w:eastAsia="zh-CN"/>
              </w:rPr>
              <w:t>）</w:t>
            </w:r>
            <w:r>
              <w:rPr>
                <w:rFonts w:ascii="宋体" w:eastAsia="宋体" w:hAnsi="宋体" w:cs="宋体" w:hint="eastAsia"/>
                <w:sz w:val="21"/>
                <w:szCs w:val="21"/>
              </w:rPr>
              <w:t>，评审委员会根据响应情况进行打分，全部满足要求的得100分，实质性条款除外，每负偏离一项扣</w:t>
            </w:r>
            <w:r>
              <w:rPr>
                <w:rFonts w:ascii="宋体" w:eastAsia="宋体" w:hAnsi="宋体" w:cs="宋体" w:hint="eastAsia"/>
                <w:sz w:val="21"/>
                <w:szCs w:val="21"/>
                <w:lang w:eastAsia="zh-CN"/>
              </w:rPr>
              <w:t>25</w:t>
            </w:r>
            <w:r>
              <w:rPr>
                <w:rFonts w:ascii="宋体" w:eastAsia="宋体" w:hAnsi="宋体" w:cs="宋体" w:hint="eastAsia"/>
                <w:sz w:val="21"/>
                <w:szCs w:val="21"/>
              </w:rPr>
              <w:t>分，扣完为止。</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Cs w:val="21"/>
              </w:rPr>
            </w:pPr>
            <w:r>
              <w:rPr>
                <w:rFonts w:ascii="宋体" w:eastAsia="宋体" w:hAnsi="宋体" w:cs="宋体" w:hint="eastAsia"/>
                <w:sz w:val="21"/>
                <w:szCs w:val="21"/>
                <w:lang w:eastAsia="zh-CN"/>
              </w:rPr>
              <w:t>2</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Cs w:val="21"/>
              </w:rPr>
            </w:pPr>
            <w:r>
              <w:rPr>
                <w:rFonts w:ascii="宋体" w:eastAsia="宋体" w:hAnsi="宋体" w:cs="宋体" w:hint="eastAsia"/>
                <w:sz w:val="21"/>
                <w:szCs w:val="21"/>
              </w:rPr>
              <w:t>免费保修期外售后服务条款偏离情况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Cs w:val="21"/>
              </w:rPr>
            </w:pPr>
            <w:r>
              <w:rPr>
                <w:rFonts w:ascii="宋体" w:hAnsi="宋体" w:cs="宋体" w:hint="eastAsia"/>
                <w:bCs/>
                <w:sz w:val="21"/>
                <w:szCs w:val="21"/>
                <w:lang w:eastAsia="zh-CN"/>
              </w:rPr>
              <w:t>5</w:t>
            </w:r>
          </w:p>
        </w:tc>
        <w:tc>
          <w:tcPr>
            <w:tcW w:w="3913"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firstLineChars="0"/>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考察内容：</w:t>
            </w:r>
          </w:p>
          <w:p>
            <w:pPr>
              <w:numPr>
                <w:ilvl w:val="0"/>
                <w:numId w:val="0"/>
              </w:numPr>
              <w:wordWrap w:val="0"/>
              <w:spacing w:line="360" w:lineRule="auto"/>
              <w:ind w:left="0" w:firstLine="0" w:leftChars="0" w:firstLineChars="0"/>
              <w:rPr>
                <w:rFonts w:ascii="宋体" w:eastAsia="宋体" w:hAnsi="宋体" w:cs="宋体" w:hint="eastAsia"/>
                <w:szCs w:val="21"/>
              </w:rPr>
            </w:pPr>
            <w:r>
              <w:rPr>
                <w:rFonts w:ascii="宋体" w:eastAsia="宋体" w:hAnsi="宋体" w:cs="宋体" w:hint="eastAsia"/>
                <w:sz w:val="21"/>
                <w:szCs w:val="21"/>
              </w:rPr>
              <w:t>投标人应如实填写商务</w:t>
            </w:r>
            <w:r>
              <w:rPr>
                <w:rFonts w:ascii="宋体" w:eastAsia="宋体" w:hAnsi="宋体" w:cs="宋体" w:hint="eastAsia"/>
                <w:sz w:val="21"/>
                <w:szCs w:val="21"/>
                <w:lang w:eastAsia="zh-CN"/>
              </w:rPr>
              <w:t>要求</w:t>
            </w:r>
            <w:r>
              <w:rPr>
                <w:rFonts w:ascii="宋体" w:eastAsia="宋体" w:hAnsi="宋体" w:cs="宋体" w:hint="eastAsia"/>
                <w:sz w:val="21"/>
                <w:szCs w:val="21"/>
              </w:rPr>
              <w:t>偏离表</w:t>
            </w:r>
            <w:r>
              <w:rPr>
                <w:rFonts w:ascii="宋体" w:eastAsia="宋体" w:hAnsi="宋体" w:cs="宋体" w:hint="eastAsia"/>
                <w:sz w:val="21"/>
                <w:szCs w:val="21"/>
                <w:lang w:eastAsia="zh-CN"/>
              </w:rPr>
              <w:t>（</w:t>
            </w:r>
            <w:r>
              <w:rPr>
                <w:rFonts w:ascii="宋体" w:eastAsia="宋体" w:hAnsi="宋体" w:cs="宋体" w:hint="eastAsia"/>
                <w:sz w:val="21"/>
                <w:szCs w:val="21"/>
              </w:rPr>
              <w:t>免费保修期外售后服务条款偏离情况</w:t>
            </w:r>
            <w:r>
              <w:rPr>
                <w:rFonts w:ascii="宋体" w:eastAsia="宋体" w:hAnsi="宋体" w:cs="宋体" w:hint="eastAsia"/>
                <w:sz w:val="21"/>
                <w:szCs w:val="21"/>
                <w:lang w:eastAsia="zh-CN"/>
              </w:rPr>
              <w:t>）</w:t>
            </w:r>
            <w:r>
              <w:rPr>
                <w:rFonts w:ascii="宋体" w:eastAsia="宋体" w:hAnsi="宋体" w:cs="宋体" w:hint="eastAsia"/>
                <w:sz w:val="21"/>
                <w:szCs w:val="21"/>
              </w:rPr>
              <w:t>，评审委员会根据响应情况进行打分，全部满足要求的得100分，实质性条款除外，每负偏离一项扣</w:t>
            </w:r>
            <w:r>
              <w:rPr>
                <w:rFonts w:ascii="宋体" w:hAnsi="宋体" w:cs="宋体" w:hint="eastAsia"/>
                <w:sz w:val="21"/>
                <w:szCs w:val="21"/>
                <w:lang w:eastAsia="zh-CN"/>
              </w:rPr>
              <w:t>20</w:t>
            </w:r>
            <w:r>
              <w:rPr>
                <w:rFonts w:ascii="宋体" w:eastAsia="宋体" w:hAnsi="宋体" w:cs="宋体" w:hint="eastAsia"/>
                <w:sz w:val="21"/>
                <w:szCs w:val="21"/>
              </w:rPr>
              <w:t>分，扣完为止。</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bidi="ar"/>
              </w:rPr>
              <w:t>4</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rPr>
              <w:t>其他部分</w:t>
            </w:r>
          </w:p>
        </w:tc>
        <w:tc>
          <w:tcPr>
            <w:tcW w:w="3913"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rPr>
              <w:t>5</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8112" w:type="dxa"/>
            <w:gridSpan w:val="4"/>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权重(%)</w:t>
            </w:r>
          </w:p>
        </w:tc>
        <w:tc>
          <w:tcPr>
            <w:tcW w:w="3913"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Cs w:val="21"/>
              </w:rPr>
            </w:pPr>
            <w:r>
              <w:rPr>
                <w:rFonts w:ascii="宋体" w:eastAsia="宋体" w:hAnsi="宋体" w:cs="宋体" w:hint="eastAsia"/>
                <w:szCs w:val="21"/>
                <w:lang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Cs w:val="21"/>
              </w:rPr>
            </w:pPr>
            <w:r>
              <w:rPr>
                <w:rFonts w:ascii="宋体" w:eastAsia="宋体" w:hAnsi="宋体" w:cs="宋体" w:hint="eastAsia"/>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Cs w:val="21"/>
              </w:rPr>
            </w:pPr>
            <w:r>
              <w:rPr>
                <w:rFonts w:ascii="宋体" w:eastAsia="宋体" w:hAnsi="宋体" w:cs="宋体" w:hint="eastAsia"/>
              </w:rPr>
              <w:t>诚信情况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Cs w:val="21"/>
              </w:rPr>
            </w:pPr>
            <w:r>
              <w:rPr>
                <w:rFonts w:ascii="宋体" w:eastAsia="宋体" w:hAnsi="宋体" w:cs="宋体" w:hint="eastAsia"/>
              </w:rPr>
              <w:t>5</w:t>
            </w:r>
          </w:p>
        </w:tc>
        <w:tc>
          <w:tcPr>
            <w:tcW w:w="3913"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textAlignment w:val="auto"/>
              <w:rPr>
                <w:rFonts w:ascii="宋体" w:eastAsia="宋体" w:hAnsi="宋体" w:cs="宋体" w:hint="eastAsia"/>
                <w:sz w:val="21"/>
                <w:szCs w:val="21"/>
              </w:rPr>
            </w:pPr>
            <w:r>
              <w:rPr>
                <w:rFonts w:ascii="宋体" w:eastAsia="宋体" w:hAnsi="宋体" w:cs="宋体" w:hint="eastAsia"/>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w:t>
            </w:r>
            <w:r>
              <w:rPr>
                <w:rFonts w:ascii="宋体" w:eastAsia="宋体" w:hAnsi="宋体" w:cs="宋体" w:hint="eastAsia"/>
                <w:sz w:val="21"/>
                <w:szCs w:val="21"/>
                <w:lang w:eastAsia="zh-CN"/>
              </w:rPr>
              <w:t>有关</w:t>
            </w:r>
            <w:r>
              <w:rPr>
                <w:rFonts w:ascii="宋体" w:eastAsia="宋体" w:hAnsi="宋体" w:cs="宋体" w:hint="eastAsia"/>
                <w:sz w:val="21"/>
                <w:szCs w:val="21"/>
              </w:rPr>
              <w:t>供应商诚信查询结果。</w:t>
            </w:r>
          </w:p>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left"/>
              <w:textAlignment w:val="top"/>
              <w:rPr>
                <w:rFonts w:ascii="宋体" w:eastAsia="宋体" w:hAnsi="宋体" w:cs="宋体" w:hint="eastAsia"/>
                <w:szCs w:val="21"/>
              </w:rPr>
            </w:pPr>
            <w:r>
              <w:rPr>
                <w:rFonts w:ascii="宋体" w:eastAsia="宋体" w:hAnsi="宋体" w:cs="宋体" w:hint="eastAsia"/>
                <w:sz w:val="21"/>
                <w:szCs w:val="21"/>
                <w:lang w:eastAsia="zh-CN"/>
              </w:rPr>
              <w:t>查询渠道：通过“信用中国”（www.creditchina.gov.cn，下载信用信息报告）、“中国政府采购网”（www.ccgp.gov.cn）以及“深圳市政府采购监管网”（http://zfcg.sz.gov.cn）查询供应商信用信息，信用信息以开标当日的查询结果为准。</w:t>
            </w:r>
          </w:p>
        </w:tc>
      </w:tr>
      <w:bookmarkEnd w:id="1"/>
    </w:tbl>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24</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jc w:val="both"/>
        <w:rPr>
          <w:rFonts w:ascii="Calibri" w:eastAsia="宋体" w:hAnsi="Calibri"/>
          <w:b/>
          <w:kern w:val="2"/>
          <w:szCs w:val="22"/>
          <w:lang w:eastAsia="zh-CN"/>
        </w:rPr>
      </w:pP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ind w:left="720" w:firstLine="412" w:leftChars="300" w:firstLineChars="196"/>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r>
        <w:rPr>
          <w:rFonts w:ascii="Calibri" w:eastAsia="宋体" w:hAnsi="Calibri" w:cstheme="minorBidi"/>
          <w:kern w:val="2"/>
          <w:sz w:val="21"/>
          <w:szCs w:val="22"/>
          <w:lang w:eastAsia="zh-CN"/>
        </w:rPr>
        <w:br w:type="page"/>
      </w: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highlight w:val="yellow"/>
        </w:rPr>
      </w:pPr>
      <w:r>
        <w:rPr>
          <w:rFonts w:ascii="宋体" w:eastAsia="宋体" w:hAnsi="宋体" w:cs="宋体" w:hint="eastAsia"/>
          <w:sz w:val="21"/>
          <w:szCs w:val="21"/>
        </w:rPr>
        <w:t>1.具有独立法人资格或是具有独立承担民事责任能力的其他组织（提供营业执照或事业单位法人证书等证明资料扫描件</w:t>
      </w:r>
      <w:r>
        <w:rPr>
          <w:rFonts w:ascii="宋体" w:eastAsia="宋体" w:hAnsi="宋体" w:cs="宋体" w:hint="eastAsia"/>
          <w:sz w:val="21"/>
          <w:szCs w:val="21"/>
          <w:lang w:eastAsia="zh-CN"/>
        </w:rPr>
        <w:t>，</w:t>
      </w:r>
      <w:r>
        <w:rPr>
          <w:rFonts w:ascii="宋体" w:eastAsia="宋体" w:hAnsi="宋体" w:cs="宋体" w:hint="eastAsia"/>
          <w:sz w:val="21"/>
          <w:szCs w:val="21"/>
        </w:rPr>
        <w:t>原件备查）；</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2.本项目不接受联合体投标（由供应商在《政府采购投标及履约承诺函》中作出声明），是否接受投标人选用进口产品参与投标详见招标文件“货物需求明细”表；</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3.参与本项目政府采购活动时不存在被有关部门禁止参与政府采购活动且在有效期内的情况（由供应商在《政府采购投标及履约承诺函》中作出声明）；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4.具备《中华人民共和国政府采购法》第二十二条第一款的条件（由供应商在《政府采购投标及履约承诺函》中作出声明）；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5.未被列入失信被执行人、重大税收违法案件当事人名单、政府采购严重违法失信行为记录名单（由供应商在《政府采购投标及履约承诺函》中作出声明）；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w:t>
      </w:r>
      <w:r>
        <w:rPr>
          <w:rFonts w:ascii="宋体" w:eastAsia="宋体" w:hAnsi="宋体" w:cs="宋体" w:hint="eastAsia"/>
          <w:sz w:val="21"/>
          <w:szCs w:val="21"/>
          <w:lang w:eastAsia="zh-CN"/>
        </w:rPr>
        <w:t>代理机构</w:t>
      </w:r>
      <w:r>
        <w:rPr>
          <w:rFonts w:ascii="宋体" w:eastAsia="宋体" w:hAnsi="宋体" w:cs="宋体" w:hint="eastAsia"/>
          <w:sz w:val="21"/>
          <w:szCs w:val="21"/>
        </w:rPr>
        <w:t>开标当日的查询结果为准；</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6.不存在《深圳市财政局政府采购供应商信用信息管理办法》（深财规〔2023〕3号）列明的严重违法失信行为（由供应商在《政府采购投标及履约承诺函》中作出声明）；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7.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FF0000"/>
          <w:sz w:val="21"/>
          <w:szCs w:val="21"/>
        </w:rPr>
      </w:pPr>
      <w:r>
        <w:rPr>
          <w:rFonts w:ascii="宋体" w:eastAsia="宋体" w:hAnsi="宋体" w:cs="宋体" w:hint="eastAsia"/>
          <w:color w:val="FF0000"/>
          <w:sz w:val="21"/>
          <w:szCs w:val="21"/>
        </w:rPr>
        <w:t>8.本项目是（否）专门面向中小企业采购：否。</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9.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sz w:val="21"/>
          <w:szCs w:val="21"/>
          <w:lang w:eastAsia="zh-CN"/>
        </w:rPr>
      </w:pPr>
      <w:r>
        <w:rPr>
          <w:rFonts w:ascii="宋体" w:eastAsia="宋体" w:hAnsi="宋体" w:cs="宋体" w:hint="eastAsia"/>
          <w:sz w:val="21"/>
          <w:szCs w:val="21"/>
          <w:lang w:eastAsia="zh-CN"/>
        </w:rPr>
        <w:t>10.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p>
    <w:p>
      <w:pPr>
        <w:widowControl w:val="0"/>
        <w:spacing w:after="60" w:afterLines="25"/>
        <w:jc w:val="both"/>
        <w:rPr>
          <w:rFonts w:ascii="宋体" w:eastAsia="宋体" w:hAnsi="宋体" w:cs="宋体" w:hint="eastAsia"/>
          <w:kern w:val="2"/>
          <w:sz w:val="21"/>
          <w:szCs w:val="21"/>
          <w:highlight w:val="yellow"/>
          <w:lang w:eastAsia="zh-CN"/>
        </w:rPr>
      </w:pPr>
    </w:p>
    <w:p>
      <w:pPr>
        <w:widowControl w:val="0"/>
        <w:spacing w:after="60" w:afterLines="25"/>
        <w:jc w:val="center"/>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完整公告内容以网站公布信息为准，详见：深圳政府采购自行采购系统网（https://zxcg.szggzy.com/home/index.html）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第二章</w:t>
      </w:r>
      <w:bookmarkStart w:id="3" w:name="_Hlk71926094"/>
      <w:r>
        <w:rPr>
          <w:rFonts w:ascii="宋体" w:eastAsia="宋体" w:hAnsi="宋体" w:hint="eastAsia"/>
          <w:b/>
          <w:bCs/>
          <w:sz w:val="28"/>
          <w:szCs w:val="28"/>
          <w:lang w:eastAsia="zh-CN"/>
        </w:rPr>
        <w:t xml:space="preserve">  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4" w:name="_Toc73521635"/>
      <w:bookmarkStart w:id="5" w:name="_Toc73521547"/>
      <w:bookmarkStart w:id="6" w:name="_Toc60560625"/>
      <w:bookmarkStart w:id="7" w:name="_Toc101074876"/>
      <w:bookmarkStart w:id="8" w:name="_Toc73517639"/>
      <w:bookmarkStart w:id="9" w:name="_Toc60631620"/>
      <w:bookmarkStart w:id="10" w:name="_Toc73518117"/>
      <w:bookmarkStart w:id="11" w:name="_Toc100052364"/>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深圳市龙华区中心医院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w:t>
      </w:r>
      <w:r>
        <w:rPr>
          <w:rFonts w:ascii="宋体" w:eastAsia="宋体" w:hAnsi="宋体" w:cs="宋体" w:hint="eastAsia"/>
          <w:b/>
          <w:bCs/>
          <w:sz w:val="21"/>
          <w:szCs w:val="21"/>
          <w:lang w:eastAsia="zh-CN"/>
        </w:rPr>
        <w:t>中小微企业</w:t>
      </w:r>
      <w:r>
        <w:rPr>
          <w:rFonts w:ascii="宋体" w:eastAsia="宋体" w:hAnsi="宋体" w:cs="宋体" w:hint="eastAsia"/>
          <w:sz w:val="21"/>
          <w:szCs w:val="21"/>
          <w:lang w:eastAsia="zh-CN"/>
        </w:rPr>
        <w:t>采购的项目，不再执行价格扣除比例。</w:t>
      </w:r>
    </w:p>
    <w:p>
      <w:pPr>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2</w:t>
      </w:r>
      <w:r>
        <w:rPr>
          <w:rFonts w:ascii="宋体" w:eastAsia="宋体" w:hAnsi="宋体" w:cs="宋体" w:hint="eastAsia"/>
          <w:sz w:val="21"/>
          <w:szCs w:val="21"/>
          <w:lang w:eastAsia="zh-CN"/>
        </w:rPr>
        <w:t>）</w:t>
      </w:r>
      <w:r>
        <w:rPr>
          <w:rFonts w:ascii="宋体" w:eastAsia="宋体" w:hAnsi="宋体" w:cs="宋体" w:hint="eastAsia"/>
          <w:sz w:val="21"/>
          <w:szCs w:val="21"/>
          <w:lang w:eastAsia="zh-CN"/>
        </w:rPr>
        <w:t>非</w:t>
      </w:r>
      <w:r>
        <w:rPr>
          <w:rFonts w:ascii="宋体" w:eastAsia="宋体" w:hAnsi="宋体" w:cs="宋体" w:hint="eastAsia"/>
          <w:sz w:val="21"/>
          <w:szCs w:val="21"/>
          <w:lang w:eastAsia="zh-CN"/>
        </w:rPr>
        <w:t>专门面向中小微企业</w:t>
      </w:r>
      <w:r>
        <w:rPr>
          <w:rFonts w:ascii="宋体" w:eastAsia="宋体" w:hAnsi="宋体" w:cs="宋体" w:hint="eastAsia"/>
          <w:sz w:val="21"/>
          <w:szCs w:val="21"/>
          <w:lang w:eastAsia="zh-CN"/>
        </w:rPr>
        <w:t>采购的项目，应执行价格扣除比例：</w:t>
      </w:r>
      <w:r>
        <w:rPr>
          <w:rFonts w:ascii="宋体" w:eastAsia="宋体" w:hAnsi="宋体" w:cs="宋体" w:hint="eastAsia"/>
          <w:sz w:val="21"/>
          <w:szCs w:val="21"/>
        </w:rPr>
        <w:t>投标人提供的货物（以招标文件用户需求书“货物清单明细”的“货物名称”一栏为准）全部均由优惠主体制造，则对其投标总价给予</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10</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w:t>
      </w:r>
      <w:r>
        <w:rPr>
          <w:rFonts w:ascii="宋体" w:eastAsia="宋体" w:hAnsi="宋体" w:cs="宋体" w:hint="eastAsia"/>
          <w:b/>
          <w:bCs/>
          <w:color w:val="FF0000"/>
          <w:sz w:val="21"/>
          <w:szCs w:val="21"/>
        </w:rPr>
        <w:t>%</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lang w:eastAsia="zh-CN"/>
        </w:rPr>
        <w:t>10%~20%</w:t>
      </w:r>
      <w:r>
        <w:rPr>
          <w:rFonts w:ascii="宋体" w:eastAsia="宋体" w:hAnsi="宋体" w:cs="宋体" w:hint="eastAsia"/>
          <w:color w:val="000000"/>
          <w:sz w:val="21"/>
          <w:szCs w:val="21"/>
          <w:lang w:eastAsia="zh-CN"/>
        </w:rPr>
        <w:t>）</w:t>
      </w:r>
      <w:r>
        <w:rPr>
          <w:rFonts w:ascii="宋体" w:eastAsia="宋体" w:hAnsi="宋体" w:cs="宋体" w:hint="eastAsia"/>
          <w:sz w:val="21"/>
          <w:szCs w:val="21"/>
        </w:rPr>
        <w:t>的扣除，用扣除后的价格参与评审。满足多项优惠政策的</w:t>
      </w:r>
      <w:r>
        <w:rPr>
          <w:rFonts w:ascii="宋体" w:eastAsia="宋体" w:hAnsi="宋体" w:cs="宋体" w:hint="eastAsia"/>
          <w:sz w:val="21"/>
          <w:szCs w:val="21"/>
          <w:lang w:eastAsia="zh-CN"/>
        </w:rPr>
        <w:t>供应商</w:t>
      </w:r>
      <w:r>
        <w:rPr>
          <w:rFonts w:ascii="宋体" w:eastAsia="宋体" w:hAnsi="宋体" w:cs="宋体" w:hint="eastAsia"/>
          <w:sz w:val="21"/>
          <w:szCs w:val="21"/>
        </w:rPr>
        <w:t>，不重复享受多项价格扣除政策。</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制造是指货物由优惠主体生产且使用该优惠主体商号或者注册商标；投标人提供的货物既有优惠主体制造货物，又有非优惠主体制造货物的，不给予价格扣除。</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3</w:t>
      </w:r>
      <w:r>
        <w:rPr>
          <w:rFonts w:ascii="宋体" w:eastAsia="宋体" w:hAnsi="宋体" w:cs="宋体" w:hint="eastAsia"/>
          <w:sz w:val="21"/>
          <w:szCs w:val="21"/>
        </w:rPr>
        <w:t>）</w:t>
      </w:r>
      <w:bookmarkStart w:id="13" w:name="_Hlk71970739"/>
      <w:r>
        <w:rPr>
          <w:rFonts w:ascii="宋体" w:eastAsia="宋体" w:hAnsi="宋体" w:cs="宋体" w:hint="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本项目采购标的（货物）对应的中小企业划分标准所属行业为</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工  </w:t>
      </w:r>
      <w:r>
        <w:rPr>
          <w:rFonts w:ascii="宋体" w:eastAsia="宋体" w:hAnsi="宋体" w:cs="宋体" w:hint="eastAsia"/>
          <w:b/>
          <w:bCs/>
          <w:color w:val="FF0000"/>
          <w:sz w:val="21"/>
          <w:szCs w:val="21"/>
          <w:u w:val="single"/>
        </w:rPr>
        <w:t xml:space="preserve"> </w:t>
      </w:r>
      <w:r>
        <w:rPr>
          <w:rFonts w:ascii="宋体" w:eastAsia="宋体" w:hAnsi="宋体" w:cs="宋体" w:hint="eastAsia"/>
          <w:b/>
          <w:bCs/>
          <w:sz w:val="21"/>
          <w:szCs w:val="21"/>
        </w:rPr>
        <w:t>业</w:t>
      </w:r>
      <w:r>
        <w:rPr>
          <w:rFonts w:ascii="宋体" w:eastAsia="宋体" w:hAnsi="宋体" w:cs="宋体" w:hint="eastAsia"/>
          <w:sz w:val="21"/>
          <w:szCs w:val="21"/>
        </w:rPr>
        <w:t>。</w:t>
      </w:r>
      <w:bookmarkEnd w:id="13"/>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4</w:t>
      </w: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w:t>
      </w:r>
      <w:r>
        <w:rPr>
          <w:rFonts w:ascii="宋体" w:eastAsia="宋体" w:hAnsi="宋体" w:cs="宋体" w:hint="eastAsia"/>
          <w:sz w:val="21"/>
          <w:szCs w:val="21"/>
        </w:rPr>
        <w:t>。声明函样式见本招标文件第一册专用条款第</w:t>
      </w:r>
      <w:r>
        <w:rPr>
          <w:rFonts w:ascii="宋体" w:eastAsia="宋体" w:hAnsi="宋体" w:cs="宋体" w:hint="eastAsia"/>
          <w:sz w:val="21"/>
          <w:szCs w:val="21"/>
          <w:lang w:eastAsia="zh-CN"/>
        </w:rPr>
        <w:t>四</w:t>
      </w:r>
      <w:r>
        <w:rPr>
          <w:rFonts w:ascii="宋体" w:eastAsia="宋体" w:hAnsi="宋体" w:cs="宋体" w:hint="eastAsia"/>
          <w:sz w:val="21"/>
          <w:szCs w:val="21"/>
        </w:rPr>
        <w:t>章“投标文件格式、附件”中“</w:t>
      </w:r>
      <w:r>
        <w:rPr>
          <w:rFonts w:ascii="宋体" w:eastAsia="宋体" w:hAnsi="宋体" w:cs="宋体" w:hint="eastAsia"/>
          <w:sz w:val="21"/>
          <w:szCs w:val="21"/>
          <w:lang w:eastAsia="zh-CN"/>
        </w:rPr>
        <w:t>三、</w:t>
      </w:r>
      <w:r>
        <w:rPr>
          <w:rFonts w:ascii="宋体" w:eastAsia="宋体" w:hAnsi="宋体" w:cs="宋体" w:hint="eastAsia"/>
          <w:sz w:val="21"/>
          <w:szCs w:val="21"/>
        </w:rPr>
        <w:t>投标人</w:t>
      </w:r>
      <w:r>
        <w:rPr>
          <w:rFonts w:ascii="宋体" w:eastAsia="宋体" w:hAnsi="宋体" w:cs="宋体" w:hint="eastAsia"/>
          <w:sz w:val="21"/>
          <w:szCs w:val="21"/>
        </w:rPr>
        <w:t>情况及资格证明文件”章节提供的格式）。</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5</w:t>
      </w:r>
      <w:r>
        <w:rPr>
          <w:rFonts w:ascii="宋体" w:eastAsia="宋体" w:hAnsi="宋体" w:cs="宋体" w:hint="eastAsia"/>
          <w:sz w:val="21"/>
          <w:szCs w:val="21"/>
        </w:rPr>
        <w:t>）享受价格扣除获得政府采购合同的，小微企业不得将合同分包给大中型企业。</w:t>
      </w:r>
    </w:p>
    <w:p>
      <w:pPr>
        <w:widowControl w:val="0"/>
        <w:tabs>
          <w:tab w:val="left" w:pos="720"/>
        </w:tabs>
        <w:ind w:firstLine="480" w:firstLineChars="200"/>
        <w:jc w:val="both"/>
        <w:rPr>
          <w:rFonts w:ascii="黑体" w:eastAsia="黑体" w:hAnsi="宋体"/>
          <w:kern w:val="2"/>
          <w:szCs w:val="22"/>
          <w:highlight w:val="yellow"/>
          <w:lang w:eastAsia="zh-CN"/>
        </w:rPr>
      </w:pP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kern w:val="2"/>
          <w:szCs w:val="22"/>
          <w:lang w:eastAsia="zh-CN"/>
        </w:rPr>
      </w:pPr>
    </w:p>
    <w:p>
      <w:pPr>
        <w:widowControl w:val="0"/>
        <w:tabs>
          <w:tab w:val="left" w:pos="720"/>
        </w:tabs>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400" w:lineRule="exact"/>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根据原国家计委《招标代理服务收费管理暂行办法》（计价格[2002]1980号）和国家发改委办公厅《关于招标代理服务收费有关问题的通知》（发改办价格[2003]857号）文件相关规定，招标代理服务费以中标金额为基数、按差额定率累进法计算，并在此计算结果基础上下浮 20 %，作为中标服务费。具体计取费率标准如下表所示（由中标单位支付招标代理服务费）：</w:t>
      </w:r>
    </w:p>
    <w:tbl>
      <w:tblPr>
        <w:tblStyle w:val="TableNormal"/>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2858"/>
        <w:gridCol w:w="1999"/>
        <w:gridCol w:w="2000"/>
        <w:gridCol w:w="1999"/>
      </w:tblGrid>
      <w:tr>
        <w:tblPrEx>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Ex>
        <w:trPr>
          <w:trHeight w:val="794"/>
        </w:trPr>
        <w:tc>
          <w:tcPr>
            <w:tcW w:w="2836" w:type="dxa"/>
            <w:tcBorders>
              <w:tl2br w:val="single" w:sz="8" w:space="0" w:color="auto"/>
            </w:tcBorders>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服务类型中标金额(万元)</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货物招标</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服务招标</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工程招标</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100以下</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100-500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0.7％</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500-1000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0.45％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1000-5000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0.35％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5000-10000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10000-100000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1000000以上</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r>
    </w:tbl>
    <w:p>
      <w:pPr>
        <w:widowControl w:val="0"/>
        <w:ind w:firstLine="420" w:firstLineChars="200"/>
        <w:jc w:val="both"/>
        <w:rPr>
          <w:rFonts w:eastAsia="宋体" w:hint="eastAsia"/>
          <w:kern w:val="2"/>
          <w:sz w:val="21"/>
          <w:lang w:eastAsia="zh-CN"/>
        </w:rPr>
      </w:pPr>
      <w:r>
        <w:rPr>
          <w:rFonts w:eastAsia="宋体" w:hint="eastAsia"/>
          <w:kern w:val="2"/>
          <w:sz w:val="21"/>
          <w:lang w:eastAsia="zh-CN"/>
        </w:rPr>
        <w:t>注：</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（1）按本表费率计算的收费为招标代理服务的收费基准价格。</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（2）招标代理服务收费按差额定率累进法计算。</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例如：某服务招标代理业务中标金额为600万元，计算招标代理服务收费额如下：</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100万元×1.5%=1.5万元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（500-100）万元×0.8%=3.2万元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（600-500）万元×0.45%=0.45万元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合计收费=1.5+3.2+0.45=5.15万元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备注：最低收费不低于人民币6000元。代理服务费用超过6000元，则按国家计费规定收取代理服务费。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收款单位：深圳市千里招标代理有限公司</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开户银行：中国平安银行深圳创业路支行</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帐号：（人民币）15000094959311（用于支付标书费和中标服务费）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中标人须在中标公告公示期结束后，领取《中标通知书》前，向招标（采购）代理机构缴纳招标代理服务费。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招标代理服务费以转账、银行汇票形式交付。</w:t>
      </w: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752"/>
        <w:gridCol w:w="2594"/>
        <w:gridCol w:w="2799"/>
        <w:gridCol w:w="2525"/>
      </w:tblGrid>
      <w:tr>
        <w:tblPrEx>
          <w:tblW w:w="5000" w:type="pct"/>
          <w:jc w:val="center"/>
          <w:tblLayout w:type="fixed"/>
          <w:tblCellMar>
            <w:top w:w="15" w:type="dxa"/>
            <w:left w:w="15" w:type="dxa"/>
            <w:bottom w:w="15" w:type="dxa"/>
            <w:right w:w="15" w:type="dxa"/>
          </w:tblCellMar>
        </w:tblPrEx>
        <w:trPr>
          <w:trHeight w:val="552"/>
          <w:jc w:val="center"/>
        </w:trPr>
        <w:tc>
          <w:tcPr>
            <w:tcW w:w="780"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693"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290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最高限价（元）</w:t>
            </w:r>
          </w:p>
        </w:tc>
      </w:tr>
      <w:tr>
        <w:tblPrEx>
          <w:tblW w:w="5000" w:type="pct"/>
          <w:jc w:val="center"/>
          <w:tblLayout w:type="fixed"/>
          <w:tblCellMar>
            <w:top w:w="15" w:type="dxa"/>
            <w:left w:w="15" w:type="dxa"/>
            <w:bottom w:w="15" w:type="dxa"/>
            <w:right w:w="15" w:type="dxa"/>
          </w:tblCellMar>
        </w:tblPrEx>
        <w:trPr>
          <w:trHeight w:val="485"/>
          <w:jc w:val="center"/>
        </w:trPr>
        <w:tc>
          <w:tcPr>
            <w:tcW w:w="780"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p>
        </w:tc>
        <w:tc>
          <w:tcPr>
            <w:tcW w:w="2693"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LHAZXDL-2024-00080</w:t>
            </w:r>
          </w:p>
        </w:tc>
        <w:tc>
          <w:tcPr>
            <w:tcW w:w="2906"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医疗设备一批（医用输血输液加温器等）</w:t>
            </w:r>
          </w:p>
        </w:tc>
        <w:tc>
          <w:tcPr>
            <w:tcW w:w="2622"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382</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210.00</w:t>
            </w:r>
          </w:p>
        </w:tc>
      </w:tr>
    </w:tbl>
    <w:p>
      <w:pPr>
        <w:keepNext/>
        <w:keepLines/>
        <w:widowControl w:val="0"/>
        <w:tabs>
          <w:tab w:val="left" w:pos="1680"/>
        </w:tabs>
        <w:spacing w:before="260" w:after="60" w:afterLines="25"/>
        <w:jc w:val="center"/>
        <w:outlineLvl w:val="9"/>
        <w:rPr>
          <w:rFonts w:ascii="Arial" w:eastAsia="宋体" w:hAnsi="Arial" w:hint="eastAsia"/>
          <w:b/>
          <w:kern w:val="2"/>
          <w:sz w:val="32"/>
          <w:szCs w:val="32"/>
          <w:lang w:eastAsia="zh-CN"/>
        </w:rPr>
      </w:pPr>
    </w:p>
    <w:p>
      <w:pPr>
        <w:keepNext/>
        <w:keepLines/>
        <w:widowControl w:val="0"/>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二、货物需求明细</w:t>
      </w:r>
      <w:bookmarkStart w:id="14" w:name="_Toc128884461"/>
    </w:p>
    <w:p>
      <w:pPr>
        <w:spacing w:before="120" w:after="120"/>
        <w:jc w:val="left"/>
        <w:rPr>
          <w:rFonts w:ascii="Arial" w:eastAsia="宋体" w:hAnsi="Arial" w:hint="eastAsia"/>
          <w:b/>
          <w:bCs/>
          <w:caps/>
          <w:kern w:val="2"/>
          <w:sz w:val="32"/>
          <w:szCs w:val="32"/>
          <w:lang w:eastAsia="zh-CN"/>
        </w:rPr>
      </w:pPr>
      <w:r>
        <w:rPr>
          <w:rFonts w:ascii="Calibri" w:hAnsi="Calibri" w:hint="eastAsia"/>
          <w:b/>
          <w:bCs/>
          <w:caps/>
          <w:sz w:val="21"/>
          <w:szCs w:val="21"/>
        </w:rPr>
        <w:t>（</w:t>
      </w:r>
      <w:r>
        <w:rPr>
          <w:rFonts w:ascii="Calibri" w:eastAsia="宋体" w:hAnsi="Calibri" w:hint="eastAsia"/>
          <w:b/>
          <w:bCs/>
          <w:caps/>
          <w:sz w:val="21"/>
          <w:szCs w:val="21"/>
          <w:lang w:eastAsia="zh-CN"/>
        </w:rPr>
        <w:t>一</w:t>
      </w:r>
      <w:r>
        <w:rPr>
          <w:rFonts w:ascii="Calibri" w:hAnsi="Calibri" w:hint="eastAsia"/>
          <w:b/>
          <w:bCs/>
          <w:caps/>
          <w:sz w:val="21"/>
          <w:szCs w:val="21"/>
        </w:rPr>
        <w:t>）货物分项清单</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33"/>
        <w:gridCol w:w="2558"/>
        <w:gridCol w:w="716"/>
        <w:gridCol w:w="805"/>
        <w:gridCol w:w="1377"/>
        <w:gridCol w:w="1164"/>
        <w:gridCol w:w="140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9"/>
          <w:jc w:val="center"/>
        </w:trPr>
        <w:tc>
          <w:tcPr>
            <w:tcW w:w="833"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序号</w:t>
            </w:r>
          </w:p>
        </w:tc>
        <w:tc>
          <w:tcPr>
            <w:tcW w:w="2558"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货物名称</w:t>
            </w:r>
          </w:p>
        </w:tc>
        <w:tc>
          <w:tcPr>
            <w:tcW w:w="716"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数量</w:t>
            </w:r>
          </w:p>
        </w:tc>
        <w:tc>
          <w:tcPr>
            <w:tcW w:w="805"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单位</w:t>
            </w:r>
          </w:p>
        </w:tc>
        <w:tc>
          <w:tcPr>
            <w:tcW w:w="1377" w:type="dxa"/>
            <w:noWrap w:val="0"/>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color w:val="FF0000"/>
                <w:kern w:val="2"/>
                <w:sz w:val="21"/>
                <w:szCs w:val="21"/>
                <w:lang w:eastAsia="zh-CN"/>
              </w:rPr>
              <w:t>单项最高限价（元）</w:t>
            </w:r>
          </w:p>
        </w:tc>
        <w:tc>
          <w:tcPr>
            <w:tcW w:w="1164"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备注</w:t>
            </w:r>
          </w:p>
        </w:tc>
        <w:tc>
          <w:tcPr>
            <w:tcW w:w="1403"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最高限价（元）</w:t>
            </w:r>
          </w:p>
        </w:tc>
      </w:tr>
      <w:tr>
        <w:tblPrEx>
          <w:tblW w:w="5000" w:type="pct"/>
          <w:jc w:val="center"/>
          <w:tblLayout w:type="fixed"/>
          <w:tblCellMar>
            <w:top w:w="0" w:type="dxa"/>
            <w:left w:w="108" w:type="dxa"/>
            <w:bottom w:w="0" w:type="dxa"/>
            <w:right w:w="108" w:type="dxa"/>
          </w:tblCellMar>
        </w:tblPrEx>
        <w:trPr>
          <w:trHeight w:val="90"/>
          <w:jc w:val="center"/>
        </w:trPr>
        <w:tc>
          <w:tcPr>
            <w:tcW w:w="833" w:type="dxa"/>
            <w:noWrap w:val="0"/>
            <w:vAlign w:val="center"/>
          </w:tcPr>
          <w:p>
            <w:pPr>
              <w:widowControl/>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w:t>
            </w:r>
          </w:p>
        </w:tc>
        <w:tc>
          <w:tcPr>
            <w:tcW w:w="2558"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充气式升温系统</w:t>
            </w:r>
          </w:p>
        </w:tc>
        <w:tc>
          <w:tcPr>
            <w:tcW w:w="716"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4</w:t>
            </w:r>
          </w:p>
        </w:tc>
        <w:tc>
          <w:tcPr>
            <w:tcW w:w="80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套</w:t>
            </w:r>
          </w:p>
        </w:tc>
        <w:tc>
          <w:tcPr>
            <w:tcW w:w="1377" w:type="dxa"/>
            <w:noWrap w:val="0"/>
            <w:vAlign w:val="center"/>
          </w:tcPr>
          <w:p>
            <w:pPr>
              <w:keepNext w:val="0"/>
              <w:keepLines w:val="0"/>
              <w:widowControl/>
              <w:suppressLineNumbers w:val="0"/>
              <w:jc w:val="center"/>
              <w:textAlignment w:val="center"/>
              <w:rPr>
                <w:rFonts w:ascii="宋体" w:eastAsia="宋体" w:hAnsi="宋体" w:cs="宋体"/>
                <w:color w:val="FF0000"/>
                <w:kern w:val="2"/>
                <w:sz w:val="21"/>
                <w:szCs w:val="21"/>
                <w:highlight w:val="yellow"/>
                <w:lang w:eastAsia="zh-CN"/>
              </w:rPr>
            </w:pPr>
            <w:r>
              <w:rPr>
                <w:rFonts w:ascii="宋体" w:eastAsia="宋体" w:hAnsi="宋体" w:cs="宋体" w:hint="eastAsia"/>
                <w:color w:val="000000"/>
                <w:sz w:val="21"/>
                <w:szCs w:val="21"/>
                <w:lang w:eastAsia="zh-CN" w:bidi="ar"/>
              </w:rPr>
              <w:t>187624.00</w:t>
            </w:r>
          </w:p>
        </w:tc>
        <w:tc>
          <w:tcPr>
            <w:tcW w:w="1164"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b/>
                <w:bCs/>
                <w:color w:val="FF0000"/>
                <w:kern w:val="2"/>
                <w:sz w:val="21"/>
                <w:szCs w:val="21"/>
                <w:lang w:eastAsia="zh-CN"/>
              </w:rPr>
              <w:t>接受进口</w:t>
            </w:r>
          </w:p>
        </w:tc>
        <w:tc>
          <w:tcPr>
            <w:tcW w:w="1403" w:type="dxa"/>
            <w:vMerge w:val="restart"/>
            <w:noWrap w:val="0"/>
            <w:vAlign w:val="center"/>
          </w:tcPr>
          <w:p>
            <w:pPr>
              <w:widowControl w:val="0"/>
              <w:jc w:val="center"/>
              <w:rPr>
                <w:rFonts w:ascii="Calibri" w:eastAsia="宋体" w:hAnsi="Calibri"/>
                <w:kern w:val="2"/>
                <w:sz w:val="21"/>
                <w:szCs w:val="21"/>
                <w:lang w:eastAsia="zh-CN"/>
              </w:rPr>
            </w:pPr>
            <w:r>
              <w:rPr>
                <w:rFonts w:ascii="宋体" w:eastAsia="宋体" w:hAnsi="宋体" w:cs="宋体" w:hint="eastAsia"/>
                <w:kern w:val="2"/>
                <w:sz w:val="21"/>
                <w:szCs w:val="21"/>
                <w:lang w:eastAsia="zh-CN"/>
              </w:rPr>
              <w:t>382,210.00</w:t>
            </w:r>
          </w:p>
        </w:tc>
      </w:tr>
      <w:tr>
        <w:tblPrEx>
          <w:tblW w:w="5000" w:type="pct"/>
          <w:jc w:val="center"/>
          <w:tblLayout w:type="fixed"/>
          <w:tblCellMar>
            <w:top w:w="0" w:type="dxa"/>
            <w:left w:w="108" w:type="dxa"/>
            <w:bottom w:w="0" w:type="dxa"/>
            <w:right w:w="108" w:type="dxa"/>
          </w:tblCellMar>
        </w:tblPrEx>
        <w:trPr>
          <w:jc w:val="center"/>
        </w:trPr>
        <w:tc>
          <w:tcPr>
            <w:tcW w:w="833" w:type="dxa"/>
            <w:noWrap w:val="0"/>
            <w:vAlign w:val="center"/>
          </w:tcPr>
          <w:p>
            <w:pPr>
              <w:widowControl/>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p>
        </w:tc>
        <w:tc>
          <w:tcPr>
            <w:tcW w:w="2558"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医用输血输液加温器</w:t>
            </w:r>
          </w:p>
        </w:tc>
        <w:tc>
          <w:tcPr>
            <w:tcW w:w="716"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3</w:t>
            </w:r>
          </w:p>
        </w:tc>
        <w:tc>
          <w:tcPr>
            <w:tcW w:w="80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台</w:t>
            </w:r>
          </w:p>
        </w:tc>
        <w:tc>
          <w:tcPr>
            <w:tcW w:w="1377" w:type="dxa"/>
            <w:noWrap w:val="0"/>
            <w:vAlign w:val="center"/>
          </w:tcPr>
          <w:p>
            <w:pPr>
              <w:keepNext w:val="0"/>
              <w:keepLines w:val="0"/>
              <w:widowControl/>
              <w:suppressLineNumbers w:val="0"/>
              <w:jc w:val="center"/>
              <w:textAlignment w:val="center"/>
              <w:rPr>
                <w:rFonts w:ascii="宋体" w:eastAsia="宋体" w:hAnsi="宋体" w:cs="宋体"/>
                <w:color w:val="FF0000"/>
                <w:kern w:val="2"/>
                <w:sz w:val="21"/>
                <w:szCs w:val="21"/>
                <w:highlight w:val="yellow"/>
                <w:lang w:eastAsia="zh-CN"/>
              </w:rPr>
            </w:pPr>
            <w:r>
              <w:rPr>
                <w:rFonts w:ascii="宋体" w:eastAsia="宋体" w:hAnsi="宋体" w:cs="宋体" w:hint="eastAsia"/>
                <w:color w:val="000000"/>
                <w:sz w:val="21"/>
                <w:szCs w:val="21"/>
                <w:lang w:eastAsia="zh-CN" w:bidi="ar"/>
              </w:rPr>
              <w:t>135360.00</w:t>
            </w:r>
          </w:p>
        </w:tc>
        <w:tc>
          <w:tcPr>
            <w:tcW w:w="1164"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03"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3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3</w:t>
            </w:r>
          </w:p>
        </w:tc>
        <w:tc>
          <w:tcPr>
            <w:tcW w:w="2558"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全自动定量免疫检测平台</w:t>
            </w:r>
          </w:p>
        </w:tc>
        <w:tc>
          <w:tcPr>
            <w:tcW w:w="716"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1</w:t>
            </w:r>
          </w:p>
        </w:tc>
        <w:tc>
          <w:tcPr>
            <w:tcW w:w="80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个</w:t>
            </w:r>
          </w:p>
        </w:tc>
        <w:tc>
          <w:tcPr>
            <w:tcW w:w="1377"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1410.00</w:t>
            </w:r>
          </w:p>
        </w:tc>
        <w:tc>
          <w:tcPr>
            <w:tcW w:w="1164"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03"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3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4</w:t>
            </w:r>
          </w:p>
        </w:tc>
        <w:tc>
          <w:tcPr>
            <w:tcW w:w="2558"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红外电热灭菌器</w:t>
            </w:r>
          </w:p>
        </w:tc>
        <w:tc>
          <w:tcPr>
            <w:tcW w:w="716"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1</w:t>
            </w:r>
          </w:p>
        </w:tc>
        <w:tc>
          <w:tcPr>
            <w:tcW w:w="80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台</w:t>
            </w:r>
          </w:p>
        </w:tc>
        <w:tc>
          <w:tcPr>
            <w:tcW w:w="1377"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2820.00</w:t>
            </w:r>
          </w:p>
        </w:tc>
        <w:tc>
          <w:tcPr>
            <w:tcW w:w="1164"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b/>
                <w:bCs/>
                <w:color w:val="FF0000"/>
                <w:kern w:val="2"/>
                <w:sz w:val="21"/>
                <w:szCs w:val="21"/>
                <w:lang w:eastAsia="zh-CN"/>
              </w:rPr>
              <w:t>接受进口</w:t>
            </w:r>
          </w:p>
        </w:tc>
        <w:tc>
          <w:tcPr>
            <w:tcW w:w="1403"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3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5</w:t>
            </w:r>
          </w:p>
        </w:tc>
        <w:tc>
          <w:tcPr>
            <w:tcW w:w="2558"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化学发光免疫分析仪</w:t>
            </w:r>
          </w:p>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（食物不耐受检测）</w:t>
            </w:r>
          </w:p>
        </w:tc>
        <w:tc>
          <w:tcPr>
            <w:tcW w:w="716"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1</w:t>
            </w:r>
          </w:p>
        </w:tc>
        <w:tc>
          <w:tcPr>
            <w:tcW w:w="80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套</w:t>
            </w:r>
          </w:p>
        </w:tc>
        <w:tc>
          <w:tcPr>
            <w:tcW w:w="1377"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4512.00</w:t>
            </w:r>
          </w:p>
        </w:tc>
        <w:tc>
          <w:tcPr>
            <w:tcW w:w="1164"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03"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3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6</w:t>
            </w:r>
          </w:p>
        </w:tc>
        <w:tc>
          <w:tcPr>
            <w:tcW w:w="2558"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生物芯片阅读仪</w:t>
            </w:r>
          </w:p>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（不孕不育自身抗体）</w:t>
            </w:r>
          </w:p>
        </w:tc>
        <w:tc>
          <w:tcPr>
            <w:tcW w:w="716"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1</w:t>
            </w:r>
          </w:p>
        </w:tc>
        <w:tc>
          <w:tcPr>
            <w:tcW w:w="80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套</w:t>
            </w:r>
          </w:p>
        </w:tc>
        <w:tc>
          <w:tcPr>
            <w:tcW w:w="1377"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3572.00</w:t>
            </w:r>
          </w:p>
        </w:tc>
        <w:tc>
          <w:tcPr>
            <w:tcW w:w="1164"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03"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3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7</w:t>
            </w:r>
          </w:p>
        </w:tc>
        <w:tc>
          <w:tcPr>
            <w:tcW w:w="2558"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细胞离心涂片机</w:t>
            </w:r>
          </w:p>
        </w:tc>
        <w:tc>
          <w:tcPr>
            <w:tcW w:w="716"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1</w:t>
            </w:r>
          </w:p>
        </w:tc>
        <w:tc>
          <w:tcPr>
            <w:tcW w:w="80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台</w:t>
            </w:r>
          </w:p>
        </w:tc>
        <w:tc>
          <w:tcPr>
            <w:tcW w:w="1377"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46812.00</w:t>
            </w:r>
          </w:p>
        </w:tc>
        <w:tc>
          <w:tcPr>
            <w:tcW w:w="1164"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403" w:type="dxa"/>
            <w:vMerge/>
            <w:noWrap w:val="0"/>
            <w:vAlign w:val="center"/>
          </w:tcPr>
          <w:p>
            <w:pPr>
              <w:widowControl w:val="0"/>
              <w:jc w:val="center"/>
              <w:rPr>
                <w:rFonts w:ascii="Calibri" w:eastAsia="宋体" w:hAnsi="Calibri" w:hint="eastAsia"/>
                <w:b/>
                <w:bCs/>
                <w:color w:val="FF0000"/>
                <w:kern w:val="2"/>
                <w:sz w:val="21"/>
                <w:szCs w:val="21"/>
                <w:lang w:eastAsia="zh-CN"/>
              </w:rPr>
            </w:pPr>
          </w:p>
        </w:tc>
      </w:tr>
    </w:tbl>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1、本项目的财政预算金额为人民币406,500.00元；本次招标的投标最高限价为人民币382,210.00元。投标总价不得超过最高限价，设置单项最高限价的，分项报价不得超过相应单项最高限价。</w:t>
      </w:r>
    </w:p>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widowControl w:val="0"/>
        <w:spacing w:after="120" w:line="360" w:lineRule="auto"/>
        <w:ind w:firstLine="420" w:firstLineChars="200"/>
        <w:jc w:val="both"/>
        <w:rPr>
          <w:rFonts w:ascii="宋体" w:eastAsia="宋体" w:hAnsi="宋体" w:hint="eastAsia"/>
          <w:b/>
          <w:color w:val="000000"/>
          <w:sz w:val="21"/>
          <w:szCs w:val="21"/>
          <w:u w:val="single"/>
          <w:lang w:eastAsia="zh-CN"/>
        </w:rPr>
      </w:pPr>
      <w:r>
        <w:rPr>
          <w:rFonts w:ascii="宋体" w:eastAsia="宋体" w:hAnsi="宋体" w:hint="eastAsia"/>
          <w:b/>
          <w:color w:val="000000"/>
          <w:sz w:val="21"/>
          <w:szCs w:val="21"/>
          <w:lang w:eastAsia="zh-CN"/>
        </w:rPr>
        <w:t>3、核心产品：</w:t>
      </w:r>
      <w:r>
        <w:rPr>
          <w:rFonts w:ascii="宋体" w:eastAsia="宋体" w:hAnsi="宋体" w:hint="eastAsia"/>
          <w:b/>
          <w:color w:val="000000"/>
          <w:sz w:val="21"/>
          <w:szCs w:val="21"/>
          <w:u w:val="single"/>
          <w:lang w:eastAsia="zh-CN"/>
        </w:rPr>
        <w:t>医用输血输液加温器</w:t>
      </w:r>
    </w:p>
    <w:p>
      <w:pPr>
        <w:spacing w:after="120"/>
        <w:ind w:left="480" w:leftChars="200"/>
        <w:rPr>
          <w:rFonts w:ascii="宋体" w:eastAsia="宋体" w:hAnsi="宋体" w:hint="eastAsia"/>
          <w:b/>
          <w:color w:val="000000"/>
          <w:sz w:val="21"/>
          <w:szCs w:val="21"/>
          <w:u w:val="single"/>
          <w:lang w:eastAsia="zh-CN"/>
        </w:rPr>
      </w:pPr>
    </w:p>
    <w:p>
      <w:pPr>
        <w:spacing w:after="120"/>
        <w:ind w:left="480" w:leftChars="200"/>
        <w:rPr>
          <w:rFonts w:ascii="宋体" w:eastAsia="宋体" w:hAnsi="宋体" w:hint="eastAsia"/>
          <w:b/>
          <w:color w:val="000000"/>
          <w:sz w:val="21"/>
          <w:szCs w:val="21"/>
          <w:u w:val="single"/>
          <w:lang w:eastAsia="zh-CN"/>
        </w:rPr>
      </w:pPr>
    </w:p>
    <w:p>
      <w:pPr>
        <w:spacing w:after="120"/>
        <w:ind w:left="480" w:leftChars="200"/>
        <w:rPr>
          <w:rFonts w:ascii="宋体" w:eastAsia="宋体" w:hAnsi="宋体" w:hint="eastAsia"/>
          <w:b/>
          <w:color w:val="000000"/>
          <w:sz w:val="21"/>
          <w:szCs w:val="21"/>
          <w:u w:val="single"/>
          <w:lang w:eastAsia="zh-CN"/>
        </w:rPr>
      </w:pPr>
    </w:p>
    <w:p>
      <w:pPr>
        <w:spacing w:after="120"/>
        <w:ind w:left="480" w:leftChars="200"/>
        <w:rPr>
          <w:rFonts w:ascii="宋体" w:eastAsia="宋体" w:hAnsi="宋体" w:hint="eastAsia"/>
          <w:b/>
          <w:color w:val="000000"/>
          <w:sz w:val="21"/>
          <w:szCs w:val="21"/>
          <w:u w:val="single"/>
          <w:lang w:eastAsia="zh-CN"/>
        </w:rPr>
      </w:pPr>
    </w:p>
    <w:p>
      <w:pPr>
        <w:spacing w:after="120"/>
        <w:ind w:left="0" w:firstLine="0" w:leftChars="0" w:firstLineChars="0"/>
        <w:rPr>
          <w:rFonts w:ascii="宋体" w:eastAsia="宋体" w:hAnsi="宋体" w:hint="eastAsia"/>
          <w:b/>
          <w:color w:val="000000"/>
          <w:sz w:val="21"/>
          <w:szCs w:val="21"/>
          <w:u w:val="single"/>
          <w:lang w:eastAsia="zh-CN"/>
        </w:rPr>
      </w:pPr>
    </w:p>
    <w:p>
      <w:pPr>
        <w:spacing w:before="120" w:after="120" w:line="360" w:lineRule="auto"/>
        <w:jc w:val="left"/>
        <w:rPr>
          <w:rFonts w:ascii="宋体" w:eastAsia="宋体" w:hAnsi="宋体" w:cs="宋体"/>
          <w:b/>
          <w:bCs/>
          <w:caps/>
          <w:sz w:val="21"/>
          <w:szCs w:val="21"/>
          <w:lang w:eastAsia="zh-CN"/>
        </w:rPr>
      </w:pPr>
      <w:r>
        <w:rPr>
          <w:rFonts w:ascii="Calibri" w:hAnsi="Calibri" w:hint="eastAsia"/>
          <w:b/>
          <w:bCs/>
          <w:caps/>
          <w:sz w:val="21"/>
          <w:szCs w:val="21"/>
        </w:rPr>
        <w:t>★</w:t>
      </w:r>
      <w:r>
        <w:rPr>
          <w:rFonts w:ascii="宋体" w:eastAsia="宋体" w:hAnsi="宋体" w:cs="宋体" w:hint="eastAsia"/>
          <w:b/>
          <w:bCs/>
          <w:caps/>
          <w:sz w:val="21"/>
          <w:szCs w:val="21"/>
        </w:rPr>
        <w:t>（</w:t>
      </w:r>
      <w:r>
        <w:rPr>
          <w:rFonts w:ascii="宋体" w:eastAsia="宋体" w:hAnsi="宋体" w:cs="宋体" w:hint="eastAsia"/>
          <w:b/>
          <w:bCs/>
          <w:caps/>
          <w:sz w:val="21"/>
          <w:szCs w:val="21"/>
          <w:lang w:eastAsia="zh-CN"/>
        </w:rPr>
        <w:t>二</w:t>
      </w:r>
      <w:r>
        <w:rPr>
          <w:rFonts w:ascii="宋体" w:eastAsia="宋体" w:hAnsi="宋体" w:cs="宋体" w:hint="eastAsia"/>
          <w:b/>
          <w:bCs/>
          <w:caps/>
          <w:sz w:val="21"/>
          <w:szCs w:val="21"/>
        </w:rPr>
        <w:t>）</w:t>
      </w:r>
      <w:r>
        <w:rPr>
          <w:rFonts w:ascii="宋体" w:eastAsia="宋体" w:hAnsi="宋体" w:cs="宋体" w:hint="eastAsia"/>
          <w:b/>
          <w:bCs/>
          <w:caps/>
          <w:sz w:val="21"/>
          <w:szCs w:val="21"/>
          <w:lang w:eastAsia="zh-CN"/>
        </w:rPr>
        <w:t>货物配置清单(每台/套设备配置）</w:t>
      </w:r>
    </w:p>
    <w:p>
      <w:pPr>
        <w:numPr>
          <w:ilvl w:val="0"/>
          <w:numId w:val="0"/>
        </w:numPr>
        <w:spacing w:line="360" w:lineRule="auto"/>
        <w:ind w:left="0" w:firstLine="0" w:leftChars="0"/>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eastAsia="zh-CN" w:bidi="ar"/>
        </w:rPr>
        <w:t>充气式升温系统</w:t>
      </w:r>
      <w:r>
        <w:rPr>
          <w:rFonts w:ascii="宋体" w:eastAsia="宋体" w:hAnsi="宋体" w:cs="宋体" w:hint="eastAsia"/>
          <w:sz w:val="21"/>
          <w:szCs w:val="21"/>
          <w:lang w:eastAsia="zh-CN"/>
        </w:rPr>
        <w:t>(每台/套设备配置）</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88"/>
        <w:gridCol w:w="3837"/>
        <w:gridCol w:w="1630"/>
        <w:gridCol w:w="230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454"/>
          <w:tblHeader/>
          <w:jc w:val="center"/>
        </w:trPr>
        <w:tc>
          <w:tcPr>
            <w:tcW w:w="1043"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序号</w:t>
            </w:r>
          </w:p>
        </w:tc>
        <w:tc>
          <w:tcPr>
            <w:tcW w:w="3678"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配置名称</w:t>
            </w:r>
          </w:p>
        </w:tc>
        <w:tc>
          <w:tcPr>
            <w:tcW w:w="1562"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数量</w:t>
            </w:r>
          </w:p>
        </w:tc>
        <w:tc>
          <w:tcPr>
            <w:tcW w:w="2206"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单位</w:t>
            </w:r>
          </w:p>
        </w:tc>
      </w:tr>
      <w:tr>
        <w:tblPrEx>
          <w:tblW w:w="5000" w:type="pct"/>
          <w:jc w:val="center"/>
          <w:tblLayout w:type="fixed"/>
          <w:tblCellMar>
            <w:top w:w="0" w:type="dxa"/>
            <w:left w:w="108" w:type="dxa"/>
            <w:bottom w:w="0" w:type="dxa"/>
            <w:right w:w="108" w:type="dxa"/>
          </w:tblCellMar>
        </w:tblPrEx>
        <w:trPr>
          <w:cantSplit/>
          <w:trHeight w:val="454"/>
          <w:jc w:val="center"/>
        </w:trPr>
        <w:tc>
          <w:tcPr>
            <w:tcW w:w="1043" w:type="dxa"/>
            <w:noWrap w:val="0"/>
            <w:vAlign w:val="center"/>
          </w:tcPr>
          <w:p>
            <w:pPr>
              <w:widowControl/>
              <w:adjustRightInd w:val="0"/>
              <w:snapToGrid w:val="0"/>
              <w:jc w:val="center"/>
              <w:textAlignment w:val="center"/>
              <w:rPr>
                <w:rFonts w:ascii="宋体" w:hAnsi="宋体" w:cs="宋体" w:hint="eastAsia"/>
                <w:sz w:val="21"/>
                <w:szCs w:val="21"/>
                <w:lang w:eastAsia="zh-CN" w:bidi="ar"/>
              </w:rPr>
            </w:pPr>
            <w:r>
              <w:rPr>
                <w:rFonts w:ascii="宋体" w:hAnsi="宋体" w:cs="宋体" w:hint="eastAsia"/>
                <w:sz w:val="21"/>
                <w:szCs w:val="21"/>
              </w:rPr>
              <w:t>1</w:t>
            </w:r>
          </w:p>
        </w:tc>
        <w:tc>
          <w:tcPr>
            <w:tcW w:w="3678"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医用升温毯主机</w:t>
            </w:r>
          </w:p>
        </w:tc>
        <w:tc>
          <w:tcPr>
            <w:tcW w:w="1562"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1</w:t>
            </w:r>
          </w:p>
        </w:tc>
        <w:tc>
          <w:tcPr>
            <w:tcW w:w="2206"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台</w:t>
            </w:r>
          </w:p>
        </w:tc>
      </w:tr>
      <w:tr>
        <w:tblPrEx>
          <w:tblW w:w="5000" w:type="pct"/>
          <w:jc w:val="center"/>
          <w:tblLayout w:type="fixed"/>
          <w:tblCellMar>
            <w:top w:w="0" w:type="dxa"/>
            <w:left w:w="108" w:type="dxa"/>
            <w:bottom w:w="0" w:type="dxa"/>
            <w:right w:w="108" w:type="dxa"/>
          </w:tblCellMar>
        </w:tblPrEx>
        <w:trPr>
          <w:cantSplit/>
          <w:trHeight w:val="454"/>
          <w:jc w:val="center"/>
        </w:trPr>
        <w:tc>
          <w:tcPr>
            <w:tcW w:w="1043" w:type="dxa"/>
            <w:noWrap w:val="0"/>
            <w:vAlign w:val="center"/>
          </w:tcPr>
          <w:p>
            <w:pPr>
              <w:widowControl/>
              <w:adjustRightInd w:val="0"/>
              <w:snapToGrid w:val="0"/>
              <w:jc w:val="center"/>
              <w:textAlignment w:val="center"/>
              <w:rPr>
                <w:rFonts w:ascii="宋体" w:hAnsi="宋体" w:cs="宋体" w:hint="eastAsia"/>
                <w:sz w:val="21"/>
                <w:szCs w:val="21"/>
                <w:lang w:eastAsia="zh-CN" w:bidi="ar"/>
              </w:rPr>
            </w:pPr>
            <w:r>
              <w:rPr>
                <w:rFonts w:ascii="宋体" w:hAnsi="宋体" w:cs="宋体" w:hint="eastAsia"/>
                <w:sz w:val="21"/>
                <w:szCs w:val="21"/>
              </w:rPr>
              <w:t>2</w:t>
            </w:r>
          </w:p>
        </w:tc>
        <w:tc>
          <w:tcPr>
            <w:tcW w:w="3678"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电源线</w:t>
            </w:r>
          </w:p>
        </w:tc>
        <w:tc>
          <w:tcPr>
            <w:tcW w:w="1562"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1</w:t>
            </w:r>
          </w:p>
        </w:tc>
        <w:tc>
          <w:tcPr>
            <w:tcW w:w="2206"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根</w:t>
            </w:r>
          </w:p>
        </w:tc>
      </w:tr>
      <w:tr>
        <w:tblPrEx>
          <w:tblW w:w="5000" w:type="pct"/>
          <w:jc w:val="center"/>
          <w:tblLayout w:type="fixed"/>
          <w:tblCellMar>
            <w:top w:w="0" w:type="dxa"/>
            <w:left w:w="108" w:type="dxa"/>
            <w:bottom w:w="0" w:type="dxa"/>
            <w:right w:w="108" w:type="dxa"/>
          </w:tblCellMar>
        </w:tblPrEx>
        <w:trPr>
          <w:cantSplit/>
          <w:trHeight w:val="454"/>
          <w:jc w:val="center"/>
        </w:trPr>
        <w:tc>
          <w:tcPr>
            <w:tcW w:w="1043" w:type="dxa"/>
            <w:noWrap w:val="0"/>
            <w:vAlign w:val="center"/>
          </w:tcPr>
          <w:p>
            <w:pPr>
              <w:widowControl/>
              <w:adjustRightInd w:val="0"/>
              <w:snapToGrid w:val="0"/>
              <w:jc w:val="center"/>
              <w:textAlignment w:val="center"/>
              <w:rPr>
                <w:rFonts w:ascii="宋体" w:hAnsi="宋体" w:cs="宋体" w:hint="eastAsia"/>
                <w:sz w:val="21"/>
                <w:szCs w:val="21"/>
                <w:lang w:eastAsia="zh-CN" w:bidi="ar"/>
              </w:rPr>
            </w:pPr>
            <w:r>
              <w:rPr>
                <w:rFonts w:ascii="宋体" w:hAnsi="宋体" w:cs="宋体" w:hint="eastAsia"/>
                <w:sz w:val="21"/>
                <w:szCs w:val="21"/>
              </w:rPr>
              <w:t>3</w:t>
            </w:r>
          </w:p>
        </w:tc>
        <w:tc>
          <w:tcPr>
            <w:tcW w:w="3678" w:type="dxa"/>
            <w:noWrap w:val="0"/>
            <w:vAlign w:val="center"/>
          </w:tcPr>
          <w:p>
            <w:pPr>
              <w:widowControl/>
              <w:adjustRightInd w:val="0"/>
              <w:snapToGrid w:val="0"/>
              <w:jc w:val="center"/>
              <w:textAlignment w:val="center"/>
              <w:rPr>
                <w:rFonts w:ascii="宋体" w:hAnsi="宋体" w:cs="宋体" w:hint="eastAsia"/>
                <w:kern w:val="24"/>
                <w:sz w:val="21"/>
                <w:szCs w:val="21"/>
                <w:lang w:eastAsia="zh-CN"/>
              </w:rPr>
            </w:pPr>
            <w:r>
              <w:rPr>
                <w:rFonts w:ascii="宋体" w:hAnsi="宋体" w:cs="宋体" w:hint="eastAsia"/>
                <w:sz w:val="21"/>
                <w:szCs w:val="21"/>
              </w:rPr>
              <w:t>保修卡</w:t>
            </w:r>
          </w:p>
        </w:tc>
        <w:tc>
          <w:tcPr>
            <w:tcW w:w="1562"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1</w:t>
            </w:r>
          </w:p>
        </w:tc>
        <w:tc>
          <w:tcPr>
            <w:tcW w:w="2206" w:type="dxa"/>
            <w:noWrap w:val="0"/>
            <w:vAlign w:val="center"/>
          </w:tcPr>
          <w:p>
            <w:pPr>
              <w:widowControl/>
              <w:adjustRightInd w:val="0"/>
              <w:snapToGrid w:val="0"/>
              <w:jc w:val="center"/>
              <w:textAlignment w:val="center"/>
              <w:rPr>
                <w:rFonts w:ascii="宋体" w:hAnsi="宋体" w:cs="宋体" w:hint="eastAsia"/>
                <w:bCs/>
                <w:sz w:val="21"/>
                <w:szCs w:val="21"/>
              </w:rPr>
            </w:pPr>
            <w:r>
              <w:rPr>
                <w:rFonts w:ascii="宋体" w:hAnsi="宋体" w:cs="宋体" w:hint="eastAsia"/>
                <w:sz w:val="21"/>
                <w:szCs w:val="21"/>
              </w:rPr>
              <w:t>张</w:t>
            </w:r>
          </w:p>
        </w:tc>
      </w:tr>
      <w:tr>
        <w:tblPrEx>
          <w:tblW w:w="5000" w:type="pct"/>
          <w:jc w:val="center"/>
          <w:tblLayout w:type="fixed"/>
          <w:tblCellMar>
            <w:top w:w="0" w:type="dxa"/>
            <w:left w:w="108" w:type="dxa"/>
            <w:bottom w:w="0" w:type="dxa"/>
            <w:right w:w="108" w:type="dxa"/>
          </w:tblCellMar>
        </w:tblPrEx>
        <w:trPr>
          <w:cantSplit/>
          <w:trHeight w:val="454"/>
          <w:jc w:val="center"/>
        </w:trPr>
        <w:tc>
          <w:tcPr>
            <w:tcW w:w="1043" w:type="dxa"/>
            <w:noWrap w:val="0"/>
            <w:vAlign w:val="center"/>
          </w:tcPr>
          <w:p>
            <w:pPr>
              <w:widowControl/>
              <w:adjustRightInd w:val="0"/>
              <w:snapToGrid w:val="0"/>
              <w:jc w:val="center"/>
              <w:textAlignment w:val="center"/>
              <w:rPr>
                <w:rFonts w:ascii="宋体" w:hAnsi="宋体" w:cs="宋体" w:hint="eastAsia"/>
                <w:sz w:val="21"/>
                <w:szCs w:val="21"/>
                <w:lang w:eastAsia="zh-CN" w:bidi="ar"/>
              </w:rPr>
            </w:pPr>
            <w:r>
              <w:rPr>
                <w:rFonts w:ascii="宋体" w:hAnsi="宋体" w:cs="宋体" w:hint="eastAsia"/>
                <w:sz w:val="21"/>
                <w:szCs w:val="21"/>
              </w:rPr>
              <w:t>4</w:t>
            </w:r>
          </w:p>
        </w:tc>
        <w:tc>
          <w:tcPr>
            <w:tcW w:w="3678" w:type="dxa"/>
            <w:noWrap w:val="0"/>
            <w:vAlign w:val="center"/>
          </w:tcPr>
          <w:p>
            <w:pPr>
              <w:widowControl/>
              <w:adjustRightInd w:val="0"/>
              <w:snapToGrid w:val="0"/>
              <w:jc w:val="center"/>
              <w:textAlignment w:val="center"/>
              <w:rPr>
                <w:rFonts w:ascii="宋体" w:hAnsi="宋体" w:cs="宋体" w:hint="eastAsia"/>
                <w:kern w:val="24"/>
                <w:sz w:val="21"/>
                <w:szCs w:val="21"/>
                <w:lang w:eastAsia="zh-CN"/>
              </w:rPr>
            </w:pPr>
            <w:r>
              <w:rPr>
                <w:rFonts w:ascii="宋体" w:hAnsi="宋体" w:cs="宋体" w:hint="eastAsia"/>
                <w:sz w:val="21"/>
                <w:szCs w:val="21"/>
              </w:rPr>
              <w:t>合格证</w:t>
            </w:r>
          </w:p>
        </w:tc>
        <w:tc>
          <w:tcPr>
            <w:tcW w:w="1562"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1</w:t>
            </w:r>
          </w:p>
        </w:tc>
        <w:tc>
          <w:tcPr>
            <w:tcW w:w="2206" w:type="dxa"/>
            <w:noWrap w:val="0"/>
            <w:vAlign w:val="center"/>
          </w:tcPr>
          <w:p>
            <w:pPr>
              <w:widowControl/>
              <w:adjustRightInd w:val="0"/>
              <w:snapToGrid w:val="0"/>
              <w:jc w:val="center"/>
              <w:textAlignment w:val="center"/>
              <w:rPr>
                <w:rFonts w:ascii="宋体" w:hAnsi="宋体" w:cs="宋体" w:hint="eastAsia"/>
                <w:bCs/>
                <w:sz w:val="21"/>
                <w:szCs w:val="21"/>
              </w:rPr>
            </w:pPr>
            <w:r>
              <w:rPr>
                <w:rFonts w:ascii="宋体" w:hAnsi="宋体" w:cs="宋体" w:hint="eastAsia"/>
                <w:sz w:val="21"/>
                <w:szCs w:val="21"/>
              </w:rPr>
              <w:t>张</w:t>
            </w:r>
          </w:p>
        </w:tc>
      </w:tr>
      <w:tr>
        <w:tblPrEx>
          <w:tblW w:w="5000" w:type="pct"/>
          <w:jc w:val="center"/>
          <w:tblLayout w:type="fixed"/>
          <w:tblCellMar>
            <w:top w:w="0" w:type="dxa"/>
            <w:left w:w="108" w:type="dxa"/>
            <w:bottom w:w="0" w:type="dxa"/>
            <w:right w:w="108" w:type="dxa"/>
          </w:tblCellMar>
        </w:tblPrEx>
        <w:trPr>
          <w:cantSplit/>
          <w:trHeight w:val="454"/>
          <w:jc w:val="center"/>
        </w:trPr>
        <w:tc>
          <w:tcPr>
            <w:tcW w:w="1043" w:type="dxa"/>
            <w:noWrap w:val="0"/>
            <w:vAlign w:val="center"/>
          </w:tcPr>
          <w:p>
            <w:pPr>
              <w:widowControl/>
              <w:adjustRightInd w:val="0"/>
              <w:snapToGrid w:val="0"/>
              <w:jc w:val="center"/>
              <w:textAlignment w:val="center"/>
              <w:rPr>
                <w:rFonts w:ascii="宋体" w:hAnsi="宋体" w:cs="宋体" w:hint="eastAsia"/>
                <w:sz w:val="21"/>
                <w:szCs w:val="21"/>
                <w:lang w:eastAsia="zh-CN" w:bidi="ar"/>
              </w:rPr>
            </w:pPr>
            <w:r>
              <w:rPr>
                <w:rFonts w:ascii="宋体" w:hAnsi="宋体" w:cs="宋体" w:hint="eastAsia"/>
                <w:sz w:val="21"/>
                <w:szCs w:val="21"/>
              </w:rPr>
              <w:t>5</w:t>
            </w:r>
          </w:p>
        </w:tc>
        <w:tc>
          <w:tcPr>
            <w:tcW w:w="3678" w:type="dxa"/>
            <w:noWrap w:val="0"/>
            <w:vAlign w:val="center"/>
          </w:tcPr>
          <w:p>
            <w:pPr>
              <w:widowControl/>
              <w:adjustRightInd w:val="0"/>
              <w:snapToGrid w:val="0"/>
              <w:jc w:val="center"/>
              <w:textAlignment w:val="center"/>
              <w:rPr>
                <w:rFonts w:ascii="宋体" w:hAnsi="宋体" w:cs="宋体" w:hint="eastAsia"/>
                <w:kern w:val="24"/>
                <w:sz w:val="21"/>
                <w:szCs w:val="21"/>
                <w:lang w:eastAsia="zh-CN"/>
              </w:rPr>
            </w:pPr>
            <w:r>
              <w:rPr>
                <w:rFonts w:ascii="宋体" w:hAnsi="宋体" w:cs="宋体" w:hint="eastAsia"/>
                <w:sz w:val="21"/>
                <w:szCs w:val="21"/>
              </w:rPr>
              <w:t>产品说明书</w:t>
            </w:r>
          </w:p>
        </w:tc>
        <w:tc>
          <w:tcPr>
            <w:tcW w:w="1562"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1</w:t>
            </w:r>
          </w:p>
        </w:tc>
        <w:tc>
          <w:tcPr>
            <w:tcW w:w="2206" w:type="dxa"/>
            <w:noWrap w:val="0"/>
            <w:vAlign w:val="center"/>
          </w:tcPr>
          <w:p>
            <w:pPr>
              <w:widowControl/>
              <w:adjustRightInd w:val="0"/>
              <w:snapToGrid w:val="0"/>
              <w:jc w:val="center"/>
              <w:textAlignment w:val="center"/>
              <w:rPr>
                <w:rFonts w:ascii="宋体" w:hAnsi="宋体" w:cs="宋体" w:hint="eastAsia"/>
                <w:bCs/>
                <w:sz w:val="21"/>
                <w:szCs w:val="21"/>
              </w:rPr>
            </w:pPr>
            <w:r>
              <w:rPr>
                <w:rFonts w:ascii="宋体" w:hAnsi="宋体" w:cs="宋体" w:hint="eastAsia"/>
                <w:sz w:val="21"/>
                <w:szCs w:val="21"/>
              </w:rPr>
              <w:t>本</w:t>
            </w:r>
          </w:p>
        </w:tc>
      </w:tr>
      <w:tr>
        <w:tblPrEx>
          <w:tblW w:w="5000" w:type="pct"/>
          <w:jc w:val="center"/>
          <w:tblLayout w:type="fixed"/>
          <w:tblCellMar>
            <w:top w:w="0" w:type="dxa"/>
            <w:left w:w="108" w:type="dxa"/>
            <w:bottom w:w="0" w:type="dxa"/>
            <w:right w:w="108" w:type="dxa"/>
          </w:tblCellMar>
        </w:tblPrEx>
        <w:trPr>
          <w:cantSplit/>
          <w:trHeight w:val="454"/>
          <w:jc w:val="center"/>
        </w:trPr>
        <w:tc>
          <w:tcPr>
            <w:tcW w:w="1043" w:type="dxa"/>
            <w:noWrap w:val="0"/>
            <w:vAlign w:val="center"/>
          </w:tcPr>
          <w:p>
            <w:pPr>
              <w:widowControl/>
              <w:adjustRightInd w:val="0"/>
              <w:snapToGrid w:val="0"/>
              <w:jc w:val="center"/>
              <w:textAlignment w:val="center"/>
              <w:rPr>
                <w:rFonts w:ascii="宋体" w:hAnsi="宋体" w:cs="宋体" w:hint="eastAsia"/>
                <w:sz w:val="21"/>
                <w:szCs w:val="21"/>
                <w:lang w:eastAsia="zh-CN" w:bidi="ar"/>
              </w:rPr>
            </w:pPr>
            <w:r>
              <w:rPr>
                <w:rFonts w:ascii="宋体" w:hAnsi="宋体" w:cs="宋体" w:hint="eastAsia"/>
                <w:sz w:val="21"/>
                <w:szCs w:val="21"/>
              </w:rPr>
              <w:t>6</w:t>
            </w:r>
          </w:p>
        </w:tc>
        <w:tc>
          <w:tcPr>
            <w:tcW w:w="3678" w:type="dxa"/>
            <w:noWrap w:val="0"/>
            <w:vAlign w:val="center"/>
          </w:tcPr>
          <w:p>
            <w:pPr>
              <w:widowControl/>
              <w:adjustRightInd w:val="0"/>
              <w:snapToGrid w:val="0"/>
              <w:jc w:val="center"/>
              <w:textAlignment w:val="center"/>
              <w:rPr>
                <w:rFonts w:ascii="宋体" w:hAnsi="宋体" w:cs="宋体" w:hint="eastAsia"/>
                <w:kern w:val="24"/>
                <w:sz w:val="21"/>
                <w:szCs w:val="21"/>
                <w:lang w:eastAsia="zh-CN"/>
              </w:rPr>
            </w:pPr>
            <w:r>
              <w:rPr>
                <w:rFonts w:ascii="宋体" w:hAnsi="宋体" w:cs="宋体" w:hint="eastAsia"/>
                <w:sz w:val="21"/>
                <w:szCs w:val="21"/>
              </w:rPr>
              <w:t>操作指南</w:t>
            </w:r>
          </w:p>
        </w:tc>
        <w:tc>
          <w:tcPr>
            <w:tcW w:w="1562"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1</w:t>
            </w:r>
          </w:p>
        </w:tc>
        <w:tc>
          <w:tcPr>
            <w:tcW w:w="2206" w:type="dxa"/>
            <w:noWrap w:val="0"/>
            <w:vAlign w:val="center"/>
          </w:tcPr>
          <w:p>
            <w:pPr>
              <w:widowControl/>
              <w:adjustRightInd w:val="0"/>
              <w:snapToGrid w:val="0"/>
              <w:jc w:val="center"/>
              <w:textAlignment w:val="center"/>
              <w:rPr>
                <w:rFonts w:ascii="宋体" w:hAnsi="宋体" w:cs="宋体" w:hint="eastAsia"/>
                <w:bCs/>
                <w:sz w:val="21"/>
                <w:szCs w:val="21"/>
              </w:rPr>
            </w:pPr>
            <w:r>
              <w:rPr>
                <w:rFonts w:ascii="宋体" w:hAnsi="宋体" w:cs="宋体" w:hint="eastAsia"/>
                <w:sz w:val="21"/>
                <w:szCs w:val="21"/>
              </w:rPr>
              <w:t>张</w:t>
            </w:r>
          </w:p>
        </w:tc>
      </w:tr>
      <w:tr>
        <w:tblPrEx>
          <w:tblW w:w="5000" w:type="pct"/>
          <w:jc w:val="center"/>
          <w:tblLayout w:type="fixed"/>
          <w:tblCellMar>
            <w:top w:w="0" w:type="dxa"/>
            <w:left w:w="108" w:type="dxa"/>
            <w:bottom w:w="0" w:type="dxa"/>
            <w:right w:w="108" w:type="dxa"/>
          </w:tblCellMar>
        </w:tblPrEx>
        <w:trPr>
          <w:cantSplit/>
          <w:trHeight w:val="454"/>
          <w:jc w:val="center"/>
        </w:trPr>
        <w:tc>
          <w:tcPr>
            <w:tcW w:w="1043" w:type="dxa"/>
            <w:noWrap w:val="0"/>
            <w:vAlign w:val="center"/>
          </w:tcPr>
          <w:p>
            <w:pPr>
              <w:widowControl/>
              <w:adjustRightInd w:val="0"/>
              <w:snapToGrid w:val="0"/>
              <w:jc w:val="center"/>
              <w:textAlignment w:val="center"/>
              <w:rPr>
                <w:rFonts w:ascii="宋体" w:hAnsi="宋体" w:cs="宋体" w:hint="eastAsia"/>
                <w:sz w:val="21"/>
                <w:szCs w:val="21"/>
                <w:lang w:eastAsia="zh-CN" w:bidi="ar"/>
              </w:rPr>
            </w:pPr>
            <w:r>
              <w:rPr>
                <w:rFonts w:ascii="宋体" w:hAnsi="宋体" w:cs="宋体" w:hint="eastAsia"/>
                <w:sz w:val="21"/>
                <w:szCs w:val="21"/>
              </w:rPr>
              <w:t>7</w:t>
            </w:r>
          </w:p>
        </w:tc>
        <w:tc>
          <w:tcPr>
            <w:tcW w:w="3678" w:type="dxa"/>
            <w:noWrap w:val="0"/>
            <w:vAlign w:val="center"/>
          </w:tcPr>
          <w:p>
            <w:pPr>
              <w:widowControl/>
              <w:adjustRightInd w:val="0"/>
              <w:snapToGrid w:val="0"/>
              <w:jc w:val="center"/>
              <w:textAlignment w:val="center"/>
              <w:rPr>
                <w:rFonts w:ascii="宋体" w:hAnsi="宋体" w:cs="宋体" w:hint="eastAsia"/>
                <w:kern w:val="24"/>
                <w:sz w:val="21"/>
                <w:szCs w:val="21"/>
                <w:lang w:eastAsia="zh-CN"/>
              </w:rPr>
            </w:pPr>
            <w:r>
              <w:rPr>
                <w:rFonts w:ascii="宋体" w:hAnsi="宋体" w:cs="宋体" w:hint="eastAsia"/>
                <w:sz w:val="21"/>
                <w:szCs w:val="21"/>
              </w:rPr>
              <w:t>全身盖毯</w:t>
            </w:r>
          </w:p>
        </w:tc>
        <w:tc>
          <w:tcPr>
            <w:tcW w:w="1562"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2</w:t>
            </w:r>
          </w:p>
        </w:tc>
        <w:tc>
          <w:tcPr>
            <w:tcW w:w="2206" w:type="dxa"/>
            <w:noWrap w:val="0"/>
            <w:vAlign w:val="center"/>
          </w:tcPr>
          <w:p>
            <w:pPr>
              <w:widowControl/>
              <w:adjustRightInd w:val="0"/>
              <w:snapToGrid w:val="0"/>
              <w:jc w:val="center"/>
              <w:textAlignment w:val="center"/>
              <w:rPr>
                <w:rFonts w:ascii="宋体" w:hAnsi="宋体" w:cs="宋体" w:hint="eastAsia"/>
                <w:bCs/>
                <w:sz w:val="21"/>
                <w:szCs w:val="21"/>
              </w:rPr>
            </w:pPr>
            <w:r>
              <w:rPr>
                <w:rFonts w:ascii="宋体" w:hAnsi="宋体" w:cs="宋体" w:hint="eastAsia"/>
                <w:sz w:val="21"/>
                <w:szCs w:val="21"/>
              </w:rPr>
              <w:t>张</w:t>
            </w:r>
          </w:p>
        </w:tc>
      </w:tr>
      <w:tr>
        <w:tblPrEx>
          <w:tblW w:w="5000" w:type="pct"/>
          <w:jc w:val="center"/>
          <w:tblLayout w:type="fixed"/>
          <w:tblCellMar>
            <w:top w:w="0" w:type="dxa"/>
            <w:left w:w="108" w:type="dxa"/>
            <w:bottom w:w="0" w:type="dxa"/>
            <w:right w:w="108" w:type="dxa"/>
          </w:tblCellMar>
        </w:tblPrEx>
        <w:trPr>
          <w:cantSplit/>
          <w:trHeight w:val="454"/>
          <w:jc w:val="center"/>
        </w:trPr>
        <w:tc>
          <w:tcPr>
            <w:tcW w:w="1043" w:type="dxa"/>
            <w:noWrap w:val="0"/>
            <w:vAlign w:val="center"/>
          </w:tcPr>
          <w:p>
            <w:pPr>
              <w:widowControl/>
              <w:adjustRightInd w:val="0"/>
              <w:snapToGrid w:val="0"/>
              <w:jc w:val="center"/>
              <w:textAlignment w:val="center"/>
              <w:rPr>
                <w:rFonts w:ascii="宋体" w:hAnsi="宋体" w:cs="宋体" w:hint="eastAsia"/>
                <w:sz w:val="21"/>
                <w:szCs w:val="21"/>
                <w:lang w:eastAsia="zh-CN" w:bidi="ar"/>
              </w:rPr>
            </w:pPr>
            <w:r>
              <w:rPr>
                <w:rFonts w:ascii="宋体" w:hAnsi="宋体" w:cs="宋体" w:hint="eastAsia"/>
                <w:sz w:val="21"/>
                <w:szCs w:val="21"/>
              </w:rPr>
              <w:t>8</w:t>
            </w:r>
          </w:p>
        </w:tc>
        <w:tc>
          <w:tcPr>
            <w:tcW w:w="3678" w:type="dxa"/>
            <w:noWrap w:val="0"/>
            <w:vAlign w:val="center"/>
          </w:tcPr>
          <w:p>
            <w:pPr>
              <w:widowControl/>
              <w:adjustRightInd w:val="0"/>
              <w:snapToGrid w:val="0"/>
              <w:jc w:val="center"/>
              <w:textAlignment w:val="center"/>
              <w:rPr>
                <w:rFonts w:ascii="宋体" w:hAnsi="宋体" w:cs="宋体" w:hint="eastAsia"/>
                <w:kern w:val="24"/>
                <w:sz w:val="21"/>
                <w:szCs w:val="21"/>
                <w:lang w:eastAsia="zh-CN"/>
              </w:rPr>
            </w:pPr>
            <w:r>
              <w:rPr>
                <w:rFonts w:ascii="宋体" w:hAnsi="宋体" w:cs="宋体" w:hint="eastAsia"/>
                <w:sz w:val="21"/>
                <w:szCs w:val="21"/>
              </w:rPr>
              <w:t>全身垫毯</w:t>
            </w:r>
          </w:p>
        </w:tc>
        <w:tc>
          <w:tcPr>
            <w:tcW w:w="1562"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2</w:t>
            </w:r>
          </w:p>
        </w:tc>
        <w:tc>
          <w:tcPr>
            <w:tcW w:w="2206" w:type="dxa"/>
            <w:noWrap w:val="0"/>
            <w:vAlign w:val="center"/>
          </w:tcPr>
          <w:p>
            <w:pPr>
              <w:widowControl/>
              <w:adjustRightInd w:val="0"/>
              <w:snapToGrid w:val="0"/>
              <w:jc w:val="center"/>
              <w:textAlignment w:val="center"/>
              <w:rPr>
                <w:rFonts w:ascii="宋体" w:hAnsi="宋体" w:cs="宋体" w:hint="eastAsia"/>
                <w:bCs/>
                <w:sz w:val="21"/>
                <w:szCs w:val="21"/>
              </w:rPr>
            </w:pPr>
            <w:r>
              <w:rPr>
                <w:rFonts w:ascii="宋体" w:hAnsi="宋体" w:cs="宋体" w:hint="eastAsia"/>
                <w:sz w:val="21"/>
                <w:szCs w:val="21"/>
              </w:rPr>
              <w:t>张</w:t>
            </w:r>
          </w:p>
        </w:tc>
      </w:tr>
      <w:tr>
        <w:tblPrEx>
          <w:tblW w:w="5000" w:type="pct"/>
          <w:jc w:val="center"/>
          <w:tblLayout w:type="fixed"/>
          <w:tblCellMar>
            <w:top w:w="0" w:type="dxa"/>
            <w:left w:w="108" w:type="dxa"/>
            <w:bottom w:w="0" w:type="dxa"/>
            <w:right w:w="108" w:type="dxa"/>
          </w:tblCellMar>
        </w:tblPrEx>
        <w:trPr>
          <w:cantSplit/>
          <w:trHeight w:val="454"/>
          <w:jc w:val="center"/>
        </w:trPr>
        <w:tc>
          <w:tcPr>
            <w:tcW w:w="1043" w:type="dxa"/>
            <w:noWrap w:val="0"/>
            <w:vAlign w:val="center"/>
          </w:tcPr>
          <w:p>
            <w:pPr>
              <w:widowControl/>
              <w:adjustRightInd w:val="0"/>
              <w:snapToGrid w:val="0"/>
              <w:jc w:val="center"/>
              <w:textAlignment w:val="center"/>
              <w:rPr>
                <w:rFonts w:ascii="宋体" w:hAnsi="宋体" w:cs="宋体" w:hint="eastAsia"/>
                <w:sz w:val="21"/>
                <w:szCs w:val="21"/>
                <w:lang w:eastAsia="zh-CN" w:bidi="ar"/>
              </w:rPr>
            </w:pPr>
            <w:r>
              <w:rPr>
                <w:rFonts w:ascii="宋体" w:hAnsi="宋体" w:cs="宋体" w:hint="eastAsia"/>
                <w:sz w:val="21"/>
                <w:szCs w:val="21"/>
              </w:rPr>
              <w:t>9</w:t>
            </w:r>
          </w:p>
        </w:tc>
        <w:tc>
          <w:tcPr>
            <w:tcW w:w="3678" w:type="dxa"/>
            <w:noWrap w:val="0"/>
            <w:vAlign w:val="center"/>
          </w:tcPr>
          <w:p>
            <w:pPr>
              <w:widowControl/>
              <w:adjustRightInd w:val="0"/>
              <w:snapToGrid w:val="0"/>
              <w:jc w:val="center"/>
              <w:textAlignment w:val="center"/>
              <w:rPr>
                <w:rFonts w:ascii="宋体" w:hAnsi="宋体" w:cs="宋体" w:hint="eastAsia"/>
                <w:kern w:val="24"/>
                <w:sz w:val="21"/>
                <w:szCs w:val="21"/>
                <w:lang w:eastAsia="zh-CN"/>
              </w:rPr>
            </w:pPr>
            <w:r>
              <w:rPr>
                <w:rFonts w:ascii="宋体" w:hAnsi="宋体" w:cs="宋体" w:hint="eastAsia"/>
                <w:sz w:val="21"/>
                <w:szCs w:val="21"/>
              </w:rPr>
              <w:t>专用台车</w:t>
            </w:r>
          </w:p>
        </w:tc>
        <w:tc>
          <w:tcPr>
            <w:tcW w:w="1562" w:type="dxa"/>
            <w:noWrap w:val="0"/>
            <w:vAlign w:val="center"/>
          </w:tcPr>
          <w:p>
            <w:pPr>
              <w:widowControl/>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1</w:t>
            </w:r>
          </w:p>
        </w:tc>
        <w:tc>
          <w:tcPr>
            <w:tcW w:w="2206" w:type="dxa"/>
            <w:noWrap w:val="0"/>
            <w:vAlign w:val="center"/>
          </w:tcPr>
          <w:p>
            <w:pPr>
              <w:widowControl/>
              <w:adjustRightInd w:val="0"/>
              <w:snapToGrid w:val="0"/>
              <w:jc w:val="center"/>
              <w:textAlignment w:val="center"/>
              <w:rPr>
                <w:rFonts w:ascii="宋体" w:hAnsi="宋体" w:cs="宋体" w:hint="eastAsia"/>
                <w:bCs/>
                <w:sz w:val="21"/>
                <w:szCs w:val="21"/>
              </w:rPr>
            </w:pPr>
            <w:r>
              <w:rPr>
                <w:rFonts w:ascii="宋体" w:hAnsi="宋体" w:cs="宋体" w:hint="eastAsia"/>
                <w:sz w:val="21"/>
                <w:szCs w:val="21"/>
              </w:rPr>
              <w:t>台</w:t>
            </w:r>
          </w:p>
        </w:tc>
      </w:tr>
    </w:tbl>
    <w:p>
      <w:pPr>
        <w:numPr>
          <w:ilvl w:val="0"/>
          <w:numId w:val="0"/>
        </w:numPr>
        <w:spacing w:line="360" w:lineRule="auto"/>
        <w:ind w:left="0" w:firstLine="0" w:leftChars="0"/>
        <w:rPr>
          <w:rFonts w:ascii="宋体" w:eastAsia="宋体" w:hAnsi="宋体" w:cs="宋体" w:hint="eastAsia"/>
          <w:sz w:val="21"/>
          <w:szCs w:val="21"/>
          <w:lang w:eastAsia="zh-CN"/>
        </w:rPr>
      </w:pPr>
    </w:p>
    <w:p>
      <w:pPr>
        <w:numPr>
          <w:ilvl w:val="0"/>
          <w:numId w:val="0"/>
        </w:numPr>
        <w:spacing w:line="360" w:lineRule="auto"/>
        <w:ind w:left="0" w:firstLine="0" w:leftChars="0"/>
        <w:rPr>
          <w:rFonts w:ascii="宋体" w:eastAsia="宋体" w:hAnsi="宋体" w:cs="宋体" w:hint="eastAsia"/>
          <w:sz w:val="21"/>
          <w:szCs w:val="21"/>
          <w:lang w:eastAsia="zh-CN"/>
        </w:rPr>
      </w:pPr>
      <w:r>
        <w:rPr>
          <w:rFonts w:ascii="宋体" w:eastAsia="宋体" w:hAnsi="宋体" w:cs="宋体" w:hint="eastAsia"/>
          <w:sz w:val="21"/>
          <w:szCs w:val="21"/>
          <w:lang w:eastAsia="zh-CN"/>
        </w:rPr>
        <w:t>（2）</w:t>
      </w:r>
      <w:r>
        <w:rPr>
          <w:rFonts w:ascii="宋体" w:eastAsia="宋体" w:hAnsi="宋体" w:cs="宋体" w:hint="eastAsia"/>
          <w:sz w:val="21"/>
          <w:szCs w:val="21"/>
          <w:lang w:eastAsia="zh-CN" w:bidi="ar"/>
        </w:rPr>
        <w:t>医用输血输液加温器</w:t>
      </w:r>
      <w:r>
        <w:rPr>
          <w:rFonts w:ascii="宋体" w:eastAsia="宋体" w:hAnsi="宋体" w:cs="宋体" w:hint="eastAsia"/>
          <w:sz w:val="21"/>
          <w:szCs w:val="21"/>
          <w:lang w:eastAsia="zh-CN"/>
        </w:rPr>
        <w:t>(每台/套设备配置）</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3"/>
        <w:gridCol w:w="3887"/>
        <w:gridCol w:w="1651"/>
        <w:gridCol w:w="221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454"/>
          <w:tblHeader/>
          <w:jc w:val="center"/>
        </w:trPr>
        <w:tc>
          <w:tcPr>
            <w:tcW w:w="1062"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序号</w:t>
            </w:r>
          </w:p>
        </w:tc>
        <w:tc>
          <w:tcPr>
            <w:tcW w:w="3740"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配置名称</w:t>
            </w:r>
          </w:p>
        </w:tc>
        <w:tc>
          <w:tcPr>
            <w:tcW w:w="1589"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数量</w:t>
            </w:r>
          </w:p>
        </w:tc>
        <w:tc>
          <w:tcPr>
            <w:tcW w:w="2131"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单位</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rPr>
              <w:t>1</w:t>
            </w:r>
          </w:p>
        </w:tc>
        <w:tc>
          <w:tcPr>
            <w:tcW w:w="3740" w:type="dxa"/>
            <w:noWrap w:val="0"/>
            <w:vAlign w:val="center"/>
          </w:tcPr>
          <w:p>
            <w:pPr>
              <w:widowControl/>
              <w:adjustRightInd w:val="0"/>
              <w:snapToGrid w:val="0"/>
              <w:jc w:val="center"/>
              <w:rPr>
                <w:rFonts w:ascii="宋体" w:hAnsi="宋体" w:cs="宋体" w:hint="eastAsia"/>
                <w:bCs/>
                <w:sz w:val="21"/>
                <w:szCs w:val="21"/>
                <w:lang w:eastAsia="zh-CN"/>
              </w:rPr>
            </w:pPr>
            <w:r>
              <w:rPr>
                <w:rFonts w:ascii="宋体" w:hAnsi="宋体" w:cs="宋体" w:hint="eastAsia"/>
                <w:sz w:val="21"/>
                <w:szCs w:val="21"/>
              </w:rPr>
              <w:t xml:space="preserve">双通道加温器主机             </w:t>
            </w:r>
          </w:p>
        </w:tc>
        <w:tc>
          <w:tcPr>
            <w:tcW w:w="1589" w:type="dxa"/>
            <w:noWrap w:val="0"/>
            <w:vAlign w:val="center"/>
          </w:tcPr>
          <w:p>
            <w:pPr>
              <w:widowControl/>
              <w:adjustRightInd w:val="0"/>
              <w:snapToGrid w:val="0"/>
              <w:jc w:val="center"/>
              <w:rPr>
                <w:rFonts w:ascii="宋体" w:hAnsi="宋体" w:cs="宋体" w:hint="eastAsia"/>
                <w:bCs/>
                <w:sz w:val="21"/>
                <w:szCs w:val="21"/>
                <w:lang w:eastAsia="zh-CN"/>
              </w:rPr>
            </w:pPr>
            <w:r>
              <w:rPr>
                <w:rFonts w:ascii="宋体" w:hAnsi="宋体" w:cs="宋体" w:hint="eastAsia"/>
                <w:sz w:val="21"/>
                <w:szCs w:val="21"/>
              </w:rPr>
              <w:t>1</w:t>
            </w:r>
          </w:p>
        </w:tc>
        <w:tc>
          <w:tcPr>
            <w:tcW w:w="2131" w:type="dxa"/>
            <w:noWrap w:val="0"/>
            <w:vAlign w:val="center"/>
          </w:tcPr>
          <w:p>
            <w:pPr>
              <w:widowControl/>
              <w:adjustRightInd w:val="0"/>
              <w:snapToGrid w:val="0"/>
              <w:jc w:val="center"/>
              <w:rPr>
                <w:rFonts w:ascii="宋体" w:hAnsi="宋体" w:cs="宋体" w:hint="eastAsia"/>
                <w:bCs/>
                <w:sz w:val="21"/>
                <w:szCs w:val="21"/>
                <w:lang w:eastAsia="zh-CN"/>
              </w:rPr>
            </w:pPr>
            <w:r>
              <w:rPr>
                <w:rFonts w:ascii="宋体" w:hAnsi="宋体" w:cs="宋体" w:hint="eastAsia"/>
                <w:sz w:val="21"/>
                <w:szCs w:val="21"/>
              </w:rPr>
              <w:t>台</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2</w:t>
            </w:r>
          </w:p>
        </w:tc>
        <w:tc>
          <w:tcPr>
            <w:tcW w:w="3740" w:type="dxa"/>
            <w:noWrap w:val="0"/>
            <w:vAlign w:val="center"/>
          </w:tcPr>
          <w:p>
            <w:pPr>
              <w:widowControl/>
              <w:adjustRightInd w:val="0"/>
              <w:snapToGrid w:val="0"/>
              <w:jc w:val="center"/>
              <w:rPr>
                <w:rFonts w:ascii="宋体" w:hAnsi="宋体" w:cs="宋体" w:hint="eastAsia"/>
                <w:bCs/>
                <w:sz w:val="21"/>
                <w:szCs w:val="21"/>
                <w:lang w:eastAsia="zh-CN"/>
              </w:rPr>
            </w:pPr>
            <w:r>
              <w:rPr>
                <w:rFonts w:ascii="宋体" w:hAnsi="宋体" w:cs="宋体" w:hint="eastAsia"/>
                <w:sz w:val="21"/>
                <w:szCs w:val="21"/>
              </w:rPr>
              <w:t xml:space="preserve">插拔式加热管                </w:t>
            </w:r>
          </w:p>
        </w:tc>
        <w:tc>
          <w:tcPr>
            <w:tcW w:w="1589" w:type="dxa"/>
            <w:noWrap w:val="0"/>
            <w:vAlign w:val="center"/>
          </w:tcPr>
          <w:p>
            <w:pPr>
              <w:widowControl/>
              <w:adjustRightInd w:val="0"/>
              <w:snapToGrid w:val="0"/>
              <w:jc w:val="center"/>
              <w:rPr>
                <w:rFonts w:ascii="宋体" w:hAnsi="宋体" w:cs="宋体" w:hint="eastAsia"/>
                <w:bCs/>
                <w:sz w:val="21"/>
                <w:szCs w:val="21"/>
                <w:lang w:eastAsia="zh-CN"/>
              </w:rPr>
            </w:pPr>
            <w:r>
              <w:rPr>
                <w:rFonts w:ascii="宋体" w:hAnsi="宋体" w:cs="宋体" w:hint="eastAsia"/>
                <w:sz w:val="21"/>
                <w:szCs w:val="21"/>
                <w:lang w:eastAsia="zh-CN"/>
              </w:rPr>
              <w:t>2</w:t>
            </w:r>
          </w:p>
        </w:tc>
        <w:tc>
          <w:tcPr>
            <w:tcW w:w="2131" w:type="dxa"/>
            <w:noWrap w:val="0"/>
            <w:vAlign w:val="center"/>
          </w:tcPr>
          <w:p>
            <w:pPr>
              <w:widowControl/>
              <w:adjustRightInd w:val="0"/>
              <w:snapToGrid w:val="0"/>
              <w:jc w:val="center"/>
              <w:rPr>
                <w:rFonts w:ascii="宋体" w:hAnsi="宋体" w:cs="宋体" w:hint="eastAsia"/>
                <w:bCs/>
                <w:sz w:val="21"/>
                <w:szCs w:val="21"/>
                <w:lang w:eastAsia="zh-CN"/>
              </w:rPr>
            </w:pPr>
            <w:r>
              <w:rPr>
                <w:rFonts w:ascii="宋体" w:hAnsi="宋体" w:cs="宋体" w:hint="eastAsia"/>
                <w:sz w:val="21"/>
                <w:szCs w:val="21"/>
                <w:lang w:eastAsia="zh-CN"/>
              </w:rPr>
              <w:t>条</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3</w:t>
            </w:r>
          </w:p>
        </w:tc>
        <w:tc>
          <w:tcPr>
            <w:tcW w:w="3740" w:type="dxa"/>
            <w:noWrap w:val="0"/>
            <w:vAlign w:val="center"/>
          </w:tcPr>
          <w:p>
            <w:pPr>
              <w:widowControl/>
              <w:autoSpaceDN w:val="0"/>
              <w:adjustRightInd w:val="0"/>
              <w:snapToGrid w:val="0"/>
              <w:jc w:val="center"/>
              <w:textAlignment w:val="bottom"/>
              <w:rPr>
                <w:rFonts w:ascii="宋体" w:hAnsi="宋体" w:cs="宋体" w:hint="eastAsia"/>
                <w:kern w:val="24"/>
                <w:sz w:val="21"/>
                <w:szCs w:val="21"/>
                <w:lang w:eastAsia="zh-CN"/>
              </w:rPr>
            </w:pPr>
            <w:r>
              <w:rPr>
                <w:rFonts w:ascii="宋体" w:hAnsi="宋体" w:cs="宋体" w:hint="eastAsia"/>
                <w:sz w:val="21"/>
                <w:szCs w:val="21"/>
              </w:rPr>
              <w:t xml:space="preserve">加热管夹子              </w:t>
            </w:r>
          </w:p>
        </w:tc>
        <w:tc>
          <w:tcPr>
            <w:tcW w:w="1589" w:type="dxa"/>
            <w:noWrap w:val="0"/>
            <w:vAlign w:val="center"/>
          </w:tcPr>
          <w:p>
            <w:pPr>
              <w:widowControl/>
              <w:autoSpaceDN w:val="0"/>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2</w:t>
            </w:r>
          </w:p>
        </w:tc>
        <w:tc>
          <w:tcPr>
            <w:tcW w:w="2131" w:type="dxa"/>
            <w:noWrap w:val="0"/>
            <w:vAlign w:val="center"/>
          </w:tcPr>
          <w:p>
            <w:pPr>
              <w:widowControl/>
              <w:adjustRightInd w:val="0"/>
              <w:snapToGrid w:val="0"/>
              <w:jc w:val="center"/>
              <w:rPr>
                <w:rFonts w:ascii="宋体" w:hAnsi="宋体" w:cs="宋体" w:hint="eastAsia"/>
                <w:bCs/>
                <w:sz w:val="21"/>
                <w:szCs w:val="21"/>
                <w:lang w:eastAsia="zh-CN"/>
              </w:rPr>
            </w:pPr>
            <w:r>
              <w:rPr>
                <w:rFonts w:ascii="宋体" w:hAnsi="宋体" w:cs="宋体" w:hint="eastAsia"/>
                <w:sz w:val="21"/>
                <w:szCs w:val="21"/>
                <w:lang w:eastAsia="zh-CN"/>
              </w:rPr>
              <w:t>套</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4</w:t>
            </w:r>
          </w:p>
        </w:tc>
        <w:tc>
          <w:tcPr>
            <w:tcW w:w="3740" w:type="dxa"/>
            <w:noWrap w:val="0"/>
            <w:vAlign w:val="center"/>
          </w:tcPr>
          <w:p>
            <w:pPr>
              <w:widowControl/>
              <w:autoSpaceDN w:val="0"/>
              <w:adjustRightInd w:val="0"/>
              <w:snapToGrid w:val="0"/>
              <w:jc w:val="center"/>
              <w:textAlignment w:val="bottom"/>
              <w:rPr>
                <w:rFonts w:ascii="宋体" w:hAnsi="宋体" w:cs="宋体" w:hint="eastAsia"/>
                <w:kern w:val="24"/>
                <w:sz w:val="21"/>
                <w:szCs w:val="21"/>
                <w:lang w:eastAsia="zh-CN"/>
              </w:rPr>
            </w:pPr>
            <w:r>
              <w:rPr>
                <w:rFonts w:ascii="宋体" w:hAnsi="宋体" w:cs="宋体" w:hint="eastAsia"/>
                <w:sz w:val="21"/>
                <w:szCs w:val="21"/>
              </w:rPr>
              <w:t xml:space="preserve">操作指南                     </w:t>
            </w:r>
          </w:p>
        </w:tc>
        <w:tc>
          <w:tcPr>
            <w:tcW w:w="1589" w:type="dxa"/>
            <w:noWrap w:val="0"/>
            <w:vAlign w:val="center"/>
          </w:tcPr>
          <w:p>
            <w:pPr>
              <w:widowControl/>
              <w:autoSpaceDN w:val="0"/>
              <w:adjustRightInd w:val="0"/>
              <w:snapToGrid w:val="0"/>
              <w:jc w:val="center"/>
              <w:textAlignment w:val="bottom"/>
              <w:rPr>
                <w:rFonts w:ascii="宋体" w:hAnsi="宋体" w:cs="宋体" w:hint="eastAsia"/>
                <w:bCs/>
                <w:sz w:val="21"/>
                <w:szCs w:val="21"/>
                <w:lang w:eastAsia="zh-CN"/>
              </w:rPr>
            </w:pPr>
            <w:r>
              <w:rPr>
                <w:rFonts w:ascii="宋体" w:hAnsi="宋体" w:cs="宋体" w:hint="eastAsia"/>
                <w:sz w:val="21"/>
                <w:szCs w:val="21"/>
              </w:rPr>
              <w:t>1</w:t>
            </w:r>
          </w:p>
        </w:tc>
        <w:tc>
          <w:tcPr>
            <w:tcW w:w="2131" w:type="dxa"/>
            <w:noWrap w:val="0"/>
            <w:vAlign w:val="center"/>
          </w:tcPr>
          <w:p>
            <w:pPr>
              <w:widowControl/>
              <w:adjustRightInd w:val="0"/>
              <w:snapToGrid w:val="0"/>
              <w:jc w:val="center"/>
              <w:rPr>
                <w:rFonts w:ascii="宋体" w:hAnsi="宋体" w:cs="宋体" w:hint="eastAsia"/>
                <w:bCs/>
                <w:sz w:val="21"/>
                <w:szCs w:val="21"/>
              </w:rPr>
            </w:pPr>
            <w:r>
              <w:rPr>
                <w:rFonts w:ascii="宋体" w:hAnsi="宋体" w:cs="宋体" w:hint="eastAsia"/>
                <w:sz w:val="21"/>
                <w:szCs w:val="21"/>
              </w:rPr>
              <w:t>份</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5</w:t>
            </w:r>
          </w:p>
        </w:tc>
        <w:tc>
          <w:tcPr>
            <w:tcW w:w="3740" w:type="dxa"/>
            <w:noWrap w:val="0"/>
            <w:vAlign w:val="center"/>
          </w:tcPr>
          <w:p>
            <w:pPr>
              <w:widowControl/>
              <w:autoSpaceDN w:val="0"/>
              <w:adjustRightInd w:val="0"/>
              <w:snapToGrid w:val="0"/>
              <w:jc w:val="center"/>
              <w:textAlignment w:val="bottom"/>
              <w:rPr>
                <w:rFonts w:ascii="宋体" w:hAnsi="宋体" w:cs="宋体" w:hint="eastAsia"/>
                <w:kern w:val="24"/>
                <w:sz w:val="21"/>
                <w:szCs w:val="21"/>
                <w:lang w:eastAsia="zh-CN"/>
              </w:rPr>
            </w:pPr>
            <w:r>
              <w:rPr>
                <w:rFonts w:ascii="宋体" w:hAnsi="宋体" w:cs="宋体" w:hint="eastAsia"/>
                <w:sz w:val="21"/>
                <w:szCs w:val="21"/>
              </w:rPr>
              <w:t xml:space="preserve">合格证                       </w:t>
            </w:r>
          </w:p>
        </w:tc>
        <w:tc>
          <w:tcPr>
            <w:tcW w:w="1589" w:type="dxa"/>
            <w:noWrap w:val="0"/>
            <w:vAlign w:val="center"/>
          </w:tcPr>
          <w:p>
            <w:pPr>
              <w:widowControl/>
              <w:autoSpaceDN w:val="0"/>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1</w:t>
            </w:r>
          </w:p>
        </w:tc>
        <w:tc>
          <w:tcPr>
            <w:tcW w:w="2131" w:type="dxa"/>
            <w:noWrap w:val="0"/>
            <w:vAlign w:val="center"/>
          </w:tcPr>
          <w:p>
            <w:pPr>
              <w:widowControl/>
              <w:autoSpaceDN w:val="0"/>
              <w:adjustRightInd w:val="0"/>
              <w:snapToGrid w:val="0"/>
              <w:jc w:val="center"/>
              <w:textAlignment w:val="center"/>
              <w:rPr>
                <w:rFonts w:ascii="宋体" w:hAnsi="宋体" w:cs="宋体" w:hint="eastAsia"/>
                <w:bCs/>
                <w:sz w:val="21"/>
                <w:szCs w:val="21"/>
              </w:rPr>
            </w:pPr>
            <w:r>
              <w:rPr>
                <w:rFonts w:ascii="宋体" w:hAnsi="宋体" w:cs="宋体" w:hint="eastAsia"/>
                <w:sz w:val="21"/>
                <w:szCs w:val="21"/>
              </w:rPr>
              <w:t>份</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6</w:t>
            </w:r>
          </w:p>
        </w:tc>
        <w:tc>
          <w:tcPr>
            <w:tcW w:w="3740" w:type="dxa"/>
            <w:noWrap w:val="0"/>
            <w:vAlign w:val="center"/>
          </w:tcPr>
          <w:p>
            <w:pPr>
              <w:widowControl/>
              <w:autoSpaceDN w:val="0"/>
              <w:adjustRightInd w:val="0"/>
              <w:snapToGrid w:val="0"/>
              <w:jc w:val="center"/>
              <w:textAlignment w:val="bottom"/>
              <w:rPr>
                <w:rFonts w:ascii="宋体" w:hAnsi="宋体" w:cs="宋体" w:hint="eastAsia"/>
                <w:kern w:val="24"/>
                <w:sz w:val="21"/>
                <w:szCs w:val="21"/>
                <w:lang w:eastAsia="zh-CN"/>
              </w:rPr>
            </w:pPr>
            <w:r>
              <w:rPr>
                <w:rFonts w:ascii="宋体" w:hAnsi="宋体" w:cs="宋体" w:hint="eastAsia"/>
                <w:sz w:val="21"/>
                <w:szCs w:val="21"/>
              </w:rPr>
              <w:t xml:space="preserve">保修卡                       </w:t>
            </w:r>
          </w:p>
        </w:tc>
        <w:tc>
          <w:tcPr>
            <w:tcW w:w="1589" w:type="dxa"/>
            <w:noWrap w:val="0"/>
            <w:vAlign w:val="center"/>
          </w:tcPr>
          <w:p>
            <w:pPr>
              <w:widowControl/>
              <w:autoSpaceDN w:val="0"/>
              <w:adjustRightInd w:val="0"/>
              <w:snapToGrid w:val="0"/>
              <w:jc w:val="center"/>
              <w:textAlignment w:val="bottom"/>
              <w:rPr>
                <w:rFonts w:ascii="宋体" w:hAnsi="宋体" w:cs="宋体" w:hint="eastAsia"/>
                <w:bCs/>
                <w:sz w:val="21"/>
                <w:szCs w:val="21"/>
                <w:lang w:eastAsia="zh-CN"/>
              </w:rPr>
            </w:pPr>
            <w:r>
              <w:rPr>
                <w:rFonts w:ascii="宋体" w:hAnsi="宋体" w:cs="宋体" w:hint="eastAsia"/>
                <w:sz w:val="21"/>
                <w:szCs w:val="21"/>
              </w:rPr>
              <w:t>1</w:t>
            </w:r>
          </w:p>
        </w:tc>
        <w:tc>
          <w:tcPr>
            <w:tcW w:w="2131" w:type="dxa"/>
            <w:noWrap w:val="0"/>
            <w:vAlign w:val="center"/>
          </w:tcPr>
          <w:p>
            <w:pPr>
              <w:widowControl/>
              <w:adjustRightInd w:val="0"/>
              <w:snapToGrid w:val="0"/>
              <w:jc w:val="center"/>
              <w:rPr>
                <w:rFonts w:ascii="宋体" w:hAnsi="宋体" w:cs="宋体" w:hint="eastAsia"/>
                <w:bCs/>
                <w:sz w:val="21"/>
                <w:szCs w:val="21"/>
              </w:rPr>
            </w:pPr>
            <w:r>
              <w:rPr>
                <w:rFonts w:ascii="宋体" w:hAnsi="宋体" w:cs="宋体" w:hint="eastAsia"/>
                <w:sz w:val="21"/>
                <w:szCs w:val="21"/>
              </w:rPr>
              <w:t>份</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7</w:t>
            </w:r>
          </w:p>
        </w:tc>
        <w:tc>
          <w:tcPr>
            <w:tcW w:w="3740" w:type="dxa"/>
            <w:noWrap w:val="0"/>
            <w:vAlign w:val="center"/>
          </w:tcPr>
          <w:p>
            <w:pPr>
              <w:widowControl/>
              <w:autoSpaceDN w:val="0"/>
              <w:adjustRightInd w:val="0"/>
              <w:snapToGrid w:val="0"/>
              <w:jc w:val="center"/>
              <w:textAlignment w:val="bottom"/>
              <w:rPr>
                <w:rFonts w:ascii="宋体" w:hAnsi="宋体" w:cs="宋体" w:hint="eastAsia"/>
                <w:kern w:val="24"/>
                <w:sz w:val="21"/>
                <w:szCs w:val="21"/>
                <w:lang w:eastAsia="zh-CN"/>
              </w:rPr>
            </w:pPr>
            <w:r>
              <w:rPr>
                <w:rFonts w:ascii="宋体" w:hAnsi="宋体" w:cs="宋体" w:hint="eastAsia"/>
                <w:sz w:val="21"/>
                <w:szCs w:val="21"/>
              </w:rPr>
              <w:t xml:space="preserve">使用说明书                </w:t>
            </w:r>
          </w:p>
        </w:tc>
        <w:tc>
          <w:tcPr>
            <w:tcW w:w="1589" w:type="dxa"/>
            <w:noWrap w:val="0"/>
            <w:vAlign w:val="center"/>
          </w:tcPr>
          <w:p>
            <w:pPr>
              <w:widowControl/>
              <w:autoSpaceDN w:val="0"/>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1</w:t>
            </w:r>
          </w:p>
        </w:tc>
        <w:tc>
          <w:tcPr>
            <w:tcW w:w="2131" w:type="dxa"/>
            <w:noWrap w:val="0"/>
            <w:vAlign w:val="center"/>
          </w:tcPr>
          <w:p>
            <w:pPr>
              <w:widowControl/>
              <w:autoSpaceDN w:val="0"/>
              <w:adjustRightInd w:val="0"/>
              <w:snapToGrid w:val="0"/>
              <w:jc w:val="center"/>
              <w:textAlignment w:val="center"/>
              <w:rPr>
                <w:rFonts w:ascii="宋体" w:hAnsi="宋体" w:cs="宋体" w:hint="eastAsia"/>
                <w:bCs/>
                <w:sz w:val="21"/>
                <w:szCs w:val="21"/>
              </w:rPr>
            </w:pPr>
            <w:r>
              <w:rPr>
                <w:rFonts w:ascii="宋体" w:hAnsi="宋体" w:cs="宋体" w:hint="eastAsia"/>
                <w:sz w:val="21"/>
                <w:szCs w:val="21"/>
              </w:rPr>
              <w:t>份</w:t>
            </w:r>
          </w:p>
        </w:tc>
      </w:tr>
    </w:tbl>
    <w:p>
      <w:pPr>
        <w:numPr>
          <w:ilvl w:val="0"/>
          <w:numId w:val="0"/>
        </w:numPr>
        <w:spacing w:line="360" w:lineRule="auto"/>
        <w:ind w:left="0" w:firstLine="0" w:leftChars="0"/>
        <w:rPr>
          <w:rFonts w:ascii="宋体" w:eastAsia="宋体" w:hAnsi="宋体" w:cs="宋体" w:hint="eastAsia"/>
          <w:sz w:val="21"/>
          <w:szCs w:val="21"/>
          <w:lang w:eastAsia="zh-CN"/>
        </w:rPr>
      </w:pPr>
    </w:p>
    <w:p>
      <w:pPr>
        <w:numPr>
          <w:ilvl w:val="0"/>
          <w:numId w:val="0"/>
        </w:numPr>
        <w:spacing w:line="360" w:lineRule="auto"/>
        <w:ind w:left="0" w:firstLine="0" w:leftChars="0"/>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hint="eastAsia"/>
          <w:sz w:val="21"/>
          <w:szCs w:val="21"/>
          <w:lang w:eastAsia="zh-CN" w:bidi="ar"/>
        </w:rPr>
        <w:t>全自动定量免疫检测平台</w:t>
      </w:r>
      <w:r>
        <w:rPr>
          <w:rFonts w:ascii="宋体" w:eastAsia="宋体" w:hAnsi="宋体" w:cs="宋体" w:hint="eastAsia"/>
          <w:sz w:val="21"/>
          <w:szCs w:val="21"/>
          <w:lang w:eastAsia="zh-CN"/>
        </w:rPr>
        <w:t>(每台/套设备配置）</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3"/>
        <w:gridCol w:w="3887"/>
        <w:gridCol w:w="1651"/>
        <w:gridCol w:w="221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454"/>
          <w:tblHeader/>
          <w:jc w:val="center"/>
        </w:trPr>
        <w:tc>
          <w:tcPr>
            <w:tcW w:w="1062"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序号</w:t>
            </w:r>
          </w:p>
        </w:tc>
        <w:tc>
          <w:tcPr>
            <w:tcW w:w="3740"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配置名称</w:t>
            </w:r>
          </w:p>
        </w:tc>
        <w:tc>
          <w:tcPr>
            <w:tcW w:w="1589"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数量</w:t>
            </w:r>
          </w:p>
        </w:tc>
        <w:tc>
          <w:tcPr>
            <w:tcW w:w="2131"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单位</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rPr>
              <w:t>1</w:t>
            </w:r>
          </w:p>
        </w:tc>
        <w:tc>
          <w:tcPr>
            <w:tcW w:w="3740" w:type="dxa"/>
            <w:noWrap w:val="0"/>
            <w:vAlign w:val="center"/>
          </w:tcPr>
          <w:p>
            <w:pPr>
              <w:jc w:val="center"/>
              <w:rPr>
                <w:rFonts w:ascii="宋体" w:hAnsi="宋体" w:cs="宋体" w:hint="eastAsia"/>
                <w:sz w:val="21"/>
                <w:szCs w:val="21"/>
                <w:lang w:eastAsia="zh-CN"/>
              </w:rPr>
            </w:pPr>
            <w:r>
              <w:rPr>
                <w:rFonts w:ascii="宋体" w:hAnsi="宋体" w:cs="宋体" w:hint="eastAsia"/>
                <w:sz w:val="21"/>
                <w:szCs w:val="21"/>
              </w:rPr>
              <w:t>全自动免疫印迹仪主机</w:t>
            </w:r>
          </w:p>
        </w:tc>
        <w:tc>
          <w:tcPr>
            <w:tcW w:w="1589"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lang w:eastAsia="zh-CN"/>
              </w:rPr>
              <w:t>1</w:t>
            </w:r>
          </w:p>
        </w:tc>
        <w:tc>
          <w:tcPr>
            <w:tcW w:w="2131"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rPr>
              <w:t>台</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2</w:t>
            </w:r>
          </w:p>
        </w:tc>
        <w:tc>
          <w:tcPr>
            <w:tcW w:w="3740" w:type="dxa"/>
            <w:noWrap w:val="0"/>
            <w:vAlign w:val="center"/>
          </w:tcPr>
          <w:p>
            <w:pPr>
              <w:jc w:val="center"/>
              <w:rPr>
                <w:rFonts w:ascii="宋体" w:hAnsi="宋体" w:cs="宋体" w:hint="eastAsia"/>
                <w:sz w:val="21"/>
                <w:szCs w:val="21"/>
                <w:lang w:eastAsia="zh-CN"/>
              </w:rPr>
            </w:pPr>
            <w:r>
              <w:rPr>
                <w:rFonts w:ascii="宋体" w:hAnsi="宋体" w:cs="宋体" w:hint="eastAsia"/>
                <w:sz w:val="21"/>
                <w:szCs w:val="21"/>
                <w:lang w:eastAsia="zh-CN"/>
              </w:rPr>
              <w:t>操作</w:t>
            </w:r>
            <w:r>
              <w:rPr>
                <w:rFonts w:ascii="宋体" w:hAnsi="宋体" w:cs="宋体" w:hint="eastAsia"/>
                <w:sz w:val="21"/>
                <w:szCs w:val="21"/>
              </w:rPr>
              <w:t>电脑</w:t>
            </w:r>
          </w:p>
        </w:tc>
        <w:tc>
          <w:tcPr>
            <w:tcW w:w="1589"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lang w:eastAsia="zh-CN"/>
              </w:rPr>
              <w:t>1</w:t>
            </w:r>
          </w:p>
        </w:tc>
        <w:tc>
          <w:tcPr>
            <w:tcW w:w="2131"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rPr>
              <w:t>台</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3</w:t>
            </w:r>
          </w:p>
        </w:tc>
        <w:tc>
          <w:tcPr>
            <w:tcW w:w="3740" w:type="dxa"/>
            <w:noWrap w:val="0"/>
            <w:vAlign w:val="center"/>
          </w:tcPr>
          <w:p>
            <w:pPr>
              <w:jc w:val="center"/>
              <w:rPr>
                <w:rFonts w:ascii="宋体" w:hAnsi="宋体" w:cs="宋体" w:hint="eastAsia"/>
                <w:sz w:val="21"/>
                <w:szCs w:val="21"/>
              </w:rPr>
            </w:pPr>
            <w:r>
              <w:rPr>
                <w:rFonts w:ascii="宋体" w:hAnsi="宋体" w:cs="宋体" w:hint="eastAsia"/>
                <w:sz w:val="21"/>
                <w:szCs w:val="21"/>
              </w:rPr>
              <w:t>温育槽</w:t>
            </w:r>
          </w:p>
        </w:tc>
        <w:tc>
          <w:tcPr>
            <w:tcW w:w="1589"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lang w:eastAsia="zh-CN"/>
              </w:rPr>
              <w:t>4</w:t>
            </w:r>
          </w:p>
        </w:tc>
        <w:tc>
          <w:tcPr>
            <w:tcW w:w="2131" w:type="dxa"/>
            <w:noWrap w:val="0"/>
            <w:vAlign w:val="center"/>
          </w:tcPr>
          <w:p>
            <w:pPr>
              <w:jc w:val="center"/>
              <w:rPr>
                <w:rFonts w:ascii="宋体" w:hAnsi="宋体" w:cs="宋体" w:hint="eastAsia"/>
                <w:sz w:val="21"/>
                <w:szCs w:val="21"/>
              </w:rPr>
            </w:pPr>
            <w:r>
              <w:rPr>
                <w:rFonts w:ascii="宋体" w:hAnsi="宋体" w:cs="宋体" w:hint="eastAsia"/>
                <w:sz w:val="21"/>
                <w:szCs w:val="21"/>
              </w:rPr>
              <w:t>个</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4</w:t>
            </w:r>
          </w:p>
        </w:tc>
        <w:tc>
          <w:tcPr>
            <w:tcW w:w="3740" w:type="dxa"/>
            <w:noWrap w:val="0"/>
            <w:vAlign w:val="center"/>
          </w:tcPr>
          <w:p>
            <w:pPr>
              <w:jc w:val="center"/>
              <w:rPr>
                <w:rFonts w:ascii="宋体" w:hAnsi="宋体" w:cs="宋体" w:hint="eastAsia"/>
                <w:sz w:val="21"/>
                <w:szCs w:val="21"/>
              </w:rPr>
            </w:pPr>
            <w:r>
              <w:rPr>
                <w:rFonts w:ascii="宋体" w:hAnsi="宋体" w:cs="宋体" w:hint="eastAsia"/>
                <w:sz w:val="21"/>
                <w:szCs w:val="21"/>
              </w:rPr>
              <w:t>免疫分析仪</w:t>
            </w:r>
          </w:p>
        </w:tc>
        <w:tc>
          <w:tcPr>
            <w:tcW w:w="1589"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lang w:eastAsia="zh-CN"/>
              </w:rPr>
              <w:t>1</w:t>
            </w:r>
          </w:p>
        </w:tc>
        <w:tc>
          <w:tcPr>
            <w:tcW w:w="2131" w:type="dxa"/>
            <w:noWrap w:val="0"/>
            <w:vAlign w:val="center"/>
          </w:tcPr>
          <w:p>
            <w:pPr>
              <w:jc w:val="center"/>
              <w:rPr>
                <w:rFonts w:ascii="宋体" w:hAnsi="宋体" w:cs="宋体" w:hint="eastAsia"/>
                <w:sz w:val="21"/>
                <w:szCs w:val="21"/>
              </w:rPr>
            </w:pPr>
            <w:r>
              <w:rPr>
                <w:rFonts w:ascii="宋体" w:hAnsi="宋体" w:cs="宋体" w:hint="eastAsia"/>
                <w:sz w:val="21"/>
                <w:szCs w:val="21"/>
              </w:rPr>
              <w:t>台</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5</w:t>
            </w:r>
          </w:p>
        </w:tc>
        <w:tc>
          <w:tcPr>
            <w:tcW w:w="3740" w:type="dxa"/>
            <w:noWrap w:val="0"/>
            <w:vAlign w:val="center"/>
          </w:tcPr>
          <w:p>
            <w:pPr>
              <w:jc w:val="center"/>
              <w:rPr>
                <w:rFonts w:ascii="宋体" w:hAnsi="宋体" w:cs="宋体" w:hint="eastAsia"/>
                <w:sz w:val="21"/>
                <w:szCs w:val="21"/>
              </w:rPr>
            </w:pPr>
            <w:r>
              <w:rPr>
                <w:rFonts w:ascii="宋体" w:hAnsi="宋体" w:cs="宋体" w:hint="eastAsia"/>
                <w:sz w:val="21"/>
                <w:szCs w:val="21"/>
              </w:rPr>
              <w:t>电源线</w:t>
            </w:r>
          </w:p>
        </w:tc>
        <w:tc>
          <w:tcPr>
            <w:tcW w:w="1589"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lang w:eastAsia="zh-CN"/>
              </w:rPr>
              <w:t>1</w:t>
            </w:r>
          </w:p>
        </w:tc>
        <w:tc>
          <w:tcPr>
            <w:tcW w:w="2131" w:type="dxa"/>
            <w:noWrap w:val="0"/>
            <w:vAlign w:val="center"/>
          </w:tcPr>
          <w:p>
            <w:pPr>
              <w:jc w:val="center"/>
              <w:rPr>
                <w:rFonts w:ascii="宋体" w:hAnsi="宋体" w:cs="宋体" w:hint="eastAsia"/>
                <w:sz w:val="21"/>
                <w:szCs w:val="21"/>
              </w:rPr>
            </w:pPr>
            <w:r>
              <w:rPr>
                <w:rFonts w:ascii="宋体" w:hAnsi="宋体" w:cs="宋体" w:hint="eastAsia"/>
                <w:sz w:val="21"/>
                <w:szCs w:val="21"/>
              </w:rPr>
              <w:t>根</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6</w:t>
            </w:r>
          </w:p>
        </w:tc>
        <w:tc>
          <w:tcPr>
            <w:tcW w:w="3740" w:type="dxa"/>
            <w:noWrap w:val="0"/>
            <w:vAlign w:val="center"/>
          </w:tcPr>
          <w:p>
            <w:pPr>
              <w:jc w:val="center"/>
              <w:rPr>
                <w:rFonts w:ascii="宋体" w:hAnsi="宋体" w:cs="宋体" w:hint="eastAsia"/>
                <w:sz w:val="21"/>
                <w:szCs w:val="21"/>
              </w:rPr>
            </w:pPr>
            <w:r>
              <w:rPr>
                <w:rFonts w:ascii="宋体" w:hAnsi="宋体" w:cs="宋体" w:hint="eastAsia"/>
                <w:sz w:val="21"/>
                <w:szCs w:val="21"/>
              </w:rPr>
              <w:t>使用说明书</w:t>
            </w:r>
          </w:p>
        </w:tc>
        <w:tc>
          <w:tcPr>
            <w:tcW w:w="1589"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lang w:eastAsia="zh-CN"/>
              </w:rPr>
              <w:t>1</w:t>
            </w:r>
          </w:p>
        </w:tc>
        <w:tc>
          <w:tcPr>
            <w:tcW w:w="2131" w:type="dxa"/>
            <w:noWrap w:val="0"/>
            <w:vAlign w:val="center"/>
          </w:tcPr>
          <w:p>
            <w:pPr>
              <w:jc w:val="center"/>
              <w:rPr>
                <w:rFonts w:ascii="宋体" w:hAnsi="宋体" w:cs="宋体" w:hint="eastAsia"/>
                <w:sz w:val="21"/>
                <w:szCs w:val="21"/>
              </w:rPr>
            </w:pPr>
            <w:r>
              <w:rPr>
                <w:rFonts w:ascii="宋体" w:hAnsi="宋体" w:cs="宋体" w:hint="eastAsia"/>
                <w:sz w:val="21"/>
                <w:szCs w:val="21"/>
              </w:rPr>
              <w:t>套</w:t>
            </w:r>
          </w:p>
        </w:tc>
      </w:tr>
    </w:tbl>
    <w:p>
      <w:pPr>
        <w:numPr>
          <w:ilvl w:val="0"/>
          <w:numId w:val="0"/>
        </w:numPr>
        <w:spacing w:line="360" w:lineRule="auto"/>
        <w:ind w:left="0" w:firstLine="0" w:leftChars="0"/>
        <w:rPr>
          <w:rFonts w:ascii="宋体" w:eastAsia="宋体" w:hAnsi="宋体" w:cs="宋体" w:hint="eastAsia"/>
          <w:sz w:val="21"/>
          <w:szCs w:val="21"/>
          <w:lang w:eastAsia="zh-CN"/>
        </w:rPr>
      </w:pPr>
    </w:p>
    <w:p>
      <w:pPr>
        <w:numPr>
          <w:ilvl w:val="0"/>
          <w:numId w:val="0"/>
        </w:numPr>
        <w:spacing w:line="360" w:lineRule="auto"/>
        <w:ind w:left="0" w:firstLine="0" w:leftChars="0"/>
        <w:rPr>
          <w:rFonts w:ascii="宋体" w:eastAsia="宋体" w:hAnsi="宋体" w:cs="宋体" w:hint="eastAsia"/>
          <w:sz w:val="21"/>
          <w:szCs w:val="21"/>
          <w:lang w:eastAsia="zh-CN"/>
        </w:rPr>
      </w:pPr>
      <w:r>
        <w:rPr>
          <w:rFonts w:ascii="宋体" w:eastAsia="宋体" w:hAnsi="宋体" w:cs="宋体" w:hint="eastAsia"/>
          <w:sz w:val="21"/>
          <w:szCs w:val="21"/>
          <w:lang w:eastAsia="zh-CN"/>
        </w:rPr>
        <w:t>（4）</w:t>
      </w:r>
      <w:r>
        <w:rPr>
          <w:rFonts w:ascii="宋体" w:eastAsia="宋体" w:hAnsi="宋体" w:cs="宋体" w:hint="eastAsia"/>
          <w:sz w:val="21"/>
          <w:szCs w:val="21"/>
          <w:lang w:eastAsia="zh-CN" w:bidi="ar"/>
        </w:rPr>
        <w:t>红外电热灭菌器</w:t>
      </w:r>
      <w:r>
        <w:rPr>
          <w:rFonts w:ascii="宋体" w:eastAsia="宋体" w:hAnsi="宋体" w:cs="宋体" w:hint="eastAsia"/>
          <w:sz w:val="21"/>
          <w:szCs w:val="21"/>
          <w:lang w:eastAsia="zh-CN"/>
        </w:rPr>
        <w:t>(每台/套设备配置）</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3"/>
        <w:gridCol w:w="3887"/>
        <w:gridCol w:w="1651"/>
        <w:gridCol w:w="221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454"/>
          <w:tblHeader/>
          <w:jc w:val="center"/>
        </w:trPr>
        <w:tc>
          <w:tcPr>
            <w:tcW w:w="1062"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序号</w:t>
            </w:r>
          </w:p>
        </w:tc>
        <w:tc>
          <w:tcPr>
            <w:tcW w:w="3740"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配置名称</w:t>
            </w:r>
          </w:p>
        </w:tc>
        <w:tc>
          <w:tcPr>
            <w:tcW w:w="1589"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数量</w:t>
            </w:r>
          </w:p>
        </w:tc>
        <w:tc>
          <w:tcPr>
            <w:tcW w:w="2131"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单位</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autoSpaceDE w:val="0"/>
              <w:autoSpaceDN w:val="0"/>
              <w:adjustRightInd w:val="0"/>
              <w:spacing w:line="360" w:lineRule="auto"/>
              <w:jc w:val="center"/>
              <w:rPr>
                <w:rFonts w:ascii="宋体" w:hAnsi="宋体" w:cs="宋体" w:hint="eastAsia"/>
                <w:bCs/>
                <w:sz w:val="21"/>
                <w:szCs w:val="21"/>
                <w:lang w:eastAsia="zh-CN"/>
              </w:rPr>
            </w:pPr>
            <w:r>
              <w:rPr>
                <w:rFonts w:ascii="宋体" w:hAnsi="宋体" w:cs="宋体" w:hint="eastAsia"/>
                <w:sz w:val="21"/>
                <w:szCs w:val="21"/>
                <w:lang w:eastAsia="zh-CN"/>
              </w:rPr>
              <w:t>1</w:t>
            </w:r>
          </w:p>
        </w:tc>
        <w:tc>
          <w:tcPr>
            <w:tcW w:w="3740" w:type="dxa"/>
            <w:noWrap w:val="0"/>
            <w:vAlign w:val="center"/>
          </w:tcPr>
          <w:p>
            <w:pPr>
              <w:jc w:val="center"/>
              <w:rPr>
                <w:rFonts w:ascii="宋体" w:hAnsi="宋体" w:cs="宋体" w:hint="eastAsia"/>
                <w:sz w:val="21"/>
                <w:szCs w:val="21"/>
                <w:lang w:eastAsia="zh-CN"/>
              </w:rPr>
            </w:pPr>
            <w:r>
              <w:rPr>
                <w:rFonts w:ascii="宋体" w:hAnsi="宋体" w:cs="宋体" w:hint="eastAsia"/>
                <w:sz w:val="21"/>
                <w:szCs w:val="21"/>
              </w:rPr>
              <w:t>红外电热灭菌器</w:t>
            </w:r>
          </w:p>
        </w:tc>
        <w:tc>
          <w:tcPr>
            <w:tcW w:w="1589" w:type="dxa"/>
            <w:noWrap w:val="0"/>
            <w:vAlign w:val="center"/>
          </w:tcPr>
          <w:p>
            <w:pPr>
              <w:spacing w:line="360" w:lineRule="auto"/>
              <w:jc w:val="center"/>
              <w:rPr>
                <w:rFonts w:ascii="宋体" w:hAnsi="宋体" w:cs="宋体" w:hint="eastAsia"/>
                <w:bCs/>
                <w:sz w:val="21"/>
                <w:szCs w:val="21"/>
                <w:lang w:eastAsia="zh-CN"/>
              </w:rPr>
            </w:pPr>
            <w:r>
              <w:rPr>
                <w:rFonts w:ascii="宋体" w:hAnsi="宋体" w:cs="宋体" w:hint="eastAsia"/>
                <w:sz w:val="21"/>
                <w:szCs w:val="21"/>
              </w:rPr>
              <w:t>1</w:t>
            </w:r>
          </w:p>
        </w:tc>
        <w:tc>
          <w:tcPr>
            <w:tcW w:w="2131" w:type="dxa"/>
            <w:noWrap w:val="0"/>
            <w:vAlign w:val="center"/>
          </w:tcPr>
          <w:p>
            <w:pPr>
              <w:autoSpaceDE w:val="0"/>
              <w:autoSpaceDN w:val="0"/>
              <w:adjustRightInd w:val="0"/>
              <w:spacing w:line="360" w:lineRule="auto"/>
              <w:jc w:val="center"/>
              <w:rPr>
                <w:rFonts w:ascii="宋体" w:hAnsi="宋体" w:cs="宋体" w:hint="eastAsia"/>
                <w:bCs/>
                <w:sz w:val="21"/>
                <w:szCs w:val="21"/>
                <w:lang w:eastAsia="zh-CN"/>
              </w:rPr>
            </w:pPr>
            <w:r>
              <w:rPr>
                <w:rFonts w:ascii="宋体" w:hAnsi="宋体" w:cs="宋体" w:hint="eastAsia"/>
                <w:sz w:val="21"/>
                <w:szCs w:val="21"/>
                <w:lang w:eastAsia="zh-CN"/>
              </w:rPr>
              <w:t>台</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spacing w:line="360" w:lineRule="auto"/>
              <w:jc w:val="center"/>
              <w:rPr>
                <w:rFonts w:ascii="宋体" w:hAnsi="宋体" w:cs="宋体" w:hint="eastAsia"/>
                <w:sz w:val="21"/>
                <w:szCs w:val="21"/>
                <w:lang w:eastAsia="zh-CN" w:bidi="ar"/>
              </w:rPr>
            </w:pPr>
            <w:r>
              <w:rPr>
                <w:rFonts w:ascii="宋体" w:hAnsi="宋体" w:cs="宋体" w:hint="eastAsia"/>
                <w:sz w:val="21"/>
                <w:szCs w:val="21"/>
              </w:rPr>
              <w:t>2</w:t>
            </w:r>
          </w:p>
        </w:tc>
        <w:tc>
          <w:tcPr>
            <w:tcW w:w="3740" w:type="dxa"/>
            <w:noWrap w:val="0"/>
            <w:vAlign w:val="center"/>
          </w:tcPr>
          <w:p>
            <w:pPr>
              <w:spacing w:line="360" w:lineRule="auto"/>
              <w:jc w:val="center"/>
              <w:rPr>
                <w:rFonts w:ascii="宋体" w:hAnsi="宋体" w:cs="宋体" w:hint="eastAsia"/>
                <w:sz w:val="21"/>
                <w:szCs w:val="21"/>
                <w:lang w:eastAsia="zh-CN"/>
              </w:rPr>
            </w:pPr>
            <w:r>
              <w:rPr>
                <w:rFonts w:ascii="宋体" w:hAnsi="宋体" w:cs="宋体" w:hint="eastAsia"/>
                <w:bCs/>
                <w:sz w:val="21"/>
                <w:szCs w:val="21"/>
              </w:rPr>
              <w:t>说明书</w:t>
            </w:r>
          </w:p>
        </w:tc>
        <w:tc>
          <w:tcPr>
            <w:tcW w:w="1589" w:type="dxa"/>
            <w:noWrap w:val="0"/>
            <w:vAlign w:val="center"/>
          </w:tcPr>
          <w:p>
            <w:pPr>
              <w:spacing w:line="360" w:lineRule="auto"/>
              <w:jc w:val="center"/>
              <w:rPr>
                <w:rFonts w:ascii="宋体" w:hAnsi="宋体" w:cs="宋体" w:hint="eastAsia"/>
                <w:bCs/>
                <w:sz w:val="21"/>
                <w:szCs w:val="21"/>
                <w:lang w:eastAsia="zh-CN"/>
              </w:rPr>
            </w:pPr>
            <w:r>
              <w:rPr>
                <w:rFonts w:ascii="宋体" w:hAnsi="宋体" w:cs="宋体" w:hint="eastAsia"/>
                <w:bCs/>
                <w:sz w:val="21"/>
                <w:szCs w:val="21"/>
              </w:rPr>
              <w:t>1</w:t>
            </w:r>
          </w:p>
        </w:tc>
        <w:tc>
          <w:tcPr>
            <w:tcW w:w="2131" w:type="dxa"/>
            <w:noWrap w:val="0"/>
            <w:vAlign w:val="center"/>
          </w:tcPr>
          <w:p>
            <w:pPr>
              <w:spacing w:line="360" w:lineRule="auto"/>
              <w:jc w:val="center"/>
              <w:rPr>
                <w:rFonts w:ascii="宋体" w:hAnsi="宋体" w:cs="宋体" w:hint="eastAsia"/>
                <w:bCs/>
                <w:sz w:val="21"/>
                <w:szCs w:val="21"/>
                <w:lang w:eastAsia="zh-CN"/>
              </w:rPr>
            </w:pPr>
            <w:r>
              <w:rPr>
                <w:rFonts w:ascii="宋体" w:hAnsi="宋体" w:cs="宋体" w:hint="eastAsia"/>
                <w:bCs/>
                <w:sz w:val="21"/>
                <w:szCs w:val="21"/>
              </w:rPr>
              <w:t>份</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spacing w:line="360" w:lineRule="auto"/>
              <w:jc w:val="center"/>
              <w:rPr>
                <w:rFonts w:ascii="宋体" w:hAnsi="宋体" w:cs="宋体" w:hint="eastAsia"/>
                <w:sz w:val="21"/>
                <w:szCs w:val="21"/>
                <w:lang w:eastAsia="zh-CN" w:bidi="ar"/>
              </w:rPr>
            </w:pPr>
            <w:r>
              <w:rPr>
                <w:rFonts w:ascii="宋体" w:hAnsi="宋体" w:cs="宋体" w:hint="eastAsia"/>
                <w:sz w:val="21"/>
                <w:szCs w:val="21"/>
              </w:rPr>
              <w:t>3</w:t>
            </w:r>
          </w:p>
        </w:tc>
        <w:tc>
          <w:tcPr>
            <w:tcW w:w="3740" w:type="dxa"/>
            <w:noWrap w:val="0"/>
            <w:vAlign w:val="center"/>
          </w:tcPr>
          <w:p>
            <w:pPr>
              <w:spacing w:line="360" w:lineRule="auto"/>
              <w:jc w:val="center"/>
              <w:rPr>
                <w:rFonts w:ascii="宋体" w:hAnsi="宋体" w:cs="宋体" w:hint="eastAsia"/>
                <w:kern w:val="24"/>
                <w:sz w:val="21"/>
                <w:szCs w:val="21"/>
                <w:lang w:eastAsia="zh-CN"/>
              </w:rPr>
            </w:pPr>
            <w:r>
              <w:rPr>
                <w:rFonts w:ascii="宋体" w:hAnsi="宋体" w:cs="宋体" w:hint="eastAsia"/>
                <w:bCs/>
                <w:sz w:val="21"/>
                <w:szCs w:val="21"/>
              </w:rPr>
              <w:t>保险丝</w:t>
            </w:r>
          </w:p>
        </w:tc>
        <w:tc>
          <w:tcPr>
            <w:tcW w:w="1589" w:type="dxa"/>
            <w:noWrap w:val="0"/>
            <w:vAlign w:val="center"/>
          </w:tcPr>
          <w:p>
            <w:pPr>
              <w:spacing w:line="360" w:lineRule="auto"/>
              <w:jc w:val="center"/>
              <w:rPr>
                <w:rFonts w:ascii="宋体" w:hAnsi="宋体" w:cs="宋体" w:hint="eastAsia"/>
                <w:bCs/>
                <w:sz w:val="21"/>
                <w:szCs w:val="21"/>
                <w:lang w:eastAsia="zh-CN"/>
              </w:rPr>
            </w:pPr>
            <w:r>
              <w:rPr>
                <w:rFonts w:ascii="宋体" w:hAnsi="宋体" w:cs="宋体" w:hint="eastAsia"/>
                <w:bCs/>
                <w:sz w:val="21"/>
                <w:szCs w:val="21"/>
              </w:rPr>
              <w:t>1</w:t>
            </w:r>
          </w:p>
        </w:tc>
        <w:tc>
          <w:tcPr>
            <w:tcW w:w="2131" w:type="dxa"/>
            <w:noWrap w:val="0"/>
            <w:vAlign w:val="center"/>
          </w:tcPr>
          <w:p>
            <w:pPr>
              <w:spacing w:line="360" w:lineRule="auto"/>
              <w:jc w:val="center"/>
              <w:rPr>
                <w:rFonts w:ascii="宋体" w:hAnsi="宋体" w:cs="宋体" w:hint="eastAsia"/>
                <w:bCs/>
                <w:sz w:val="21"/>
                <w:szCs w:val="21"/>
              </w:rPr>
            </w:pPr>
            <w:r>
              <w:rPr>
                <w:rFonts w:ascii="宋体" w:hAnsi="宋体" w:cs="宋体" w:hint="eastAsia"/>
                <w:bCs/>
                <w:sz w:val="21"/>
                <w:szCs w:val="21"/>
              </w:rPr>
              <w:t>只</w:t>
            </w:r>
          </w:p>
        </w:tc>
      </w:tr>
    </w:tbl>
    <w:p>
      <w:pPr>
        <w:numPr>
          <w:ilvl w:val="0"/>
          <w:numId w:val="0"/>
        </w:numPr>
        <w:spacing w:line="360" w:lineRule="auto"/>
        <w:ind w:left="0" w:firstLine="0" w:leftChars="0"/>
        <w:rPr>
          <w:rFonts w:ascii="宋体" w:eastAsia="宋体" w:hAnsi="宋体" w:cs="宋体" w:hint="eastAsia"/>
          <w:sz w:val="21"/>
          <w:szCs w:val="21"/>
          <w:lang w:eastAsia="zh-CN"/>
        </w:rPr>
      </w:pPr>
    </w:p>
    <w:p>
      <w:pPr>
        <w:numPr>
          <w:ilvl w:val="0"/>
          <w:numId w:val="0"/>
        </w:numPr>
        <w:spacing w:line="360" w:lineRule="auto"/>
        <w:ind w:left="0" w:firstLine="0" w:leftChars="0"/>
        <w:rPr>
          <w:rFonts w:ascii="宋体" w:eastAsia="宋体" w:hAnsi="宋体" w:cs="宋体" w:hint="eastAsia"/>
          <w:sz w:val="21"/>
          <w:szCs w:val="21"/>
          <w:lang w:eastAsia="zh-CN"/>
        </w:rPr>
      </w:pPr>
      <w:r>
        <w:rPr>
          <w:rFonts w:ascii="宋体" w:eastAsia="宋体" w:hAnsi="宋体" w:cs="宋体" w:hint="eastAsia"/>
          <w:sz w:val="21"/>
          <w:szCs w:val="21"/>
          <w:lang w:eastAsia="zh-CN"/>
        </w:rPr>
        <w:t>（5）</w:t>
      </w:r>
      <w:r>
        <w:rPr>
          <w:rFonts w:ascii="宋体" w:eastAsia="宋体" w:hAnsi="宋体" w:cs="宋体" w:hint="eastAsia"/>
          <w:sz w:val="21"/>
          <w:szCs w:val="21"/>
          <w:lang w:eastAsia="zh-CN" w:bidi="ar"/>
        </w:rPr>
        <w:t>化学发光免疫分析仪（食物不耐受检测）</w:t>
      </w:r>
      <w:r>
        <w:rPr>
          <w:rFonts w:ascii="宋体" w:eastAsia="宋体" w:hAnsi="宋体" w:cs="宋体" w:hint="eastAsia"/>
          <w:sz w:val="21"/>
          <w:szCs w:val="21"/>
          <w:lang w:eastAsia="zh-CN"/>
        </w:rPr>
        <w:t>(每台/套设备配置）</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3"/>
        <w:gridCol w:w="3887"/>
        <w:gridCol w:w="1651"/>
        <w:gridCol w:w="221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454"/>
          <w:tblHeader/>
          <w:jc w:val="center"/>
        </w:trPr>
        <w:tc>
          <w:tcPr>
            <w:tcW w:w="1062"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序号</w:t>
            </w:r>
          </w:p>
        </w:tc>
        <w:tc>
          <w:tcPr>
            <w:tcW w:w="3740"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配置名称</w:t>
            </w:r>
          </w:p>
        </w:tc>
        <w:tc>
          <w:tcPr>
            <w:tcW w:w="1589"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数量</w:t>
            </w:r>
          </w:p>
        </w:tc>
        <w:tc>
          <w:tcPr>
            <w:tcW w:w="2131"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单位</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keepNext w:val="0"/>
              <w:keepLines w:val="0"/>
              <w:widowControl/>
              <w:suppressLineNumbers w:val="0"/>
              <w:jc w:val="center"/>
              <w:textAlignment w:val="center"/>
              <w:rPr>
                <w:rFonts w:ascii="宋体" w:hAnsi="宋体" w:cs="宋体" w:hint="eastAsia"/>
                <w:bCs/>
                <w:sz w:val="21"/>
                <w:szCs w:val="21"/>
                <w:lang w:eastAsia="zh-CN"/>
              </w:rPr>
            </w:pPr>
            <w:r>
              <w:rPr>
                <w:rFonts w:ascii="宋体" w:hAnsi="宋体" w:cs="宋体" w:hint="eastAsia"/>
                <w:sz w:val="21"/>
                <w:szCs w:val="21"/>
                <w:lang w:eastAsia="zh-CN" w:bidi="ar"/>
              </w:rPr>
              <w:t>1</w:t>
            </w:r>
          </w:p>
        </w:tc>
        <w:tc>
          <w:tcPr>
            <w:tcW w:w="3740"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rPr>
            </w:pPr>
            <w:r>
              <w:rPr>
                <w:rFonts w:ascii="宋体" w:hAnsi="宋体" w:cs="宋体" w:hint="eastAsia"/>
                <w:sz w:val="21"/>
                <w:szCs w:val="21"/>
                <w:lang w:eastAsia="zh-CN" w:bidi="ar"/>
              </w:rPr>
              <w:t>整机</w:t>
            </w:r>
          </w:p>
        </w:tc>
        <w:tc>
          <w:tcPr>
            <w:tcW w:w="1589" w:type="dxa"/>
            <w:noWrap w:val="0"/>
            <w:vAlign w:val="center"/>
          </w:tcPr>
          <w:p>
            <w:pPr>
              <w:pageBreakBefore w:val="0"/>
              <w:kinsoku/>
              <w:overflowPunct/>
              <w:topLinePunct w:val="0"/>
              <w:autoSpaceDE/>
              <w:autoSpaceDN/>
              <w:bidi w:val="0"/>
              <w:spacing w:beforeAutospacing="0" w:afterAutospacing="0" w:line="360" w:lineRule="auto"/>
              <w:ind w:left="0" w:right="0" w:firstLine="0" w:leftChars="0" w:rightChars="0" w:firstLineChars="0"/>
              <w:jc w:val="center"/>
              <w:rPr>
                <w:rFonts w:ascii="宋体" w:hAnsi="宋体" w:cs="宋体" w:hint="eastAsia"/>
                <w:bCs/>
                <w:sz w:val="21"/>
                <w:szCs w:val="21"/>
                <w:lang w:eastAsia="zh-CN"/>
              </w:rPr>
            </w:pPr>
            <w:r>
              <w:rPr>
                <w:rFonts w:ascii="宋体" w:hAnsi="宋体" w:cs="宋体" w:hint="eastAsia"/>
                <w:bCs/>
                <w:sz w:val="21"/>
                <w:szCs w:val="21"/>
                <w:lang w:eastAsia="zh-CN"/>
              </w:rPr>
              <w:t>1</w:t>
            </w:r>
          </w:p>
        </w:tc>
        <w:tc>
          <w:tcPr>
            <w:tcW w:w="2131"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lang w:eastAsia="zh-CN"/>
              </w:rPr>
              <w:t>台</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bidi="ar"/>
              </w:rPr>
            </w:pPr>
            <w:r>
              <w:rPr>
                <w:rFonts w:ascii="宋体" w:hAnsi="宋体" w:cs="宋体" w:hint="eastAsia"/>
                <w:sz w:val="21"/>
                <w:szCs w:val="21"/>
                <w:lang w:eastAsia="zh-CN" w:bidi="ar"/>
              </w:rPr>
              <w:t>2</w:t>
            </w:r>
          </w:p>
        </w:tc>
        <w:tc>
          <w:tcPr>
            <w:tcW w:w="3740"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rPr>
            </w:pPr>
            <w:r>
              <w:rPr>
                <w:rFonts w:ascii="宋体" w:hAnsi="宋体" w:cs="宋体" w:hint="eastAsia"/>
                <w:sz w:val="21"/>
                <w:szCs w:val="21"/>
                <w:lang w:eastAsia="zh-CN" w:bidi="ar"/>
              </w:rPr>
              <w:t>合格证</w:t>
            </w:r>
          </w:p>
        </w:tc>
        <w:tc>
          <w:tcPr>
            <w:tcW w:w="1589" w:type="dxa"/>
            <w:noWrap w:val="0"/>
            <w:vAlign w:val="center"/>
          </w:tcPr>
          <w:p>
            <w:pPr>
              <w:pageBreakBefore w:val="0"/>
              <w:kinsoku/>
              <w:overflowPunct/>
              <w:topLinePunct w:val="0"/>
              <w:autoSpaceDE/>
              <w:autoSpaceDN/>
              <w:bidi w:val="0"/>
              <w:spacing w:beforeAutospacing="0" w:afterAutospacing="0" w:line="360" w:lineRule="auto"/>
              <w:ind w:left="0" w:right="0" w:firstLine="0" w:leftChars="0" w:rightChars="0" w:firstLineChars="0"/>
              <w:jc w:val="center"/>
              <w:rPr>
                <w:rFonts w:ascii="宋体" w:hAnsi="宋体" w:cs="宋体" w:hint="eastAsia"/>
                <w:bCs/>
                <w:sz w:val="21"/>
                <w:szCs w:val="21"/>
                <w:lang w:eastAsia="zh-CN"/>
              </w:rPr>
            </w:pPr>
            <w:r>
              <w:rPr>
                <w:rFonts w:ascii="宋体" w:hAnsi="宋体" w:cs="宋体" w:hint="eastAsia"/>
                <w:bCs/>
                <w:sz w:val="21"/>
                <w:szCs w:val="21"/>
                <w:lang w:eastAsia="zh-CN"/>
              </w:rPr>
              <w:t>1</w:t>
            </w:r>
          </w:p>
        </w:tc>
        <w:tc>
          <w:tcPr>
            <w:tcW w:w="2131"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lang w:eastAsia="zh-CN"/>
              </w:rPr>
              <w:t>个</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bidi="ar"/>
              </w:rPr>
            </w:pPr>
            <w:r>
              <w:rPr>
                <w:rFonts w:ascii="宋体" w:hAnsi="宋体" w:cs="宋体" w:hint="eastAsia"/>
                <w:sz w:val="21"/>
                <w:szCs w:val="21"/>
                <w:lang w:eastAsia="zh-CN" w:bidi="ar"/>
              </w:rPr>
              <w:t>4</w:t>
            </w:r>
          </w:p>
        </w:tc>
        <w:tc>
          <w:tcPr>
            <w:tcW w:w="3740"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rPr>
            </w:pPr>
            <w:r>
              <w:rPr>
                <w:rFonts w:ascii="宋体" w:hAnsi="宋体" w:cs="宋体" w:hint="eastAsia"/>
                <w:sz w:val="21"/>
                <w:szCs w:val="21"/>
                <w:lang w:eastAsia="zh-CN" w:bidi="ar"/>
              </w:rPr>
              <w:t>保修卡</w:t>
            </w:r>
          </w:p>
        </w:tc>
        <w:tc>
          <w:tcPr>
            <w:tcW w:w="1589" w:type="dxa"/>
            <w:noWrap w:val="0"/>
            <w:vAlign w:val="center"/>
          </w:tcPr>
          <w:p>
            <w:pPr>
              <w:pageBreakBefore w:val="0"/>
              <w:kinsoku/>
              <w:overflowPunct/>
              <w:topLinePunct w:val="0"/>
              <w:autoSpaceDE/>
              <w:autoSpaceDN/>
              <w:bidi w:val="0"/>
              <w:spacing w:beforeAutospacing="0" w:afterAutospacing="0" w:line="360" w:lineRule="auto"/>
              <w:ind w:left="0" w:right="0" w:firstLine="0" w:leftChars="0" w:rightChars="0" w:firstLineChars="0"/>
              <w:jc w:val="center"/>
              <w:rPr>
                <w:rFonts w:ascii="宋体" w:hAnsi="宋体" w:cs="宋体" w:hint="eastAsia"/>
                <w:bCs/>
                <w:sz w:val="21"/>
                <w:szCs w:val="21"/>
                <w:lang w:eastAsia="zh-CN"/>
              </w:rPr>
            </w:pPr>
            <w:r>
              <w:rPr>
                <w:rFonts w:ascii="宋体" w:hAnsi="宋体" w:cs="宋体" w:hint="eastAsia"/>
                <w:bCs/>
                <w:sz w:val="21"/>
                <w:szCs w:val="21"/>
                <w:lang w:eastAsia="zh-CN"/>
              </w:rPr>
              <w:t>1</w:t>
            </w:r>
          </w:p>
        </w:tc>
        <w:tc>
          <w:tcPr>
            <w:tcW w:w="2131" w:type="dxa"/>
            <w:noWrap w:val="0"/>
            <w:vAlign w:val="center"/>
          </w:tcPr>
          <w:p>
            <w:pPr>
              <w:jc w:val="center"/>
              <w:rPr>
                <w:rFonts w:ascii="宋体" w:hAnsi="宋体" w:cs="宋体" w:hint="eastAsia"/>
                <w:sz w:val="21"/>
                <w:szCs w:val="21"/>
                <w:lang w:eastAsia="zh-CN"/>
              </w:rPr>
            </w:pPr>
            <w:r>
              <w:rPr>
                <w:rFonts w:ascii="宋体" w:hAnsi="宋体" w:cs="宋体" w:hint="eastAsia"/>
                <w:sz w:val="21"/>
                <w:szCs w:val="21"/>
                <w:lang w:eastAsia="zh-CN"/>
              </w:rPr>
              <w:t>张</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bidi="ar"/>
              </w:rPr>
            </w:pPr>
            <w:r>
              <w:rPr>
                <w:rFonts w:ascii="宋体" w:hAnsi="宋体" w:cs="宋体" w:hint="eastAsia"/>
                <w:sz w:val="21"/>
                <w:szCs w:val="21"/>
                <w:lang w:eastAsia="zh-CN" w:bidi="ar"/>
              </w:rPr>
              <w:t>5</w:t>
            </w:r>
          </w:p>
        </w:tc>
        <w:tc>
          <w:tcPr>
            <w:tcW w:w="3740"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rPr>
            </w:pPr>
            <w:r>
              <w:rPr>
                <w:rFonts w:ascii="宋体" w:hAnsi="宋体" w:cs="宋体" w:hint="eastAsia"/>
                <w:sz w:val="21"/>
                <w:szCs w:val="21"/>
                <w:lang w:eastAsia="zh-CN" w:bidi="ar"/>
              </w:rPr>
              <w:t>电源线</w:t>
            </w:r>
          </w:p>
        </w:tc>
        <w:tc>
          <w:tcPr>
            <w:tcW w:w="1589" w:type="dxa"/>
            <w:noWrap w:val="0"/>
            <w:vAlign w:val="center"/>
          </w:tcPr>
          <w:p>
            <w:pPr>
              <w:pageBreakBefore w:val="0"/>
              <w:kinsoku/>
              <w:overflowPunct/>
              <w:topLinePunct w:val="0"/>
              <w:autoSpaceDE/>
              <w:autoSpaceDN/>
              <w:bidi w:val="0"/>
              <w:spacing w:beforeAutospacing="0" w:afterAutospacing="0" w:line="360" w:lineRule="auto"/>
              <w:ind w:left="0" w:right="0" w:firstLine="0" w:leftChars="0" w:rightChars="0" w:firstLineChars="0"/>
              <w:jc w:val="center"/>
              <w:rPr>
                <w:rFonts w:ascii="宋体" w:hAnsi="宋体" w:cs="宋体" w:hint="eastAsia"/>
                <w:bCs/>
                <w:sz w:val="21"/>
                <w:szCs w:val="21"/>
                <w:lang w:eastAsia="zh-CN"/>
              </w:rPr>
            </w:pPr>
            <w:r>
              <w:rPr>
                <w:rFonts w:ascii="宋体" w:hAnsi="宋体" w:cs="宋体" w:hint="eastAsia"/>
                <w:bCs/>
                <w:sz w:val="21"/>
                <w:szCs w:val="21"/>
                <w:lang w:eastAsia="zh-CN"/>
              </w:rPr>
              <w:t>1</w:t>
            </w:r>
          </w:p>
        </w:tc>
        <w:tc>
          <w:tcPr>
            <w:tcW w:w="2131" w:type="dxa"/>
            <w:noWrap w:val="0"/>
            <w:vAlign w:val="center"/>
          </w:tcPr>
          <w:p>
            <w:pPr>
              <w:jc w:val="center"/>
              <w:rPr>
                <w:rFonts w:ascii="宋体" w:hAnsi="宋体" w:cs="宋体" w:hint="eastAsia"/>
                <w:sz w:val="21"/>
                <w:szCs w:val="21"/>
                <w:lang w:eastAsia="zh-CN"/>
              </w:rPr>
            </w:pPr>
            <w:r>
              <w:rPr>
                <w:rFonts w:ascii="宋体" w:hAnsi="宋体" w:cs="宋体" w:hint="eastAsia"/>
                <w:sz w:val="21"/>
                <w:szCs w:val="21"/>
                <w:lang w:eastAsia="zh-CN"/>
              </w:rPr>
              <w:t>条</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bidi="ar"/>
              </w:rPr>
            </w:pPr>
            <w:r>
              <w:rPr>
                <w:rFonts w:ascii="宋体" w:hAnsi="宋体" w:cs="宋体" w:hint="eastAsia"/>
                <w:sz w:val="21"/>
                <w:szCs w:val="21"/>
                <w:lang w:eastAsia="zh-CN" w:bidi="ar"/>
              </w:rPr>
              <w:t>6</w:t>
            </w:r>
          </w:p>
        </w:tc>
        <w:tc>
          <w:tcPr>
            <w:tcW w:w="3740"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rPr>
            </w:pPr>
            <w:r>
              <w:rPr>
                <w:rFonts w:ascii="宋体" w:hAnsi="宋体" w:cs="宋体" w:hint="eastAsia"/>
                <w:sz w:val="21"/>
                <w:szCs w:val="21"/>
                <w:lang w:eastAsia="zh-CN" w:bidi="ar"/>
              </w:rPr>
              <w:t>中文说明书</w:t>
            </w:r>
          </w:p>
        </w:tc>
        <w:tc>
          <w:tcPr>
            <w:tcW w:w="1589" w:type="dxa"/>
            <w:noWrap w:val="0"/>
            <w:vAlign w:val="center"/>
          </w:tcPr>
          <w:p>
            <w:pPr>
              <w:pageBreakBefore w:val="0"/>
              <w:kinsoku/>
              <w:overflowPunct/>
              <w:topLinePunct w:val="0"/>
              <w:autoSpaceDE/>
              <w:autoSpaceDN/>
              <w:bidi w:val="0"/>
              <w:spacing w:beforeAutospacing="0" w:afterAutospacing="0" w:line="360" w:lineRule="auto"/>
              <w:ind w:left="0" w:right="0" w:firstLine="0" w:leftChars="0" w:rightChars="0" w:firstLineChars="0"/>
              <w:jc w:val="center"/>
              <w:rPr>
                <w:rFonts w:ascii="宋体" w:hAnsi="宋体" w:cs="宋体" w:hint="eastAsia"/>
                <w:bCs/>
                <w:sz w:val="21"/>
                <w:szCs w:val="21"/>
                <w:lang w:eastAsia="zh-CN"/>
              </w:rPr>
            </w:pPr>
            <w:r>
              <w:rPr>
                <w:rFonts w:ascii="宋体" w:hAnsi="宋体" w:cs="宋体" w:hint="eastAsia"/>
                <w:bCs/>
                <w:sz w:val="21"/>
                <w:szCs w:val="21"/>
                <w:lang w:eastAsia="zh-CN"/>
              </w:rPr>
              <w:t>1</w:t>
            </w:r>
          </w:p>
        </w:tc>
        <w:tc>
          <w:tcPr>
            <w:tcW w:w="2131" w:type="dxa"/>
            <w:noWrap w:val="0"/>
            <w:vAlign w:val="center"/>
          </w:tcPr>
          <w:p>
            <w:pPr>
              <w:jc w:val="center"/>
              <w:rPr>
                <w:rFonts w:ascii="宋体" w:hAnsi="宋体" w:cs="宋体" w:hint="eastAsia"/>
                <w:sz w:val="21"/>
                <w:szCs w:val="21"/>
                <w:lang w:eastAsia="zh-CN"/>
              </w:rPr>
            </w:pPr>
            <w:r>
              <w:rPr>
                <w:rFonts w:ascii="宋体" w:hAnsi="宋体" w:cs="宋体" w:hint="eastAsia"/>
                <w:sz w:val="21"/>
                <w:szCs w:val="21"/>
                <w:lang w:eastAsia="zh-CN"/>
              </w:rPr>
              <w:t>本</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bidi="ar"/>
              </w:rPr>
            </w:pPr>
            <w:r>
              <w:rPr>
                <w:rFonts w:ascii="宋体" w:hAnsi="宋体" w:cs="宋体" w:hint="eastAsia"/>
                <w:sz w:val="21"/>
                <w:szCs w:val="21"/>
                <w:lang w:eastAsia="zh-CN" w:bidi="ar"/>
              </w:rPr>
              <w:t>7</w:t>
            </w:r>
          </w:p>
        </w:tc>
        <w:tc>
          <w:tcPr>
            <w:tcW w:w="3740"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rPr>
            </w:pPr>
            <w:r>
              <w:rPr>
                <w:rFonts w:ascii="宋体" w:hAnsi="宋体" w:cs="宋体" w:hint="eastAsia"/>
                <w:sz w:val="21"/>
                <w:szCs w:val="21"/>
                <w:lang w:eastAsia="zh-CN" w:bidi="ar"/>
              </w:rPr>
              <w:t>简明操作指南</w:t>
            </w:r>
          </w:p>
        </w:tc>
        <w:tc>
          <w:tcPr>
            <w:tcW w:w="1589" w:type="dxa"/>
            <w:noWrap w:val="0"/>
            <w:vAlign w:val="center"/>
          </w:tcPr>
          <w:p>
            <w:pPr>
              <w:pageBreakBefore w:val="0"/>
              <w:kinsoku/>
              <w:overflowPunct/>
              <w:topLinePunct w:val="0"/>
              <w:autoSpaceDE/>
              <w:autoSpaceDN/>
              <w:bidi w:val="0"/>
              <w:spacing w:beforeAutospacing="0" w:afterAutospacing="0" w:line="360" w:lineRule="auto"/>
              <w:ind w:left="0" w:right="0" w:firstLine="0" w:leftChars="0" w:rightChars="0" w:firstLineChars="0"/>
              <w:jc w:val="center"/>
              <w:rPr>
                <w:rFonts w:ascii="宋体" w:hAnsi="宋体" w:cs="宋体" w:hint="eastAsia"/>
                <w:bCs/>
                <w:sz w:val="21"/>
                <w:szCs w:val="21"/>
                <w:lang w:eastAsia="zh-CN"/>
              </w:rPr>
            </w:pPr>
            <w:r>
              <w:rPr>
                <w:rFonts w:ascii="宋体" w:hAnsi="宋体" w:cs="宋体" w:hint="eastAsia"/>
                <w:bCs/>
                <w:sz w:val="21"/>
                <w:szCs w:val="21"/>
                <w:lang w:eastAsia="zh-CN"/>
              </w:rPr>
              <w:t>1</w:t>
            </w:r>
          </w:p>
        </w:tc>
        <w:tc>
          <w:tcPr>
            <w:tcW w:w="2131" w:type="dxa"/>
            <w:noWrap w:val="0"/>
            <w:vAlign w:val="center"/>
          </w:tcPr>
          <w:p>
            <w:pPr>
              <w:jc w:val="center"/>
              <w:rPr>
                <w:rFonts w:ascii="宋体" w:hAnsi="宋体" w:cs="宋体" w:hint="eastAsia"/>
                <w:sz w:val="21"/>
                <w:szCs w:val="21"/>
                <w:lang w:eastAsia="zh-CN"/>
              </w:rPr>
            </w:pPr>
            <w:r>
              <w:rPr>
                <w:rFonts w:ascii="宋体" w:hAnsi="宋体" w:cs="宋体" w:hint="eastAsia"/>
                <w:sz w:val="21"/>
                <w:szCs w:val="21"/>
                <w:lang w:eastAsia="zh-CN"/>
              </w:rPr>
              <w:t>本</w:t>
            </w:r>
          </w:p>
        </w:tc>
      </w:tr>
    </w:tbl>
    <w:p>
      <w:pPr>
        <w:numPr>
          <w:ilvl w:val="0"/>
          <w:numId w:val="0"/>
        </w:numPr>
        <w:spacing w:line="360" w:lineRule="auto"/>
        <w:ind w:left="0" w:firstLine="0" w:leftChars="0"/>
        <w:rPr>
          <w:rFonts w:ascii="宋体" w:eastAsia="宋体" w:hAnsi="宋体" w:cs="宋体" w:hint="eastAsia"/>
          <w:sz w:val="21"/>
          <w:szCs w:val="21"/>
          <w:lang w:eastAsia="zh-CN"/>
        </w:rPr>
      </w:pPr>
    </w:p>
    <w:p>
      <w:pPr>
        <w:numPr>
          <w:ilvl w:val="0"/>
          <w:numId w:val="0"/>
        </w:numPr>
        <w:spacing w:line="360" w:lineRule="auto"/>
        <w:ind w:left="0" w:firstLine="0" w:leftChars="0"/>
        <w:rPr>
          <w:rFonts w:ascii="宋体" w:eastAsia="宋体" w:hAnsi="宋体" w:cs="宋体" w:hint="eastAsia"/>
          <w:sz w:val="21"/>
          <w:szCs w:val="21"/>
          <w:lang w:eastAsia="zh-CN"/>
        </w:rPr>
      </w:pPr>
      <w:r>
        <w:rPr>
          <w:rFonts w:ascii="宋体" w:eastAsia="宋体" w:hAnsi="宋体" w:cs="宋体" w:hint="eastAsia"/>
          <w:sz w:val="21"/>
          <w:szCs w:val="21"/>
          <w:lang w:eastAsia="zh-CN"/>
        </w:rPr>
        <w:t>（6）</w:t>
      </w:r>
      <w:r>
        <w:rPr>
          <w:rFonts w:ascii="宋体" w:eastAsia="宋体" w:hAnsi="宋体" w:cs="宋体" w:hint="eastAsia"/>
          <w:sz w:val="21"/>
          <w:szCs w:val="21"/>
          <w:lang w:eastAsia="zh-CN" w:bidi="ar"/>
        </w:rPr>
        <w:t>生物芯片阅读仪（不孕不育自身抗体）</w:t>
      </w:r>
      <w:r>
        <w:rPr>
          <w:rFonts w:ascii="宋体" w:eastAsia="宋体" w:hAnsi="宋体" w:cs="宋体" w:hint="eastAsia"/>
          <w:sz w:val="21"/>
          <w:szCs w:val="21"/>
          <w:lang w:eastAsia="zh-CN"/>
        </w:rPr>
        <w:t>(每台/套设备配置）</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3"/>
        <w:gridCol w:w="3887"/>
        <w:gridCol w:w="1651"/>
        <w:gridCol w:w="221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454"/>
          <w:tblHeader/>
          <w:jc w:val="center"/>
        </w:trPr>
        <w:tc>
          <w:tcPr>
            <w:tcW w:w="1062"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序号</w:t>
            </w:r>
          </w:p>
        </w:tc>
        <w:tc>
          <w:tcPr>
            <w:tcW w:w="3740"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配置名称</w:t>
            </w:r>
          </w:p>
        </w:tc>
        <w:tc>
          <w:tcPr>
            <w:tcW w:w="1589"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数量</w:t>
            </w:r>
          </w:p>
        </w:tc>
        <w:tc>
          <w:tcPr>
            <w:tcW w:w="2131"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单位</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keepNext w:val="0"/>
              <w:keepLines w:val="0"/>
              <w:widowControl/>
              <w:suppressLineNumbers w:val="0"/>
              <w:jc w:val="center"/>
              <w:textAlignment w:val="center"/>
              <w:rPr>
                <w:rFonts w:ascii="宋体" w:hAnsi="宋体" w:cs="宋体" w:hint="eastAsia"/>
                <w:bCs/>
                <w:sz w:val="21"/>
                <w:szCs w:val="21"/>
                <w:lang w:eastAsia="zh-CN"/>
              </w:rPr>
            </w:pPr>
            <w:r>
              <w:rPr>
                <w:rFonts w:ascii="宋体" w:hAnsi="宋体" w:cs="宋体" w:hint="eastAsia"/>
                <w:sz w:val="21"/>
                <w:szCs w:val="21"/>
                <w:lang w:eastAsia="zh-CN" w:bidi="ar"/>
              </w:rPr>
              <w:t>1</w:t>
            </w:r>
          </w:p>
        </w:tc>
        <w:tc>
          <w:tcPr>
            <w:tcW w:w="3740" w:type="dxa"/>
            <w:noWrap w:val="0"/>
            <w:vAlign w:val="center"/>
          </w:tcPr>
          <w:p>
            <w:pPr>
              <w:keepNext w:val="0"/>
              <w:keepLines w:val="0"/>
              <w:widowControl/>
              <w:suppressLineNumbers w:val="0"/>
              <w:adjustRightInd/>
              <w:spacing w:line="500" w:lineRule="exact"/>
              <w:ind w:firstLine="210" w:firstLineChars="100"/>
              <w:jc w:val="center"/>
              <w:textAlignment w:val="center"/>
              <w:rPr>
                <w:rFonts w:ascii="宋体" w:hAnsi="宋体" w:cs="宋体" w:hint="eastAsia"/>
                <w:sz w:val="21"/>
                <w:szCs w:val="21"/>
                <w:lang w:eastAsia="zh-CN"/>
              </w:rPr>
            </w:pPr>
            <w:r>
              <w:rPr>
                <w:rFonts w:ascii="宋体" w:hAnsi="宋体" w:cs="宋体" w:hint="eastAsia"/>
                <w:sz w:val="21"/>
                <w:szCs w:val="21"/>
              </w:rPr>
              <w:t xml:space="preserve">主机  </w:t>
            </w:r>
          </w:p>
        </w:tc>
        <w:tc>
          <w:tcPr>
            <w:tcW w:w="1589" w:type="dxa"/>
            <w:noWrap w:val="0"/>
            <w:vAlign w:val="center"/>
          </w:tcPr>
          <w:p>
            <w:pPr>
              <w:pageBreakBefore w:val="0"/>
              <w:kinsoku/>
              <w:overflowPunct/>
              <w:topLinePunct w:val="0"/>
              <w:autoSpaceDE/>
              <w:autoSpaceDN/>
              <w:bidi w:val="0"/>
              <w:spacing w:beforeAutospacing="0" w:afterAutospacing="0" w:line="360" w:lineRule="auto"/>
              <w:ind w:left="0" w:right="0" w:firstLine="0" w:leftChars="0" w:rightChars="0" w:firstLineChars="0"/>
              <w:jc w:val="center"/>
              <w:rPr>
                <w:rFonts w:ascii="宋体" w:hAnsi="宋体" w:cs="宋体" w:hint="eastAsia"/>
                <w:bCs/>
                <w:sz w:val="21"/>
                <w:szCs w:val="21"/>
                <w:lang w:eastAsia="zh-CN"/>
              </w:rPr>
            </w:pPr>
            <w:r>
              <w:rPr>
                <w:rFonts w:ascii="宋体" w:hAnsi="宋体" w:cs="宋体" w:hint="eastAsia"/>
                <w:bCs/>
                <w:sz w:val="21"/>
                <w:szCs w:val="21"/>
                <w:lang w:eastAsia="zh-CN"/>
              </w:rPr>
              <w:t>1</w:t>
            </w:r>
          </w:p>
        </w:tc>
        <w:tc>
          <w:tcPr>
            <w:tcW w:w="2131"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rPr>
              <w:t>台</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bidi="ar"/>
              </w:rPr>
            </w:pPr>
            <w:r>
              <w:rPr>
                <w:rFonts w:ascii="宋体" w:hAnsi="宋体" w:cs="宋体" w:hint="eastAsia"/>
                <w:sz w:val="21"/>
                <w:szCs w:val="21"/>
                <w:lang w:eastAsia="zh-CN" w:bidi="ar"/>
              </w:rPr>
              <w:t>2</w:t>
            </w:r>
          </w:p>
        </w:tc>
        <w:tc>
          <w:tcPr>
            <w:tcW w:w="3740" w:type="dxa"/>
            <w:noWrap w:val="0"/>
            <w:vAlign w:val="center"/>
          </w:tcPr>
          <w:p>
            <w:pPr>
              <w:keepNext w:val="0"/>
              <w:keepLines w:val="0"/>
              <w:widowControl/>
              <w:suppressLineNumbers w:val="0"/>
              <w:adjustRightInd/>
              <w:spacing w:line="500" w:lineRule="exact"/>
              <w:ind w:firstLine="210" w:firstLineChars="100"/>
              <w:jc w:val="center"/>
              <w:textAlignment w:val="center"/>
              <w:rPr>
                <w:rFonts w:ascii="宋体" w:hAnsi="宋体" w:cs="宋体" w:hint="eastAsia"/>
                <w:sz w:val="21"/>
                <w:szCs w:val="21"/>
                <w:lang w:eastAsia="zh-CN"/>
              </w:rPr>
            </w:pPr>
            <w:r>
              <w:rPr>
                <w:rFonts w:ascii="宋体" w:hAnsi="宋体" w:cs="宋体" w:hint="eastAsia"/>
                <w:sz w:val="21"/>
                <w:szCs w:val="21"/>
              </w:rPr>
              <w:t xml:space="preserve">电源适配器  </w:t>
            </w:r>
          </w:p>
        </w:tc>
        <w:tc>
          <w:tcPr>
            <w:tcW w:w="1589" w:type="dxa"/>
            <w:noWrap w:val="0"/>
            <w:vAlign w:val="center"/>
          </w:tcPr>
          <w:p>
            <w:pPr>
              <w:pageBreakBefore w:val="0"/>
              <w:kinsoku/>
              <w:overflowPunct/>
              <w:topLinePunct w:val="0"/>
              <w:autoSpaceDE/>
              <w:autoSpaceDN/>
              <w:bidi w:val="0"/>
              <w:spacing w:beforeAutospacing="0" w:afterAutospacing="0" w:line="360" w:lineRule="auto"/>
              <w:ind w:left="0" w:right="0" w:firstLine="0" w:leftChars="0" w:rightChars="0" w:firstLineChars="0"/>
              <w:jc w:val="center"/>
              <w:rPr>
                <w:rFonts w:ascii="宋体" w:hAnsi="宋体" w:cs="宋体" w:hint="eastAsia"/>
                <w:bCs/>
                <w:sz w:val="21"/>
                <w:szCs w:val="21"/>
                <w:lang w:eastAsia="zh-CN"/>
              </w:rPr>
            </w:pPr>
            <w:r>
              <w:rPr>
                <w:rFonts w:ascii="宋体" w:hAnsi="宋体" w:cs="宋体" w:hint="eastAsia"/>
                <w:bCs/>
                <w:sz w:val="21"/>
                <w:szCs w:val="21"/>
                <w:lang w:eastAsia="zh-CN"/>
              </w:rPr>
              <w:t>1</w:t>
            </w:r>
          </w:p>
        </w:tc>
        <w:tc>
          <w:tcPr>
            <w:tcW w:w="2131"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rPr>
              <w:t>根</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bidi="ar"/>
              </w:rPr>
            </w:pPr>
            <w:r>
              <w:rPr>
                <w:rFonts w:ascii="宋体" w:hAnsi="宋体" w:cs="宋体" w:hint="eastAsia"/>
                <w:sz w:val="21"/>
                <w:szCs w:val="21"/>
                <w:lang w:eastAsia="zh-CN" w:bidi="ar"/>
              </w:rPr>
              <w:t>3</w:t>
            </w:r>
          </w:p>
        </w:tc>
        <w:tc>
          <w:tcPr>
            <w:tcW w:w="3740" w:type="dxa"/>
            <w:noWrap w:val="0"/>
            <w:vAlign w:val="center"/>
          </w:tcPr>
          <w:p>
            <w:pPr>
              <w:keepNext w:val="0"/>
              <w:keepLines w:val="0"/>
              <w:widowControl/>
              <w:suppressLineNumbers w:val="0"/>
              <w:adjustRightInd/>
              <w:spacing w:line="500" w:lineRule="exact"/>
              <w:ind w:firstLine="210" w:firstLineChars="100"/>
              <w:jc w:val="center"/>
              <w:textAlignment w:val="center"/>
              <w:rPr>
                <w:rFonts w:ascii="宋体" w:hAnsi="宋体" w:cs="宋体" w:hint="eastAsia"/>
                <w:kern w:val="24"/>
                <w:sz w:val="21"/>
                <w:szCs w:val="21"/>
                <w:lang w:eastAsia="zh-CN"/>
              </w:rPr>
            </w:pPr>
            <w:r>
              <w:rPr>
                <w:rFonts w:ascii="宋体" w:hAnsi="宋体" w:cs="宋体" w:hint="eastAsia"/>
                <w:sz w:val="21"/>
                <w:szCs w:val="21"/>
              </w:rPr>
              <w:t xml:space="preserve">合格证    </w:t>
            </w:r>
          </w:p>
        </w:tc>
        <w:tc>
          <w:tcPr>
            <w:tcW w:w="1589" w:type="dxa"/>
            <w:noWrap w:val="0"/>
            <w:vAlign w:val="center"/>
          </w:tcPr>
          <w:p>
            <w:pPr>
              <w:pageBreakBefore w:val="0"/>
              <w:kinsoku/>
              <w:overflowPunct/>
              <w:topLinePunct w:val="0"/>
              <w:autoSpaceDE/>
              <w:autoSpaceDN/>
              <w:bidi w:val="0"/>
              <w:spacing w:beforeAutospacing="0" w:afterAutospacing="0" w:line="360" w:lineRule="auto"/>
              <w:ind w:left="0" w:right="0" w:firstLine="0" w:leftChars="0" w:rightChars="0" w:firstLineChars="0"/>
              <w:jc w:val="center"/>
              <w:rPr>
                <w:rFonts w:ascii="宋体" w:hAnsi="宋体" w:cs="宋体" w:hint="eastAsia"/>
                <w:bCs/>
                <w:sz w:val="21"/>
                <w:szCs w:val="21"/>
                <w:lang w:eastAsia="zh-CN"/>
              </w:rPr>
            </w:pPr>
            <w:r>
              <w:rPr>
                <w:rFonts w:ascii="宋体" w:hAnsi="宋体" w:cs="宋体" w:hint="eastAsia"/>
                <w:bCs/>
                <w:sz w:val="21"/>
                <w:szCs w:val="21"/>
                <w:lang w:eastAsia="zh-CN"/>
              </w:rPr>
              <w:t>1</w:t>
            </w:r>
          </w:p>
        </w:tc>
        <w:tc>
          <w:tcPr>
            <w:tcW w:w="2131" w:type="dxa"/>
            <w:noWrap w:val="0"/>
            <w:vAlign w:val="center"/>
          </w:tcPr>
          <w:p>
            <w:pPr>
              <w:jc w:val="center"/>
              <w:rPr>
                <w:rFonts w:ascii="宋体" w:hAnsi="宋体" w:cs="宋体" w:hint="eastAsia"/>
                <w:bCs/>
                <w:sz w:val="21"/>
                <w:szCs w:val="21"/>
              </w:rPr>
            </w:pPr>
            <w:r>
              <w:rPr>
                <w:rFonts w:ascii="宋体" w:hAnsi="宋体" w:cs="宋体" w:hint="eastAsia"/>
                <w:sz w:val="21"/>
                <w:szCs w:val="21"/>
              </w:rPr>
              <w:t>份</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keepNext w:val="0"/>
              <w:keepLines w:val="0"/>
              <w:widowControl/>
              <w:suppressLineNumbers w:val="0"/>
              <w:jc w:val="center"/>
              <w:textAlignment w:val="center"/>
              <w:rPr>
                <w:rFonts w:ascii="宋体" w:hAnsi="宋体" w:cs="宋体" w:hint="eastAsia"/>
                <w:sz w:val="21"/>
                <w:szCs w:val="21"/>
                <w:lang w:eastAsia="zh-CN" w:bidi="ar"/>
              </w:rPr>
            </w:pPr>
            <w:r>
              <w:rPr>
                <w:rFonts w:ascii="宋体" w:hAnsi="宋体" w:cs="宋体" w:hint="eastAsia"/>
                <w:sz w:val="21"/>
                <w:szCs w:val="21"/>
                <w:lang w:eastAsia="zh-CN" w:bidi="ar"/>
              </w:rPr>
              <w:t>4</w:t>
            </w:r>
          </w:p>
        </w:tc>
        <w:tc>
          <w:tcPr>
            <w:tcW w:w="3740" w:type="dxa"/>
            <w:noWrap w:val="0"/>
            <w:vAlign w:val="center"/>
          </w:tcPr>
          <w:p>
            <w:pPr>
              <w:keepNext w:val="0"/>
              <w:keepLines w:val="0"/>
              <w:widowControl/>
              <w:suppressLineNumbers w:val="0"/>
              <w:adjustRightInd/>
              <w:spacing w:line="500" w:lineRule="exact"/>
              <w:ind w:firstLine="210" w:firstLineChars="100"/>
              <w:jc w:val="center"/>
              <w:textAlignment w:val="center"/>
              <w:rPr>
                <w:rFonts w:ascii="宋体" w:hAnsi="宋体" w:cs="宋体" w:hint="eastAsia"/>
                <w:kern w:val="24"/>
                <w:sz w:val="21"/>
                <w:szCs w:val="21"/>
                <w:lang w:eastAsia="zh-CN"/>
              </w:rPr>
            </w:pPr>
            <w:r>
              <w:rPr>
                <w:rFonts w:ascii="宋体" w:hAnsi="宋体" w:cs="宋体" w:hint="eastAsia"/>
                <w:sz w:val="21"/>
                <w:szCs w:val="21"/>
              </w:rPr>
              <w:t xml:space="preserve">说明书     </w:t>
            </w:r>
          </w:p>
        </w:tc>
        <w:tc>
          <w:tcPr>
            <w:tcW w:w="1589" w:type="dxa"/>
            <w:noWrap w:val="0"/>
            <w:vAlign w:val="center"/>
          </w:tcPr>
          <w:p>
            <w:pPr>
              <w:pageBreakBefore w:val="0"/>
              <w:kinsoku/>
              <w:overflowPunct/>
              <w:topLinePunct w:val="0"/>
              <w:autoSpaceDE/>
              <w:autoSpaceDN/>
              <w:bidi w:val="0"/>
              <w:spacing w:beforeAutospacing="0" w:afterAutospacing="0" w:line="360" w:lineRule="auto"/>
              <w:ind w:left="0" w:right="0" w:firstLine="0" w:leftChars="0" w:rightChars="0" w:firstLineChars="0"/>
              <w:jc w:val="center"/>
              <w:rPr>
                <w:rFonts w:ascii="宋体" w:hAnsi="宋体" w:cs="宋体" w:hint="eastAsia"/>
                <w:bCs/>
                <w:sz w:val="21"/>
                <w:szCs w:val="21"/>
                <w:lang w:eastAsia="zh-CN"/>
              </w:rPr>
            </w:pPr>
            <w:r>
              <w:rPr>
                <w:rFonts w:ascii="宋体" w:hAnsi="宋体" w:cs="宋体" w:hint="eastAsia"/>
                <w:bCs/>
                <w:sz w:val="21"/>
                <w:szCs w:val="21"/>
                <w:lang w:eastAsia="zh-CN"/>
              </w:rPr>
              <w:t>1</w:t>
            </w:r>
          </w:p>
        </w:tc>
        <w:tc>
          <w:tcPr>
            <w:tcW w:w="2131"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rPr>
              <w:t>份</w:t>
            </w:r>
          </w:p>
        </w:tc>
      </w:tr>
    </w:tbl>
    <w:p>
      <w:pPr>
        <w:numPr>
          <w:ilvl w:val="0"/>
          <w:numId w:val="0"/>
        </w:numPr>
        <w:ind w:left="0" w:firstLine="0" w:leftChars="0"/>
        <w:rPr>
          <w:rFonts w:ascii="宋体" w:eastAsia="宋体" w:hAnsi="宋体" w:cs="宋体" w:hint="eastAsia"/>
          <w:sz w:val="21"/>
          <w:szCs w:val="21"/>
          <w:lang w:eastAsia="zh-CN"/>
        </w:rPr>
      </w:pPr>
    </w:p>
    <w:p>
      <w:pPr>
        <w:numPr>
          <w:ilvl w:val="0"/>
          <w:numId w:val="0"/>
        </w:numPr>
        <w:ind w:left="0" w:firstLine="0" w:leftChars="0"/>
        <w:rPr>
          <w:rFonts w:ascii="宋体" w:eastAsia="宋体" w:hAnsi="宋体" w:cs="宋体" w:hint="eastAsia"/>
          <w:sz w:val="21"/>
          <w:szCs w:val="21"/>
          <w:lang w:eastAsia="zh-CN"/>
        </w:rPr>
      </w:pPr>
      <w:r>
        <w:rPr>
          <w:rFonts w:ascii="宋体" w:eastAsia="宋体" w:hAnsi="宋体" w:cs="宋体" w:hint="eastAsia"/>
          <w:sz w:val="21"/>
          <w:szCs w:val="21"/>
          <w:lang w:eastAsia="zh-CN"/>
        </w:rPr>
        <w:t>（7）</w:t>
      </w:r>
      <w:r>
        <w:rPr>
          <w:rFonts w:ascii="宋体" w:eastAsia="宋体" w:hAnsi="宋体" w:cs="宋体" w:hint="eastAsia"/>
          <w:sz w:val="21"/>
          <w:szCs w:val="21"/>
          <w:lang w:eastAsia="zh-CN" w:bidi="ar"/>
        </w:rPr>
        <w:t>细胞离心涂片机</w:t>
      </w:r>
      <w:r>
        <w:rPr>
          <w:rFonts w:ascii="宋体" w:eastAsia="宋体" w:hAnsi="宋体" w:cs="宋体" w:hint="eastAsia"/>
          <w:sz w:val="21"/>
          <w:szCs w:val="21"/>
          <w:lang w:eastAsia="zh-CN"/>
        </w:rPr>
        <w:t>(每台/套设备配置）</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3"/>
        <w:gridCol w:w="3887"/>
        <w:gridCol w:w="1651"/>
        <w:gridCol w:w="221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454"/>
          <w:tblHeader/>
          <w:jc w:val="center"/>
        </w:trPr>
        <w:tc>
          <w:tcPr>
            <w:tcW w:w="1062"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序号</w:t>
            </w:r>
          </w:p>
        </w:tc>
        <w:tc>
          <w:tcPr>
            <w:tcW w:w="3740"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配置名称</w:t>
            </w:r>
          </w:p>
        </w:tc>
        <w:tc>
          <w:tcPr>
            <w:tcW w:w="1589"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数量</w:t>
            </w:r>
          </w:p>
        </w:tc>
        <w:tc>
          <w:tcPr>
            <w:tcW w:w="2131" w:type="dxa"/>
            <w:noWrap w:val="0"/>
            <w:vAlign w:val="center"/>
          </w:tcPr>
          <w:p>
            <w:pPr>
              <w:jc w:val="center"/>
              <w:rPr>
                <w:rFonts w:ascii="宋体" w:hAnsi="宋体" w:cs="宋体" w:hint="eastAsia"/>
                <w:b/>
                <w:sz w:val="21"/>
                <w:szCs w:val="21"/>
                <w:lang w:eastAsia="zh-CN"/>
              </w:rPr>
            </w:pPr>
            <w:r>
              <w:rPr>
                <w:rFonts w:ascii="宋体" w:hAnsi="宋体" w:cs="宋体" w:hint="eastAsia"/>
                <w:b/>
                <w:sz w:val="21"/>
                <w:szCs w:val="21"/>
                <w:lang w:eastAsia="zh-CN"/>
              </w:rPr>
              <w:t>单位</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bCs/>
                <w:sz w:val="21"/>
                <w:szCs w:val="21"/>
                <w:lang w:eastAsia="zh-CN"/>
              </w:rPr>
            </w:pPr>
            <w:r>
              <w:rPr>
                <w:rFonts w:ascii="宋体" w:hAnsi="宋体" w:cs="宋体" w:hint="eastAsia"/>
                <w:sz w:val="21"/>
                <w:szCs w:val="21"/>
              </w:rPr>
              <w:t>1</w:t>
            </w:r>
          </w:p>
        </w:tc>
        <w:tc>
          <w:tcPr>
            <w:tcW w:w="3740" w:type="dxa"/>
            <w:noWrap w:val="0"/>
            <w:vAlign w:val="center"/>
          </w:tcPr>
          <w:p>
            <w:pPr>
              <w:jc w:val="center"/>
              <w:outlineLvl w:val="1"/>
              <w:rPr>
                <w:rFonts w:ascii="宋体" w:hAnsi="宋体" w:cs="宋体" w:hint="eastAsia"/>
                <w:bCs/>
                <w:sz w:val="21"/>
                <w:szCs w:val="21"/>
                <w:lang w:eastAsia="zh-CN"/>
              </w:rPr>
            </w:pPr>
            <w:r>
              <w:rPr>
                <w:rFonts w:ascii="宋体" w:hAnsi="宋体" w:cs="宋体" w:hint="eastAsia"/>
                <w:sz w:val="21"/>
                <w:szCs w:val="21"/>
              </w:rPr>
              <w:t>细胞离心涂片机</w:t>
            </w:r>
          </w:p>
        </w:tc>
        <w:tc>
          <w:tcPr>
            <w:tcW w:w="1589" w:type="dxa"/>
            <w:noWrap w:val="0"/>
            <w:vAlign w:val="center"/>
          </w:tcPr>
          <w:p>
            <w:pPr>
              <w:widowControl/>
              <w:adjustRightInd w:val="0"/>
              <w:snapToGrid w:val="0"/>
              <w:jc w:val="center"/>
              <w:rPr>
                <w:rFonts w:ascii="宋体" w:hAnsi="宋体" w:cs="宋体" w:hint="eastAsia"/>
                <w:bCs/>
                <w:sz w:val="21"/>
                <w:szCs w:val="21"/>
                <w:lang w:eastAsia="zh-CN"/>
              </w:rPr>
            </w:pPr>
            <w:r>
              <w:rPr>
                <w:rFonts w:ascii="宋体" w:hAnsi="宋体" w:cs="宋体" w:hint="eastAsia"/>
                <w:sz w:val="21"/>
                <w:szCs w:val="21"/>
              </w:rPr>
              <w:t>1</w:t>
            </w:r>
          </w:p>
        </w:tc>
        <w:tc>
          <w:tcPr>
            <w:tcW w:w="2131" w:type="dxa"/>
            <w:noWrap w:val="0"/>
            <w:vAlign w:val="center"/>
          </w:tcPr>
          <w:p>
            <w:pPr>
              <w:jc w:val="center"/>
              <w:outlineLvl w:val="1"/>
              <w:rPr>
                <w:rFonts w:ascii="宋体" w:hAnsi="宋体" w:cs="宋体" w:hint="eastAsia"/>
                <w:bCs/>
                <w:sz w:val="21"/>
                <w:szCs w:val="21"/>
                <w:lang w:eastAsia="zh-CN"/>
              </w:rPr>
            </w:pPr>
            <w:r>
              <w:rPr>
                <w:rFonts w:ascii="宋体" w:hAnsi="宋体" w:cs="宋体" w:hint="eastAsia"/>
                <w:sz w:val="21"/>
                <w:szCs w:val="21"/>
              </w:rPr>
              <w:t>台</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2</w:t>
            </w:r>
          </w:p>
        </w:tc>
        <w:tc>
          <w:tcPr>
            <w:tcW w:w="3740" w:type="dxa"/>
            <w:noWrap w:val="0"/>
            <w:vAlign w:val="center"/>
          </w:tcPr>
          <w:p>
            <w:pPr>
              <w:jc w:val="center"/>
              <w:outlineLvl w:val="1"/>
              <w:rPr>
                <w:rFonts w:ascii="宋体" w:hAnsi="宋体" w:cs="宋体" w:hint="eastAsia"/>
                <w:bCs/>
                <w:sz w:val="21"/>
                <w:szCs w:val="21"/>
                <w:lang w:eastAsia="zh-CN"/>
              </w:rPr>
            </w:pPr>
            <w:r>
              <w:rPr>
                <w:rFonts w:ascii="宋体" w:hAnsi="宋体" w:cs="宋体" w:hint="eastAsia"/>
                <w:sz w:val="21"/>
                <w:szCs w:val="21"/>
              </w:rPr>
              <w:t>转子扳手</w:t>
            </w:r>
          </w:p>
        </w:tc>
        <w:tc>
          <w:tcPr>
            <w:tcW w:w="1589" w:type="dxa"/>
            <w:noWrap w:val="0"/>
            <w:vAlign w:val="center"/>
          </w:tcPr>
          <w:p>
            <w:pPr>
              <w:widowControl/>
              <w:adjustRightInd w:val="0"/>
              <w:snapToGrid w:val="0"/>
              <w:jc w:val="center"/>
              <w:rPr>
                <w:rFonts w:ascii="宋体" w:hAnsi="宋体" w:cs="宋体" w:hint="eastAsia"/>
                <w:bCs/>
                <w:sz w:val="21"/>
                <w:szCs w:val="21"/>
                <w:lang w:eastAsia="zh-CN"/>
              </w:rPr>
            </w:pPr>
            <w:r>
              <w:rPr>
                <w:rFonts w:ascii="宋体" w:hAnsi="宋体" w:cs="宋体" w:hint="eastAsia"/>
                <w:sz w:val="21"/>
                <w:szCs w:val="21"/>
              </w:rPr>
              <w:t>1</w:t>
            </w:r>
          </w:p>
        </w:tc>
        <w:tc>
          <w:tcPr>
            <w:tcW w:w="2131" w:type="dxa"/>
            <w:noWrap w:val="0"/>
            <w:vAlign w:val="center"/>
          </w:tcPr>
          <w:p>
            <w:pPr>
              <w:jc w:val="center"/>
              <w:outlineLvl w:val="1"/>
              <w:rPr>
                <w:rFonts w:ascii="宋体" w:hAnsi="宋体" w:cs="宋体" w:hint="eastAsia"/>
                <w:bCs/>
                <w:sz w:val="21"/>
                <w:szCs w:val="21"/>
                <w:lang w:eastAsia="zh-CN"/>
              </w:rPr>
            </w:pPr>
            <w:r>
              <w:rPr>
                <w:rFonts w:ascii="宋体" w:hAnsi="宋体" w:cs="宋体" w:hint="eastAsia"/>
                <w:sz w:val="21"/>
                <w:szCs w:val="21"/>
              </w:rPr>
              <w:t>只</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3</w:t>
            </w:r>
          </w:p>
        </w:tc>
        <w:tc>
          <w:tcPr>
            <w:tcW w:w="3740" w:type="dxa"/>
            <w:noWrap w:val="0"/>
            <w:vAlign w:val="center"/>
          </w:tcPr>
          <w:p>
            <w:pPr>
              <w:jc w:val="center"/>
              <w:outlineLvl w:val="1"/>
              <w:rPr>
                <w:rFonts w:ascii="宋体" w:hAnsi="宋体" w:cs="宋体" w:hint="eastAsia"/>
                <w:bCs/>
                <w:sz w:val="21"/>
                <w:szCs w:val="21"/>
                <w:lang w:eastAsia="zh-CN"/>
              </w:rPr>
            </w:pPr>
            <w:r>
              <w:rPr>
                <w:rFonts w:ascii="宋体" w:hAnsi="宋体" w:cs="宋体" w:hint="eastAsia"/>
                <w:sz w:val="21"/>
                <w:szCs w:val="21"/>
              </w:rPr>
              <w:t>电源线</w:t>
            </w:r>
          </w:p>
        </w:tc>
        <w:tc>
          <w:tcPr>
            <w:tcW w:w="1589" w:type="dxa"/>
            <w:noWrap w:val="0"/>
            <w:vAlign w:val="center"/>
          </w:tcPr>
          <w:p>
            <w:pPr>
              <w:widowControl/>
              <w:autoSpaceDN w:val="0"/>
              <w:adjustRightInd w:val="0"/>
              <w:snapToGrid w:val="0"/>
              <w:jc w:val="center"/>
              <w:textAlignment w:val="center"/>
              <w:rPr>
                <w:rFonts w:ascii="宋体" w:hAnsi="宋体" w:cs="宋体" w:hint="eastAsia"/>
                <w:bCs/>
                <w:sz w:val="21"/>
                <w:szCs w:val="21"/>
                <w:lang w:eastAsia="zh-CN"/>
              </w:rPr>
            </w:pPr>
            <w:r>
              <w:rPr>
                <w:rFonts w:ascii="宋体" w:hAnsi="宋体" w:cs="宋体" w:hint="eastAsia"/>
                <w:sz w:val="21"/>
                <w:szCs w:val="21"/>
              </w:rPr>
              <w:t>1</w:t>
            </w:r>
          </w:p>
        </w:tc>
        <w:tc>
          <w:tcPr>
            <w:tcW w:w="2131" w:type="dxa"/>
            <w:noWrap w:val="0"/>
            <w:vAlign w:val="center"/>
          </w:tcPr>
          <w:p>
            <w:pPr>
              <w:jc w:val="center"/>
              <w:outlineLvl w:val="1"/>
              <w:rPr>
                <w:rFonts w:ascii="宋体" w:hAnsi="宋体" w:cs="宋体" w:hint="eastAsia"/>
                <w:bCs/>
                <w:sz w:val="21"/>
                <w:szCs w:val="21"/>
                <w:lang w:eastAsia="zh-CN"/>
              </w:rPr>
            </w:pPr>
            <w:r>
              <w:rPr>
                <w:rFonts w:ascii="宋体" w:hAnsi="宋体" w:cs="宋体" w:hint="eastAsia"/>
                <w:sz w:val="21"/>
                <w:szCs w:val="21"/>
              </w:rPr>
              <w:t>根</w:t>
            </w:r>
          </w:p>
        </w:tc>
      </w:tr>
      <w:tr>
        <w:tblPrEx>
          <w:tblW w:w="5000" w:type="pct"/>
          <w:jc w:val="center"/>
          <w:tblLayout w:type="fixed"/>
          <w:tblCellMar>
            <w:top w:w="0" w:type="dxa"/>
            <w:left w:w="108" w:type="dxa"/>
            <w:bottom w:w="0" w:type="dxa"/>
            <w:right w:w="108" w:type="dxa"/>
          </w:tblCellMar>
        </w:tblPrEx>
        <w:trPr>
          <w:cantSplit/>
          <w:trHeight w:val="454"/>
          <w:jc w:val="center"/>
        </w:trPr>
        <w:tc>
          <w:tcPr>
            <w:tcW w:w="1062" w:type="dxa"/>
            <w:noWrap w:val="0"/>
            <w:vAlign w:val="center"/>
          </w:tcPr>
          <w:p>
            <w:pPr>
              <w:jc w:val="center"/>
              <w:rPr>
                <w:rFonts w:ascii="宋体" w:hAnsi="宋体" w:cs="宋体" w:hint="eastAsia"/>
                <w:sz w:val="21"/>
                <w:szCs w:val="21"/>
                <w:lang w:eastAsia="zh-CN" w:bidi="ar"/>
              </w:rPr>
            </w:pPr>
            <w:r>
              <w:rPr>
                <w:rFonts w:ascii="宋体" w:hAnsi="宋体" w:cs="宋体" w:hint="eastAsia"/>
                <w:sz w:val="21"/>
                <w:szCs w:val="21"/>
              </w:rPr>
              <w:t>4</w:t>
            </w:r>
          </w:p>
        </w:tc>
        <w:tc>
          <w:tcPr>
            <w:tcW w:w="3740" w:type="dxa"/>
            <w:noWrap w:val="0"/>
            <w:vAlign w:val="center"/>
          </w:tcPr>
          <w:p>
            <w:pPr>
              <w:jc w:val="center"/>
              <w:outlineLvl w:val="1"/>
              <w:rPr>
                <w:rFonts w:ascii="宋体" w:hAnsi="宋体" w:cs="宋体" w:hint="eastAsia"/>
                <w:bCs/>
                <w:sz w:val="21"/>
                <w:szCs w:val="21"/>
                <w:lang w:eastAsia="zh-CN"/>
              </w:rPr>
            </w:pPr>
            <w:r>
              <w:rPr>
                <w:rFonts w:ascii="宋体" w:hAnsi="宋体" w:cs="宋体" w:hint="eastAsia"/>
                <w:sz w:val="21"/>
                <w:szCs w:val="21"/>
              </w:rPr>
              <w:t>说明书</w:t>
            </w:r>
          </w:p>
        </w:tc>
        <w:tc>
          <w:tcPr>
            <w:tcW w:w="1589" w:type="dxa"/>
            <w:noWrap w:val="0"/>
            <w:vAlign w:val="center"/>
          </w:tcPr>
          <w:p>
            <w:pPr>
              <w:widowControl/>
              <w:autoSpaceDN w:val="0"/>
              <w:adjustRightInd w:val="0"/>
              <w:snapToGrid w:val="0"/>
              <w:jc w:val="center"/>
              <w:textAlignment w:val="bottom"/>
              <w:rPr>
                <w:rFonts w:ascii="宋体" w:hAnsi="宋体" w:cs="宋体" w:hint="eastAsia"/>
                <w:bCs/>
                <w:sz w:val="21"/>
                <w:szCs w:val="21"/>
                <w:lang w:eastAsia="zh-CN"/>
              </w:rPr>
            </w:pPr>
            <w:r>
              <w:rPr>
                <w:rFonts w:ascii="宋体" w:hAnsi="宋体" w:cs="宋体" w:hint="eastAsia"/>
                <w:sz w:val="21"/>
                <w:szCs w:val="21"/>
              </w:rPr>
              <w:t>1</w:t>
            </w:r>
          </w:p>
        </w:tc>
        <w:tc>
          <w:tcPr>
            <w:tcW w:w="2131" w:type="dxa"/>
            <w:noWrap w:val="0"/>
            <w:vAlign w:val="center"/>
          </w:tcPr>
          <w:p>
            <w:pPr>
              <w:jc w:val="center"/>
              <w:outlineLvl w:val="1"/>
              <w:rPr>
                <w:rFonts w:ascii="宋体" w:hAnsi="宋体" w:cs="宋体" w:hint="eastAsia"/>
                <w:bCs/>
                <w:sz w:val="21"/>
                <w:szCs w:val="21"/>
                <w:lang w:eastAsia="zh-CN"/>
              </w:rPr>
            </w:pPr>
            <w:r>
              <w:rPr>
                <w:rFonts w:ascii="宋体" w:hAnsi="宋体" w:cs="宋体" w:hint="eastAsia"/>
                <w:sz w:val="21"/>
                <w:szCs w:val="21"/>
              </w:rPr>
              <w:t>本</w:t>
            </w:r>
          </w:p>
        </w:tc>
      </w:tr>
    </w:tbl>
    <w:p>
      <w:pPr>
        <w:widowControl w:val="0"/>
        <w:spacing w:after="120" w:line="360" w:lineRule="auto"/>
        <w:ind w:firstLine="420" w:firstLineChars="200"/>
        <w:jc w:val="both"/>
        <w:rPr>
          <w:rFonts w:ascii="宋体" w:eastAsia="宋体" w:hAnsi="宋体" w:hint="eastAsia"/>
          <w:b/>
          <w:color w:val="000000"/>
          <w:sz w:val="21"/>
          <w:szCs w:val="21"/>
          <w:u w:val="single"/>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52"/>
        <w:gridCol w:w="790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961"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序号</w:t>
            </w:r>
          </w:p>
        </w:tc>
        <w:tc>
          <w:tcPr>
            <w:tcW w:w="8000"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trHeight w:val="454"/>
          <w:jc w:val="center"/>
        </w:trPr>
        <w:tc>
          <w:tcPr>
            <w:tcW w:w="961"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p>
        </w:tc>
        <w:tc>
          <w:tcPr>
            <w:tcW w:w="8000"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4"/>
    </w:tbl>
    <w:p>
      <w:pPr>
        <w:widowControl w:val="0"/>
        <w:spacing w:line="360" w:lineRule="auto"/>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spacing w:line="360" w:lineRule="auto"/>
        <w:jc w:val="both"/>
        <w:rPr>
          <w:rFonts w:ascii="宋体" w:eastAsia="宋体" w:hAnsi="宋体" w:cs="宋体"/>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四、技术要求</w:t>
      </w:r>
    </w:p>
    <w:p>
      <w:pPr>
        <w:widowControl w:val="0"/>
        <w:jc w:val="both"/>
        <w:rPr>
          <w:rFonts w:ascii="Calibri" w:eastAsia="宋体" w:hAnsi="Calibri" w:hint="eastAsia"/>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3、所列的技术参数需求中如出现品牌信息仅供参考，不作为参数要求，目的只为投标人更清楚地了解采购需求，投标人可提供其他品牌设备投标。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如有方案或参数表述中有出现类似可实现、实现、可支持、支持等描述的，均表示方案或参数需要实现的功能或应满足的要求，即项目在验收时无须增加其他额外设备或系统，使用本项目中的设备或系统即能实现相应功能或满足相关要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5、针对招标文件产品技术参数如涉及相关既定值、单向范围值、区间范围值的，投标技术参数响应方式举例说明如下：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检验（检测）报告要求具有CMA、CNAS等标识的，若有材料证明相关检测事项不在实施该项检测的机构许可（认可）CMA、CNAS等资质范围或检测范围内的，该检验（检测）报告视为不满足招标文件要求，作负偏离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7、相关证明材料的产品名称与招标文件要求的名称不完全一致的，需提供为同种产品的说明；若名称不完全一致又未提供说明的，由评审委员会判定是否符合文件要求。</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45"/>
        <w:gridCol w:w="1139"/>
        <w:gridCol w:w="6872"/>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0"/>
          <w:jc w:val="center"/>
        </w:trPr>
        <w:tc>
          <w:tcPr>
            <w:tcW w:w="477" w:type="pct"/>
            <w:noWrap w:val="0"/>
            <w:vAlign w:val="bottom"/>
          </w:tcPr>
          <w:p>
            <w:pPr>
              <w:keepNext w:val="0"/>
              <w:keepLines w:val="0"/>
              <w:pageBreakBefore w:val="0"/>
              <w:kinsoku/>
              <w:wordWrap/>
              <w:overflowPunct/>
              <w:topLinePunct w:val="0"/>
              <w:autoSpaceDE/>
              <w:autoSpaceDN/>
              <w:bidi w:val="0"/>
              <w:adjustRightInd/>
              <w:snapToGrid/>
              <w:spacing w:beforeAutospacing="0" w:afterAutospacing="0" w:line="360" w:lineRule="auto"/>
              <w:ind w:left="0" w:right="0" w:firstLine="0" w:leftChars="0" w:rightChars="0" w:firstLineChars="0"/>
              <w:jc w:val="center"/>
              <w:textAlignment w:val="auto"/>
              <w:rPr>
                <w:rFonts w:ascii="宋体" w:eastAsia="宋体" w:hAnsi="宋体" w:cs="宋体" w:hint="eastAsia"/>
                <w:b/>
                <w:bCs/>
                <w:sz w:val="21"/>
                <w:szCs w:val="21"/>
                <w:lang w:eastAsia="zh-CN"/>
              </w:rPr>
            </w:pPr>
            <w:r>
              <w:rPr>
                <w:rFonts w:ascii="宋体" w:eastAsia="宋体" w:hAnsi="宋体" w:cs="宋体" w:hint="eastAsia"/>
                <w:b/>
                <w:bCs/>
                <w:color w:val="000000"/>
                <w:sz w:val="21"/>
                <w:szCs w:val="21"/>
              </w:rPr>
              <w:t>序号</w:t>
            </w:r>
          </w:p>
        </w:tc>
        <w:tc>
          <w:tcPr>
            <w:tcW w:w="643" w:type="pct"/>
            <w:noWrap w:val="0"/>
            <w:vAlign w:val="bottom"/>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leftChars="0" w:rightChars="0" w:firstLineChars="0"/>
              <w:jc w:val="center"/>
              <w:textAlignment w:val="auto"/>
              <w:rPr>
                <w:rFonts w:ascii="宋体" w:eastAsia="宋体" w:hAnsi="宋体" w:cs="宋体" w:hint="eastAsia"/>
                <w:b/>
                <w:bCs/>
                <w:kern w:val="2"/>
                <w:sz w:val="21"/>
                <w:szCs w:val="21"/>
                <w:lang w:eastAsia="zh-CN"/>
              </w:rPr>
            </w:pPr>
            <w:r>
              <w:rPr>
                <w:rFonts w:ascii="宋体" w:eastAsia="宋体" w:hAnsi="宋体" w:cs="宋体" w:hint="eastAsia"/>
                <w:b/>
                <w:bCs/>
                <w:color w:val="000000"/>
                <w:sz w:val="21"/>
                <w:szCs w:val="21"/>
              </w:rPr>
              <w:t>货物名称</w:t>
            </w:r>
          </w:p>
        </w:tc>
        <w:tc>
          <w:tcPr>
            <w:tcW w:w="3878" w:type="pct"/>
            <w:noWrap w:val="0"/>
            <w:vAlign w:val="bottom"/>
          </w:tcPr>
          <w:p>
            <w:pPr>
              <w:keepNext w:val="0"/>
              <w:keepLines w:val="0"/>
              <w:pageBreakBefore w:val="0"/>
              <w:kinsoku/>
              <w:wordWrap/>
              <w:overflowPunct/>
              <w:topLinePunct w:val="0"/>
              <w:autoSpaceDE/>
              <w:autoSpaceDN/>
              <w:bidi w:val="0"/>
              <w:adjustRightInd/>
              <w:snapToGrid/>
              <w:spacing w:beforeAutospacing="0" w:afterAutospacing="0" w:line="360" w:lineRule="auto"/>
              <w:ind w:left="0" w:right="0" w:firstLine="0" w:leftChars="0" w:rightChars="0" w:firstLineChars="0"/>
              <w:jc w:val="center"/>
              <w:textAlignment w:val="auto"/>
              <w:rPr>
                <w:rFonts w:ascii="宋体" w:eastAsia="宋体" w:hAnsi="宋体" w:cs="宋体" w:hint="eastAsia"/>
                <w:b/>
                <w:bCs/>
                <w:kern w:val="2"/>
                <w:sz w:val="21"/>
                <w:szCs w:val="21"/>
                <w:lang w:eastAsia="zh-CN"/>
              </w:rPr>
            </w:pPr>
            <w:r>
              <w:rPr>
                <w:rFonts w:ascii="宋体" w:eastAsia="宋体" w:hAnsi="宋体" w:cs="宋体" w:hint="eastAsia"/>
                <w:b/>
                <w:bCs/>
                <w:color w:val="000000"/>
                <w:sz w:val="21"/>
                <w:szCs w:val="21"/>
              </w:rPr>
              <w:t>招标技术要求</w:t>
            </w:r>
          </w:p>
        </w:tc>
      </w:tr>
      <w:tr>
        <w:tblPrEx>
          <w:tblW w:w="5000" w:type="pct"/>
          <w:jc w:val="center"/>
          <w:tblLayout w:type="fixed"/>
          <w:tblCellMar>
            <w:top w:w="0" w:type="dxa"/>
            <w:left w:w="108" w:type="dxa"/>
            <w:bottom w:w="0" w:type="dxa"/>
            <w:right w:w="108" w:type="dxa"/>
          </w:tblCellMar>
        </w:tblPrEx>
        <w:trPr>
          <w:trHeight w:val="90"/>
          <w:jc w:val="center"/>
        </w:trPr>
        <w:tc>
          <w:tcPr>
            <w:tcW w:w="477"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1</w:t>
            </w:r>
          </w:p>
        </w:tc>
        <w:tc>
          <w:tcPr>
            <w:tcW w:w="643"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lang w:eastAsia="zh-CN" w:bidi="ar"/>
              </w:rPr>
              <w:t>充气式升温系统</w:t>
            </w: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1.具备充热空气式加热方式为病人提供保温及升温</w:t>
            </w:r>
          </w:p>
        </w:tc>
      </w:tr>
      <w:tr>
        <w:tblPrEx>
          <w:tblW w:w="5000" w:type="pct"/>
          <w:jc w:val="center"/>
          <w:tblLayout w:type="fixed"/>
          <w:tblCellMar>
            <w:top w:w="0" w:type="dxa"/>
            <w:left w:w="108" w:type="dxa"/>
            <w:bottom w:w="0" w:type="dxa"/>
            <w:right w:w="108" w:type="dxa"/>
          </w:tblCellMar>
        </w:tblPrEx>
        <w:trPr>
          <w:trHeight w:val="850"/>
          <w:jc w:val="center"/>
        </w:trPr>
        <w:tc>
          <w:tcPr>
            <w:tcW w:w="477" w:type="pct"/>
            <w:vMerge/>
            <w:noWrap w:val="0"/>
            <w:vAlign w:val="center"/>
          </w:tcPr>
          <w:p>
            <w:pPr>
              <w:spacing w:line="360" w:lineRule="auto"/>
              <w:ind w:leftChars="0"/>
              <w:jc w:val="both"/>
            </w:pPr>
          </w:p>
        </w:tc>
        <w:tc>
          <w:tcPr>
            <w:tcW w:w="643" w:type="pct"/>
            <w:vMerge/>
            <w:noWrap w:val="0"/>
            <w:vAlign w:val="center"/>
          </w:tcPr>
          <w:p>
            <w:pPr>
              <w:spacing w:line="360" w:lineRule="auto"/>
              <w:ind w:leftChars="0"/>
              <w:jc w:val="both"/>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2.≥5档温度可调节，包括但不限于室温、32℃、35℃、38℃、41℃，温度档位都有对应的快捷机械按键</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Chars="0"/>
              <w:jc w:val="both"/>
            </w:pPr>
          </w:p>
        </w:tc>
        <w:tc>
          <w:tcPr>
            <w:tcW w:w="643" w:type="pct"/>
            <w:vMerge/>
            <w:noWrap w:val="0"/>
            <w:vAlign w:val="center"/>
          </w:tcPr>
          <w:p>
            <w:pPr>
              <w:spacing w:line="360" w:lineRule="auto"/>
              <w:ind w:leftChars="0"/>
              <w:jc w:val="both"/>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3.▲≥3档风量可调节，高风量≥30CFM，中风量 ≥28CFM，低风量≥25CFM，档位都有对应的快捷机械按键。</w:t>
            </w:r>
            <w:r>
              <w:rPr>
                <w:rFonts w:ascii="宋体" w:eastAsia="宋体" w:hAnsi="宋体" w:cs="宋体" w:hint="eastAsia"/>
                <w:b/>
                <w:bCs/>
                <w:color w:val="FF0000"/>
                <w:sz w:val="21"/>
                <w:szCs w:val="21"/>
                <w:lang w:eastAsia="zh-CN"/>
              </w:rPr>
              <w:t>（需提供产品的技术文件或彩页或操作截图或具有CMA或CNAS标识的检验报告扫描件）</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Chars="0"/>
              <w:jc w:val="both"/>
            </w:pPr>
          </w:p>
        </w:tc>
        <w:tc>
          <w:tcPr>
            <w:tcW w:w="643" w:type="pct"/>
            <w:vMerge/>
            <w:noWrap w:val="0"/>
            <w:vAlign w:val="center"/>
          </w:tcPr>
          <w:p>
            <w:pPr>
              <w:spacing w:line="360" w:lineRule="auto"/>
              <w:ind w:leftChars="0"/>
              <w:jc w:val="both"/>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4.≥2.8寸OLED显示屏，分辨率≥256*64，可同时显示治疗温度及治疗时间</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5.▲0.3μm高效过滤，过滤效率≥99.2%，过滤器使用时长≥1000h</w:t>
            </w:r>
            <w:r>
              <w:rPr>
                <w:rFonts w:ascii="宋体" w:eastAsia="宋体" w:hAnsi="宋体" w:cs="宋体" w:hint="eastAsia"/>
                <w:b/>
                <w:bCs/>
                <w:color w:val="FF0000"/>
                <w:sz w:val="21"/>
                <w:szCs w:val="21"/>
                <w:lang w:eastAsia="zh-CN"/>
              </w:rPr>
              <w:t>（需提供产品的技术文件或彩页或操作截图或具有CMA或CNAS标识的检验报告扫描件）</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6.温度传感器≥3个，可进行连续监测系统温度，</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7.设备具有开机自检功能</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8.温度超过43℃时，有指示灯闪烁，并在屏幕上显示“超温”，发出报警声，仪器停止加热</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9.多种声、光、电、图文报警提示，包括但不限于温度差异报警、信号异常报警、更换过滤器报警、未到设定温度报警、存储设备异常报警等</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10.加温时间≤5min</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11.噪声≤52分贝</w:t>
            </w:r>
          </w:p>
        </w:tc>
      </w:tr>
      <w:tr>
        <w:tblPrEx>
          <w:tblW w:w="5000" w:type="pct"/>
          <w:jc w:val="center"/>
          <w:tblLayout w:type="fixed"/>
          <w:tblCellMar>
            <w:top w:w="0" w:type="dxa"/>
            <w:left w:w="108" w:type="dxa"/>
            <w:bottom w:w="0" w:type="dxa"/>
            <w:right w:w="108" w:type="dxa"/>
          </w:tblCellMar>
        </w:tblPrEx>
        <w:trPr>
          <w:trHeight w:val="716"/>
          <w:jc w:val="center"/>
        </w:trPr>
        <w:tc>
          <w:tcPr>
            <w:tcW w:w="477"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lang w:eastAsia="zh-CN" w:bidi="ar"/>
              </w:rPr>
              <w:t>2</w:t>
            </w:r>
          </w:p>
        </w:tc>
        <w:tc>
          <w:tcPr>
            <w:tcW w:w="643"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lang w:eastAsia="zh-CN" w:bidi="ar"/>
              </w:rPr>
              <w:t>医用输血输液加温器</w:t>
            </w: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1.主机结构：具备一体化支架提手，方便移动仪器和固定加热管；</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pPr>
          </w:p>
        </w:tc>
        <w:tc>
          <w:tcPr>
            <w:tcW w:w="643" w:type="pct"/>
            <w:vMerge/>
            <w:noWrap w:val="0"/>
            <w:vAlign w:val="center"/>
          </w:tcPr>
          <w:p>
            <w:pPr>
              <w:spacing w:line="360" w:lineRule="auto"/>
              <w:ind w:left="0" w:firstLine="0" w:leftChars="0" w:firstLineChars="0"/>
              <w:jc w:val="both"/>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2.加热模式：全程包裹式加温，液体管路无裸露部分，加温后液体直接输入人体，热量不流失；</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pPr>
          </w:p>
        </w:tc>
        <w:tc>
          <w:tcPr>
            <w:tcW w:w="643" w:type="pct"/>
            <w:vMerge/>
            <w:noWrap w:val="0"/>
            <w:vAlign w:val="center"/>
          </w:tcPr>
          <w:p>
            <w:pPr>
              <w:spacing w:line="360" w:lineRule="auto"/>
              <w:ind w:left="0" w:firstLine="0" w:leftChars="0" w:firstLineChars="0"/>
              <w:jc w:val="both"/>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3.▲温度可调范围： 33℃-41℃，连续可调，增率0.1℃，控温精度为0.1℃；</w:t>
            </w:r>
            <w:r>
              <w:rPr>
                <w:rFonts w:ascii="宋体" w:eastAsia="宋体" w:hAnsi="宋体" w:cs="宋体" w:hint="eastAsia"/>
                <w:b/>
                <w:bCs/>
                <w:color w:val="FF0000"/>
                <w:sz w:val="21"/>
                <w:szCs w:val="21"/>
                <w:lang w:eastAsia="zh-CN"/>
              </w:rPr>
              <w:t>（需提供产品的技术文件或彩页或操作截图或具有CMA或CNAS标识的检验报告扫描件）</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4.显示屏：微电脑PID闭环温控系统，配置高亮度彩色显示屏，尺寸≥80*90mm；</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5.按键：非触摸屏，方便消毒，符合感控要求；</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6.▲机器运行时屏幕可同时显示参数包括：加热时间，设定温度，加热温度，高温报警，低温报警，传感器故障；</w:t>
            </w:r>
            <w:r>
              <w:rPr>
                <w:rFonts w:ascii="宋体" w:eastAsia="宋体" w:hAnsi="宋体" w:cs="宋体" w:hint="eastAsia"/>
                <w:b/>
                <w:bCs/>
                <w:color w:val="FF0000"/>
                <w:sz w:val="21"/>
                <w:szCs w:val="21"/>
                <w:lang w:eastAsia="zh-CN"/>
              </w:rPr>
              <w:t>（需提供产品的技术文件或彩页或操作截图或具有CMA或CNAS标识的检验报告扫描件）</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7.耗材：直接加温常规输血输液管路，无需特殊耗材；</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8.安全控制：系统内置报警测试功能，在面板操作即可测试报警功能是否正常；</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9.超温断电保护：超过42℃系统声光报警自动停止加热；</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10.低温报警：低于32℃系统声光报警提示低温；</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11.▲加热系统：可同时连接两条加热管，可单独设定每条加热管的温度并恒温控制；</w:t>
            </w:r>
            <w:r>
              <w:rPr>
                <w:rFonts w:ascii="宋体" w:eastAsia="宋体" w:hAnsi="宋体" w:cs="宋体" w:hint="eastAsia"/>
                <w:b/>
                <w:bCs/>
                <w:color w:val="FF0000"/>
                <w:sz w:val="21"/>
                <w:szCs w:val="21"/>
                <w:lang w:eastAsia="zh-CN"/>
              </w:rPr>
              <w:t>（需提供产品的技术文件或彩页或操作截图或具有CMA或CNAS标识的检验报告扫描件）</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12.预热时间：从20℃-36℃小于2分钟；</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13.加热管结构：三腔硅胶柔性加热套管，集成4组发热丝，二组独立温度传感器；</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14.▲加温管尾部开口≥45°，扩口设计；</w:t>
            </w:r>
            <w:r>
              <w:rPr>
                <w:rFonts w:ascii="宋体" w:eastAsia="宋体" w:hAnsi="宋体" w:cs="宋体" w:hint="eastAsia"/>
                <w:b/>
                <w:bCs/>
                <w:color w:val="FF0000"/>
                <w:sz w:val="21"/>
                <w:szCs w:val="21"/>
                <w:lang w:eastAsia="zh-CN"/>
              </w:rPr>
              <w:t>（需提供产品的技术文件或彩页或操作截图或具有CMA或CNAS标识的检验报告扫描件）</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15.两条加热管串联使用可满足大流量加温需要；</w:t>
            </w:r>
          </w:p>
        </w:tc>
      </w:tr>
      <w:tr>
        <w:tblPrEx>
          <w:tblW w:w="5000" w:type="pct"/>
          <w:jc w:val="center"/>
          <w:tblLayout w:type="fixed"/>
          <w:tblCellMar>
            <w:top w:w="0" w:type="dxa"/>
            <w:left w:w="108" w:type="dxa"/>
            <w:bottom w:w="0" w:type="dxa"/>
            <w:right w:w="108" w:type="dxa"/>
          </w:tblCellMar>
        </w:tblPrEx>
        <w:trPr>
          <w:trHeight w:val="53"/>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16.加热管可选长度≥10种，包括但不限于0.5米，0.6米，0.9米，1.0米，1.2米，1.4米，1.5米，1.8米，2.4米，2.8米；</w:t>
            </w:r>
          </w:p>
        </w:tc>
      </w:tr>
      <w:tr>
        <w:tblPrEx>
          <w:tblW w:w="5000" w:type="pct"/>
          <w:jc w:val="center"/>
          <w:tblLayout w:type="fixed"/>
          <w:tblCellMar>
            <w:top w:w="0" w:type="dxa"/>
            <w:left w:w="108" w:type="dxa"/>
            <w:bottom w:w="0" w:type="dxa"/>
            <w:right w:w="108" w:type="dxa"/>
          </w:tblCellMar>
        </w:tblPrEx>
        <w:trPr>
          <w:trHeight w:val="90"/>
          <w:jc w:val="center"/>
        </w:trPr>
        <w:tc>
          <w:tcPr>
            <w:tcW w:w="477"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lang w:eastAsia="zh-CN" w:bidi="ar"/>
              </w:rPr>
              <w:t>3</w:t>
            </w:r>
          </w:p>
        </w:tc>
        <w:tc>
          <w:tcPr>
            <w:tcW w:w="643"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lang w:eastAsia="zh-CN" w:bidi="ar"/>
              </w:rPr>
              <w:t>全自动定量免疫检测平台</w:t>
            </w: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1.平台参数：自动化程度一体式全自动，实现免疫印迹法的加样、温育及清洗、到信号识别及结果分析的全自动</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0" w:firstLine="0" w:leftChars="0" w:firstLineChars="0"/>
              <w:jc w:val="both"/>
            </w:pPr>
          </w:p>
        </w:tc>
        <w:tc>
          <w:tcPr>
            <w:tcW w:w="643" w:type="pct"/>
            <w:vMerge/>
            <w:noWrap w:val="0"/>
            <w:vAlign w:val="center"/>
          </w:tcPr>
          <w:p>
            <w:pPr>
              <w:spacing w:line="360" w:lineRule="auto"/>
              <w:ind w:left="0" w:firstLine="0" w:leftChars="0" w:firstLineChars="0"/>
              <w:jc w:val="both"/>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2.▲样本模块：样本位</w:t>
            </w:r>
            <w:r>
              <w:rPr>
                <w:rFonts w:ascii="宋体" w:eastAsia="宋体" w:hAnsi="宋体" w:cs="宋体" w:hint="eastAsia"/>
                <w:sz w:val="21"/>
                <w:szCs w:val="21"/>
                <w:lang w:eastAsia="zh-CN"/>
              </w:rPr>
              <w:tab/>
            </w:r>
            <w:r>
              <w:rPr>
                <w:rFonts w:ascii="宋体" w:eastAsia="宋体" w:hAnsi="宋体" w:cs="宋体" w:hint="eastAsia"/>
                <w:sz w:val="21"/>
                <w:szCs w:val="21"/>
                <w:lang w:eastAsia="zh-CN"/>
              </w:rPr>
              <w:t>≥140个，试剂位≥12个</w:t>
            </w:r>
            <w:r>
              <w:rPr>
                <w:rFonts w:ascii="宋体" w:eastAsia="宋体" w:hAnsi="宋体" w:cs="宋体" w:hint="eastAsia"/>
                <w:b/>
                <w:bCs/>
                <w:color w:val="FF0000"/>
                <w:sz w:val="21"/>
                <w:szCs w:val="21"/>
                <w:lang w:eastAsia="zh-CN"/>
              </w:rPr>
              <w:t>（需提供产品的技术文件或彩页或操作截图或具有CMA或CNAS标识的检验报告扫描件）</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3.试剂稀释方式：可自动稀释，现用现稀释</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4.加吸液模块：分液通道数≥16个，废液残留量&lt;20 μl</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5.废液系统：带有液位探测传感器</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6.加样模块：</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6.1加样方式</w:t>
            </w:r>
            <w:r>
              <w:rPr>
                <w:rFonts w:ascii="宋体" w:eastAsia="宋体" w:hAnsi="宋体" w:cs="宋体" w:hint="eastAsia"/>
                <w:sz w:val="21"/>
                <w:szCs w:val="21"/>
                <w:lang w:eastAsia="zh-CN"/>
              </w:rPr>
              <w:tab/>
            </w:r>
            <w:r>
              <w:rPr>
                <w:rFonts w:ascii="宋体" w:eastAsia="宋体" w:hAnsi="宋体" w:cs="宋体" w:hint="eastAsia"/>
                <w:sz w:val="21"/>
                <w:szCs w:val="21"/>
                <w:lang w:eastAsia="zh-CN"/>
              </w:rPr>
              <w:t>一次性Tip头</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6.2加样体积</w:t>
            </w:r>
            <w:r>
              <w:rPr>
                <w:rFonts w:ascii="宋体" w:eastAsia="宋体" w:hAnsi="宋体" w:cs="宋体" w:hint="eastAsia"/>
                <w:sz w:val="21"/>
                <w:szCs w:val="21"/>
                <w:lang w:eastAsia="zh-CN"/>
              </w:rPr>
              <w:tab/>
            </w:r>
            <w:r>
              <w:rPr>
                <w:rFonts w:ascii="宋体" w:eastAsia="宋体" w:hAnsi="宋体" w:cs="宋体" w:hint="eastAsia"/>
                <w:sz w:val="21"/>
                <w:szCs w:val="21"/>
                <w:lang w:eastAsia="zh-CN"/>
              </w:rPr>
              <w:t>10μl-1ml，加样精度1ul</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6.3加样准确性</w:t>
            </w:r>
            <w:r>
              <w:rPr>
                <w:rFonts w:ascii="宋体" w:eastAsia="宋体" w:hAnsi="宋体" w:cs="宋体" w:hint="eastAsia"/>
                <w:sz w:val="21"/>
                <w:szCs w:val="21"/>
                <w:lang w:eastAsia="zh-CN"/>
              </w:rPr>
              <w:tab/>
            </w:r>
            <w:r>
              <w:rPr>
                <w:rFonts w:ascii="宋体" w:eastAsia="宋体" w:hAnsi="宋体" w:cs="宋体" w:hint="eastAsia"/>
                <w:sz w:val="21"/>
                <w:szCs w:val="21"/>
                <w:lang w:eastAsia="zh-CN"/>
              </w:rPr>
              <w:t>10μl时相对偏差＜±5%；100μl时相对偏差＜±2%</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6.4加样重复性</w:t>
            </w:r>
            <w:r>
              <w:rPr>
                <w:rFonts w:ascii="宋体" w:eastAsia="宋体" w:hAnsi="宋体" w:cs="宋体" w:hint="eastAsia"/>
                <w:sz w:val="21"/>
                <w:szCs w:val="21"/>
                <w:lang w:eastAsia="zh-CN"/>
              </w:rPr>
              <w:tab/>
            </w:r>
            <w:r>
              <w:rPr>
                <w:rFonts w:ascii="宋体" w:eastAsia="宋体" w:hAnsi="宋体" w:cs="宋体" w:hint="eastAsia"/>
                <w:sz w:val="21"/>
                <w:szCs w:val="21"/>
                <w:lang w:eastAsia="zh-CN"/>
              </w:rPr>
              <w:t>10μl时CV＜3%；100μl时CV＜1%</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7.温育反应模块</w:t>
            </w:r>
            <w:r>
              <w:rPr>
                <w:rFonts w:ascii="宋体" w:eastAsia="宋体" w:hAnsi="宋体" w:cs="宋体" w:hint="eastAsia"/>
                <w:sz w:val="21"/>
                <w:szCs w:val="21"/>
                <w:lang w:eastAsia="zh-CN"/>
              </w:rPr>
              <w:tab/>
            </w:r>
            <w:r>
              <w:rPr>
                <w:rFonts w:ascii="宋体" w:eastAsia="宋体" w:hAnsi="宋体" w:cs="宋体" w:hint="eastAsia"/>
                <w:sz w:val="21"/>
                <w:szCs w:val="21"/>
                <w:lang w:eastAsia="zh-CN"/>
              </w:rPr>
              <w:t>　</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7.1反应模块数量≥2个独立反应模块</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7.2反应位≥100个</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7.3多参数检测能力≥15个结果/样本</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7.4杂项整合能力：支持两种以上不同流程的检测项目同时上机检测，每个反应模块支持多个同流程检测项目同时上机检测</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7.5温育方式至少三种温育方式：快速、中速、慢速</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7.6反应过程控制可暂停和跳步</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8.干燥模块</w:t>
            </w:r>
            <w:r>
              <w:rPr>
                <w:rFonts w:ascii="宋体" w:eastAsia="宋体" w:hAnsi="宋体" w:cs="宋体" w:hint="eastAsia"/>
                <w:sz w:val="21"/>
                <w:szCs w:val="21"/>
                <w:lang w:eastAsia="zh-CN"/>
              </w:rPr>
              <w:tab/>
            </w:r>
            <w:r>
              <w:rPr>
                <w:rFonts w:ascii="宋体" w:eastAsia="宋体" w:hAnsi="宋体" w:cs="宋体" w:hint="eastAsia"/>
                <w:sz w:val="21"/>
                <w:szCs w:val="21"/>
                <w:lang w:eastAsia="zh-CN"/>
              </w:rPr>
              <w:t>　</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8.1风干时间：可自定义的自动风干功能；</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8.2完成50个反应条带的风干时间＜30min</w:t>
            </w:r>
          </w:p>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8.3风干方式：</w:t>
            </w:r>
            <w:r>
              <w:rPr>
                <w:rFonts w:ascii="宋体" w:eastAsia="宋体" w:hAnsi="宋体" w:cs="宋体" w:hint="eastAsia"/>
                <w:sz w:val="21"/>
                <w:szCs w:val="21"/>
                <w:lang w:eastAsia="zh-CN"/>
              </w:rPr>
              <w:tab/>
            </w:r>
            <w:r>
              <w:rPr>
                <w:rFonts w:ascii="宋体" w:eastAsia="宋体" w:hAnsi="宋体" w:cs="宋体" w:hint="eastAsia"/>
                <w:sz w:val="21"/>
                <w:szCs w:val="21"/>
                <w:lang w:eastAsia="zh-CN"/>
              </w:rPr>
              <w:t>室温批量风干</w:t>
            </w:r>
          </w:p>
        </w:tc>
      </w:tr>
      <w:tr>
        <w:tblPrEx>
          <w:tblW w:w="5000" w:type="pct"/>
          <w:jc w:val="center"/>
          <w:tblLayout w:type="fixed"/>
          <w:tblCellMar>
            <w:top w:w="0" w:type="dxa"/>
            <w:left w:w="108" w:type="dxa"/>
            <w:bottom w:w="0" w:type="dxa"/>
            <w:right w:w="108" w:type="dxa"/>
          </w:tblCellMar>
        </w:tblPrEx>
        <w:trPr>
          <w:trHeight w:val="44"/>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9.信号识别模块具备CCD 单色传感器</w:t>
            </w:r>
          </w:p>
        </w:tc>
      </w:tr>
      <w:tr>
        <w:tblPrEx>
          <w:tblW w:w="5000" w:type="pct"/>
          <w:jc w:val="center"/>
          <w:tblLayout w:type="fixed"/>
          <w:tblCellMar>
            <w:top w:w="0" w:type="dxa"/>
            <w:left w:w="108" w:type="dxa"/>
            <w:bottom w:w="0" w:type="dxa"/>
            <w:right w:w="108" w:type="dxa"/>
          </w:tblCellMar>
        </w:tblPrEx>
        <w:trPr>
          <w:trHeight w:val="90"/>
          <w:jc w:val="center"/>
        </w:trPr>
        <w:tc>
          <w:tcPr>
            <w:tcW w:w="477"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lang w:eastAsia="zh-CN" w:bidi="ar"/>
              </w:rPr>
              <w:t>4</w:t>
            </w:r>
          </w:p>
        </w:tc>
        <w:tc>
          <w:tcPr>
            <w:tcW w:w="643"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lang w:eastAsia="zh-CN" w:bidi="ar"/>
              </w:rPr>
              <w:t>红外电热灭菌器</w:t>
            </w: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1.可消毒口径≤20mm</w:t>
            </w:r>
          </w:p>
        </w:tc>
      </w:tr>
      <w:tr>
        <w:tblPrEx>
          <w:tblW w:w="5000" w:type="pct"/>
          <w:jc w:val="center"/>
          <w:tblLayout w:type="fixed"/>
          <w:tblCellMar>
            <w:top w:w="0" w:type="dxa"/>
            <w:left w:w="108" w:type="dxa"/>
            <w:bottom w:w="0" w:type="dxa"/>
            <w:right w:w="108" w:type="dxa"/>
          </w:tblCellMar>
        </w:tblPrEx>
        <w:trPr>
          <w:trHeight w:val="199"/>
          <w:jc w:val="center"/>
        </w:trPr>
        <w:tc>
          <w:tcPr>
            <w:tcW w:w="477" w:type="pct"/>
            <w:vMerge/>
            <w:noWrap w:val="0"/>
            <w:vAlign w:val="center"/>
          </w:tcPr>
          <w:p>
            <w:pPr>
              <w:spacing w:line="360" w:lineRule="auto"/>
              <w:ind w:leftChars="0"/>
              <w:jc w:val="both"/>
            </w:pPr>
          </w:p>
        </w:tc>
        <w:tc>
          <w:tcPr>
            <w:tcW w:w="643" w:type="pct"/>
            <w:vMerge/>
            <w:noWrap w:val="0"/>
            <w:vAlign w:val="center"/>
          </w:tcPr>
          <w:p>
            <w:pPr>
              <w:spacing w:line="360" w:lineRule="auto"/>
              <w:ind w:leftChars="0"/>
              <w:jc w:val="both"/>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2.具备加热器角度调节</w:t>
            </w:r>
          </w:p>
        </w:tc>
      </w:tr>
      <w:tr>
        <w:tblPrEx>
          <w:tblW w:w="5000" w:type="pct"/>
          <w:jc w:val="center"/>
          <w:tblLayout w:type="fixed"/>
          <w:tblCellMar>
            <w:top w:w="0" w:type="dxa"/>
            <w:left w:w="108" w:type="dxa"/>
            <w:bottom w:w="0" w:type="dxa"/>
            <w:right w:w="108" w:type="dxa"/>
          </w:tblCellMar>
        </w:tblPrEx>
        <w:trPr>
          <w:trHeight w:val="199"/>
          <w:jc w:val="center"/>
        </w:trPr>
        <w:tc>
          <w:tcPr>
            <w:tcW w:w="477" w:type="pct"/>
            <w:vMerge/>
            <w:noWrap w:val="0"/>
            <w:vAlign w:val="center"/>
          </w:tcPr>
          <w:p>
            <w:pPr>
              <w:spacing w:line="360" w:lineRule="auto"/>
              <w:ind w:leftChars="0"/>
              <w:jc w:val="both"/>
            </w:pPr>
          </w:p>
        </w:tc>
        <w:tc>
          <w:tcPr>
            <w:tcW w:w="643" w:type="pct"/>
            <w:vMerge/>
            <w:noWrap w:val="0"/>
            <w:vAlign w:val="center"/>
          </w:tcPr>
          <w:p>
            <w:pPr>
              <w:spacing w:line="360" w:lineRule="auto"/>
              <w:ind w:leftChars="0"/>
              <w:jc w:val="both"/>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3.加热器可在120°范围内任意调节角度：</w:t>
            </w:r>
          </w:p>
        </w:tc>
      </w:tr>
      <w:tr>
        <w:tblPrEx>
          <w:tblW w:w="5000" w:type="pct"/>
          <w:jc w:val="center"/>
          <w:tblLayout w:type="fixed"/>
          <w:tblCellMar>
            <w:top w:w="0" w:type="dxa"/>
            <w:left w:w="108" w:type="dxa"/>
            <w:bottom w:w="0" w:type="dxa"/>
            <w:right w:w="108" w:type="dxa"/>
          </w:tblCellMar>
        </w:tblPrEx>
        <w:trPr>
          <w:trHeight w:val="41"/>
          <w:jc w:val="center"/>
        </w:trPr>
        <w:tc>
          <w:tcPr>
            <w:tcW w:w="477" w:type="pct"/>
            <w:vMerge/>
            <w:noWrap w:val="0"/>
            <w:vAlign w:val="center"/>
          </w:tcPr>
          <w:p>
            <w:pPr>
              <w:spacing w:line="360" w:lineRule="auto"/>
              <w:ind w:leftChars="0"/>
              <w:jc w:val="both"/>
            </w:pPr>
          </w:p>
        </w:tc>
        <w:tc>
          <w:tcPr>
            <w:tcW w:w="643" w:type="pct"/>
            <w:vMerge/>
            <w:noWrap w:val="0"/>
            <w:vAlign w:val="center"/>
          </w:tcPr>
          <w:p>
            <w:pPr>
              <w:spacing w:line="360" w:lineRule="auto"/>
              <w:ind w:leftChars="0"/>
              <w:jc w:val="both"/>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4.最大俯角45°至最大仰角75°</w:t>
            </w:r>
          </w:p>
        </w:tc>
      </w:tr>
      <w:tr>
        <w:tblPrEx>
          <w:tblW w:w="5000" w:type="pct"/>
          <w:jc w:val="center"/>
          <w:tblLayout w:type="fixed"/>
          <w:tblCellMar>
            <w:top w:w="0" w:type="dxa"/>
            <w:left w:w="108" w:type="dxa"/>
            <w:bottom w:w="0" w:type="dxa"/>
            <w:right w:w="108" w:type="dxa"/>
          </w:tblCellMar>
        </w:tblPrEx>
        <w:trPr>
          <w:trHeight w:val="41"/>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5.加热至最高温度时间：</w:t>
            </w:r>
            <w:r>
              <w:rPr>
                <w:rFonts w:ascii="宋体" w:eastAsia="宋体" w:hAnsi="宋体" w:cs="宋体" w:hint="eastAsia"/>
                <w:sz w:val="21"/>
                <w:szCs w:val="21"/>
                <w:lang w:eastAsia="zh-CN"/>
              </w:rPr>
              <w:t>≤</w:t>
            </w:r>
            <w:r>
              <w:rPr>
                <w:rFonts w:ascii="宋体" w:eastAsia="宋体" w:hAnsi="宋体" w:cs="宋体" w:hint="eastAsia"/>
                <w:sz w:val="21"/>
                <w:szCs w:val="21"/>
                <w:lang w:eastAsia="zh-CN"/>
              </w:rPr>
              <w:t>20min</w:t>
            </w:r>
          </w:p>
        </w:tc>
      </w:tr>
      <w:tr>
        <w:tblPrEx>
          <w:tblW w:w="5000" w:type="pct"/>
          <w:jc w:val="center"/>
          <w:tblLayout w:type="fixed"/>
          <w:tblCellMar>
            <w:top w:w="0" w:type="dxa"/>
            <w:left w:w="108" w:type="dxa"/>
            <w:bottom w:w="0" w:type="dxa"/>
            <w:right w:w="108" w:type="dxa"/>
          </w:tblCellMar>
        </w:tblPrEx>
        <w:trPr>
          <w:trHeight w:val="41"/>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6.最高温度</w:t>
            </w:r>
            <w:r>
              <w:rPr>
                <w:rFonts w:ascii="宋体" w:eastAsia="宋体" w:hAnsi="宋体" w:cs="宋体" w:hint="eastAsia"/>
                <w:sz w:val="21"/>
                <w:szCs w:val="21"/>
                <w:lang w:eastAsia="zh-CN"/>
              </w:rPr>
              <w:tab/>
            </w:r>
            <w:r>
              <w:rPr>
                <w:rFonts w:ascii="宋体" w:eastAsia="宋体" w:hAnsi="宋体" w:cs="宋体" w:hint="eastAsia"/>
                <w:sz w:val="21"/>
                <w:szCs w:val="21"/>
                <w:lang w:eastAsia="zh-CN"/>
              </w:rPr>
              <w:t>930 ±30℃</w:t>
            </w:r>
          </w:p>
        </w:tc>
      </w:tr>
      <w:tr>
        <w:tblPrEx>
          <w:tblW w:w="5000" w:type="pct"/>
          <w:jc w:val="center"/>
          <w:tblLayout w:type="fixed"/>
          <w:tblCellMar>
            <w:top w:w="0" w:type="dxa"/>
            <w:left w:w="108" w:type="dxa"/>
            <w:bottom w:w="0" w:type="dxa"/>
            <w:right w:w="108" w:type="dxa"/>
          </w:tblCellMar>
        </w:tblPrEx>
        <w:trPr>
          <w:trHeight w:val="41"/>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7.待机温度≥600℃</w:t>
            </w:r>
          </w:p>
        </w:tc>
      </w:tr>
      <w:tr>
        <w:tblPrEx>
          <w:tblW w:w="5000" w:type="pct"/>
          <w:jc w:val="center"/>
          <w:tblLayout w:type="fixed"/>
          <w:tblCellMar>
            <w:top w:w="0" w:type="dxa"/>
            <w:left w:w="108" w:type="dxa"/>
            <w:bottom w:w="0" w:type="dxa"/>
            <w:right w:w="108" w:type="dxa"/>
          </w:tblCellMar>
        </w:tblPrEx>
        <w:trPr>
          <w:trHeight w:val="41"/>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8.电压 ：220V；50Hz；</w:t>
            </w:r>
          </w:p>
        </w:tc>
      </w:tr>
      <w:tr>
        <w:tblPrEx>
          <w:tblW w:w="5000" w:type="pct"/>
          <w:jc w:val="center"/>
          <w:tblLayout w:type="fixed"/>
          <w:tblCellMar>
            <w:top w:w="0" w:type="dxa"/>
            <w:left w:w="108" w:type="dxa"/>
            <w:bottom w:w="0" w:type="dxa"/>
            <w:right w:w="108" w:type="dxa"/>
          </w:tblCellMar>
        </w:tblPrEx>
        <w:trPr>
          <w:trHeight w:val="41"/>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9.额定功率：220W</w:t>
            </w:r>
          </w:p>
        </w:tc>
      </w:tr>
      <w:tr>
        <w:tblPrEx>
          <w:tblW w:w="5000" w:type="pct"/>
          <w:jc w:val="center"/>
          <w:tblLayout w:type="fixed"/>
          <w:tblCellMar>
            <w:top w:w="0" w:type="dxa"/>
            <w:left w:w="108" w:type="dxa"/>
            <w:bottom w:w="0" w:type="dxa"/>
            <w:right w:w="108" w:type="dxa"/>
          </w:tblCellMar>
        </w:tblPrEx>
        <w:trPr>
          <w:trHeight w:val="41"/>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10.保险丝：250V; 3A; Ф5×20</w:t>
            </w:r>
          </w:p>
        </w:tc>
      </w:tr>
      <w:tr>
        <w:tblPrEx>
          <w:tblW w:w="5000" w:type="pct"/>
          <w:jc w:val="center"/>
          <w:tblLayout w:type="fixed"/>
          <w:tblCellMar>
            <w:top w:w="0" w:type="dxa"/>
            <w:left w:w="108" w:type="dxa"/>
            <w:bottom w:w="0" w:type="dxa"/>
            <w:right w:w="108" w:type="dxa"/>
          </w:tblCellMar>
        </w:tblPrEx>
        <w:trPr>
          <w:trHeight w:val="41"/>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11.环境温度:-10℃至40℃ </w:t>
            </w:r>
          </w:p>
        </w:tc>
      </w:tr>
      <w:tr>
        <w:tblPrEx>
          <w:tblW w:w="5000" w:type="pct"/>
          <w:jc w:val="center"/>
          <w:tblLayout w:type="fixed"/>
          <w:tblCellMar>
            <w:top w:w="0" w:type="dxa"/>
            <w:left w:w="108" w:type="dxa"/>
            <w:bottom w:w="0" w:type="dxa"/>
            <w:right w:w="108" w:type="dxa"/>
          </w:tblCellMar>
        </w:tblPrEx>
        <w:trPr>
          <w:trHeight w:val="41"/>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12.相对湿度≤95%</w:t>
            </w:r>
          </w:p>
        </w:tc>
      </w:tr>
      <w:tr>
        <w:tblPrEx>
          <w:tblW w:w="5000" w:type="pct"/>
          <w:jc w:val="center"/>
          <w:tblLayout w:type="fixed"/>
          <w:tblCellMar>
            <w:top w:w="0" w:type="dxa"/>
            <w:left w:w="108" w:type="dxa"/>
            <w:bottom w:w="0" w:type="dxa"/>
            <w:right w:w="108" w:type="dxa"/>
          </w:tblCellMar>
        </w:tblPrEx>
        <w:trPr>
          <w:trHeight w:val="403"/>
          <w:jc w:val="center"/>
        </w:trPr>
        <w:tc>
          <w:tcPr>
            <w:tcW w:w="477"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lang w:eastAsia="zh-CN" w:bidi="ar"/>
              </w:rPr>
              <w:t>5</w:t>
            </w:r>
          </w:p>
        </w:tc>
        <w:tc>
          <w:tcPr>
            <w:tcW w:w="643"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lang w:eastAsia="zh-CN" w:bidi="ar"/>
              </w:rPr>
              <w:t>化学发光免疫分析仪（食物不耐受检测）</w:t>
            </w: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1.环境温度：-10℃至40℃ </w:t>
            </w:r>
          </w:p>
        </w:tc>
      </w:tr>
      <w:tr>
        <w:tblPrEx>
          <w:tblW w:w="5000" w:type="pct"/>
          <w:jc w:val="center"/>
          <w:tblLayout w:type="fixed"/>
          <w:tblCellMar>
            <w:top w:w="0" w:type="dxa"/>
            <w:left w:w="108" w:type="dxa"/>
            <w:bottom w:w="0" w:type="dxa"/>
            <w:right w:w="108" w:type="dxa"/>
          </w:tblCellMar>
        </w:tblPrEx>
        <w:trPr>
          <w:trHeight w:val="132"/>
          <w:jc w:val="center"/>
        </w:trPr>
        <w:tc>
          <w:tcPr>
            <w:tcW w:w="477" w:type="pct"/>
            <w:vMerge/>
            <w:noWrap w:val="0"/>
            <w:vAlign w:val="center"/>
          </w:tcPr>
          <w:p>
            <w:pPr>
              <w:spacing w:line="360" w:lineRule="auto"/>
              <w:ind w:leftChars="0"/>
              <w:jc w:val="both"/>
            </w:pPr>
          </w:p>
        </w:tc>
        <w:tc>
          <w:tcPr>
            <w:tcW w:w="643" w:type="pct"/>
            <w:vMerge/>
            <w:noWrap w:val="0"/>
            <w:vAlign w:val="center"/>
          </w:tcPr>
          <w:p>
            <w:pPr>
              <w:spacing w:line="360" w:lineRule="auto"/>
              <w:ind w:leftChars="0"/>
              <w:jc w:val="both"/>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2.相对湿度：≤95%</w:t>
            </w:r>
          </w:p>
        </w:tc>
      </w:tr>
      <w:tr>
        <w:tblPrEx>
          <w:tblW w:w="5000" w:type="pct"/>
          <w:jc w:val="center"/>
          <w:tblLayout w:type="fixed"/>
          <w:tblCellMar>
            <w:top w:w="0" w:type="dxa"/>
            <w:left w:w="108" w:type="dxa"/>
            <w:bottom w:w="0" w:type="dxa"/>
            <w:right w:w="108" w:type="dxa"/>
          </w:tblCellMar>
        </w:tblPrEx>
        <w:trPr>
          <w:trHeight w:val="132"/>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3.测试速度：恒速120T/H</w:t>
            </w:r>
          </w:p>
        </w:tc>
      </w:tr>
      <w:tr>
        <w:tblPrEx>
          <w:tblW w:w="5000" w:type="pct"/>
          <w:jc w:val="center"/>
          <w:tblLayout w:type="fixed"/>
          <w:tblCellMar>
            <w:top w:w="0" w:type="dxa"/>
            <w:left w:w="108" w:type="dxa"/>
            <w:bottom w:w="0" w:type="dxa"/>
            <w:right w:w="108" w:type="dxa"/>
          </w:tblCellMar>
        </w:tblPrEx>
        <w:trPr>
          <w:trHeight w:val="39"/>
          <w:jc w:val="center"/>
        </w:trPr>
        <w:tc>
          <w:tcPr>
            <w:tcW w:w="477" w:type="pct"/>
            <w:vMerge/>
            <w:noWrap w:val="0"/>
            <w:vAlign w:val="center"/>
          </w:tcPr>
          <w:p>
            <w:pPr>
              <w:spacing w:line="360" w:lineRule="auto"/>
              <w:ind w:leftChars="0"/>
              <w:jc w:val="both"/>
            </w:pPr>
          </w:p>
        </w:tc>
        <w:tc>
          <w:tcPr>
            <w:tcW w:w="643" w:type="pct"/>
            <w:vMerge/>
            <w:noWrap w:val="0"/>
            <w:vAlign w:val="center"/>
          </w:tcPr>
          <w:p>
            <w:pPr>
              <w:spacing w:line="360" w:lineRule="auto"/>
              <w:ind w:leftChars="0"/>
              <w:jc w:val="both"/>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4.检测原理：酶促化学发光</w:t>
            </w:r>
          </w:p>
        </w:tc>
      </w:tr>
      <w:tr>
        <w:tblPrEx>
          <w:tblW w:w="5000" w:type="pct"/>
          <w:jc w:val="center"/>
          <w:tblLayout w:type="fixed"/>
          <w:tblCellMar>
            <w:top w:w="0" w:type="dxa"/>
            <w:left w:w="108" w:type="dxa"/>
            <w:bottom w:w="0" w:type="dxa"/>
            <w:right w:w="108" w:type="dxa"/>
          </w:tblCellMar>
        </w:tblPrEx>
        <w:trPr>
          <w:trHeight w:val="39"/>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5.反应模式：具备夹心法、竞争法、间接法、捕获法等多种反应模式</w:t>
            </w:r>
          </w:p>
        </w:tc>
      </w:tr>
      <w:tr>
        <w:tblPrEx>
          <w:tblW w:w="5000" w:type="pct"/>
          <w:jc w:val="center"/>
          <w:tblLayout w:type="fixed"/>
          <w:tblCellMar>
            <w:top w:w="0" w:type="dxa"/>
            <w:left w:w="108" w:type="dxa"/>
            <w:bottom w:w="0" w:type="dxa"/>
            <w:right w:w="108" w:type="dxa"/>
          </w:tblCellMar>
        </w:tblPrEx>
        <w:trPr>
          <w:trHeight w:val="39"/>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6.测试流程：一步法、两步法、三步法等</w:t>
            </w:r>
          </w:p>
        </w:tc>
      </w:tr>
      <w:tr>
        <w:tblPrEx>
          <w:tblW w:w="5000" w:type="pct"/>
          <w:jc w:val="center"/>
          <w:tblLayout w:type="fixed"/>
          <w:tblCellMar>
            <w:top w:w="0" w:type="dxa"/>
            <w:left w:w="108" w:type="dxa"/>
            <w:bottom w:w="0" w:type="dxa"/>
            <w:right w:w="108" w:type="dxa"/>
          </w:tblCellMar>
        </w:tblPrEx>
        <w:trPr>
          <w:trHeight w:val="39"/>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7.▲定标方法：内置主定标曲线、可2点定标校准，支持6点定标</w:t>
            </w:r>
          </w:p>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样本位：推架进样，一次上机支持60个样本位，支持不间断连续追加，具备样本架自动回流功能。支持急诊优先功能。</w:t>
            </w:r>
            <w:r>
              <w:rPr>
                <w:rFonts w:ascii="宋体" w:eastAsia="宋体" w:hAnsi="宋体" w:cs="宋体" w:hint="eastAsia"/>
                <w:color w:val="FF0000"/>
                <w:sz w:val="21"/>
                <w:szCs w:val="21"/>
                <w:lang w:eastAsia="zh-CN"/>
              </w:rPr>
              <w:t>（</w:t>
            </w:r>
            <w:r>
              <w:rPr>
                <w:rFonts w:ascii="宋体" w:eastAsia="宋体" w:hAnsi="宋体" w:cs="宋体" w:hint="eastAsia"/>
                <w:b/>
                <w:bCs/>
                <w:color w:val="FF0000"/>
                <w:sz w:val="21"/>
                <w:szCs w:val="21"/>
                <w:lang w:eastAsia="zh-CN"/>
              </w:rPr>
              <w:t>需提供产品的技术文件或彩页或操作截图或具有CMA或CNAS标识的检验报告扫描件）</w:t>
            </w:r>
          </w:p>
        </w:tc>
      </w:tr>
      <w:tr>
        <w:tblPrEx>
          <w:tblW w:w="5000" w:type="pct"/>
          <w:jc w:val="center"/>
          <w:tblLayout w:type="fixed"/>
          <w:tblCellMar>
            <w:top w:w="0" w:type="dxa"/>
            <w:left w:w="108" w:type="dxa"/>
            <w:bottom w:w="0" w:type="dxa"/>
            <w:right w:w="108" w:type="dxa"/>
          </w:tblCellMar>
        </w:tblPrEx>
        <w:trPr>
          <w:trHeight w:val="39"/>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8.▲样本管规格：支持原始采血管、真空采血管和微量样本杯等</w:t>
            </w:r>
          </w:p>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样本稀释：支持样本自动稀释功能，一次稀释可供多个项目的检测</w:t>
            </w:r>
            <w:r>
              <w:rPr>
                <w:rFonts w:ascii="宋体" w:eastAsia="宋体" w:hAnsi="宋体" w:cs="宋体" w:hint="eastAsia"/>
                <w:color w:val="FF0000"/>
                <w:sz w:val="21"/>
                <w:szCs w:val="21"/>
                <w:lang w:eastAsia="zh-CN"/>
              </w:rPr>
              <w:t>（</w:t>
            </w:r>
            <w:r>
              <w:rPr>
                <w:rFonts w:ascii="宋体" w:eastAsia="宋体" w:hAnsi="宋体" w:cs="宋体" w:hint="eastAsia"/>
                <w:b/>
                <w:bCs/>
                <w:color w:val="FF0000"/>
                <w:sz w:val="21"/>
                <w:szCs w:val="21"/>
                <w:lang w:eastAsia="zh-CN"/>
              </w:rPr>
              <w:t>需提供产品的技术文件或彩页或操作截图或具有CMA或CNAS标识的检验报告扫描件）</w:t>
            </w:r>
          </w:p>
        </w:tc>
      </w:tr>
      <w:tr>
        <w:tblPrEx>
          <w:tblW w:w="5000" w:type="pct"/>
          <w:jc w:val="center"/>
          <w:tblLayout w:type="fixed"/>
          <w:tblCellMar>
            <w:top w:w="0" w:type="dxa"/>
            <w:left w:w="108" w:type="dxa"/>
            <w:bottom w:w="0" w:type="dxa"/>
            <w:right w:w="108" w:type="dxa"/>
          </w:tblCellMar>
        </w:tblPrEx>
        <w:trPr>
          <w:trHeight w:val="39"/>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9.样本识别：标配样本条码扫描，自动获取样本信息</w:t>
            </w:r>
          </w:p>
        </w:tc>
      </w:tr>
      <w:tr>
        <w:tblPrEx>
          <w:tblW w:w="5000" w:type="pct"/>
          <w:jc w:val="center"/>
          <w:tblLayout w:type="fixed"/>
          <w:tblCellMar>
            <w:top w:w="0" w:type="dxa"/>
            <w:left w:w="108" w:type="dxa"/>
            <w:bottom w:w="0" w:type="dxa"/>
            <w:right w:w="108" w:type="dxa"/>
          </w:tblCellMar>
        </w:tblPrEx>
        <w:trPr>
          <w:trHeight w:val="39"/>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10.支持试剂组分：支持3-5组分试剂项目</w:t>
            </w:r>
          </w:p>
        </w:tc>
      </w:tr>
      <w:tr>
        <w:tblPrEx>
          <w:tblW w:w="5000" w:type="pct"/>
          <w:jc w:val="center"/>
          <w:tblLayout w:type="fixed"/>
          <w:tblCellMar>
            <w:top w:w="0" w:type="dxa"/>
            <w:left w:w="108" w:type="dxa"/>
            <w:bottom w:w="0" w:type="dxa"/>
            <w:right w:w="108" w:type="dxa"/>
          </w:tblCellMar>
        </w:tblPrEx>
        <w:trPr>
          <w:trHeight w:val="39"/>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11.试剂位：支持≥24组试剂位，试剂位可适配不同试剂类型</w:t>
            </w:r>
          </w:p>
        </w:tc>
      </w:tr>
      <w:tr>
        <w:tblPrEx>
          <w:tblW w:w="5000" w:type="pct"/>
          <w:jc w:val="center"/>
          <w:tblLayout w:type="fixed"/>
          <w:tblCellMar>
            <w:top w:w="0" w:type="dxa"/>
            <w:left w:w="108" w:type="dxa"/>
            <w:bottom w:w="0" w:type="dxa"/>
            <w:right w:w="108" w:type="dxa"/>
          </w:tblCellMar>
        </w:tblPrEx>
        <w:trPr>
          <w:trHeight w:val="39"/>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12.试剂冷藏：支持24小时不间断试剂冷藏</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pPr>
          </w:p>
        </w:tc>
        <w:tc>
          <w:tcPr>
            <w:tcW w:w="643" w:type="pct"/>
            <w:vMerge/>
            <w:noWrap w:val="0"/>
            <w:vAlign w:val="center"/>
          </w:tcPr>
          <w:p>
            <w:pPr>
              <w:spacing w:line="360" w:lineRule="auto"/>
              <w:ind w:leftChars="0"/>
              <w:jc w:val="both"/>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13.试剂识别：标配试剂条码扫描功能，自动获取试剂信息</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14.试剂混匀：磁纳米颗粒悬液自动混匀</w:t>
            </w:r>
          </w:p>
        </w:tc>
      </w:tr>
      <w:tr>
        <w:tblPrEx>
          <w:tblW w:w="5000" w:type="pct"/>
          <w:jc w:val="center"/>
          <w:tblLayout w:type="fixed"/>
          <w:tblCellMar>
            <w:top w:w="0" w:type="dxa"/>
            <w:left w:w="108" w:type="dxa"/>
            <w:bottom w:w="0" w:type="dxa"/>
            <w:right w:w="108" w:type="dxa"/>
          </w:tblCellMar>
        </w:tblPrEx>
        <w:trPr>
          <w:trHeight w:val="90"/>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15.试剂加样方式：永久性钢针加样，具备液面探测、随量跟踪、凝块检测、余量监测</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16.反应杯类型：一次性反应杯</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17.反应杯加载：自动加载和卸载，余量不足自动报警</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18.孵育方式：“蜂窝式”固体直热</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19.反应杯传递：机械手传递</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20.磁分离清洗机构：</w:t>
            </w:r>
            <w:r>
              <w:rPr>
                <w:rFonts w:ascii="宋体" w:eastAsia="宋体" w:hAnsi="宋体" w:cs="宋体" w:hint="eastAsia"/>
                <w:sz w:val="21"/>
                <w:szCs w:val="21"/>
                <w:lang w:eastAsia="zh-CN"/>
              </w:rPr>
              <w:tab/>
            </w:r>
            <w:r>
              <w:rPr>
                <w:rFonts w:ascii="宋体" w:eastAsia="宋体" w:hAnsi="宋体" w:cs="宋体" w:hint="eastAsia"/>
                <w:sz w:val="21"/>
                <w:szCs w:val="21"/>
                <w:lang w:eastAsia="zh-CN"/>
              </w:rPr>
              <w:t>独立的磁分离清洗盘</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21.具备清洗液预加热功能</w:t>
            </w:r>
            <w:r>
              <w:rPr>
                <w:rFonts w:ascii="宋体" w:eastAsia="宋体" w:hAnsi="宋体" w:cs="宋体" w:hint="eastAsia"/>
                <w:sz w:val="21"/>
                <w:szCs w:val="21"/>
                <w:lang w:eastAsia="zh-CN"/>
              </w:rPr>
              <w:tab/>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22.测光模块：具备独立的测光盘</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23.检测器：具备PMT光子计数器</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24.操作界面：具备全中文windows图形化操作界面</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25.通讯功能：支持LIS双向通讯</w:t>
            </w:r>
          </w:p>
        </w:tc>
      </w:tr>
      <w:tr>
        <w:tblPrEx>
          <w:tblW w:w="5000" w:type="pct"/>
          <w:jc w:val="center"/>
          <w:tblLayout w:type="fixed"/>
          <w:tblCellMar>
            <w:top w:w="0" w:type="dxa"/>
            <w:left w:w="108" w:type="dxa"/>
            <w:bottom w:w="0" w:type="dxa"/>
            <w:right w:w="108" w:type="dxa"/>
          </w:tblCellMar>
        </w:tblPrEx>
        <w:trPr>
          <w:trHeight w:val="26"/>
          <w:jc w:val="center"/>
        </w:trPr>
        <w:tc>
          <w:tcPr>
            <w:tcW w:w="477"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26.报警功能：试剂及其它耗材余量不足自动报警 </w:t>
            </w:r>
          </w:p>
        </w:tc>
      </w:tr>
      <w:tr>
        <w:tblPrEx>
          <w:tblW w:w="5000" w:type="pct"/>
          <w:jc w:val="center"/>
          <w:tblLayout w:type="fixed"/>
          <w:tblCellMar>
            <w:top w:w="0" w:type="dxa"/>
            <w:left w:w="108" w:type="dxa"/>
            <w:bottom w:w="0" w:type="dxa"/>
            <w:right w:w="108" w:type="dxa"/>
          </w:tblCellMar>
        </w:tblPrEx>
        <w:trPr>
          <w:trHeight w:val="455"/>
          <w:jc w:val="center"/>
        </w:trPr>
        <w:tc>
          <w:tcPr>
            <w:tcW w:w="477"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bCs/>
                <w:sz w:val="21"/>
                <w:szCs w:val="21"/>
                <w:lang w:eastAsia="zh-CN"/>
              </w:rPr>
              <w:t>6</w:t>
            </w:r>
          </w:p>
        </w:tc>
        <w:tc>
          <w:tcPr>
            <w:tcW w:w="643"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lang w:eastAsia="zh-CN" w:bidi="ar"/>
              </w:rPr>
              <w:t>生物芯片阅读仪（不孕不育自身抗体）</w:t>
            </w:r>
          </w:p>
        </w:tc>
        <w:tc>
          <w:tcPr>
            <w:tcW w:w="3878" w:type="pct"/>
            <w:noWrap w:val="0"/>
            <w:vAlign w:val="center"/>
          </w:tcPr>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w:t>
            </w:r>
            <w:r>
              <w:rPr>
                <w:rFonts w:ascii="宋体" w:eastAsia="宋体" w:hAnsi="宋体" w:cs="宋体" w:hint="eastAsia"/>
                <w:sz w:val="21"/>
                <w:szCs w:val="21"/>
              </w:rPr>
              <w:t>检测系统：CCD 原理结合光电技术，半导体制冷</w:t>
            </w:r>
          </w:p>
        </w:tc>
      </w:tr>
      <w:tr>
        <w:tblPrEx>
          <w:tblW w:w="5000" w:type="pct"/>
          <w:jc w:val="center"/>
          <w:tblLayout w:type="fixed"/>
          <w:tblCellMar>
            <w:top w:w="0" w:type="dxa"/>
            <w:left w:w="108" w:type="dxa"/>
            <w:bottom w:w="0" w:type="dxa"/>
            <w:right w:w="108" w:type="dxa"/>
          </w:tblCellMar>
        </w:tblPrEx>
        <w:trPr>
          <w:trHeight w:val="134"/>
          <w:jc w:val="center"/>
        </w:trPr>
        <w:tc>
          <w:tcPr>
            <w:tcW w:w="477" w:type="pct"/>
            <w:vMerge/>
            <w:noWrap w:val="0"/>
            <w:vAlign w:val="center"/>
          </w:tcPr>
          <w:p>
            <w:pPr>
              <w:spacing w:line="360" w:lineRule="auto"/>
            </w:pPr>
          </w:p>
        </w:tc>
        <w:tc>
          <w:tcPr>
            <w:tcW w:w="643" w:type="pct"/>
            <w:vMerge/>
            <w:noWrap w:val="0"/>
            <w:vAlign w:val="center"/>
          </w:tcPr>
          <w:p>
            <w:pPr>
              <w:spacing w:line="360" w:lineRule="auto"/>
            </w:pPr>
          </w:p>
        </w:tc>
        <w:tc>
          <w:tcPr>
            <w:tcW w:w="3878" w:type="pct"/>
            <w:noWrap w:val="0"/>
            <w:vAlign w:val="center"/>
          </w:tcPr>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rPr>
              <w:t>2</w:t>
            </w:r>
            <w:r>
              <w:rPr>
                <w:rFonts w:ascii="宋体" w:eastAsia="宋体" w:hAnsi="宋体" w:cs="宋体" w:hint="eastAsia"/>
                <w:sz w:val="21"/>
                <w:szCs w:val="21"/>
                <w:lang w:eastAsia="zh-CN"/>
              </w:rPr>
              <w:t>.</w:t>
            </w:r>
            <w:r>
              <w:rPr>
                <w:rFonts w:ascii="宋体" w:eastAsia="宋体" w:hAnsi="宋体" w:cs="宋体" w:hint="eastAsia"/>
                <w:sz w:val="21"/>
                <w:szCs w:val="21"/>
              </w:rPr>
              <w:t>样本类型及用量：全项目：≤20ul血清</w:t>
            </w:r>
          </w:p>
        </w:tc>
      </w:tr>
      <w:tr>
        <w:tblPrEx>
          <w:tblW w:w="5000" w:type="pct"/>
          <w:jc w:val="center"/>
          <w:tblLayout w:type="fixed"/>
          <w:tblCellMar>
            <w:top w:w="0" w:type="dxa"/>
            <w:left w:w="108" w:type="dxa"/>
            <w:bottom w:w="0" w:type="dxa"/>
            <w:right w:w="108" w:type="dxa"/>
          </w:tblCellMar>
        </w:tblPrEx>
        <w:trPr>
          <w:trHeight w:val="134"/>
          <w:jc w:val="center"/>
        </w:trPr>
        <w:tc>
          <w:tcPr>
            <w:tcW w:w="477" w:type="pct"/>
            <w:vMerge/>
            <w:noWrap w:val="0"/>
            <w:vAlign w:val="center"/>
          </w:tcPr>
          <w:p>
            <w:pPr>
              <w:spacing w:line="360" w:lineRule="auto"/>
            </w:pPr>
          </w:p>
        </w:tc>
        <w:tc>
          <w:tcPr>
            <w:tcW w:w="643" w:type="pct"/>
            <w:vMerge/>
            <w:noWrap w:val="0"/>
            <w:vAlign w:val="center"/>
          </w:tcPr>
          <w:p>
            <w:pPr>
              <w:spacing w:line="360" w:lineRule="auto"/>
            </w:pPr>
          </w:p>
        </w:tc>
        <w:tc>
          <w:tcPr>
            <w:tcW w:w="3878" w:type="pct"/>
            <w:noWrap w:val="0"/>
            <w:vAlign w:val="center"/>
          </w:tcPr>
          <w:p>
            <w:pPr>
              <w:spacing w:line="360" w:lineRule="auto"/>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sz w:val="21"/>
                <w:szCs w:val="21"/>
                <w:lang w:eastAsia="zh-CN"/>
              </w:rPr>
              <w:t>.</w:t>
            </w:r>
            <w:r>
              <w:rPr>
                <w:rFonts w:ascii="宋体" w:eastAsia="宋体" w:hAnsi="宋体" w:cs="宋体" w:hint="eastAsia"/>
                <w:sz w:val="21"/>
                <w:szCs w:val="21"/>
              </w:rPr>
              <w:t>性能指标：</w:t>
            </w:r>
          </w:p>
          <w:p>
            <w:pPr>
              <w:spacing w:line="360" w:lineRule="auto"/>
              <w:rPr>
                <w:rFonts w:ascii="宋体" w:eastAsia="宋体" w:hAnsi="宋体" w:cs="宋体" w:hint="eastAsia"/>
                <w:sz w:val="21"/>
                <w:szCs w:val="21"/>
              </w:rPr>
            </w:pPr>
            <w:r>
              <w:rPr>
                <w:rFonts w:ascii="宋体" w:eastAsia="宋体" w:hAnsi="宋体" w:cs="宋体" w:hint="eastAsia"/>
                <w:sz w:val="21"/>
                <w:szCs w:val="21"/>
              </w:rPr>
              <w:t>3.1均一性 变异系数（CV）≤5%</w:t>
            </w:r>
          </w:p>
          <w:p>
            <w:pPr>
              <w:spacing w:line="360" w:lineRule="auto"/>
              <w:rPr>
                <w:rFonts w:ascii="宋体" w:eastAsia="宋体" w:hAnsi="宋体" w:cs="宋体" w:hint="eastAsia"/>
                <w:sz w:val="21"/>
                <w:szCs w:val="21"/>
              </w:rPr>
            </w:pPr>
            <w:r>
              <w:rPr>
                <w:rFonts w:ascii="宋体" w:eastAsia="宋体" w:hAnsi="宋体" w:cs="宋体" w:hint="eastAsia"/>
                <w:sz w:val="21"/>
                <w:szCs w:val="21"/>
              </w:rPr>
              <w:t>3.2重复性 变异系数（CV）≤10%</w:t>
            </w:r>
          </w:p>
          <w:p>
            <w:pPr>
              <w:spacing w:line="360" w:lineRule="auto"/>
              <w:rPr>
                <w:rFonts w:ascii="宋体" w:eastAsia="宋体" w:hAnsi="宋体" w:cs="宋体" w:hint="eastAsia"/>
                <w:sz w:val="21"/>
                <w:szCs w:val="21"/>
              </w:rPr>
            </w:pPr>
            <w:r>
              <w:rPr>
                <w:rFonts w:ascii="宋体" w:eastAsia="宋体" w:hAnsi="宋体" w:cs="宋体" w:hint="eastAsia"/>
                <w:sz w:val="21"/>
                <w:szCs w:val="21"/>
              </w:rPr>
              <w:t>3.3稳定性 相对偏倚不超过±10%</w:t>
            </w:r>
          </w:p>
          <w:p>
            <w:pPr>
              <w:spacing w:line="360" w:lineRule="auto"/>
              <w:rPr>
                <w:rFonts w:ascii="宋体" w:eastAsia="宋体" w:hAnsi="宋体" w:cs="宋体" w:hint="eastAsia"/>
                <w:sz w:val="21"/>
                <w:szCs w:val="21"/>
              </w:rPr>
            </w:pPr>
            <w:r>
              <w:rPr>
                <w:rFonts w:ascii="宋体" w:eastAsia="宋体" w:hAnsi="宋体" w:cs="宋体" w:hint="eastAsia"/>
                <w:sz w:val="21"/>
                <w:szCs w:val="21"/>
              </w:rPr>
              <w:t>3.4测试准确度 阴、阳性符合率应达到 100%</w:t>
            </w:r>
          </w:p>
        </w:tc>
      </w:tr>
      <w:tr>
        <w:tblPrEx>
          <w:tblW w:w="5000" w:type="pct"/>
          <w:jc w:val="center"/>
          <w:tblLayout w:type="fixed"/>
          <w:tblCellMar>
            <w:top w:w="0" w:type="dxa"/>
            <w:left w:w="108" w:type="dxa"/>
            <w:bottom w:w="0" w:type="dxa"/>
            <w:right w:w="108" w:type="dxa"/>
          </w:tblCellMar>
        </w:tblPrEx>
        <w:trPr>
          <w:trHeight w:val="134"/>
          <w:jc w:val="center"/>
        </w:trPr>
        <w:tc>
          <w:tcPr>
            <w:tcW w:w="477" w:type="pct"/>
            <w:vMerge/>
            <w:noWrap w:val="0"/>
            <w:vAlign w:val="center"/>
          </w:tcPr>
          <w:p>
            <w:pPr>
              <w:spacing w:line="360" w:lineRule="auto"/>
              <w:rPr>
                <w:rFonts w:ascii="宋体" w:eastAsia="宋体" w:hAnsi="宋体" w:cs="宋体" w:hint="eastAsia"/>
                <w:sz w:val="21"/>
                <w:szCs w:val="21"/>
              </w:rPr>
            </w:pPr>
          </w:p>
        </w:tc>
        <w:tc>
          <w:tcPr>
            <w:tcW w:w="643" w:type="pct"/>
            <w:vMerge/>
            <w:noWrap w:val="0"/>
            <w:vAlign w:val="center"/>
          </w:tcPr>
          <w:p>
            <w:pPr>
              <w:spacing w:line="360" w:lineRule="auto"/>
              <w:rPr>
                <w:rFonts w:ascii="宋体" w:eastAsia="宋体" w:hAnsi="宋体" w:cs="宋体" w:hint="eastAsia"/>
                <w:sz w:val="21"/>
                <w:szCs w:val="21"/>
              </w:rPr>
            </w:pPr>
          </w:p>
        </w:tc>
        <w:tc>
          <w:tcPr>
            <w:tcW w:w="3878" w:type="pct"/>
            <w:noWrap w:val="0"/>
            <w:vAlign w:val="center"/>
          </w:tcPr>
          <w:p>
            <w:pPr>
              <w:spacing w:line="360" w:lineRule="auto"/>
              <w:rPr>
                <w:rFonts w:ascii="宋体" w:eastAsia="宋体" w:hAnsi="宋体" w:cs="宋体" w:hint="eastAsia"/>
                <w:sz w:val="21"/>
                <w:szCs w:val="21"/>
              </w:rPr>
            </w:pPr>
            <w:r>
              <w:rPr>
                <w:rFonts w:ascii="宋体" w:eastAsia="宋体" w:hAnsi="宋体" w:cs="宋体" w:hint="eastAsia"/>
                <w:sz w:val="21"/>
                <w:szCs w:val="21"/>
              </w:rPr>
              <w:t>4</w:t>
            </w:r>
            <w:r>
              <w:rPr>
                <w:rFonts w:ascii="宋体" w:eastAsia="宋体" w:hAnsi="宋体" w:cs="宋体" w:hint="eastAsia"/>
                <w:sz w:val="21"/>
                <w:szCs w:val="21"/>
                <w:lang w:eastAsia="zh-CN"/>
              </w:rPr>
              <w:t>.</w:t>
            </w:r>
            <w:r>
              <w:rPr>
                <w:rFonts w:ascii="宋体" w:eastAsia="宋体" w:hAnsi="宋体" w:cs="宋体" w:hint="eastAsia"/>
                <w:sz w:val="21"/>
                <w:szCs w:val="21"/>
              </w:rPr>
              <w:t>检测时间：全项目：&lt;30s</w:t>
            </w:r>
          </w:p>
        </w:tc>
      </w:tr>
      <w:tr>
        <w:tblPrEx>
          <w:tblW w:w="5000" w:type="pct"/>
          <w:jc w:val="center"/>
          <w:tblLayout w:type="fixed"/>
          <w:tblCellMar>
            <w:top w:w="0" w:type="dxa"/>
            <w:left w:w="108" w:type="dxa"/>
            <w:bottom w:w="0" w:type="dxa"/>
            <w:right w:w="108" w:type="dxa"/>
          </w:tblCellMar>
        </w:tblPrEx>
        <w:trPr>
          <w:trHeight w:val="134"/>
          <w:jc w:val="center"/>
        </w:trPr>
        <w:tc>
          <w:tcPr>
            <w:tcW w:w="477" w:type="pct"/>
            <w:vMerge/>
            <w:noWrap w:val="0"/>
            <w:vAlign w:val="center"/>
          </w:tcPr>
          <w:p>
            <w:pPr>
              <w:spacing w:line="360" w:lineRule="auto"/>
              <w:rPr>
                <w:rFonts w:ascii="宋体" w:eastAsia="宋体" w:hAnsi="宋体" w:cs="宋体" w:hint="eastAsia"/>
                <w:sz w:val="21"/>
                <w:szCs w:val="21"/>
              </w:rPr>
            </w:pPr>
          </w:p>
        </w:tc>
        <w:tc>
          <w:tcPr>
            <w:tcW w:w="643" w:type="pct"/>
            <w:vMerge/>
            <w:noWrap w:val="0"/>
            <w:vAlign w:val="center"/>
          </w:tcPr>
          <w:p>
            <w:pPr>
              <w:spacing w:line="360" w:lineRule="auto"/>
              <w:rPr>
                <w:rFonts w:ascii="宋体" w:eastAsia="宋体" w:hAnsi="宋体" w:cs="宋体" w:hint="eastAsia"/>
                <w:sz w:val="21"/>
                <w:szCs w:val="21"/>
              </w:rPr>
            </w:pPr>
          </w:p>
        </w:tc>
        <w:tc>
          <w:tcPr>
            <w:tcW w:w="3878" w:type="pct"/>
            <w:noWrap w:val="0"/>
            <w:vAlign w:val="center"/>
          </w:tcPr>
          <w:p>
            <w:pPr>
              <w:spacing w:line="360" w:lineRule="auto"/>
              <w:rPr>
                <w:rFonts w:ascii="宋体" w:eastAsia="宋体" w:hAnsi="宋体" w:cs="宋体" w:hint="eastAsia"/>
                <w:sz w:val="21"/>
                <w:szCs w:val="21"/>
              </w:rPr>
            </w:pPr>
            <w:r>
              <w:rPr>
                <w:rFonts w:ascii="宋体" w:eastAsia="宋体" w:hAnsi="宋体" w:cs="宋体" w:hint="eastAsia"/>
                <w:sz w:val="21"/>
                <w:szCs w:val="21"/>
              </w:rPr>
              <w:t>5</w:t>
            </w:r>
            <w:r>
              <w:rPr>
                <w:rFonts w:ascii="宋体" w:eastAsia="宋体" w:hAnsi="宋体" w:cs="宋体" w:hint="eastAsia"/>
                <w:sz w:val="21"/>
                <w:szCs w:val="21"/>
                <w:lang w:eastAsia="zh-CN"/>
              </w:rPr>
              <w:t>.</w:t>
            </w:r>
            <w:r>
              <w:rPr>
                <w:rFonts w:ascii="宋体" w:eastAsia="宋体" w:hAnsi="宋体" w:cs="宋体" w:hint="eastAsia"/>
                <w:sz w:val="21"/>
                <w:szCs w:val="21"/>
              </w:rPr>
              <w:t>数据接口：USB接口及以太网接口</w:t>
            </w:r>
          </w:p>
        </w:tc>
      </w:tr>
      <w:tr>
        <w:tblPrEx>
          <w:tblW w:w="5000" w:type="pct"/>
          <w:jc w:val="center"/>
          <w:tblLayout w:type="fixed"/>
          <w:tblCellMar>
            <w:top w:w="0" w:type="dxa"/>
            <w:left w:w="108" w:type="dxa"/>
            <w:bottom w:w="0" w:type="dxa"/>
            <w:right w:w="108" w:type="dxa"/>
          </w:tblCellMar>
        </w:tblPrEx>
        <w:trPr>
          <w:trHeight w:val="134"/>
          <w:jc w:val="center"/>
        </w:trPr>
        <w:tc>
          <w:tcPr>
            <w:tcW w:w="477" w:type="pct"/>
            <w:vMerge/>
            <w:noWrap w:val="0"/>
            <w:vAlign w:val="center"/>
          </w:tcPr>
          <w:p>
            <w:pPr>
              <w:spacing w:line="360" w:lineRule="auto"/>
              <w:rPr>
                <w:rFonts w:ascii="宋体" w:eastAsia="宋体" w:hAnsi="宋体" w:cs="宋体" w:hint="eastAsia"/>
                <w:sz w:val="21"/>
                <w:szCs w:val="21"/>
              </w:rPr>
            </w:pPr>
          </w:p>
        </w:tc>
        <w:tc>
          <w:tcPr>
            <w:tcW w:w="643" w:type="pct"/>
            <w:vMerge/>
            <w:noWrap w:val="0"/>
            <w:vAlign w:val="center"/>
          </w:tcPr>
          <w:p>
            <w:pPr>
              <w:spacing w:line="360" w:lineRule="auto"/>
              <w:rPr>
                <w:rFonts w:ascii="宋体" w:eastAsia="宋体" w:hAnsi="宋体" w:cs="宋体" w:hint="eastAsia"/>
                <w:sz w:val="21"/>
                <w:szCs w:val="21"/>
              </w:rPr>
            </w:pPr>
          </w:p>
        </w:tc>
        <w:tc>
          <w:tcPr>
            <w:tcW w:w="3878" w:type="pct"/>
            <w:noWrap w:val="0"/>
            <w:vAlign w:val="center"/>
          </w:tcPr>
          <w:p>
            <w:pPr>
              <w:spacing w:line="360" w:lineRule="auto"/>
              <w:rPr>
                <w:rFonts w:ascii="宋体" w:eastAsia="宋体" w:hAnsi="宋体" w:cs="宋体" w:hint="eastAsia"/>
                <w:sz w:val="21"/>
                <w:szCs w:val="21"/>
              </w:rPr>
            </w:pPr>
            <w:r>
              <w:rPr>
                <w:rFonts w:ascii="宋体" w:eastAsia="宋体" w:hAnsi="宋体" w:cs="宋体" w:hint="eastAsia"/>
                <w:sz w:val="21"/>
                <w:szCs w:val="21"/>
              </w:rPr>
              <w:t>6</w:t>
            </w:r>
            <w:r>
              <w:rPr>
                <w:rFonts w:ascii="宋体" w:eastAsia="宋体" w:hAnsi="宋体" w:cs="宋体" w:hint="eastAsia"/>
                <w:sz w:val="21"/>
                <w:szCs w:val="21"/>
                <w:lang w:eastAsia="zh-CN"/>
              </w:rPr>
              <w:t>.</w:t>
            </w:r>
            <w:r>
              <w:rPr>
                <w:rFonts w:ascii="宋体" w:eastAsia="宋体" w:hAnsi="宋体" w:cs="宋体" w:hint="eastAsia"/>
                <w:sz w:val="21"/>
                <w:szCs w:val="21"/>
              </w:rPr>
              <w:t>环境温度：5℃-45℃，相对湿度：≤80%</w:t>
            </w:r>
          </w:p>
        </w:tc>
      </w:tr>
      <w:tr>
        <w:tblPrEx>
          <w:tblW w:w="5000" w:type="pct"/>
          <w:jc w:val="center"/>
          <w:tblLayout w:type="fixed"/>
          <w:tblCellMar>
            <w:top w:w="0" w:type="dxa"/>
            <w:left w:w="108" w:type="dxa"/>
            <w:bottom w:w="0" w:type="dxa"/>
            <w:right w:w="108" w:type="dxa"/>
          </w:tblCellMar>
        </w:tblPrEx>
        <w:trPr>
          <w:trHeight w:val="134"/>
          <w:jc w:val="center"/>
        </w:trPr>
        <w:tc>
          <w:tcPr>
            <w:tcW w:w="477" w:type="pct"/>
            <w:vMerge/>
            <w:noWrap w:val="0"/>
            <w:vAlign w:val="center"/>
          </w:tcPr>
          <w:p>
            <w:pPr>
              <w:spacing w:line="360" w:lineRule="auto"/>
              <w:rPr>
                <w:rFonts w:ascii="宋体" w:eastAsia="宋体" w:hAnsi="宋体" w:cs="宋体" w:hint="eastAsia"/>
                <w:sz w:val="21"/>
                <w:szCs w:val="21"/>
              </w:rPr>
            </w:pPr>
          </w:p>
        </w:tc>
        <w:tc>
          <w:tcPr>
            <w:tcW w:w="643" w:type="pct"/>
            <w:vMerge/>
            <w:noWrap w:val="0"/>
            <w:vAlign w:val="center"/>
          </w:tcPr>
          <w:p>
            <w:pPr>
              <w:spacing w:line="360" w:lineRule="auto"/>
              <w:rPr>
                <w:rFonts w:ascii="宋体" w:eastAsia="宋体" w:hAnsi="宋体" w:cs="宋体" w:hint="eastAsia"/>
                <w:sz w:val="21"/>
                <w:szCs w:val="21"/>
              </w:rPr>
            </w:pPr>
          </w:p>
        </w:tc>
        <w:tc>
          <w:tcPr>
            <w:tcW w:w="3878" w:type="pct"/>
            <w:noWrap w:val="0"/>
            <w:vAlign w:val="center"/>
          </w:tcPr>
          <w:p>
            <w:pPr>
              <w:spacing w:line="360" w:lineRule="auto"/>
              <w:rPr>
                <w:rFonts w:ascii="宋体" w:eastAsia="宋体" w:hAnsi="宋体" w:cs="宋体" w:hint="eastAsia"/>
                <w:sz w:val="21"/>
                <w:szCs w:val="21"/>
              </w:rPr>
            </w:pPr>
            <w:r>
              <w:rPr>
                <w:rFonts w:ascii="宋体" w:eastAsia="宋体" w:hAnsi="宋体" w:cs="宋体" w:hint="eastAsia"/>
                <w:sz w:val="21"/>
                <w:szCs w:val="21"/>
              </w:rPr>
              <w:t>7</w:t>
            </w:r>
            <w:r>
              <w:rPr>
                <w:rFonts w:ascii="宋体" w:eastAsia="宋体" w:hAnsi="宋体" w:cs="宋体" w:hint="eastAsia"/>
                <w:sz w:val="21"/>
                <w:szCs w:val="21"/>
                <w:lang w:eastAsia="zh-CN"/>
              </w:rPr>
              <w:t>.</w:t>
            </w:r>
            <w:r>
              <w:rPr>
                <w:rFonts w:ascii="宋体" w:eastAsia="宋体" w:hAnsi="宋体" w:cs="宋体" w:hint="eastAsia"/>
                <w:sz w:val="21"/>
                <w:szCs w:val="21"/>
              </w:rPr>
              <w:t>适配器输入：100-240V～ 50/60Hz； 适配器输出：24V ； 额定功率：50VA ；</w:t>
            </w:r>
          </w:p>
        </w:tc>
      </w:tr>
      <w:tr>
        <w:tblPrEx>
          <w:tblW w:w="5000" w:type="pct"/>
          <w:jc w:val="center"/>
          <w:tblLayout w:type="fixed"/>
          <w:tblCellMar>
            <w:top w:w="0" w:type="dxa"/>
            <w:left w:w="108" w:type="dxa"/>
            <w:bottom w:w="0" w:type="dxa"/>
            <w:right w:w="108" w:type="dxa"/>
          </w:tblCellMar>
        </w:tblPrEx>
        <w:trPr>
          <w:trHeight w:val="1178"/>
          <w:jc w:val="center"/>
        </w:trPr>
        <w:tc>
          <w:tcPr>
            <w:tcW w:w="477" w:type="pct"/>
            <w:vMerge/>
            <w:noWrap w:val="0"/>
            <w:vAlign w:val="center"/>
          </w:tcPr>
          <w:p>
            <w:pPr>
              <w:spacing w:line="360" w:lineRule="auto"/>
            </w:pPr>
          </w:p>
        </w:tc>
        <w:tc>
          <w:tcPr>
            <w:tcW w:w="643" w:type="pct"/>
            <w:vMerge/>
            <w:noWrap w:val="0"/>
            <w:vAlign w:val="center"/>
          </w:tcPr>
          <w:p>
            <w:pPr>
              <w:spacing w:line="360" w:lineRule="auto"/>
            </w:pPr>
          </w:p>
        </w:tc>
        <w:tc>
          <w:tcPr>
            <w:tcW w:w="3878" w:type="pct"/>
            <w:noWrap w:val="0"/>
            <w:vAlign w:val="center"/>
          </w:tcPr>
          <w:p>
            <w:pPr>
              <w:spacing w:line="360" w:lineRule="auto"/>
              <w:rPr>
                <w:rFonts w:ascii="宋体" w:eastAsia="宋体" w:hAnsi="宋体" w:cs="宋体" w:hint="eastAsia"/>
                <w:sz w:val="21"/>
                <w:szCs w:val="21"/>
              </w:rPr>
            </w:pPr>
            <w:r>
              <w:rPr>
                <w:rFonts w:ascii="宋体" w:eastAsia="宋体" w:hAnsi="宋体" w:cs="宋体" w:hint="eastAsia"/>
                <w:sz w:val="21"/>
                <w:szCs w:val="21"/>
              </w:rPr>
              <w:t>8</w:t>
            </w:r>
            <w:r>
              <w:rPr>
                <w:rFonts w:ascii="宋体" w:eastAsia="宋体" w:hAnsi="宋体" w:cs="宋体" w:hint="eastAsia"/>
                <w:sz w:val="21"/>
                <w:szCs w:val="21"/>
                <w:lang w:eastAsia="zh-CN"/>
              </w:rPr>
              <w:t>.</w:t>
            </w:r>
            <w:r>
              <w:rPr>
                <w:rFonts w:ascii="宋体" w:eastAsia="宋体" w:hAnsi="宋体" w:cs="宋体" w:hint="eastAsia"/>
                <w:sz w:val="21"/>
                <w:szCs w:val="21"/>
              </w:rPr>
              <w:t>报告类型：</w:t>
            </w:r>
          </w:p>
          <w:p>
            <w:pPr>
              <w:spacing w:line="360" w:lineRule="auto"/>
              <w:rPr>
                <w:rFonts w:ascii="宋体" w:eastAsia="宋体" w:hAnsi="宋体" w:cs="宋体" w:hint="eastAsia"/>
                <w:sz w:val="21"/>
                <w:szCs w:val="21"/>
              </w:rPr>
            </w:pPr>
            <w:r>
              <w:rPr>
                <w:rFonts w:ascii="宋体" w:eastAsia="宋体" w:hAnsi="宋体" w:cs="宋体" w:hint="eastAsia"/>
                <w:sz w:val="21"/>
                <w:szCs w:val="21"/>
              </w:rPr>
              <w:t>自带软件系统，操作简易（中文显示），有图像提示</w:t>
            </w:r>
            <w:r>
              <w:rPr>
                <w:rFonts w:ascii="宋体" w:eastAsia="宋体" w:hAnsi="宋体" w:cs="宋体" w:hint="eastAsia"/>
                <w:sz w:val="21"/>
                <w:szCs w:val="21"/>
                <w:lang w:eastAsia="zh-CN"/>
              </w:rPr>
              <w:t>，</w:t>
            </w:r>
            <w:r>
              <w:rPr>
                <w:rFonts w:ascii="宋体" w:eastAsia="宋体" w:hAnsi="宋体" w:cs="宋体" w:hint="eastAsia"/>
                <w:sz w:val="21"/>
                <w:szCs w:val="21"/>
              </w:rPr>
              <w:t>可同时报告所有项目的浓度</w:t>
            </w:r>
            <w:r>
              <w:rPr>
                <w:rFonts w:ascii="宋体" w:eastAsia="宋体" w:hAnsi="宋体" w:cs="宋体" w:hint="eastAsia"/>
                <w:sz w:val="21"/>
                <w:szCs w:val="21"/>
                <w:lang w:eastAsia="zh-CN"/>
              </w:rPr>
              <w:t>，</w:t>
            </w:r>
            <w:r>
              <w:rPr>
                <w:rFonts w:ascii="宋体" w:eastAsia="宋体" w:hAnsi="宋体" w:cs="宋体" w:hint="eastAsia"/>
                <w:sz w:val="21"/>
                <w:szCs w:val="21"/>
              </w:rPr>
              <w:t>可同时保存图片结果</w:t>
            </w:r>
            <w:r>
              <w:rPr>
                <w:rFonts w:ascii="宋体" w:eastAsia="宋体" w:hAnsi="宋体" w:cs="宋体" w:hint="eastAsia"/>
                <w:sz w:val="21"/>
                <w:szCs w:val="21"/>
                <w:lang w:eastAsia="zh-CN"/>
              </w:rPr>
              <w:t>，</w:t>
            </w:r>
            <w:r>
              <w:rPr>
                <w:rFonts w:ascii="宋体" w:eastAsia="宋体" w:hAnsi="宋体" w:cs="宋体" w:hint="eastAsia"/>
                <w:sz w:val="21"/>
                <w:szCs w:val="21"/>
              </w:rPr>
              <w:t>适用于显色、发光及荧光标记的芯片试验及结果报告。</w:t>
            </w:r>
          </w:p>
        </w:tc>
      </w:tr>
      <w:tr>
        <w:tblPrEx>
          <w:tblW w:w="5000" w:type="pct"/>
          <w:jc w:val="center"/>
          <w:tblLayout w:type="fixed"/>
          <w:tblCellMar>
            <w:top w:w="0" w:type="dxa"/>
            <w:left w:w="108" w:type="dxa"/>
            <w:bottom w:w="0" w:type="dxa"/>
            <w:right w:w="108" w:type="dxa"/>
          </w:tblCellMar>
        </w:tblPrEx>
        <w:trPr>
          <w:trHeight w:val="740"/>
          <w:jc w:val="center"/>
        </w:trPr>
        <w:tc>
          <w:tcPr>
            <w:tcW w:w="477"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bCs/>
                <w:sz w:val="21"/>
                <w:szCs w:val="21"/>
                <w:lang w:eastAsia="zh-CN"/>
              </w:rPr>
              <w:t>7</w:t>
            </w:r>
          </w:p>
        </w:tc>
        <w:tc>
          <w:tcPr>
            <w:tcW w:w="643" w:type="pct"/>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lang w:eastAsia="zh-CN" w:bidi="ar"/>
              </w:rPr>
              <w:t>细胞离心涂片机</w:t>
            </w: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1.设备用于样本分析前对体液或血液标本涂片处理。满足脑脊液、胸腹水、等所有体液细胞及细菌涂片要求。</w:t>
            </w:r>
          </w:p>
        </w:tc>
      </w:tr>
      <w:tr>
        <w:tblPrEx>
          <w:tblW w:w="5000" w:type="pct"/>
          <w:jc w:val="center"/>
          <w:tblLayout w:type="fixed"/>
          <w:tblCellMar>
            <w:top w:w="0" w:type="dxa"/>
            <w:left w:w="108" w:type="dxa"/>
            <w:bottom w:w="0" w:type="dxa"/>
            <w:right w:w="108" w:type="dxa"/>
          </w:tblCellMar>
        </w:tblPrEx>
        <w:trPr>
          <w:trHeight w:val="30"/>
          <w:jc w:val="center"/>
        </w:trPr>
        <w:tc>
          <w:tcPr>
            <w:tcW w:w="477" w:type="pct"/>
            <w:vMerge/>
            <w:noWrap w:val="0"/>
            <w:vAlign w:val="center"/>
          </w:tcPr>
          <w:p>
            <w:pPr>
              <w:spacing w:line="360" w:lineRule="auto"/>
              <w:ind w:left="0" w:firstLine="0" w:leftChars="0" w:firstLineChars="0"/>
              <w:jc w:val="both"/>
            </w:pPr>
          </w:p>
        </w:tc>
        <w:tc>
          <w:tcPr>
            <w:tcW w:w="643" w:type="pct"/>
            <w:vMerge/>
            <w:noWrap w:val="0"/>
            <w:vAlign w:val="center"/>
          </w:tcPr>
          <w:p>
            <w:pPr>
              <w:spacing w:line="360" w:lineRule="auto"/>
              <w:ind w:left="0" w:firstLine="0" w:leftChars="0" w:firstLineChars="0"/>
              <w:jc w:val="both"/>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2.细胞离心涂片机：涂片模块由控制系统、样本收集系统、涂片系统等组成。</w:t>
            </w:r>
          </w:p>
        </w:tc>
      </w:tr>
      <w:tr>
        <w:tblPrEx>
          <w:tblW w:w="5000" w:type="pct"/>
          <w:jc w:val="center"/>
          <w:tblLayout w:type="fixed"/>
          <w:tblCellMar>
            <w:top w:w="0" w:type="dxa"/>
            <w:left w:w="108" w:type="dxa"/>
            <w:bottom w:w="0" w:type="dxa"/>
            <w:right w:w="108" w:type="dxa"/>
          </w:tblCellMar>
        </w:tblPrEx>
        <w:trPr>
          <w:trHeight w:val="90"/>
          <w:jc w:val="center"/>
        </w:trPr>
        <w:tc>
          <w:tcPr>
            <w:tcW w:w="477" w:type="pct"/>
            <w:vMerge/>
            <w:noWrap w:val="0"/>
            <w:vAlign w:val="center"/>
          </w:tcPr>
          <w:p>
            <w:pPr>
              <w:spacing w:line="360" w:lineRule="auto"/>
              <w:ind w:left="0" w:firstLine="0" w:leftChars="0" w:firstLineChars="0"/>
              <w:jc w:val="both"/>
            </w:pPr>
          </w:p>
        </w:tc>
        <w:tc>
          <w:tcPr>
            <w:tcW w:w="643" w:type="pct"/>
            <w:vMerge/>
            <w:noWrap w:val="0"/>
            <w:vAlign w:val="center"/>
          </w:tcPr>
          <w:p>
            <w:pPr>
              <w:spacing w:line="360" w:lineRule="auto"/>
              <w:ind w:left="0" w:firstLine="0" w:leftChars="0" w:firstLineChars="0"/>
              <w:jc w:val="both"/>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3.设备细胞收集率大于等于95%,在细胞数极少的情况下，能充分收集样本中所有细胞；细胞完整性大于等于99%，样本离心和残留水分吸收同步进行，有效保持细胞原有形态。</w:t>
            </w:r>
          </w:p>
        </w:tc>
      </w:tr>
      <w:tr>
        <w:tblPrEx>
          <w:tblW w:w="5000" w:type="pct"/>
          <w:jc w:val="center"/>
          <w:tblLayout w:type="fixed"/>
          <w:tblCellMar>
            <w:top w:w="0" w:type="dxa"/>
            <w:left w:w="108" w:type="dxa"/>
            <w:bottom w:w="0" w:type="dxa"/>
            <w:right w:w="108" w:type="dxa"/>
          </w:tblCellMar>
        </w:tblPrEx>
        <w:trPr>
          <w:trHeight w:val="30"/>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4.高通量样本处理工位，大于等于6工位。</w:t>
            </w:r>
          </w:p>
        </w:tc>
      </w:tr>
      <w:tr>
        <w:tblPrEx>
          <w:tblW w:w="5000" w:type="pct"/>
          <w:jc w:val="center"/>
          <w:tblLayout w:type="fixed"/>
          <w:tblCellMar>
            <w:top w:w="0" w:type="dxa"/>
            <w:left w:w="108" w:type="dxa"/>
            <w:bottom w:w="0" w:type="dxa"/>
            <w:right w:w="108" w:type="dxa"/>
          </w:tblCellMar>
        </w:tblPrEx>
        <w:trPr>
          <w:trHeight w:val="411"/>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5.微电脑控制，大于等于7寸数字屏显示，触摸式操控，人性化界面，视觉更直观、操作更简单。</w:t>
            </w:r>
          </w:p>
        </w:tc>
      </w:tr>
      <w:tr>
        <w:tblPrEx>
          <w:tblW w:w="5000" w:type="pct"/>
          <w:jc w:val="center"/>
          <w:tblLayout w:type="fixed"/>
          <w:tblCellMar>
            <w:top w:w="0" w:type="dxa"/>
            <w:left w:w="108" w:type="dxa"/>
            <w:bottom w:w="0" w:type="dxa"/>
            <w:right w:w="108" w:type="dxa"/>
          </w:tblCellMar>
        </w:tblPrEx>
        <w:trPr>
          <w:trHeight w:val="30"/>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6.设有脑脊液、胸腹液、关节液、引流液、尿液、肺泡灌洗液、细菌7个常见标本运行参数程序，预留三个用户自定义程序，能根据用户需求增加或减少，所有参数可编程操作，可根据需求设置且自动存储。</w:t>
            </w:r>
          </w:p>
        </w:tc>
      </w:tr>
      <w:tr>
        <w:tblPrEx>
          <w:tblW w:w="5000" w:type="pct"/>
          <w:jc w:val="center"/>
          <w:tblLayout w:type="fixed"/>
          <w:tblCellMar>
            <w:top w:w="0" w:type="dxa"/>
            <w:left w:w="108" w:type="dxa"/>
            <w:bottom w:w="0" w:type="dxa"/>
            <w:right w:w="108" w:type="dxa"/>
          </w:tblCellMar>
        </w:tblPrEx>
        <w:trPr>
          <w:trHeight w:val="30"/>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7.实时rpm/RCF数值换算与设定。</w:t>
            </w:r>
          </w:p>
        </w:tc>
      </w:tr>
      <w:tr>
        <w:tblPrEx>
          <w:tblW w:w="5000" w:type="pct"/>
          <w:jc w:val="center"/>
          <w:tblLayout w:type="fixed"/>
          <w:tblCellMar>
            <w:top w:w="0" w:type="dxa"/>
            <w:left w:w="108" w:type="dxa"/>
            <w:bottom w:w="0" w:type="dxa"/>
            <w:right w:w="108" w:type="dxa"/>
          </w:tblCellMar>
        </w:tblPrEx>
        <w:trPr>
          <w:trHeight w:val="30"/>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8.最高转速≦2000r/min，最大相对离心力≧447g。</w:t>
            </w:r>
          </w:p>
        </w:tc>
      </w:tr>
      <w:tr>
        <w:tblPrEx>
          <w:tblW w:w="5000" w:type="pct"/>
          <w:jc w:val="center"/>
          <w:tblLayout w:type="fixed"/>
          <w:tblCellMar>
            <w:top w:w="0" w:type="dxa"/>
            <w:left w:w="108" w:type="dxa"/>
            <w:bottom w:w="0" w:type="dxa"/>
            <w:right w:w="108" w:type="dxa"/>
          </w:tblCellMar>
        </w:tblPrEx>
        <w:trPr>
          <w:trHeight w:val="30"/>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9.最低转速≧500r/min，最小相对离心力≧28g。</w:t>
            </w:r>
          </w:p>
        </w:tc>
      </w:tr>
      <w:tr>
        <w:tblPrEx>
          <w:tblW w:w="5000" w:type="pct"/>
          <w:jc w:val="center"/>
          <w:tblLayout w:type="fixed"/>
          <w:tblCellMar>
            <w:top w:w="0" w:type="dxa"/>
            <w:left w:w="108" w:type="dxa"/>
            <w:bottom w:w="0" w:type="dxa"/>
            <w:right w:w="108" w:type="dxa"/>
          </w:tblCellMar>
        </w:tblPrEx>
        <w:trPr>
          <w:trHeight w:val="30"/>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10.转速控制精度：≦±30rpm/min。</w:t>
            </w:r>
          </w:p>
        </w:tc>
      </w:tr>
      <w:tr>
        <w:tblPrEx>
          <w:tblW w:w="5000" w:type="pct"/>
          <w:jc w:val="center"/>
          <w:tblLayout w:type="fixed"/>
          <w:tblCellMar>
            <w:top w:w="0" w:type="dxa"/>
            <w:left w:w="108" w:type="dxa"/>
            <w:bottom w:w="0" w:type="dxa"/>
            <w:right w:w="108" w:type="dxa"/>
          </w:tblCellMar>
        </w:tblPrEx>
        <w:trPr>
          <w:trHeight w:val="30"/>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11.▲定时范围0-30min；标本安全警报：结束后蜂鸣音乐提示，自动开盖，提醒客户及时取出样本。</w:t>
            </w:r>
            <w:r>
              <w:rPr>
                <w:rFonts w:ascii="宋体" w:eastAsia="宋体" w:hAnsi="宋体" w:cs="宋体" w:hint="eastAsia"/>
                <w:color w:val="FF0000"/>
                <w:sz w:val="21"/>
                <w:szCs w:val="21"/>
                <w:lang w:eastAsia="zh-CN"/>
              </w:rPr>
              <w:t>（</w:t>
            </w:r>
            <w:r>
              <w:rPr>
                <w:rFonts w:ascii="宋体" w:eastAsia="宋体" w:hAnsi="宋体" w:cs="宋体" w:hint="eastAsia"/>
                <w:b/>
                <w:bCs/>
                <w:color w:val="FF0000"/>
                <w:sz w:val="21"/>
                <w:szCs w:val="21"/>
                <w:lang w:eastAsia="zh-CN"/>
              </w:rPr>
              <w:t>需提供产品的技术文件或彩页或操作截图或具有CMA或CNAS标识的检验报告扫描件）</w:t>
            </w:r>
          </w:p>
        </w:tc>
      </w:tr>
      <w:tr>
        <w:tblPrEx>
          <w:tblW w:w="5000" w:type="pct"/>
          <w:jc w:val="center"/>
          <w:tblLayout w:type="fixed"/>
          <w:tblCellMar>
            <w:top w:w="0" w:type="dxa"/>
            <w:left w:w="108" w:type="dxa"/>
            <w:bottom w:w="0" w:type="dxa"/>
            <w:right w:w="108" w:type="dxa"/>
          </w:tblCellMar>
        </w:tblPrEx>
        <w:trPr>
          <w:trHeight w:val="30"/>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12.转速快速升降，4-6秒到设定转速及停机。</w:t>
            </w:r>
          </w:p>
        </w:tc>
      </w:tr>
      <w:tr>
        <w:tblPrEx>
          <w:tblW w:w="5000" w:type="pct"/>
          <w:jc w:val="center"/>
          <w:tblLayout w:type="fixed"/>
          <w:tblCellMar>
            <w:top w:w="0" w:type="dxa"/>
            <w:left w:w="108" w:type="dxa"/>
            <w:bottom w:w="0" w:type="dxa"/>
            <w:right w:w="108" w:type="dxa"/>
          </w:tblCellMar>
        </w:tblPrEx>
        <w:trPr>
          <w:trHeight w:val="30"/>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13.设备运行时，无噪音污染：≤55dB。</w:t>
            </w:r>
          </w:p>
        </w:tc>
      </w:tr>
      <w:tr>
        <w:tblPrEx>
          <w:tblW w:w="5000" w:type="pct"/>
          <w:jc w:val="center"/>
          <w:tblLayout w:type="fixed"/>
          <w:tblCellMar>
            <w:top w:w="0" w:type="dxa"/>
            <w:left w:w="108" w:type="dxa"/>
            <w:bottom w:w="0" w:type="dxa"/>
            <w:right w:w="108" w:type="dxa"/>
          </w:tblCellMar>
        </w:tblPrEx>
        <w:trPr>
          <w:trHeight w:val="30"/>
          <w:jc w:val="center"/>
        </w:trPr>
        <w:tc>
          <w:tcPr>
            <w:tcW w:w="477"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643" w:type="pct"/>
            <w:vMerge/>
            <w:noWrap w:val="0"/>
            <w:vAlign w:val="center"/>
          </w:tcPr>
          <w:p>
            <w:pPr>
              <w:spacing w:line="360" w:lineRule="auto"/>
              <w:ind w:left="0" w:firstLine="0" w:leftChars="0" w:firstLineChars="0"/>
              <w:jc w:val="both"/>
              <w:rPr>
                <w:rFonts w:ascii="宋体" w:eastAsia="宋体" w:hAnsi="宋体" w:cs="宋体" w:hint="eastAsia"/>
                <w:sz w:val="21"/>
                <w:szCs w:val="21"/>
                <w:lang w:eastAsia="zh-CN"/>
              </w:rPr>
            </w:pPr>
          </w:p>
        </w:tc>
        <w:tc>
          <w:tcPr>
            <w:tcW w:w="3878" w:type="pct"/>
            <w:noWrap w:val="0"/>
            <w:vAlign w:val="center"/>
          </w:tcPr>
          <w:p>
            <w:pPr>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14.配备磁力门锁，设有门盖自锁、超速等多种保护功能。</w:t>
            </w:r>
          </w:p>
        </w:tc>
      </w:tr>
      <w:tr>
        <w:tblPrEx>
          <w:tblW w:w="5000" w:type="pct"/>
          <w:jc w:val="center"/>
          <w:tblLayout w:type="fixed"/>
          <w:tblCellMar>
            <w:top w:w="0" w:type="dxa"/>
            <w:left w:w="108" w:type="dxa"/>
            <w:bottom w:w="0" w:type="dxa"/>
            <w:right w:w="108" w:type="dxa"/>
          </w:tblCellMar>
        </w:tblPrEx>
        <w:trPr>
          <w:trHeight w:val="408"/>
          <w:jc w:val="center"/>
        </w:trPr>
        <w:tc>
          <w:tcPr>
            <w:tcW w:w="477" w:type="pct"/>
            <w:vMerge/>
            <w:noWrap w:val="0"/>
            <w:vAlign w:val="center"/>
          </w:tcPr>
          <w:p>
            <w:pPr>
              <w:spacing w:line="360" w:lineRule="auto"/>
              <w:ind w:left="0" w:firstLine="0" w:leftChars="0" w:firstLineChars="0"/>
              <w:jc w:val="both"/>
            </w:pPr>
          </w:p>
        </w:tc>
        <w:tc>
          <w:tcPr>
            <w:tcW w:w="643" w:type="pct"/>
            <w:vMerge/>
            <w:noWrap w:val="0"/>
            <w:vAlign w:val="center"/>
          </w:tcPr>
          <w:p>
            <w:pPr>
              <w:spacing w:line="360" w:lineRule="auto"/>
              <w:ind w:left="0" w:firstLine="0" w:leftChars="0" w:firstLineChars="0"/>
              <w:jc w:val="both"/>
            </w:pPr>
          </w:p>
        </w:tc>
        <w:tc>
          <w:tcPr>
            <w:tcW w:w="3878" w:type="pct"/>
            <w:noWrap w:val="0"/>
            <w:vAlign w:val="center"/>
          </w:tcPr>
          <w:p>
            <w:pPr>
              <w:numPr>
                <w:ilvl w:val="0"/>
                <w:numId w:val="0"/>
              </w:numPr>
              <w:spacing w:line="360" w:lineRule="auto"/>
              <w:ind w:left="0" w:firstLine="0" w:leftChars="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15.自带安全防护功能，设备运行中，舱门不能打开；自带故障报警功能。</w:t>
            </w:r>
          </w:p>
        </w:tc>
      </w:tr>
    </w:tbl>
    <w:p>
      <w:pPr>
        <w:widowControl w:val="0"/>
        <w:jc w:val="both"/>
        <w:rPr>
          <w:rFonts w:ascii="Calibri" w:eastAsia="宋体" w:hAnsi="Calibri" w:hint="eastAsia"/>
          <w:b/>
          <w:color w:val="000000"/>
          <w:kern w:val="2"/>
          <w:sz w:val="21"/>
          <w:szCs w:val="21"/>
          <w:lang w:eastAsia="zh-CN"/>
        </w:rPr>
      </w:pPr>
    </w:p>
    <w:p>
      <w:pPr>
        <w:widowControl w:val="0"/>
        <w:spacing w:after="78"/>
        <w:jc w:val="left"/>
        <w:rPr>
          <w:rFonts w:ascii="Calibri" w:eastAsia="宋体" w:hAnsi="Calibri"/>
          <w:color w:val="FF0000"/>
          <w:kern w:val="2"/>
          <w:sz w:val="21"/>
          <w:szCs w:val="21"/>
          <w:lang w:eastAsia="zh-CN"/>
        </w:rPr>
      </w:pPr>
    </w:p>
    <w:p>
      <w:pPr>
        <w:widowControl w:val="0"/>
        <w:jc w:val="both"/>
        <w:rPr>
          <w:rFonts w:ascii="Calibri" w:eastAsia="宋体" w:hAnsi="Calibri"/>
          <w:b/>
          <w:color w:val="FF0000"/>
          <w:kern w:val="2"/>
          <w:sz w:val="21"/>
          <w:szCs w:val="22"/>
          <w:lang w:eastAsia="zh-CN"/>
        </w:rPr>
      </w:pPr>
    </w:p>
    <w:p>
      <w:pPr>
        <w:widowControl w:val="0"/>
        <w:jc w:val="both"/>
        <w:rPr>
          <w:rFonts w:ascii="Calibri" w:eastAsia="宋体" w:hAnsi="Calibri"/>
          <w:b/>
          <w:color w:val="FF0000"/>
          <w:kern w:val="2"/>
          <w:sz w:val="21"/>
          <w:szCs w:val="22"/>
          <w:lang w:eastAsia="zh-CN"/>
        </w:rPr>
      </w:pPr>
    </w:p>
    <w:p>
      <w:pPr>
        <w:widowControl w:val="0"/>
        <w:jc w:val="both"/>
        <w:rPr>
          <w:rFonts w:ascii="Calibri" w:eastAsia="宋体" w:hAnsi="Calibri"/>
          <w:b/>
          <w:color w:val="FF0000"/>
          <w:kern w:val="2"/>
          <w:sz w:val="21"/>
          <w:szCs w:val="22"/>
          <w:lang w:eastAsia="zh-CN"/>
        </w:rPr>
      </w:pPr>
    </w:p>
    <w:p>
      <w:pPr>
        <w:widowControl w:val="0"/>
        <w:jc w:val="both"/>
        <w:rPr>
          <w:rFonts w:ascii="Calibri" w:eastAsia="宋体" w:hAnsi="Calibri"/>
          <w:b/>
          <w:color w:val="FF0000"/>
          <w:kern w:val="2"/>
          <w:sz w:val="21"/>
          <w:szCs w:val="22"/>
          <w:lang w:eastAsia="zh-CN"/>
        </w:rPr>
      </w:pPr>
    </w:p>
    <w:p>
      <w:pPr>
        <w:widowControl w:val="0"/>
        <w:jc w:val="both"/>
        <w:rPr>
          <w:rFonts w:ascii="Calibri" w:eastAsia="宋体" w:hAnsi="Calibri"/>
          <w:b/>
          <w:color w:val="FF0000"/>
          <w:kern w:val="2"/>
          <w:sz w:val="21"/>
          <w:szCs w:val="22"/>
          <w:lang w:eastAsia="zh-CN"/>
        </w:rPr>
      </w:pPr>
    </w:p>
    <w:p>
      <w:pPr>
        <w:widowControl w:val="0"/>
        <w:jc w:val="both"/>
        <w:rPr>
          <w:rFonts w:ascii="Calibri" w:eastAsia="宋体" w:hAnsi="Calibri"/>
          <w:b/>
          <w:color w:val="FF0000"/>
          <w:kern w:val="2"/>
          <w:sz w:val="21"/>
          <w:szCs w:val="22"/>
          <w:lang w:eastAsia="zh-CN"/>
        </w:rPr>
      </w:pPr>
    </w:p>
    <w:p>
      <w:pPr>
        <w:widowControl w:val="0"/>
        <w:jc w:val="both"/>
        <w:rPr>
          <w:rFonts w:ascii="Calibri" w:eastAsia="宋体" w:hAnsi="Calibri"/>
          <w:b/>
          <w:color w:val="FF0000"/>
          <w:kern w:val="2"/>
          <w:sz w:val="21"/>
          <w:szCs w:val="22"/>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五、商务条款要求</w:t>
      </w:r>
    </w:p>
    <w:p>
      <w:pPr>
        <w:widowControl w:val="0"/>
        <w:ind w:firstLine="420" w:firstLineChars="200"/>
        <w:jc w:val="both"/>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6"/>
        <w:gridCol w:w="1521"/>
        <w:gridCol w:w="6459"/>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jc w:val="center"/>
        </w:trPr>
        <w:tc>
          <w:tcPr>
            <w:tcW w:w="840"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r>
              <w:rPr>
                <w:rFonts w:ascii="宋体" w:eastAsia="宋体" w:hAnsi="宋体" w:cs="宋体" w:hint="eastAsia"/>
                <w:b/>
                <w:sz w:val="21"/>
                <w:szCs w:val="21"/>
              </w:rPr>
              <w:t>序号</w:t>
            </w:r>
          </w:p>
        </w:tc>
        <w:tc>
          <w:tcPr>
            <w:tcW w:w="1457"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r>
              <w:rPr>
                <w:rFonts w:ascii="宋体" w:eastAsia="宋体" w:hAnsi="宋体" w:cs="宋体" w:hint="eastAsia"/>
                <w:b/>
                <w:sz w:val="21"/>
                <w:szCs w:val="21"/>
              </w:rPr>
              <w:t>商务需求项</w:t>
            </w: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r>
              <w:rPr>
                <w:rFonts w:ascii="宋体" w:eastAsia="宋体" w:hAnsi="宋体" w:cs="宋体" w:hint="eastAsia"/>
                <w:b/>
                <w:sz w:val="21"/>
                <w:szCs w:val="21"/>
              </w:rPr>
              <w:t>招标商务要求</w:t>
            </w:r>
          </w:p>
        </w:tc>
      </w:tr>
      <w:tr>
        <w:tblPrEx>
          <w:tblW w:w="5000" w:type="pct"/>
          <w:jc w:val="center"/>
          <w:tblLayout w:type="fixed"/>
          <w:tblCellMar>
            <w:top w:w="0" w:type="dxa"/>
            <w:left w:w="108" w:type="dxa"/>
            <w:bottom w:w="0" w:type="dxa"/>
            <w:right w:w="108" w:type="dxa"/>
          </w:tblCellMar>
        </w:tblPrEx>
        <w:trPr>
          <w:trHeight w:val="431"/>
          <w:jc w:val="center"/>
        </w:trPr>
        <w:tc>
          <w:tcPr>
            <w:tcW w:w="8486" w:type="dxa"/>
            <w:gridSpan w:val="3"/>
            <w:noWrap w:val="0"/>
            <w:vAlign w:val="top"/>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b/>
                <w:sz w:val="21"/>
                <w:szCs w:val="21"/>
              </w:rPr>
            </w:pPr>
            <w:r>
              <w:rPr>
                <w:rFonts w:ascii="宋体" w:eastAsia="宋体" w:hAnsi="宋体" w:cs="宋体" w:hint="eastAsia"/>
                <w:b/>
                <w:sz w:val="21"/>
                <w:szCs w:val="21"/>
              </w:rPr>
              <w:t>（一）免费保修期内售后服务要求</w:t>
            </w:r>
          </w:p>
        </w:tc>
      </w:tr>
      <w:tr>
        <w:tblPrEx>
          <w:tblW w:w="5000" w:type="pct"/>
          <w:jc w:val="center"/>
          <w:tblLayout w:type="fixed"/>
          <w:tblCellMar>
            <w:top w:w="0" w:type="dxa"/>
            <w:left w:w="108" w:type="dxa"/>
            <w:bottom w:w="0" w:type="dxa"/>
            <w:right w:w="108" w:type="dxa"/>
          </w:tblCellMar>
        </w:tblPrEx>
        <w:trPr>
          <w:trHeight w:val="282"/>
          <w:jc w:val="center"/>
        </w:trPr>
        <w:tc>
          <w:tcPr>
            <w:tcW w:w="84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1</w:t>
            </w:r>
          </w:p>
        </w:tc>
        <w:tc>
          <w:tcPr>
            <w:tcW w:w="1457" w:type="dxa"/>
            <w:vMerge w:val="restart"/>
            <w:noWrap w:val="0"/>
            <w:vAlign w:val="top"/>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Cs/>
                <w:sz w:val="21"/>
                <w:szCs w:val="21"/>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Cs/>
                <w:sz w:val="21"/>
                <w:szCs w:val="21"/>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Cs/>
                <w:sz w:val="21"/>
                <w:szCs w:val="21"/>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Cs/>
                <w:sz w:val="21"/>
                <w:szCs w:val="21"/>
              </w:rPr>
            </w:pPr>
            <w:r>
              <w:rPr>
                <w:rFonts w:ascii="宋体" w:eastAsia="宋体" w:hAnsi="宋体" w:cs="宋体" w:hint="eastAsia"/>
                <w:bCs/>
                <w:sz w:val="21"/>
                <w:szCs w:val="21"/>
                <w:lang w:eastAsia="zh-CN"/>
              </w:rPr>
              <w:t>维修及维护服务</w:t>
            </w:r>
          </w:p>
        </w:tc>
        <w:tc>
          <w:tcPr>
            <w:tcW w:w="61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eastAsia="宋体" w:hAnsi="宋体" w:cs="宋体" w:hint="eastAsia"/>
                <w:b/>
                <w:sz w:val="21"/>
                <w:szCs w:val="21"/>
                <w:lang w:eastAsia="zh-CN"/>
              </w:rPr>
            </w:pPr>
            <w:r>
              <w:rPr>
                <w:rFonts w:ascii="宋体" w:eastAsia="宋体" w:hAnsi="宋体" w:cs="宋体" w:hint="eastAsia"/>
                <w:color w:val="FF0000"/>
                <w:sz w:val="21"/>
                <w:szCs w:val="21"/>
                <w:lang w:eastAsia="zh-CN" w:bidi="ar"/>
              </w:rPr>
              <w:t xml:space="preserve">1.1 </w:t>
            </w:r>
            <w:r>
              <w:rPr>
                <w:rFonts w:ascii="宋体" w:eastAsia="宋体" w:hAnsi="宋体" w:cs="宋体" w:hint="eastAsia"/>
                <w:b/>
                <w:bCs/>
                <w:color w:val="FF0000"/>
                <w:sz w:val="21"/>
                <w:szCs w:val="21"/>
                <w:lang w:eastAsia="zh-CN" w:bidi="ar"/>
              </w:rPr>
              <w:t>★</w:t>
            </w:r>
            <w:r>
              <w:rPr>
                <w:rFonts w:ascii="宋体" w:eastAsia="宋体" w:hAnsi="宋体" w:cs="宋体" w:hint="eastAsia"/>
                <w:color w:val="FF0000"/>
                <w:sz w:val="21"/>
                <w:szCs w:val="21"/>
                <w:lang w:eastAsia="zh-CN" w:bidi="ar"/>
              </w:rPr>
              <w:t>整机免费保修期</w:t>
            </w:r>
            <w:r>
              <w:rPr>
                <w:rFonts w:ascii="宋体" w:eastAsia="宋体" w:hAnsi="宋体" w:cs="宋体" w:hint="eastAsia"/>
                <w:color w:val="FF0000"/>
                <w:sz w:val="21"/>
                <w:szCs w:val="21"/>
                <w:u w:val="single"/>
                <w:lang w:eastAsia="zh-CN" w:bidi="ar"/>
              </w:rPr>
              <w:t xml:space="preserve"> 1 </w:t>
            </w:r>
            <w:r>
              <w:rPr>
                <w:rFonts w:ascii="宋体" w:eastAsia="宋体" w:hAnsi="宋体" w:cs="宋体" w:hint="eastAsia"/>
                <w:color w:val="FF0000"/>
                <w:sz w:val="21"/>
                <w:szCs w:val="21"/>
                <w:lang w:eastAsia="zh-CN" w:bidi="ar"/>
              </w:rPr>
              <w:t xml:space="preserve">年。 </w:t>
            </w:r>
          </w:p>
        </w:tc>
      </w:tr>
      <w:tr>
        <w:tblPrEx>
          <w:tblW w:w="5000" w:type="pct"/>
          <w:jc w:val="center"/>
          <w:tblLayout w:type="fixed"/>
          <w:tblCellMar>
            <w:top w:w="0" w:type="dxa"/>
            <w:left w:w="108" w:type="dxa"/>
            <w:bottom w:w="0" w:type="dxa"/>
            <w:right w:w="108" w:type="dxa"/>
          </w:tblCellMar>
        </w:tblPrEx>
        <w:trPr>
          <w:trHeight w:val="320"/>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sz w:val="21"/>
                <w:szCs w:val="21"/>
              </w:rPr>
            </w:pPr>
          </w:p>
        </w:tc>
        <w:tc>
          <w:tcPr>
            <w:tcW w:w="61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eastAsia="宋体" w:hAnsi="宋体" w:cs="宋体" w:hint="eastAsia"/>
                <w:b/>
                <w:sz w:val="21"/>
                <w:szCs w:val="21"/>
              </w:rPr>
            </w:pPr>
            <w:r>
              <w:rPr>
                <w:rFonts w:ascii="宋体" w:eastAsia="宋体" w:hAnsi="宋体" w:cs="宋体" w:hint="eastAsia"/>
                <w:sz w:val="20"/>
                <w:szCs w:val="20"/>
                <w:lang w:eastAsia="zh-CN" w:bidi="ar"/>
              </w:rPr>
              <w:t xml:space="preserve">1.2 各投标人应在投标文件中列明各主机、配件和易耗品的免费保修期限，终身维修。免费保修期内，年度定期预防性维护保养次数应不少于4 次。 保修期内免费更换零配件、免工时费。 </w:t>
            </w:r>
          </w:p>
        </w:tc>
      </w:tr>
      <w:tr>
        <w:tblPrEx>
          <w:tblW w:w="5000" w:type="pct"/>
          <w:jc w:val="center"/>
          <w:tblLayout w:type="fixed"/>
          <w:tblCellMar>
            <w:top w:w="0" w:type="dxa"/>
            <w:left w:w="108" w:type="dxa"/>
            <w:bottom w:w="0" w:type="dxa"/>
            <w:right w:w="108" w:type="dxa"/>
          </w:tblCellMar>
        </w:tblPrEx>
        <w:trPr>
          <w:trHeight w:val="523"/>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sz w:val="21"/>
                <w:szCs w:val="21"/>
              </w:rPr>
            </w:pPr>
          </w:p>
        </w:tc>
        <w:tc>
          <w:tcPr>
            <w:tcW w:w="61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eastAsia="宋体" w:hAnsi="宋体" w:cs="宋体" w:hint="eastAsia"/>
                <w:bCs/>
                <w:sz w:val="21"/>
                <w:szCs w:val="21"/>
                <w:lang w:eastAsia="zh-CN"/>
              </w:rPr>
            </w:pPr>
            <w:r>
              <w:rPr>
                <w:rFonts w:hint="eastAsia"/>
                <w:bCs/>
                <w:sz w:val="20"/>
                <w:szCs w:val="20"/>
                <w:lang w:eastAsia="zh-CN"/>
              </w:rPr>
              <w:t xml:space="preserve">1.3由设备制造商提供售后服务，2小时内响应， 24小时维修到位（不可抗力情况除外）。消耗品和 零配件供应及时，特殊情况下可提供备用机。 </w:t>
            </w:r>
          </w:p>
        </w:tc>
      </w:tr>
      <w:tr>
        <w:tblPrEx>
          <w:tblW w:w="5000" w:type="pct"/>
          <w:jc w:val="center"/>
          <w:tblLayout w:type="fixed"/>
          <w:tblCellMar>
            <w:top w:w="0" w:type="dxa"/>
            <w:left w:w="108" w:type="dxa"/>
            <w:bottom w:w="0" w:type="dxa"/>
            <w:right w:w="108" w:type="dxa"/>
          </w:tblCellMar>
        </w:tblPrEx>
        <w:trPr>
          <w:trHeight w:val="523"/>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61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eastAsia="宋体" w:hAnsi="宋体" w:cs="宋体" w:hint="eastAsia"/>
                <w:bCs/>
                <w:sz w:val="21"/>
                <w:szCs w:val="21"/>
                <w:lang w:eastAsia="zh-CN"/>
              </w:rPr>
            </w:pPr>
            <w:r>
              <w:rPr>
                <w:rFonts w:hint="eastAsia"/>
                <w:bCs/>
                <w:sz w:val="20"/>
                <w:szCs w:val="20"/>
                <w:lang w:eastAsia="zh-CN"/>
              </w:rPr>
              <w:t xml:space="preserve">1.4投标人负责货物的终身维修，保证10年以上供应维修配件， 5年内免费提供软件升级服务。 </w:t>
            </w:r>
          </w:p>
        </w:tc>
      </w:tr>
      <w:tr>
        <w:tblPrEx>
          <w:tblW w:w="5000" w:type="pct"/>
          <w:jc w:val="center"/>
          <w:tblLayout w:type="fixed"/>
          <w:tblCellMar>
            <w:top w:w="0" w:type="dxa"/>
            <w:left w:w="108" w:type="dxa"/>
            <w:bottom w:w="0" w:type="dxa"/>
            <w:right w:w="108" w:type="dxa"/>
          </w:tblCellMar>
        </w:tblPrEx>
        <w:trPr>
          <w:trHeight w:val="523"/>
          <w:jc w:val="center"/>
        </w:trPr>
        <w:tc>
          <w:tcPr>
            <w:tcW w:w="840"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p>
        </w:tc>
        <w:tc>
          <w:tcPr>
            <w:tcW w:w="1457"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Cs/>
                <w:sz w:val="21"/>
                <w:szCs w:val="21"/>
                <w:lang w:eastAsia="zh-CN"/>
              </w:rPr>
            </w:pPr>
            <w:r>
              <w:rPr>
                <w:rFonts w:ascii="宋体" w:eastAsia="宋体" w:hAnsi="宋体" w:cs="宋体" w:hint="eastAsia"/>
                <w:sz w:val="21"/>
                <w:szCs w:val="21"/>
                <w:lang w:eastAsia="zh-CN"/>
              </w:rPr>
              <w:t>质量保证</w:t>
            </w: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bCs/>
                <w:sz w:val="20"/>
                <w:szCs w:val="20"/>
              </w:rPr>
            </w:pPr>
            <w:r>
              <w:rPr>
                <w:rFonts w:hint="eastAsia"/>
                <w:bCs/>
                <w:sz w:val="20"/>
                <w:szCs w:val="20"/>
                <w:lang w:eastAsia="zh-CN"/>
              </w:rPr>
              <w:t xml:space="preserve">2.1 在免费保修期内，投标人应确保年开机率在 95%（含）以上，若不能达到此开机率，将作以下处理： </w:t>
            </w:r>
          </w:p>
          <w:p>
            <w:pPr>
              <w:keepNext w:val="0"/>
              <w:keepLines w:val="0"/>
              <w:pageBreakBefore w:val="0"/>
              <w:kinsoku/>
              <w:wordWrap/>
              <w:overflowPunct/>
              <w:topLinePunct w:val="0"/>
              <w:autoSpaceDE/>
              <w:autoSpaceDN/>
              <w:bidi w:val="0"/>
              <w:adjustRightInd/>
              <w:snapToGrid/>
              <w:spacing w:line="360" w:lineRule="auto"/>
              <w:textAlignment w:val="auto"/>
              <w:rPr>
                <w:bCs/>
                <w:sz w:val="20"/>
                <w:szCs w:val="20"/>
              </w:rPr>
            </w:pPr>
            <w:r>
              <w:rPr>
                <w:rFonts w:hint="eastAsia"/>
                <w:bCs/>
                <w:sz w:val="20"/>
                <w:szCs w:val="20"/>
                <w:lang w:eastAsia="zh-CN"/>
              </w:rPr>
              <w:t xml:space="preserve">a. 若年开机率在 90（含）-95%（不含）之间，则延长一年免费保修期； </w:t>
            </w:r>
          </w:p>
          <w:p>
            <w:pPr>
              <w:keepNext w:val="0"/>
              <w:keepLines w:val="0"/>
              <w:pageBreakBefore w:val="0"/>
              <w:kinsoku/>
              <w:wordWrap/>
              <w:overflowPunct/>
              <w:topLinePunct w:val="0"/>
              <w:autoSpaceDE/>
              <w:autoSpaceDN/>
              <w:bidi w:val="0"/>
              <w:adjustRightInd/>
              <w:snapToGrid/>
              <w:spacing w:line="360" w:lineRule="auto"/>
              <w:textAlignment w:val="auto"/>
              <w:rPr>
                <w:bCs/>
                <w:sz w:val="20"/>
                <w:szCs w:val="20"/>
              </w:rPr>
            </w:pPr>
            <w:r>
              <w:rPr>
                <w:rFonts w:hint="eastAsia"/>
                <w:bCs/>
                <w:sz w:val="20"/>
                <w:szCs w:val="20"/>
                <w:lang w:eastAsia="zh-CN"/>
              </w:rPr>
              <w:t xml:space="preserve">b. 若年开机率在 85（含）-90%（不含）之间，则延长二年免费保修期； </w:t>
            </w:r>
          </w:p>
          <w:p>
            <w:pPr>
              <w:keepNext w:val="0"/>
              <w:keepLines w:val="0"/>
              <w:pageBreakBefore w:val="0"/>
              <w:kinsoku/>
              <w:wordWrap/>
              <w:overflowPunct/>
              <w:topLinePunct w:val="0"/>
              <w:autoSpaceDE/>
              <w:autoSpaceDN/>
              <w:bidi w:val="0"/>
              <w:adjustRightInd/>
              <w:snapToGrid/>
              <w:spacing w:line="360" w:lineRule="auto"/>
              <w:textAlignment w:val="auto"/>
              <w:rPr>
                <w:bCs/>
                <w:sz w:val="20"/>
                <w:szCs w:val="20"/>
              </w:rPr>
            </w:pPr>
            <w:r>
              <w:rPr>
                <w:rFonts w:hint="eastAsia"/>
                <w:bCs/>
                <w:sz w:val="20"/>
                <w:szCs w:val="20"/>
                <w:lang w:eastAsia="zh-CN"/>
              </w:rPr>
              <w:t xml:space="preserve">c. 若年开机率低于 85%（不含），投标人需无条件更换新机，并重新计算免费保修期，以及赔偿用户的直接经济损失和间接经济损失。 </w:t>
            </w:r>
          </w:p>
          <w:p>
            <w:pPr>
              <w:keepNext w:val="0"/>
              <w:keepLines w:val="0"/>
              <w:pageBreakBefore w:val="0"/>
              <w:kinsoku/>
              <w:wordWrap/>
              <w:overflowPunct/>
              <w:topLinePunct w:val="0"/>
              <w:autoSpaceDE/>
              <w:autoSpaceDN/>
              <w:bidi w:val="0"/>
              <w:adjustRightInd/>
              <w:snapToGrid/>
              <w:spacing w:line="360" w:lineRule="auto"/>
              <w:textAlignment w:val="auto"/>
              <w:rPr>
                <w:bCs/>
                <w:sz w:val="20"/>
                <w:szCs w:val="20"/>
              </w:rPr>
            </w:pPr>
            <w:r>
              <w:rPr>
                <w:rFonts w:hint="eastAsia"/>
                <w:bCs/>
                <w:sz w:val="20"/>
                <w:szCs w:val="20"/>
                <w:lang w:eastAsia="zh-CN"/>
              </w:rPr>
              <w:t xml:space="preserve">注：1、年开机率=（365-停机天数）/365）； </w:t>
            </w:r>
          </w:p>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bCs/>
                <w:sz w:val="21"/>
                <w:szCs w:val="21"/>
              </w:rPr>
            </w:pPr>
            <w:r>
              <w:rPr>
                <w:rFonts w:hint="eastAsia"/>
                <w:bCs/>
                <w:sz w:val="20"/>
                <w:szCs w:val="20"/>
                <w:lang w:eastAsia="zh-CN"/>
              </w:rPr>
              <w:t>2、以上 a、b 两项可累计延长。</w:t>
            </w:r>
          </w:p>
        </w:tc>
      </w:tr>
      <w:tr>
        <w:tblPrEx>
          <w:tblW w:w="5000" w:type="pct"/>
          <w:jc w:val="center"/>
          <w:tblLayout w:type="fixed"/>
          <w:tblCellMar>
            <w:top w:w="0" w:type="dxa"/>
            <w:left w:w="108" w:type="dxa"/>
            <w:bottom w:w="0" w:type="dxa"/>
            <w:right w:w="108" w:type="dxa"/>
          </w:tblCellMar>
        </w:tblPrEx>
        <w:trPr>
          <w:trHeight w:val="454"/>
          <w:jc w:val="center"/>
        </w:trPr>
        <w:tc>
          <w:tcPr>
            <w:tcW w:w="8486" w:type="dxa"/>
            <w:gridSpan w:val="3"/>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b/>
                <w:sz w:val="21"/>
                <w:szCs w:val="21"/>
              </w:rPr>
            </w:pPr>
            <w:r>
              <w:rPr>
                <w:rFonts w:ascii="宋体" w:eastAsia="宋体" w:hAnsi="宋体" w:cs="宋体" w:hint="eastAsia"/>
                <w:b/>
                <w:sz w:val="21"/>
                <w:szCs w:val="21"/>
              </w:rPr>
              <w:t>（二）免费保修期外售后服务要求</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r>
              <w:rPr>
                <w:rFonts w:ascii="宋体" w:eastAsia="宋体" w:hAnsi="宋体" w:cs="宋体" w:hint="eastAsia"/>
                <w:b/>
                <w:sz w:val="21"/>
                <w:szCs w:val="21"/>
              </w:rPr>
              <w:t>1</w:t>
            </w:r>
          </w:p>
        </w:tc>
        <w:tc>
          <w:tcPr>
            <w:tcW w:w="1457"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000000"/>
                <w:sz w:val="21"/>
                <w:szCs w:val="21"/>
              </w:rPr>
            </w:pPr>
            <w:r>
              <w:rPr>
                <w:rFonts w:ascii="宋体" w:eastAsia="宋体" w:hAnsi="宋体" w:cs="宋体" w:hint="eastAsia"/>
                <w:color w:val="000000"/>
                <w:sz w:val="21"/>
                <w:szCs w:val="21"/>
              </w:rPr>
              <w:t>维修零配件、消耗品和延续保修合同的报价</w:t>
            </w: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b/>
                <w:color w:val="000000"/>
                <w:sz w:val="21"/>
                <w:szCs w:val="21"/>
              </w:rPr>
            </w:pPr>
            <w:r>
              <w:rPr>
                <w:rFonts w:ascii="宋体" w:hAnsi="宋体" w:cs="宋体" w:hint="eastAsia"/>
                <w:color w:val="000000"/>
                <w:sz w:val="20"/>
                <w:szCs w:val="20"/>
              </w:rPr>
              <w:t>1.1由设备制造商提供售后服务，</w:t>
            </w:r>
            <w:r>
              <w:rPr>
                <w:rFonts w:ascii="宋体" w:hAnsi="宋体" w:cs="宋体" w:hint="eastAsia"/>
                <w:color w:val="000000"/>
                <w:sz w:val="20"/>
                <w:szCs w:val="20"/>
                <w:u w:val="single"/>
                <w:lang w:eastAsia="zh-CN"/>
              </w:rPr>
              <w:t xml:space="preserve"> 2</w:t>
            </w:r>
            <w:r>
              <w:rPr>
                <w:rFonts w:ascii="宋体" w:hAnsi="宋体" w:cs="宋体" w:hint="eastAsia"/>
                <w:color w:val="000000"/>
                <w:sz w:val="20"/>
                <w:szCs w:val="20"/>
                <w:u w:val="single"/>
              </w:rPr>
              <w:t xml:space="preserve"> </w:t>
            </w:r>
            <w:r>
              <w:rPr>
                <w:rFonts w:ascii="宋体" w:hAnsi="宋体" w:cs="宋体" w:hint="eastAsia"/>
                <w:color w:val="000000"/>
                <w:sz w:val="20"/>
                <w:szCs w:val="20"/>
              </w:rPr>
              <w:t>小时内响应，</w:t>
            </w:r>
            <w:r>
              <w:rPr>
                <w:rFonts w:ascii="宋体" w:hAnsi="宋体" w:cs="宋体" w:hint="eastAsia"/>
                <w:color w:val="000000"/>
                <w:sz w:val="20"/>
                <w:szCs w:val="20"/>
                <w:u w:val="single"/>
              </w:rPr>
              <w:t> 24 </w:t>
            </w:r>
            <w:r>
              <w:rPr>
                <w:rFonts w:ascii="宋体" w:hAnsi="宋体" w:cs="宋体" w:hint="eastAsia"/>
                <w:color w:val="000000"/>
                <w:sz w:val="20"/>
                <w:szCs w:val="20"/>
              </w:rPr>
              <w:t>小时维修到位（不可抗力情况除外）。消耗品和零配件供应及时，特殊情况下可提供备用机。</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color w:val="000000"/>
                <w:sz w:val="21"/>
                <w:szCs w:val="21"/>
              </w:rPr>
            </w:pP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color w:val="000000"/>
                <w:sz w:val="21"/>
                <w:szCs w:val="21"/>
              </w:rPr>
            </w:pPr>
            <w:r>
              <w:rPr>
                <w:rFonts w:ascii="宋体" w:hAnsi="宋体" w:cs="宋体" w:hint="eastAsia"/>
                <w:color w:val="000000"/>
                <w:sz w:val="20"/>
                <w:szCs w:val="20"/>
              </w:rPr>
              <w:t>1.2</w:t>
            </w:r>
            <w:r>
              <w:rPr>
                <w:rFonts w:ascii="宋体" w:hAnsi="宋体" w:cs="宋体" w:hint="eastAsia"/>
                <w:color w:val="000000"/>
                <w:sz w:val="20"/>
                <w:szCs w:val="20"/>
                <w:lang w:eastAsia="zh-CN"/>
              </w:rPr>
              <w:t xml:space="preserve">保修期满后，维修只收取零配件费用。投标人应以优惠价供应维修零配件、消耗品和延续保修合同。零配件、消耗品和延续保修合同的报价明细需填写于《零配件、消耗品和延续保修合同报价明细清单》中。 </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color w:val="000000"/>
                <w:sz w:val="21"/>
                <w:szCs w:val="21"/>
              </w:rPr>
            </w:pP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color w:val="000000"/>
                <w:sz w:val="21"/>
                <w:szCs w:val="21"/>
                <w:lang w:eastAsia="zh-CN"/>
              </w:rPr>
            </w:pPr>
            <w:r>
              <w:rPr>
                <w:rFonts w:ascii="宋体" w:hAnsi="宋体" w:cs="宋体" w:hint="eastAsia"/>
                <w:color w:val="000000"/>
                <w:sz w:val="20"/>
                <w:szCs w:val="20"/>
                <w:lang w:eastAsia="zh-CN"/>
              </w:rPr>
              <w:t>1.3采购人可与投标人就优惠价进行谈判，但优惠价不得高于投标人在投标文件的《零配件、消耗品和延续保修合同报价明细清单》中承诺的维修零配件、消耗品和延续保修合同的报价。</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color w:val="000000"/>
                <w:sz w:val="21"/>
                <w:szCs w:val="21"/>
              </w:rPr>
            </w:pP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color w:val="000000"/>
                <w:sz w:val="21"/>
                <w:szCs w:val="21"/>
                <w:lang w:eastAsia="zh-CN"/>
              </w:rPr>
            </w:pPr>
            <w:r>
              <w:rPr>
                <w:rFonts w:ascii="宋体" w:hAnsi="宋体" w:cs="宋体" w:hint="eastAsia"/>
                <w:color w:val="000000"/>
                <w:sz w:val="20"/>
                <w:szCs w:val="20"/>
                <w:lang w:eastAsia="zh-CN"/>
              </w:rPr>
              <w:t xml:space="preserve">1.4设备制造商维修的货物经采购人验收合格，且设备制造商提供维修专用发票后，采购人支付维修费用。 </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color w:val="000000"/>
                <w:sz w:val="21"/>
                <w:szCs w:val="21"/>
              </w:rPr>
            </w:pP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b/>
                <w:color w:val="000000"/>
                <w:sz w:val="21"/>
                <w:szCs w:val="21"/>
                <w:lang w:eastAsia="zh-CN"/>
              </w:rPr>
            </w:pPr>
            <w:r>
              <w:rPr>
                <w:rFonts w:ascii="宋体" w:hAnsi="宋体" w:hint="eastAsia"/>
                <w:bCs/>
                <w:color w:val="000000"/>
                <w:sz w:val="20"/>
                <w:szCs w:val="22"/>
                <w:lang w:eastAsia="zh-CN"/>
              </w:rPr>
              <w:t>1.5投标人及设备制造商不得以任何理由不按时进 行维修，不得要求采购人购买所谓“保修服务”（即：不论设备有无故障先买保修服务），不得在设备中嵌设任何不利于采购人使用与维修设备的障碍。</w:t>
            </w:r>
          </w:p>
        </w:tc>
      </w:tr>
      <w:tr>
        <w:tblPrEx>
          <w:tblW w:w="5000" w:type="pct"/>
          <w:jc w:val="center"/>
          <w:tblLayout w:type="fixed"/>
          <w:tblCellMar>
            <w:top w:w="0" w:type="dxa"/>
            <w:left w:w="108" w:type="dxa"/>
            <w:bottom w:w="0" w:type="dxa"/>
            <w:right w:w="108" w:type="dxa"/>
          </w:tblCellMar>
        </w:tblPrEx>
        <w:trPr>
          <w:trHeight w:val="454"/>
          <w:jc w:val="center"/>
        </w:trPr>
        <w:tc>
          <w:tcPr>
            <w:tcW w:w="8486" w:type="dxa"/>
            <w:gridSpan w:val="3"/>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b/>
                <w:sz w:val="21"/>
                <w:szCs w:val="21"/>
              </w:rPr>
            </w:pPr>
            <w:r>
              <w:rPr>
                <w:rFonts w:ascii="宋体" w:eastAsia="宋体" w:hAnsi="宋体" w:cs="宋体" w:hint="eastAsia"/>
                <w:b/>
                <w:sz w:val="21"/>
                <w:szCs w:val="21"/>
              </w:rPr>
              <w:t>（三）其他商务要求</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bookmarkStart w:id="15" w:name="_Hlk72260973"/>
            <w:r>
              <w:rPr>
                <w:rFonts w:ascii="宋体" w:eastAsia="宋体" w:hAnsi="宋体" w:cs="宋体" w:hint="eastAsia"/>
                <w:b/>
                <w:sz w:val="21"/>
                <w:szCs w:val="21"/>
              </w:rPr>
              <w:t>1</w:t>
            </w:r>
          </w:p>
        </w:tc>
        <w:tc>
          <w:tcPr>
            <w:tcW w:w="1457"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lang w:eastAsia="zh-CN"/>
              </w:rPr>
            </w:pPr>
            <w:r>
              <w:rPr>
                <w:rFonts w:ascii="宋体" w:eastAsia="宋体" w:hAnsi="宋体" w:cs="宋体" w:hint="eastAsia"/>
                <w:b/>
                <w:bCs/>
                <w:sz w:val="21"/>
                <w:szCs w:val="21"/>
                <w:lang w:eastAsia="zh-CN" w:bidi="ar"/>
              </w:rPr>
              <w:t>★</w:t>
            </w:r>
            <w:r>
              <w:rPr>
                <w:rFonts w:ascii="宋体" w:eastAsia="宋体" w:hAnsi="宋体" w:cs="宋体" w:hint="eastAsia"/>
                <w:b/>
                <w:sz w:val="21"/>
                <w:szCs w:val="21"/>
                <w:lang w:eastAsia="zh-CN"/>
              </w:rPr>
              <w:t>交货要求</w:t>
            </w: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color w:val="FF0000"/>
                <w:sz w:val="21"/>
                <w:szCs w:val="21"/>
                <w:lang w:eastAsia="zh-CN" w:bidi="ar"/>
              </w:rPr>
            </w:pPr>
            <w:r>
              <w:rPr>
                <w:rFonts w:ascii="宋体" w:eastAsia="宋体" w:hAnsi="宋体" w:cs="宋体" w:hint="eastAsia"/>
                <w:color w:val="FF0000"/>
                <w:sz w:val="21"/>
                <w:szCs w:val="21"/>
                <w:lang w:eastAsia="zh-CN"/>
              </w:rPr>
              <w:t xml:space="preserve">1.1 </w:t>
            </w:r>
            <w:r>
              <w:rPr>
                <w:rFonts w:ascii="宋体" w:eastAsia="宋体" w:hAnsi="宋体" w:cs="宋体" w:hint="eastAsia"/>
                <w:color w:val="FF0000"/>
                <w:sz w:val="21"/>
                <w:szCs w:val="21"/>
                <w:lang w:eastAsia="zh-CN" w:bidi="ar"/>
              </w:rPr>
              <w:t>交货期：</w:t>
            </w:r>
            <w:r>
              <w:rPr>
                <w:rFonts w:ascii="宋体" w:hAnsi="宋体" w:cs="宋体" w:hint="eastAsia"/>
                <w:color w:val="FF0000"/>
                <w:sz w:val="21"/>
                <w:szCs w:val="21"/>
                <w:u w:val="single"/>
                <w:lang w:eastAsia="zh-CN" w:bidi="ar"/>
              </w:rPr>
              <w:t>60</w:t>
            </w:r>
            <w:r>
              <w:rPr>
                <w:rFonts w:ascii="宋体" w:eastAsia="宋体" w:hAnsi="宋体" w:cs="宋体" w:hint="eastAsia"/>
                <w:color w:val="FF0000"/>
                <w:sz w:val="21"/>
                <w:szCs w:val="21"/>
                <w:u w:val="single"/>
                <w:lang w:eastAsia="zh-CN" w:bidi="ar"/>
              </w:rPr>
              <w:t xml:space="preserve"> </w:t>
            </w:r>
            <w:r>
              <w:rPr>
                <w:rFonts w:ascii="宋体" w:eastAsia="宋体" w:hAnsi="宋体" w:cs="宋体" w:hint="eastAsia"/>
                <w:color w:val="FF0000"/>
                <w:sz w:val="21"/>
                <w:szCs w:val="21"/>
                <w:lang w:eastAsia="zh-CN" w:bidi="ar"/>
              </w:rPr>
              <w:t xml:space="preserve">天（日历日）内。 </w:t>
            </w:r>
          </w:p>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color w:val="FF0000"/>
                <w:sz w:val="21"/>
                <w:szCs w:val="21"/>
              </w:rPr>
            </w:pPr>
            <w:r>
              <w:rPr>
                <w:rFonts w:ascii="宋体" w:eastAsia="宋体" w:hAnsi="宋体" w:cs="宋体" w:hint="eastAsia"/>
                <w:color w:val="FF0000"/>
                <w:sz w:val="21"/>
                <w:szCs w:val="21"/>
                <w:lang w:eastAsia="zh-CN" w:bidi="ar"/>
              </w:rPr>
              <w:t xml:space="preserve">交货期说明：自合同签订之日起。 </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sz w:val="21"/>
                <w:szCs w:val="21"/>
              </w:rPr>
            </w:pP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2</w:t>
            </w:r>
            <w:r>
              <w:rPr>
                <w:rFonts w:ascii="宋体" w:eastAsia="宋体" w:hAnsi="宋体" w:cs="宋体" w:hint="eastAsia"/>
                <w:sz w:val="21"/>
                <w:szCs w:val="21"/>
                <w:lang w:eastAsia="zh-CN" w:bidi="ar"/>
              </w:rPr>
              <w:t>投标人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sz w:val="21"/>
                <w:szCs w:val="21"/>
              </w:rPr>
            </w:pPr>
          </w:p>
        </w:tc>
        <w:tc>
          <w:tcPr>
            <w:tcW w:w="6189" w:type="dxa"/>
            <w:noWrap w:val="0"/>
            <w:vAlign w:val="top"/>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3</w:t>
            </w:r>
            <w:r>
              <w:rPr>
                <w:rFonts w:ascii="宋体" w:eastAsia="宋体" w:hAnsi="宋体" w:cs="宋体" w:hint="eastAsia"/>
                <w:sz w:val="21"/>
                <w:szCs w:val="21"/>
                <w:lang w:eastAsia="zh-CN" w:bidi="ar"/>
              </w:rPr>
              <w:t>提供的货物必须为全新、经检验合格的产品。进口设备要求生产日期在1年（日历日）以内</w:t>
            </w:r>
            <w:r>
              <w:rPr>
                <w:rFonts w:ascii="宋体" w:hAnsi="宋体" w:cs="宋体" w:hint="eastAsia"/>
                <w:sz w:val="21"/>
                <w:szCs w:val="21"/>
                <w:lang w:eastAsia="zh-CN" w:bidi="ar"/>
              </w:rPr>
              <w:t>。</w:t>
            </w:r>
            <w:r>
              <w:rPr>
                <w:rFonts w:ascii="宋体" w:eastAsia="宋体" w:hAnsi="宋体" w:cs="宋体" w:hint="eastAsia"/>
                <w:sz w:val="21"/>
                <w:szCs w:val="21"/>
                <w:lang w:eastAsia="zh-CN" w:bidi="ar"/>
              </w:rPr>
              <w:t>国产设备要求生产日期在3个月（日历日）以内</w:t>
            </w:r>
            <w:r>
              <w:rPr>
                <w:rFonts w:ascii="宋体" w:hAnsi="宋体" w:cs="宋体" w:hint="eastAsia"/>
                <w:sz w:val="21"/>
                <w:szCs w:val="21"/>
                <w:lang w:eastAsia="zh-CN" w:bidi="ar"/>
              </w:rPr>
              <w:t>。</w:t>
            </w:r>
            <w:r>
              <w:rPr>
                <w:rFonts w:ascii="宋体" w:eastAsia="宋体" w:hAnsi="宋体" w:cs="宋体" w:hint="eastAsia"/>
                <w:sz w:val="21"/>
                <w:szCs w:val="21"/>
                <w:lang w:eastAsia="zh-CN" w:bidi="ar"/>
              </w:rPr>
              <w:t xml:space="preserve">产品如需要计量检定的应提供相关计量检定部门出具的合法检定报告。 </w:t>
            </w:r>
          </w:p>
        </w:tc>
      </w:tr>
      <w:bookmarkEnd w:id="15"/>
      <w:tr>
        <w:tblPrEx>
          <w:tblW w:w="5000" w:type="pct"/>
          <w:jc w:val="center"/>
          <w:tblLayout w:type="fixed"/>
          <w:tblCellMar>
            <w:top w:w="0" w:type="dxa"/>
            <w:left w:w="108" w:type="dxa"/>
            <w:bottom w:w="0" w:type="dxa"/>
            <w:right w:w="108" w:type="dxa"/>
          </w:tblCellMar>
        </w:tblPrEx>
        <w:trPr>
          <w:trHeight w:val="454"/>
          <w:jc w:val="center"/>
        </w:trPr>
        <w:tc>
          <w:tcPr>
            <w:tcW w:w="84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r>
              <w:rPr>
                <w:rFonts w:ascii="宋体" w:eastAsia="宋体" w:hAnsi="宋体" w:cs="宋体" w:hint="eastAsia"/>
                <w:b/>
                <w:sz w:val="21"/>
                <w:szCs w:val="21"/>
              </w:rPr>
              <w:t>2</w:t>
            </w:r>
          </w:p>
        </w:tc>
        <w:tc>
          <w:tcPr>
            <w:tcW w:w="1457"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color w:val="000000"/>
                <w:sz w:val="21"/>
                <w:szCs w:val="21"/>
                <w:lang w:eastAsia="zh-CN"/>
              </w:rPr>
            </w:pPr>
            <w:r>
              <w:rPr>
                <w:rFonts w:ascii="宋体" w:eastAsia="宋体" w:hAnsi="宋体" w:cs="宋体" w:hint="eastAsia"/>
                <w:b/>
                <w:bCs/>
                <w:sz w:val="21"/>
                <w:szCs w:val="21"/>
                <w:lang w:eastAsia="zh-CN" w:bidi="ar"/>
              </w:rPr>
              <w:t>★</w:t>
            </w:r>
            <w:r>
              <w:rPr>
                <w:rFonts w:ascii="宋体" w:eastAsia="宋体" w:hAnsi="宋体" w:cs="宋体" w:hint="eastAsia"/>
                <w:color w:val="000000"/>
                <w:sz w:val="21"/>
                <w:szCs w:val="21"/>
              </w:rPr>
              <w:t>运输、安装</w:t>
            </w:r>
            <w:r>
              <w:rPr>
                <w:rFonts w:ascii="宋体" w:eastAsia="宋体" w:hAnsi="宋体" w:cs="宋体" w:hint="eastAsia"/>
                <w:color w:val="000000"/>
                <w:sz w:val="21"/>
                <w:szCs w:val="21"/>
                <w:lang w:eastAsia="zh-CN"/>
              </w:rPr>
              <w:t>和验收</w:t>
            </w: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bCs/>
                <w:sz w:val="21"/>
                <w:szCs w:val="21"/>
              </w:rPr>
            </w:pPr>
            <w:r>
              <w:rPr>
                <w:rFonts w:ascii="宋体" w:eastAsia="宋体" w:hAnsi="宋体" w:cs="宋体" w:hint="eastAsia"/>
                <w:sz w:val="21"/>
                <w:szCs w:val="21"/>
              </w:rPr>
              <w:t xml:space="preserve">2.1 </w:t>
            </w:r>
            <w:r>
              <w:rPr>
                <w:rFonts w:ascii="宋体" w:eastAsia="宋体" w:hAnsi="宋体" w:cs="宋体" w:hint="eastAsia"/>
                <w:sz w:val="21"/>
                <w:szCs w:val="21"/>
                <w:lang w:eastAsia="zh-CN" w:bidi="ar"/>
              </w:rPr>
              <w:t>投标人负责将货物安全无损运抵采购人指定地点，并承担设备的包装、运输、保险、装卸、安装调试、培训、商检及计量检测、</w:t>
            </w:r>
            <w:r>
              <w:rPr>
                <w:rFonts w:ascii="宋体" w:hAnsi="宋体" w:cs="宋体" w:hint="eastAsia"/>
                <w:sz w:val="21"/>
                <w:szCs w:val="21"/>
                <w:lang w:eastAsia="zh-CN" w:bidi="ar"/>
              </w:rPr>
              <w:t>关税、</w:t>
            </w:r>
            <w:r>
              <w:rPr>
                <w:rFonts w:ascii="宋体" w:eastAsia="宋体" w:hAnsi="宋体" w:cs="宋体" w:hint="eastAsia"/>
                <w:sz w:val="21"/>
                <w:szCs w:val="21"/>
                <w:lang w:eastAsia="zh-CN" w:bidi="ar"/>
              </w:rPr>
              <w:t>增值税等费用。</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6189" w:type="dxa"/>
            <w:noWrap w:val="0"/>
            <w:vAlign w:val="center"/>
          </w:tcPr>
          <w:p>
            <w:pPr>
              <w:keepNext w:val="0"/>
              <w:keepLines w:val="0"/>
              <w:pageBreakBefore w:val="0"/>
              <w:tabs>
                <w:tab w:val="left" w:pos="1260"/>
              </w:tabs>
              <w:kinsoku/>
              <w:wordWrap/>
              <w:overflowPunct/>
              <w:topLinePunct w:val="0"/>
              <w:autoSpaceDE/>
              <w:autoSpaceDN/>
              <w:bidi w:val="0"/>
              <w:adjustRightInd/>
              <w:snapToGrid/>
              <w:spacing w:line="360" w:lineRule="auto"/>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2.2</w:t>
            </w:r>
            <w:r>
              <w:rPr>
                <w:rFonts w:ascii="宋体" w:eastAsia="宋体" w:hAnsi="宋体" w:cs="宋体" w:hint="eastAsia"/>
                <w:sz w:val="21"/>
                <w:szCs w:val="21"/>
                <w:lang w:eastAsia="zh-CN" w:bidi="ar"/>
              </w:rPr>
              <w:t>采购人有权检验或测试货物，以确认货物是否符合合同规格的要求，并且不承担额外的费用。如果发现所交货物与投标文件中所承诺的不符或存在质量、技术缺陷等,采购人可以拒绝接收该货物，投标人应在 30 天内采取补足、更换或退货等措施,以满足规格的要求，由此发生的一切损失和费用由投标人承担。</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6189" w:type="dxa"/>
            <w:noWrap w:val="0"/>
            <w:vAlign w:val="center"/>
          </w:tcPr>
          <w:p>
            <w:pPr>
              <w:keepNext w:val="0"/>
              <w:keepLines w:val="0"/>
              <w:pageBreakBefore w:val="0"/>
              <w:tabs>
                <w:tab w:val="left" w:pos="1260"/>
              </w:tabs>
              <w:kinsoku/>
              <w:wordWrap/>
              <w:overflowPunct/>
              <w:topLinePunct w:val="0"/>
              <w:autoSpaceDE/>
              <w:autoSpaceDN/>
              <w:bidi w:val="0"/>
              <w:adjustRightInd/>
              <w:snapToGrid/>
              <w:spacing w:line="360" w:lineRule="auto"/>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2.3</w:t>
            </w:r>
            <w:r>
              <w:rPr>
                <w:rFonts w:ascii="宋体" w:eastAsia="宋体" w:hAnsi="宋体" w:cs="宋体" w:hint="eastAsia"/>
                <w:sz w:val="21"/>
                <w:szCs w:val="21"/>
                <w:lang w:eastAsia="zh-CN" w:bidi="ar"/>
              </w:rPr>
              <w:t>投标人负责货物的现场安装和调试，提供货物安装、调试和维修所需的专用工具和辅助材料。投标人应在货物运至指定地点后一周内开始安装调试，并在 15 天内安装调试完毕。</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6189" w:type="dxa"/>
            <w:noWrap w:val="0"/>
            <w:vAlign w:val="center"/>
          </w:tcPr>
          <w:p>
            <w:pPr>
              <w:keepNext w:val="0"/>
              <w:keepLines w:val="0"/>
              <w:pageBreakBefore w:val="0"/>
              <w:tabs>
                <w:tab w:val="left" w:pos="1260"/>
              </w:tabs>
              <w:kinsoku/>
              <w:wordWrap/>
              <w:overflowPunct/>
              <w:topLinePunct w:val="0"/>
              <w:autoSpaceDE/>
              <w:autoSpaceDN/>
              <w:bidi w:val="0"/>
              <w:adjustRightInd/>
              <w:snapToGrid/>
              <w:spacing w:line="360" w:lineRule="auto"/>
              <w:textAlignment w:val="auto"/>
              <w:rPr>
                <w:rFonts w:ascii="宋体" w:eastAsia="宋体" w:hAnsi="宋体" w:cs="宋体" w:hint="eastAsia"/>
                <w:bCs/>
                <w:sz w:val="21"/>
                <w:szCs w:val="21"/>
                <w:lang w:eastAsia="zh-CN"/>
              </w:rPr>
            </w:pPr>
            <w:r>
              <w:rPr>
                <w:rFonts w:ascii="宋体" w:eastAsia="宋体" w:hAnsi="宋体" w:cs="宋体" w:hint="eastAsia"/>
                <w:sz w:val="21"/>
                <w:szCs w:val="21"/>
              </w:rPr>
              <w:t>2.</w:t>
            </w:r>
            <w:r>
              <w:rPr>
                <w:rFonts w:ascii="宋体" w:eastAsia="宋体" w:hAnsi="宋体" w:cs="宋体" w:hint="eastAsia"/>
                <w:sz w:val="21"/>
                <w:szCs w:val="21"/>
                <w:lang w:eastAsia="zh-CN"/>
              </w:rPr>
              <w:t>4</w:t>
            </w:r>
            <w:r>
              <w:rPr>
                <w:rFonts w:ascii="宋体" w:eastAsia="宋体" w:hAnsi="宋体" w:cs="宋体" w:hint="eastAsia"/>
                <w:sz w:val="21"/>
                <w:szCs w:val="21"/>
                <w:lang w:eastAsia="zh-CN" w:bidi="ar"/>
              </w:rPr>
              <w:t>由投标人代表和采购人组成验收小组对产品进行验收。验收标准按照国家规定标准执行。经检验设备正常运作后签署验收报告,产品保修期自验收合格之日起算。</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r>
              <w:rPr>
                <w:rFonts w:ascii="宋体" w:eastAsia="宋体" w:hAnsi="宋体" w:cs="宋体" w:hint="eastAsia"/>
                <w:b/>
                <w:sz w:val="21"/>
                <w:szCs w:val="21"/>
              </w:rPr>
              <w:t>3</w:t>
            </w:r>
          </w:p>
        </w:tc>
        <w:tc>
          <w:tcPr>
            <w:tcW w:w="1457"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r>
              <w:rPr>
                <w:rFonts w:ascii="宋体" w:eastAsia="宋体" w:hAnsi="宋体" w:cs="宋体" w:hint="eastAsia"/>
                <w:b/>
                <w:bCs/>
                <w:sz w:val="21"/>
                <w:szCs w:val="21"/>
                <w:lang w:eastAsia="zh-CN" w:bidi="ar"/>
              </w:rPr>
              <w:t>★</w:t>
            </w:r>
            <w:r>
              <w:rPr>
                <w:rFonts w:ascii="宋体" w:eastAsia="宋体" w:hAnsi="宋体" w:cs="宋体" w:hint="eastAsia"/>
                <w:b/>
                <w:sz w:val="21"/>
                <w:szCs w:val="21"/>
              </w:rPr>
              <w:t>培训</w:t>
            </w:r>
          </w:p>
        </w:tc>
        <w:tc>
          <w:tcPr>
            <w:tcW w:w="6189" w:type="dxa"/>
            <w:noWrap w:val="0"/>
            <w:vAlign w:val="top"/>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sz w:val="21"/>
                <w:szCs w:val="21"/>
              </w:rPr>
            </w:pPr>
            <w:r>
              <w:rPr>
                <w:rFonts w:ascii="宋体" w:eastAsia="宋体" w:hAnsi="宋体" w:cs="宋体" w:hint="eastAsia"/>
                <w:sz w:val="21"/>
                <w:szCs w:val="21"/>
              </w:rPr>
              <w:t>3.1</w:t>
            </w:r>
            <w:r>
              <w:rPr>
                <w:rFonts w:ascii="宋体" w:eastAsia="宋体" w:hAnsi="宋体" w:cs="宋体" w:hint="eastAsia"/>
                <w:sz w:val="21"/>
                <w:szCs w:val="21"/>
                <w:lang w:eastAsia="zh-CN" w:bidi="ar"/>
              </w:rPr>
              <w:t>中标人应派专业技术人员免费对采购单位指定人员进行定期培训及指导，直至其完全掌握设备使用。</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r>
              <w:rPr>
                <w:rFonts w:ascii="宋体" w:eastAsia="宋体" w:hAnsi="宋体" w:cs="宋体" w:hint="eastAsia"/>
                <w:b/>
                <w:sz w:val="21"/>
                <w:szCs w:val="21"/>
              </w:rPr>
              <w:t>4</w:t>
            </w:r>
          </w:p>
        </w:tc>
        <w:tc>
          <w:tcPr>
            <w:tcW w:w="1457"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r>
              <w:rPr>
                <w:rFonts w:ascii="宋体" w:eastAsia="宋体" w:hAnsi="宋体" w:cs="宋体" w:hint="eastAsia"/>
                <w:b/>
                <w:bCs/>
                <w:sz w:val="21"/>
                <w:szCs w:val="21"/>
                <w:lang w:eastAsia="zh-CN" w:bidi="ar"/>
              </w:rPr>
              <w:t>★</w:t>
            </w:r>
            <w:r>
              <w:rPr>
                <w:rFonts w:ascii="宋体" w:eastAsia="宋体" w:hAnsi="宋体" w:cs="宋体" w:hint="eastAsia"/>
                <w:b/>
                <w:sz w:val="21"/>
                <w:szCs w:val="21"/>
              </w:rPr>
              <w:t>知识产权</w:t>
            </w:r>
          </w:p>
        </w:tc>
        <w:tc>
          <w:tcPr>
            <w:tcW w:w="6189" w:type="dxa"/>
            <w:noWrap w:val="0"/>
            <w:vAlign w:val="top"/>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sz w:val="21"/>
                <w:szCs w:val="21"/>
              </w:rPr>
            </w:pPr>
            <w:r>
              <w:rPr>
                <w:rFonts w:ascii="宋体" w:eastAsia="宋体" w:hAnsi="宋体" w:cs="宋体" w:hint="eastAsia"/>
                <w:sz w:val="21"/>
                <w:szCs w:val="21"/>
              </w:rPr>
              <w:t>4.1</w:t>
            </w:r>
            <w:r>
              <w:rPr>
                <w:rFonts w:ascii="宋体" w:eastAsia="宋体" w:hAnsi="宋体" w:cs="宋体" w:hint="eastAsia"/>
                <w:sz w:val="21"/>
                <w:szCs w:val="21"/>
                <w:lang w:eastAsia="zh-CN" w:bidi="ar"/>
              </w:rPr>
              <w:t xml:space="preserve">投标人应保证采购人在使用该货物或其任何一部分时，免受第三方提出的侵犯其专利权、商标权、著作权或其它知识产权的起诉。投标人保证所提供软件的合法性，所发生的任何知识产权纠纷与采购人无关。 </w:t>
            </w:r>
          </w:p>
        </w:tc>
      </w:tr>
      <w:tr>
        <w:tblPrEx>
          <w:tblW w:w="5000" w:type="pct"/>
          <w:jc w:val="center"/>
          <w:tblLayout w:type="fixed"/>
          <w:tblCellMar>
            <w:top w:w="0" w:type="dxa"/>
            <w:left w:w="108" w:type="dxa"/>
            <w:bottom w:w="0" w:type="dxa"/>
            <w:right w:w="108" w:type="dxa"/>
          </w:tblCellMar>
        </w:tblPrEx>
        <w:trPr>
          <w:trHeight w:val="493"/>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b/>
                <w:sz w:val="21"/>
                <w:szCs w:val="21"/>
              </w:rPr>
            </w:pPr>
          </w:p>
        </w:tc>
        <w:tc>
          <w:tcPr>
            <w:tcW w:w="6189" w:type="dxa"/>
            <w:noWrap w:val="0"/>
            <w:vAlign w:val="top"/>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sz w:val="21"/>
                <w:szCs w:val="21"/>
              </w:rPr>
            </w:pPr>
            <w:r>
              <w:rPr>
                <w:rFonts w:ascii="宋体" w:eastAsia="宋体" w:hAnsi="宋体" w:cs="宋体" w:hint="eastAsia"/>
                <w:sz w:val="21"/>
                <w:szCs w:val="21"/>
              </w:rPr>
              <w:t>4.2</w:t>
            </w:r>
            <w:r>
              <w:rPr>
                <w:rFonts w:ascii="宋体" w:eastAsia="宋体" w:hAnsi="宋体" w:cs="宋体" w:hint="eastAsia"/>
                <w:sz w:val="21"/>
                <w:szCs w:val="21"/>
                <w:lang w:eastAsia="zh-CN" w:bidi="ar"/>
              </w:rPr>
              <w:t xml:space="preserve">采购人购买产品后，有权对该产品与其他设备进行配套、整合或适当改进，而免受侵犯专利权的起诉。 </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lang w:eastAsia="zh-CN"/>
              </w:rPr>
            </w:pPr>
            <w:r>
              <w:rPr>
                <w:rFonts w:ascii="宋体" w:eastAsia="宋体" w:hAnsi="宋体" w:cs="宋体" w:hint="eastAsia"/>
                <w:b/>
                <w:sz w:val="21"/>
                <w:szCs w:val="21"/>
                <w:lang w:eastAsia="zh-CN"/>
              </w:rPr>
              <w:t>5</w:t>
            </w:r>
          </w:p>
        </w:tc>
        <w:tc>
          <w:tcPr>
            <w:tcW w:w="1457"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r>
              <w:rPr>
                <w:rFonts w:ascii="宋体" w:eastAsia="宋体" w:hAnsi="宋体" w:cs="宋体" w:hint="eastAsia"/>
                <w:b/>
                <w:bCs/>
                <w:sz w:val="21"/>
                <w:szCs w:val="21"/>
                <w:lang w:eastAsia="zh-CN" w:bidi="ar"/>
              </w:rPr>
              <w:t>★</w:t>
            </w:r>
            <w:r>
              <w:rPr>
                <w:rFonts w:ascii="宋体" w:eastAsia="宋体" w:hAnsi="宋体" w:cs="宋体" w:hint="eastAsia"/>
                <w:b/>
                <w:sz w:val="21"/>
                <w:szCs w:val="21"/>
              </w:rPr>
              <w:t>付款方式</w:t>
            </w:r>
          </w:p>
        </w:tc>
        <w:tc>
          <w:tcPr>
            <w:tcW w:w="6189" w:type="dxa"/>
            <w:noWrap w:val="0"/>
            <w:vAlign w:val="top"/>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lang w:eastAsia="zh-CN" w:bidi="ar"/>
              </w:rPr>
              <w:t xml:space="preserve">合同生效后货物送到甲方指定地点，验收合格后 10个工作日内，甲方向乙方支付合同 100%货款；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sz w:val="21"/>
                <w:szCs w:val="21"/>
              </w:rPr>
            </w:pPr>
            <w:r>
              <w:rPr>
                <w:rFonts w:ascii="宋体" w:eastAsia="宋体" w:hAnsi="宋体" w:cs="宋体" w:hint="eastAsia"/>
                <w:sz w:val="21"/>
                <w:szCs w:val="21"/>
                <w:lang w:eastAsia="zh-CN"/>
              </w:rPr>
              <w:t>2.</w:t>
            </w:r>
            <w:r>
              <w:rPr>
                <w:rFonts w:ascii="宋体" w:eastAsia="宋体" w:hAnsi="宋体" w:cs="宋体" w:hint="eastAsia"/>
                <w:sz w:val="21"/>
                <w:szCs w:val="21"/>
                <w:lang w:eastAsia="zh-CN" w:bidi="ar"/>
              </w:rPr>
              <w:t xml:space="preserve">乙方在合同生效后10个工作日内将合同总价款5%的履约保证金以非现金的形式提交给甲方作为履约保证，在免费保修期满且甲方给出履约评价合格或满意后一个月内归还保函给乙方； </w:t>
            </w:r>
            <w:r>
              <w:rPr>
                <w:rFonts w:ascii="宋体" w:eastAsia="宋体" w:hAnsi="宋体" w:cs="宋体" w:hint="eastAsia"/>
                <w:sz w:val="21"/>
                <w:szCs w:val="21"/>
                <w:lang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sz w:val="21"/>
                <w:szCs w:val="21"/>
              </w:rPr>
            </w:pPr>
            <w:r>
              <w:rPr>
                <w:rFonts w:ascii="宋体" w:eastAsia="宋体" w:hAnsi="宋体" w:cs="宋体" w:hint="eastAsia"/>
                <w:sz w:val="21"/>
                <w:szCs w:val="21"/>
                <w:lang w:eastAsia="zh-CN"/>
              </w:rPr>
              <w:t>3.</w:t>
            </w:r>
            <w:r>
              <w:rPr>
                <w:rFonts w:ascii="宋体" w:eastAsia="宋体" w:hAnsi="宋体" w:cs="宋体" w:hint="eastAsia"/>
                <w:sz w:val="21"/>
                <w:szCs w:val="21"/>
                <w:lang w:eastAsia="zh-CN" w:bidi="ar"/>
              </w:rPr>
              <w:t xml:space="preserve">因财政资金拨款未到位而导致甲方未在约定期限内支付合同费用的，乙方不得要求甲方承担逾期付款的违约责任。每次付款前，乙方需先提供相应额度的正规发票给甲方，以便办理支付手续。 </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lang w:eastAsia="zh-CN"/>
              </w:rPr>
            </w:pPr>
            <w:r>
              <w:rPr>
                <w:rFonts w:ascii="宋体" w:eastAsia="宋体" w:hAnsi="宋体" w:cs="宋体" w:hint="eastAsia"/>
                <w:b/>
                <w:sz w:val="21"/>
                <w:szCs w:val="21"/>
                <w:lang w:eastAsia="zh-CN"/>
              </w:rPr>
              <w:t>6</w:t>
            </w:r>
          </w:p>
        </w:tc>
        <w:tc>
          <w:tcPr>
            <w:tcW w:w="1457"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lang w:eastAsia="zh-CN"/>
              </w:rPr>
            </w:pPr>
            <w:r>
              <w:rPr>
                <w:rFonts w:ascii="宋体" w:eastAsia="宋体" w:hAnsi="宋体" w:cs="宋体" w:hint="eastAsia"/>
                <w:b/>
                <w:bCs/>
                <w:sz w:val="21"/>
                <w:szCs w:val="21"/>
                <w:lang w:eastAsia="zh-CN" w:bidi="ar"/>
              </w:rPr>
              <w:t>★</w:t>
            </w:r>
            <w:r>
              <w:rPr>
                <w:rFonts w:ascii="宋体" w:eastAsia="宋体" w:hAnsi="宋体" w:cs="宋体" w:hint="eastAsia"/>
                <w:b/>
                <w:sz w:val="21"/>
                <w:szCs w:val="21"/>
              </w:rPr>
              <w:t>违约责任</w:t>
            </w:r>
          </w:p>
        </w:tc>
        <w:tc>
          <w:tcPr>
            <w:tcW w:w="6189" w:type="dxa"/>
            <w:noWrap w:val="0"/>
            <w:vAlign w:val="top"/>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sz w:val="21"/>
                <w:szCs w:val="21"/>
              </w:rPr>
            </w:pPr>
            <w:r>
              <w:rPr>
                <w:rFonts w:ascii="宋体" w:eastAsia="宋体" w:hAnsi="宋体" w:cs="宋体" w:hint="eastAsia"/>
                <w:sz w:val="21"/>
                <w:szCs w:val="21"/>
                <w:lang w:eastAsia="zh-CN"/>
              </w:rPr>
              <w:t>6.1</w:t>
            </w:r>
            <w:r>
              <w:rPr>
                <w:rFonts w:ascii="宋体" w:eastAsia="宋体" w:hAnsi="宋体" w:cs="宋体" w:hint="eastAsia"/>
                <w:sz w:val="21"/>
                <w:szCs w:val="21"/>
                <w:lang w:eastAsia="zh-CN" w:bidi="ar"/>
              </w:rPr>
              <w:t>如中标人未按照投标文件中承诺的时间交货或提供服务，中标人应承担延期交货和延期服务的违约责任，并赔偿采购人因此造成的实际经济损失。实际经济损失超出履约保证金额，采购人有权依法终止合同。</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color w:val="000000"/>
                <w:sz w:val="21"/>
                <w:szCs w:val="21"/>
              </w:rPr>
            </w:pP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6.2</w:t>
            </w:r>
            <w:r>
              <w:rPr>
                <w:rFonts w:ascii="宋体" w:eastAsia="宋体" w:hAnsi="宋体" w:cs="宋体" w:hint="eastAsia"/>
                <w:sz w:val="21"/>
                <w:szCs w:val="21"/>
                <w:lang w:eastAsia="zh-CN" w:bidi="ar"/>
              </w:rPr>
              <w:t>中标人所交设备的品种、型号、规格、质量、 功能、技术参数等方面不能实质性满足招标文件要 约的，采购人有权拒绝收货，中标人向采购人偿付项目采购金额百分之十的违约金；造成严重后果的，根据《深圳经济特区政府采购条例》第五十七条第（二）款规定，由主管部门对中标人进行处罚。</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p>
        </w:tc>
        <w:tc>
          <w:tcPr>
            <w:tcW w:w="1457" w:type="dxa"/>
            <w:vMerge/>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color w:val="000000"/>
                <w:sz w:val="21"/>
                <w:szCs w:val="21"/>
              </w:rPr>
            </w:pPr>
          </w:p>
        </w:tc>
        <w:tc>
          <w:tcPr>
            <w:tcW w:w="6189"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eastAsia="宋体" w:hAnsi="宋体" w:cs="宋体" w:hint="eastAsia"/>
                <w:sz w:val="21"/>
                <w:szCs w:val="21"/>
              </w:rPr>
            </w:pPr>
            <w:r>
              <w:rPr>
                <w:rFonts w:ascii="宋体" w:eastAsia="宋体" w:hAnsi="宋体" w:cs="宋体" w:hint="eastAsia"/>
                <w:sz w:val="21"/>
                <w:szCs w:val="21"/>
                <w:lang w:eastAsia="zh-CN"/>
              </w:rPr>
              <w:t>6.3</w:t>
            </w:r>
            <w:r>
              <w:rPr>
                <w:rFonts w:ascii="宋体" w:eastAsia="宋体" w:hAnsi="宋体" w:cs="宋体" w:hint="eastAsia"/>
                <w:sz w:val="21"/>
                <w:szCs w:val="21"/>
                <w:lang w:eastAsia="zh-CN" w:bidi="ar"/>
              </w:rPr>
              <w:t>中标人不能交付设备的，中标人向采购人偿付项目采购金额百分之十的违约金；造成严重后果的，根据《深圳经济特区政府采购条例》第五十七条第（二）款规定，由主管部门对中标人进行处罚。</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lang w:eastAsia="zh-CN"/>
              </w:rPr>
            </w:pPr>
            <w:r>
              <w:rPr>
                <w:rFonts w:ascii="宋体" w:eastAsia="宋体" w:hAnsi="宋体" w:cs="宋体" w:hint="eastAsia"/>
                <w:b/>
                <w:sz w:val="21"/>
                <w:szCs w:val="21"/>
                <w:lang w:eastAsia="zh-CN"/>
              </w:rPr>
              <w:t>7</w:t>
            </w:r>
          </w:p>
        </w:tc>
        <w:tc>
          <w:tcPr>
            <w:tcW w:w="1457"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sz w:val="21"/>
                <w:szCs w:val="21"/>
              </w:rPr>
            </w:pPr>
            <w:r>
              <w:rPr>
                <w:rFonts w:ascii="宋体" w:eastAsia="宋体" w:hAnsi="宋体" w:cs="宋体" w:hint="eastAsia"/>
                <w:b/>
                <w:bCs/>
                <w:sz w:val="21"/>
                <w:szCs w:val="21"/>
                <w:lang w:eastAsia="zh-CN" w:bidi="ar"/>
              </w:rPr>
              <w:t>★</w:t>
            </w:r>
            <w:r>
              <w:rPr>
                <w:rFonts w:ascii="宋体" w:eastAsia="宋体" w:hAnsi="宋体" w:cs="宋体" w:hint="eastAsia"/>
                <w:b/>
                <w:color w:val="000000"/>
                <w:sz w:val="21"/>
                <w:szCs w:val="21"/>
              </w:rPr>
              <w:t>其他</w:t>
            </w:r>
          </w:p>
        </w:tc>
        <w:tc>
          <w:tcPr>
            <w:tcW w:w="6189"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宋体" w:eastAsia="宋体" w:hAnsi="宋体" w:cs="宋体" w:hint="eastAsia"/>
                <w:sz w:val="21"/>
                <w:szCs w:val="21"/>
              </w:rPr>
            </w:pPr>
            <w:r>
              <w:rPr>
                <w:rFonts w:ascii="宋体" w:eastAsia="宋体" w:hAnsi="宋体" w:cs="宋体" w:hint="eastAsia"/>
                <w:sz w:val="21"/>
                <w:szCs w:val="21"/>
                <w:lang w:eastAsia="zh-CN"/>
              </w:rPr>
              <w:t>7</w:t>
            </w:r>
            <w:r>
              <w:rPr>
                <w:rFonts w:ascii="宋体" w:eastAsia="宋体" w:hAnsi="宋体" w:cs="宋体" w:hint="eastAsia"/>
                <w:sz w:val="21"/>
                <w:szCs w:val="21"/>
              </w:rPr>
              <w:t xml:space="preserve">.1 </w:t>
            </w:r>
            <w:r>
              <w:rPr>
                <w:rFonts w:ascii="宋体" w:eastAsia="宋体" w:hAnsi="宋体" w:cs="宋体" w:hint="eastAsia"/>
                <w:sz w:val="21"/>
                <w:szCs w:val="21"/>
                <w:lang w:eastAsia="zh-CN" w:bidi="ar"/>
              </w:rPr>
              <w:t>中标人应按其投标文件中的承诺，进行其他售后服务工作。</w:t>
            </w:r>
          </w:p>
        </w:tc>
      </w:tr>
    </w:tbl>
    <w:p>
      <w:pPr>
        <w:widowControl w:val="0"/>
        <w:ind w:firstLine="420" w:firstLineChars="200"/>
        <w:jc w:val="both"/>
        <w:rPr>
          <w:rFonts w:ascii="Calibri" w:eastAsia="宋体" w:hAnsi="Calibri" w:hint="eastAsia"/>
          <w:b/>
          <w:kern w:val="2"/>
          <w:sz w:val="21"/>
          <w:szCs w:val="21"/>
          <w:lang w:eastAsia="zh-CN"/>
        </w:rPr>
      </w:pPr>
    </w:p>
    <w:p>
      <w:pPr>
        <w:widowControl w:val="0"/>
        <w:ind w:firstLine="420" w:firstLineChars="200"/>
        <w:jc w:val="both"/>
        <w:rPr>
          <w:rFonts w:ascii="Calibri" w:eastAsia="宋体" w:hAnsi="Calibri" w:hint="eastAsia"/>
          <w:b/>
          <w:kern w:val="2"/>
          <w:sz w:val="21"/>
          <w:szCs w:val="21"/>
          <w:lang w:eastAsia="zh-CN"/>
        </w:rPr>
      </w:pPr>
    </w:p>
    <w:p>
      <w:pPr>
        <w:widowControl w:val="0"/>
        <w:ind w:firstLine="420" w:firstLineChars="200"/>
        <w:jc w:val="both"/>
        <w:rPr>
          <w:rFonts w:ascii="Calibri" w:eastAsia="宋体" w:hAnsi="Calibri" w:hint="eastAsia"/>
          <w:b/>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b/>
          <w:bCs/>
          <w:kern w:val="2"/>
          <w:sz w:val="28"/>
          <w:szCs w:val="28"/>
          <w:lang w:eastAsia="zh-CN"/>
        </w:rPr>
      </w:pPr>
      <w:r>
        <w:rPr>
          <w:rFonts w:ascii="宋体" w:eastAsia="宋体" w:hAnsi="宋体" w:cstheme="minorBidi" w:hint="eastAsia"/>
          <w:b/>
          <w:bCs/>
          <w:kern w:val="2"/>
          <w:sz w:val="28"/>
          <w:szCs w:val="28"/>
          <w:lang w:eastAsia="zh-CN"/>
        </w:rPr>
        <w:t>六、其他重要条款</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2、投标人应充分了解项目的位置、情况、道路及任何其它足以影响投标报价的情况，任何因忽视或误解项目情况而导致的索赔或服务期限延长申请将不获批准。</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3、投标人不得期望通过索赔等方式获取补偿，否则，除可能遭到拒绝外，还可能将被作为不良行为记录在案，并可能影响其以后参加政府采购的项目投标。各投标人在投标报价时，应充分考虑投标报价的风险。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4、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5、除政府采购合同继续履行将损害国家利益和社会公共利益外，双方当事人不得擅自变更、中止或者终止合同。</w:t>
      </w:r>
    </w:p>
    <w:p>
      <w:pPr>
        <w:widowControl w:val="0"/>
        <w:spacing w:line="360" w:lineRule="auto"/>
        <w:ind w:firstLine="420" w:firstLineChars="20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6、“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jc w:val="left"/>
        <w:rPr>
          <w:rFonts w:ascii="宋体" w:eastAsia="宋体" w:hAnsi="宋体"/>
          <w:b/>
          <w:bCs/>
          <w:sz w:val="28"/>
          <w:szCs w:val="28"/>
          <w:lang w:eastAsia="zh-CN"/>
        </w:rPr>
      </w:pPr>
    </w:p>
    <w:p>
      <w:pPr>
        <w:keepNext/>
        <w:keepLines/>
        <w:widowControl w:val="0"/>
        <w:adjustRightInd w:val="0"/>
        <w:spacing w:line="320" w:lineRule="atLeast"/>
        <w:jc w:val="center"/>
        <w:textAlignment w:val="baseline"/>
        <w:outlineLvl w:val="9"/>
        <w:rPr>
          <w:rFonts w:ascii="宋体" w:eastAsia="宋体" w:hAnsi="宋体" w:hint="eastAsia"/>
          <w:b/>
          <w:bCs/>
          <w:sz w:val="28"/>
          <w:szCs w:val="28"/>
          <w:lang w:eastAsia="zh-CN"/>
        </w:rPr>
      </w:pPr>
    </w:p>
    <w:p>
      <w:pPr>
        <w:keepNext/>
        <w:keepLines/>
        <w:widowControl w:val="0"/>
        <w:adjustRightInd w:val="0"/>
        <w:spacing w:line="320" w:lineRule="atLeast"/>
        <w:jc w:val="center"/>
        <w:textAlignment w:val="baseline"/>
        <w:outlineLvl w:val="9"/>
        <w:rPr>
          <w:rFonts w:ascii="宋体" w:eastAsia="宋体" w:hAnsi="宋体" w:hint="eastAsia"/>
          <w:b/>
          <w:bCs/>
          <w:sz w:val="28"/>
          <w:szCs w:val="28"/>
          <w:lang w:eastAsia="zh-CN"/>
        </w:rPr>
      </w:pPr>
    </w:p>
    <w:p>
      <w:pPr>
        <w:keepNext/>
        <w:keepLines/>
        <w:widowControl w:val="0"/>
        <w:adjustRightInd w:val="0"/>
        <w:spacing w:line="320" w:lineRule="atLeast"/>
        <w:jc w:val="center"/>
        <w:textAlignment w:val="baseline"/>
        <w:outlineLvl w:val="9"/>
        <w:rPr>
          <w:rFonts w:ascii="宋体" w:eastAsia="宋体" w:hAnsi="宋体" w:hint="eastAsia"/>
          <w:b/>
          <w:bCs/>
          <w:sz w:val="28"/>
          <w:szCs w:val="28"/>
          <w:lang w:eastAsia="zh-CN"/>
        </w:rPr>
      </w:pPr>
    </w:p>
    <w:p>
      <w:pPr>
        <w:keepNext/>
        <w:keepLines/>
        <w:widowControl w:val="0"/>
        <w:adjustRightInd w:val="0"/>
        <w:spacing w:line="320" w:lineRule="atLeast"/>
        <w:jc w:val="center"/>
        <w:textAlignment w:val="baseline"/>
        <w:outlineLvl w:val="9"/>
        <w:rPr>
          <w:rFonts w:ascii="宋体" w:eastAsia="宋体" w:hAnsi="宋体" w:hint="eastAsia"/>
          <w:b/>
          <w:bCs/>
          <w:sz w:val="28"/>
          <w:szCs w:val="28"/>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6" w:name="_Hlk72257167"/>
    </w:p>
    <w:bookmarkEnd w:id="16"/>
    <w:p>
      <w:pPr>
        <w:widowControl/>
        <w:spacing w:line="320" w:lineRule="atLeast"/>
        <w:jc w:val="lef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（1）投标函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eastAsia="宋体" w:hint="eastAsia"/>
          <w:lang w:eastAsia="zh-CN"/>
        </w:rPr>
      </w:pPr>
      <w:r>
        <w:rPr>
          <w:rFonts w:hint="eastAsia"/>
        </w:rPr>
        <w:t>（2）</w:t>
      </w:r>
      <w:r>
        <w:rPr>
          <w:rFonts w:eastAsia="宋体" w:hint="eastAsia"/>
          <w:lang w:eastAsia="zh-CN"/>
        </w:rPr>
        <w:t>政府采购投标及履约承诺函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（9）技术要求偏离表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（10）商务要求偏离表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（11）技术保障措施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eastAsia="黑体" w:hAnsi="宋体" w:hint="eastAsia"/>
          <w:bCs/>
          <w:kern w:val="44"/>
          <w:lang w:eastAsia="zh-CN"/>
        </w:rPr>
      </w:pPr>
      <w:r>
        <w:rPr>
          <w:rFonts w:hint="eastAsia"/>
        </w:rPr>
        <w:t>（1</w:t>
      </w:r>
      <w:r>
        <w:rPr>
          <w:rFonts w:eastAsia="宋体" w:hint="eastAsia"/>
          <w:lang w:eastAsia="zh-CN"/>
        </w:rPr>
        <w:t>2</w:t>
      </w:r>
      <w:r>
        <w:rPr>
          <w:rFonts w:hint="eastAsia"/>
        </w:rPr>
        <w:t>）投标人认为需要加以说明的其他内容</w:t>
      </w:r>
    </w:p>
    <w:p>
      <w:pPr>
        <w:widowControl w:val="0"/>
        <w:spacing w:line="320" w:lineRule="atLeast"/>
        <w:jc w:val="both"/>
        <w:rPr>
          <w:rFonts w:ascii="宋体" w:eastAsia="宋体" w:hAnsi="宋体"/>
          <w:b/>
          <w:kern w:val="2"/>
          <w:lang w:eastAsia="zh-CN"/>
        </w:rPr>
      </w:pPr>
      <w:bookmarkStart w:id="17" w:name="_Hlk72257771"/>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8" w:name="_Hlk72263559"/>
      <w:r>
        <w:rPr>
          <w:rFonts w:ascii="宋体" w:eastAsia="宋体" w:hAnsi="宋体" w:cstheme="minorBidi" w:hint="eastAsia"/>
          <w:b/>
          <w:kern w:val="2"/>
          <w:lang w:eastAsia="zh-CN"/>
        </w:rPr>
        <w:t>2.关于填写“开标一览表”的说明：“开标一览表”中除“投标总价”外，其他信息不作评审依据。</w:t>
      </w:r>
      <w:bookmarkEnd w:id="17"/>
      <w:bookmarkEnd w:id="18"/>
      <w:r>
        <w:rPr>
          <w:rFonts w:ascii="宋体" w:eastAsia="黑体" w:hAnsi="宋体"/>
          <w:bCs/>
          <w:kern w:val="44"/>
          <w:sz w:val="32"/>
          <w:szCs w:val="32"/>
          <w:lang w:eastAsia="zh-CN"/>
        </w:rPr>
        <w:br w:type="page"/>
      </w: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kern w:val="2"/>
          <w:sz w:val="21"/>
          <w:szCs w:val="21"/>
          <w:lang w:eastAsia="zh-CN"/>
        </w:rPr>
      </w:pPr>
      <w:bookmarkStart w:id="19"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kern w:val="2"/>
          <w:sz w:val="21"/>
          <w:szCs w:val="21"/>
          <w:lang w:eastAsia="zh-CN"/>
        </w:rPr>
      </w:pPr>
      <w:bookmarkStart w:id="20" w:name="_Hlk73818812"/>
      <w:r>
        <w:rPr>
          <w:rFonts w:ascii="Calibri" w:eastAsia="宋体" w:hAnsi="Calibri" w:cstheme="minorBidi" w:hint="eastAsia"/>
          <w:kern w:val="2"/>
          <w:sz w:val="21"/>
          <w:szCs w:val="21"/>
          <w:lang w:eastAsia="zh-CN"/>
        </w:rPr>
        <w:t>1、根据已收到贵单位的项目编号为</w:t>
      </w:r>
      <w:r>
        <w:rPr>
          <w:rFonts w:ascii="Calibri" w:eastAsia="宋体" w:hAnsi="Calibri" w:cstheme="minorBidi" w:hint="eastAsia"/>
          <w:kern w:val="2"/>
          <w:sz w:val="21"/>
          <w:szCs w:val="21"/>
          <w:u w:val="single"/>
          <w:lang w:eastAsia="zh-CN"/>
        </w:rPr>
        <w:t>LHAZXDL-2024-00080</w:t>
      </w:r>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医疗设备一批（医用输血输液加温器等）</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1" w:name="_Hlk72263588"/>
      <w:r>
        <w:rPr>
          <w:rFonts w:ascii="Calibri" w:eastAsia="宋体" w:hAnsi="Calibri" w:cstheme="minorBidi" w:hint="eastAsia"/>
          <w:kern w:val="2"/>
          <w:sz w:val="21"/>
          <w:szCs w:val="21"/>
          <w:lang w:eastAsia="zh-CN"/>
        </w:rPr>
        <w:t>愿意按照招标文件要求承包上述项目并修补其任何缺陷。</w:t>
      </w:r>
      <w:bookmarkEnd w:id="21"/>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2"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2"/>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20"/>
    </w:p>
    <w:p>
      <w:pPr>
        <w:widowControl w:val="0"/>
        <w:spacing w:line="360" w:lineRule="auto"/>
        <w:ind w:left="480" w:left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9"/>
    <w:p>
      <w:pPr>
        <w:keepNext/>
        <w:keepLines/>
        <w:spacing w:before="260" w:after="260" w:line="240" w:lineRule="auto"/>
        <w:jc w:val="center"/>
        <w:outlineLvl w:val="2"/>
        <w:rPr>
          <w:rFonts w:ascii="黑体" w:eastAsia="黑体" w:hAnsi="宋体"/>
          <w:bCs/>
          <w:szCs w:val="32"/>
        </w:rPr>
      </w:pPr>
      <w:r>
        <w:rPr>
          <w:rFonts w:ascii="黑体" w:eastAsia="黑体" w:hAnsi="宋体" w:hint="eastAsia"/>
          <w:bCs/>
          <w:szCs w:val="32"/>
        </w:rPr>
        <w:t>二、政府采购投标及履约承诺函</w:t>
      </w:r>
    </w:p>
    <w:p>
      <w:pPr>
        <w:spacing w:line="360" w:lineRule="auto"/>
        <w:rPr>
          <w:rFonts w:ascii="宋体" w:eastAsia="宋体" w:hAnsi="宋体" w:cs="宋体" w:hint="eastAsia"/>
          <w:sz w:val="21"/>
          <w:szCs w:val="21"/>
          <w:lang w:eastAsia="zh-CN"/>
        </w:rPr>
      </w:pPr>
      <w:bookmarkStart w:id="23" w:name="_Hlk72257530"/>
      <w:r>
        <w:rPr>
          <w:rFonts w:ascii="宋体" w:eastAsia="宋体" w:hAnsi="宋体" w:cs="宋体" w:hint="eastAsia"/>
          <w:sz w:val="21"/>
          <w:szCs w:val="21"/>
        </w:rPr>
        <w:t>致：</w:t>
      </w:r>
      <w:r>
        <w:rPr>
          <w:rFonts w:ascii="宋体" w:eastAsia="宋体" w:hAnsi="宋体" w:cs="宋体" w:hint="eastAsia"/>
          <w:sz w:val="21"/>
          <w:szCs w:val="21"/>
          <w:u w:val="single"/>
          <w:lang w:eastAsia="zh-CN"/>
        </w:rPr>
        <w:t>深圳市千里招标代理有限公司</w:t>
      </w:r>
    </w:p>
    <w:p>
      <w:pPr>
        <w:spacing w:line="360" w:lineRule="auto"/>
        <w:ind w:right="-815" w:firstLine="420" w:firstLineChars="200"/>
        <w:rPr>
          <w:rFonts w:ascii="宋体" w:eastAsia="宋体" w:hAnsi="宋体" w:cs="宋体" w:hint="eastAsia"/>
          <w:sz w:val="21"/>
          <w:szCs w:val="21"/>
        </w:rPr>
      </w:pPr>
      <w:r>
        <w:rPr>
          <w:rFonts w:ascii="宋体" w:eastAsia="宋体" w:hAnsi="宋体" w:cs="宋体" w:hint="eastAsia"/>
          <w:sz w:val="21"/>
          <w:szCs w:val="21"/>
        </w:rPr>
        <w:t>我单位承诺：</w:t>
      </w:r>
    </w:p>
    <w:p>
      <w:pPr>
        <w:spacing w:line="360" w:lineRule="auto"/>
        <w:ind w:firstLine="420" w:firstLineChars="200"/>
        <w:rPr>
          <w:rFonts w:ascii="宋体" w:eastAsia="宋体" w:hAnsi="宋体" w:cs="宋体" w:hint="eastAsia"/>
          <w:b/>
          <w:sz w:val="21"/>
          <w:szCs w:val="21"/>
        </w:rPr>
      </w:pPr>
      <w:r>
        <w:rPr>
          <w:rFonts w:ascii="宋体" w:eastAsia="宋体" w:hAnsi="宋体" w:cs="宋体" w:hint="eastAsia"/>
          <w:bCs/>
          <w:sz w:val="21"/>
          <w:szCs w:val="21"/>
        </w:rPr>
        <w:t>1.我单位参与本项目所投标（响应）的货物、工程或服务，不存在侵犯知识产权的情况。</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2.我单位参与本项目政府采购活动时不存在被有关部门禁止参与政府采购活动且在有效期内的情况。</w:t>
      </w:r>
      <w:r>
        <w:rPr>
          <w:rFonts w:ascii="宋体" w:eastAsia="宋体" w:hAnsi="宋体" w:cs="宋体" w:hint="eastAsia"/>
          <w:sz w:val="21"/>
          <w:szCs w:val="21"/>
        </w:rPr>
        <w:t>符合招标文件关于联合体及进口产品的相关资格要求。</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3.我单位具备《中华人民共和国政府采购法》第二十二条第一款的条件。</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4.我单位未被列入失信被执行人、重大税收违法案件当事人名单、政府采购严重违法失信行为记录名单。</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5.我单位不存在《深圳市财政局政府采购供应商信用信息管理办法》（深财规〔2023〕3号）列明的严重违法失信行为。</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6</w:t>
      </w:r>
      <w:r>
        <w:rPr>
          <w:rFonts w:ascii="宋体" w:eastAsia="宋体" w:hAnsi="宋体" w:cs="宋体" w:hint="eastAsia"/>
          <w:sz w:val="21"/>
          <w:szCs w:val="21"/>
        </w:rPr>
        <w:t>.</w:t>
      </w:r>
      <w:bookmarkStart w:id="24" w:name="_Hlk72587269"/>
      <w:bookmarkStart w:id="25" w:name="_Hlk72587299"/>
      <w:r>
        <w:rPr>
          <w:rFonts w:ascii="宋体" w:eastAsia="宋体" w:hAnsi="宋体" w:cs="宋体" w:hint="eastAsia"/>
          <w:sz w:val="21"/>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24"/>
      <w:r>
        <w:rPr>
          <w:rFonts w:ascii="宋体" w:eastAsia="宋体" w:hAnsi="宋体" w:cs="宋体" w:hint="eastAsia"/>
          <w:sz w:val="21"/>
          <w:szCs w:val="21"/>
        </w:rPr>
        <w:t>。</w:t>
      </w:r>
    </w:p>
    <w:bookmarkEnd w:id="25"/>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7</w:t>
      </w:r>
      <w:r>
        <w:rPr>
          <w:rFonts w:ascii="宋体" w:eastAsia="宋体" w:hAnsi="宋体" w:cs="宋体" w:hint="eastAsia"/>
          <w:sz w:val="21"/>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9</w:t>
      </w:r>
      <w:r>
        <w:rPr>
          <w:rFonts w:ascii="宋体" w:eastAsia="宋体" w:hAnsi="宋体" w:cs="宋体" w:hint="eastAsia"/>
          <w:sz w:val="21"/>
          <w:szCs w:val="21"/>
        </w:rPr>
        <w:t>.我单位承诺中标后项目不转包，未经采购人同意不进行分包。</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10</w:t>
      </w:r>
      <w:r>
        <w:rPr>
          <w:rFonts w:ascii="宋体" w:eastAsia="宋体" w:hAnsi="宋体" w:cs="宋体" w:hint="eastAsia"/>
          <w:sz w:val="21"/>
          <w:szCs w:val="21"/>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1</w:t>
      </w:r>
      <w:r>
        <w:rPr>
          <w:rFonts w:ascii="宋体" w:eastAsia="宋体" w:hAnsi="宋体" w:cs="宋体" w:hint="eastAsia"/>
          <w:sz w:val="21"/>
          <w:szCs w:val="21"/>
        </w:rPr>
        <w:t>.我单位保证，若所投货物涉及《财政部生态环境部关于印发节能产品政府采购品目清单的通知》（财库〔2019〕19号）列明的政府采购强制产品，则所投该产品符合节能产品的认证要求。</w:t>
      </w:r>
      <w:r>
        <w:rPr>
          <w:rFonts w:ascii="宋体" w:eastAsia="宋体" w:hAnsi="宋体" w:cs="宋体" w:hint="eastAsia"/>
          <w:sz w:val="21"/>
          <w:szCs w:val="21"/>
          <w:lang w:eastAsia="zh-CN"/>
        </w:rPr>
        <w:t>若所投产品包括数据中心相关设备的，应满足</w:t>
      </w:r>
      <w:r>
        <w:rPr>
          <w:rFonts w:ascii="宋体" w:eastAsia="宋体" w:hAnsi="宋体" w:cs="宋体" w:hint="eastAsia"/>
          <w:sz w:val="21"/>
          <w:szCs w:val="21"/>
        </w:rPr>
        <w:t>《财政部 生态环境部 工业和信息化部关于印发&lt;绿色数据中心政府采购需求标准（试行）&gt;的通知》</w:t>
      </w:r>
      <w:r>
        <w:rPr>
          <w:rFonts w:ascii="宋体" w:eastAsia="宋体" w:hAnsi="宋体" w:cs="宋体" w:hint="eastAsia"/>
          <w:sz w:val="21"/>
          <w:szCs w:val="21"/>
          <w:lang w:eastAsia="zh-CN"/>
        </w:rPr>
        <w:t>（</w:t>
      </w:r>
      <w:r>
        <w:rPr>
          <w:rFonts w:ascii="宋体" w:eastAsia="宋体" w:hAnsi="宋体" w:cs="宋体" w:hint="eastAsia"/>
          <w:sz w:val="21"/>
          <w:szCs w:val="21"/>
        </w:rPr>
        <w:t>财库〔2023〕7号）</w:t>
      </w:r>
      <w:r>
        <w:rPr>
          <w:rFonts w:ascii="宋体" w:eastAsia="宋体" w:hAnsi="宋体" w:cs="宋体" w:hint="eastAsia"/>
          <w:sz w:val="21"/>
          <w:szCs w:val="21"/>
          <w:lang w:eastAsia="zh-CN"/>
        </w:rPr>
        <w:t>要求。若所投产品涉及国家强制性标准的，所投产品应符合国家强制性标准相关要求。</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rPr>
        <w:t>1</w:t>
      </w:r>
      <w:r>
        <w:rPr>
          <w:rFonts w:ascii="宋体" w:eastAsia="宋体" w:hAnsi="宋体" w:cs="宋体" w:hint="eastAsia"/>
          <w:bCs/>
          <w:sz w:val="21"/>
          <w:szCs w:val="21"/>
          <w:lang w:eastAsia="zh-CN"/>
        </w:rPr>
        <w:t>2</w:t>
      </w:r>
      <w:r>
        <w:rPr>
          <w:rFonts w:ascii="宋体" w:eastAsia="宋体" w:hAnsi="宋体" w:cs="宋体" w:hint="eastAsia"/>
          <w:bCs/>
          <w:sz w:val="21"/>
          <w:szCs w:val="21"/>
        </w:rPr>
        <w:t>.</w:t>
      </w:r>
      <w:r>
        <w:rPr>
          <w:rFonts w:ascii="宋体" w:eastAsia="宋体" w:hAnsi="宋体" w:cs="宋体" w:hint="eastAsia"/>
          <w:bCs/>
          <w:sz w:val="21"/>
          <w:szCs w:val="21"/>
        </w:rPr>
        <w:t>我单位已知悉并同意中标（成交）结果信息公示（公开）的内容。</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Cs/>
          <w:sz w:val="21"/>
          <w:szCs w:val="21"/>
        </w:rPr>
        <w:t>1</w:t>
      </w:r>
      <w:r>
        <w:rPr>
          <w:rFonts w:ascii="宋体" w:eastAsia="宋体" w:hAnsi="宋体" w:cs="宋体" w:hint="eastAsia"/>
          <w:bCs/>
          <w:sz w:val="21"/>
          <w:szCs w:val="21"/>
          <w:lang w:eastAsia="zh-CN"/>
        </w:rPr>
        <w:t>3</w:t>
      </w:r>
      <w:r>
        <w:rPr>
          <w:rFonts w:ascii="宋体" w:eastAsia="宋体" w:hAnsi="宋体" w:cs="宋体" w:hint="eastAsia"/>
          <w:bCs/>
          <w:sz w:val="21"/>
          <w:szCs w:val="21"/>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eastAsia="宋体" w:hAnsi="宋体" w:cs="宋体" w:hint="eastAsia"/>
          <w:bCs/>
          <w:sz w:val="21"/>
          <w:szCs w:val="21"/>
          <w:lang w:eastAsia="zh-CN"/>
        </w:rPr>
        <w:t>若</w:t>
      </w:r>
      <w:r>
        <w:rPr>
          <w:rFonts w:ascii="宋体" w:eastAsia="宋体" w:hAnsi="宋体" w:cs="宋体" w:hint="eastAsia"/>
          <w:bCs/>
          <w:sz w:val="21"/>
          <w:szCs w:val="21"/>
        </w:rPr>
        <w:t>存在“不同供应商的董事、股东或其他高级管理人员为同一人的”情形的，</w:t>
      </w:r>
      <w:r>
        <w:rPr>
          <w:rFonts w:ascii="宋体" w:eastAsia="宋体" w:hAnsi="宋体" w:cs="宋体" w:hint="eastAsia"/>
          <w:bCs/>
          <w:sz w:val="21"/>
          <w:szCs w:val="21"/>
          <w:lang w:eastAsia="zh-CN"/>
        </w:rPr>
        <w:t>我单位保证</w:t>
      </w:r>
      <w:r>
        <w:rPr>
          <w:rFonts w:ascii="宋体" w:eastAsia="宋体" w:hAnsi="宋体" w:cs="宋体" w:hint="eastAsia"/>
          <w:bCs/>
          <w:sz w:val="21"/>
          <w:szCs w:val="21"/>
        </w:rPr>
        <w:t>不存在串通投标、恶意串通或者视为串通投标的情形</w:t>
      </w:r>
      <w:r>
        <w:rPr>
          <w:rFonts w:ascii="宋体" w:eastAsia="宋体" w:hAnsi="宋体" w:cs="宋体" w:hint="eastAsia"/>
          <w:bCs/>
          <w:sz w:val="21"/>
          <w:szCs w:val="21"/>
          <w:lang w:eastAsia="zh-CN"/>
        </w:rPr>
        <w:t>。</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
          <w:sz w:val="21"/>
          <w:szCs w:val="21"/>
          <w:lang w:eastAsia="zh-CN"/>
        </w:rPr>
        <w:t>14.我单位清楚，如存在违反投标承诺行为情节严重的，将根据《深圳市财政局关于印发&lt;深圳市财政局政府采购供应商信用信息管理办法&gt;的通知》，依法被列入失信信息。</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以上承诺，如有违反，愿依照国家相关法律法规处理，并承担由此给采购人带来的损失。</w:t>
      </w:r>
    </w:p>
    <w:bookmarkEnd w:id="23"/>
    <w:p>
      <w:pPr>
        <w:widowControl w:val="0"/>
        <w:spacing w:before="60" w:beforeLines="25" w:after="60" w:afterLines="25"/>
        <w:jc w:val="right"/>
        <w:rPr>
          <w:rFonts w:ascii="Calibri" w:eastAsia="宋体" w:hAnsi="Calibri" w:hint="eastAsia"/>
          <w:kern w:val="2"/>
          <w:sz w:val="21"/>
          <w:szCs w:val="21"/>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b/>
          <w:bCs/>
          <w:color w:val="FF0000"/>
          <w:kern w:val="2"/>
          <w:sz w:val="21"/>
          <w:szCs w:val="21"/>
          <w:lang w:eastAsia="zh-CN"/>
        </w:rPr>
      </w:pPr>
    </w:p>
    <w:p>
      <w:pPr>
        <w:spacing w:line="360" w:lineRule="auto"/>
        <w:ind w:firstLine="420" w:firstLineChars="200"/>
        <w:rPr>
          <w:rFonts w:ascii="宋体" w:eastAsia="宋体" w:hAnsi="宋体" w:cs="宋体" w:hint="eastAsia"/>
          <w:bCs/>
          <w:sz w:val="21"/>
          <w:szCs w:val="21"/>
          <w:lang w:eastAsia="zh-CN"/>
        </w:rPr>
      </w:pPr>
    </w:p>
    <w:p>
      <w:pPr>
        <w:spacing w:line="360" w:lineRule="auto"/>
        <w:ind w:firstLine="420" w:firstLineChars="200"/>
        <w:rPr>
          <w:rFonts w:ascii="宋体" w:eastAsia="宋体" w:hAnsi="宋体" w:cs="宋体" w:hint="eastAsia"/>
          <w:bCs/>
          <w:sz w:val="21"/>
          <w:szCs w:val="21"/>
          <w:lang w:eastAsia="zh-CN"/>
        </w:rPr>
      </w:pPr>
      <w:r>
        <w:rPr>
          <w:rFonts w:ascii="宋体" w:eastAsia="宋体" w:hAnsi="宋体" w:cs="宋体" w:hint="eastAsia"/>
          <w:bCs/>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jc w:val="both"/>
        <w:rPr>
          <w:rFonts w:ascii="Calibri" w:eastAsia="宋体" w:hAnsi="宋体"/>
          <w:b/>
          <w:bCs/>
          <w:kern w:val="2"/>
          <w:szCs w:val="22"/>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bCs/>
          <w:szCs w:val="32"/>
          <w:lang w:eastAsia="zh-CN"/>
        </w:rPr>
      </w:pPr>
      <w:bookmarkStart w:id="26"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bCs/>
          <w:szCs w:val="32"/>
          <w:lang w:eastAsia="zh-CN"/>
        </w:rPr>
      </w:pPr>
      <w:bookmarkStart w:id="27" w:name="_Hlk72257908"/>
      <w:r>
        <w:rPr>
          <w:rFonts w:ascii="黑体" w:eastAsia="黑体" w:hAnsi="宋体" w:cstheme="minorBidi" w:hint="eastAsia"/>
          <w:bCs/>
          <w:szCs w:val="32"/>
          <w:lang w:eastAsia="zh-CN"/>
        </w:rPr>
        <w:t>（二）中小企业声明函、残疾人福利性单位声明函及监狱企业声明函</w:t>
      </w:r>
    </w:p>
    <w:bookmarkEnd w:id="26"/>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1"/>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kern w:val="2"/>
          <w:sz w:val="21"/>
          <w:szCs w:val="21"/>
          <w:lang w:eastAsia="zh-CN"/>
        </w:rPr>
      </w:pPr>
      <w:bookmarkStart w:id="28"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8"/>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bookmarkStart w:id="29" w:name="_Hlk73562331"/>
      <w:bookmarkStart w:id="30"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9"/>
    </w:p>
    <w:bookmarkEnd w:id="30"/>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采购人</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hint="eastAsia"/>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Calibri" w:eastAsia="宋体" w:hAnsi="Calibri"/>
          <w:b/>
          <w:bCs/>
          <w:color w:val="FF0000"/>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7"/>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86"/>
        <w:gridCol w:w="1148"/>
        <w:gridCol w:w="760"/>
        <w:gridCol w:w="760"/>
        <w:gridCol w:w="760"/>
        <w:gridCol w:w="762"/>
        <w:gridCol w:w="531"/>
        <w:gridCol w:w="781"/>
        <w:gridCol w:w="1144"/>
        <w:gridCol w:w="730"/>
        <w:gridCol w:w="99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67"/>
          <w:jc w:val="center"/>
        </w:trPr>
        <w:tc>
          <w:tcPr>
            <w:tcW w:w="27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64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300"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41"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646" w:type="pct"/>
            <w:vAlign w:val="center"/>
          </w:tcPr>
          <w:p>
            <w:pPr>
              <w:widowControl w:val="0"/>
              <w:jc w:val="both"/>
              <w:rPr>
                <w:rFonts w:ascii="Calibri" w:eastAsia="宋体" w:hAnsi="Calibri"/>
                <w:kern w:val="2"/>
                <w:sz w:val="21"/>
                <w:szCs w:val="21"/>
                <w:lang w:eastAsia="zh-CN"/>
              </w:rPr>
            </w:pPr>
            <w:r>
              <w:rPr>
                <w:rFonts w:ascii="Calibri" w:eastAsia="宋体" w:hAnsi="Calibri" w:hint="eastAsia"/>
                <w:kern w:val="2"/>
                <w:sz w:val="21"/>
                <w:szCs w:val="21"/>
                <w:lang w:eastAsia="zh-CN"/>
              </w:rPr>
              <w:t>单项最高限价（元）</w:t>
            </w:r>
          </w:p>
        </w:tc>
        <w:tc>
          <w:tcPr>
            <w:tcW w:w="412" w:type="pct"/>
            <w:vAlign w:val="center"/>
          </w:tcPr>
          <w:p>
            <w:pPr>
              <w:widowControl w:val="0"/>
              <w:jc w:val="both"/>
              <w:rPr>
                <w:rFonts w:ascii="Calibri" w:eastAsia="宋体" w:hAnsi="Calibri"/>
                <w:kern w:val="2"/>
                <w:sz w:val="21"/>
                <w:szCs w:val="21"/>
                <w:lang w:eastAsia="zh-CN"/>
              </w:rPr>
            </w:pPr>
            <w:r>
              <w:rPr>
                <w:rFonts w:ascii="Calibri" w:eastAsia="宋体" w:hAnsi="Calibri" w:hint="eastAsia"/>
                <w:kern w:val="2"/>
                <w:sz w:val="21"/>
                <w:szCs w:val="21"/>
                <w:lang w:eastAsia="zh-CN"/>
              </w:rPr>
              <w:t>单项</w:t>
            </w:r>
            <w:r>
              <w:rPr>
                <w:rFonts w:ascii="Calibri" w:eastAsia="宋体" w:hAnsi="Calibri" w:cstheme="minorBidi" w:hint="eastAsia"/>
                <w:kern w:val="2"/>
                <w:sz w:val="21"/>
                <w:szCs w:val="21"/>
                <w:lang w:eastAsia="zh-CN"/>
              </w:rPr>
              <w:t>投标报价(元)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b/>
                <w:kern w:val="2"/>
                <w:sz w:val="21"/>
                <w:szCs w:val="21"/>
                <w:lang w:eastAsia="zh-CN"/>
              </w:rPr>
              <w:t>最高限价（元）</w:t>
            </w:r>
          </w:p>
        </w:tc>
      </w:tr>
      <w:tr>
        <w:tblPrEx>
          <w:tblW w:w="5000" w:type="pct"/>
          <w:jc w:val="center"/>
          <w:tblLayout w:type="fixed"/>
          <w:tblCellMar>
            <w:top w:w="0" w:type="dxa"/>
            <w:left w:w="108" w:type="dxa"/>
            <w:bottom w:w="0" w:type="dxa"/>
            <w:right w:w="108" w:type="dxa"/>
          </w:tblCellMar>
        </w:tblPrEx>
        <w:trPr>
          <w:trHeight w:val="553"/>
          <w:jc w:val="center"/>
        </w:trPr>
        <w:tc>
          <w:tcPr>
            <w:tcW w:w="27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648"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充气式升温系统</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300"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4</w:t>
            </w:r>
          </w:p>
        </w:tc>
        <w:tc>
          <w:tcPr>
            <w:tcW w:w="441"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套</w:t>
            </w:r>
          </w:p>
        </w:tc>
        <w:tc>
          <w:tcPr>
            <w:tcW w:w="646" w:type="pct"/>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187624.00</w:t>
            </w:r>
          </w:p>
        </w:tc>
        <w:tc>
          <w:tcPr>
            <w:tcW w:w="41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r>
              <w:rPr>
                <w:rFonts w:ascii="宋体" w:eastAsia="宋体" w:hAnsi="宋体" w:cs="宋体" w:hint="eastAsia"/>
                <w:kern w:val="2"/>
                <w:sz w:val="21"/>
                <w:szCs w:val="21"/>
                <w:lang w:eastAsia="zh-CN"/>
              </w:rPr>
              <w:t>382,210.00</w:t>
            </w:r>
          </w:p>
        </w:tc>
      </w:tr>
      <w:tr>
        <w:tblPrEx>
          <w:tblW w:w="5000" w:type="pct"/>
          <w:jc w:val="center"/>
          <w:tblLayout w:type="fixed"/>
          <w:tblCellMar>
            <w:top w:w="0" w:type="dxa"/>
            <w:left w:w="108" w:type="dxa"/>
            <w:bottom w:w="0" w:type="dxa"/>
            <w:right w:w="108" w:type="dxa"/>
          </w:tblCellMar>
        </w:tblPrEx>
        <w:trPr>
          <w:trHeight w:val="825"/>
          <w:jc w:val="center"/>
        </w:trPr>
        <w:tc>
          <w:tcPr>
            <w:tcW w:w="27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648"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医用输血输液加温器</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300"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41"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台</w:t>
            </w:r>
          </w:p>
        </w:tc>
        <w:tc>
          <w:tcPr>
            <w:tcW w:w="646" w:type="pct"/>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135360.00</w:t>
            </w:r>
          </w:p>
        </w:tc>
        <w:tc>
          <w:tcPr>
            <w:tcW w:w="41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25"/>
          <w:jc w:val="center"/>
        </w:trPr>
        <w:tc>
          <w:tcPr>
            <w:tcW w:w="27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648"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全自动定量免疫检测平台</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300"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41"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个</w:t>
            </w:r>
          </w:p>
        </w:tc>
        <w:tc>
          <w:tcPr>
            <w:tcW w:w="646" w:type="pct"/>
            <w:vAlign w:val="center"/>
          </w:tcPr>
          <w:p>
            <w:pPr>
              <w:widowControl w:val="0"/>
              <w:jc w:val="center"/>
              <w:rPr>
                <w:rFonts w:ascii="Calibri" w:eastAsia="宋体" w:hAnsi="Calibri"/>
                <w:kern w:val="2"/>
                <w:sz w:val="21"/>
                <w:szCs w:val="21"/>
                <w:lang w:eastAsia="zh-CN"/>
              </w:rPr>
            </w:pPr>
            <w:r>
              <w:rPr>
                <w:rFonts w:ascii="宋体" w:eastAsia="宋体" w:hAnsi="宋体" w:cs="宋体" w:hint="eastAsia"/>
                <w:kern w:val="2"/>
                <w:sz w:val="21"/>
                <w:szCs w:val="21"/>
                <w:lang w:eastAsia="zh-CN"/>
              </w:rPr>
              <w:t>1410.00</w:t>
            </w:r>
          </w:p>
        </w:tc>
        <w:tc>
          <w:tcPr>
            <w:tcW w:w="41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553"/>
          <w:jc w:val="center"/>
        </w:trPr>
        <w:tc>
          <w:tcPr>
            <w:tcW w:w="27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4</w:t>
            </w:r>
          </w:p>
        </w:tc>
        <w:tc>
          <w:tcPr>
            <w:tcW w:w="648"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红外电热灭菌器</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300"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41"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台</w:t>
            </w:r>
          </w:p>
        </w:tc>
        <w:tc>
          <w:tcPr>
            <w:tcW w:w="646" w:type="pct"/>
            <w:vAlign w:val="center"/>
          </w:tcPr>
          <w:p>
            <w:pPr>
              <w:widowControl w:val="0"/>
              <w:jc w:val="center"/>
              <w:rPr>
                <w:rFonts w:ascii="Calibri" w:eastAsia="宋体" w:hAnsi="Calibri"/>
                <w:kern w:val="2"/>
                <w:sz w:val="21"/>
                <w:szCs w:val="21"/>
                <w:lang w:eastAsia="zh-CN"/>
              </w:rPr>
            </w:pPr>
            <w:r>
              <w:rPr>
                <w:rFonts w:ascii="宋体" w:eastAsia="宋体" w:hAnsi="宋体" w:cs="宋体" w:hint="eastAsia"/>
                <w:kern w:val="2"/>
                <w:sz w:val="21"/>
                <w:szCs w:val="21"/>
                <w:lang w:eastAsia="zh-CN"/>
              </w:rPr>
              <w:t>2820.00</w:t>
            </w:r>
          </w:p>
        </w:tc>
        <w:tc>
          <w:tcPr>
            <w:tcW w:w="41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1640"/>
          <w:jc w:val="center"/>
        </w:trPr>
        <w:tc>
          <w:tcPr>
            <w:tcW w:w="27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5</w:t>
            </w:r>
          </w:p>
        </w:tc>
        <w:tc>
          <w:tcPr>
            <w:tcW w:w="648" w:type="pct"/>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化学发光免疫分析仪</w:t>
            </w:r>
          </w:p>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（食物不耐受检测）</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300"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41"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套</w:t>
            </w:r>
          </w:p>
        </w:tc>
        <w:tc>
          <w:tcPr>
            <w:tcW w:w="646" w:type="pct"/>
            <w:vAlign w:val="center"/>
          </w:tcPr>
          <w:p>
            <w:pPr>
              <w:widowControl w:val="0"/>
              <w:jc w:val="center"/>
              <w:rPr>
                <w:rFonts w:ascii="Calibri" w:eastAsia="宋体" w:hAnsi="Calibri"/>
                <w:kern w:val="2"/>
                <w:sz w:val="21"/>
                <w:szCs w:val="21"/>
                <w:lang w:eastAsia="zh-CN"/>
              </w:rPr>
            </w:pPr>
            <w:r>
              <w:rPr>
                <w:rFonts w:ascii="宋体" w:eastAsia="宋体" w:hAnsi="宋体" w:cs="宋体" w:hint="eastAsia"/>
                <w:kern w:val="2"/>
                <w:sz w:val="21"/>
                <w:szCs w:val="21"/>
                <w:lang w:eastAsia="zh-CN"/>
              </w:rPr>
              <w:t>4512.00</w:t>
            </w:r>
          </w:p>
        </w:tc>
        <w:tc>
          <w:tcPr>
            <w:tcW w:w="41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1367"/>
          <w:jc w:val="center"/>
        </w:trPr>
        <w:tc>
          <w:tcPr>
            <w:tcW w:w="27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6</w:t>
            </w:r>
          </w:p>
        </w:tc>
        <w:tc>
          <w:tcPr>
            <w:tcW w:w="648" w:type="pct"/>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生物芯片阅读仪</w:t>
            </w:r>
          </w:p>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（不孕不育自身抗体）</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300"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41"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套</w:t>
            </w:r>
          </w:p>
        </w:tc>
        <w:tc>
          <w:tcPr>
            <w:tcW w:w="646" w:type="pct"/>
            <w:vAlign w:val="center"/>
          </w:tcPr>
          <w:p>
            <w:pPr>
              <w:widowControl w:val="0"/>
              <w:jc w:val="center"/>
              <w:rPr>
                <w:rFonts w:ascii="Calibri" w:eastAsia="宋体" w:hAnsi="Calibri"/>
                <w:kern w:val="2"/>
                <w:sz w:val="21"/>
                <w:szCs w:val="21"/>
                <w:lang w:eastAsia="zh-CN"/>
              </w:rPr>
            </w:pPr>
            <w:r>
              <w:rPr>
                <w:rFonts w:ascii="宋体" w:eastAsia="宋体" w:hAnsi="宋体" w:cs="宋体" w:hint="eastAsia"/>
                <w:kern w:val="2"/>
                <w:sz w:val="21"/>
                <w:szCs w:val="21"/>
                <w:lang w:eastAsia="zh-CN"/>
              </w:rPr>
              <w:t>3572.00</w:t>
            </w:r>
          </w:p>
        </w:tc>
        <w:tc>
          <w:tcPr>
            <w:tcW w:w="41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553"/>
          <w:jc w:val="center"/>
        </w:trPr>
        <w:tc>
          <w:tcPr>
            <w:tcW w:w="27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7</w:t>
            </w:r>
          </w:p>
        </w:tc>
        <w:tc>
          <w:tcPr>
            <w:tcW w:w="648"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细胞离心涂片机</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300"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41"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台</w:t>
            </w:r>
          </w:p>
        </w:tc>
        <w:tc>
          <w:tcPr>
            <w:tcW w:w="646" w:type="pct"/>
            <w:vAlign w:val="center"/>
          </w:tcPr>
          <w:p>
            <w:pPr>
              <w:widowControl w:val="0"/>
              <w:jc w:val="center"/>
              <w:rPr>
                <w:rFonts w:ascii="Calibri" w:eastAsia="宋体" w:hAnsi="Calibri"/>
                <w:kern w:val="2"/>
                <w:sz w:val="21"/>
                <w:szCs w:val="21"/>
                <w:lang w:eastAsia="zh-CN"/>
              </w:rPr>
            </w:pPr>
            <w:r>
              <w:rPr>
                <w:rFonts w:ascii="宋体" w:eastAsia="宋体" w:hAnsi="宋体" w:cs="宋体" w:hint="eastAsia"/>
                <w:kern w:val="2"/>
                <w:sz w:val="21"/>
                <w:szCs w:val="21"/>
                <w:lang w:eastAsia="zh-CN"/>
              </w:rPr>
              <w:t>46812.00</w:t>
            </w:r>
          </w:p>
        </w:tc>
        <w:tc>
          <w:tcPr>
            <w:tcW w:w="41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563"/>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0" w:type="pct"/>
            <w:gridSpan w:val="5"/>
            <w:vAlign w:val="center"/>
          </w:tcPr>
          <w:p>
            <w:pPr>
              <w:widowControl w:val="0"/>
              <w:jc w:val="both"/>
              <w:rPr>
                <w:rFonts w:ascii="Calibri" w:eastAsia="宋体" w:hAnsi="Calibri"/>
                <w:kern w:val="2"/>
                <w:sz w:val="21"/>
                <w:szCs w:val="21"/>
                <w:lang w:eastAsia="zh-CN"/>
              </w:rPr>
            </w:pPr>
          </w:p>
        </w:tc>
      </w:tr>
    </w:tbl>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填写说明：</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1.本表可根据实际需要增加相关内容，但原有的格式内容不得删减；</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4.“原产地”是指该货物的实际生产加工地，而非品牌所在地。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6.以上分项报价表的投标总价应当与开标一览表的投标总价一致。</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line="240" w:lineRule="auto"/>
        <w:ind w:left="480" w:firstLine="420" w:leftChars="200" w:firstLineChars="20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（二）核心产品品牌</w:t>
      </w: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ind w:firstLine="480" w:firstLineChars="200"/>
        <w:jc w:val="both"/>
        <w:rPr>
          <w:rFonts w:ascii="宋体" w:eastAsia="宋体" w:hAnsi="宋体"/>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备注：单一产品采购项目，核心产品即为该单一产品。</w:t>
      </w:r>
    </w:p>
    <w:p>
      <w:pPr>
        <w:widowControl/>
        <w:wordWrap w:val="0"/>
        <w:autoSpaceDE w:val="0"/>
        <w:autoSpaceDN w:val="0"/>
        <w:spacing w:line="400" w:lineRule="exact"/>
        <w:ind w:right="808" w:firstLine="420" w:firstLineChars="200"/>
        <w:jc w:val="both"/>
        <w:rPr>
          <w:rFonts w:eastAsia="宋体" w:hint="eastAsia"/>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（三）可选配件报价清单（非项目需求要求的必备配件，此部分不包括在总报价内）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（四）供应商认为需要涉及的其他内容报价清单</w:t>
      </w: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keepNext/>
        <w:keepLines/>
        <w:widowControl/>
        <w:spacing w:before="260" w:after="260"/>
        <w:jc w:val="center"/>
        <w:outlineLvl w:val="2"/>
        <w:rPr>
          <w:rFonts w:ascii="黑体" w:eastAsia="黑体" w:hAnsi="宋体"/>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2"/>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9"/>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ascii="Calibri" w:eastAsia="宋体" w:hAnsi="Calibri"/>
          <w:kern w:val="2"/>
          <w:sz w:val="21"/>
          <w:szCs w:val="22"/>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widowControl/>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六、</w:t>
      </w:r>
      <w:bookmarkStart w:id="31" w:name="_Hlk72092499"/>
      <w:r>
        <w:rPr>
          <w:rFonts w:ascii="黑体" w:eastAsia="黑体" w:hAnsi="宋体" w:cstheme="minorBidi" w:hint="eastAsia"/>
          <w:b/>
          <w:kern w:val="2"/>
          <w:sz w:val="30"/>
          <w:szCs w:val="30"/>
          <w:lang w:eastAsia="zh-CN"/>
        </w:rPr>
        <w:t>法定代表人（负责人）证明书</w:t>
      </w:r>
      <w:bookmarkEnd w:id="31"/>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0" w:firstLine="0" w:leftChars="0" w:firstLineChars="0"/>
        <w:jc w:val="both"/>
        <w:rPr>
          <w:rFonts w:ascii="Calibri" w:eastAsia="宋体" w:hAnsi="Calibri"/>
          <w:kern w:val="2"/>
          <w:szCs w:val="22"/>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七、投标文件签署授权委托书</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hint="eastAsia"/>
          <w:kern w:val="2"/>
          <w:sz w:val="21"/>
          <w:szCs w:val="21"/>
          <w:lang w:eastAsia="zh-CN"/>
        </w:rPr>
      </w:pP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八、</w:t>
      </w:r>
      <w:bookmarkStart w:id="32" w:name="_Hlk72092634"/>
      <w:r>
        <w:rPr>
          <w:rFonts w:ascii="黑体" w:eastAsia="黑体" w:hAnsi="Calibri" w:cstheme="minorBidi" w:hint="eastAsia"/>
          <w:b/>
          <w:kern w:val="2"/>
          <w:sz w:val="30"/>
          <w:szCs w:val="22"/>
          <w:lang w:eastAsia="zh-CN"/>
        </w:rPr>
        <w:t>实质性条款响应情况表</w:t>
      </w:r>
      <w:bookmarkEnd w:id="32"/>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b/>
                <w:color w:val="FF0000"/>
                <w:sz w:val="21"/>
                <w:szCs w:val="21"/>
                <w:lang w:eastAsia="zh-CN"/>
              </w:rPr>
            </w:pPr>
          </w:p>
        </w:tc>
      </w:tr>
    </w:tbl>
    <w:p>
      <w:pPr>
        <w:widowControl w:val="0"/>
        <w:snapToGrid w:val="0"/>
        <w:jc w:val="both"/>
        <w:rPr>
          <w:rFonts w:ascii="宋体" w:eastAsia="宋体" w:hAnsi="宋体"/>
          <w:kern w:val="2"/>
          <w:lang w:eastAsia="zh-CN"/>
        </w:rPr>
      </w:pPr>
    </w:p>
    <w:p>
      <w:pPr>
        <w:widowControl w:val="0"/>
        <w:snapToGrid w:val="0"/>
        <w:spacing w:line="360" w:lineRule="auto"/>
        <w:jc w:val="both"/>
        <w:rPr>
          <w:rFonts w:ascii="宋体" w:eastAsia="宋体" w:hAnsi="宋体"/>
          <w:b/>
          <w:kern w:val="2"/>
          <w:sz w:val="21"/>
          <w:szCs w:val="21"/>
          <w:lang w:eastAsia="zh-CN"/>
        </w:rPr>
      </w:pPr>
      <w:r>
        <w:rPr>
          <w:rFonts w:ascii="宋体" w:eastAsia="宋体" w:hAnsi="宋体" w:hint="eastAsia"/>
          <w:b/>
          <w:kern w:val="2"/>
          <w:sz w:val="21"/>
          <w:szCs w:val="21"/>
          <w:lang w:eastAsia="zh-CN"/>
        </w:rPr>
        <w:t>填写说明：</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2、“投标文件响应”一栏应当详细填写投标人自身响应情况，而不能不合理照搬照抄招标文件实质性条款具体内容。</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b/>
          <w:bCs/>
          <w:szCs w:val="20"/>
          <w:lang w:eastAsia="zh-CN"/>
        </w:rPr>
      </w:pPr>
      <w:r>
        <w:rPr>
          <w:rFonts w:ascii="宋体" w:eastAsia="宋体" w:hAnsi="宋体" w:hint="eastAsia"/>
          <w:b/>
          <w:bCs/>
          <w:szCs w:val="20"/>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九、技术要求偏离表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77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序号</w:t>
            </w:r>
          </w:p>
        </w:tc>
        <w:tc>
          <w:tcPr>
            <w:tcW w:w="126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货物名称</w:t>
            </w:r>
          </w:p>
        </w:tc>
        <w:tc>
          <w:tcPr>
            <w:tcW w:w="3028"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招标技术要求</w:t>
            </w:r>
          </w:p>
        </w:tc>
        <w:tc>
          <w:tcPr>
            <w:tcW w:w="2881"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投标技术响应</w:t>
            </w:r>
          </w:p>
        </w:tc>
        <w:tc>
          <w:tcPr>
            <w:tcW w:w="1210"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偏离情况</w:t>
            </w:r>
          </w:p>
        </w:tc>
        <w:tc>
          <w:tcPr>
            <w:tcW w:w="874"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456"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484"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招标商务要求</w:t>
            </w:r>
          </w:p>
        </w:tc>
        <w:tc>
          <w:tcPr>
            <w:tcW w:w="2404"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17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698"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kern w:val="2"/>
                <w:sz w:val="21"/>
                <w:szCs w:val="22"/>
                <w:lang w:eastAsia="zh-CN"/>
              </w:rPr>
            </w:pPr>
            <w:r>
              <w:rPr>
                <w:rFonts w:ascii="宋体" w:eastAsia="宋体" w:hAnsi="宋体" w:cs="宋体" w:hint="eastAsia"/>
                <w:b/>
                <w:sz w:val="21"/>
                <w:szCs w:val="21"/>
              </w:rPr>
              <w:t>（一）免费保修期内售后服务要求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484"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bCs/>
                <w:kern w:val="2"/>
                <w:sz w:val="21"/>
                <w:szCs w:val="22"/>
                <w:lang w:eastAsia="zh-CN"/>
              </w:rPr>
            </w:pPr>
            <w:r>
              <w:rPr>
                <w:rFonts w:ascii="宋体" w:eastAsia="宋体" w:hAnsi="宋体" w:cs="宋体" w:hint="eastAsia"/>
                <w:b/>
                <w:sz w:val="21"/>
                <w:szCs w:val="21"/>
              </w:rPr>
              <w:t>（二）免费保修期外售后服务要求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kern w:val="2"/>
                <w:sz w:val="21"/>
                <w:szCs w:val="22"/>
                <w:lang w:eastAsia="zh-CN"/>
              </w:rPr>
            </w:pPr>
            <w:r>
              <w:rPr>
                <w:rFonts w:ascii="宋体" w:eastAsia="宋体" w:hAnsi="宋体" w:cs="宋体" w:hint="eastAsia"/>
                <w:b/>
                <w:sz w:val="21"/>
                <w:szCs w:val="21"/>
              </w:rPr>
              <w:t>（三）其他商务要求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2</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1、商务要求偏离表的序号、目录、招标商务要求等栏目对应“用户需求书”中的“商务条款要求”章节相关内容。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2、“投标商务响应”一栏必须一一对照“招标商务要求”，详细填写自身响应情况，而不能不合理照搬照抄招标文件的商务要求，以体现具体响应情况。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“投标商务响应”对比“招标商务要求”存在响应不全（包括未响应整项招标商务要求或者未响应一项招标商务要求的部分内容），均视为“负偏离”。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4、带★号条款为不可偏离条款，如未响应或出现负偏离的，将作投标无效处理。</w:t>
      </w: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十一、技术保障措施（格式自拟）</w:t>
      </w: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十二、</w:t>
      </w:r>
      <w:bookmarkStart w:id="33" w:name="_Hlk72062872"/>
      <w:r>
        <w:rPr>
          <w:rFonts w:ascii="黑体" w:eastAsia="黑体" w:hAnsi="宋体" w:cstheme="minorBidi" w:hint="eastAsia"/>
          <w:b/>
          <w:bCs/>
          <w:kern w:val="2"/>
          <w:sz w:val="30"/>
          <w:szCs w:val="30"/>
          <w:lang w:eastAsia="zh-CN"/>
        </w:rPr>
        <w:t>投标人认为需要加以说明的其他内容</w:t>
      </w:r>
      <w:bookmarkEnd w:id="33"/>
    </w:p>
    <w:p>
      <w:pPr>
        <w:widowControl/>
        <w:jc w:val="center"/>
        <w:rPr>
          <w:rFonts w:ascii="黑体" w:eastAsia="黑体" w:hAnsi="宋体"/>
          <w:szCs w:val="20"/>
          <w:lang w:eastAsia="zh-CN"/>
        </w:rPr>
      </w:pPr>
      <w:r>
        <w:rPr>
          <w:rFonts w:ascii="黑体" w:eastAsia="黑体" w:hAnsi="宋体" w:cstheme="minorBidi" w:hint="eastAsia"/>
          <w:szCs w:val="20"/>
          <w:lang w:eastAsia="zh-CN"/>
        </w:rPr>
        <w:t>（一）政府采购违法行为风险知悉确认书</w:t>
      </w:r>
    </w:p>
    <w:p>
      <w:pPr>
        <w:widowControl/>
        <w:jc w:val="center"/>
        <w:rPr>
          <w:rFonts w:ascii="黑体" w:eastAsia="黑体" w:hAnsi="宋体"/>
          <w:szCs w:val="20"/>
          <w:lang w:eastAsia="zh-CN"/>
        </w:rPr>
      </w:pPr>
    </w:p>
    <w:p>
      <w:pPr>
        <w:widowControl w:val="0"/>
        <w:spacing w:line="360"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本公司在投标前已充分知悉以下情形为参与政府采购活动时的重大风险事项，并承诺已对下述风险提示事项重点排查，做到严谨、诚信、依法依规参与政府采购活动。</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一、本公司已充分知悉“隐瞒真实情况，提供虚假资料”的法定情形，相关情形包括但不限于</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（一）通过转让或者租借等方式从其他单位获取资格或者资质证书投标的。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（二）由其他单位或者其他单位负责人在投标供应商编制的投标文件上加盖印章或者签字的。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（三）项目负责人或者主要技术人员不是本单位人员的。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（四）投标保证金不是从投标供应商基本账户转出的。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（五）其他隐瞒真实情况、提供虚假资料的行为。</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二、本公司已充分知悉“与其他采购参加人串通投标”的法定情形，相关情形包括但不限于：</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（一）投标供应商之间相互约定给予未中标的供应商利益补偿。</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（三）不同投标供应商的投标文件由同一单位或者同一人编制，或者由同一人分阶段参与编制的。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（四）不同投标供应商的投标文件或部分投标文件相互混装。</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（五）不同投标供应商的投标文件内容存在非正常一致。</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（六）由同一单位工作人员为两家以上（含两家）供应商进行同一项投标活动的。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（七）不同投标人的投标报价呈规律性差异。</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（八）不同投标人的投标保证金从同一单位或者个人的账户转出。</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（九）主管部门依照法律、法规认定的其他情形。</w:t>
      </w:r>
    </w:p>
    <w:p>
      <w:pPr>
        <w:widowControl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三、本公司已充分知悉下列情形所对应的法律风险，并在投标前已对相关风险事项进行排查。</w:t>
      </w:r>
    </w:p>
    <w:p>
      <w:pPr>
        <w:widowControl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kern w:val="2"/>
          <w:sz w:val="21"/>
          <w:szCs w:val="21"/>
          <w:lang w:eastAsia="zh-CN"/>
        </w:rPr>
        <w:t>（一）对于从其他主体获取的投标资料，供应商应审慎核查，确保投标资料的真实性。</w:t>
      </w:r>
      <w:r>
        <w:rPr>
          <w:rFonts w:ascii="宋体" w:eastAsia="宋体" w:hAnsi="宋体" w:cs="宋体" w:hint="eastAsia"/>
          <w:b/>
          <w:bCs/>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（三）对于涉及安全生产、特种作业、抢险救灾、防疫等政府采购项目，供应商实施提供虚假资料、串通投标等违法行为的，主管部门将依法从严处理。</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widowControl w:val="0"/>
        <w:spacing w:line="360" w:lineRule="auto"/>
        <w:ind w:firstLine="420" w:firstLineChars="20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（六）单位负责人为同一人或者存在直接控股、管理关系的不同供应商，不得参加同一合同项下的政府采购活动。相关情形如查实，依法作投标无效处理；涉嫌串通投标等违法行为的，主管部门将依法调查处理。</w:t>
      </w:r>
    </w:p>
    <w:p>
      <w:pPr>
        <w:widowControl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四、本公司已充分知悉政府采购违法、违规行为的法律后果。</w:t>
      </w:r>
      <w:r>
        <w:rPr>
          <w:rFonts w:ascii="宋体" w:eastAsia="宋体" w:hAnsi="宋体" w:cs="宋体" w:hint="eastAsia"/>
          <w:kern w:val="2"/>
          <w:sz w:val="21"/>
          <w:szCs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360" w:lineRule="auto"/>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我司已阅读并确认：“本公司已仔细阅读《政府采购违法行为风险知悉确认书》，充分知悉违法行为的法律后果，并承诺将严谨、诚信、依法依规参与政府采购活动”。</w:t>
      </w:r>
    </w:p>
    <w:p>
      <w:pPr>
        <w:widowControl w:val="0"/>
        <w:spacing w:line="360" w:lineRule="auto"/>
        <w:jc w:val="both"/>
        <w:rPr>
          <w:rFonts w:ascii="宋体" w:eastAsia="宋体" w:hAnsi="宋体" w:cs="宋体" w:hint="eastAsia"/>
          <w:kern w:val="2"/>
          <w:sz w:val="21"/>
          <w:szCs w:val="21"/>
          <w:u w:val="single"/>
          <w:lang w:eastAsia="zh-CN"/>
        </w:rPr>
      </w:pPr>
    </w:p>
    <w:p>
      <w:pPr>
        <w:widowControl w:val="0"/>
        <w:spacing w:line="360" w:lineRule="auto"/>
        <w:jc w:val="both"/>
        <w:rPr>
          <w:rFonts w:ascii="宋体" w:eastAsia="宋体" w:hAnsi="宋体" w:cs="宋体" w:hint="eastAsia"/>
          <w:kern w:val="2"/>
          <w:sz w:val="21"/>
          <w:szCs w:val="21"/>
          <w:lang w:eastAsia="zh-CN"/>
        </w:rPr>
      </w:pPr>
    </w:p>
    <w:p>
      <w:pPr>
        <w:widowControl w:val="0"/>
        <w:spacing w:before="60" w:beforeLines="25" w:after="60" w:afterLines="25" w:line="360" w:lineRule="auto"/>
        <w:jc w:val="righ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w:t>
      </w:r>
      <w:r>
        <w:rPr>
          <w:rFonts w:ascii="宋体" w:eastAsia="宋体" w:hAnsi="宋体" w:cs="宋体" w:hint="eastAsia"/>
          <w:kern w:val="2"/>
          <w:sz w:val="21"/>
          <w:szCs w:val="21"/>
          <w:u w:val="single"/>
          <w:lang w:eastAsia="zh-CN"/>
        </w:rPr>
        <w:t xml:space="preserve">                </w:t>
      </w:r>
      <w:r>
        <w:rPr>
          <w:rFonts w:ascii="宋体" w:eastAsia="宋体" w:hAnsi="宋体" w:cs="宋体" w:hint="eastAsia"/>
          <w:color w:val="FFFFFF"/>
          <w:kern w:val="2"/>
          <w:sz w:val="21"/>
          <w:szCs w:val="21"/>
          <w:u w:val="single"/>
          <w:lang w:eastAsia="zh-CN"/>
        </w:rPr>
        <w:t>.</w:t>
      </w:r>
    </w:p>
    <w:p>
      <w:pPr>
        <w:widowControl w:val="0"/>
        <w:spacing w:line="360" w:lineRule="auto"/>
        <w:ind w:firstLine="645"/>
        <w:jc w:val="righ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autoSpaceDE w:val="0"/>
        <w:autoSpaceDN w:val="0"/>
        <w:spacing w:line="360" w:lineRule="auto"/>
        <w:ind w:firstLine="420" w:firstLineChars="20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注：根据《深圳市财政局关于采购文件增加风险告知有关事项的通知》（深财购〔2022〕22号），该风险知悉确认书用于对供应商违法行为的警示，不作为供应商资格性审查及符合性审查条件。</w:t>
      </w:r>
    </w:p>
    <w:p>
      <w:pPr>
        <w:widowControl/>
        <w:autoSpaceDE w:val="0"/>
        <w:autoSpaceDN w:val="0"/>
        <w:spacing w:line="400" w:lineRule="exact"/>
        <w:ind w:firstLine="420" w:firstLineChars="200"/>
        <w:jc w:val="left"/>
        <w:rPr>
          <w:rFonts w:ascii="宋体" w:eastAsia="宋体" w:hAnsi="宋体" w:cs="宋体" w:hint="eastAsia"/>
          <w:kern w:val="2"/>
          <w:sz w:val="21"/>
          <w:szCs w:val="21"/>
          <w:lang w:eastAsia="zh-CN"/>
        </w:rPr>
      </w:pPr>
    </w:p>
    <w:p>
      <w:pPr>
        <w:widowControl/>
        <w:jc w:val="center"/>
        <w:rPr>
          <w:rFonts w:ascii="黑体" w:eastAsia="黑体" w:hAnsi="宋体"/>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有专业类别的格式合同范本请选择相应的合同</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（仅供参考，采购单位需填写项目关键信息和违约责任条款）</w:t>
      </w:r>
    </w:p>
    <w:p>
      <w:pPr>
        <w:widowControl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采购人：</w:t>
      </w:r>
    </w:p>
    <w:p>
      <w:pPr>
        <w:widowControl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w:t>
      </w:r>
    </w:p>
    <w:p>
      <w:pPr>
        <w:widowControl w:val="0"/>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根据深圳市</w:t>
      </w:r>
      <w:r>
        <w:rPr>
          <w:rFonts w:ascii="宋体" w:eastAsia="宋体" w:hAnsi="宋体" w:cs="宋体" w:hint="eastAsia"/>
          <w:kern w:val="2"/>
          <w:sz w:val="21"/>
          <w:szCs w:val="21"/>
          <w:lang w:eastAsia="zh-CN"/>
        </w:rPr>
        <w:t>****</w:t>
      </w:r>
      <w:r>
        <w:rPr>
          <w:rFonts w:ascii="宋体" w:eastAsia="宋体" w:hAnsi="宋体" w:hint="eastAsia"/>
          <w:kern w:val="2"/>
          <w:sz w:val="21"/>
          <w:szCs w:val="21"/>
          <w:lang w:eastAsia="zh-CN"/>
        </w:rPr>
        <w:t>号采购项目的投标结果，由单位为中标方。按照有关规定，经深圳市（以下简称甲方）和单位（以下简称乙方）协商，达成以下合同条款：</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第一条合同标的</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乙方根据甲方需求提供下列货物：</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货物名称、规格及数量详见。</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第二条合同价款</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本合同项下总价款为（大写）人民币，分项价款详见。本合同总价款已包括乙方为履行本合同义务所发生的一切费用，系固定不变价格，且不随通货膨胀的影响而波动。</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第三条权利保证</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第四条质量保证</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1、乙方所提供的货物的技术规格符合采购文件规定的技术规格，货物符合中华人民共和国的设计和制造生产标准或行业标准。</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2、乙方应保证货物是全新、未使用过的原装合格正品（包括零部件），并完全符合甲方要求的质量、规格和性能的要求。如货物安装或配置了软件的，乙方保证相关软件均为正版软件。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3、乙方保证交货时一并提供货物的质量合格凭证或文件。</w:t>
      </w:r>
    </w:p>
    <w:p>
      <w:pPr>
        <w:widowControl w:val="0"/>
        <w:spacing w:line="360" w:lineRule="auto"/>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第五条交货和验收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1、乙方应按照本合同或招投标文件规定的时间和方式向甲方交付货物，交货地点由甲方指定。因交货产生的费用由乙方自行承担。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2、乙方交付的货物应当完全符合招投标文件所规定的货物、数量、质量和规格要求。乙方提供的货物不符合招投标文件和合同规定的，甲方有权拒收货物，由此引起的风险，由乙方承担。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4、甲方应当在到货后的个工作日内对货物进行验收；需要乙方对货物或系统进行安装调试的，甲方应在货物安装调试完毕后的个工作日内进行质量验收。</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第六条保修及其他服务</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1、乙方应按照国家有关法律法规规章和“三包”规定和采购文件的要求及乙方在投标文件的相关承诺提供保修及其他服务。</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保修期内，乙方负责对其提供的货物进行维修和系统维护，不再收取任何费用。</w:t>
      </w:r>
      <w:r>
        <w:rPr>
          <w:rFonts w:ascii="宋体" w:eastAsia="宋体" w:hAnsi="宋体" w:hint="eastAsia"/>
          <w:kern w:val="2"/>
          <w:sz w:val="21"/>
          <w:szCs w:val="21"/>
          <w:lang w:eastAsia="zh-CN"/>
        </w:rPr>
        <w:t>所有货物保修服务方式均为乙方上门保修，即由乙方派员到货物使用现场维修，由此产生的一切费用均由乙方承担。保修期后的货物维护另行协商。</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第七条履约保证金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1、乙方应在签订本合同之日，向甲方或甲方指定的机构提交履约保证金_________元。</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2、如乙方未能履行合同规定的义务，甲方有权从履约保证金中取得补偿。</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3、甲方在乙方履行完毕本合同项下全部义务后______天内无息退还乙方。</w:t>
      </w:r>
    </w:p>
    <w:p>
      <w:pPr>
        <w:widowControl w:val="0"/>
        <w:spacing w:line="360" w:lineRule="auto"/>
        <w:ind w:firstLine="560"/>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第八条付款方式</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按照招标文件规定的付款方式进行支付。</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第九条违约责任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１、甲方无正当理由拒收货物、拒付货物款的，由甲方向乙方偿付合同总价的【】%违约金。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２、甲方未按合同规定的期限向乙方支付货款的，每逾期1天甲方向乙方偿付欠款总额的【】‰滞纳金，但累计滞纳金总额不超过欠款总额的【】%。</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３、</w:t>
      </w:r>
      <w:r>
        <w:rPr>
          <w:rFonts w:ascii="宋体" w:eastAsia="宋体" w:hAnsi="宋体"/>
          <w:kern w:val="2"/>
          <w:sz w:val="21"/>
          <w:szCs w:val="21"/>
          <w:lang w:eastAsia="zh-CN"/>
        </w:rPr>
        <w:t>乙方逾期交付货物的，每逾期1天，乙方向甲方偿付逾期交货部分货款总额的</w:t>
      </w:r>
      <w:r>
        <w:rPr>
          <w:rFonts w:ascii="宋体" w:eastAsia="宋体" w:hAnsi="宋体" w:hint="eastAsia"/>
          <w:kern w:val="2"/>
          <w:sz w:val="21"/>
          <w:szCs w:val="21"/>
          <w:lang w:eastAsia="zh-CN"/>
        </w:rPr>
        <w:t>【】</w:t>
      </w:r>
      <w:r>
        <w:rPr>
          <w:rFonts w:ascii="宋体" w:eastAsia="宋体" w:hAnsi="宋体"/>
          <w:kern w:val="2"/>
          <w:sz w:val="21"/>
          <w:szCs w:val="21"/>
          <w:lang w:eastAsia="zh-CN"/>
        </w:rPr>
        <w:t>‰的滞纳金</w:t>
      </w:r>
      <w:r>
        <w:rPr>
          <w:rFonts w:ascii="宋体" w:eastAsia="宋体" w:hAnsi="宋体" w:hint="eastAsia"/>
          <w:kern w:val="2"/>
          <w:sz w:val="21"/>
          <w:szCs w:val="21"/>
          <w:lang w:eastAsia="zh-CN"/>
        </w:rPr>
        <w:t>。如乙方逾期交货达天，甲方有权解除合同，履约保证金不予退回，同时乙方应向甲方支付合同总价【】％的违约金。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4、乙方所交付的货物品种、型号、规格不符合合同规定的，甲方有权拒收。甲方拒收的，乙方应向甲方支付货款总额【】%的违约金。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5、在乙方承诺的或国家规定的质量保证期内（取两者中最长的期限），</w:t>
      </w:r>
      <w:r>
        <w:rPr>
          <w:rFonts w:ascii="宋体" w:eastAsia="宋体" w:hAnsi="宋体"/>
          <w:kern w:val="2"/>
          <w:sz w:val="21"/>
          <w:szCs w:val="21"/>
          <w:lang w:eastAsia="zh-CN"/>
        </w:rPr>
        <w:t>如经乙方两次维修</w:t>
      </w:r>
      <w:r>
        <w:rPr>
          <w:rFonts w:ascii="宋体" w:eastAsia="宋体" w:hAnsi="宋体" w:hint="eastAsia"/>
          <w:kern w:val="2"/>
          <w:sz w:val="21"/>
          <w:szCs w:val="21"/>
          <w:lang w:eastAsia="zh-CN"/>
        </w:rPr>
        <w:t>或更换</w:t>
      </w:r>
      <w:r>
        <w:rPr>
          <w:rFonts w:ascii="宋体" w:eastAsia="宋体" w:hAnsi="宋体"/>
          <w:kern w:val="2"/>
          <w:sz w:val="21"/>
          <w:szCs w:val="21"/>
          <w:lang w:eastAsia="zh-CN"/>
        </w:rPr>
        <w:t>，货物仍不能达到合同约定</w:t>
      </w:r>
      <w:r>
        <w:rPr>
          <w:rFonts w:ascii="宋体" w:eastAsia="宋体" w:hAnsi="宋体" w:hint="eastAsia"/>
          <w:kern w:val="2"/>
          <w:sz w:val="21"/>
          <w:szCs w:val="21"/>
          <w:lang w:eastAsia="zh-CN"/>
        </w:rPr>
        <w:t>的</w:t>
      </w:r>
      <w:r>
        <w:rPr>
          <w:rFonts w:ascii="宋体" w:eastAsia="宋体" w:hAnsi="宋体"/>
          <w:kern w:val="2"/>
          <w:sz w:val="21"/>
          <w:szCs w:val="21"/>
          <w:lang w:eastAsia="zh-CN"/>
        </w:rPr>
        <w:t>质量标准，甲方有权退货，乙方</w:t>
      </w:r>
      <w:r>
        <w:rPr>
          <w:rFonts w:ascii="宋体" w:eastAsia="宋体" w:hAnsi="宋体" w:hint="eastAsia"/>
          <w:kern w:val="2"/>
          <w:sz w:val="21"/>
          <w:szCs w:val="21"/>
          <w:lang w:eastAsia="zh-CN"/>
        </w:rPr>
        <w:t>应</w:t>
      </w:r>
      <w:r>
        <w:rPr>
          <w:rFonts w:ascii="宋体" w:eastAsia="宋体" w:hAnsi="宋体"/>
          <w:kern w:val="2"/>
          <w:sz w:val="21"/>
          <w:szCs w:val="21"/>
          <w:lang w:eastAsia="zh-CN"/>
        </w:rPr>
        <w:t>退回全部货款</w:t>
      </w:r>
      <w:r>
        <w:rPr>
          <w:rFonts w:ascii="宋体" w:eastAsia="宋体" w:hAnsi="宋体" w:hint="eastAsia"/>
          <w:kern w:val="2"/>
          <w:sz w:val="21"/>
          <w:szCs w:val="21"/>
          <w:lang w:eastAsia="zh-CN"/>
        </w:rPr>
        <w:t>并</w:t>
      </w:r>
      <w:r>
        <w:rPr>
          <w:rFonts w:ascii="宋体" w:eastAsia="宋体" w:hAnsi="宋体"/>
          <w:kern w:val="2"/>
          <w:sz w:val="21"/>
          <w:szCs w:val="21"/>
          <w:lang w:eastAsia="zh-CN"/>
        </w:rPr>
        <w:t>赔偿甲方因此遭受的损失。</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6、乙方未履行本合同项下的其他义务或违反其在投标文件中的相关承诺的，应按合同总价款的【】%向甲方承担违约责任。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7、乙方在承担上述一项或多项违约责任后，仍应继续履行合同规定的义务（甲方解除合同的除外）。甲方未能及时追究乙方的任何一项违约责任并不表明甲方放弃追究乙方该项或其他违约责任。</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第十条合同的变更和终止</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除《中华人民共和国政府采购法》第４９条、第５０条第二款规定的情形外，本合同一经签订，甲乙双方不得擅自变更、中止或终止合同。</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第十一条争议的解决</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1、因货物的质量问题发生争议的，应当邀请国家认可的质量检测机构对货物质量进行鉴定。货物符合标准的，鉴定费由甲方承担；货物不符合质量标准的，鉴定费由乙方承担。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2、因履行本合同引起的或与本合同有关的争议，甲、乙双方应首先通过友好协商解决，如果协商不能解决争议，则向甲方所在地有管辖权的人民法院提起诉讼；</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第十二条合同生效及其他</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1、下列文件均为本合同的重要组成部分：</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（1）本项目的采购文件、答疑及补充通知；</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（2）本项目中标的投标文件；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（3）本合同执行中共同签署的补充与修正文件。</w:t>
      </w:r>
    </w:p>
    <w:p>
      <w:pPr>
        <w:widowControl w:val="0"/>
        <w:spacing w:line="360" w:lineRule="auto"/>
        <w:jc w:val="both"/>
        <w:rPr>
          <w:rFonts w:ascii="宋体" w:eastAsia="宋体" w:hAnsi="宋体"/>
          <w:b/>
          <w:bCs/>
          <w:kern w:val="2"/>
          <w:sz w:val="21"/>
          <w:szCs w:val="21"/>
          <w:lang w:eastAsia="zh-CN"/>
        </w:rPr>
      </w:pPr>
      <w:r>
        <w:rPr>
          <w:rFonts w:ascii="宋体" w:eastAsia="宋体" w:hAnsi="宋体" w:hint="eastAsia"/>
          <w:bCs/>
          <w:kern w:val="2"/>
          <w:sz w:val="21"/>
          <w:szCs w:val="21"/>
          <w:lang w:eastAsia="zh-CN"/>
        </w:rPr>
        <w:t>以上文件互为补充，如果出现内容冲突的情况，为准的优先顺序为（2）、（1）、（3）。</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2、本合同一式___份，甲、乙方双方各执份，具有同等法律效力。本合同自双方法人代表签字（盖章）认可之日起生效。</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3、本合同未尽事宜，双方友好协商，达成解决方案，经双方签字后，可作为本合同的有效附件。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本合同未尽事宜，双方友好协商，达成解决方案，经双方签字后，可作为本合同的有效附件。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甲方（采购人）：（盖章）               乙方（供应商）：（盖章）</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法定代表人：                           法定代表人：</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委托代理人：                           委托代理人：</w:t>
      </w:r>
    </w:p>
    <w:p>
      <w:pPr>
        <w:widowControl w:val="0"/>
        <w:spacing w:line="360" w:lineRule="auto"/>
        <w:ind w:firstLine="560"/>
        <w:jc w:val="left"/>
        <w:rPr>
          <w:rFonts w:ascii="宋体" w:eastAsia="宋体" w:hAnsi="宋体" w:cs="宋体"/>
          <w:kern w:val="2"/>
          <w:sz w:val="21"/>
          <w:szCs w:val="21"/>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               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p>
    <w:p>
      <w:pPr>
        <w:widowControl w:val="0"/>
        <w:spacing w:line="360" w:lineRule="auto"/>
        <w:jc w:val="both"/>
        <w:rPr>
          <w:rFonts w:ascii="宋体" w:eastAsia="宋体" w:hAnsi="宋体"/>
          <w:kern w:val="2"/>
          <w:sz w:val="21"/>
          <w:szCs w:val="21"/>
          <w:lang w:eastAsia="zh-CN"/>
        </w:rPr>
      </w:pPr>
    </w:p>
    <w:p>
      <w:pPr>
        <w:widowControl/>
        <w:jc w:val="center"/>
        <w:rPr>
          <w:rFonts w:ascii="仿宋" w:eastAsia="仿宋" w:hAnsi="仿宋"/>
          <w:kern w:val="2"/>
          <w:sz w:val="28"/>
          <w:szCs w:val="28"/>
          <w:lang w:eastAsia="zh-CN"/>
        </w:rPr>
      </w:pPr>
      <w:r>
        <w:rPr>
          <w:rFonts w:ascii="宋体" w:eastAsia="宋体" w:hAnsi="宋体" w:hint="eastAsia"/>
          <w:b/>
          <w:kern w:val="2"/>
          <w:sz w:val="21"/>
          <w:szCs w:val="21"/>
          <w:lang w:eastAsia="zh-CN"/>
        </w:rPr>
        <w:t>注：本合同样本仅供参考，具体条款内容由采购单位和中标单位协商确定。</w:t>
      </w: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4" w:name="_Toc1312"/>
      <w:r>
        <w:rPr>
          <w:rFonts w:ascii="Arial" w:eastAsia="宋体" w:hAnsi="Arial" w:hint="eastAsia"/>
          <w:b/>
          <w:kern w:val="2"/>
          <w:sz w:val="32"/>
          <w:lang w:eastAsia="zh-CN"/>
        </w:rPr>
        <w:t>第一章  总则</w:t>
      </w:r>
      <w:bookmarkEnd w:id="34"/>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5．投标人参加政府采购的条件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6．政策导向</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7.本项目若涉及采购货物，则合格的货物及相应服务应满足以下要求：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8．投标费用</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9．踏勘现场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10．标前会议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5" w:name="_Toc696"/>
      <w:r>
        <w:rPr>
          <w:rFonts w:ascii="Arial" w:eastAsia="宋体" w:hAnsi="Arial" w:hint="eastAsia"/>
          <w:b/>
          <w:kern w:val="2"/>
          <w:sz w:val="32"/>
          <w:lang w:eastAsia="zh-CN"/>
        </w:rPr>
        <w:t>第二章</w:t>
      </w:r>
      <w:bookmarkStart w:id="36" w:name="_Toc16272"/>
      <w:bookmarkStart w:id="37" w:name="_Toc4237"/>
      <w:bookmarkStart w:id="38" w:name="_Toc25500"/>
      <w:r>
        <w:rPr>
          <w:rFonts w:ascii="Arial" w:eastAsia="宋体" w:hAnsi="Arial" w:hint="eastAsia"/>
          <w:b/>
          <w:kern w:val="2"/>
          <w:sz w:val="32"/>
          <w:lang w:eastAsia="zh-CN"/>
        </w:rPr>
        <w:t xml:space="preserve">  招标文件</w:t>
      </w:r>
      <w:bookmarkEnd w:id="35"/>
      <w:bookmarkEnd w:id="36"/>
      <w:bookmarkEnd w:id="37"/>
      <w:bookmarkEnd w:id="3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9"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9"/>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0" w:name="_Toc17279"/>
      <w:bookmarkStart w:id="41" w:name="_Toc31413"/>
      <w:bookmarkStart w:id="42" w:name="_Toc13741"/>
      <w:bookmarkStart w:id="43" w:name="_Toc18814"/>
      <w:r>
        <w:rPr>
          <w:rFonts w:ascii="Arial" w:eastAsia="宋体" w:hAnsi="Arial" w:hint="eastAsia"/>
          <w:b/>
          <w:kern w:val="2"/>
          <w:sz w:val="32"/>
          <w:lang w:eastAsia="zh-CN"/>
        </w:rPr>
        <w:t>第三章  投标文件的编制</w:t>
      </w:r>
      <w:bookmarkEnd w:id="40"/>
      <w:bookmarkEnd w:id="41"/>
      <w:bookmarkEnd w:id="42"/>
      <w:bookmarkEnd w:id="4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4"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5"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6"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7"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8"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7"/>
    <w:p>
      <w:pPr>
        <w:widowControl/>
        <w:wordWrap w:val="0"/>
        <w:autoSpaceDE w:val="0"/>
        <w:autoSpaceDN w:val="0"/>
        <w:spacing w:line="400" w:lineRule="exact"/>
        <w:ind w:right="808" w:firstLine="420" w:firstLineChars="200"/>
        <w:jc w:val="both"/>
        <w:rPr>
          <w:rFonts w:eastAsia="宋体"/>
          <w:kern w:val="2"/>
          <w:sz w:val="21"/>
          <w:lang w:eastAsia="zh-CN"/>
        </w:rPr>
      </w:pPr>
      <w:bookmarkStart w:id="49"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9"/>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21．</w:t>
      </w:r>
      <w:bookmarkStart w:id="50" w:name="_Hlk72402325"/>
      <w:r>
        <w:rPr>
          <w:rFonts w:eastAsia="宋体" w:hint="eastAsia"/>
          <w:kern w:val="2"/>
          <w:sz w:val="21"/>
          <w:lang w:eastAsia="zh-CN"/>
        </w:rPr>
        <w:t>关于投标保证金</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51"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51"/>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2" w:name="_Toc18062"/>
      <w:bookmarkStart w:id="53" w:name="_Toc21427"/>
      <w:bookmarkStart w:id="54" w:name="_Toc28552"/>
      <w:bookmarkStart w:id="55" w:name="_Toc26761"/>
      <w:r>
        <w:rPr>
          <w:rFonts w:ascii="Arial" w:eastAsia="宋体" w:hAnsi="Arial" w:hint="eastAsia"/>
          <w:b/>
          <w:kern w:val="2"/>
          <w:sz w:val="32"/>
          <w:lang w:eastAsia="zh-CN"/>
        </w:rPr>
        <w:t>第四章</w:t>
      </w:r>
      <w:bookmarkStart w:id="56" w:name="_Toc30105"/>
      <w:r>
        <w:rPr>
          <w:rFonts w:ascii="Arial" w:eastAsia="宋体" w:hAnsi="Arial" w:hint="eastAsia"/>
          <w:b/>
          <w:kern w:val="2"/>
          <w:sz w:val="32"/>
          <w:lang w:eastAsia="zh-CN"/>
        </w:rPr>
        <w:t xml:space="preserve">  投标文件的</w:t>
      </w:r>
      <w:bookmarkEnd w:id="52"/>
      <w:r>
        <w:rPr>
          <w:rFonts w:ascii="Arial" w:eastAsia="宋体" w:hAnsi="Arial" w:hint="eastAsia"/>
          <w:b/>
          <w:kern w:val="2"/>
          <w:sz w:val="32"/>
          <w:lang w:eastAsia="zh-CN"/>
        </w:rPr>
        <w:t>递交</w:t>
      </w:r>
      <w:bookmarkEnd w:id="53"/>
      <w:bookmarkEnd w:id="54"/>
      <w:bookmarkEnd w:id="55"/>
      <w:bookmarkEnd w:id="56"/>
    </w:p>
    <w:p>
      <w:pPr>
        <w:widowControl/>
        <w:wordWrap w:val="0"/>
        <w:autoSpaceDE w:val="0"/>
        <w:autoSpaceDN w:val="0"/>
        <w:spacing w:line="400" w:lineRule="exact"/>
        <w:ind w:right="808" w:firstLine="420" w:firstLineChars="200"/>
        <w:jc w:val="both"/>
        <w:rPr>
          <w:rFonts w:eastAsia="宋体"/>
          <w:kern w:val="2"/>
          <w:sz w:val="21"/>
          <w:lang w:eastAsia="zh-CN"/>
        </w:rPr>
      </w:pPr>
      <w:bookmarkStart w:id="57"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8"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8"/>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9" w:name="第五章1"/>
      <w:bookmarkEnd w:id="59"/>
      <w:bookmarkStart w:id="60" w:name="_Toc73518144"/>
      <w:bookmarkStart w:id="61" w:name="_Toc14713"/>
      <w:bookmarkStart w:id="62" w:name="_Toc101074881"/>
      <w:bookmarkStart w:id="63" w:name="_Toc13806"/>
      <w:bookmarkStart w:id="64" w:name="_Toc73517666"/>
      <w:bookmarkStart w:id="65" w:name="_Toc2041"/>
      <w:bookmarkStart w:id="66" w:name="_Toc100052391"/>
      <w:bookmarkStart w:id="67" w:name="_Toc1658"/>
      <w:r>
        <w:rPr>
          <w:rFonts w:ascii="Arial" w:eastAsia="宋体" w:hAnsi="Arial" w:hint="eastAsia"/>
          <w:b/>
          <w:kern w:val="2"/>
          <w:sz w:val="32"/>
          <w:lang w:eastAsia="zh-CN"/>
        </w:rPr>
        <w:t>第五章</w:t>
      </w:r>
      <w:bookmarkStart w:id="68" w:name="_Toc4434"/>
      <w:r>
        <w:rPr>
          <w:rFonts w:ascii="Arial" w:eastAsia="宋体" w:hAnsi="Arial" w:hint="eastAsia"/>
          <w:b/>
          <w:kern w:val="2"/>
          <w:sz w:val="32"/>
          <w:lang w:eastAsia="zh-CN"/>
        </w:rPr>
        <w:t xml:space="preserve">  开标</w:t>
      </w:r>
      <w:bookmarkEnd w:id="60"/>
      <w:bookmarkEnd w:id="61"/>
      <w:bookmarkEnd w:id="62"/>
      <w:bookmarkEnd w:id="63"/>
      <w:bookmarkEnd w:id="64"/>
      <w:bookmarkEnd w:id="65"/>
      <w:bookmarkEnd w:id="66"/>
      <w:bookmarkEnd w:id="67"/>
      <w:bookmarkEnd w:id="68"/>
    </w:p>
    <w:p>
      <w:pPr>
        <w:widowControl/>
        <w:wordWrap w:val="0"/>
        <w:autoSpaceDE w:val="0"/>
        <w:autoSpaceDN w:val="0"/>
        <w:spacing w:line="400" w:lineRule="exact"/>
        <w:ind w:right="808" w:firstLine="420" w:firstLineChars="200"/>
        <w:jc w:val="both"/>
        <w:rPr>
          <w:rFonts w:eastAsia="宋体"/>
          <w:kern w:val="2"/>
          <w:sz w:val="21"/>
          <w:lang w:eastAsia="zh-CN"/>
        </w:rPr>
      </w:pPr>
      <w:bookmarkStart w:id="69" w:name="_Toc73518146"/>
      <w:bookmarkStart w:id="70" w:name="_Toc73517668"/>
      <w:bookmarkStart w:id="71" w:name="_Toc100052393"/>
      <w:bookmarkStart w:id="72" w:name="_Toc101074882"/>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9"/>
    <w:bookmarkEnd w:id="70"/>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3" w:name="第六章1"/>
      <w:bookmarkEnd w:id="73"/>
      <w:bookmarkStart w:id="74" w:name="_Toc7319"/>
      <w:bookmarkStart w:id="75" w:name="_Toc27869"/>
      <w:bookmarkStart w:id="76" w:name="_Toc29197"/>
      <w:bookmarkStart w:id="77" w:name="_Toc20179"/>
      <w:r>
        <w:rPr>
          <w:rFonts w:ascii="Arial" w:eastAsia="宋体" w:hAnsi="Arial" w:hint="eastAsia"/>
          <w:b/>
          <w:kern w:val="2"/>
          <w:sz w:val="32"/>
          <w:lang w:eastAsia="zh-CN"/>
        </w:rPr>
        <w:t>第六章</w:t>
      </w:r>
      <w:bookmarkStart w:id="78" w:name="_Toc29225"/>
      <w:r>
        <w:rPr>
          <w:rFonts w:ascii="Arial" w:eastAsia="宋体" w:hAnsi="Arial" w:hint="eastAsia"/>
          <w:b/>
          <w:kern w:val="2"/>
          <w:sz w:val="32"/>
          <w:lang w:eastAsia="zh-CN"/>
        </w:rPr>
        <w:t xml:space="preserve">  评审要求</w:t>
      </w:r>
      <w:bookmarkEnd w:id="71"/>
      <w:bookmarkEnd w:id="72"/>
      <w:bookmarkEnd w:id="74"/>
      <w:bookmarkEnd w:id="75"/>
      <w:bookmarkEnd w:id="76"/>
      <w:bookmarkEnd w:id="77"/>
      <w:bookmarkEnd w:id="78"/>
    </w:p>
    <w:p>
      <w:pPr>
        <w:widowControl/>
        <w:wordWrap w:val="0"/>
        <w:autoSpaceDE w:val="0"/>
        <w:autoSpaceDN w:val="0"/>
        <w:spacing w:line="400" w:lineRule="exact"/>
        <w:ind w:right="808" w:firstLine="420" w:firstLineChars="200"/>
        <w:jc w:val="both"/>
        <w:rPr>
          <w:rFonts w:eastAsia="宋体"/>
          <w:kern w:val="2"/>
          <w:sz w:val="21"/>
          <w:lang w:eastAsia="zh-CN"/>
        </w:rPr>
      </w:pPr>
      <w:bookmarkStart w:id="79" w:name="第七章1"/>
      <w:bookmarkEnd w:id="79"/>
      <w:bookmarkStart w:id="80" w:name="_Toc100052397"/>
      <w:bookmarkStart w:id="81" w:name="_Toc19125"/>
      <w:bookmarkStart w:id="82" w:name="_Toc1296"/>
      <w:bookmarkStart w:id="83" w:name="_Toc20125"/>
      <w:bookmarkStart w:id="84" w:name="_Toc101074883"/>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5"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5"/>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6" w:name="_Toc18761"/>
      <w:r>
        <w:rPr>
          <w:rFonts w:ascii="Arial" w:eastAsia="宋体" w:hAnsi="Arial" w:hint="eastAsia"/>
          <w:b/>
          <w:kern w:val="2"/>
          <w:sz w:val="32"/>
          <w:lang w:eastAsia="zh-CN"/>
        </w:rPr>
        <w:t>第七章</w:t>
      </w:r>
      <w:bookmarkStart w:id="87" w:name="_Toc26636"/>
      <w:r>
        <w:rPr>
          <w:rFonts w:ascii="Arial" w:eastAsia="宋体" w:hAnsi="Arial" w:hint="eastAsia"/>
          <w:b/>
          <w:kern w:val="2"/>
          <w:sz w:val="32"/>
          <w:lang w:eastAsia="zh-CN"/>
        </w:rPr>
        <w:t xml:space="preserve">  评审程序</w:t>
      </w:r>
      <w:bookmarkStart w:id="88" w:name="_Toc73517671"/>
      <w:bookmarkStart w:id="89" w:name="_Toc73518149"/>
      <w:r>
        <w:rPr>
          <w:rFonts w:ascii="Arial" w:eastAsia="宋体" w:hAnsi="Arial" w:hint="eastAsia"/>
          <w:b/>
          <w:kern w:val="2"/>
          <w:sz w:val="32"/>
          <w:lang w:eastAsia="zh-CN"/>
        </w:rPr>
        <w:t>及评审方法</w:t>
      </w:r>
      <w:bookmarkEnd w:id="80"/>
      <w:bookmarkEnd w:id="81"/>
      <w:bookmarkEnd w:id="82"/>
      <w:bookmarkEnd w:id="83"/>
      <w:bookmarkEnd w:id="84"/>
      <w:bookmarkEnd w:id="86"/>
      <w:bookmarkEnd w:id="87"/>
    </w:p>
    <w:bookmarkEnd w:id="88"/>
    <w:bookmarkEnd w:id="8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0"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90"/>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1" w:name="_Toc73517673"/>
      <w:bookmarkStart w:id="92" w:name="_Toc73521581"/>
      <w:bookmarkStart w:id="93" w:name="_Toc73518151"/>
      <w:bookmarkStart w:id="94" w:name="_Toc100052400"/>
      <w:bookmarkStart w:id="95" w:name="_Toc73521669"/>
      <w:r>
        <w:rPr>
          <w:rFonts w:eastAsia="宋体" w:hint="eastAsia"/>
          <w:kern w:val="2"/>
          <w:sz w:val="21"/>
          <w:lang w:eastAsia="zh-CN"/>
        </w:rPr>
        <w:t>34．错误的修正</w:t>
      </w:r>
      <w:bookmarkEnd w:id="91"/>
      <w:bookmarkEnd w:id="92"/>
      <w:bookmarkEnd w:id="93"/>
      <w:bookmarkEnd w:id="94"/>
      <w:bookmarkEnd w:id="9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6"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7" w:name="第八章1"/>
      <w:bookmarkEnd w:id="97"/>
      <w:bookmarkStart w:id="98" w:name="_Toc26094"/>
      <w:bookmarkStart w:id="99" w:name="_Toc1513"/>
      <w:bookmarkStart w:id="100" w:name="_Toc13341"/>
      <w:bookmarkStart w:id="101" w:name="_Toc30568"/>
      <w:r>
        <w:rPr>
          <w:rFonts w:ascii="Arial" w:eastAsia="宋体" w:hAnsi="Arial" w:hint="eastAsia"/>
          <w:b/>
          <w:kern w:val="2"/>
          <w:sz w:val="32"/>
          <w:lang w:eastAsia="zh-CN"/>
        </w:rPr>
        <w:t>第八章</w:t>
      </w:r>
      <w:bookmarkStart w:id="102" w:name="_Toc24537"/>
      <w:r>
        <w:rPr>
          <w:rFonts w:ascii="Arial" w:eastAsia="宋体" w:hAnsi="Arial" w:hint="eastAsia"/>
          <w:b/>
          <w:kern w:val="2"/>
          <w:sz w:val="32"/>
          <w:lang w:eastAsia="zh-CN"/>
        </w:rPr>
        <w:t xml:space="preserve">  定标及公示</w:t>
      </w:r>
      <w:bookmarkEnd w:id="98"/>
      <w:bookmarkEnd w:id="99"/>
      <w:bookmarkEnd w:id="100"/>
      <w:bookmarkEnd w:id="101"/>
      <w:bookmarkEnd w:id="10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3"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4"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5"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4"/>
      <w:bookmarkEnd w:id="105"/>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6"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6"/>
      <w:bookmarkStart w:id="107"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8"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9" w:name="_Hlk71407340"/>
      <w:r>
        <w:rPr>
          <w:rFonts w:eastAsia="宋体" w:hint="eastAsia"/>
          <w:kern w:val="2"/>
          <w:sz w:val="21"/>
          <w:lang w:eastAsia="zh-CN"/>
        </w:rPr>
        <w:t>41.3因质疑投诉或其它原因导致项目结果变更或采购终止的，采购代理机构有权吊销中标通知书。</w:t>
      </w:r>
    </w:p>
    <w:bookmarkEnd w:id="109"/>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0" w:name="第九章1"/>
      <w:bookmarkEnd w:id="110"/>
      <w:bookmarkStart w:id="111" w:name="_Toc25733"/>
      <w:bookmarkStart w:id="112" w:name="_Toc11736"/>
      <w:bookmarkStart w:id="113" w:name="_Toc20277"/>
      <w:bookmarkStart w:id="114" w:name="_Toc24474"/>
      <w:bookmarkStart w:id="115" w:name="_Toc17412"/>
      <w:bookmarkStart w:id="116" w:name="_Toc73517678"/>
      <w:bookmarkStart w:id="117" w:name="_Toc101074884"/>
      <w:bookmarkStart w:id="118" w:name="_Toc100052407"/>
      <w:r>
        <w:rPr>
          <w:rFonts w:ascii="Arial" w:eastAsia="宋体" w:hAnsi="Arial" w:hint="eastAsia"/>
          <w:b/>
          <w:kern w:val="2"/>
          <w:sz w:val="32"/>
          <w:lang w:eastAsia="zh-CN"/>
        </w:rPr>
        <w:t>第九章  公开采购失败的后续处理</w:t>
      </w:r>
      <w:bookmarkEnd w:id="111"/>
      <w:bookmarkEnd w:id="112"/>
      <w:bookmarkEnd w:id="113"/>
      <w:bookmarkEnd w:id="114"/>
      <w:bookmarkEnd w:id="11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6"/>
    <w:bookmarkEnd w:id="117"/>
    <w:bookmarkEnd w:id="118"/>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9" w:name="第十章1"/>
      <w:bookmarkEnd w:id="119"/>
      <w:bookmarkStart w:id="120" w:name="_Toc13677"/>
      <w:bookmarkStart w:id="121" w:name="_Toc27904"/>
      <w:bookmarkStart w:id="122" w:name="_Toc9122"/>
      <w:bookmarkStart w:id="123" w:name="_Toc26432"/>
      <w:bookmarkStart w:id="124" w:name="_Toc26814"/>
      <w:r>
        <w:rPr>
          <w:rFonts w:ascii="Arial" w:eastAsia="宋体" w:hAnsi="Arial" w:hint="eastAsia"/>
          <w:b/>
          <w:kern w:val="2"/>
          <w:sz w:val="32"/>
          <w:lang w:eastAsia="zh-CN"/>
        </w:rPr>
        <w:t>第十章  合同的授予与备案</w:t>
      </w:r>
      <w:bookmarkEnd w:id="120"/>
      <w:bookmarkEnd w:id="121"/>
      <w:bookmarkEnd w:id="122"/>
      <w:bookmarkEnd w:id="123"/>
      <w:bookmarkEnd w:id="124"/>
    </w:p>
    <w:p>
      <w:pPr>
        <w:widowControl/>
        <w:wordWrap w:val="0"/>
        <w:autoSpaceDE w:val="0"/>
        <w:autoSpaceDN w:val="0"/>
        <w:spacing w:line="400" w:lineRule="exact"/>
        <w:ind w:right="808" w:firstLine="420" w:firstLineChars="200"/>
        <w:jc w:val="both"/>
        <w:rPr>
          <w:rFonts w:eastAsia="宋体"/>
          <w:kern w:val="2"/>
          <w:sz w:val="21"/>
          <w:lang w:eastAsia="zh-CN"/>
        </w:rPr>
      </w:pPr>
      <w:bookmarkStart w:id="125" w:name="_33._合同授予标准"/>
      <w:bookmarkEnd w:id="125"/>
      <w:bookmarkStart w:id="126" w:name="_Toc73517679"/>
      <w:bookmarkStart w:id="127" w:name="_Toc100052408"/>
      <w:bookmarkStart w:id="128" w:name="_Toc73521674"/>
      <w:bookmarkStart w:id="129" w:name="_Toc73521586"/>
      <w:bookmarkStart w:id="130" w:name="_Toc73518157"/>
      <w:bookmarkStart w:id="131" w:name="_Hlk72439088"/>
      <w:r>
        <w:rPr>
          <w:rFonts w:eastAsia="宋体" w:hint="eastAsia"/>
          <w:kern w:val="2"/>
          <w:sz w:val="21"/>
          <w:lang w:eastAsia="zh-CN"/>
        </w:rPr>
        <w:t>43．合同授予标准</w:t>
      </w:r>
      <w:bookmarkEnd w:id="126"/>
      <w:bookmarkEnd w:id="127"/>
      <w:bookmarkEnd w:id="128"/>
      <w:bookmarkEnd w:id="129"/>
      <w:bookmarkEnd w:id="13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2" w:name="_Toc100052409"/>
      <w:bookmarkStart w:id="133" w:name="_Toc73521675"/>
      <w:bookmarkStart w:id="134" w:name="_Toc73521587"/>
      <w:bookmarkStart w:id="135" w:name="_Toc73518158"/>
      <w:bookmarkStart w:id="136" w:name="_Toc73517680"/>
      <w:r>
        <w:rPr>
          <w:rFonts w:eastAsia="宋体" w:hint="eastAsia"/>
          <w:kern w:val="2"/>
          <w:sz w:val="21"/>
          <w:lang w:eastAsia="zh-CN"/>
        </w:rPr>
        <w:t>44．</w:t>
      </w:r>
      <w:bookmarkEnd w:id="132"/>
      <w:bookmarkEnd w:id="133"/>
      <w:bookmarkEnd w:id="134"/>
      <w:bookmarkEnd w:id="135"/>
      <w:bookmarkEnd w:id="136"/>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7" w:name="_Toc73521589"/>
      <w:bookmarkStart w:id="138" w:name="_Toc73518160"/>
      <w:bookmarkStart w:id="139" w:name="_Toc73521677"/>
      <w:bookmarkStart w:id="140" w:name="_Toc100052410"/>
      <w:bookmarkStart w:id="141" w:name="_Toc73517682"/>
      <w:r>
        <w:rPr>
          <w:rFonts w:eastAsia="宋体" w:hint="eastAsia"/>
          <w:kern w:val="2"/>
          <w:sz w:val="21"/>
          <w:lang w:eastAsia="zh-CN"/>
        </w:rPr>
        <w:t>45．合同的签订</w:t>
      </w:r>
      <w:bookmarkEnd w:id="137"/>
      <w:bookmarkEnd w:id="138"/>
      <w:bookmarkEnd w:id="139"/>
      <w:bookmarkEnd w:id="140"/>
      <w:bookmarkEnd w:id="14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42" w:name="_Toc100052411"/>
      <w:bookmarkStart w:id="143" w:name="_Toc73521590"/>
      <w:bookmarkStart w:id="144" w:name="_Toc73517683"/>
      <w:bookmarkStart w:id="145" w:name="_Toc73521678"/>
      <w:bookmarkStart w:id="146" w:name="_Toc73518161"/>
      <w:r>
        <w:rPr>
          <w:rFonts w:eastAsia="宋体" w:hint="eastAsia"/>
          <w:kern w:val="2"/>
          <w:sz w:val="21"/>
          <w:lang w:eastAsia="zh-CN"/>
        </w:rPr>
        <w:t>46．履约担保</w:t>
      </w:r>
      <w:bookmarkEnd w:id="142"/>
      <w:bookmarkEnd w:id="143"/>
      <w:bookmarkEnd w:id="144"/>
      <w:bookmarkEnd w:id="145"/>
      <w:bookmarkEnd w:id="14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7" w:name="_Hlk72440769"/>
      <w:r>
        <w:rPr>
          <w:rFonts w:eastAsia="宋体" w:hint="eastAsia"/>
          <w:kern w:val="2"/>
          <w:sz w:val="21"/>
          <w:lang w:eastAsia="zh-CN"/>
        </w:rPr>
        <w:t>采购代理机构或采购人不予退还其交纳的谈判保证金，情节严重的，并由主管部门</w:t>
      </w:r>
      <w:bookmarkEnd w:id="147"/>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31"/>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8" w:name="_Toc19433"/>
      <w:r>
        <w:rPr>
          <w:rFonts w:ascii="Arial" w:eastAsia="宋体" w:hAnsi="Arial" w:hint="eastAsia"/>
          <w:b/>
          <w:kern w:val="2"/>
          <w:sz w:val="32"/>
          <w:lang w:eastAsia="zh-CN"/>
        </w:rPr>
        <w:t>第十一章  质疑处理</w:t>
      </w:r>
      <w:bookmarkEnd w:id="14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9" w:name="_Hlk75374941"/>
      <w:r>
        <w:rPr>
          <w:rFonts w:eastAsia="宋体" w:hint="eastAsia"/>
          <w:kern w:val="2"/>
          <w:sz w:val="21"/>
          <w:lang w:eastAsia="zh-CN"/>
        </w:rPr>
        <w:t>以联合体形式参与的，质疑应当由组成联合体的所有成员共同提出</w:t>
      </w:r>
      <w:bookmarkEnd w:id="149"/>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医疗设备一批（医用输血输液加温器等）-A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LHAZXDL-2024-00080-001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医疗设备一批（医用输血输液加温器等）-A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具有独立法人资格或是具有独立承担民事责任能力的其他组织（提供营业执照或事业单位法人证书等证明资料扫描件，原件备查）；：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具有独立法人资格或是具有独立承担民事责任能力的其他组织（提供营业执照或事业单位法人证书等证明资料扫描件，原件备查）；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2.本项目不接受联合体投标（由供应商在《政府采购投标及履约承诺函》中作出声明），是否接受投标人选用进口产品参与投标详见招标文件货物需求明细”表；：</w:t>
            </w:r>
            <w:r>
              <w:rPr>
                <w:rFonts w:ascii="FangSong" w:eastAsia="FangSong" w:hAnsi="FangSong" w:cs="FangSong"/>
                <w:color w:val="666666"/>
                <w:lang w:val="en" w:eastAsia="en"/>
              </w:rPr>
              <w:br/>
            </w:r>
            <w:r>
              <w:rPr>
                <w:rFonts w:ascii="FangSong" w:eastAsia="FangSong" w:hAnsi="FangSong" w:cs="FangSong"/>
                <w:color w:val="666666"/>
                <w:lang w:val="en" w:eastAsia="en"/>
              </w:rPr>
              <w:t>2.本项目不接受联合体投标（由供应商在《政府采购投标及履约承诺函》中作出声明），是否接受投标人选用进口产品参与投标详见招标文件货物需求明细”表；</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未被列入失信被执行人、重大税收违法案件当事人名单、政府采购严重违法失信行为记录名单（由供应商在《政府采购投标及履约承诺函》中作出声明）；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代理机构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5.未被列入失信被执行人、重大税收违法案件当事人名单、政府采购严重违法失信行为记录名单（由供应商在《政府采购投标及履约承诺函》中作出声明）；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代理机构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本项目是（否）专门面向中小企业采购：否。：</w:t>
            </w:r>
            <w:r>
              <w:rPr>
                <w:rFonts w:ascii="FangSong" w:eastAsia="FangSong" w:hAnsi="FangSong" w:cs="FangSong"/>
                <w:color w:val="666666"/>
                <w:lang w:val="en" w:eastAsia="en"/>
              </w:rPr>
              <w:br/>
            </w:r>
            <w:r>
              <w:rPr>
                <w:rFonts w:ascii="FangSong" w:eastAsia="FangSong" w:hAnsi="FangSong" w:cs="FangSong"/>
                <w:color w:val="666666"/>
                <w:lang w:val="en" w:eastAsia="en"/>
              </w:rPr>
              <w:t>本项目是（否）专门面向中小企业采购：否。</w:t>
            </w:r>
            <w:r>
              <w:rPr>
                <w:rFonts w:ascii="FangSong" w:eastAsia="FangSong" w:hAnsi="FangSong" w:cs="FangSong"/>
                <w:color w:val="666666"/>
                <w:lang w:val="en" w:eastAsia="en"/>
              </w:rPr>
              <w:br/>
            </w:r>
            <w:r>
              <w:rPr>
                <w:rFonts w:ascii="FangSong" w:eastAsia="FangSong" w:hAnsi="FangSong" w:cs="FangSong"/>
                <w:color w:val="666666"/>
                <w:lang w:val="en" w:eastAsia="en"/>
              </w:rPr>
              <w:t>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投标人需针对本项目提供技术保障措施方案，方案内容需包括： （1）技术团队； （2）技术方案； （3）技术人员等。 评审标准： 1、评审委员会根据招标文件的需求和投标文件的内容响应情况进行评分： 内容满足以上 3 项要求的，得 60 分； 内容满足以上任意 2 项要求的，得40分； 内容满足以上任意 1 项要求的，得10分； 内容不满足不得分。 2、在此基础上，评审委员会根据各投 标人的具体响应情况按照以下评审标 准进一步评审： 评审为优（方案整体科学合理、针对性强、可操作性强、条理非常清晰的的加 40 分； 评审为良（方案整体较比科学合理、有较强针对性、有较强可操作性、比较条理清晰的）的加 20 分； 评审为中（方案整体科学合理性一般、针对性一般、可操作性一般，条理清晰度一般的）的加 10 分； 评审为差（如不满足项目要求的）的不加分。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一般参数技术规格偏离情况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评审委员会根据《技术规格偏离表》（以下简称偏离表”）响应情况进行打分，全部满足的得100分，一般参数每负偏离一项扣1.5分，扣完为止。 证明文件： 偏离表应如实对应填写所投产品的具体参数。（未提供或未按要求提供或提供的不清晰导致专家无法判断的，不得分）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重点参数技术规格偏离情况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评审委员会根据《技术规格偏离表》（以下简称偏离表”）响应情况进行打分，全部满足的得100分，重点技术参数▲项每负偏离一项扣10分，扣完为止。 证明文件： 偏离表应如实对应填写所投产品的具体参数。如要求提供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免费保修期内售后服务条款偏离情况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投标人应如实填写商务要求偏离表（免费保修期内售后服务条款偏离情况），评审委员会根据响应情况进行打分，全部满足要求的得100分，实质性条款除外，每负偏离一项扣25分，扣完为止。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免费保修期外售后服务条款偏离情况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投标人应如实填写商务要求偏离表（免费保修期外售后服务条款偏离情况），评审委员会根据响应情况进行打分，全部满足要求的得100分，实质性条款除外，每负偏离一项扣20分，扣完为止。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 查询渠道：通过信用中国”（www.creditchina.gov.cn，下载信用信息报告）、中国政府采购网”（www.ccgp.gov.cn）以及深圳市政府采购监管网”（httpzfcg.sz.gov.cn）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10%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721CBBE0"/>
    <w:multiLevelType w:val="singleLevel"/>
    <w:tmpl w:val="721CBBE0"/>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3">
    <w:name w:val="heading 3"/>
    <w:basedOn w:val="Heading4"/>
    <w:next w:val="Normal"/>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uiPriority w:val="9"/>
    <w:qFormat/>
    <w:pPr>
      <w:keepNext/>
      <w:keepLines/>
      <w:spacing w:before="280" w:after="290" w:line="376" w:lineRule="auto"/>
      <w:outlineLvl w:val="3"/>
    </w:pPr>
    <w:rPr>
      <w:rFonts w:ascii="Arial" w:eastAsia="黑体" w:hAnsi="Arial"/>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paragraph" w:styleId="BodyText">
    <w:name w:val="Body Text"/>
    <w:basedOn w:val="Normal"/>
    <w:qFormat/>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pPr>
      <w:spacing w:before="120" w:after="120"/>
    </w:pPr>
    <w:rPr>
      <w:rFonts w:asciiTheme="minorHAnsi" w:hAnsiTheme="minorHAnsi"/>
      <w:b/>
      <w:bCs/>
      <w:caps/>
      <w:sz w:val="20"/>
      <w:szCs w:val="20"/>
    </w:rPr>
  </w:style>
  <w:style w:type="paragraph" w:styleId="BodyTextIndent">
    <w:name w:val="Body Text Indent"/>
    <w:basedOn w:val="Normal"/>
    <w:qFormat/>
    <w:pPr>
      <w:spacing w:after="120"/>
      <w:ind w:left="420" w:leftChars="200"/>
    </w:pPr>
    <w:rPr>
      <w:rFonts w:ascii="Calibri" w:hAnsi="Calibri"/>
      <w:szCs w:val="22"/>
    </w:rPr>
  </w:style>
  <w:style w:type="paragraph" w:styleId="BodyTextFirstIndent2">
    <w:name w:val="Body Text First Indent 2"/>
    <w:basedOn w:val="BodyTextIndent"/>
    <w:unhideWhenUsed/>
    <w:qFormat/>
  </w:style>
  <w:style w:type="paragraph" w:customStyle="1" w:styleId="Default">
    <w:name w:val="Default"/>
    <w:autoRedefine/>
    <w:qFormat/>
    <w:pPr>
      <w:widowControl w:val="0"/>
      <w:autoSpaceDE w:val="0"/>
      <w:autoSpaceDN w:val="0"/>
      <w:adjustRightInd w:val="0"/>
    </w:pPr>
    <w:rPr>
      <w:rFonts w:ascii="宋体" w:eastAsia="宋体" w:hAnsi="Calibri" w:cs="宋体"/>
      <w:color w:val="000000"/>
      <w:sz w:val="24"/>
      <w:szCs w:val="24"/>
      <w:lang w:eastAsia="zh-CN"/>
    </w:rPr>
  </w:style>
  <w:style w:type="character" w:styleId="Strong">
    <w:name w:val="Strong"/>
    <w:basedOn w:val="DefaultParagraphFont"/>
    <w:qFormat/>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0">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