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rFonts w:ascii="宋体" w:eastAsia="宋体" w:hAnsi="宋体"/>
          <w:b/>
          <w:bCs/>
          <w:color w:val="FF0000"/>
          <w:kern w:val="2"/>
          <w:sz w:val="32"/>
          <w:szCs w:val="32"/>
          <w:lang w:eastAsia="zh-CN"/>
        </w:rPr>
      </w:pPr>
      <w:r>
        <w:rPr>
          <w:rFonts w:ascii="宋体" w:eastAsia="宋体" w:hAnsi="宋体" w:cs="宋体" w:hint="eastAsia"/>
          <w:b/>
          <w:bCs/>
          <w:color w:val="FF0000"/>
          <w:kern w:val="2"/>
          <w:sz w:val="32"/>
          <w:szCs w:val="32"/>
          <w:lang w:eastAsia="zh-CN"/>
        </w:rPr>
        <w:t>特别警示条款</w:t>
      </w:r>
    </w:p>
    <w:p>
      <w:pPr>
        <w:rPr>
          <w:rFonts w:ascii="宋体" w:eastAsia="宋体" w:hAnsi="宋体"/>
          <w:lang w:eastAsia="zh-CN"/>
        </w:rPr>
      </w:pPr>
    </w:p>
    <w:p>
      <w:pPr>
        <w:spacing w:line="360" w:lineRule="auto"/>
        <w:rPr>
          <w:rFonts w:ascii="宋体" w:eastAsia="宋体" w:hAnsi="宋体"/>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rFonts w:ascii="宋体" w:eastAsia="宋体" w:hAnsi="宋体"/>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8231"/>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cs="宋体" w:hint="eastAsia"/>
                <w:color w:val="FF0000"/>
              </w:rPr>
              <w:t>序号</w:t>
            </w:r>
          </w:p>
        </w:tc>
        <w:tc>
          <w:tcPr>
            <w:tcW w:w="84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lang w:eastAsia="zh-CN"/>
              </w:rPr>
            </w:pPr>
            <w:r>
              <w:rPr>
                <w:rFonts w:ascii="宋体" w:hAnsi="宋体" w:cs="宋体"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rPr>
          <w:trHeight w:val="9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1</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与其他投标供应商的法定代表人、主要经营负责人、投标授权代表人、项目负责人、主要技术人员为</w:t>
            </w:r>
            <w:r>
              <w:rPr>
                <w:rFonts w:ascii="宋体" w:hAnsi="宋体" w:cs="宋体" w:hint="eastAsia"/>
                <w:b/>
                <w:bCs/>
                <w:color w:val="FF0000"/>
                <w:lang w:eastAsia="zh-CN"/>
              </w:rPr>
              <w:t>同一人、属同一单位或者在同一单位缴纳社会保险</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2"/>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2</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参与本项目政府采购活动时，与其他投标供应商存在单位负责人为</w:t>
            </w:r>
            <w:r>
              <w:rPr>
                <w:rFonts w:ascii="宋体" w:hAnsi="宋体" w:cs="宋体" w:hint="eastAsia"/>
                <w:b/>
                <w:bCs/>
                <w:color w:val="FF0000"/>
                <w:lang w:eastAsia="zh-CN"/>
              </w:rPr>
              <w:t>同一人或直接控股、管理关系</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644"/>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3</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与其他投标供应商的投标文件或部分投标文件</w:t>
            </w:r>
            <w:r>
              <w:rPr>
                <w:rFonts w:ascii="宋体" w:hAnsi="宋体" w:cs="宋体" w:hint="eastAsia"/>
                <w:b/>
                <w:bCs/>
                <w:color w:val="FF0000"/>
                <w:lang w:eastAsia="zh-CN"/>
              </w:rPr>
              <w:t>相互混装或存在非正常一致</w:t>
            </w:r>
            <w:r>
              <w:rPr>
                <w:rFonts w:ascii="宋体" w:hAnsi="宋体" w:cs="宋体"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6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4</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与其他投标供应商的投标文件由</w:t>
            </w:r>
            <w:r>
              <w:rPr>
                <w:rFonts w:ascii="宋体" w:hAnsi="宋体" w:cs="宋体" w:hint="eastAsia"/>
                <w:b/>
                <w:bCs/>
                <w:color w:val="FF0000"/>
                <w:lang w:eastAsia="zh-CN"/>
              </w:rPr>
              <w:t>同一单位或者同一人编制</w:t>
            </w:r>
            <w:r>
              <w:rPr>
                <w:rFonts w:ascii="宋体" w:hAnsi="宋体" w:cs="宋体" w:hint="eastAsia"/>
                <w:color w:val="FF0000"/>
                <w:lang w:eastAsia="zh-CN"/>
              </w:rPr>
              <w:t>，或者使用</w:t>
            </w:r>
            <w:r>
              <w:rPr>
                <w:rFonts w:ascii="宋体" w:hAnsi="宋体" w:cs="宋体" w:hint="eastAsia"/>
                <w:b/>
                <w:bCs/>
                <w:color w:val="FF0000"/>
                <w:lang w:eastAsia="zh-CN"/>
              </w:rPr>
              <w:t>同一设备编制</w:t>
            </w:r>
            <w:r>
              <w:rPr>
                <w:rFonts w:ascii="宋体" w:hAnsi="宋体" w:cs="宋体" w:hint="eastAsia"/>
                <w:color w:val="FF0000"/>
                <w:lang w:eastAsia="zh-CN"/>
              </w:rPr>
              <w:t>（</w:t>
            </w:r>
            <w:r>
              <w:rPr>
                <w:rFonts w:ascii="宋体" w:hAnsi="宋体"/>
                <w:color w:val="FF0000"/>
                <w:lang w:eastAsia="zh-CN"/>
              </w:rPr>
              <w:t>“</w:t>
            </w:r>
            <w:r>
              <w:rPr>
                <w:rFonts w:ascii="宋体" w:hAnsi="宋体" w:cs="宋体" w:hint="eastAsia"/>
                <w:color w:val="FF0000"/>
                <w:lang w:eastAsia="zh-CN"/>
              </w:rPr>
              <w:t>文件制作机器码</w:t>
            </w:r>
            <w:r>
              <w:rPr>
                <w:rFonts w:ascii="宋体" w:hAnsi="宋体"/>
                <w:color w:val="FF0000"/>
                <w:lang w:eastAsia="zh-CN"/>
              </w:rPr>
              <w:t>”“</w:t>
            </w:r>
            <w:r>
              <w:rPr>
                <w:rFonts w:ascii="宋体" w:hAnsi="宋体" w:cs="宋体" w:hint="eastAsia"/>
                <w:color w:val="FF0000"/>
                <w:lang w:eastAsia="zh-CN"/>
              </w:rPr>
              <w:t>文件创建标识码</w:t>
            </w:r>
            <w:r>
              <w:rPr>
                <w:rFonts w:ascii="宋体" w:hAnsi="宋体"/>
                <w:color w:val="FF0000"/>
                <w:lang w:eastAsia="zh-CN"/>
              </w:rPr>
              <w:t>”</w:t>
            </w:r>
            <w:r>
              <w:rPr>
                <w:rFonts w:ascii="宋体" w:hAnsi="宋体" w:cs="宋体" w:hint="eastAsia"/>
                <w:color w:val="FF0000"/>
                <w:lang w:eastAsia="zh-CN"/>
              </w:rPr>
              <w:t>一致）。</w:t>
            </w:r>
          </w:p>
        </w:tc>
      </w:tr>
      <w:tr>
        <w:tblPrEx>
          <w:tblW w:w="5000" w:type="pct"/>
          <w:tblInd w:w="250" w:type="dxa"/>
          <w:tblLayout w:type="fixed"/>
          <w:tblCellMar>
            <w:top w:w="0" w:type="dxa"/>
            <w:left w:w="108" w:type="dxa"/>
            <w:bottom w:w="0" w:type="dxa"/>
            <w:right w:w="108" w:type="dxa"/>
          </w:tblCellMar>
        </w:tblPrEx>
        <w:trPr>
          <w:trHeight w:val="1015"/>
        </w:trPr>
        <w:tc>
          <w:tcPr>
            <w:tcW w:w="63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FF0000"/>
              </w:rPr>
            </w:pPr>
            <w:r>
              <w:rPr>
                <w:rFonts w:ascii="宋体" w:hAnsi="宋体" w:hint="eastAsia"/>
                <w:color w:val="FF0000"/>
              </w:rPr>
              <w:t>5</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提供</w:t>
            </w:r>
            <w:r>
              <w:rPr>
                <w:rFonts w:ascii="宋体" w:hAnsi="宋体" w:cs="宋体" w:hint="eastAsia"/>
                <w:b/>
                <w:bCs/>
                <w:color w:val="FF0000"/>
                <w:lang w:eastAsia="zh-CN"/>
              </w:rPr>
              <w:t>未经出具机构核实</w:t>
            </w:r>
            <w:r>
              <w:rPr>
                <w:rFonts w:ascii="宋体" w:hAnsi="宋体" w:cs="宋体"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605"/>
        </w:trPr>
        <w:tc>
          <w:tcPr>
            <w:tcW w:w="634"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rPr>
            </w:pPr>
            <w:r>
              <w:rPr>
                <w:rFonts w:ascii="宋体" w:hAnsi="宋体" w:hint="eastAsia"/>
                <w:color w:val="FF0000"/>
              </w:rPr>
              <w:t>6</w:t>
            </w:r>
          </w:p>
        </w:tc>
        <w:tc>
          <w:tcPr>
            <w:tcW w:w="8411" w:type="dxa"/>
            <w:tcBorders>
              <w:top w:val="single" w:sz="4" w:space="0" w:color="auto"/>
              <w:left w:val="single" w:sz="4" w:space="0" w:color="auto"/>
              <w:bottom w:val="single" w:sz="4" w:space="0" w:color="auto"/>
              <w:right w:val="single" w:sz="4" w:space="0" w:color="auto"/>
            </w:tcBorders>
            <w:vAlign w:val="center"/>
          </w:tcPr>
          <w:p>
            <w:pPr>
              <w:rPr>
                <w:rFonts w:ascii="宋体" w:hAnsi="宋体"/>
                <w:color w:val="FF0000"/>
                <w:lang w:eastAsia="zh-CN"/>
              </w:rPr>
            </w:pPr>
            <w:r>
              <w:rPr>
                <w:rFonts w:ascii="宋体" w:hAnsi="宋体" w:cs="宋体" w:hint="eastAsia"/>
                <w:color w:val="FF0000"/>
                <w:lang w:eastAsia="zh-CN"/>
              </w:rPr>
              <w:t>擅自将投标密钥或电子营业执照出借他人使用或未妥善保管。</w:t>
            </w:r>
          </w:p>
        </w:tc>
      </w:tr>
    </w:tbl>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rPr>
          <w:rFonts w:ascii="宋体" w:eastAsia="宋体" w:hAnsi="宋体"/>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p>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LHAZXDL-2025-00344</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医疗设备一批（灌注吸引系统等）</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63"/>
        <w:gridCol w:w="588"/>
        <w:gridCol w:w="650"/>
        <w:gridCol w:w="2708"/>
        <w:gridCol w:w="650"/>
        <w:gridCol w:w="3833"/>
        <w:gridCol w:w="175"/>
        <w:gridCol w:w="63"/>
      </w:tblGrid>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8829" w:type="dxa"/>
            <w:gridSpan w:val="5"/>
            <w:tcBorders>
              <w:top w:val="nil"/>
              <w:left w:val="nil"/>
              <w:bottom w:val="nil"/>
              <w:right w:val="nil"/>
            </w:tcBorders>
            <w:vAlign w:val="center"/>
          </w:tcPr>
          <w:p>
            <w:pPr>
              <w:rPr>
                <w:rFonts w:ascii="宋体" w:eastAsia="宋体" w:hAnsi="宋体" w:cs="宋体" w:hint="eastAsia"/>
                <w:b/>
                <w:bCs/>
                <w:sz w:val="21"/>
                <w:szCs w:val="21"/>
              </w:rPr>
            </w:pPr>
            <w:r>
              <w:rPr>
                <w:rFonts w:ascii="宋体" w:eastAsia="宋体" w:hAnsi="宋体" w:cs="宋体" w:hint="eastAsia"/>
                <w:b/>
                <w:bCs/>
                <w:sz w:val="21"/>
                <w:szCs w:val="21"/>
              </w:rPr>
              <w:t>评标方法：综合评分法（新价格分算法）</w:t>
            </w:r>
          </w:p>
        </w:tc>
        <w:tc>
          <w:tcPr>
            <w:tcW w:w="243" w:type="dxa"/>
            <w:gridSpan w:val="2"/>
            <w:tcBorders>
              <w:top w:val="nil"/>
              <w:left w:val="nil"/>
              <w:bottom w:val="nil"/>
              <w:right w:val="nil"/>
            </w:tcBorders>
            <w:vAlign w:val="center"/>
          </w:tcPr>
          <w:p>
            <w:pPr>
              <w:jc w:val="right"/>
              <w:rPr>
                <w:rFonts w:ascii="宋体" w:eastAsia="宋体" w:hAnsi="宋体" w:cs="宋体" w:hint="eastAsia"/>
                <w:b/>
                <w:bCs/>
                <w:sz w:val="21"/>
                <w:szCs w:val="21"/>
              </w:rPr>
            </w:pP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2" w:type="dxa"/>
            <w:gridSpan w:val="7"/>
            <w:tcBorders>
              <w:top w:val="nil"/>
              <w:left w:val="nil"/>
              <w:bottom w:val="nil"/>
              <w:right w:val="nil"/>
            </w:tcBorders>
            <w:vAlign w:val="center"/>
          </w:tcPr>
          <w:p>
            <w:pPr>
              <w:spacing w:line="324" w:lineRule="auto"/>
              <w:ind w:firstLine="420"/>
              <w:rPr>
                <w:rFonts w:ascii="宋体" w:eastAsia="宋体" w:hAnsi="宋体" w:cs="宋体" w:hint="eastAsia"/>
                <w:sz w:val="21"/>
                <w:szCs w:val="21"/>
              </w:rPr>
            </w:pPr>
            <w:r>
              <w:rPr>
                <w:rFonts w:ascii="宋体" w:eastAsia="宋体" w:hAnsi="宋体" w:cs="宋体" w:hint="eastAsia"/>
                <w:sz w:val="21"/>
                <w:szCs w:val="21"/>
              </w:rPr>
              <w:t xml:space="preserve">综合评分法，是指投标文件满足招标文件全部实质性要求，且按照评审因素的量化指标评审得分最高的投标人为中标候选人的评标方法。 </w:t>
            </w:r>
          </w:p>
          <w:p>
            <w:pPr>
              <w:ind w:firstLine="420"/>
              <w:rPr>
                <w:rFonts w:ascii="宋体" w:eastAsia="宋体" w:hAnsi="宋体" w:cs="宋体" w:hint="eastAsia"/>
                <w:sz w:val="21"/>
                <w:szCs w:val="21"/>
              </w:rPr>
            </w:pPr>
            <w:r>
              <w:rPr>
                <w:rFonts w:ascii="宋体" w:eastAsia="宋体" w:hAnsi="宋体" w:cs="宋体" w:hint="eastAsia"/>
                <w:sz w:val="21"/>
                <w:szCs w:val="21"/>
              </w:rPr>
              <w:t>价格分计算方法：</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采用低价优先法计算，即满足招标文件要求且投标价格最低的投标报价为评标基准价，其价格分为满分。其他投标人的价格分统一按照下列公式计算：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投标报价得分=(评标基准价／投标报价)×100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评标总得分＝F1×A1＋F2×A2＋……＋Fn×An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F1、F2……Fn分别为各项评审因素的得分；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A1、A2、……An 分别为各项评审因素所占的权重(A1＋A2＋……＋An＝1)。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评标过程中，不得去掉报价中的最高报价和最低报价。 </w:t>
            </w:r>
          </w:p>
          <w:p>
            <w:pPr>
              <w:spacing w:line="324" w:lineRule="auto"/>
              <w:ind w:left="420"/>
              <w:rPr>
                <w:rFonts w:ascii="宋体" w:eastAsia="宋体" w:hAnsi="宋体" w:cs="宋体" w:hint="eastAsia"/>
                <w:sz w:val="21"/>
                <w:szCs w:val="21"/>
              </w:rPr>
            </w:pPr>
            <w:r>
              <w:rPr>
                <w:rFonts w:ascii="宋体" w:eastAsia="宋体" w:hAnsi="宋体" w:cs="宋体" w:hint="eastAsia"/>
                <w:sz w:val="21"/>
                <w:szCs w:val="21"/>
              </w:rPr>
              <w:t xml:space="preserve">此方法适用于货物类、服务类、工程类项目。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评分项</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sz w:val="21"/>
                <w:szCs w:val="21"/>
              </w:rPr>
            </w:pPr>
            <w:r>
              <w:rPr>
                <w:rFonts w:ascii="宋体" w:eastAsia="宋体" w:hAnsi="宋体" w:cs="宋体" w:hint="eastAsia"/>
                <w:b/>
                <w:bCs/>
                <w:sz w:val="21"/>
                <w:szCs w:val="21"/>
                <w:lang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价格</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技术部分</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19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rPr>
            </w:pPr>
            <w:r>
              <w:rPr>
                <w:rFonts w:ascii="宋体" w:eastAsia="宋体" w:hAnsi="宋体" w:cs="宋体" w:hint="eastAsia"/>
                <w:sz w:val="21"/>
                <w:szCs w:val="21"/>
                <w:lang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4</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b/>
                <w:bCs/>
                <w:color w:val="000000"/>
                <w:sz w:val="21"/>
                <w:szCs w:val="21"/>
                <w:lang w:eastAsia="zh-CN" w:bidi="ar"/>
              </w:rPr>
              <w:t>考察内容：</w:t>
            </w:r>
            <w:r>
              <w:rPr>
                <w:rFonts w:ascii="宋体" w:eastAsia="宋体" w:hAnsi="宋体" w:cs="宋体" w:hint="eastAsia"/>
                <w:b/>
                <w:bCs/>
                <w:color w:val="000000"/>
                <w:sz w:val="21"/>
                <w:szCs w:val="21"/>
                <w:lang w:eastAsia="zh-CN" w:bidi="ar"/>
              </w:rPr>
              <w:br/>
            </w:r>
            <w:r>
              <w:rPr>
                <w:rFonts w:ascii="宋体" w:eastAsia="宋体" w:hAnsi="宋体" w:cs="宋体" w:hint="eastAsia"/>
                <w:color w:val="000000"/>
                <w:sz w:val="21"/>
                <w:szCs w:val="21"/>
                <w:lang w:eastAsia="zh-CN" w:bidi="ar"/>
              </w:rPr>
              <w:t xml:space="preserve">投标人需针对本项目提供技术保障措施方案，方案内容需包括： </w:t>
            </w:r>
          </w:p>
          <w:p>
            <w:pPr>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安装调试方案</w:t>
            </w:r>
            <w:r>
              <w:rPr>
                <w:rFonts w:ascii="宋体" w:eastAsia="宋体" w:hAnsi="宋体" w:cs="宋体" w:hint="eastAsia"/>
                <w:sz w:val="21"/>
                <w:szCs w:val="21"/>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质量控制措施</w:t>
            </w:r>
            <w:r>
              <w:rPr>
                <w:rFonts w:ascii="宋体" w:eastAsia="宋体" w:hAnsi="宋体" w:cs="宋体" w:hint="eastAsia"/>
                <w:sz w:val="21"/>
                <w:szCs w:val="21"/>
              </w:rPr>
              <w:t xml:space="preserve">；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sz w:val="21"/>
                <w:szCs w:val="21"/>
              </w:rPr>
              <w:t>（3）技术</w:t>
            </w:r>
            <w:r>
              <w:rPr>
                <w:rFonts w:ascii="宋体" w:eastAsia="宋体" w:hAnsi="宋体" w:cs="宋体" w:hint="eastAsia"/>
                <w:sz w:val="21"/>
                <w:szCs w:val="21"/>
                <w:lang w:eastAsia="zh-CN"/>
              </w:rPr>
              <w:t>团体</w:t>
            </w:r>
            <w:r>
              <w:rPr>
                <w:rFonts w:ascii="宋体" w:eastAsia="宋体" w:hAnsi="宋体" w:cs="宋体" w:hint="eastAsia"/>
                <w:sz w:val="21"/>
                <w:szCs w:val="21"/>
              </w:rPr>
              <w:t>人员。</w:t>
            </w:r>
            <w:r>
              <w:rPr>
                <w:rFonts w:ascii="宋体" w:eastAsia="宋体" w:hAnsi="宋体" w:cs="宋体" w:hint="eastAsia"/>
                <w:color w:val="000000"/>
                <w:sz w:val="21"/>
                <w:szCs w:val="21"/>
                <w:lang w:eastAsia="zh-CN" w:bidi="ar"/>
              </w:rPr>
              <w:t xml:space="preserve">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b/>
                <w:bCs/>
                <w:color w:val="000000"/>
                <w:sz w:val="21"/>
                <w:szCs w:val="21"/>
                <w:lang w:eastAsia="zh-CN" w:bidi="ar"/>
              </w:rPr>
              <w:t xml:space="preserve">评审标准：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1、评审委员会根据招标文件的需求和投标文件的内容响应情况进行评分：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 3 项要求的，得 60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内容满足以上任意 2 项要求的，得40分；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内容满足以上任意 1 项要求的，得10分； 内容不满足不得分。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2、在此基础上，评审委员会根据各投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标人的具体响应情况按照以下评审标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准进一步评审：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评审为优（方案整体科学合理、针对性强、可操作性强、条理非常清晰的）的加 40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评审为良（方案整体较比科学合理、有较强针对性、有较强可操作性、比较条理清晰的）的加 20 分； </w:t>
            </w:r>
          </w:p>
          <w:p>
            <w:pPr>
              <w:keepNext w:val="0"/>
              <w:keepLines w:val="0"/>
              <w:widowControl/>
              <w:suppressLineNumbers w:val="0"/>
              <w:spacing w:line="360" w:lineRule="auto"/>
              <w:jc w:val="left"/>
              <w:rPr>
                <w:rFonts w:ascii="宋体" w:eastAsia="宋体" w:hAnsi="宋体" w:cs="宋体" w:hint="eastAsia"/>
                <w:sz w:val="21"/>
                <w:szCs w:val="21"/>
              </w:rPr>
            </w:pPr>
            <w:r>
              <w:rPr>
                <w:rFonts w:ascii="宋体" w:eastAsia="宋体" w:hAnsi="宋体" w:cs="宋体" w:hint="eastAsia"/>
                <w:color w:val="000000"/>
                <w:sz w:val="21"/>
                <w:szCs w:val="21"/>
                <w:lang w:eastAsia="zh-CN" w:bidi="ar"/>
              </w:rPr>
              <w:t xml:space="preserve">评审为中（方案整体科学合理性一般、针对性一般、可操作性一般，条理清晰度一般的）的加 10 分； </w:t>
            </w:r>
          </w:p>
          <w:p>
            <w:pPr>
              <w:pageBreakBefore w:val="0"/>
              <w:kinsoku/>
              <w:wordWrap w:val="0"/>
              <w:overflowPunct/>
              <w:topLinePunct w:val="0"/>
              <w:autoSpaceDE/>
              <w:autoSpaceDN/>
              <w:bidi w:val="0"/>
              <w:adjustRightInd/>
              <w:spacing w:beforeAutospacing="0" w:afterAutospacing="0" w:line="360" w:lineRule="auto"/>
              <w:ind w:left="0" w:right="0" w:firstLine="0" w:leftChars="0" w:rightChars="0" w:firstLineChars="0"/>
              <w:jc w:val="both"/>
              <w:rPr>
                <w:rFonts w:ascii="宋体" w:eastAsia="宋体" w:hAnsi="宋体" w:cs="宋体" w:hint="eastAsia"/>
                <w:sz w:val="21"/>
                <w:szCs w:val="21"/>
              </w:rPr>
            </w:pPr>
            <w:r>
              <w:rPr>
                <w:rFonts w:ascii="宋体" w:eastAsia="宋体" w:hAnsi="宋体" w:cs="宋体" w:hint="eastAsia"/>
                <w:color w:val="000000"/>
                <w:sz w:val="21"/>
                <w:szCs w:val="21"/>
                <w:lang w:eastAsia="zh-CN" w:bidi="ar"/>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一般参数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10</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w:t>
            </w:r>
            <w:r>
              <w:rPr>
                <w:rFonts w:ascii="宋体" w:eastAsia="宋体" w:hAnsi="宋体" w:cs="宋体" w:hint="eastAsia"/>
                <w:sz w:val="21"/>
                <w:szCs w:val="21"/>
                <w:lang w:eastAsia="zh-CN"/>
              </w:rPr>
              <w:t>条款</w:t>
            </w:r>
            <w:r>
              <w:rPr>
                <w:rFonts w:ascii="宋体" w:eastAsia="宋体" w:hAnsi="宋体" w:cs="宋体" w:hint="eastAsia"/>
                <w:sz w:val="21"/>
                <w:szCs w:val="21"/>
              </w:rPr>
              <w:t>偏离表》（以下简称“偏离表”）响应情况进行打分，全部满足的得100分，一般参数每负偏离一项扣</w:t>
            </w:r>
            <w:r>
              <w:rPr>
                <w:rFonts w:ascii="宋体" w:eastAsia="宋体" w:hAnsi="宋体" w:cs="宋体" w:hint="eastAsia"/>
                <w:sz w:val="21"/>
                <w:szCs w:val="21"/>
                <w:lang w:eastAsia="zh-CN"/>
              </w:rPr>
              <w:t>2</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重点参数</w:t>
            </w:r>
            <w:r>
              <w:rPr>
                <w:rFonts w:ascii="宋体" w:eastAsia="宋体" w:hAnsi="宋体" w:cs="宋体" w:hint="eastAsia"/>
                <w:sz w:val="21"/>
                <w:szCs w:val="21"/>
              </w:rPr>
              <w:t>技术规格偏离情况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41</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top"/>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left"/>
              <w:rPr>
                <w:rFonts w:ascii="宋体" w:eastAsia="宋体" w:hAnsi="宋体" w:cs="宋体" w:hint="eastAsia"/>
                <w:sz w:val="21"/>
                <w:szCs w:val="21"/>
              </w:rPr>
            </w:pPr>
            <w:r>
              <w:rPr>
                <w:rFonts w:ascii="宋体" w:eastAsia="宋体" w:hAnsi="宋体" w:cs="宋体" w:hint="eastAsia"/>
                <w:b/>
                <w:bCs/>
                <w:sz w:val="21"/>
                <w:szCs w:val="21"/>
                <w:lang w:eastAsia="zh-CN"/>
              </w:rPr>
              <w:t>考察内容：</w:t>
            </w:r>
            <w:r>
              <w:rPr>
                <w:rFonts w:ascii="宋体" w:eastAsia="宋体" w:hAnsi="宋体" w:cs="宋体" w:hint="eastAsia"/>
                <w:b/>
                <w:bCs/>
                <w:sz w:val="21"/>
                <w:szCs w:val="21"/>
                <w:lang w:eastAsia="zh-CN"/>
              </w:rPr>
              <w:br/>
            </w:r>
            <w:r>
              <w:rPr>
                <w:rFonts w:ascii="宋体" w:eastAsia="宋体" w:hAnsi="宋体" w:cs="宋体" w:hint="eastAsia"/>
                <w:sz w:val="21"/>
                <w:szCs w:val="21"/>
              </w:rPr>
              <w:t>评审委员会根据《技术</w:t>
            </w:r>
            <w:r>
              <w:rPr>
                <w:rFonts w:ascii="宋体" w:eastAsia="宋体" w:hAnsi="宋体" w:cs="宋体" w:hint="eastAsia"/>
                <w:sz w:val="21"/>
                <w:szCs w:val="21"/>
                <w:lang w:eastAsia="zh-CN"/>
              </w:rPr>
              <w:t>条款</w:t>
            </w:r>
            <w:r>
              <w:rPr>
                <w:rFonts w:ascii="宋体" w:eastAsia="宋体" w:hAnsi="宋体" w:cs="宋体" w:hint="eastAsia"/>
                <w:sz w:val="21"/>
                <w:szCs w:val="21"/>
              </w:rPr>
              <w:t>偏离表》（以下简称“偏离表”）响应情况进行打分，全部满足的得100分，重点技术参数▲项每负偏离一项扣</w:t>
            </w:r>
            <w:r>
              <w:rPr>
                <w:rFonts w:ascii="宋体" w:eastAsia="宋体" w:hAnsi="宋体" w:cs="宋体" w:hint="eastAsia"/>
                <w:sz w:val="21"/>
                <w:szCs w:val="21"/>
                <w:lang w:eastAsia="zh-CN"/>
              </w:rPr>
              <w:t>10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rPr>
              <w:t>扣完为止。</w:t>
            </w:r>
            <w:r>
              <w:rPr>
                <w:rFonts w:ascii="宋体" w:eastAsia="宋体" w:hAnsi="宋体" w:cs="宋体" w:hint="eastAsia"/>
                <w:sz w:val="21"/>
                <w:szCs w:val="21"/>
              </w:rPr>
              <w:br/>
            </w:r>
            <w:r>
              <w:rPr>
                <w:rFonts w:ascii="宋体" w:eastAsia="宋体" w:hAnsi="宋体" w:cs="宋体" w:hint="eastAsia"/>
                <w:b/>
                <w:bCs/>
                <w:sz w:val="21"/>
                <w:szCs w:val="21"/>
                <w:lang w:eastAsia="zh-CN"/>
              </w:rPr>
              <w:t>证明文件：</w:t>
            </w:r>
            <w:r>
              <w:rPr>
                <w:rFonts w:ascii="宋体" w:eastAsia="宋体" w:hAnsi="宋体" w:cs="宋体" w:hint="eastAsia"/>
                <w:b/>
                <w:bCs/>
                <w:sz w:val="21"/>
                <w:szCs w:val="21"/>
                <w:lang w:eastAsia="zh-CN"/>
              </w:rPr>
              <w:br/>
            </w:r>
            <w:r>
              <w:rPr>
                <w:rFonts w:ascii="宋体" w:eastAsia="宋体" w:hAnsi="宋体" w:cs="宋体" w:hint="eastAsia"/>
                <w:sz w:val="21"/>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w:t>
            </w:r>
            <w:r>
              <w:rPr>
                <w:rFonts w:ascii="宋体" w:eastAsia="宋体" w:hAnsi="宋体" w:cs="宋体" w:hint="eastAsia"/>
                <w:sz w:val="21"/>
                <w:szCs w:val="21"/>
                <w:lang w:eastAsia="zh-CN"/>
              </w:rPr>
              <w:t>（未提供或未按要求提供或提供的不清晰导致专家无法判断的，不得分）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bidi="ar"/>
              </w:rPr>
              <w:t>商务部分</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15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8397" w:type="dxa"/>
            <w:gridSpan w:val="5"/>
            <w:tcBorders>
              <w:top w:val="single" w:sz="8" w:space="0" w:color="000000"/>
              <w:left w:val="single" w:sz="8" w:space="0" w:color="000000"/>
              <w:bottom w:val="single" w:sz="8" w:space="0" w:color="000000"/>
              <w:right w:val="single" w:sz="8" w:space="0" w:color="000000"/>
            </w:tcBorders>
            <w:shd w:val="clear" w:color="auto" w:fill="auto"/>
          </w:tcPr>
          <w:p>
            <w:pPr>
              <w:pageBreakBefore w:val="0"/>
              <w:kinsoku/>
              <w:overflowPunct/>
              <w:topLinePunct w:val="0"/>
              <w:autoSpaceDE/>
              <w:autoSpaceDN/>
              <w:bidi w:val="0"/>
              <w:spacing w:beforeAutospacing="0" w:afterAutospacing="0" w:line="360" w:lineRule="auto"/>
              <w:ind w:left="0" w:right="0" w:firstLine="0" w:leftChars="0" w:firstLineChars="0"/>
              <w:rPr>
                <w:rFonts w:ascii="宋体" w:eastAsia="宋体" w:hAnsi="宋体" w:cs="宋体" w:hint="eastAsia"/>
                <w:sz w:val="21"/>
                <w:szCs w:val="21"/>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权重(%)</w:t>
            </w:r>
          </w:p>
        </w:tc>
        <w:tc>
          <w:tcPr>
            <w:tcW w:w="4198" w:type="dxa"/>
            <w:gridSpan w:val="2"/>
            <w:tcBorders>
              <w:top w:val="outset" w:sz="6" w:space="0" w:color="000000"/>
              <w:left w:val="outset" w:sz="6" w:space="0" w:color="000000"/>
              <w:bottom w:val="outset" w:sz="6" w:space="0" w:color="000000"/>
              <w:right w:val="outset" w:sz="6" w:space="0" w:color="000000"/>
            </w:tcBorders>
            <w:shd w:val="clear" w:color="auto" w:fill="E6EFFA"/>
            <w:vAlign w:val="center"/>
          </w:tcPr>
          <w:p>
            <w:pPr>
              <w:pageBreakBefore w:val="0"/>
              <w:widowControl/>
              <w:kinsoku/>
              <w:wordWrap w:val="0"/>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sz w:val="21"/>
                <w:szCs w:val="21"/>
              </w:rPr>
            </w:pPr>
            <w:r>
              <w:rPr>
                <w:rFonts w:ascii="宋体" w:eastAsia="宋体" w:hAnsi="宋体" w:cs="宋体" w:hint="eastAsia"/>
                <w:sz w:val="21"/>
                <w:szCs w:val="21"/>
                <w:lang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免费保修期内售后服务条款偏离情况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wordWrap/>
              <w:spacing w:line="360" w:lineRule="auto"/>
              <w:rPr>
                <w:rFonts w:ascii="宋体" w:eastAsia="宋体" w:hAnsi="宋体" w:cs="宋体" w:hint="eastAsia"/>
                <w:sz w:val="21"/>
                <w:szCs w:val="21"/>
              </w:rPr>
            </w:pPr>
            <w:r>
              <w:rPr>
                <w:rFonts w:ascii="宋体" w:eastAsia="宋体" w:hAnsi="宋体" w:cs="宋体" w:hint="eastAsia"/>
                <w:sz w:val="21"/>
                <w:szCs w:val="21"/>
              </w:rPr>
              <w:t>投标人应如实填写商务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免费保修期内售后服务条款偏离情况</w:t>
            </w:r>
            <w:r>
              <w:rPr>
                <w:rFonts w:ascii="宋体" w:eastAsia="宋体" w:hAnsi="宋体" w:cs="宋体" w:hint="eastAsia"/>
                <w:sz w:val="21"/>
                <w:szCs w:val="21"/>
                <w:lang w:eastAsia="zh-CN"/>
              </w:rPr>
              <w:t>，</w:t>
            </w:r>
            <w:r>
              <w:rPr>
                <w:rFonts w:ascii="宋体" w:eastAsia="宋体" w:hAnsi="宋体" w:cs="宋体" w:hint="eastAsia"/>
                <w:bCs/>
                <w:sz w:val="21"/>
                <w:szCs w:val="21"/>
              </w:rPr>
              <w:t>★</w:t>
            </w:r>
            <w:r>
              <w:rPr>
                <w:rFonts w:ascii="宋体" w:eastAsia="宋体" w:hAnsi="宋体" w:cs="宋体" w:hint="eastAsia"/>
                <w:bCs/>
                <w:sz w:val="21"/>
                <w:szCs w:val="21"/>
                <w:lang w:eastAsia="zh-CN"/>
              </w:rPr>
              <w:t>号条款除外</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eastAsia="宋体" w:hAnsi="宋体" w:cs="宋体" w:hint="eastAsia"/>
                <w:sz w:val="21"/>
                <w:szCs w:val="21"/>
                <w:lang w:eastAsia="zh-CN"/>
              </w:rPr>
              <w:t>25</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rPr>
            </w:pPr>
            <w:r>
              <w:rPr>
                <w:rFonts w:ascii="宋体" w:eastAsia="宋体" w:hAnsi="宋体" w:cs="宋体" w:hint="eastAsia"/>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免费保修期外售后服务条款偏离情况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考察内容：</w:t>
            </w:r>
          </w:p>
          <w:p>
            <w:pPr>
              <w:numPr>
                <w:ilvl w:val="0"/>
                <w:numId w:val="0"/>
              </w:numPr>
              <w:wordWrap w:val="0"/>
              <w:spacing w:line="360" w:lineRule="auto"/>
              <w:ind w:left="0" w:firstLine="0" w:leftChars="0" w:firstLineChars="0"/>
              <w:rPr>
                <w:rFonts w:ascii="宋体" w:eastAsia="宋体" w:hAnsi="宋体" w:cs="宋体" w:hint="eastAsia"/>
                <w:sz w:val="21"/>
                <w:szCs w:val="21"/>
              </w:rPr>
            </w:pPr>
            <w:r>
              <w:rPr>
                <w:rFonts w:ascii="宋体" w:eastAsia="宋体" w:hAnsi="宋体" w:cs="宋体" w:hint="eastAsia"/>
                <w:sz w:val="21"/>
                <w:szCs w:val="21"/>
              </w:rPr>
              <w:t>投标人应如实填写商务</w:t>
            </w:r>
            <w:r>
              <w:rPr>
                <w:rFonts w:ascii="宋体" w:eastAsia="宋体" w:hAnsi="宋体" w:cs="宋体" w:hint="eastAsia"/>
                <w:sz w:val="21"/>
                <w:szCs w:val="21"/>
                <w:lang w:eastAsia="zh-CN"/>
              </w:rPr>
              <w:t>要求</w:t>
            </w:r>
            <w:r>
              <w:rPr>
                <w:rFonts w:ascii="宋体" w:eastAsia="宋体" w:hAnsi="宋体" w:cs="宋体" w:hint="eastAsia"/>
                <w:sz w:val="21"/>
                <w:szCs w:val="21"/>
              </w:rPr>
              <w:t>偏离表</w:t>
            </w:r>
            <w:r>
              <w:rPr>
                <w:rFonts w:ascii="宋体" w:eastAsia="宋体" w:hAnsi="宋体" w:cs="宋体" w:hint="eastAsia"/>
                <w:sz w:val="21"/>
                <w:szCs w:val="21"/>
                <w:lang w:eastAsia="zh-CN"/>
              </w:rPr>
              <w:t>（</w:t>
            </w:r>
            <w:r>
              <w:rPr>
                <w:rFonts w:ascii="宋体" w:eastAsia="宋体" w:hAnsi="宋体" w:cs="宋体" w:hint="eastAsia"/>
                <w:sz w:val="21"/>
                <w:szCs w:val="21"/>
              </w:rPr>
              <w:t>免费保修期外售后服务条款偏离情况</w:t>
            </w:r>
            <w:r>
              <w:rPr>
                <w:rFonts w:ascii="宋体" w:eastAsia="宋体" w:hAnsi="宋体" w:cs="宋体" w:hint="eastAsia"/>
                <w:sz w:val="21"/>
                <w:szCs w:val="21"/>
                <w:lang w:eastAsia="zh-CN"/>
              </w:rPr>
              <w:t>,</w:t>
            </w:r>
            <w:r>
              <w:rPr>
                <w:rFonts w:ascii="宋体" w:eastAsia="宋体" w:hAnsi="宋体" w:cs="宋体" w:hint="eastAsia"/>
                <w:bCs/>
                <w:sz w:val="21"/>
                <w:szCs w:val="21"/>
              </w:rPr>
              <w:t>★</w:t>
            </w:r>
            <w:r>
              <w:rPr>
                <w:rFonts w:ascii="宋体" w:eastAsia="宋体" w:hAnsi="宋体" w:cs="宋体" w:hint="eastAsia"/>
                <w:bCs/>
                <w:sz w:val="21"/>
                <w:szCs w:val="21"/>
                <w:lang w:eastAsia="zh-CN"/>
              </w:rPr>
              <w:t>号条款除外</w:t>
            </w:r>
            <w:r>
              <w:rPr>
                <w:rFonts w:ascii="宋体" w:eastAsia="宋体" w:hAnsi="宋体" w:cs="宋体" w:hint="eastAsia"/>
                <w:sz w:val="21"/>
                <w:szCs w:val="21"/>
                <w:lang w:eastAsia="zh-CN"/>
              </w:rPr>
              <w:t>）</w:t>
            </w:r>
            <w:r>
              <w:rPr>
                <w:rFonts w:ascii="宋体" w:eastAsia="宋体" w:hAnsi="宋体" w:cs="宋体" w:hint="eastAsia"/>
                <w:sz w:val="21"/>
                <w:szCs w:val="21"/>
              </w:rPr>
              <w:t>，评审委员会根据响应情况进行打分，全部满足要求的得100分，实质性条款除外，每负偏离一项扣</w:t>
            </w:r>
            <w:r>
              <w:rPr>
                <w:rFonts w:ascii="宋体" w:eastAsia="宋体" w:hAnsi="宋体" w:cs="宋体" w:hint="eastAsia"/>
                <w:sz w:val="21"/>
                <w:szCs w:val="21"/>
                <w:lang w:eastAsia="zh-CN"/>
              </w:rPr>
              <w:t>20</w:t>
            </w:r>
            <w:r>
              <w:rPr>
                <w:rFonts w:ascii="宋体" w:eastAsia="宋体" w:hAnsi="宋体" w:cs="宋体" w:hint="eastAsia"/>
                <w:sz w:val="21"/>
                <w:szCs w:val="21"/>
              </w:rPr>
              <w:t>分，扣完为止。</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57" w:type="dxa"/>
          <w:tblCellSpacing w:w="0" w:type="dxa"/>
          <w:jc w:val="center"/>
        </w:trPr>
        <w:tc>
          <w:tcPr>
            <w:tcW w:w="681" w:type="dxa"/>
            <w:gridSpan w:val="2"/>
            <w:tcBorders>
              <w:left w:val="single" w:sz="8" w:space="0" w:color="000000"/>
              <w:right w:val="single" w:sz="8" w:space="0" w:color="000000"/>
            </w:tcBorders>
            <w:shd w:val="clear" w:color="auto" w:fill="auto"/>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pageBreakBefore w:val="0"/>
              <w:kinsoku/>
              <w:overflowPunct/>
              <w:topLinePunct w:val="0"/>
              <w:autoSpaceDE/>
              <w:autoSpaceDN/>
              <w:bidi w:val="0"/>
              <w:adjustRightInd/>
              <w:spacing w:beforeAutospacing="0" w:afterAutospacing="0" w:line="360" w:lineRule="auto"/>
              <w:ind w:left="0" w:right="0" w:firstLine="0" w:leftChars="0" w:rightChars="0" w:firstLineChars="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419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（一）评分内容</w:t>
            </w:r>
          </w:p>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1"/>
                <w:szCs w:val="21"/>
                <w:lang w:eastAsia="zh-CN"/>
              </w:rPr>
              <w:t>100</w:t>
            </w:r>
            <w:r>
              <w:rPr>
                <w:rFonts w:ascii="宋体" w:eastAsia="宋体" w:hAnsi="宋体" w:cs="宋体" w:hint="eastAsia"/>
                <w:sz w:val="21"/>
                <w:szCs w:val="21"/>
              </w:rPr>
              <w:t>分。投标人无需提供任何证明材料，评标过程中由工作人员向评审委员会提供供应商诚信查询结果。</w:t>
            </w:r>
          </w:p>
          <w:p>
            <w:pPr>
              <w:spacing w:line="360" w:lineRule="exact"/>
              <w:jc w:val="left"/>
              <w:rPr>
                <w:rFonts w:ascii="宋体" w:eastAsia="宋体" w:hAnsi="宋体" w:cs="宋体" w:hint="eastAsia"/>
                <w:sz w:val="21"/>
                <w:szCs w:val="21"/>
              </w:rPr>
            </w:pPr>
            <w:r>
              <w:rPr>
                <w:rFonts w:ascii="宋体" w:eastAsia="宋体" w:hAnsi="宋体" w:cs="宋体" w:hint="eastAsia"/>
                <w:sz w:val="21"/>
                <w:szCs w:val="21"/>
              </w:rPr>
              <w:t>（二）评分依据</w:t>
            </w:r>
          </w:p>
          <w:p>
            <w:pPr>
              <w:numPr>
                <w:ilvl w:val="0"/>
                <w:numId w:val="0"/>
              </w:numPr>
              <w:wordWrap w:val="0"/>
              <w:spacing w:line="360" w:lineRule="auto"/>
              <w:ind w:left="0" w:firstLine="0" w:leftChars="0" w:firstLineChars="0"/>
              <w:rPr>
                <w:rFonts w:ascii="宋体" w:eastAsia="宋体" w:hAnsi="宋体" w:cs="宋体" w:hint="eastAsia"/>
                <w:sz w:val="21"/>
                <w:szCs w:val="21"/>
              </w:rPr>
            </w:pPr>
            <w:r>
              <w:rPr>
                <w:rFonts w:ascii="宋体" w:eastAsia="宋体" w:hAnsi="宋体" w:cs="宋体" w:hint="eastAsia"/>
                <w:sz w:val="21"/>
                <w:szCs w:val="21"/>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0"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0"/>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1.满足《中华人民共和国政府采购法》第二十二条第一款的条件；（由供应商在《政府采购投标及履约承诺函》中作出声明）；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2.具有独立法人资格或是具有独立承担民事责任能力的其它组织（提供营业执照或事业单位法人证书等证明资料复印件，原件备查）；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6.参与本项目政府采购活动时不存在被有关部门禁止参与政府采购活动且在有效期内的情况（由供应商在《政府采购投标及履约承诺函》中作出声明）；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7.参与本项目投标前三年内，在经营活动中没有重大违法记录（由供应商在《政府采购投标及履约承诺函》中作出声明）；</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8.本项目不接受联合体投标，不接受进口产品参与投标，不允许分包、转包；</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rPr>
        <w:t>本项目不属于专门面向中小微企业采购项目</w:t>
      </w:r>
      <w:r>
        <w:rPr>
          <w:rFonts w:ascii="宋体" w:eastAsia="宋体" w:hAnsi="宋体" w:cs="宋体" w:hint="eastAsia"/>
          <w:color w:val="FF0000"/>
          <w:sz w:val="21"/>
          <w:szCs w:val="21"/>
          <w:lang w:eastAsia="zh-CN"/>
        </w:rPr>
        <w:t>；</w:t>
      </w:r>
    </w:p>
    <w:p>
      <w:pPr>
        <w:widowControl w:val="0"/>
        <w:spacing w:after="60" w:afterLines="2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18117"/>
      <w:bookmarkStart w:id="4" w:name="_Toc73521635"/>
      <w:bookmarkStart w:id="5" w:name="_Toc101074876"/>
      <w:bookmarkStart w:id="6" w:name="_Toc60631620"/>
      <w:bookmarkStart w:id="7" w:name="_Toc60560625"/>
      <w:bookmarkStart w:id="8" w:name="_Toc73517639"/>
      <w:bookmarkStart w:id="9" w:name="_Toc73521547"/>
      <w:bookmarkStart w:id="10"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kern w:val="2"/>
          <w:szCs w:val="22"/>
          <w:lang w:eastAsia="zh-CN"/>
        </w:rPr>
      </w:pPr>
    </w:p>
    <w:p>
      <w:pPr>
        <w:widowControl w:val="0"/>
        <w:tabs>
          <w:tab w:val="left" w:pos="720"/>
        </w:tabs>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400" w:lineRule="exact"/>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tblInd w:w="-157" w:type="dxa"/>
        <w:tblLayout w:type="fixed"/>
        <w:tblCellMar>
          <w:top w:w="15" w:type="dxa"/>
          <w:left w:w="15" w:type="dxa"/>
          <w:bottom w:w="15" w:type="dxa"/>
          <w:right w:w="15" w:type="dxa"/>
        </w:tblCellMar>
      </w:tblPr>
      <w:tblGrid>
        <w:gridCol w:w="771"/>
        <w:gridCol w:w="2562"/>
        <w:gridCol w:w="3100"/>
        <w:gridCol w:w="2237"/>
      </w:tblGrid>
      <w:tr>
        <w:tblPrEx>
          <w:tblW w:w="5000" w:type="pct"/>
          <w:tblInd w:w="-157" w:type="dxa"/>
          <w:tblLayout w:type="fixed"/>
          <w:tblCellMar>
            <w:top w:w="15" w:type="dxa"/>
            <w:left w:w="15" w:type="dxa"/>
            <w:bottom w:w="15" w:type="dxa"/>
            <w:right w:w="15" w:type="dxa"/>
          </w:tblCellMar>
        </w:tblPrEx>
        <w:trPr>
          <w:trHeight w:val="552"/>
        </w:trPr>
        <w:tc>
          <w:tcPr>
            <w:tcW w:w="837"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791"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37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最高限价（元）</w:t>
            </w:r>
          </w:p>
        </w:tc>
      </w:tr>
      <w:tr>
        <w:tblPrEx>
          <w:tblW w:w="5000" w:type="pct"/>
          <w:tblInd w:w="-157" w:type="dxa"/>
          <w:tblLayout w:type="fixed"/>
          <w:tblCellMar>
            <w:top w:w="15" w:type="dxa"/>
            <w:left w:w="15" w:type="dxa"/>
            <w:bottom w:w="15" w:type="dxa"/>
            <w:right w:w="15" w:type="dxa"/>
          </w:tblCellMar>
        </w:tblPrEx>
        <w:trPr>
          <w:trHeight w:val="485"/>
        </w:trPr>
        <w:tc>
          <w:tcPr>
            <w:tcW w:w="837"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791"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LHAZXDL-2025-00344</w:t>
            </w:r>
          </w:p>
        </w:tc>
        <w:tc>
          <w:tcPr>
            <w:tcW w:w="337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医疗设备一批（灌注吸引系统等）</w:t>
            </w:r>
          </w:p>
        </w:tc>
        <w:tc>
          <w:tcPr>
            <w:tcW w:w="2436"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741000.00</w:t>
            </w:r>
          </w:p>
        </w:tc>
      </w:tr>
    </w:tbl>
    <w:p>
      <w:pPr>
        <w:keepNext/>
        <w:keepLines/>
        <w:widowControl w:val="0"/>
        <w:tabs>
          <w:tab w:val="left" w:pos="1680"/>
        </w:tabs>
        <w:spacing w:before="260" w:after="60" w:afterLines="25"/>
        <w:jc w:val="center"/>
        <w:outlineLvl w:val="9"/>
        <w:rPr>
          <w:rFonts w:ascii="Arial" w:eastAsia="宋体" w:hAnsi="Arial" w:hint="eastAsia"/>
          <w:b/>
          <w:kern w:val="2"/>
          <w:sz w:val="32"/>
          <w:szCs w:val="32"/>
          <w:lang w:eastAsia="zh-CN"/>
        </w:rPr>
      </w:pP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二、货物需求明细</w:t>
      </w:r>
      <w:bookmarkStart w:id="13" w:name="_Toc128884461"/>
    </w:p>
    <w:p>
      <w:pPr>
        <w:spacing w:before="120" w:after="120"/>
        <w:jc w:val="left"/>
        <w:rPr>
          <w:rFonts w:ascii="Calibri" w:hAnsi="Calibri" w:hint="eastAsia"/>
          <w:b/>
          <w:bCs/>
          <w:caps/>
          <w:sz w:val="21"/>
          <w:szCs w:val="21"/>
        </w:rPr>
      </w:pPr>
      <w:r>
        <w:rPr>
          <w:rFonts w:ascii="Calibri" w:hAnsi="Calibri" w:hint="eastAsia"/>
          <w:b/>
          <w:bCs/>
          <w:caps/>
          <w:sz w:val="21"/>
          <w:szCs w:val="21"/>
        </w:rPr>
        <w:t>（</w:t>
      </w:r>
      <w:r>
        <w:rPr>
          <w:rFonts w:ascii="Calibri" w:eastAsia="宋体" w:hAnsi="Calibri" w:hint="eastAsia"/>
          <w:b/>
          <w:bCs/>
          <w:caps/>
          <w:sz w:val="21"/>
          <w:szCs w:val="21"/>
          <w:lang w:eastAsia="zh-CN"/>
        </w:rPr>
        <w:t>一</w:t>
      </w:r>
      <w:r>
        <w:rPr>
          <w:rFonts w:ascii="Calibri" w:hAnsi="Calibri" w:hint="eastAsia"/>
          <w:b/>
          <w:bCs/>
          <w:caps/>
          <w:sz w:val="21"/>
          <w:szCs w:val="21"/>
        </w:rPr>
        <w:t>）货物分项清单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0"/>
        <w:gridCol w:w="1871"/>
        <w:gridCol w:w="1613"/>
        <w:gridCol w:w="772"/>
        <w:gridCol w:w="1154"/>
        <w:gridCol w:w="1393"/>
        <w:gridCol w:w="139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trPr>
        <w:tc>
          <w:tcPr>
            <w:tcW w:w="685"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971"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货物名称</w:t>
            </w:r>
          </w:p>
        </w:tc>
        <w:tc>
          <w:tcPr>
            <w:tcW w:w="1697"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数量</w:t>
            </w:r>
          </w:p>
        </w:tc>
        <w:tc>
          <w:tcPr>
            <w:tcW w:w="805"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121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备注</w:t>
            </w:r>
          </w:p>
        </w:tc>
        <w:tc>
          <w:tcPr>
            <w:tcW w:w="1464"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lang w:eastAsia="zh-CN"/>
              </w:rPr>
              <w:t>预算金额</w:t>
            </w:r>
            <w:r>
              <w:rPr>
                <w:rFonts w:ascii="宋体" w:eastAsia="宋体" w:hAnsi="宋体" w:cs="宋体" w:hint="eastAsia"/>
                <w:b/>
                <w:sz w:val="21"/>
                <w:szCs w:val="21"/>
              </w:rPr>
              <w:t>（元）</w:t>
            </w:r>
          </w:p>
        </w:tc>
        <w:tc>
          <w:tcPr>
            <w:tcW w:w="1464" w:type="dxa"/>
            <w:vAlign w:val="center"/>
          </w:tcPr>
          <w:p>
            <w:pPr>
              <w:jc w:val="center"/>
              <w:rPr>
                <w:rFonts w:ascii="宋体" w:eastAsia="宋体" w:hAnsi="宋体" w:cs="宋体" w:hint="eastAsia"/>
                <w:b/>
                <w:sz w:val="21"/>
                <w:szCs w:val="21"/>
                <w:lang w:eastAsia="zh-CN"/>
              </w:rPr>
            </w:pPr>
            <w:r>
              <w:rPr>
                <w:rFonts w:ascii="宋体" w:eastAsia="宋体" w:hAnsi="宋体" w:cs="宋体" w:hint="eastAsia"/>
                <w:b/>
                <w:color w:val="FF0000"/>
                <w:sz w:val="21"/>
                <w:szCs w:val="21"/>
                <w:lang w:eastAsia="zh-CN"/>
              </w:rPr>
              <w:t>最高限价（元）</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971"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3D 按压电动心肺复苏机</w:t>
            </w:r>
          </w:p>
        </w:tc>
        <w:tc>
          <w:tcPr>
            <w:tcW w:w="169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200000.00</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190000.00</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971"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1697"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 xml:space="preserve">100000.00 </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95000.00</w:t>
            </w:r>
          </w:p>
        </w:tc>
      </w:tr>
      <w:tr>
        <w:tblPrEx>
          <w:tblW w:w="5000" w:type="pct"/>
          <w:tblInd w:w="0" w:type="dxa"/>
          <w:tblLayout w:type="fixed"/>
          <w:tblCellMar>
            <w:top w:w="0" w:type="dxa"/>
            <w:left w:w="108" w:type="dxa"/>
            <w:bottom w:w="0" w:type="dxa"/>
            <w:right w:w="108" w:type="dxa"/>
          </w:tblCellMar>
        </w:tblPrEx>
        <w:trPr>
          <w:trHeight w:val="435"/>
        </w:trPr>
        <w:tc>
          <w:tcPr>
            <w:tcW w:w="685" w:type="dxa"/>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p>
        </w:tc>
        <w:tc>
          <w:tcPr>
            <w:tcW w:w="1971"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1697"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1</w:t>
            </w:r>
          </w:p>
        </w:tc>
        <w:tc>
          <w:tcPr>
            <w:tcW w:w="80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套</w:t>
            </w:r>
          </w:p>
        </w:tc>
        <w:tc>
          <w:tcPr>
            <w:tcW w:w="1210"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拒绝进口</w:t>
            </w:r>
          </w:p>
        </w:tc>
        <w:tc>
          <w:tcPr>
            <w:tcW w:w="1464"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 xml:space="preserve">480000.00 </w:t>
            </w:r>
          </w:p>
        </w:tc>
        <w:tc>
          <w:tcPr>
            <w:tcW w:w="1464" w:type="dxa"/>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456000.00</w:t>
            </w:r>
          </w:p>
        </w:tc>
      </w:tr>
    </w:tbl>
    <w:p>
      <w:pPr>
        <w:spacing w:before="120" w:after="120"/>
        <w:jc w:val="left"/>
        <w:rPr>
          <w:rFonts w:ascii="Calibri" w:hAnsi="Calibri" w:hint="eastAsia"/>
          <w:b/>
          <w:bCs/>
          <w:caps/>
          <w:sz w:val="21"/>
          <w:szCs w:val="21"/>
          <w:lang w:eastAsia="zh-CN"/>
        </w:rPr>
      </w:pP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1、本项目的财政预算金额为人民币780000.00元；本次招标的投标最高限价为人民币741000.00元。投标总价不得超过最高限价，设置单项最高限价的，分项报价不得超过相应单项最高限价。</w:t>
      </w:r>
    </w:p>
    <w:p>
      <w:pPr>
        <w:widowControl w:val="0"/>
        <w:spacing w:after="120" w:line="360" w:lineRule="auto"/>
        <w:ind w:firstLine="420" w:firstLineChars="200"/>
        <w:jc w:val="both"/>
        <w:rPr>
          <w:rFonts w:ascii="宋体" w:eastAsia="宋体" w:hAnsi="宋体"/>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灌注吸引系统</w:t>
      </w:r>
    </w:p>
    <w:p>
      <w:pPr>
        <w:spacing w:before="120" w:after="120" w:line="360" w:lineRule="auto"/>
        <w:jc w:val="left"/>
        <w:rPr>
          <w:rFonts w:ascii="宋体" w:eastAsia="宋体" w:hAnsi="宋体" w:cs="宋体" w:hint="eastAsia"/>
          <w:b/>
          <w:bCs/>
          <w:caps/>
          <w:sz w:val="21"/>
          <w:szCs w:val="21"/>
          <w:lang w:eastAsia="zh-CN"/>
        </w:rPr>
      </w:pPr>
      <w:r>
        <w:rPr>
          <w:rFonts w:ascii="Calibri" w:hAnsi="Calibri" w:hint="eastAsia"/>
          <w:b/>
          <w:bCs/>
          <w:caps/>
          <w:sz w:val="21"/>
          <w:szCs w:val="21"/>
        </w:rPr>
        <w:t>★</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二</w:t>
      </w:r>
      <w:r>
        <w:rPr>
          <w:rFonts w:ascii="宋体" w:eastAsia="宋体" w:hAnsi="宋体" w:cs="宋体" w:hint="eastAsia"/>
          <w:b/>
          <w:bCs/>
          <w:caps/>
          <w:sz w:val="21"/>
          <w:szCs w:val="21"/>
        </w:rPr>
        <w:t>）</w:t>
      </w:r>
      <w:r>
        <w:rPr>
          <w:rFonts w:ascii="宋体" w:eastAsia="宋体" w:hAnsi="宋体" w:cs="宋体" w:hint="eastAsia"/>
          <w:b/>
          <w:bCs/>
          <w:caps/>
          <w:sz w:val="21"/>
          <w:szCs w:val="21"/>
          <w:lang w:eastAsia="zh-CN"/>
        </w:rPr>
        <w:t>货物配置清单(每台/套设备配置）</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6"/>
        <w:gridCol w:w="2102"/>
        <w:gridCol w:w="662"/>
        <w:gridCol w:w="716"/>
        <w:gridCol w:w="467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blHeader/>
        </w:trPr>
        <w:tc>
          <w:tcPr>
            <w:tcW w:w="737"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223"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90"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数量</w:t>
            </w:r>
          </w:p>
        </w:tc>
        <w:tc>
          <w:tcPr>
            <w:tcW w:w="747"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单位</w:t>
            </w:r>
          </w:p>
        </w:tc>
        <w:tc>
          <w:tcPr>
            <w:tcW w:w="4958" w:type="dxa"/>
          </w:tcPr>
          <w:p>
            <w:pPr>
              <w:jc w:val="center"/>
              <w:rPr>
                <w:rFonts w:ascii="宋体" w:eastAsia="宋体" w:hAnsi="宋体" w:cs="宋体" w:hint="eastAsia"/>
                <w:b/>
                <w:bCs/>
                <w:sz w:val="21"/>
                <w:szCs w:val="21"/>
              </w:rPr>
            </w:pPr>
            <w:r>
              <w:rPr>
                <w:rFonts w:ascii="宋体" w:eastAsia="宋体" w:hAnsi="宋体" w:cs="宋体" w:hint="eastAsia"/>
                <w:b/>
                <w:bCs/>
                <w:sz w:val="21"/>
                <w:szCs w:val="21"/>
              </w:rPr>
              <w:t>说明</w:t>
            </w:r>
          </w:p>
        </w:tc>
      </w:tr>
      <w:tr>
        <w:tblPrEx>
          <w:tblW w:w="5000" w:type="pct"/>
          <w:tblInd w:w="0" w:type="dxa"/>
          <w:tblLayout w:type="fixed"/>
          <w:tblCellMar>
            <w:top w:w="0" w:type="dxa"/>
            <w:left w:w="108" w:type="dxa"/>
            <w:bottom w:w="0" w:type="dxa"/>
            <w:right w:w="108" w:type="dxa"/>
          </w:tblCellMar>
        </w:tblPrEx>
        <w:trPr>
          <w:trHeight w:val="422"/>
        </w:trPr>
        <w:tc>
          <w:tcPr>
            <w:tcW w:w="737" w:type="dxa"/>
            <w:vAlign w:val="center"/>
          </w:tcPr>
          <w:p>
            <w:pPr>
              <w:jc w:val="center"/>
              <w:rPr>
                <w:rFonts w:ascii="宋体" w:eastAsia="宋体" w:hAnsi="宋体" w:cs="宋体" w:hint="eastAsia"/>
                <w:sz w:val="21"/>
                <w:szCs w:val="21"/>
              </w:rPr>
            </w:pPr>
            <w:r>
              <w:rPr>
                <w:rFonts w:ascii="宋体" w:eastAsia="宋体" w:hAnsi="宋体" w:cs="宋体" w:hint="eastAsia"/>
                <w:bCs/>
                <w:sz w:val="21"/>
                <w:szCs w:val="21"/>
              </w:rPr>
              <w:t>1</w:t>
            </w:r>
          </w:p>
        </w:tc>
        <w:tc>
          <w:tcPr>
            <w:tcW w:w="2223" w:type="dxa"/>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3D 按压电动心肺复苏机</w:t>
            </w:r>
          </w:p>
        </w:tc>
        <w:tc>
          <w:tcPr>
            <w:tcW w:w="690"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bCs/>
                <w:sz w:val="21"/>
                <w:szCs w:val="21"/>
                <w:lang w:eastAsia="zh-CN"/>
              </w:rPr>
              <w:t>套</w:t>
            </w:r>
          </w:p>
        </w:tc>
        <w:tc>
          <w:tcPr>
            <w:tcW w:w="4958" w:type="dxa"/>
          </w:tcPr>
          <w:p>
            <w:pPr>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 xml:space="preserve">主机                </w:t>
            </w:r>
            <w:r>
              <w:rPr>
                <w:rFonts w:ascii="宋体" w:eastAsia="宋体" w:hAnsi="宋体" w:cs="宋体" w:hint="eastAsia"/>
                <w:sz w:val="21"/>
                <w:szCs w:val="21"/>
                <w:lang w:eastAsia="zh-CN"/>
              </w:rPr>
              <w:t xml:space="preserve">               </w:t>
            </w:r>
            <w:r>
              <w:rPr>
                <w:rFonts w:ascii="宋体" w:eastAsia="宋体" w:hAnsi="宋体" w:cs="宋体" w:hint="eastAsia"/>
                <w:sz w:val="21"/>
                <w:szCs w:val="21"/>
              </w:rPr>
              <w:t>1台</w:t>
            </w:r>
          </w:p>
          <w:p>
            <w:pPr>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 xml:space="preserve">可充电电池                    </w:t>
            </w:r>
            <w:r>
              <w:rPr>
                <w:rFonts w:ascii="宋体" w:eastAsia="宋体" w:hAnsi="宋体" w:cs="宋体" w:hint="eastAsia"/>
                <w:sz w:val="21"/>
                <w:szCs w:val="21"/>
                <w:lang w:eastAsia="zh-CN"/>
              </w:rPr>
              <w:t xml:space="preserve">     </w:t>
            </w:r>
            <w:r>
              <w:rPr>
                <w:rFonts w:ascii="宋体" w:eastAsia="宋体" w:hAnsi="宋体" w:cs="宋体" w:hint="eastAsia"/>
                <w:sz w:val="21"/>
                <w:szCs w:val="21"/>
              </w:rPr>
              <w:t>1块</w:t>
            </w:r>
          </w:p>
          <w:p>
            <w:pPr>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 xml:space="preserve">医疗适配器（含电源线）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p>
          <w:p>
            <w:pPr>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eastAsia="zh-CN"/>
              </w:rPr>
              <w:t>.</w:t>
            </w:r>
            <w:r>
              <w:rPr>
                <w:rFonts w:ascii="宋体" w:eastAsia="宋体" w:hAnsi="宋体" w:cs="宋体" w:hint="eastAsia"/>
                <w:sz w:val="21"/>
                <w:szCs w:val="21"/>
              </w:rPr>
              <w:t xml:space="preserve">胸腔按压设备固定带           </w:t>
            </w:r>
            <w:r>
              <w:rPr>
                <w:rFonts w:ascii="宋体" w:eastAsia="宋体" w:hAnsi="宋体" w:cs="宋体" w:hint="eastAsia"/>
                <w:sz w:val="21"/>
                <w:szCs w:val="21"/>
                <w:lang w:eastAsia="zh-CN"/>
              </w:rPr>
              <w:t xml:space="preserve">     </w:t>
            </w:r>
            <w:r>
              <w:rPr>
                <w:rFonts w:ascii="宋体" w:eastAsia="宋体" w:hAnsi="宋体" w:cs="宋体" w:hint="eastAsia"/>
                <w:sz w:val="21"/>
                <w:szCs w:val="21"/>
              </w:rPr>
              <w:t xml:space="preserve"> 1副</w:t>
            </w:r>
          </w:p>
          <w:p>
            <w:pPr>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 xml:space="preserve">按压头护套                    </w:t>
            </w:r>
            <w:r>
              <w:rPr>
                <w:rFonts w:ascii="宋体" w:eastAsia="宋体" w:hAnsi="宋体" w:cs="宋体" w:hint="eastAsia"/>
                <w:sz w:val="21"/>
                <w:szCs w:val="21"/>
                <w:lang w:eastAsia="zh-CN"/>
              </w:rPr>
              <w:t xml:space="preserve">     </w:t>
            </w:r>
            <w:r>
              <w:rPr>
                <w:rFonts w:ascii="宋体" w:eastAsia="宋体" w:hAnsi="宋体" w:cs="宋体" w:hint="eastAsia"/>
                <w:sz w:val="21"/>
                <w:szCs w:val="21"/>
              </w:rPr>
              <w:t>2个</w:t>
            </w:r>
          </w:p>
          <w:p>
            <w:pPr>
              <w:rPr>
                <w:rFonts w:ascii="宋体" w:eastAsia="宋体" w:hAnsi="宋体" w:cs="宋体" w:hint="eastAsia"/>
                <w:sz w:val="21"/>
                <w:szCs w:val="21"/>
              </w:rPr>
            </w:pPr>
            <w:r>
              <w:rPr>
                <w:rFonts w:ascii="宋体" w:eastAsia="宋体" w:hAnsi="宋体" w:cs="宋体" w:hint="eastAsia"/>
                <w:sz w:val="21"/>
                <w:szCs w:val="21"/>
              </w:rPr>
              <w:t>6</w:t>
            </w:r>
            <w:r>
              <w:rPr>
                <w:rFonts w:ascii="宋体" w:eastAsia="宋体" w:hAnsi="宋体" w:cs="宋体" w:hint="eastAsia"/>
                <w:sz w:val="21"/>
                <w:szCs w:val="21"/>
                <w:lang w:eastAsia="zh-CN"/>
              </w:rPr>
              <w:t>.</w:t>
            </w:r>
            <w:r>
              <w:rPr>
                <w:rFonts w:ascii="宋体" w:eastAsia="宋体" w:hAnsi="宋体" w:cs="宋体" w:hint="eastAsia"/>
                <w:sz w:val="21"/>
                <w:szCs w:val="21"/>
              </w:rPr>
              <w:t xml:space="preserve">便携包                       </w:t>
            </w:r>
            <w:r>
              <w:rPr>
                <w:rFonts w:ascii="宋体" w:eastAsia="宋体" w:hAnsi="宋体" w:cs="宋体" w:hint="eastAsia"/>
                <w:sz w:val="21"/>
                <w:szCs w:val="21"/>
                <w:lang w:eastAsia="zh-CN"/>
              </w:rPr>
              <w:t xml:space="preserve">     </w:t>
            </w:r>
            <w:r>
              <w:rPr>
                <w:rFonts w:ascii="宋体" w:eastAsia="宋体" w:hAnsi="宋体" w:cs="宋体" w:hint="eastAsia"/>
                <w:sz w:val="21"/>
                <w:szCs w:val="21"/>
              </w:rPr>
              <w:t xml:space="preserve"> 1个</w:t>
            </w:r>
          </w:p>
          <w:p>
            <w:pPr>
              <w:rPr>
                <w:rFonts w:ascii="宋体" w:eastAsia="宋体" w:hAnsi="宋体" w:cs="宋体" w:hint="eastAsia"/>
                <w:sz w:val="21"/>
                <w:szCs w:val="21"/>
              </w:rPr>
            </w:pPr>
            <w:r>
              <w:rPr>
                <w:rFonts w:ascii="宋体" w:eastAsia="宋体" w:hAnsi="宋体" w:cs="宋体" w:hint="eastAsia"/>
                <w:sz w:val="21"/>
                <w:szCs w:val="21"/>
              </w:rPr>
              <w:t>7</w:t>
            </w:r>
            <w:r>
              <w:rPr>
                <w:rFonts w:ascii="宋体" w:eastAsia="宋体" w:hAnsi="宋体" w:cs="宋体" w:hint="eastAsia"/>
                <w:sz w:val="21"/>
                <w:szCs w:val="21"/>
                <w:lang w:eastAsia="zh-CN"/>
              </w:rPr>
              <w:t>.</w:t>
            </w:r>
            <w:r>
              <w:rPr>
                <w:rFonts w:ascii="宋体" w:eastAsia="宋体" w:hAnsi="宋体" w:cs="宋体" w:hint="eastAsia"/>
                <w:sz w:val="21"/>
                <w:szCs w:val="21"/>
              </w:rPr>
              <w:t xml:space="preserve">心肺复苏数据管理软件          </w:t>
            </w:r>
            <w:r>
              <w:rPr>
                <w:rFonts w:ascii="宋体" w:eastAsia="宋体" w:hAnsi="宋体" w:cs="宋体" w:hint="eastAsia"/>
                <w:sz w:val="21"/>
                <w:szCs w:val="21"/>
                <w:lang w:eastAsia="zh-CN"/>
              </w:rPr>
              <w:t xml:space="preserve">     </w:t>
            </w:r>
            <w:r>
              <w:rPr>
                <w:rFonts w:ascii="宋体" w:eastAsia="宋体" w:hAnsi="宋体" w:cs="宋体" w:hint="eastAsia"/>
                <w:sz w:val="21"/>
                <w:szCs w:val="21"/>
              </w:rPr>
              <w:t>1 张</w:t>
            </w:r>
          </w:p>
          <w:p>
            <w:pPr>
              <w:rPr>
                <w:rFonts w:ascii="宋体" w:eastAsia="宋体" w:hAnsi="宋体" w:cs="宋体" w:hint="eastAsia"/>
                <w:sz w:val="21"/>
                <w:szCs w:val="21"/>
              </w:rPr>
            </w:pPr>
            <w:r>
              <w:rPr>
                <w:rFonts w:ascii="宋体" w:eastAsia="宋体" w:hAnsi="宋体" w:cs="宋体" w:hint="eastAsia"/>
                <w:sz w:val="21"/>
                <w:szCs w:val="21"/>
              </w:rPr>
              <w:t>8</w:t>
            </w:r>
            <w:r>
              <w:rPr>
                <w:rFonts w:ascii="宋体" w:eastAsia="宋体" w:hAnsi="宋体" w:cs="宋体" w:hint="eastAsia"/>
                <w:sz w:val="21"/>
                <w:szCs w:val="21"/>
                <w:lang w:eastAsia="zh-CN"/>
              </w:rPr>
              <w:t>.</w:t>
            </w:r>
            <w:r>
              <w:rPr>
                <w:rFonts w:ascii="宋体" w:eastAsia="宋体" w:hAnsi="宋体" w:cs="宋体" w:hint="eastAsia"/>
                <w:sz w:val="21"/>
                <w:szCs w:val="21"/>
              </w:rPr>
              <w:t xml:space="preserve">数据线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1 份</w:t>
            </w:r>
          </w:p>
          <w:p>
            <w:pPr>
              <w:rPr>
                <w:rFonts w:ascii="宋体" w:eastAsia="宋体" w:hAnsi="宋体" w:cs="宋体" w:hint="eastAsia"/>
                <w:sz w:val="21"/>
                <w:szCs w:val="21"/>
              </w:rPr>
            </w:pPr>
            <w:r>
              <w:rPr>
                <w:rFonts w:ascii="宋体" w:eastAsia="宋体" w:hAnsi="宋体" w:cs="宋体" w:hint="eastAsia"/>
                <w:sz w:val="21"/>
                <w:szCs w:val="21"/>
              </w:rPr>
              <w:t>9</w:t>
            </w:r>
            <w:r>
              <w:rPr>
                <w:rFonts w:ascii="宋体" w:eastAsia="宋体" w:hAnsi="宋体" w:cs="宋体" w:hint="eastAsia"/>
                <w:sz w:val="21"/>
                <w:szCs w:val="21"/>
                <w:lang w:eastAsia="zh-CN"/>
              </w:rPr>
              <w:t>.</w:t>
            </w:r>
            <w:r>
              <w:rPr>
                <w:rFonts w:ascii="宋体" w:eastAsia="宋体" w:hAnsi="宋体" w:cs="宋体" w:hint="eastAsia"/>
                <w:sz w:val="21"/>
                <w:szCs w:val="21"/>
              </w:rPr>
              <w:t xml:space="preserve">使用说明书及快速操作手册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p>
          <w:p>
            <w:pPr>
              <w:rPr>
                <w:rFonts w:ascii="宋体" w:eastAsia="宋体" w:hAnsi="宋体" w:cs="宋体" w:hint="eastAsia"/>
                <w:sz w:val="21"/>
                <w:szCs w:val="21"/>
                <w:lang w:eastAsia="zh-CN"/>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 xml:space="preserve">合格证、产品质保卡、装箱清单 </w:t>
            </w:r>
            <w:r>
              <w:rPr>
                <w:rFonts w:ascii="宋体" w:eastAsia="宋体" w:hAnsi="宋体" w:cs="宋体" w:hint="eastAsia"/>
                <w:sz w:val="21"/>
                <w:szCs w:val="21"/>
                <w:lang w:eastAsia="zh-CN"/>
              </w:rPr>
              <w:t xml:space="preserve">     </w:t>
            </w:r>
            <w:r>
              <w:rPr>
                <w:rFonts w:ascii="宋体" w:eastAsia="宋体" w:hAnsi="宋体" w:cs="宋体" w:hint="eastAsia"/>
                <w:sz w:val="21"/>
                <w:szCs w:val="21"/>
              </w:rPr>
              <w:t>1份</w:t>
            </w:r>
          </w:p>
        </w:tc>
      </w:tr>
      <w:tr>
        <w:tblPrEx>
          <w:tblW w:w="5000" w:type="pct"/>
          <w:tblInd w:w="0" w:type="dxa"/>
          <w:tblLayout w:type="fixed"/>
          <w:tblCellMar>
            <w:top w:w="0" w:type="dxa"/>
            <w:left w:w="108" w:type="dxa"/>
            <w:bottom w:w="0" w:type="dxa"/>
            <w:right w:w="108" w:type="dxa"/>
          </w:tblCellMar>
        </w:tblPrEx>
        <w:trPr>
          <w:trHeight w:val="422"/>
        </w:trPr>
        <w:tc>
          <w:tcPr>
            <w:tcW w:w="737"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2</w:t>
            </w:r>
          </w:p>
        </w:tc>
        <w:tc>
          <w:tcPr>
            <w:tcW w:w="2223"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69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4958"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1.主机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2.测听耳机</w:t>
            </w:r>
            <w:r>
              <w:rPr>
                <w:rFonts w:ascii="宋体" w:eastAsia="宋体" w:hAnsi="宋体" w:cs="宋体" w:hint="eastAsia"/>
                <w:sz w:val="21"/>
                <w:szCs w:val="21"/>
                <w:lang w:eastAsia="zh-CN"/>
              </w:rPr>
              <w:tab/>
            </w:r>
            <w:r>
              <w:rPr>
                <w:rFonts w:ascii="宋体" w:eastAsia="宋体" w:hAnsi="宋体" w:cs="宋体" w:hint="eastAsia"/>
                <w:sz w:val="21"/>
                <w:szCs w:val="21"/>
                <w:lang w:eastAsia="zh-CN"/>
              </w:rPr>
              <w:t>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3.骨导耳机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4.患者应答器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5.电源线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6.操作手册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7.手提包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8.合格证　　　</w:t>
            </w:r>
            <w:r>
              <w:rPr>
                <w:rFonts w:ascii="宋体" w:eastAsia="宋体" w:hAnsi="宋体" w:cs="宋体" w:hint="eastAsia"/>
                <w:sz w:val="21"/>
                <w:szCs w:val="21"/>
                <w:lang w:eastAsia="zh-CN"/>
              </w:rPr>
              <w:tab/>
            </w:r>
            <w:r>
              <w:rPr>
                <w:rFonts w:ascii="宋体" w:eastAsia="宋体" w:hAnsi="宋体" w:cs="宋体" w:hint="eastAsia"/>
                <w:sz w:val="21"/>
                <w:szCs w:val="21"/>
                <w:lang w:eastAsia="zh-CN"/>
              </w:rPr>
              <w:t xml:space="preserve">                1本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0" w:leftChars="0"/>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9.图文影像设备　　                   1台</w:t>
            </w:r>
          </w:p>
        </w:tc>
      </w:tr>
      <w:tr>
        <w:tblPrEx>
          <w:tblW w:w="5000" w:type="pct"/>
          <w:tblInd w:w="0" w:type="dxa"/>
          <w:tblLayout w:type="fixed"/>
          <w:tblCellMar>
            <w:top w:w="0" w:type="dxa"/>
            <w:left w:w="108" w:type="dxa"/>
            <w:bottom w:w="0" w:type="dxa"/>
            <w:right w:w="108" w:type="dxa"/>
          </w:tblCellMar>
        </w:tblPrEx>
        <w:trPr>
          <w:trHeight w:val="90"/>
        </w:trPr>
        <w:tc>
          <w:tcPr>
            <w:tcW w:w="737"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3</w:t>
            </w:r>
          </w:p>
        </w:tc>
        <w:tc>
          <w:tcPr>
            <w:tcW w:w="2223"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690"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bidi="ar"/>
              </w:rPr>
              <w:t>1</w:t>
            </w:r>
          </w:p>
        </w:tc>
        <w:tc>
          <w:tcPr>
            <w:tcW w:w="747" w:type="dxa"/>
            <w:vAlign w:val="center"/>
          </w:tcPr>
          <w:p>
            <w:pPr>
              <w:keepNext w:val="0"/>
              <w:keepLines w:val="0"/>
              <w:widowControl/>
              <w:suppressLineNumbers w:val="0"/>
              <w:jc w:val="center"/>
              <w:textAlignment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套</w:t>
            </w:r>
          </w:p>
        </w:tc>
        <w:tc>
          <w:tcPr>
            <w:tcW w:w="4958" w:type="dxa"/>
          </w:tcPr>
          <w:p>
            <w:pPr>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主机         　　　　</w:t>
            </w:r>
            <w:r>
              <w:rPr>
                <w:rFonts w:ascii="宋体" w:eastAsia="宋体" w:hAnsi="宋体" w:cs="宋体" w:hint="eastAsia"/>
                <w:sz w:val="21"/>
                <w:szCs w:val="21"/>
                <w:lang w:eastAsia="zh-CN"/>
              </w:rPr>
              <w:t xml:space="preserve">              </w:t>
            </w:r>
            <w:r>
              <w:rPr>
                <w:rFonts w:ascii="宋体" w:eastAsia="宋体" w:hAnsi="宋体" w:cs="宋体" w:hint="eastAsia"/>
                <w:sz w:val="21"/>
                <w:szCs w:val="21"/>
              </w:rPr>
              <w:t>1台</w:t>
            </w:r>
          </w:p>
          <w:p>
            <w:pPr>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测压模块　　　　　　</w:t>
            </w:r>
            <w:r>
              <w:rPr>
                <w:rFonts w:ascii="宋体" w:eastAsia="宋体" w:hAnsi="宋体" w:cs="宋体" w:hint="eastAsia"/>
                <w:sz w:val="21"/>
                <w:szCs w:val="21"/>
                <w:lang w:eastAsia="zh-CN"/>
              </w:rPr>
              <w:t xml:space="preserve">               </w:t>
            </w:r>
            <w:r>
              <w:rPr>
                <w:rFonts w:ascii="宋体" w:eastAsia="宋体" w:hAnsi="宋体" w:cs="宋体" w:hint="eastAsia"/>
                <w:sz w:val="21"/>
                <w:szCs w:val="21"/>
              </w:rPr>
              <w:t>1个　　</w:t>
            </w:r>
          </w:p>
          <w:p>
            <w:pPr>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rPr>
              <w:t>灌注管道</w:t>
            </w:r>
            <w:r>
              <w:rPr>
                <w:rFonts w:ascii="宋体" w:eastAsia="宋体" w:hAnsi="宋体" w:cs="宋体" w:hint="eastAsia"/>
                <w:sz w:val="21"/>
                <w:szCs w:val="21"/>
                <w:lang w:eastAsia="zh-CN"/>
              </w:rPr>
              <w:t>（含</w:t>
            </w:r>
            <w:r>
              <w:rPr>
                <w:rFonts w:ascii="宋体" w:eastAsia="宋体" w:hAnsi="宋体" w:cs="宋体" w:hint="eastAsia"/>
                <w:sz w:val="21"/>
                <w:szCs w:val="21"/>
              </w:rPr>
              <w:t>接头</w:t>
            </w:r>
            <w:r>
              <w:rPr>
                <w:rFonts w:ascii="宋体" w:eastAsia="宋体" w:hAnsi="宋体" w:cs="宋体" w:hint="eastAsia"/>
                <w:sz w:val="21"/>
                <w:szCs w:val="21"/>
                <w:lang w:eastAsia="zh-CN"/>
              </w:rPr>
              <w:t>）</w:t>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吸引管道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5.</w:t>
            </w:r>
            <w:r>
              <w:rPr>
                <w:rFonts w:ascii="宋体" w:eastAsia="宋体" w:hAnsi="宋体" w:cs="宋体" w:hint="eastAsia"/>
                <w:sz w:val="21"/>
                <w:szCs w:val="21"/>
              </w:rPr>
              <w:t>收集器　　　　　　　</w:t>
            </w:r>
            <w:r>
              <w:rPr>
                <w:rFonts w:ascii="宋体" w:eastAsia="宋体" w:hAnsi="宋体" w:cs="宋体" w:hint="eastAsia"/>
                <w:sz w:val="21"/>
                <w:szCs w:val="21"/>
                <w:lang w:eastAsia="zh-CN"/>
              </w:rPr>
              <w:t xml:space="preserve">               </w:t>
            </w:r>
            <w:r>
              <w:rPr>
                <w:rFonts w:ascii="宋体" w:eastAsia="宋体" w:hAnsi="宋体" w:cs="宋体" w:hint="eastAsia"/>
                <w:sz w:val="21"/>
                <w:szCs w:val="21"/>
              </w:rPr>
              <w:t>2个</w:t>
            </w:r>
          </w:p>
          <w:p>
            <w:pPr>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液体挂篮</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1个</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负压调节管道</w:t>
            </w:r>
            <w:r>
              <w:rPr>
                <w:rFonts w:ascii="宋体" w:eastAsia="宋体" w:hAnsi="宋体" w:cs="宋体" w:hint="eastAsia"/>
                <w:sz w:val="21"/>
                <w:szCs w:val="21"/>
                <w:lang w:eastAsia="zh-CN"/>
              </w:rPr>
              <w:t>1</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负压调节管道2+生物过滤器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中间管道</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3套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蠕动泵管+双通头　　　　　　</w:t>
            </w:r>
            <w:r>
              <w:rPr>
                <w:rFonts w:ascii="宋体" w:eastAsia="宋体" w:hAnsi="宋体" w:cs="宋体" w:hint="eastAsia"/>
                <w:sz w:val="21"/>
                <w:szCs w:val="21"/>
                <w:lang w:eastAsia="zh-CN"/>
              </w:rPr>
              <w:t xml:space="preserve">       </w:t>
            </w:r>
            <w:r>
              <w:rPr>
                <w:rFonts w:ascii="宋体" w:eastAsia="宋体" w:hAnsi="宋体" w:cs="宋体" w:hint="eastAsia"/>
                <w:sz w:val="21"/>
                <w:szCs w:val="21"/>
              </w:rPr>
              <w:t>3条</w:t>
            </w:r>
          </w:p>
          <w:p>
            <w:pPr>
              <w:rPr>
                <w:rFonts w:ascii="宋体" w:eastAsia="宋体" w:hAnsi="宋体" w:cs="宋体" w:hint="eastAsia"/>
                <w:sz w:val="21"/>
                <w:szCs w:val="21"/>
              </w:rPr>
            </w:pPr>
            <w:r>
              <w:rPr>
                <w:rFonts w:ascii="宋体" w:eastAsia="宋体" w:hAnsi="宋体" w:cs="宋体" w:hint="eastAsia"/>
                <w:sz w:val="21"/>
                <w:szCs w:val="21"/>
                <w:lang w:eastAsia="zh-CN"/>
              </w:rPr>
              <w:t>11.</w:t>
            </w:r>
            <w:r>
              <w:rPr>
                <w:rFonts w:ascii="宋体" w:eastAsia="宋体" w:hAnsi="宋体" w:cs="宋体" w:hint="eastAsia"/>
                <w:sz w:val="21"/>
                <w:szCs w:val="21"/>
              </w:rPr>
              <w:t>电源线　　　　　　　　　　</w:t>
            </w:r>
            <w:r>
              <w:rPr>
                <w:rFonts w:ascii="宋体" w:eastAsia="宋体" w:hAnsi="宋体" w:cs="宋体" w:hint="eastAsia"/>
                <w:sz w:val="21"/>
                <w:szCs w:val="21"/>
                <w:lang w:eastAsia="zh-CN"/>
              </w:rPr>
              <w:t xml:space="preserve">      </w:t>
            </w:r>
            <w:r>
              <w:rPr>
                <w:rFonts w:ascii="宋体" w:eastAsia="宋体" w:hAnsi="宋体" w:cs="宋体" w:hint="eastAsia"/>
                <w:sz w:val="21"/>
                <w:szCs w:val="21"/>
              </w:rPr>
              <w:t>　1条</w:t>
            </w:r>
          </w:p>
          <w:p>
            <w:pPr>
              <w:rPr>
                <w:rFonts w:ascii="宋体" w:eastAsia="宋体" w:hAnsi="宋体" w:cs="宋体" w:hint="eastAsia"/>
                <w:sz w:val="21"/>
                <w:szCs w:val="21"/>
              </w:rPr>
            </w:pPr>
            <w:r>
              <w:rPr>
                <w:rFonts w:ascii="宋体" w:eastAsia="宋体" w:hAnsi="宋体" w:cs="宋体" w:hint="eastAsia"/>
                <w:sz w:val="21"/>
                <w:szCs w:val="21"/>
                <w:lang w:eastAsia="zh-CN"/>
              </w:rPr>
              <w:t>12.</w:t>
            </w:r>
            <w:r>
              <w:rPr>
                <w:rFonts w:ascii="宋体" w:eastAsia="宋体" w:hAnsi="宋体" w:cs="宋体" w:hint="eastAsia"/>
                <w:sz w:val="21"/>
                <w:szCs w:val="21"/>
              </w:rPr>
              <w:t>台  车</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1套</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13.</w:t>
            </w:r>
            <w:r>
              <w:rPr>
                <w:rFonts w:ascii="宋体" w:eastAsia="宋体" w:hAnsi="宋体" w:cs="宋体" w:hint="eastAsia"/>
                <w:sz w:val="21"/>
                <w:szCs w:val="21"/>
              </w:rPr>
              <w:t>产品说明书</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1本</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14.</w:t>
            </w:r>
            <w:r>
              <w:rPr>
                <w:rFonts w:ascii="宋体" w:eastAsia="宋体" w:hAnsi="宋体" w:cs="宋体" w:hint="eastAsia"/>
                <w:sz w:val="21"/>
                <w:szCs w:val="21"/>
              </w:rPr>
              <w:t>产品合格证　　　　　　　　　</w:t>
            </w:r>
            <w:r>
              <w:rPr>
                <w:rFonts w:ascii="宋体" w:eastAsia="宋体" w:hAnsi="宋体" w:cs="宋体" w:hint="eastAsia"/>
                <w:sz w:val="21"/>
                <w:szCs w:val="21"/>
                <w:lang w:eastAsia="zh-CN"/>
              </w:rPr>
              <w:t xml:space="preserve">      </w:t>
            </w:r>
            <w:r>
              <w:rPr>
                <w:rFonts w:ascii="宋体" w:eastAsia="宋体" w:hAnsi="宋体" w:cs="宋体" w:hint="eastAsia"/>
                <w:sz w:val="21"/>
                <w:szCs w:val="21"/>
              </w:rPr>
              <w:t>1张</w:t>
            </w:r>
            <w:r>
              <w:rPr>
                <w:rFonts w:ascii="宋体" w:eastAsia="宋体" w:hAnsi="宋体" w:cs="宋体" w:hint="eastAsia"/>
                <w:sz w:val="21"/>
                <w:szCs w:val="21"/>
              </w:rPr>
              <w:tab/>
            </w:r>
          </w:p>
          <w:p>
            <w:pPr>
              <w:rPr>
                <w:rFonts w:ascii="宋体" w:eastAsia="宋体" w:hAnsi="宋体" w:cs="宋体" w:hint="eastAsia"/>
                <w:sz w:val="21"/>
                <w:szCs w:val="21"/>
              </w:rPr>
            </w:pPr>
            <w:r>
              <w:rPr>
                <w:rFonts w:ascii="宋体" w:eastAsia="宋体" w:hAnsi="宋体" w:cs="宋体" w:hint="eastAsia"/>
                <w:sz w:val="21"/>
                <w:szCs w:val="21"/>
                <w:lang w:eastAsia="zh-CN"/>
              </w:rPr>
              <w:t>15.</w:t>
            </w:r>
            <w:r>
              <w:rPr>
                <w:rFonts w:ascii="宋体" w:eastAsia="宋体" w:hAnsi="宋体" w:cs="宋体" w:hint="eastAsia"/>
                <w:sz w:val="21"/>
                <w:szCs w:val="21"/>
              </w:rPr>
              <w:t>保修卡</w:t>
            </w:r>
            <w:r>
              <w:rPr>
                <w:rFonts w:ascii="宋体" w:eastAsia="宋体" w:hAnsi="宋体" w:cs="宋体" w:hint="eastAsia"/>
                <w:sz w:val="21"/>
                <w:szCs w:val="21"/>
              </w:rPr>
              <w:tab/>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1张</w:t>
            </w:r>
            <w:r>
              <w:rPr>
                <w:rFonts w:ascii="宋体" w:eastAsia="宋体" w:hAnsi="宋体" w:cs="宋体" w:hint="eastAsia"/>
                <w:sz w:val="21"/>
                <w:szCs w:val="21"/>
              </w:rPr>
              <w:tab/>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16.</w:t>
            </w:r>
            <w:r>
              <w:rPr>
                <w:rFonts w:ascii="宋体" w:eastAsia="宋体" w:hAnsi="宋体" w:cs="宋体" w:hint="eastAsia"/>
                <w:sz w:val="21"/>
                <w:szCs w:val="21"/>
              </w:rPr>
              <w:t>出厂检验报告　　　　　　　</w:t>
            </w:r>
            <w:r>
              <w:rPr>
                <w:rFonts w:ascii="宋体" w:eastAsia="宋体" w:hAnsi="宋体" w:cs="宋体" w:hint="eastAsia"/>
                <w:sz w:val="21"/>
                <w:szCs w:val="21"/>
                <w:lang w:eastAsia="zh-CN"/>
              </w:rPr>
              <w:t xml:space="preserve"> </w:t>
            </w:r>
            <w:r>
              <w:rPr>
                <w:rFonts w:ascii="宋体" w:eastAsia="宋体" w:hAnsi="宋体" w:cs="宋体" w:hint="eastAsia"/>
                <w:sz w:val="21"/>
                <w:szCs w:val="21"/>
              </w:rPr>
              <w:t>　</w:t>
            </w:r>
            <w:r>
              <w:rPr>
                <w:rFonts w:ascii="宋体" w:eastAsia="宋体" w:hAnsi="宋体" w:cs="宋体" w:hint="eastAsia"/>
                <w:sz w:val="21"/>
                <w:szCs w:val="21"/>
                <w:lang w:eastAsia="zh-CN"/>
              </w:rPr>
              <w:t xml:space="preserve">     </w:t>
            </w:r>
            <w:r>
              <w:rPr>
                <w:rFonts w:ascii="宋体" w:eastAsia="宋体" w:hAnsi="宋体" w:cs="宋体" w:hint="eastAsia"/>
                <w:sz w:val="21"/>
                <w:szCs w:val="21"/>
              </w:rPr>
              <w:t>1份</w:t>
            </w:r>
            <w:r>
              <w:rPr>
                <w:rFonts w:ascii="宋体" w:eastAsia="宋体" w:hAnsi="宋体" w:cs="宋体" w:hint="eastAsia"/>
                <w:sz w:val="21"/>
                <w:szCs w:val="21"/>
              </w:rPr>
              <w:tab/>
            </w:r>
          </w:p>
        </w:tc>
      </w:tr>
    </w:tbl>
    <w:p>
      <w:pPr>
        <w:spacing w:before="120" w:after="120" w:line="360" w:lineRule="auto"/>
        <w:jc w:val="left"/>
        <w:rPr>
          <w:rFonts w:ascii="宋体" w:eastAsia="宋体" w:hAnsi="宋体" w:cs="宋体" w:hint="eastAsia"/>
          <w:b/>
          <w:bCs/>
          <w:caps/>
          <w:sz w:val="21"/>
          <w:szCs w:val="21"/>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6"/>
        <w:gridCol w:w="791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952"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798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54"/>
          <w:jc w:val="center"/>
        </w:trPr>
        <w:tc>
          <w:tcPr>
            <w:tcW w:w="952"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7980"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spacing w:line="360" w:lineRule="auto"/>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四、技术要求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1、评分时，如对一项（小项）招标技术要求中的内容存在两处（或以上）负偏离的，在评分时只作一项负偏离扣分。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9"/>
        <w:gridCol w:w="1902"/>
        <w:gridCol w:w="6255"/>
      </w:tblGrid>
      <w:tr>
        <w:tblPrEx>
          <w:tblW w:w="5000"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blHeader/>
        </w:trPr>
        <w:tc>
          <w:tcPr>
            <w:tcW w:w="750"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085" w:type="dxa"/>
            <w:vAlign w:val="center"/>
          </w:tcPr>
          <w:p>
            <w:pPr>
              <w:widowControl/>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918"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2085" w:type="dxa"/>
            <w:vAlign w:val="center"/>
          </w:tcPr>
          <w:p>
            <w:pPr>
              <w:keepNext w:val="0"/>
              <w:keepLines w:val="0"/>
              <w:widowControl/>
              <w:suppressLineNumbers w:val="0"/>
              <w:jc w:val="center"/>
              <w:textAlignment w:val="center"/>
              <w:rPr>
                <w:rFonts w:ascii="宋体" w:eastAsia="宋体" w:hAnsi="宋体" w:cs="宋体" w:hint="eastAsia"/>
                <w:bCs/>
                <w:kern w:val="2"/>
                <w:sz w:val="21"/>
                <w:szCs w:val="21"/>
                <w:highlight w:val="yellow"/>
                <w:lang w:eastAsia="zh-CN"/>
              </w:rPr>
            </w:pPr>
            <w:r>
              <w:rPr>
                <w:rFonts w:ascii="宋体" w:eastAsia="宋体" w:hAnsi="宋体" w:cs="宋体" w:hint="eastAsia"/>
                <w:color w:val="000000"/>
                <w:sz w:val="21"/>
                <w:szCs w:val="21"/>
                <w:lang w:eastAsia="zh-CN" w:bidi="ar"/>
              </w:rPr>
              <w:t>3D 按压电动心肺复苏机</w:t>
            </w:r>
          </w:p>
        </w:tc>
        <w:tc>
          <w:tcPr>
            <w:tcW w:w="6918" w:type="dxa"/>
            <w:vAlign w:val="center"/>
          </w:tcPr>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1.便携式电动胸腔按压机，适合院内</w:t>
            </w:r>
            <w:r>
              <w:rPr>
                <w:rFonts w:ascii="宋体" w:eastAsia="宋体" w:hAnsi="宋体" w:cs="宋体" w:hint="eastAsia"/>
                <w:sz w:val="21"/>
                <w:szCs w:val="21"/>
                <w:lang w:eastAsia="zh-CN"/>
              </w:rPr>
              <w:t>、</w:t>
            </w:r>
            <w:r>
              <w:rPr>
                <w:rFonts w:ascii="宋体" w:eastAsia="宋体" w:hAnsi="宋体" w:cs="宋体" w:hint="eastAsia"/>
                <w:sz w:val="21"/>
                <w:szCs w:val="21"/>
              </w:rPr>
              <w:t>院外心肺复苏急救</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.按压频率：在100</w:t>
            </w:r>
            <w:r>
              <w:rPr>
                <w:rFonts w:ascii="宋体" w:eastAsia="宋体" w:hAnsi="宋体" w:cs="宋体" w:hint="eastAsia"/>
                <w:sz w:val="21"/>
                <w:szCs w:val="21"/>
                <w:lang w:eastAsia="zh-CN"/>
              </w:rPr>
              <w:t>-</w:t>
            </w:r>
            <w:r>
              <w:rPr>
                <w:rFonts w:ascii="宋体" w:eastAsia="宋体" w:hAnsi="宋体" w:cs="宋体" w:hint="eastAsia"/>
                <w:sz w:val="21"/>
                <w:szCs w:val="21"/>
              </w:rPr>
              <w:t>120次/分钟范围内可调，可调档次：≥3档</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rPr>
              <w:t>.按压深度在35</w:t>
            </w:r>
            <w:r>
              <w:rPr>
                <w:rFonts w:ascii="宋体" w:eastAsia="宋体" w:hAnsi="宋体" w:cs="宋体" w:hint="eastAsia"/>
                <w:sz w:val="21"/>
                <w:szCs w:val="21"/>
                <w:lang w:eastAsia="zh-CN"/>
              </w:rPr>
              <w:t>-</w:t>
            </w:r>
            <w:r>
              <w:rPr>
                <w:rFonts w:ascii="宋体" w:eastAsia="宋体" w:hAnsi="宋体" w:cs="宋体" w:hint="eastAsia"/>
                <w:sz w:val="21"/>
                <w:szCs w:val="21"/>
              </w:rPr>
              <w:t xml:space="preserve"> 60mm范围内可调，可调档次：≥3档</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rPr>
              <w:t>.实际按压深度与设置按压深度的误差：≤2mm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.最大工作倾斜度：≥45°；工作状态下，主机倾斜度不大于最大工作倾斜度时，仍应能够正常工作，按压头按压位置无明显改变</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.按压模式：</w:t>
            </w:r>
            <w:r>
              <w:rPr>
                <w:rFonts w:ascii="宋体" w:eastAsia="宋体" w:hAnsi="宋体" w:cs="宋体" w:hint="eastAsia"/>
                <w:sz w:val="21"/>
                <w:szCs w:val="21"/>
                <w:lang w:eastAsia="zh-CN"/>
              </w:rPr>
              <w:t>至少包括</w:t>
            </w:r>
            <w:r>
              <w:rPr>
                <w:rFonts w:ascii="宋体" w:eastAsia="宋体" w:hAnsi="宋体" w:cs="宋体" w:hint="eastAsia"/>
                <w:sz w:val="21"/>
                <w:szCs w:val="21"/>
              </w:rPr>
              <w:t>连续模式和30:2模式</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.具有报警指示灯，具有蓝牙和WIFI连接状态指示灯</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.电池最大运行时间：可以连续运行的时间≥60分钟</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rPr>
              <w:t>.数据传输：</w:t>
            </w:r>
            <w:r>
              <w:rPr>
                <w:rFonts w:ascii="宋体" w:eastAsia="宋体" w:hAnsi="宋体" w:cs="宋体" w:hint="eastAsia"/>
                <w:sz w:val="21"/>
                <w:szCs w:val="21"/>
                <w:lang w:eastAsia="zh-CN"/>
              </w:rPr>
              <w:t>具备</w:t>
            </w:r>
            <w:r>
              <w:rPr>
                <w:rFonts w:ascii="宋体" w:eastAsia="宋体" w:hAnsi="宋体" w:cs="宋体" w:hint="eastAsia"/>
                <w:sz w:val="21"/>
                <w:szCs w:val="21"/>
              </w:rPr>
              <w:t>数据线、蓝牙和WiFi</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0</w:t>
            </w:r>
            <w:r>
              <w:rPr>
                <w:rFonts w:ascii="宋体" w:eastAsia="宋体" w:hAnsi="宋体" w:cs="宋体" w:hint="eastAsia"/>
                <w:sz w:val="21"/>
                <w:szCs w:val="21"/>
              </w:rPr>
              <w:t>.主机高度≤18.5cm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.主机两侧绷带挂钩离主机底座高度：≥35mm</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sz w:val="21"/>
                <w:szCs w:val="21"/>
              </w:rPr>
              <w:t>最高工作相对湿度：≥93%，无冷凝</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13.</w:t>
            </w:r>
            <w:r>
              <w:rPr>
                <w:rFonts w:ascii="宋体" w:eastAsia="宋体" w:hAnsi="宋体" w:cs="宋体" w:hint="eastAsia"/>
                <w:sz w:val="21"/>
                <w:szCs w:val="21"/>
              </w:rPr>
              <w:t>防护程度分类：≥IP33</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14.</w:t>
            </w:r>
            <w:r>
              <w:rPr>
                <w:rFonts w:ascii="宋体" w:eastAsia="宋体" w:hAnsi="宋体" w:cs="宋体" w:hint="eastAsia"/>
                <w:sz w:val="21"/>
                <w:szCs w:val="21"/>
              </w:rPr>
              <w:t>最低存储温度：≤-40℃，最高存储温度：≥ 70℃</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15.</w:t>
            </w:r>
            <w:r>
              <w:rPr>
                <w:rFonts w:ascii="宋体" w:eastAsia="宋体" w:hAnsi="宋体" w:cs="宋体" w:hint="eastAsia"/>
                <w:sz w:val="21"/>
                <w:szCs w:val="21"/>
              </w:rPr>
              <w:t>防电击的程度分类：CF型，应用部分可与患者心脏直接接触的使用</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6.</w:t>
            </w:r>
            <w:r>
              <w:rPr>
                <w:rFonts w:ascii="宋体" w:eastAsia="宋体" w:hAnsi="宋体" w:cs="宋体" w:hint="eastAsia"/>
                <w:sz w:val="21"/>
                <w:szCs w:val="21"/>
              </w:rPr>
              <w:t>最低工作温度：≤-10℃，最高工作温度：≥+45℃</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highlight w:val="yellow"/>
                <w:lang w:eastAsia="zh-CN"/>
              </w:rPr>
            </w:pPr>
            <w:r>
              <w:rPr>
                <w:rFonts w:ascii="宋体" w:eastAsia="宋体" w:hAnsi="宋体" w:cs="宋体" w:hint="eastAsia"/>
                <w:sz w:val="21"/>
                <w:szCs w:val="21"/>
                <w:lang w:eastAsia="zh-CN"/>
              </w:rPr>
              <w:t>17</w:t>
            </w:r>
            <w:r>
              <w:rPr>
                <w:rFonts w:ascii="宋体" w:eastAsia="宋体" w:hAnsi="宋体" w:cs="宋体" w:hint="eastAsia"/>
                <w:sz w:val="21"/>
                <w:szCs w:val="21"/>
              </w:rPr>
              <w:t>.按压技术：3D按压，主机两侧绷带挂钩宽度：≤185mm。</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2</w:t>
            </w:r>
          </w:p>
        </w:tc>
        <w:tc>
          <w:tcPr>
            <w:tcW w:w="2085"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医用纯音测听仪</w:t>
            </w:r>
          </w:p>
        </w:tc>
        <w:tc>
          <w:tcPr>
            <w:tcW w:w="6918" w:type="dxa"/>
            <w:vAlign w:val="center"/>
          </w:tcPr>
          <w:p>
            <w:pPr>
              <w:spacing w:line="400" w:lineRule="exac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一、设备参数</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lang w:eastAsia="zh-CN"/>
              </w:rPr>
              <w:t>（一）</w:t>
            </w:r>
            <w:r>
              <w:rPr>
                <w:rFonts w:ascii="宋体" w:eastAsia="宋体" w:hAnsi="宋体" w:cs="宋体" w:hint="eastAsia"/>
                <w:b/>
                <w:bCs/>
                <w:sz w:val="21"/>
                <w:szCs w:val="21"/>
              </w:rPr>
              <w:t>整体外观硬件</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1.1</w:t>
            </w:r>
            <w:r>
              <w:rPr>
                <w:rFonts w:ascii="宋体" w:eastAsia="宋体" w:hAnsi="宋体" w:cs="宋体" w:hint="eastAsia"/>
                <w:sz w:val="21"/>
                <w:szCs w:val="21"/>
                <w:lang w:eastAsia="zh-CN"/>
              </w:rPr>
              <w:t>.</w:t>
            </w:r>
            <w:r>
              <w:rPr>
                <w:rFonts w:ascii="宋体" w:eastAsia="宋体" w:hAnsi="宋体" w:cs="宋体" w:hint="eastAsia"/>
                <w:sz w:val="21"/>
                <w:szCs w:val="21"/>
              </w:rPr>
              <w:t>尺寸 (宽*深*高)</w:t>
            </w:r>
            <w:r>
              <w:rPr>
                <w:rFonts w:ascii="宋体" w:eastAsia="宋体" w:hAnsi="宋体" w:cs="宋体" w:hint="eastAsia"/>
                <w:sz w:val="21"/>
                <w:szCs w:val="21"/>
              </w:rPr>
              <w:tab/>
            </w:r>
            <w:r>
              <w:rPr>
                <w:rFonts w:ascii="宋体" w:eastAsia="宋体" w:hAnsi="宋体" w:cs="宋体" w:hint="eastAsia"/>
                <w:sz w:val="21"/>
                <w:szCs w:val="21"/>
              </w:rPr>
              <w:t>11 x 28 x 36 cm / 4.3 x 11 x 14 inches±</w:t>
            </w:r>
            <w:r>
              <w:rPr>
                <w:rFonts w:ascii="宋体" w:eastAsia="宋体" w:hAnsi="宋体" w:cs="宋体" w:hint="eastAsia"/>
                <w:sz w:val="21"/>
                <w:szCs w:val="21"/>
                <w:lang w:eastAsia="zh-CN"/>
              </w:rPr>
              <w:t>10%</w:t>
            </w:r>
          </w:p>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2.</w:t>
            </w:r>
            <w:r>
              <w:rPr>
                <w:rFonts w:ascii="宋体" w:eastAsia="宋体" w:hAnsi="宋体" w:cs="宋体" w:hint="eastAsia"/>
                <w:sz w:val="21"/>
                <w:szCs w:val="21"/>
              </w:rPr>
              <w:t>展示屏≧5英寸LED彩色屏</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lang w:eastAsia="zh-CN"/>
              </w:rPr>
              <w:t>（二）</w:t>
            </w:r>
            <w:r>
              <w:rPr>
                <w:rFonts w:ascii="宋体" w:eastAsia="宋体" w:hAnsi="宋体" w:cs="宋体" w:hint="eastAsia"/>
                <w:b/>
                <w:bCs/>
                <w:sz w:val="21"/>
                <w:szCs w:val="21"/>
              </w:rPr>
              <w:t>、听力计</w:t>
            </w:r>
          </w:p>
          <w:p>
            <w:pPr>
              <w:widowControl/>
              <w:jc w:val="left"/>
              <w:rPr>
                <w:rFonts w:ascii="宋体" w:eastAsia="宋体" w:hAnsi="宋体" w:cs="宋体" w:hint="eastAsia"/>
                <w:sz w:val="21"/>
                <w:szCs w:val="21"/>
              </w:rPr>
            </w:pPr>
            <w:r>
              <w:rPr>
                <w:rFonts w:ascii="宋体" w:eastAsia="宋体" w:hAnsi="宋体" w:cs="宋体" w:hint="eastAsia"/>
                <w:sz w:val="21"/>
                <w:szCs w:val="21"/>
              </w:rPr>
              <w:t>2.1</w:t>
            </w:r>
            <w:r>
              <w:rPr>
                <w:rFonts w:ascii="宋体" w:eastAsia="宋体" w:hAnsi="宋体" w:cs="宋体" w:hint="eastAsia"/>
                <w:sz w:val="21"/>
                <w:szCs w:val="21"/>
                <w:lang w:eastAsia="zh-CN"/>
              </w:rPr>
              <w:t>.</w:t>
            </w:r>
            <w:r>
              <w:rPr>
                <w:rFonts w:ascii="宋体" w:eastAsia="宋体" w:hAnsi="宋体" w:cs="宋体" w:hint="eastAsia"/>
                <w:sz w:val="21"/>
                <w:szCs w:val="21"/>
              </w:rPr>
              <w:t xml:space="preserve">听力计类型：Type 2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2.2</w:t>
            </w:r>
            <w:r>
              <w:rPr>
                <w:rFonts w:ascii="宋体" w:eastAsia="宋体" w:hAnsi="宋体" w:cs="宋体" w:hint="eastAsia"/>
                <w:sz w:val="21"/>
                <w:szCs w:val="21"/>
                <w:lang w:eastAsia="zh-CN"/>
              </w:rPr>
              <w:t>.</w:t>
            </w:r>
            <w:r>
              <w:rPr>
                <w:rFonts w:ascii="宋体" w:eastAsia="宋体" w:hAnsi="宋体" w:cs="宋体" w:hint="eastAsia"/>
                <w:sz w:val="21"/>
                <w:szCs w:val="21"/>
              </w:rPr>
              <w:t>刺激声类型：</w:t>
            </w:r>
            <w:r>
              <w:rPr>
                <w:rFonts w:ascii="宋体" w:eastAsia="宋体" w:hAnsi="宋体" w:cs="宋体" w:hint="eastAsia"/>
                <w:sz w:val="21"/>
                <w:szCs w:val="21"/>
                <w:lang w:eastAsia="zh-CN"/>
              </w:rPr>
              <w:t>包括</w:t>
            </w:r>
            <w:r>
              <w:rPr>
                <w:rFonts w:ascii="宋体" w:eastAsia="宋体" w:hAnsi="宋体" w:cs="宋体" w:hint="eastAsia"/>
                <w:sz w:val="21"/>
                <w:szCs w:val="21"/>
              </w:rPr>
              <w:t>纯音、啭音、脉冲音、双通道CD输入、双通道麦克风输入、音频文件 (内含中文单音节、双音节词汇及句子词表)、真实言语</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2.3</w:t>
            </w:r>
            <w:r>
              <w:rPr>
                <w:rFonts w:ascii="宋体" w:eastAsia="宋体" w:hAnsi="宋体" w:cs="宋体" w:hint="eastAsia"/>
                <w:sz w:val="21"/>
                <w:szCs w:val="21"/>
                <w:lang w:eastAsia="zh-CN"/>
              </w:rPr>
              <w:t>.</w:t>
            </w:r>
            <w:r>
              <w:rPr>
                <w:rFonts w:ascii="宋体" w:eastAsia="宋体" w:hAnsi="宋体" w:cs="宋体" w:hint="eastAsia"/>
                <w:sz w:val="21"/>
                <w:szCs w:val="21"/>
              </w:rPr>
              <w:t>掩蔽声类型：</w:t>
            </w:r>
            <w:r>
              <w:rPr>
                <w:rFonts w:ascii="宋体" w:eastAsia="宋体" w:hAnsi="宋体" w:cs="宋体" w:hint="eastAsia"/>
                <w:sz w:val="21"/>
                <w:szCs w:val="21"/>
                <w:lang w:eastAsia="zh-CN"/>
              </w:rPr>
              <w:t>包括</w:t>
            </w:r>
            <w:r>
              <w:rPr>
                <w:rFonts w:ascii="宋体" w:eastAsia="宋体" w:hAnsi="宋体" w:cs="宋体" w:hint="eastAsia"/>
                <w:sz w:val="21"/>
                <w:szCs w:val="21"/>
              </w:rPr>
              <w:t>窄带噪声、白噪声、言语噪声</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rPr>
              <w:t>▲2.4</w:t>
            </w:r>
            <w:r>
              <w:rPr>
                <w:rFonts w:ascii="宋体" w:eastAsia="宋体" w:hAnsi="宋体" w:cs="宋体" w:hint="eastAsia"/>
                <w:sz w:val="21"/>
                <w:szCs w:val="21"/>
                <w:lang w:eastAsia="zh-CN"/>
              </w:rPr>
              <w:t>.</w:t>
            </w:r>
            <w:r>
              <w:rPr>
                <w:rFonts w:ascii="宋体" w:eastAsia="宋体" w:hAnsi="宋体" w:cs="宋体" w:hint="eastAsia"/>
                <w:sz w:val="21"/>
                <w:szCs w:val="21"/>
              </w:rPr>
              <w:t>频率范围：125-8000Hz</w:t>
            </w:r>
          </w:p>
          <w:p>
            <w:pPr>
              <w:widowControl/>
              <w:jc w:val="left"/>
              <w:rPr>
                <w:rFonts w:ascii="宋体" w:eastAsia="宋体" w:hAnsi="宋体" w:cs="宋体" w:hint="eastAsia"/>
                <w:sz w:val="21"/>
                <w:szCs w:val="21"/>
              </w:rPr>
            </w:pPr>
            <w:r>
              <w:rPr>
                <w:rFonts w:ascii="宋体" w:eastAsia="宋体" w:hAnsi="宋体" w:cs="宋体" w:hint="eastAsia"/>
                <w:sz w:val="21"/>
                <w:szCs w:val="21"/>
              </w:rPr>
              <w:t>2.5</w:t>
            </w:r>
            <w:r>
              <w:rPr>
                <w:rFonts w:ascii="宋体" w:eastAsia="宋体" w:hAnsi="宋体" w:cs="宋体" w:hint="eastAsia"/>
                <w:sz w:val="21"/>
                <w:szCs w:val="21"/>
                <w:lang w:eastAsia="zh-CN"/>
              </w:rPr>
              <w:t>.</w:t>
            </w:r>
            <w:r>
              <w:rPr>
                <w:rFonts w:ascii="宋体" w:eastAsia="宋体" w:hAnsi="宋体" w:cs="宋体" w:hint="eastAsia"/>
                <w:sz w:val="21"/>
                <w:szCs w:val="21"/>
              </w:rPr>
              <w:t>准确度：±1%</w:t>
            </w:r>
          </w:p>
          <w:p>
            <w:pPr>
              <w:widowControl/>
              <w:jc w:val="left"/>
              <w:rPr>
                <w:rFonts w:ascii="宋体" w:eastAsia="宋体" w:hAnsi="宋体" w:cs="宋体" w:hint="eastAsia"/>
                <w:sz w:val="21"/>
                <w:szCs w:val="21"/>
              </w:rPr>
            </w:pPr>
            <w:r>
              <w:rPr>
                <w:rFonts w:ascii="宋体" w:eastAsia="宋体" w:hAnsi="宋体" w:cs="宋体" w:hint="eastAsia"/>
                <w:sz w:val="21"/>
                <w:szCs w:val="21"/>
              </w:rPr>
              <w:t>2.6</w:t>
            </w:r>
            <w:r>
              <w:rPr>
                <w:rFonts w:ascii="宋体" w:eastAsia="宋体" w:hAnsi="宋体" w:cs="宋体" w:hint="eastAsia"/>
                <w:sz w:val="21"/>
                <w:szCs w:val="21"/>
                <w:lang w:eastAsia="zh-CN"/>
              </w:rPr>
              <w:t>.</w:t>
            </w:r>
            <w:r>
              <w:rPr>
                <w:rFonts w:ascii="宋体" w:eastAsia="宋体" w:hAnsi="宋体" w:cs="宋体" w:hint="eastAsia"/>
                <w:sz w:val="21"/>
                <w:szCs w:val="21"/>
              </w:rPr>
              <w:t>失真：气导&lt;1.5%，骨导&lt;2%</w:t>
            </w:r>
          </w:p>
          <w:p>
            <w:pPr>
              <w:widowControl/>
              <w:jc w:val="left"/>
              <w:rPr>
                <w:rFonts w:ascii="宋体" w:eastAsia="宋体" w:hAnsi="宋体" w:cs="宋体" w:hint="eastAsia"/>
                <w:sz w:val="21"/>
                <w:szCs w:val="21"/>
              </w:rPr>
            </w:pPr>
            <w:r>
              <w:rPr>
                <w:rFonts w:ascii="宋体" w:eastAsia="宋体" w:hAnsi="宋体" w:cs="宋体" w:hint="eastAsia"/>
                <w:sz w:val="21"/>
                <w:szCs w:val="21"/>
              </w:rPr>
              <w:t>2.7</w:t>
            </w:r>
            <w:r>
              <w:rPr>
                <w:rFonts w:ascii="宋体" w:eastAsia="宋体" w:hAnsi="宋体" w:cs="宋体" w:hint="eastAsia"/>
                <w:sz w:val="21"/>
                <w:szCs w:val="21"/>
                <w:lang w:eastAsia="zh-CN"/>
              </w:rPr>
              <w:t>.</w:t>
            </w:r>
            <w:r>
              <w:rPr>
                <w:rFonts w:ascii="宋体" w:eastAsia="宋体" w:hAnsi="宋体" w:cs="宋体" w:hint="eastAsia"/>
                <w:sz w:val="21"/>
                <w:szCs w:val="21"/>
              </w:rPr>
              <w:t>测试声强范围：基于所选的换能器，气导平均为 -10-120 dB HL；骨导平均为 -10-80 dB HL</w:t>
            </w:r>
          </w:p>
          <w:p>
            <w:pPr>
              <w:widowControl/>
              <w:jc w:val="left"/>
              <w:rPr>
                <w:rFonts w:ascii="宋体" w:eastAsia="宋体" w:hAnsi="宋体" w:cs="宋体" w:hint="eastAsia"/>
                <w:sz w:val="21"/>
                <w:szCs w:val="21"/>
              </w:rPr>
            </w:pPr>
            <w:r>
              <w:rPr>
                <w:rFonts w:ascii="宋体" w:eastAsia="宋体" w:hAnsi="宋体" w:cs="宋体" w:hint="eastAsia"/>
                <w:sz w:val="21"/>
                <w:szCs w:val="21"/>
              </w:rPr>
              <w:t>2.8</w:t>
            </w:r>
            <w:r>
              <w:rPr>
                <w:rFonts w:ascii="宋体" w:eastAsia="宋体" w:hAnsi="宋体" w:cs="宋体" w:hint="eastAsia"/>
                <w:sz w:val="21"/>
                <w:szCs w:val="21"/>
                <w:lang w:eastAsia="zh-CN"/>
              </w:rPr>
              <w:t>.</w:t>
            </w:r>
            <w:r>
              <w:rPr>
                <w:rFonts w:ascii="宋体" w:eastAsia="宋体" w:hAnsi="宋体" w:cs="宋体" w:hint="eastAsia"/>
                <w:sz w:val="21"/>
                <w:szCs w:val="21"/>
              </w:rPr>
              <w:t>步进：</w:t>
            </w:r>
            <w:r>
              <w:rPr>
                <w:rFonts w:ascii="宋体" w:eastAsia="宋体" w:hAnsi="宋体" w:cs="宋体" w:hint="eastAsia"/>
                <w:sz w:val="21"/>
                <w:szCs w:val="21"/>
                <w:lang w:eastAsia="zh-CN"/>
              </w:rPr>
              <w:t>包括</w:t>
            </w:r>
            <w:r>
              <w:rPr>
                <w:rFonts w:ascii="宋体" w:eastAsia="宋体" w:hAnsi="宋体" w:cs="宋体" w:hint="eastAsia"/>
                <w:sz w:val="21"/>
                <w:szCs w:val="21"/>
              </w:rPr>
              <w:t>1，2，5dB步进</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rPr>
              <w:t>三、刺激声调制</w:t>
            </w:r>
          </w:p>
          <w:p>
            <w:pPr>
              <w:widowControl/>
              <w:jc w:val="left"/>
              <w:rPr>
                <w:rFonts w:ascii="宋体" w:eastAsia="宋体" w:hAnsi="宋体" w:cs="宋体" w:hint="eastAsia"/>
                <w:sz w:val="21"/>
                <w:szCs w:val="21"/>
              </w:rPr>
            </w:pPr>
            <w:r>
              <w:rPr>
                <w:rFonts w:ascii="宋体" w:eastAsia="宋体" w:hAnsi="宋体" w:cs="宋体" w:hint="eastAsia"/>
                <w:sz w:val="21"/>
                <w:szCs w:val="21"/>
              </w:rPr>
              <w:t>3.1啭音：调制幅度1-10Hz，调制深度±5 %</w:t>
            </w:r>
          </w:p>
          <w:p>
            <w:pPr>
              <w:widowControl/>
              <w:jc w:val="left"/>
              <w:rPr>
                <w:rFonts w:ascii="宋体" w:eastAsia="宋体" w:hAnsi="宋体" w:cs="宋体" w:hint="eastAsia"/>
                <w:sz w:val="21"/>
                <w:szCs w:val="21"/>
              </w:rPr>
            </w:pPr>
            <w:r>
              <w:rPr>
                <w:rFonts w:ascii="宋体" w:eastAsia="宋体" w:hAnsi="宋体" w:cs="宋体" w:hint="eastAsia"/>
                <w:sz w:val="21"/>
                <w:szCs w:val="21"/>
              </w:rPr>
              <w:t>3.2窄带噪声：符合IEC 60645-1:2017；5/12 倍频程</w:t>
            </w:r>
          </w:p>
          <w:p>
            <w:pPr>
              <w:widowControl/>
              <w:jc w:val="left"/>
              <w:rPr>
                <w:rFonts w:ascii="宋体" w:eastAsia="宋体" w:hAnsi="宋体" w:cs="宋体" w:hint="eastAsia"/>
                <w:sz w:val="21"/>
                <w:szCs w:val="21"/>
              </w:rPr>
            </w:pPr>
            <w:r>
              <w:rPr>
                <w:rFonts w:ascii="宋体" w:eastAsia="宋体" w:hAnsi="宋体" w:cs="宋体" w:hint="eastAsia"/>
                <w:sz w:val="21"/>
                <w:szCs w:val="21"/>
              </w:rPr>
              <w:t>3.3白噪声：恒定带宽80-8000Hz</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3.4言语噪声：符合IEC 60645-1:2017 </w:t>
            </w:r>
          </w:p>
          <w:p>
            <w:pPr>
              <w:widowControl/>
              <w:jc w:val="left"/>
              <w:rPr>
                <w:rFonts w:ascii="宋体" w:eastAsia="宋体" w:hAnsi="宋体" w:cs="宋体" w:hint="eastAsia"/>
                <w:sz w:val="21"/>
                <w:szCs w:val="21"/>
              </w:rPr>
            </w:pPr>
            <w:r>
              <w:rPr>
                <w:rFonts w:ascii="宋体" w:eastAsia="宋体" w:hAnsi="宋体" w:cs="宋体" w:hint="eastAsia"/>
                <w:sz w:val="21"/>
                <w:szCs w:val="21"/>
              </w:rPr>
              <w:t>3.5脉冲音：脉冲时长可自行调整，200ms – 500ms</w:t>
            </w:r>
          </w:p>
          <w:p>
            <w:pPr>
              <w:spacing w:line="400" w:lineRule="exact"/>
              <w:rPr>
                <w:rFonts w:ascii="宋体" w:eastAsia="宋体" w:hAnsi="宋体" w:cs="宋体" w:hint="eastAsia"/>
                <w:b/>
                <w:bCs/>
                <w:sz w:val="21"/>
                <w:szCs w:val="21"/>
              </w:rPr>
            </w:pPr>
            <w:r>
              <w:rPr>
                <w:rFonts w:ascii="宋体" w:eastAsia="宋体" w:hAnsi="宋体" w:cs="宋体" w:hint="eastAsia"/>
                <w:b/>
                <w:bCs/>
                <w:sz w:val="21"/>
                <w:szCs w:val="21"/>
              </w:rPr>
              <w:t>四、测试部分</w:t>
            </w:r>
          </w:p>
          <w:p>
            <w:pPr>
              <w:widowControl/>
              <w:jc w:val="left"/>
              <w:rPr>
                <w:rFonts w:ascii="宋体" w:eastAsia="宋体" w:hAnsi="宋体" w:cs="宋体" w:hint="eastAsia"/>
                <w:sz w:val="21"/>
                <w:szCs w:val="21"/>
              </w:rPr>
            </w:pPr>
            <w:r>
              <w:rPr>
                <w:rFonts w:ascii="宋体" w:eastAsia="宋体" w:hAnsi="宋体" w:cs="宋体" w:hint="eastAsia"/>
                <w:sz w:val="21"/>
                <w:szCs w:val="21"/>
              </w:rPr>
              <w:t>▲4.1测试类型：支持气导、骨导、声场下的双声道测听。纯音测听、言语测听、伪聋测试 (Stenger)、西湖测试可为加选测试</w:t>
            </w:r>
            <w:r>
              <w:rPr>
                <w:rFonts w:ascii="宋体" w:eastAsia="宋体" w:hAnsi="宋体" w:cs="宋体" w:hint="eastAsia"/>
                <w:sz w:val="21"/>
                <w:szCs w:val="21"/>
                <w:lang w:eastAsia="zh-CN"/>
              </w:rPr>
              <w:t>包括</w:t>
            </w:r>
            <w:r>
              <w:rPr>
                <w:rFonts w:ascii="宋体" w:eastAsia="宋体" w:hAnsi="宋体" w:cs="宋体" w:hint="eastAsia"/>
                <w:sz w:val="21"/>
                <w:szCs w:val="21"/>
              </w:rPr>
              <w:t>：噪音下言语测听 (SIN)、短增量敏感指数 (SISI) (全自动)、交替响度平衡测试 (ABLB)、韦伯测试 (Weber)、 双侧言语测听、QuickSIN、Langenbeck、Bekesy</w:t>
            </w:r>
          </w:p>
          <w:p>
            <w:pPr>
              <w:widowControl/>
              <w:jc w:val="left"/>
              <w:rPr>
                <w:rFonts w:ascii="宋体" w:eastAsia="宋体" w:hAnsi="宋体" w:cs="宋体" w:hint="eastAsia"/>
                <w:sz w:val="21"/>
                <w:szCs w:val="21"/>
              </w:rPr>
            </w:pPr>
            <w:r>
              <w:rPr>
                <w:rFonts w:ascii="宋体" w:eastAsia="宋体" w:hAnsi="宋体" w:cs="宋体" w:hint="eastAsia"/>
                <w:sz w:val="21"/>
                <w:szCs w:val="21"/>
              </w:rPr>
              <w:t>4.2听力图纪录内容：纯音测听</w:t>
            </w:r>
            <w:r>
              <w:rPr>
                <w:rFonts w:ascii="宋体" w:eastAsia="宋体" w:hAnsi="宋体" w:cs="宋体" w:hint="eastAsia"/>
                <w:sz w:val="21"/>
                <w:szCs w:val="21"/>
                <w:lang w:eastAsia="zh-CN"/>
              </w:rPr>
              <w:t>包括</w:t>
            </w:r>
            <w:r>
              <w:rPr>
                <w:rFonts w:ascii="宋体" w:eastAsia="宋体" w:hAnsi="宋体" w:cs="宋体" w:hint="eastAsia"/>
                <w:sz w:val="21"/>
                <w:szCs w:val="21"/>
              </w:rPr>
              <w:t>：dBHL、MCL、UCL、Tinnitus、R+L</w:t>
            </w:r>
          </w:p>
          <w:p>
            <w:pPr>
              <w:widowControl/>
              <w:jc w:val="left"/>
              <w:rPr>
                <w:rFonts w:ascii="宋体" w:eastAsia="宋体" w:hAnsi="宋体" w:cs="宋体" w:hint="eastAsia"/>
                <w:sz w:val="21"/>
                <w:szCs w:val="21"/>
              </w:rPr>
            </w:pPr>
            <w:r>
              <w:rPr>
                <w:rFonts w:ascii="宋体" w:eastAsia="宋体" w:hAnsi="宋体" w:cs="宋体" w:hint="eastAsia"/>
                <w:sz w:val="21"/>
                <w:szCs w:val="21"/>
              </w:rPr>
              <w:t>言语测听</w:t>
            </w:r>
            <w:r>
              <w:rPr>
                <w:rFonts w:ascii="宋体" w:eastAsia="宋体" w:hAnsi="宋体" w:cs="宋体" w:hint="eastAsia"/>
                <w:sz w:val="21"/>
                <w:szCs w:val="21"/>
                <w:lang w:eastAsia="zh-CN"/>
              </w:rPr>
              <w:t>包括</w:t>
            </w:r>
            <w:r>
              <w:rPr>
                <w:rFonts w:ascii="宋体" w:eastAsia="宋体" w:hAnsi="宋体" w:cs="宋体" w:hint="eastAsia"/>
                <w:sz w:val="21"/>
                <w:szCs w:val="21"/>
              </w:rPr>
              <w:t>：WR1、WR2、WR3、MCL、UCL、助听后、未助听、双耳</w:t>
            </w:r>
          </w:p>
          <w:p>
            <w:pPr>
              <w:widowControl/>
              <w:jc w:val="left"/>
              <w:rPr>
                <w:rFonts w:ascii="宋体" w:eastAsia="宋体" w:hAnsi="宋体" w:cs="宋体" w:hint="eastAsia"/>
                <w:sz w:val="21"/>
                <w:szCs w:val="21"/>
              </w:rPr>
            </w:pPr>
            <w:r>
              <w:rPr>
                <w:rFonts w:ascii="宋体" w:eastAsia="宋体" w:hAnsi="宋体" w:cs="宋体" w:hint="eastAsia"/>
                <w:sz w:val="21"/>
                <w:szCs w:val="21"/>
              </w:rPr>
              <w:t>4.3备注功能：历史界面：可同屏幕对比不同时期听力图快速掩蔽：可直接转动右侧旋钮快速进行掩蔽SYCN功能：数据上传，全方位整合病患数据数据，可与系统关连</w:t>
            </w:r>
            <w:r>
              <w:rPr>
                <w:rFonts w:ascii="宋体" w:eastAsia="宋体" w:hAnsi="宋体" w:cs="宋体" w:hint="eastAsia"/>
                <w:sz w:val="21"/>
                <w:szCs w:val="21"/>
                <w:lang w:eastAsia="zh-CN"/>
              </w:rPr>
              <w:t>，</w:t>
            </w:r>
            <w:r>
              <w:rPr>
                <w:rFonts w:ascii="宋体" w:eastAsia="宋体" w:hAnsi="宋体" w:cs="宋体" w:hint="eastAsia"/>
                <w:sz w:val="21"/>
                <w:szCs w:val="21"/>
              </w:rPr>
              <w:t xml:space="preserve">可直连打印机，且支持客制化打印报告 </w:t>
            </w:r>
          </w:p>
          <w:p>
            <w:pPr>
              <w:spacing w:line="432" w:lineRule="auto"/>
              <w:rPr>
                <w:rFonts w:ascii="宋体" w:eastAsia="宋体" w:hAnsi="宋体" w:cs="宋体" w:hint="eastAsia"/>
                <w:b/>
                <w:sz w:val="21"/>
                <w:szCs w:val="21"/>
                <w:lang w:eastAsia="zh-CN"/>
              </w:rPr>
            </w:pPr>
            <w:r>
              <w:rPr>
                <w:rFonts w:ascii="宋体" w:eastAsia="宋体" w:hAnsi="宋体" w:cs="宋体" w:hint="eastAsia"/>
                <w:b/>
                <w:sz w:val="21"/>
                <w:szCs w:val="21"/>
                <w:lang w:eastAsia="zh-CN"/>
              </w:rPr>
              <w:t>二、</w:t>
            </w:r>
            <w:r>
              <w:rPr>
                <w:rFonts w:ascii="宋体" w:eastAsia="宋体" w:hAnsi="宋体" w:cs="宋体" w:hint="eastAsia"/>
                <w:b/>
                <w:sz w:val="21"/>
                <w:szCs w:val="21"/>
              </w:rPr>
              <w:t>隔音室</w:t>
            </w:r>
            <w:r>
              <w:rPr>
                <w:rFonts w:ascii="宋体" w:eastAsia="宋体" w:hAnsi="宋体" w:cs="宋体" w:hint="eastAsia"/>
                <w:b/>
                <w:sz w:val="21"/>
                <w:szCs w:val="21"/>
                <w:lang w:eastAsia="zh-CN"/>
              </w:rPr>
              <w:t>参数</w:t>
            </w:r>
          </w:p>
          <w:p>
            <w:pPr>
              <w:spacing w:line="432" w:lineRule="auto"/>
              <w:rPr>
                <w:rFonts w:ascii="宋体" w:eastAsia="宋体" w:hAnsi="宋体" w:cs="宋体" w:hint="eastAsia"/>
                <w:b/>
                <w:sz w:val="21"/>
                <w:szCs w:val="21"/>
              </w:rPr>
            </w:pPr>
            <w:r>
              <w:rPr>
                <w:rFonts w:ascii="宋体" w:eastAsia="宋体" w:hAnsi="宋体" w:cs="宋体" w:hint="eastAsia"/>
                <w:b/>
                <w:sz w:val="21"/>
                <w:szCs w:val="21"/>
                <w:lang w:eastAsia="zh-CN"/>
              </w:rPr>
              <w:t>（一）</w:t>
            </w:r>
            <w:r>
              <w:rPr>
                <w:rFonts w:ascii="宋体" w:eastAsia="宋体" w:hAnsi="宋体" w:cs="宋体" w:hint="eastAsia"/>
                <w:b/>
                <w:sz w:val="21"/>
                <w:szCs w:val="21"/>
              </w:rPr>
              <w:t xml:space="preserve">性能标准：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 xml:space="preserve">隔音室产品符合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JJF1191-2019《测听室声学特性校准规范》 </w:t>
            </w:r>
          </w:p>
          <w:p>
            <w:pPr>
              <w:widowControl/>
              <w:jc w:val="left"/>
              <w:rPr>
                <w:rFonts w:ascii="宋体" w:eastAsia="宋体" w:hAnsi="宋体" w:cs="宋体" w:hint="eastAsia"/>
                <w:sz w:val="21"/>
                <w:szCs w:val="21"/>
              </w:rPr>
            </w:pPr>
            <w:r>
              <w:rPr>
                <w:rFonts w:ascii="宋体" w:eastAsia="宋体" w:hAnsi="宋体" w:cs="宋体" w:hint="eastAsia"/>
                <w:sz w:val="21"/>
                <w:szCs w:val="21"/>
              </w:rPr>
              <w:t>GB/T16296.1-2018声学 测听方法 第1部分：纯音气导和骨导测听法</w:t>
            </w:r>
          </w:p>
          <w:p>
            <w:pPr>
              <w:widowControl/>
              <w:jc w:val="left"/>
              <w:rPr>
                <w:rFonts w:ascii="宋体" w:eastAsia="宋体" w:hAnsi="宋体" w:cs="宋体" w:hint="eastAsia"/>
                <w:sz w:val="21"/>
                <w:szCs w:val="21"/>
              </w:rPr>
            </w:pPr>
            <w:r>
              <w:rPr>
                <w:rFonts w:ascii="宋体" w:eastAsia="宋体" w:hAnsi="宋体" w:cs="宋体" w:hint="eastAsia"/>
                <w:sz w:val="21"/>
                <w:szCs w:val="21"/>
              </w:rPr>
              <w:t>GB/T16296.2-2016《声学测听方法第2部分：用纯音及窄带测试信号的声场测听》</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GB50325-2020《民用建筑工程室内环境污染控制规范》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隔音室房间外环境噪声声压级≤55dB(A)-60dB(A)，室内本底噪声≤30dB(A)； </w:t>
            </w:r>
          </w:p>
          <w:p>
            <w:pPr>
              <w:spacing w:line="432" w:lineRule="auto"/>
              <w:rPr>
                <w:rFonts w:ascii="宋体" w:eastAsia="宋体" w:hAnsi="宋体" w:cs="宋体" w:hint="eastAsia"/>
                <w:b/>
                <w:sz w:val="21"/>
                <w:szCs w:val="21"/>
              </w:rPr>
            </w:pPr>
            <w:r>
              <w:rPr>
                <w:rFonts w:ascii="宋体" w:eastAsia="宋体" w:hAnsi="宋体" w:cs="宋体" w:hint="eastAsia"/>
                <w:b/>
                <w:sz w:val="21"/>
                <w:szCs w:val="21"/>
                <w:lang w:eastAsia="zh-CN"/>
              </w:rPr>
              <w:t>（二）</w:t>
            </w:r>
            <w:r>
              <w:rPr>
                <w:rFonts w:ascii="宋体" w:eastAsia="宋体" w:hAnsi="宋体" w:cs="宋体" w:hint="eastAsia"/>
                <w:b/>
                <w:sz w:val="21"/>
                <w:szCs w:val="21"/>
              </w:rPr>
              <w:t xml:space="preserve">技术参数：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w:t>
            </w:r>
            <w:r>
              <w:rPr>
                <w:rFonts w:ascii="宋体" w:eastAsia="宋体" w:hAnsi="宋体" w:cs="宋体" w:hint="eastAsia"/>
                <w:sz w:val="21"/>
                <w:szCs w:val="21"/>
              </w:rPr>
              <w:t>隔音室外径尺寸（L*W*H）1200×1200×2500mm±</w:t>
            </w:r>
            <w:r>
              <w:rPr>
                <w:rFonts w:ascii="宋体" w:eastAsia="宋体" w:hAnsi="宋体" w:cs="宋体" w:hint="eastAsia"/>
                <w:sz w:val="21"/>
                <w:szCs w:val="21"/>
                <w:lang w:eastAsia="zh-CN"/>
              </w:rPr>
              <w:t>10%</w:t>
            </w:r>
            <w:r>
              <w:rPr>
                <w:rFonts w:ascii="宋体" w:eastAsia="宋体" w:hAnsi="宋体" w:cs="宋体" w:hint="eastAsia"/>
                <w:sz w:val="21"/>
                <w:szCs w:val="21"/>
              </w:rPr>
              <w:t>，内径尺寸（L*W*H）1000×1000×2000mm±</w:t>
            </w:r>
            <w:r>
              <w:rPr>
                <w:rFonts w:ascii="宋体" w:eastAsia="宋体" w:hAnsi="宋体" w:cs="宋体" w:hint="eastAsia"/>
                <w:sz w:val="21"/>
                <w:szCs w:val="21"/>
                <w:lang w:eastAsia="zh-CN"/>
              </w:rPr>
              <w:t>10%</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2.</w:t>
            </w:r>
            <w:r>
              <w:rPr>
                <w:rFonts w:ascii="宋体" w:eastAsia="宋体" w:hAnsi="宋体" w:cs="宋体" w:hint="eastAsia"/>
                <w:sz w:val="21"/>
                <w:szCs w:val="21"/>
              </w:rPr>
              <w:t>隔声墙体采用阻尼隔音墙，墙体内外全钢悬浮结构，采用</w:t>
            </w:r>
            <w:r>
              <w:rPr>
                <w:rFonts w:hint="eastAsia"/>
                <w:b/>
              </w:rPr>
              <w:t>≥</w:t>
            </w:r>
            <w:r>
              <w:rPr>
                <w:rFonts w:ascii="宋体" w:eastAsia="宋体" w:hAnsi="宋体" w:cs="宋体" w:hint="eastAsia"/>
                <w:sz w:val="21"/>
                <w:szCs w:val="21"/>
              </w:rPr>
              <w:t>1.5mm优质钢板冲压、复合构成。墙体结构：隔音层+阻尼层+吸音层，外表静电喷涂，颜色为白色。</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3.</w:t>
            </w:r>
            <w:r>
              <w:rPr>
                <w:rFonts w:ascii="宋体" w:eastAsia="宋体" w:hAnsi="宋体" w:cs="宋体" w:hint="eastAsia"/>
                <w:sz w:val="21"/>
                <w:szCs w:val="21"/>
              </w:rPr>
              <w:t>隔声门采用冷轧钢板+吸音材料+磁吸材料，磁控式双声闸密封结构，磁条采用双气囊结构。隔声量≥50dB(A)。</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4.</w:t>
            </w:r>
            <w:r>
              <w:rPr>
                <w:rFonts w:ascii="宋体" w:eastAsia="宋体" w:hAnsi="宋体" w:cs="宋体" w:hint="eastAsia"/>
                <w:sz w:val="21"/>
                <w:szCs w:val="21"/>
              </w:rPr>
              <w:t>隔声模块化</w:t>
            </w:r>
            <w:r>
              <w:rPr>
                <w:rFonts w:ascii="宋体" w:eastAsia="宋体" w:hAnsi="宋体" w:cs="宋体" w:hint="eastAsia"/>
                <w:sz w:val="21"/>
                <w:szCs w:val="21"/>
                <w:lang w:eastAsia="zh-CN"/>
              </w:rPr>
              <w:t>采用</w:t>
            </w:r>
            <w:r>
              <w:rPr>
                <w:rFonts w:ascii="宋体" w:eastAsia="宋体" w:hAnsi="宋体" w:cs="宋体" w:hint="eastAsia"/>
                <w:sz w:val="21"/>
                <w:szCs w:val="21"/>
              </w:rPr>
              <w:t xml:space="preserve">回字型双层悬浮结构，屏蔽室六面墙体不得与房间混凝土墙体有刚性连接，组装式，可拆卸、搬迁，现场施工不得焊接， 同时经屏蔽材料处理，全部采用环保材料、安装完成即可投入使用。 </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5.</w:t>
            </w:r>
            <w:r>
              <w:rPr>
                <w:rFonts w:ascii="宋体" w:eastAsia="宋体" w:hAnsi="宋体" w:cs="宋体" w:hint="eastAsia"/>
                <w:sz w:val="21"/>
                <w:szCs w:val="21"/>
              </w:rPr>
              <w:t>隔音材料：内部采用聚酯纤维棉作为隔音材料，不得使用玻璃棉。并提第三方环保及防火测试报告。</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 xml:space="preserve">减振浮筑底板，采用隔声阻尼减振浮筑底板，在隔声底板上均匀安装阻尼减振器。减振浮筑底板隔声量≥50dB(A)，减振器额定载荷：≧160Kg/只；额定静变形：7±2mm/只；额定固有频 率：7±1HZ/只；阻尼比：≥0.05。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rPr>
              <w:t>隔、吸音墙体、顶板，内装饰板采用金属板制造的穿孔吸音板，吸声 系数达到</w:t>
            </w:r>
            <w:r>
              <w:rPr>
                <w:rFonts w:hint="eastAsia"/>
                <w:b/>
              </w:rPr>
              <w:t>≥</w:t>
            </w:r>
            <w:r>
              <w:rPr>
                <w:rFonts w:ascii="宋体" w:eastAsia="宋体" w:hAnsi="宋体" w:cs="宋体" w:hint="eastAsia"/>
                <w:sz w:val="21"/>
                <w:szCs w:val="21"/>
              </w:rPr>
              <w:t xml:space="preserve"> 0.8</w:t>
            </w:r>
            <w:r>
              <w:rPr>
                <w:rFonts w:ascii="宋体" w:eastAsia="宋体" w:hAnsi="宋体" w:cs="宋体" w:hint="eastAsia"/>
                <w:sz w:val="21"/>
                <w:szCs w:val="21"/>
                <w:lang w:eastAsia="zh-CN"/>
              </w:rPr>
              <w:t>。</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双层隔声窗采用加强型三玻两空玻璃隔音窗技术， 钢制外框+三层钢化玻璃，</w:t>
            </w:r>
          </w:p>
          <w:p>
            <w:pPr>
              <w:widowControl/>
              <w:jc w:val="left"/>
              <w:rPr>
                <w:rFonts w:ascii="宋体" w:eastAsia="宋体" w:hAnsi="宋体" w:cs="宋体" w:hint="eastAsia"/>
                <w:sz w:val="21"/>
                <w:szCs w:val="21"/>
              </w:rPr>
            </w:pPr>
            <w:r>
              <w:rPr>
                <w:rFonts w:ascii="宋体" w:eastAsia="宋体" w:hAnsi="宋体" w:cs="宋体" w:hint="eastAsia"/>
                <w:sz w:val="21"/>
                <w:szCs w:val="21"/>
              </w:rPr>
              <w:t>隔音窗尺寸：600×800（宽×高）±</w:t>
            </w:r>
            <w:r>
              <w:rPr>
                <w:rFonts w:ascii="宋体" w:eastAsia="宋体" w:hAnsi="宋体" w:cs="宋体" w:hint="eastAsia"/>
                <w:sz w:val="21"/>
                <w:szCs w:val="21"/>
                <w:lang w:eastAsia="zh-CN"/>
              </w:rPr>
              <w:t>10%</w:t>
            </w:r>
            <w:r>
              <w:rPr>
                <w:rFonts w:ascii="宋体" w:eastAsia="宋体" w:hAnsi="宋体" w:cs="宋体" w:hint="eastAsia"/>
                <w:sz w:val="21"/>
                <w:szCs w:val="21"/>
              </w:rPr>
              <w:t>，隔音窗隔声量≥50dB(A)。</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室内照明系统：采用无声、无电磁干扰 LED 照明36W。 电源： 220V 50HZ 允许功率≤2kW。</w:t>
            </w:r>
          </w:p>
          <w:p>
            <w:pPr>
              <w:widowControl/>
              <w:jc w:val="left"/>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 xml:space="preserve">≧10通道信号转接系统：高保真线路板设计，φ6.5mm 立体声插座，墙面无直孔，防止信号失真和漏声，配备≧6根立体声信号转接线。 </w:t>
            </w:r>
          </w:p>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 xml:space="preserve">通风要求：主动式有源通风系统，采用阻抗式进气消声器和阻抗式排气消声器组合，具有良好的空气流通性，换气量≥120m 3 /小时，消音处理，消音量≥30dB。 </w:t>
            </w:r>
          </w:p>
          <w:p>
            <w:pPr>
              <w:widowControl/>
              <w:jc w:val="left"/>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2.</w:t>
            </w:r>
            <w:r>
              <w:rPr>
                <w:rFonts w:ascii="宋体" w:eastAsia="宋体" w:hAnsi="宋体" w:cs="宋体" w:hint="eastAsia"/>
                <w:sz w:val="21"/>
                <w:szCs w:val="21"/>
              </w:rPr>
              <w:t>地面材料及要求：采用防潮吸音地毯</w:t>
            </w:r>
            <w:r>
              <w:rPr>
                <w:rFonts w:ascii="宋体" w:eastAsia="宋体" w:hAnsi="宋体" w:cs="宋体" w:hint="eastAsia"/>
                <w:sz w:val="21"/>
                <w:szCs w:val="21"/>
                <w:lang w:eastAsia="zh-CN"/>
              </w:rPr>
              <w:t>。</w:t>
            </w:r>
          </w:p>
        </w:tc>
      </w:tr>
      <w:tr>
        <w:tblPrEx>
          <w:tblW w:w="5000" w:type="pct"/>
          <w:tblInd w:w="-79" w:type="dxa"/>
          <w:tblLayout w:type="fixed"/>
          <w:tblCellMar>
            <w:top w:w="0" w:type="dxa"/>
            <w:left w:w="108" w:type="dxa"/>
            <w:bottom w:w="0" w:type="dxa"/>
            <w:right w:w="108" w:type="dxa"/>
          </w:tblCellMar>
        </w:tblPrEx>
        <w:trPr>
          <w:trHeight w:val="90"/>
        </w:trPr>
        <w:tc>
          <w:tcPr>
            <w:tcW w:w="75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lang w:eastAsia="zh-CN"/>
              </w:rPr>
              <w:t>3</w:t>
            </w:r>
          </w:p>
        </w:tc>
        <w:tc>
          <w:tcPr>
            <w:tcW w:w="2085" w:type="dxa"/>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灌注吸引系统</w:t>
            </w:r>
          </w:p>
        </w:tc>
        <w:tc>
          <w:tcPr>
            <w:tcW w:w="6918" w:type="dxa"/>
            <w:vAlign w:val="center"/>
          </w:tcPr>
          <w:p>
            <w:pPr>
              <w:widowControl/>
              <w:jc w:val="left"/>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w:t>
            </w:r>
            <w:r>
              <w:rPr>
                <w:rFonts w:ascii="宋体" w:eastAsia="宋体" w:hAnsi="宋体" w:cs="宋体" w:hint="eastAsia"/>
                <w:sz w:val="21"/>
                <w:szCs w:val="21"/>
              </w:rPr>
              <w:t>系统集成内窥镜成像，液体灌注，负压吸引和液体压力监测功能为一体</w:t>
            </w:r>
          </w:p>
          <w:p>
            <w:pPr>
              <w:widowControl/>
              <w:jc w:val="left"/>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前后触摸屏</w:t>
            </w:r>
          </w:p>
          <w:p>
            <w:pPr>
              <w:widowControl/>
              <w:jc w:val="left"/>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 xml:space="preserve">灌注流量应在（50～500）mL/min 范围内可调。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4.流量误差应不超过设置值的±10%。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5.最大吸引压力应不小于-50kPa。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6.吸引压力在-50kPa～0kPa 范围内测量误差应不超过±3kPa。 </w:t>
            </w:r>
          </w:p>
          <w:p>
            <w:pPr>
              <w:widowControl/>
              <w:jc w:val="left"/>
              <w:rPr>
                <w:rFonts w:ascii="宋体" w:eastAsia="宋体" w:hAnsi="宋体" w:cs="宋体" w:hint="eastAsia"/>
                <w:sz w:val="21"/>
                <w:szCs w:val="21"/>
              </w:rPr>
            </w:pPr>
            <w:r>
              <w:rPr>
                <w:rFonts w:ascii="宋体" w:eastAsia="宋体" w:hAnsi="宋体" w:cs="宋体" w:hint="eastAsia"/>
                <w:sz w:val="21"/>
                <w:szCs w:val="21"/>
              </w:rPr>
              <w:t xml:space="preserve">7.压力测量范围应不小于-150mmHg～﹢150mmHg。 </w:t>
            </w:r>
          </w:p>
          <w:p>
            <w:pPr>
              <w:widowControl/>
              <w:jc w:val="left"/>
              <w:rPr>
                <w:rFonts w:ascii="宋体" w:eastAsia="宋体" w:hAnsi="宋体" w:cs="宋体" w:hint="eastAsia"/>
                <w:sz w:val="21"/>
                <w:szCs w:val="21"/>
              </w:rPr>
            </w:pPr>
            <w:r>
              <w:rPr>
                <w:rFonts w:ascii="宋体" w:eastAsia="宋体" w:hAnsi="宋体" w:cs="宋体" w:hint="eastAsia"/>
                <w:sz w:val="21"/>
                <w:szCs w:val="21"/>
              </w:rPr>
              <w:t>8.压力测量的分辨率：</w:t>
            </w:r>
            <w:r>
              <w:rPr>
                <w:rFonts w:hint="eastAsia"/>
                <w:b/>
              </w:rPr>
              <w:t>≥</w:t>
            </w:r>
            <w:r>
              <w:rPr>
                <w:rFonts w:ascii="宋体" w:eastAsia="宋体" w:hAnsi="宋体" w:cs="宋体" w:hint="eastAsia"/>
                <w:sz w:val="21"/>
                <w:szCs w:val="21"/>
              </w:rPr>
              <w:t xml:space="preserve">1mmHg。 </w:t>
            </w:r>
          </w:p>
          <w:p>
            <w:pPr>
              <w:widowControl/>
              <w:jc w:val="left"/>
              <w:rPr>
                <w:rFonts w:ascii="宋体" w:eastAsia="宋体" w:hAnsi="宋体" w:cs="宋体" w:hint="eastAsia"/>
                <w:sz w:val="21"/>
                <w:szCs w:val="21"/>
              </w:rPr>
            </w:pPr>
            <w:r>
              <w:rPr>
                <w:rFonts w:ascii="宋体" w:eastAsia="宋体" w:hAnsi="宋体" w:cs="宋体" w:hint="eastAsia"/>
                <w:sz w:val="21"/>
                <w:szCs w:val="21"/>
              </w:rPr>
              <w:t>9.腔内压力测量误差:-50mmHg≤X≤50mmHg（X 为测量值）时不大于±2mmHg</w:t>
            </w:r>
          </w:p>
          <w:p>
            <w:pPr>
              <w:widowControl/>
              <w:jc w:val="left"/>
              <w:rPr>
                <w:rFonts w:ascii="宋体" w:eastAsia="宋体" w:hAnsi="宋体" w:cs="宋体" w:hint="eastAsia"/>
                <w:sz w:val="21"/>
                <w:szCs w:val="21"/>
              </w:rPr>
            </w:pPr>
            <w:r>
              <w:rPr>
                <w:rFonts w:ascii="宋体" w:eastAsia="宋体" w:hAnsi="宋体" w:cs="宋体" w:hint="eastAsia"/>
                <w:sz w:val="21"/>
                <w:szCs w:val="21"/>
              </w:rPr>
              <w:t>10</w:t>
            </w:r>
            <w:r>
              <w:rPr>
                <w:rFonts w:ascii="宋体" w:eastAsia="宋体" w:hAnsi="宋体" w:cs="宋体" w:hint="eastAsia"/>
                <w:sz w:val="21"/>
                <w:szCs w:val="21"/>
                <w:lang w:eastAsia="zh-CN"/>
              </w:rPr>
              <w:t>.</w:t>
            </w:r>
            <w:r>
              <w:rPr>
                <w:rFonts w:ascii="宋体" w:eastAsia="宋体" w:hAnsi="宋体" w:cs="宋体" w:hint="eastAsia"/>
                <w:sz w:val="21"/>
                <w:szCs w:val="21"/>
              </w:rPr>
              <w:t>数据保持功能：当控压成像系统断电后，重新上电，灌注流量设置，目标压力设置和警戒压力设置应被保持不变。</w:t>
            </w:r>
          </w:p>
          <w:p>
            <w:pPr>
              <w:widowControl/>
              <w:jc w:val="left"/>
              <w:rPr>
                <w:rFonts w:ascii="宋体" w:eastAsia="宋体" w:hAnsi="宋体" w:cs="宋体" w:hint="eastAsia"/>
                <w:sz w:val="21"/>
                <w:szCs w:val="21"/>
              </w:rPr>
            </w:pPr>
            <w:r>
              <w:rPr>
                <w:rFonts w:ascii="宋体" w:eastAsia="宋体" w:hAnsi="宋体" w:cs="宋体" w:hint="eastAsia"/>
                <w:sz w:val="21"/>
                <w:szCs w:val="21"/>
              </w:rPr>
              <w:t>▲11</w:t>
            </w:r>
            <w:r>
              <w:rPr>
                <w:rFonts w:ascii="宋体" w:eastAsia="宋体" w:hAnsi="宋体" w:cs="宋体" w:hint="eastAsia"/>
                <w:sz w:val="21"/>
                <w:szCs w:val="21"/>
                <w:lang w:eastAsia="zh-CN"/>
              </w:rPr>
              <w:t>.</w:t>
            </w:r>
            <w:r>
              <w:rPr>
                <w:rFonts w:ascii="宋体" w:eastAsia="宋体" w:hAnsi="宋体" w:cs="宋体" w:hint="eastAsia"/>
                <w:sz w:val="21"/>
                <w:szCs w:val="21"/>
              </w:rPr>
              <w:t xml:space="preserve">设备启/停和灌注流量调节应有三个路径可以实现：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a) 后触控显示屏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b）前触控显示屏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c）配套内窥镜按键按钮。</w:t>
            </w:r>
          </w:p>
          <w:p>
            <w:pPr>
              <w:widowControl/>
              <w:jc w:val="left"/>
              <w:rPr>
                <w:rFonts w:ascii="宋体" w:eastAsia="宋体" w:hAnsi="宋体" w:cs="宋体" w:hint="eastAsia"/>
                <w:sz w:val="21"/>
                <w:szCs w:val="21"/>
              </w:rPr>
            </w:pPr>
            <w:r>
              <w:rPr>
                <w:rFonts w:ascii="宋体" w:eastAsia="宋体" w:hAnsi="宋体" w:cs="宋体" w:hint="eastAsia"/>
                <w:sz w:val="21"/>
                <w:szCs w:val="21"/>
              </w:rPr>
              <w:t>▲12</w:t>
            </w:r>
            <w:r>
              <w:rPr>
                <w:rFonts w:ascii="宋体" w:eastAsia="宋体" w:hAnsi="宋体" w:cs="宋体" w:hint="eastAsia"/>
                <w:sz w:val="21"/>
                <w:szCs w:val="21"/>
                <w:lang w:eastAsia="zh-CN"/>
              </w:rPr>
              <w:t>.</w:t>
            </w:r>
            <w:r>
              <w:rPr>
                <w:rFonts w:ascii="宋体" w:eastAsia="宋体" w:hAnsi="宋体" w:cs="宋体" w:hint="eastAsia"/>
                <w:sz w:val="21"/>
                <w:szCs w:val="21"/>
              </w:rPr>
              <w:t>报警优先级不少于3种：</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a) 低优先级（报警条件：警戒压力设定大于30mmHg）;</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 xml:space="preserve">b）中优先级（报警条件：腔内压力和警戒压力相差小于5mmHg）; </w:t>
            </w:r>
          </w:p>
          <w:p>
            <w:pPr>
              <w:widowControl/>
              <w:ind w:firstLine="420" w:firstLineChars="200"/>
              <w:jc w:val="left"/>
              <w:rPr>
                <w:rFonts w:ascii="宋体" w:eastAsia="宋体" w:hAnsi="宋体" w:cs="宋体" w:hint="eastAsia"/>
                <w:sz w:val="21"/>
                <w:szCs w:val="21"/>
              </w:rPr>
            </w:pPr>
            <w:r>
              <w:rPr>
                <w:rFonts w:ascii="宋体" w:eastAsia="宋体" w:hAnsi="宋体" w:cs="宋体" w:hint="eastAsia"/>
                <w:sz w:val="21"/>
                <w:szCs w:val="21"/>
              </w:rPr>
              <w:t>c）高优先级（报警条件：腔内压力大于警戒压力或者小于-50mmHg）。</w:t>
            </w:r>
          </w:p>
          <w:p>
            <w:pPr>
              <w:widowControl/>
              <w:jc w:val="left"/>
              <w:rPr>
                <w:rFonts w:ascii="宋体" w:eastAsia="宋体" w:hAnsi="宋体" w:cs="宋体" w:hint="eastAsia"/>
                <w:sz w:val="21"/>
                <w:szCs w:val="21"/>
              </w:rPr>
            </w:pPr>
            <w:r>
              <w:rPr>
                <w:rFonts w:ascii="宋体" w:eastAsia="宋体" w:hAnsi="宋体" w:cs="宋体" w:hint="eastAsia"/>
                <w:sz w:val="21"/>
                <w:szCs w:val="21"/>
              </w:rPr>
              <w:t>▲13.设备应为一体式主机，功能集成度高，协调性好，安装简单，操作方便，避免多主机组件之间的软硬件匹配问题。</w:t>
            </w:r>
          </w:p>
          <w:p>
            <w:pPr>
              <w:widowControl/>
              <w:jc w:val="left"/>
              <w:rPr>
                <w:rFonts w:ascii="宋体" w:eastAsia="宋体" w:hAnsi="宋体" w:cs="宋体" w:hint="eastAsia"/>
                <w:sz w:val="21"/>
                <w:szCs w:val="21"/>
              </w:rPr>
            </w:pPr>
            <w:r>
              <w:rPr>
                <w:rFonts w:ascii="宋体" w:eastAsia="宋体" w:hAnsi="宋体" w:cs="宋体" w:hint="eastAsia"/>
                <w:sz w:val="21"/>
                <w:szCs w:val="21"/>
              </w:rPr>
              <w:t>14.图像延迟小于等于500毫秒。</w:t>
            </w:r>
          </w:p>
          <w:p>
            <w:pPr>
              <w:widowControl/>
              <w:jc w:val="left"/>
              <w:rPr>
                <w:rFonts w:ascii="宋体" w:eastAsia="宋体" w:hAnsi="宋体" w:cs="宋体" w:hint="eastAsia"/>
                <w:sz w:val="21"/>
                <w:szCs w:val="21"/>
              </w:rPr>
            </w:pPr>
            <w:r>
              <w:rPr>
                <w:rFonts w:ascii="宋体" w:eastAsia="宋体" w:hAnsi="宋体" w:cs="宋体" w:hint="eastAsia"/>
                <w:sz w:val="21"/>
                <w:szCs w:val="21"/>
              </w:rPr>
              <w:t>15</w:t>
            </w:r>
            <w:r>
              <w:rPr>
                <w:rFonts w:ascii="宋体" w:eastAsia="宋体" w:hAnsi="宋体" w:cs="宋体" w:hint="eastAsia"/>
                <w:sz w:val="21"/>
                <w:szCs w:val="21"/>
                <w:lang w:eastAsia="zh-CN"/>
              </w:rPr>
              <w:t>.</w:t>
            </w:r>
            <w:r>
              <w:rPr>
                <w:rFonts w:ascii="宋体" w:eastAsia="宋体" w:hAnsi="宋体" w:cs="宋体" w:hint="eastAsia"/>
                <w:sz w:val="21"/>
                <w:szCs w:val="21"/>
              </w:rPr>
              <w:t>设备连续工作</w:t>
            </w:r>
            <w:r>
              <w:rPr>
                <w:rFonts w:hint="eastAsia"/>
                <w:b/>
              </w:rPr>
              <w:t>≥</w:t>
            </w:r>
            <w:r>
              <w:rPr>
                <w:rFonts w:ascii="宋体" w:eastAsia="宋体" w:hAnsi="宋体" w:cs="宋体" w:hint="eastAsia"/>
                <w:sz w:val="21"/>
                <w:szCs w:val="21"/>
              </w:rPr>
              <w:t>24小时，系统应能正常运行。</w:t>
            </w:r>
          </w:p>
          <w:p>
            <w:pPr>
              <w:widowControl/>
              <w:jc w:val="left"/>
              <w:rPr>
                <w:rFonts w:ascii="宋体" w:eastAsia="宋体" w:hAnsi="宋体" w:cs="宋体" w:hint="eastAsia"/>
                <w:sz w:val="21"/>
                <w:szCs w:val="21"/>
              </w:rPr>
            </w:pPr>
            <w:r>
              <w:rPr>
                <w:rFonts w:ascii="宋体" w:eastAsia="宋体" w:hAnsi="宋体" w:cs="宋体" w:hint="eastAsia"/>
                <w:sz w:val="21"/>
                <w:szCs w:val="21"/>
              </w:rPr>
              <w:t>▲16</w:t>
            </w:r>
            <w:r>
              <w:rPr>
                <w:rFonts w:ascii="宋体" w:eastAsia="宋体" w:hAnsi="宋体" w:cs="宋体" w:hint="eastAsia"/>
                <w:sz w:val="21"/>
                <w:szCs w:val="21"/>
                <w:lang w:eastAsia="zh-CN"/>
              </w:rPr>
              <w:t>.</w:t>
            </w:r>
            <w:r>
              <w:rPr>
                <w:rFonts w:ascii="宋体" w:eastAsia="宋体" w:hAnsi="宋体" w:cs="宋体" w:hint="eastAsia"/>
                <w:sz w:val="21"/>
                <w:szCs w:val="21"/>
              </w:rPr>
              <w:t>抗内爆性：对收集容器施加</w:t>
            </w:r>
            <w:r>
              <w:rPr>
                <w:rFonts w:hint="eastAsia"/>
                <w:b/>
              </w:rPr>
              <w:t>≥</w:t>
            </w:r>
            <w:r>
              <w:rPr>
                <w:rFonts w:ascii="宋体" w:eastAsia="宋体" w:hAnsi="宋体" w:cs="宋体" w:hint="eastAsia"/>
                <w:sz w:val="21"/>
                <w:szCs w:val="21"/>
              </w:rPr>
              <w:t>90KPA的负压时，收集容器应能保持完好，应不产生永久性变形或内爆。</w:t>
            </w:r>
          </w:p>
          <w:p>
            <w:pPr>
              <w:widowControl/>
              <w:jc w:val="left"/>
              <w:rPr>
                <w:rFonts w:ascii="宋体" w:eastAsia="宋体" w:hAnsi="宋体" w:cs="宋体" w:hint="eastAsia"/>
                <w:sz w:val="21"/>
                <w:szCs w:val="21"/>
              </w:rPr>
            </w:pPr>
            <w:r>
              <w:rPr>
                <w:rFonts w:ascii="宋体" w:eastAsia="宋体" w:hAnsi="宋体" w:cs="宋体" w:hint="eastAsia"/>
                <w:sz w:val="21"/>
                <w:szCs w:val="21"/>
              </w:rPr>
              <w:t>17</w:t>
            </w:r>
            <w:r>
              <w:rPr>
                <w:rFonts w:ascii="宋体" w:eastAsia="宋体" w:hAnsi="宋体" w:cs="宋体" w:hint="eastAsia"/>
                <w:sz w:val="21"/>
                <w:szCs w:val="21"/>
                <w:lang w:eastAsia="zh-CN"/>
              </w:rPr>
              <w:t>.</w:t>
            </w:r>
            <w:r>
              <w:rPr>
                <w:rFonts w:ascii="宋体" w:eastAsia="宋体" w:hAnsi="宋体" w:cs="宋体" w:hint="eastAsia"/>
                <w:sz w:val="21"/>
                <w:szCs w:val="21"/>
              </w:rPr>
              <w:t>废液溢出监测：</w:t>
            </w:r>
          </w:p>
          <w:p>
            <w:pPr>
              <w:widowControl/>
              <w:numPr>
                <w:ilvl w:val="0"/>
                <w:numId w:val="1"/>
              </w:numPr>
              <w:tabs>
                <w:tab w:val="left" w:pos="312"/>
              </w:tabs>
              <w:ind w:firstLine="630" w:firstLineChars="300"/>
              <w:jc w:val="left"/>
              <w:rPr>
                <w:rFonts w:ascii="宋体" w:eastAsia="宋体" w:hAnsi="宋体" w:cs="宋体" w:hint="eastAsia"/>
                <w:sz w:val="21"/>
                <w:szCs w:val="21"/>
              </w:rPr>
            </w:pPr>
            <w:r>
              <w:rPr>
                <w:rFonts w:ascii="宋体" w:eastAsia="宋体" w:hAnsi="宋体" w:cs="宋体" w:hint="eastAsia"/>
                <w:sz w:val="21"/>
                <w:szCs w:val="21"/>
              </w:rPr>
              <w:t>收集容器废液＞90%时，显示屏应能弹出提示及时更换空收集容器；</w:t>
            </w:r>
          </w:p>
          <w:p>
            <w:pPr>
              <w:widowControl/>
              <w:numPr>
                <w:ilvl w:val="0"/>
                <w:numId w:val="1"/>
              </w:numPr>
              <w:tabs>
                <w:tab w:val="left" w:pos="312"/>
              </w:tabs>
              <w:ind w:firstLine="630" w:firstLineChars="300"/>
              <w:jc w:val="left"/>
              <w:rPr>
                <w:rFonts w:ascii="宋体" w:eastAsia="宋体" w:hAnsi="宋体" w:cs="宋体" w:hint="eastAsia"/>
                <w:sz w:val="21"/>
                <w:szCs w:val="21"/>
              </w:rPr>
            </w:pPr>
            <w:r>
              <w:rPr>
                <w:rFonts w:ascii="宋体" w:eastAsia="宋体" w:hAnsi="宋体" w:cs="宋体" w:hint="eastAsia"/>
                <w:sz w:val="21"/>
                <w:szCs w:val="21"/>
              </w:rPr>
              <w:t>收集容器废液≥100%时，显示屏应能弹出警告务必更换空收集容器；</w:t>
            </w:r>
          </w:p>
          <w:p>
            <w:pPr>
              <w:widowControl/>
              <w:jc w:val="left"/>
              <w:rPr>
                <w:rFonts w:ascii="宋体" w:eastAsia="宋体" w:hAnsi="宋体" w:cs="宋体" w:hint="eastAsia"/>
                <w:sz w:val="21"/>
                <w:szCs w:val="21"/>
              </w:rPr>
            </w:pPr>
            <w:r>
              <w:rPr>
                <w:rFonts w:ascii="宋体" w:eastAsia="宋体" w:hAnsi="宋体" w:cs="宋体" w:hint="eastAsia"/>
                <w:sz w:val="21"/>
                <w:szCs w:val="21"/>
              </w:rPr>
              <w:t>▲18</w:t>
            </w:r>
            <w:r>
              <w:rPr>
                <w:rFonts w:ascii="宋体" w:eastAsia="宋体" w:hAnsi="宋体" w:cs="宋体" w:hint="eastAsia"/>
                <w:sz w:val="21"/>
                <w:szCs w:val="21"/>
                <w:lang w:eastAsia="zh-CN"/>
              </w:rPr>
              <w:t>.</w:t>
            </w:r>
            <w:r>
              <w:rPr>
                <w:rFonts w:ascii="宋体" w:eastAsia="宋体" w:hAnsi="宋体" w:cs="宋体" w:hint="eastAsia"/>
                <w:sz w:val="21"/>
                <w:szCs w:val="21"/>
              </w:rPr>
              <w:t>工作噪声：不大于75dB。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leftChars="0"/>
              <w:textAlignment w:val="auto"/>
              <w:rPr>
                <w:rFonts w:ascii="宋体" w:eastAsia="宋体" w:hAnsi="宋体" w:cs="宋体" w:hint="eastAsia"/>
                <w:sz w:val="21"/>
                <w:szCs w:val="21"/>
                <w:lang w:eastAsia="zh-CN"/>
              </w:rPr>
            </w:pPr>
            <w:r>
              <w:rPr>
                <w:rFonts w:ascii="宋体" w:eastAsia="宋体" w:hAnsi="宋体" w:cs="宋体" w:hint="eastAsia"/>
                <w:sz w:val="21"/>
                <w:szCs w:val="21"/>
              </w:rPr>
              <w:t>19</w:t>
            </w:r>
            <w:r>
              <w:rPr>
                <w:rFonts w:ascii="宋体" w:eastAsia="宋体" w:hAnsi="宋体" w:cs="宋体" w:hint="eastAsia"/>
                <w:sz w:val="21"/>
                <w:szCs w:val="21"/>
                <w:lang w:eastAsia="zh-CN"/>
              </w:rPr>
              <w:t>.</w:t>
            </w:r>
            <w:r>
              <w:rPr>
                <w:rFonts w:ascii="宋体" w:eastAsia="宋体" w:hAnsi="宋体" w:cs="宋体" w:hint="eastAsia"/>
                <w:sz w:val="21"/>
                <w:szCs w:val="21"/>
              </w:rPr>
              <w:t>应有手动调剂白平衡功能。</w:t>
            </w:r>
          </w:p>
        </w:tc>
      </w:tr>
    </w:tbl>
    <w:p>
      <w:pPr>
        <w:widowControl w:val="0"/>
        <w:jc w:val="both"/>
        <w:rPr>
          <w:rFonts w:ascii="Calibri" w:eastAsia="宋体" w:hAnsi="Calibri" w:hint="eastAsia"/>
          <w:b/>
          <w:color w:val="000000"/>
          <w:kern w:val="2"/>
          <w:sz w:val="21"/>
          <w:szCs w:val="21"/>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五、商务条款要求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评分时，如对一项（小项）招标技术要求中的内容存在两处（或以上）负偏离的，在评分时只作一项负偏离扣分。</w:t>
      </w:r>
    </w:p>
    <w:tbl>
      <w:tblPr>
        <w:tblStyle w:val="TableNormal"/>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99"/>
        <w:gridCol w:w="1235"/>
        <w:gridCol w:w="98"/>
        <w:gridCol w:w="6570"/>
      </w:tblGrid>
      <w:tr>
        <w:tblPrEx>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9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rPr>
              <w:t>序号</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rPr>
              <w:t>商务需求项</w:t>
            </w:r>
          </w:p>
        </w:tc>
        <w:tc>
          <w:tcPr>
            <w:tcW w:w="739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r>
              <w:rPr>
                <w:rFonts w:ascii="宋体" w:eastAsia="宋体" w:hAnsi="宋体" w:cs="宋体" w:hint="eastAsia"/>
                <w:b/>
                <w:sz w:val="21"/>
                <w:szCs w:val="21"/>
                <w:lang w:eastAsia="zh-CN"/>
              </w:rPr>
              <w:t>采购</w:t>
            </w:r>
            <w:r>
              <w:rPr>
                <w:rFonts w:ascii="宋体" w:eastAsia="宋体" w:hAnsi="宋体" w:cs="宋体" w:hint="eastAsia"/>
                <w:b/>
                <w:sz w:val="21"/>
                <w:szCs w:val="21"/>
              </w:rPr>
              <w:t>商务要求</w:t>
            </w:r>
          </w:p>
        </w:tc>
      </w:tr>
      <w:tr>
        <w:tblPrEx>
          <w:tblW w:w="5000" w:type="pct"/>
          <w:tblInd w:w="-84" w:type="dxa"/>
          <w:tblLayout w:type="fixed"/>
          <w:tblCellMar>
            <w:top w:w="0" w:type="dxa"/>
            <w:left w:w="108" w:type="dxa"/>
            <w:bottom w:w="0" w:type="dxa"/>
            <w:right w:w="108" w:type="dxa"/>
          </w:tblCellMar>
        </w:tblPrEx>
        <w:trPr>
          <w:trHeight w:val="280"/>
        </w:trPr>
        <w:tc>
          <w:tcPr>
            <w:tcW w:w="9778" w:type="dxa"/>
            <w:gridSpan w:val="5"/>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84" w:type="dxa"/>
          <w:tblLayout w:type="fixed"/>
          <w:tblCellMar>
            <w:top w:w="0" w:type="dxa"/>
            <w:left w:w="108" w:type="dxa"/>
            <w:bottom w:w="0" w:type="dxa"/>
            <w:right w:w="108" w:type="dxa"/>
          </w:tblCellMar>
        </w:tblPrEx>
        <w:trPr>
          <w:trHeight w:val="320"/>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维修及维护服务</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★1.1 3D 按压电动心肺复苏机、医用纯音测听仪整机免费保修期5年；灌注吸引系统整机免费保修期10年,除以下情况：</w:t>
            </w:r>
          </w:p>
          <w:p>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0" w:firstLine="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1.1.1、</w:t>
            </w:r>
            <w:r>
              <w:rPr>
                <w:rFonts w:ascii="宋体" w:eastAsia="宋体" w:hAnsi="宋体" w:cs="宋体" w:hint="eastAsia"/>
                <w:b/>
                <w:bCs/>
                <w:color w:val="FF0000"/>
                <w:sz w:val="21"/>
                <w:szCs w:val="21"/>
                <w:lang w:eastAsia="zh-CN" w:bidi="ar"/>
              </w:rPr>
              <w:t>灌注吸引系统</w:t>
            </w:r>
            <w:r>
              <w:rPr>
                <w:rFonts w:ascii="宋体" w:eastAsia="宋体" w:hAnsi="宋体" w:cs="宋体" w:hint="eastAsia"/>
                <w:sz w:val="21"/>
                <w:szCs w:val="21"/>
                <w:lang w:eastAsia="zh-CN"/>
              </w:rPr>
              <w:t>：灌注管道（含接头）、吸引管道、收集器、液体挂篮、负压调节管道1、负压调节管道2+生物过滤器、中间管道、蠕动泵管+双通头、电源线、台车按原厂设计年限；</w:t>
            </w:r>
          </w:p>
        </w:tc>
      </w:tr>
      <w:tr>
        <w:tblPrEx>
          <w:tblW w:w="5000" w:type="pct"/>
          <w:tblInd w:w="-84" w:type="dxa"/>
          <w:tblLayout w:type="fixed"/>
          <w:tblCellMar>
            <w:top w:w="0" w:type="dxa"/>
            <w:left w:w="108" w:type="dxa"/>
            <w:bottom w:w="0" w:type="dxa"/>
            <w:right w:w="108" w:type="dxa"/>
          </w:tblCellMar>
        </w:tblPrEx>
        <w:trPr>
          <w:trHeight w:val="320"/>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
                <w:sz w:val="21"/>
                <w:szCs w:val="21"/>
              </w:rPr>
            </w:pPr>
            <w:r>
              <w:rPr>
                <w:rFonts w:ascii="宋体" w:eastAsia="宋体" w:hAnsi="宋体" w:cs="宋体" w:hint="eastAsia"/>
                <w:sz w:val="21"/>
                <w:szCs w:val="21"/>
                <w:lang w:eastAsia="zh-CN" w:bidi="ar"/>
              </w:rPr>
              <w:t xml:space="preserve">1.2 各供应商应在响应文件中列明各主机、配件和易耗品的免费保修期限，终身维修。免费保修期内，年度定期预防性维护保养次数应不少于4 次并出具报告。 保修期内免费更换零配件、免工时费。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1.3由设备制造商提供售后服务，2小时内响应， 24小时维修到位（不可抗力情况除外）。消耗品和 零配件供应及时，特殊情况下可提供备用机。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1.4供应商负责货物的终身维修，保证10年以上供应维修配件， 终身免费提供软件升级服务。 </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sz w:val="21"/>
                <w:szCs w:val="21"/>
                <w:lang w:eastAsia="zh-CN"/>
              </w:rPr>
            </w:pPr>
            <w:r>
              <w:rPr>
                <w:rFonts w:ascii="宋体" w:eastAsia="宋体" w:hAnsi="宋体" w:cs="宋体" w:hint="eastAsia"/>
                <w:sz w:val="21"/>
                <w:szCs w:val="21"/>
              </w:rPr>
              <w:t>★1.5所提供的硬件设备需要具备常规标准数据传输接口，产生的数据需要与院内系统（包括但不限于HIS、LIS、PACS、护理系统、CDR平台等）进行对接的，产生的软件接口开发、调试等费用由中标方承担</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
                <w:sz w:val="21"/>
                <w:szCs w:val="21"/>
              </w:rPr>
            </w:pPr>
          </w:p>
        </w:tc>
        <w:tc>
          <w:tcPr>
            <w:tcW w:w="7289" w:type="dxa"/>
            <w:noWrap w:val="0"/>
            <w:vAlign w:val="top"/>
          </w:tcPr>
          <w:p>
            <w:pPr>
              <w:keepNext w:val="0"/>
              <w:keepLines w:val="0"/>
              <w:pageBreakBefore w:val="0"/>
              <w:widowControl/>
              <w:kinsoku/>
              <w:wordWrap/>
              <w:overflowPunct/>
              <w:topLinePunct w:val="0"/>
              <w:autoSpaceDE/>
              <w:autoSpaceDN/>
              <w:bidi w:val="0"/>
              <w:adjustRightInd/>
              <w:snapToGrid/>
              <w:spacing w:line="500" w:lineRule="atLeast"/>
              <w:textAlignment w:val="auto"/>
              <w:rPr>
                <w:rFonts w:ascii="宋体" w:eastAsia="宋体" w:hAnsi="宋体" w:cs="宋体" w:hint="eastAsia"/>
                <w:bCs/>
                <w:sz w:val="21"/>
                <w:szCs w:val="21"/>
                <w:lang w:eastAsia="zh-CN"/>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6</w:t>
            </w:r>
            <w:r>
              <w:rPr>
                <w:rFonts w:ascii="宋体" w:eastAsia="宋体" w:hAnsi="宋体" w:cs="宋体" w:hint="eastAsia"/>
                <w:color w:val="000000"/>
                <w:sz w:val="21"/>
                <w:szCs w:val="21"/>
              </w:rPr>
              <w:t>投标人应按其投标文件中的承诺，进行维修、维护及售后服务，</w:t>
            </w:r>
            <w:r>
              <w:rPr>
                <w:rFonts w:ascii="宋体" w:eastAsia="宋体" w:hAnsi="宋体" w:cs="宋体" w:hint="eastAsia"/>
                <w:b/>
                <w:bCs/>
                <w:color w:val="000000"/>
                <w:sz w:val="21"/>
                <w:szCs w:val="21"/>
              </w:rPr>
              <w:t>必须提供产品原厂保修承诺函。</w:t>
            </w:r>
          </w:p>
        </w:tc>
      </w:tr>
      <w:tr>
        <w:tblPrEx>
          <w:tblW w:w="5000" w:type="pct"/>
          <w:tblInd w:w="-84" w:type="dxa"/>
          <w:tblLayout w:type="fixed"/>
          <w:tblCellMar>
            <w:top w:w="0" w:type="dxa"/>
            <w:left w:w="108" w:type="dxa"/>
            <w:bottom w:w="0" w:type="dxa"/>
            <w:right w:w="108" w:type="dxa"/>
          </w:tblCellMar>
        </w:tblPrEx>
        <w:trPr>
          <w:trHeight w:val="523"/>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outlineLvl w:val="9"/>
              <w:rPr>
                <w:rFonts w:ascii="宋体" w:eastAsia="宋体" w:hAnsi="宋体" w:cs="宋体" w:hint="eastAsia"/>
                <w:bCs/>
                <w:sz w:val="21"/>
                <w:szCs w:val="21"/>
                <w:lang w:eastAsia="zh-CN"/>
              </w:rPr>
            </w:pPr>
            <w:r>
              <w:rPr>
                <w:rFonts w:ascii="宋体" w:eastAsia="宋体" w:hAnsi="宋体" w:cs="宋体" w:hint="eastAsia"/>
                <w:sz w:val="21"/>
                <w:szCs w:val="21"/>
                <w:lang w:eastAsia="zh-CN"/>
              </w:rPr>
              <w:t>质量保证</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2.1 在免费保修期内，供应商应确保年完好率在 95%（含）以上，若不能达到此完好率，将作以下处理：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a. 若年完好率在 90（含）-95%（不含）之间，则延长一年免费保修期；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b. 若年完好率在 85（含）-90%（不含）之间，则延长二年免费保修期；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c. 若年完好率低于 85%（不含），供应商需无条件更换新机，并重新计算免费保修期，以及赔偿用户的直接经济损失和间接经济损失。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 xml:space="preserve">注：1、年完好率=（365-故障停机天数）/365）；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420" w:firstLineChars="200"/>
              <w:textAlignment w:val="auto"/>
              <w:outlineLvl w:val="9"/>
              <w:rPr>
                <w:rFonts w:ascii="宋体" w:eastAsia="宋体" w:hAnsi="宋体" w:cs="宋体" w:hint="eastAsia"/>
                <w:bCs/>
                <w:sz w:val="21"/>
                <w:szCs w:val="21"/>
              </w:rPr>
            </w:pPr>
            <w:r>
              <w:rPr>
                <w:rFonts w:ascii="宋体" w:eastAsia="宋体" w:hAnsi="宋体" w:cs="宋体" w:hint="eastAsia"/>
                <w:bCs/>
                <w:sz w:val="21"/>
                <w:szCs w:val="21"/>
                <w:lang w:eastAsia="zh-CN"/>
              </w:rPr>
              <w:t>2、以上 a、b 两项可累计延长。</w:t>
            </w:r>
          </w:p>
        </w:tc>
      </w:tr>
      <w:tr>
        <w:tblPrEx>
          <w:tblW w:w="5000" w:type="pct"/>
          <w:tblInd w:w="-84" w:type="dxa"/>
          <w:tblLayout w:type="fixed"/>
          <w:tblCellMar>
            <w:top w:w="0" w:type="dxa"/>
            <w:left w:w="108" w:type="dxa"/>
            <w:bottom w:w="0" w:type="dxa"/>
            <w:right w:w="108" w:type="dxa"/>
          </w:tblCellMar>
        </w:tblPrEx>
        <w:trPr>
          <w:trHeight w:val="454"/>
        </w:trPr>
        <w:tc>
          <w:tcPr>
            <w:tcW w:w="977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color w:val="000000"/>
                <w:sz w:val="21"/>
                <w:szCs w:val="21"/>
              </w:rPr>
            </w:pPr>
            <w:r>
              <w:rPr>
                <w:rFonts w:ascii="宋体" w:eastAsia="宋体" w:hAnsi="宋体" w:cs="宋体" w:hint="eastAsia"/>
                <w:color w:val="000000"/>
                <w:sz w:val="21"/>
                <w:szCs w:val="21"/>
              </w:rPr>
              <w:t>维修零配件、消耗品和延续保修合同的报价</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color w:val="000000"/>
                <w:sz w:val="21"/>
                <w:szCs w:val="21"/>
              </w:rPr>
            </w:pPr>
            <w:r>
              <w:rPr>
                <w:rFonts w:ascii="宋体" w:eastAsia="宋体" w:hAnsi="宋体" w:cs="宋体" w:hint="eastAsia"/>
                <w:color w:val="000000"/>
                <w:sz w:val="21"/>
                <w:szCs w:val="21"/>
              </w:rPr>
              <w:t>1.1由设备制造商提供售后服务，</w:t>
            </w:r>
            <w:r>
              <w:rPr>
                <w:rFonts w:ascii="宋体" w:eastAsia="宋体" w:hAnsi="宋体" w:cs="宋体" w:hint="eastAsia"/>
                <w:color w:val="000000"/>
                <w:sz w:val="21"/>
                <w:szCs w:val="21"/>
                <w:u w:val="single"/>
                <w:lang w:eastAsia="zh-CN"/>
              </w:rPr>
              <w:t xml:space="preserve"> 2</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小时内响应，</w:t>
            </w:r>
            <w:r>
              <w:rPr>
                <w:rFonts w:ascii="宋体" w:eastAsia="宋体" w:hAnsi="宋体" w:cs="宋体" w:hint="eastAsia"/>
                <w:color w:val="000000"/>
                <w:sz w:val="21"/>
                <w:szCs w:val="21"/>
                <w:u w:val="single"/>
              </w:rPr>
              <w:t> 24 </w:t>
            </w:r>
            <w:r>
              <w:rPr>
                <w:rFonts w:ascii="宋体" w:eastAsia="宋体" w:hAnsi="宋体" w:cs="宋体" w:hint="eastAsia"/>
                <w:color w:val="000000"/>
                <w:sz w:val="21"/>
                <w:szCs w:val="21"/>
              </w:rPr>
              <w:t>小时维修到位（不可抗力情况除外）。消耗品和零配件供应及时，特殊情况下可提供备用机。</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1.2</w:t>
            </w:r>
            <w:r>
              <w:rPr>
                <w:rFonts w:ascii="宋体" w:eastAsia="宋体" w:hAnsi="宋体" w:cs="宋体" w:hint="eastAsia"/>
                <w:color w:val="000000"/>
                <w:sz w:val="21"/>
                <w:szCs w:val="21"/>
                <w:lang w:eastAsia="zh-CN"/>
              </w:rPr>
              <w:t xml:space="preserve">保修期满后，维修只收取零配件费用。供应商应以优惠价供应维修零配件、消耗品和延续保修合同。零配件、消耗品和延续保修合同的报价明细必需填写于《零配件、消耗品和延续保修合同报价明细清单》中。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1.3采购人可与供应商就优惠价进行谈判，但优惠价不得高于供应商在响应文件的《零配件、消耗品和延续保修合同报价明细清单》中承诺的维修零配件、消耗品和延续保修合同的报价。</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1.4设备制造商维修的货物经采购人验收合格，且设备制造商提供维修专用发票后，采购人支付维修费用。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color w:val="000000"/>
                <w:sz w:val="21"/>
                <w:szCs w:val="21"/>
                <w:lang w:eastAsia="zh-CN"/>
              </w:rPr>
            </w:pPr>
            <w:r>
              <w:rPr>
                <w:rFonts w:ascii="宋体" w:eastAsia="宋体" w:hAnsi="宋体" w:cs="宋体" w:hint="eastAsia"/>
                <w:bCs/>
                <w:color w:val="000000"/>
                <w:sz w:val="21"/>
                <w:szCs w:val="21"/>
                <w:lang w:eastAsia="zh-CN"/>
              </w:rPr>
              <w:t>1.5供应商及设备制造商不得以任何理由不按时进 行维修，不得要求采购人购买所谓“保修服务”（即：不论设备有无故障先买保修服务），不得在设备中嵌设任何不利于采购人使用与维修设备的障碍。</w:t>
            </w:r>
          </w:p>
        </w:tc>
      </w:tr>
      <w:tr>
        <w:tblPrEx>
          <w:tblW w:w="5000" w:type="pct"/>
          <w:tblInd w:w="-84" w:type="dxa"/>
          <w:tblLayout w:type="fixed"/>
          <w:tblCellMar>
            <w:top w:w="0" w:type="dxa"/>
            <w:left w:w="108" w:type="dxa"/>
            <w:bottom w:w="0" w:type="dxa"/>
            <w:right w:w="108" w:type="dxa"/>
          </w:tblCellMar>
        </w:tblPrEx>
        <w:trPr>
          <w:trHeight w:val="454"/>
        </w:trPr>
        <w:tc>
          <w:tcPr>
            <w:tcW w:w="977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1</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lang w:eastAsia="zh-CN"/>
              </w:rPr>
              <w:t>交货要求</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FF0000"/>
                <w:sz w:val="21"/>
                <w:szCs w:val="21"/>
                <w:lang w:eastAsia="zh-CN"/>
              </w:rPr>
              <w:t xml:space="preserve">1.1 交货期：自合同签订之日起60天（日历日）内，以验收报告中实际送货日期为准。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2供应商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lang w:eastAsia="zh-CN"/>
              </w:rPr>
              <w:t xml:space="preserve">3提供的货物必须为全新、经检验合格的产品。产品如需要计量检定的应提供相关计量检定部门出具的合法检定报告。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2</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color w:val="000000"/>
                <w:sz w:val="21"/>
                <w:szCs w:val="21"/>
              </w:rPr>
              <w:t>运输、安装</w:t>
            </w:r>
            <w:r>
              <w:rPr>
                <w:rFonts w:ascii="宋体" w:eastAsia="宋体" w:hAnsi="宋体" w:cs="宋体" w:hint="eastAsia"/>
                <w:color w:val="000000"/>
                <w:sz w:val="21"/>
                <w:szCs w:val="21"/>
                <w:lang w:eastAsia="zh-CN"/>
              </w:rPr>
              <w:t>和验收</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Cs/>
                <w:color w:val="000000"/>
                <w:sz w:val="21"/>
                <w:szCs w:val="21"/>
              </w:rPr>
            </w:pPr>
            <w:r>
              <w:rPr>
                <w:rFonts w:ascii="宋体" w:eastAsia="宋体" w:hAnsi="宋体" w:cs="宋体" w:hint="eastAsia"/>
                <w:color w:val="000000"/>
                <w:sz w:val="21"/>
                <w:szCs w:val="21"/>
              </w:rPr>
              <w:t xml:space="preserve">2.1 </w:t>
            </w:r>
            <w:r>
              <w:rPr>
                <w:rFonts w:ascii="宋体" w:eastAsia="宋体" w:hAnsi="宋体" w:cs="宋体" w:hint="eastAsia"/>
                <w:color w:val="000000"/>
                <w:sz w:val="21"/>
                <w:szCs w:val="21"/>
                <w:lang w:eastAsia="zh-CN"/>
              </w:rPr>
              <w:t>供应商负责将货物安全无损运抵采购人指定地点，并承担设备的包装、运输、保险、装卸、安装调试、培训、商检及计量检测、增值税等费用。</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2.2采购人有权检验或测试货物，以确认货物是否符合合同规格的要求，并且不承担额外的费用。如果发现所交货物与响应文件中所承诺的不符或存在质量、技术缺陷等,采购人可以拒绝接收该货物，供应商应在 30 天内采取补足、更换或退货等措施,以满足规格的要求，由此发生的一切损失和费用由供应商承担。</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2.3供应商负责货物的现场安装和调试，提供货物安装、调试和维修所需的专用工具和辅助材料。供应商应在货物运至指定地点后一周内开始安装调试，并在 15 天内安装调试完毕。</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w:t>
            </w:r>
            <w:r>
              <w:rPr>
                <w:rFonts w:ascii="宋体" w:eastAsia="宋体" w:hAnsi="宋体" w:cs="宋体" w:hint="eastAsia"/>
                <w:color w:val="000000"/>
                <w:sz w:val="21"/>
                <w:szCs w:val="21"/>
                <w:lang w:eastAsia="zh-CN"/>
              </w:rPr>
              <w:t>4由供应商代表和采购人组成验收小组对产品进行验收。验收标准按照国家规定标准执行。经检验设备正常运作后签署验收报告,产品保修期自验收合格之日起算。</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bCs/>
                <w:sz w:val="21"/>
                <w:szCs w:val="21"/>
                <w:lang w:eastAsia="zh-CN"/>
              </w:rPr>
            </w:pPr>
            <w:r>
              <w:rPr>
                <w:rFonts w:ascii="宋体" w:eastAsia="宋体" w:hAnsi="宋体" w:cs="宋体" w:hint="eastAsia"/>
                <w:sz w:val="21"/>
                <w:szCs w:val="21"/>
                <w:lang w:eastAsia="zh-CN"/>
              </w:rPr>
              <w:t>2.5投标人所提供的产品，设计使用年限≥5年</w:t>
            </w:r>
            <w:r>
              <w:rPr>
                <w:rFonts w:ascii="宋体" w:eastAsia="宋体" w:hAnsi="宋体" w:cs="宋体" w:hint="eastAsia"/>
                <w:b/>
                <w:bCs/>
                <w:sz w:val="21"/>
                <w:szCs w:val="21"/>
                <w:lang w:eastAsia="zh-CN"/>
              </w:rPr>
              <w:t>（提供设备铭牌实物图片或其他证明材料）</w:t>
            </w:r>
            <w:r>
              <w:rPr>
                <w:rFonts w:ascii="宋体" w:eastAsia="宋体" w:hAnsi="宋体" w:cs="宋体" w:hint="eastAsia"/>
                <w:sz w:val="21"/>
                <w:szCs w:val="21"/>
                <w:lang w:eastAsia="zh-CN"/>
              </w:rPr>
              <w:t>,</w:t>
            </w:r>
            <w:r>
              <w:rPr>
                <w:rFonts w:ascii="宋体" w:eastAsia="宋体" w:hAnsi="宋体" w:cs="宋体" w:hint="eastAsia"/>
                <w:bCs/>
                <w:color w:val="000000"/>
                <w:sz w:val="21"/>
                <w:szCs w:val="21"/>
              </w:rPr>
              <w:t>设备要求生产日期在</w:t>
            </w:r>
            <w:r>
              <w:rPr>
                <w:rFonts w:ascii="宋体" w:eastAsia="宋体" w:hAnsi="宋体" w:cs="宋体" w:hint="eastAsia"/>
                <w:bCs/>
                <w:color w:val="000000"/>
                <w:sz w:val="21"/>
                <w:szCs w:val="21"/>
                <w:lang w:eastAsia="zh-CN"/>
              </w:rPr>
              <w:t>6</w:t>
            </w:r>
            <w:r>
              <w:rPr>
                <w:rFonts w:ascii="宋体" w:eastAsia="宋体" w:hAnsi="宋体" w:cs="宋体" w:hint="eastAsia"/>
                <w:bCs/>
                <w:color w:val="000000"/>
                <w:sz w:val="21"/>
                <w:szCs w:val="21"/>
              </w:rPr>
              <w:t>个月（日历日）以内</w:t>
            </w:r>
            <w:r>
              <w:rPr>
                <w:rFonts w:ascii="宋体" w:eastAsia="宋体" w:hAnsi="宋体" w:cs="宋体" w:hint="eastAsia"/>
                <w:bCs/>
                <w:color w:val="000000"/>
                <w:sz w:val="21"/>
                <w:szCs w:val="21"/>
                <w:lang w:eastAsia="zh-CN"/>
              </w:rPr>
              <w:t>。</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7289" w:type="dxa"/>
            <w:noWrap w:val="0"/>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sz w:val="21"/>
                <w:szCs w:val="21"/>
                <w:lang w:eastAsia="zh-CN"/>
              </w:rPr>
              <w:t>2.6验收期：设备到货后30个日历日内完成正式验收（以验收报告实际送货日期为始，终验签署人日期为止）。</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3</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培训</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3.1</w:t>
            </w:r>
            <w:r>
              <w:rPr>
                <w:rFonts w:ascii="宋体" w:eastAsia="宋体" w:hAnsi="宋体" w:cs="宋体" w:hint="eastAsia"/>
                <w:color w:val="000000"/>
                <w:sz w:val="21"/>
                <w:szCs w:val="21"/>
                <w:lang w:eastAsia="zh-CN"/>
              </w:rPr>
              <w:t>成交人应派专业技术人员免费对采购单位指定人员进行定期培训及指导，直至其完全掌握设备使用。</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sz w:val="21"/>
                <w:szCs w:val="21"/>
              </w:rPr>
              <w:t>4</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知识产权</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sz w:val="21"/>
                <w:szCs w:val="21"/>
              </w:rPr>
            </w:pPr>
            <w:r>
              <w:rPr>
                <w:rFonts w:ascii="宋体" w:eastAsia="宋体" w:hAnsi="宋体" w:cs="宋体" w:hint="eastAsia"/>
                <w:color w:val="000000"/>
                <w:sz w:val="21"/>
                <w:szCs w:val="21"/>
              </w:rPr>
              <w:t>4.1</w:t>
            </w:r>
            <w:r>
              <w:rPr>
                <w:rFonts w:ascii="宋体" w:eastAsia="宋体" w:hAnsi="宋体" w:cs="宋体" w:hint="eastAsia"/>
                <w:color w:val="000000"/>
                <w:sz w:val="21"/>
                <w:szCs w:val="21"/>
                <w:lang w:eastAsia="zh-CN"/>
              </w:rPr>
              <w:t xml:space="preserve">供应商应保证采购人在使用该货物或其任何一部分时，免受第三方提出的侵犯其专利权、商标权、著作权或其它知识产权的起诉。供应商保证所提供软件的合法性，所发生的任何知识产权纠纷与采购人无关。 </w:t>
            </w:r>
          </w:p>
        </w:tc>
      </w:tr>
      <w:tr>
        <w:tblPrEx>
          <w:tblW w:w="5000" w:type="pct"/>
          <w:tblInd w:w="-84" w:type="dxa"/>
          <w:tblLayout w:type="fixed"/>
          <w:tblCellMar>
            <w:top w:w="0" w:type="dxa"/>
            <w:left w:w="108" w:type="dxa"/>
            <w:bottom w:w="0" w:type="dxa"/>
            <w:right w:w="108" w:type="dxa"/>
          </w:tblCellMar>
        </w:tblPrEx>
        <w:trPr>
          <w:trHeight w:val="333"/>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b/>
                <w:sz w:val="21"/>
                <w:szCs w:val="21"/>
              </w:rPr>
            </w:pP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4.2</w:t>
            </w:r>
            <w:r>
              <w:rPr>
                <w:rFonts w:ascii="宋体" w:eastAsia="宋体" w:hAnsi="宋体" w:cs="宋体" w:hint="eastAsia"/>
                <w:color w:val="000000"/>
                <w:sz w:val="21"/>
                <w:szCs w:val="21"/>
                <w:lang w:eastAsia="zh-CN"/>
              </w:rPr>
              <w:t xml:space="preserve">采购人购买产品后，有权对该产品与其他设备进行配套、整合或适当改进，而免受侵犯专利权的起诉。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5</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付款方式</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 xml:space="preserve">5.1成交人在合同生效后10个工作日内将合同总价款5%的履约保证金以非现金的形式提交给采购人作为履约保证，在免费保修期满且采购人给出履约评价合格或满意后一个月内归还保函给成交人；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5.2</w:t>
            </w:r>
            <w:r>
              <w:rPr>
                <w:rFonts w:ascii="宋体" w:eastAsia="宋体" w:hAnsi="宋体" w:cs="宋体" w:hint="eastAsia"/>
                <w:sz w:val="21"/>
                <w:szCs w:val="21"/>
              </w:rPr>
              <w:t>货到安装调试验收合格后，成交供应商提交验收单、国家规定的全额正式发票，采购单位应于</w:t>
            </w:r>
            <w:r>
              <w:rPr>
                <w:rFonts w:ascii="宋体" w:eastAsia="宋体" w:hAnsi="宋体" w:cs="宋体" w:hint="eastAsia"/>
                <w:sz w:val="21"/>
                <w:szCs w:val="21"/>
                <w:lang w:eastAsia="zh-CN"/>
              </w:rPr>
              <w:t>30天</w:t>
            </w:r>
            <w:r>
              <w:rPr>
                <w:rFonts w:ascii="宋体" w:eastAsia="宋体" w:hAnsi="宋体" w:cs="宋体" w:hint="eastAsia"/>
                <w:sz w:val="21"/>
                <w:szCs w:val="21"/>
              </w:rPr>
              <w:t>内支付成交金额的100%货款</w:t>
            </w:r>
            <w:r>
              <w:rPr>
                <w:rFonts w:ascii="宋体" w:eastAsia="宋体" w:hAnsi="宋体" w:cs="宋体" w:hint="eastAsia"/>
                <w:color w:val="000000"/>
                <w:sz w:val="21"/>
                <w:szCs w:val="21"/>
                <w:lang w:eastAsia="zh-CN"/>
              </w:rPr>
              <w:t xml:space="preserve">；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6</w:t>
            </w:r>
          </w:p>
        </w:tc>
        <w:tc>
          <w:tcPr>
            <w:tcW w:w="1457"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bCs/>
                <w:color w:val="FF0000"/>
                <w:sz w:val="21"/>
                <w:szCs w:val="21"/>
                <w:lang w:eastAsia="zh-CN" w:bidi="ar"/>
              </w:rPr>
              <w:t>★</w:t>
            </w:r>
            <w:r>
              <w:rPr>
                <w:rFonts w:ascii="宋体" w:eastAsia="宋体" w:hAnsi="宋体" w:cs="宋体" w:hint="eastAsia"/>
                <w:b/>
                <w:sz w:val="21"/>
                <w:szCs w:val="21"/>
              </w:rPr>
              <w:t>违约责任</w:t>
            </w:r>
          </w:p>
        </w:tc>
        <w:tc>
          <w:tcPr>
            <w:tcW w:w="7289"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 xml:space="preserve">6.1如成交人未按照响应文件中承诺的时间交货或提供服务，成交人应承担延期交货和延期服务的违约责任，并赔偿采购人因此造成的实际经济损失。实际经济损失超出履约保证金额，采购人有权依法终止合同。 </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6.2成交人所交设备的品种、型号、规格、质量、 功能、技术参数等方面不能实质性满足采购文件要 约的，采购人有权拒绝收货，成交人向采购人偿付项目采购金额百分之十的违约金；造成严重后果的，根据《深圳经济特区政府采购条例》第五十七条第（二）款规定，由主管部门对成交人进行处罚。</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p>
        </w:tc>
        <w:tc>
          <w:tcPr>
            <w:tcW w:w="1457" w:type="dxa"/>
            <w:gridSpan w:val="2"/>
            <w:vMerg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color w:val="000000"/>
                <w:sz w:val="21"/>
                <w:szCs w:val="21"/>
              </w:rPr>
            </w:pP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6.3成交人不能交付设备的，成交人向采购人偿付项目采购金额百分之十的违约金；造成严重后果的，根据《深圳经济特区政府采购条例》第五十七条第（二）款规定，由主管部门对成交人进行处罚。</w:t>
            </w:r>
          </w:p>
        </w:tc>
      </w:tr>
      <w:tr>
        <w:tblPrEx>
          <w:tblW w:w="5000" w:type="pct"/>
          <w:tblInd w:w="-84" w:type="dxa"/>
          <w:tblLayout w:type="fixed"/>
          <w:tblCellMar>
            <w:top w:w="0" w:type="dxa"/>
            <w:left w:w="108" w:type="dxa"/>
            <w:bottom w:w="0" w:type="dxa"/>
            <w:right w:w="108" w:type="dxa"/>
          </w:tblCellMar>
        </w:tblPrEx>
        <w:trPr>
          <w:trHeight w:val="454"/>
        </w:trPr>
        <w:tc>
          <w:tcPr>
            <w:tcW w:w="103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lang w:eastAsia="zh-CN"/>
              </w:rPr>
            </w:pPr>
            <w:r>
              <w:rPr>
                <w:rFonts w:ascii="宋体" w:eastAsia="宋体" w:hAnsi="宋体" w:cs="宋体" w:hint="eastAsia"/>
                <w:b/>
                <w:sz w:val="21"/>
                <w:szCs w:val="21"/>
                <w:lang w:eastAsia="zh-CN"/>
              </w:rPr>
              <w:t>7</w:t>
            </w:r>
          </w:p>
        </w:tc>
        <w:tc>
          <w:tcPr>
            <w:tcW w:w="1457"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center"/>
              <w:textAlignment w:val="auto"/>
              <w:rPr>
                <w:rFonts w:ascii="宋体" w:eastAsia="宋体" w:hAnsi="宋体" w:cs="宋体" w:hint="eastAsia"/>
                <w:b/>
                <w:sz w:val="21"/>
                <w:szCs w:val="21"/>
              </w:rPr>
            </w:pPr>
            <w:r>
              <w:rPr>
                <w:rFonts w:ascii="宋体" w:eastAsia="宋体" w:hAnsi="宋体" w:cs="宋体" w:hint="eastAsia"/>
                <w:b/>
                <w:bCs/>
                <w:color w:val="FF0000"/>
                <w:sz w:val="21"/>
                <w:szCs w:val="21"/>
                <w:lang w:eastAsia="zh-CN" w:bidi="ar"/>
              </w:rPr>
              <w:t>★</w:t>
            </w:r>
            <w:r>
              <w:rPr>
                <w:rFonts w:ascii="宋体" w:eastAsia="宋体" w:hAnsi="宋体" w:cs="宋体" w:hint="eastAsia"/>
                <w:b/>
                <w:color w:val="000000"/>
                <w:sz w:val="21"/>
                <w:szCs w:val="21"/>
              </w:rPr>
              <w:t>其他</w:t>
            </w:r>
          </w:p>
        </w:tc>
        <w:tc>
          <w:tcPr>
            <w:tcW w:w="72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7</w:t>
            </w:r>
            <w:r>
              <w:rPr>
                <w:rFonts w:ascii="宋体" w:eastAsia="宋体" w:hAnsi="宋体" w:cs="宋体" w:hint="eastAsia"/>
                <w:color w:val="000000"/>
                <w:sz w:val="21"/>
                <w:szCs w:val="21"/>
              </w:rPr>
              <w:t xml:space="preserve">.1 </w:t>
            </w:r>
            <w:r>
              <w:rPr>
                <w:rFonts w:ascii="宋体" w:eastAsia="宋体" w:hAnsi="宋体" w:cs="宋体" w:hint="eastAsia"/>
                <w:color w:val="000000"/>
                <w:sz w:val="21"/>
                <w:szCs w:val="21"/>
                <w:lang w:eastAsia="zh-CN"/>
              </w:rPr>
              <w:t>成交人应按其响应文件中的承诺，进行其他售后服务工作。</w:t>
            </w:r>
          </w:p>
        </w:tc>
      </w:tr>
    </w:tbl>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adjustRightInd w:val="0"/>
        <w:spacing w:line="320" w:lineRule="atLeast"/>
        <w:jc w:val="both"/>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2</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5"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6" w:name="_Hlk72263559"/>
      <w:r>
        <w:rPr>
          <w:rFonts w:ascii="宋体" w:eastAsia="宋体" w:hAnsi="宋体" w:cstheme="minorBidi" w:hint="eastAsia"/>
          <w:b/>
          <w:kern w:val="2"/>
          <w:lang w:eastAsia="zh-CN"/>
        </w:rPr>
        <w:t>2.关于填写“开标一览表”的说明：“开标一览表”中除“投标总价”外，其他信息不作评审依据。</w:t>
      </w:r>
      <w:bookmarkEnd w:id="15"/>
      <w:bookmarkEnd w:id="16"/>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7"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8" w:name="_Hlk73818812"/>
      <w:r>
        <w:rPr>
          <w:rFonts w:ascii="Calibri" w:eastAsia="宋体" w:hAnsi="Calibri" w:cstheme="minorBidi" w:hint="eastAsia"/>
          <w:kern w:val="2"/>
          <w:sz w:val="21"/>
          <w:szCs w:val="21"/>
          <w:lang w:eastAsia="zh-CN"/>
        </w:rPr>
        <w:t>1、根据已收到贵单位的项目编号为LHAZXDL-2025-00344的</w:t>
      </w:r>
      <w:r>
        <w:rPr>
          <w:rFonts w:ascii="Calibri" w:eastAsia="宋体" w:hAnsi="Calibri" w:cstheme="minorBidi" w:hint="eastAsia"/>
          <w:kern w:val="2"/>
          <w:sz w:val="21"/>
          <w:szCs w:val="21"/>
          <w:u w:val="thick"/>
          <w:lang w:eastAsia="zh-CN"/>
        </w:rPr>
        <w:t>医疗设备一批（灌注吸引系统等）</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ascii="Calibri" w:eastAsia="宋体" w:hAnsi="Calibri" w:cstheme="minorBidi" w:hint="eastAsia"/>
          <w:kern w:val="2"/>
          <w:sz w:val="21"/>
          <w:szCs w:val="21"/>
          <w:lang w:eastAsia="zh-CN"/>
        </w:rPr>
        <w:t>愿意按照招标文件要求承包上述项目并修补其任何缺陷。</w:t>
      </w:r>
      <w:bookmarkEnd w:id="19"/>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0"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8"/>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7"/>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1"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2" w:name="_Hlk72587269"/>
      <w:bookmarkStart w:id="23"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2"/>
      <w:r>
        <w:rPr>
          <w:rFonts w:ascii="宋体" w:eastAsia="宋体" w:hAnsi="宋体" w:cs="宋体" w:hint="eastAsia"/>
          <w:sz w:val="21"/>
          <w:szCs w:val="21"/>
        </w:rPr>
        <w:t>。</w:t>
      </w:r>
    </w:p>
    <w:bookmarkEnd w:id="23"/>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1"/>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5" w:name="_Hlk72257908"/>
      <w:r>
        <w:rPr>
          <w:rFonts w:ascii="黑体" w:eastAsia="黑体" w:hAnsi="宋体" w:cstheme="minorBidi" w:hint="eastAsia"/>
          <w:bCs/>
          <w:szCs w:val="32"/>
          <w:lang w:eastAsia="zh-CN"/>
        </w:rPr>
        <w:t>（二）中小企业声明函、残疾人福利性单位声明函及监狱企业声明函</w:t>
      </w:r>
    </w:p>
    <w:bookmarkEnd w:id="24"/>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6"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6"/>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7" w:name="_Hlk73562331"/>
      <w:bookmarkStart w:id="28"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7"/>
    </w:p>
    <w:bookmarkEnd w:id="28"/>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5"/>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ind w:firstLine="480" w:firstLineChars="200"/>
        <w:jc w:val="center"/>
        <w:outlineLvl w:val="3"/>
        <w:rPr>
          <w:rFonts w:ascii="宋体" w:eastAsia="宋体" w:hAnsi="宋体" w:hint="eastAsia"/>
          <w:b/>
          <w:szCs w:val="32"/>
          <w:lang w:eastAsia="zh-CN"/>
        </w:rPr>
      </w:pPr>
      <w:r>
        <w:rPr>
          <w:rFonts w:ascii="宋体" w:eastAsia="宋体" w:hAnsi="宋体" w:cstheme="minorBidi" w:hint="eastAsia"/>
          <w:b/>
          <w:szCs w:val="32"/>
          <w:lang w:eastAsia="zh-CN"/>
        </w:rPr>
        <w:t>（三）供应商基本情况表</w:t>
      </w:r>
    </w:p>
    <w:p>
      <w:pPr>
        <w:widowControl w:val="0"/>
        <w:spacing w:line="360" w:lineRule="auto"/>
        <w:ind w:firstLine="420" w:firstLineChars="200"/>
        <w:jc w:val="both"/>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 xml:space="preserve">填表单位： </w:t>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项目名称</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劳动合同</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缴纳社会</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b/>
                <w:bCs/>
                <w:color w:val="000000"/>
                <w:sz w:val="21"/>
                <w:szCs w:val="21"/>
                <w:lang w:eastAsia="zh-CN"/>
              </w:rPr>
            </w:pPr>
            <w:r>
              <w:rPr>
                <w:rFonts w:ascii="宋体" w:hAnsi="宋体" w:hint="eastAsia"/>
                <w:b/>
                <w:bCs/>
                <w:color w:val="000000"/>
                <w:sz w:val="21"/>
                <w:szCs w:val="21"/>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ind w:firstLine="420" w:firstLineChars="200"/>
              <w:rPr>
                <w:rFonts w:ascii="宋体" w:hAnsi="宋体"/>
                <w:color w:val="FF0000"/>
                <w:sz w:val="21"/>
                <w:szCs w:val="21"/>
                <w:lang w:eastAsia="zh-CN"/>
              </w:rPr>
            </w:pPr>
            <w:r>
              <w:rPr>
                <w:rFonts w:ascii="宋体" w:hAnsi="宋体" w:hint="eastAsia"/>
                <w:b/>
                <w:bCs/>
                <w:color w:val="000000"/>
                <w:sz w:val="21"/>
                <w:szCs w:val="21"/>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需附上相关人员社保 （近3个月内的任意一个月社保缴交凭证证明）</w:t>
      </w:r>
    </w:p>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4"/>
        <w:gridCol w:w="1120"/>
        <w:gridCol w:w="741"/>
        <w:gridCol w:w="740"/>
        <w:gridCol w:w="740"/>
        <w:gridCol w:w="751"/>
        <w:gridCol w:w="517"/>
        <w:gridCol w:w="762"/>
        <w:gridCol w:w="1116"/>
        <w:gridCol w:w="712"/>
        <w:gridCol w:w="118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55"/>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63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1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1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29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30"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630"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单项最高限价（元）</w:t>
            </w:r>
          </w:p>
        </w:tc>
        <w:tc>
          <w:tcPr>
            <w:tcW w:w="402" w:type="pc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单项</w:t>
            </w:r>
            <w:r>
              <w:rPr>
                <w:rFonts w:ascii="Calibri" w:eastAsia="宋体" w:hAnsi="Calibri" w:cstheme="minorBidi" w:hint="eastAsia"/>
                <w:kern w:val="2"/>
                <w:sz w:val="21"/>
                <w:szCs w:val="21"/>
                <w:lang w:eastAsia="zh-CN"/>
              </w:rPr>
              <w:t>投标报价(元)</w:t>
            </w:r>
          </w:p>
        </w:tc>
        <w:tc>
          <w:tcPr>
            <w:tcW w:w="666"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814"/>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63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3D 按压电动心肺复苏机</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190000.00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restart"/>
            <w:vAlign w:val="center"/>
          </w:tcPr>
          <w:p>
            <w:pPr>
              <w:widowControl w:val="0"/>
              <w:jc w:val="both"/>
              <w:rPr>
                <w:rFonts w:ascii="Calibri" w:eastAsia="宋体" w:hAnsi="Calibri"/>
                <w:kern w:val="2"/>
                <w:sz w:val="21"/>
                <w:szCs w:val="21"/>
                <w:lang w:eastAsia="zh-CN"/>
              </w:rPr>
            </w:pPr>
            <w:r>
              <w:rPr>
                <w:rFonts w:ascii="Calibri" w:eastAsia="宋体" w:hAnsi="Calibri" w:hint="eastAsia"/>
                <w:kern w:val="2"/>
                <w:sz w:val="21"/>
                <w:szCs w:val="21"/>
                <w:lang w:eastAsia="zh-CN"/>
              </w:rPr>
              <w:t>741000.00</w:t>
            </w:r>
          </w:p>
        </w:tc>
      </w:tr>
      <w:tr>
        <w:tblPrEx>
          <w:tblW w:w="5000" w:type="pct"/>
          <w:jc w:val="center"/>
          <w:tblLayout w:type="fixed"/>
          <w:tblCellMar>
            <w:top w:w="0" w:type="dxa"/>
            <w:left w:w="108" w:type="dxa"/>
            <w:bottom w:w="0" w:type="dxa"/>
            <w:right w:w="108" w:type="dxa"/>
          </w:tblCellMar>
        </w:tblPrEx>
        <w:trPr>
          <w:trHeight w:val="822"/>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632" w:type="pct"/>
            <w:vAlign w:val="center"/>
          </w:tcPr>
          <w:p>
            <w:pPr>
              <w:widowControl w:val="0"/>
              <w:jc w:val="center"/>
              <w:rPr>
                <w:rFonts w:ascii="Calibri" w:eastAsia="宋体" w:hAnsi="Calibri" w:hint="eastAsia"/>
                <w:kern w:val="2"/>
                <w:sz w:val="21"/>
                <w:szCs w:val="21"/>
                <w:lang w:eastAsia="zh-CN"/>
              </w:rPr>
            </w:pPr>
            <w:r>
              <w:rPr>
                <w:rFonts w:ascii="Calibri" w:eastAsia="宋体" w:hAnsi="Calibri" w:hint="eastAsia"/>
                <w:kern w:val="2"/>
                <w:sz w:val="21"/>
                <w:szCs w:val="21"/>
                <w:lang w:eastAsia="zh-CN"/>
              </w:rPr>
              <w:t>医用纯音测听仪</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95000.00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22"/>
          <w:jc w:val="center"/>
        </w:trPr>
        <w:tc>
          <w:tcPr>
            <w:tcW w:w="267"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632" w:type="pct"/>
            <w:vAlign w:val="center"/>
          </w:tcPr>
          <w:p>
            <w:pPr>
              <w:widowControl w:val="0"/>
              <w:jc w:val="center"/>
              <w:rPr>
                <w:rFonts w:ascii="Calibri" w:eastAsia="宋体" w:hAnsi="Calibri" w:hint="eastAsia"/>
                <w:kern w:val="2"/>
                <w:sz w:val="21"/>
                <w:szCs w:val="21"/>
                <w:lang w:eastAsia="zh-CN"/>
              </w:rPr>
            </w:pPr>
            <w:r>
              <w:rPr>
                <w:rFonts w:ascii="Calibri" w:eastAsia="宋体" w:hAnsi="Calibri" w:hint="eastAsia"/>
                <w:kern w:val="2"/>
                <w:sz w:val="21"/>
                <w:szCs w:val="21"/>
                <w:lang w:eastAsia="zh-CN"/>
              </w:rPr>
              <w:t>灌注吸引系统</w:t>
            </w: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8" w:type="pct"/>
            <w:vAlign w:val="center"/>
          </w:tcPr>
          <w:p>
            <w:pPr>
              <w:widowControl w:val="0"/>
              <w:jc w:val="both"/>
              <w:rPr>
                <w:rFonts w:ascii="Calibri" w:eastAsia="宋体" w:hAnsi="Calibri"/>
                <w:kern w:val="2"/>
                <w:sz w:val="21"/>
                <w:szCs w:val="21"/>
                <w:lang w:eastAsia="zh-CN"/>
              </w:rPr>
            </w:pPr>
          </w:p>
        </w:tc>
        <w:tc>
          <w:tcPr>
            <w:tcW w:w="419" w:type="pct"/>
            <w:vAlign w:val="center"/>
          </w:tcPr>
          <w:p>
            <w:pPr>
              <w:widowControl w:val="0"/>
              <w:jc w:val="both"/>
              <w:rPr>
                <w:rFonts w:ascii="Calibri" w:eastAsia="宋体" w:hAnsi="Calibri"/>
                <w:kern w:val="2"/>
                <w:sz w:val="21"/>
                <w:szCs w:val="21"/>
                <w:lang w:eastAsia="zh-CN"/>
              </w:rPr>
            </w:pPr>
          </w:p>
        </w:tc>
        <w:tc>
          <w:tcPr>
            <w:tcW w:w="292"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1</w:t>
            </w:r>
          </w:p>
        </w:tc>
        <w:tc>
          <w:tcPr>
            <w:tcW w:w="430" w:type="pct"/>
            <w:vAlign w:val="center"/>
          </w:tcPr>
          <w:p>
            <w:pPr>
              <w:widowControl w:val="0"/>
              <w:jc w:val="center"/>
              <w:rPr>
                <w:rFonts w:ascii="Calibri" w:eastAsia="宋体" w:hAnsi="Calibri"/>
                <w:kern w:val="2"/>
                <w:sz w:val="21"/>
                <w:szCs w:val="21"/>
                <w:lang w:eastAsia="zh-CN"/>
              </w:rPr>
            </w:pPr>
            <w:r>
              <w:rPr>
                <w:rFonts w:ascii="Calibri" w:eastAsia="宋体" w:hAnsi="Calibri" w:hint="eastAsia"/>
                <w:kern w:val="2"/>
                <w:sz w:val="21"/>
                <w:szCs w:val="21"/>
                <w:lang w:eastAsia="zh-CN"/>
              </w:rPr>
              <w:t>套</w:t>
            </w:r>
          </w:p>
        </w:tc>
        <w:tc>
          <w:tcPr>
            <w:tcW w:w="630" w:type="pct"/>
            <w:vAlign w:val="center"/>
          </w:tcPr>
          <w:p>
            <w:pPr>
              <w:keepNext w:val="0"/>
              <w:keepLines w:val="0"/>
              <w:widowControl/>
              <w:suppressLineNumbers w:val="0"/>
              <w:jc w:val="center"/>
              <w:textAlignment w:val="center"/>
              <w:rPr>
                <w:rFonts w:ascii="Calibri" w:eastAsia="宋体" w:hAnsi="Calibri"/>
                <w:kern w:val="2"/>
                <w:sz w:val="21"/>
                <w:szCs w:val="21"/>
                <w:lang w:eastAsia="zh-CN"/>
              </w:rPr>
            </w:pPr>
            <w:r>
              <w:rPr>
                <w:rFonts w:ascii="宋体" w:eastAsia="宋体" w:hAnsi="宋体" w:cs="宋体" w:hint="eastAsia"/>
                <w:color w:val="000000"/>
                <w:sz w:val="21"/>
                <w:szCs w:val="21"/>
                <w:lang w:eastAsia="zh-CN" w:bidi="ar"/>
              </w:rPr>
              <w:t>456000.00</w:t>
            </w:r>
          </w:p>
        </w:tc>
        <w:tc>
          <w:tcPr>
            <w:tcW w:w="402" w:type="pct"/>
            <w:vAlign w:val="center"/>
          </w:tcPr>
          <w:p>
            <w:pPr>
              <w:widowControl w:val="0"/>
              <w:jc w:val="both"/>
              <w:rPr>
                <w:rFonts w:ascii="Calibri" w:eastAsia="宋体" w:hAnsi="Calibri"/>
                <w:kern w:val="2"/>
                <w:sz w:val="21"/>
                <w:szCs w:val="21"/>
                <w:lang w:eastAsia="zh-CN"/>
              </w:rPr>
            </w:pPr>
          </w:p>
        </w:tc>
        <w:tc>
          <w:tcPr>
            <w:tcW w:w="666"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4"/>
          <w:jc w:val="center"/>
        </w:trPr>
        <w:tc>
          <w:tcPr>
            <w:tcW w:w="2577"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422" w:type="pct"/>
            <w:gridSpan w:val="5"/>
            <w:vAlign w:val="center"/>
          </w:tcPr>
          <w:p>
            <w:pPr>
              <w:widowControl w:val="0"/>
              <w:jc w:val="both"/>
              <w:rPr>
                <w:rFonts w:ascii="Calibri" w:eastAsia="宋体" w:hAnsi="Calibri"/>
                <w:kern w:val="2"/>
                <w:sz w:val="21"/>
                <w:szCs w:val="21"/>
                <w:lang w:eastAsia="zh-CN"/>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6.以上分项报价表的投标总价应当与开标一览表的投标总价一致。</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（三）零配件、消耗品和延续保修合同报价明细清单（非项目需求要求的必备配件，此部分不包括在总报价内）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29" w:name="_Hlk72092499"/>
      <w:r>
        <w:rPr>
          <w:rFonts w:ascii="黑体" w:eastAsia="黑体" w:hAnsi="宋体" w:cstheme="minorBidi" w:hint="eastAsia"/>
          <w:b/>
          <w:kern w:val="2"/>
          <w:sz w:val="30"/>
          <w:szCs w:val="30"/>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4"/>
        </w:numPr>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6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jc w:val="both"/>
        <w:rPr>
          <w:rFonts w:ascii="宋体" w:eastAsia="宋体" w:hAnsi="宋体"/>
          <w:kern w:val="2"/>
          <w:szCs w:val="22"/>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2、投标时提供项目投标授权代表人近三个月（含开标当月）中的任意一个月的社会保险证明。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注：</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（1）投标人应如实提供上述人员的社会保险证明，如上述人员的社会保险未由投标人缴纳，亦须提供相应单位为其缴纳的社会保险证明。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（2）投标人为新成立企业且成立时间不足一个月可提供加盖投标人公章的情况说明或者证明材料亦视为符合。</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（3）若为退休人员，提供退休证明。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（4）如依法不需要缴纳社会保险的，应提供相应文件证明。</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（5）若因为社保部门或税务部门原因无法提供的，需提供劳动合同及社保部门或税务部门官方通知证明（或官网公告截图）。</w:t>
      </w:r>
    </w:p>
    <w:p>
      <w:pPr>
        <w:widowControl w:val="0"/>
        <w:spacing w:line="360" w:lineRule="auto"/>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（6）如本项目未安排项目投标授权代表人的，无需提供投标授权代表人的社保。</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c>
          <w:tcPr>
            <w:tcW w:w="4250" w:type="dxa"/>
          </w:tcPr>
          <w:p>
            <w:pPr>
              <w:spacing w:line="360" w:lineRule="auto"/>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spacing w:line="360" w:lineRule="auto"/>
              <w:jc w:val="center"/>
              <w:rPr>
                <w:rFonts w:ascii="宋体" w:hAnsi="宋体" w:cs="宋体" w:hint="eastAsia"/>
                <w:b/>
                <w:bCs/>
                <w:kern w:val="2"/>
                <w:szCs w:val="22"/>
                <w:lang w:eastAsia="zh-CN"/>
              </w:rPr>
            </w:pPr>
          </w:p>
          <w:p>
            <w:pPr>
              <w:spacing w:line="360" w:lineRule="auto"/>
              <w:jc w:val="center"/>
              <w:rPr>
                <w:rFonts w:ascii="宋体" w:hAnsi="宋体" w:cs="宋体" w:hint="eastAsia"/>
                <w:kern w:val="2"/>
                <w:szCs w:val="22"/>
                <w:lang w:eastAsia="zh-CN"/>
              </w:rPr>
            </w:pPr>
          </w:p>
        </w:tc>
      </w:tr>
    </w:tbl>
    <w:p>
      <w:pPr>
        <w:widowControl w:val="0"/>
        <w:tabs>
          <w:tab w:val="left" w:pos="651"/>
        </w:tabs>
        <w:snapToGrid w:val="0"/>
        <w:rPr>
          <w:rFonts w:ascii="宋体" w:eastAsia="宋体" w:hAnsi="宋体" w:hint="eastAsia"/>
          <w:lang w:eastAsia="zh-CN"/>
        </w:rPr>
      </w:pPr>
    </w:p>
    <w:p>
      <w:pPr>
        <w:widowControl w:val="0"/>
        <w:spacing w:after="120" w:line="240" w:lineRule="auto"/>
        <w:ind w:left="480" w:firstLine="420" w:leftChars="200" w:firstLineChars="200"/>
        <w:jc w:val="both"/>
        <w:rPr>
          <w:rFonts w:ascii="黑体" w:eastAsia="黑体" w:hAnsi="Calibri"/>
          <w:lang w:eastAsia="zh-CN"/>
        </w:rPr>
      </w:pPr>
      <w:r>
        <w:rPr>
          <w:rFonts w:ascii="宋体" w:eastAsia="宋体" w:hAnsi="宋体" w:cs="宋体"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八、</w:t>
      </w:r>
      <w:bookmarkStart w:id="30" w:name="_Hlk72092634"/>
      <w:r>
        <w:rPr>
          <w:rFonts w:ascii="黑体" w:eastAsia="黑体" w:hint="eastAsia"/>
          <w:b/>
          <w:bCs/>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r>
        <w:rPr>
          <w:rFonts w:ascii="宋体" w:eastAsia="宋体" w:hAnsi="宋体" w:hint="eastAsia"/>
          <w:color w:val="FF0000"/>
          <w:kern w:val="2"/>
          <w:lang w:eastAsia="zh-CN"/>
        </w:rPr>
        <w:t>温馨提示：下述两个附件内容投标人必须提供，否则作投标无效处理；</w:t>
      </w: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r>
        <w:rPr>
          <w:rFonts w:ascii="宋体" w:eastAsia="宋体" w:hAnsi="宋体" w:hint="eastAsia"/>
          <w:b/>
          <w:bCs/>
          <w:color w:val="FF0000"/>
          <w:szCs w:val="20"/>
          <w:lang w:eastAsia="zh-CN"/>
        </w:rPr>
        <w:t>附件1：</w:t>
      </w:r>
    </w:p>
    <w:p>
      <w:pPr>
        <w:widowControl w:val="0"/>
        <w:jc w:val="center"/>
        <w:rPr>
          <w:rFonts w:ascii="宋体" w:eastAsia="宋体" w:hAnsi="宋体" w:hint="eastAsia"/>
          <w:b/>
          <w:bCs/>
          <w:szCs w:val="20"/>
          <w:lang w:eastAsia="zh-CN"/>
        </w:rPr>
      </w:pPr>
      <w:r>
        <w:rPr>
          <w:rFonts w:ascii="宋体" w:eastAsia="宋体" w:hAnsi="宋体" w:hint="eastAsia"/>
          <w:b/>
          <w:bCs/>
          <w:szCs w:val="20"/>
          <w:lang w:eastAsia="zh-CN"/>
        </w:rPr>
        <w:t>《产品原厂保修承诺函》</w:t>
      </w:r>
    </w:p>
    <w:p>
      <w:pPr>
        <w:widowControl w:val="0"/>
        <w:jc w:val="center"/>
        <w:rPr>
          <w:rFonts w:ascii="宋体" w:eastAsia="宋体" w:hAnsi="宋体" w:hint="eastAsia"/>
          <w:b/>
          <w:bCs/>
          <w:szCs w:val="20"/>
          <w:lang w:eastAsia="zh-CN"/>
        </w:rPr>
      </w:pPr>
      <w:r>
        <w:rPr>
          <w:rFonts w:ascii="宋体" w:eastAsia="宋体" w:hAnsi="宋体" w:hint="eastAsia"/>
          <w:b/>
          <w:bCs/>
          <w:szCs w:val="20"/>
          <w:lang w:eastAsia="zh-CN"/>
        </w:rPr>
        <w:t>（内容格式自拟）</w:t>
      </w:r>
    </w:p>
    <w:p>
      <w:pPr>
        <w:widowControl w:val="0"/>
        <w:jc w:val="center"/>
        <w:rPr>
          <w:rFonts w:ascii="宋体" w:eastAsia="宋体" w:hAnsi="宋体" w:hint="eastAsia"/>
          <w:b/>
          <w:bCs/>
          <w:szCs w:val="20"/>
          <w:lang w:eastAsia="zh-CN"/>
        </w:rPr>
      </w:pPr>
    </w:p>
    <w:p>
      <w:pPr>
        <w:widowControl w:val="0"/>
        <w:jc w:val="center"/>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r>
        <w:rPr>
          <w:rFonts w:ascii="宋体" w:eastAsia="宋体" w:hAnsi="宋体" w:hint="eastAsia"/>
          <w:b/>
          <w:bCs/>
          <w:color w:val="FF0000"/>
          <w:szCs w:val="20"/>
          <w:lang w:eastAsia="zh-CN"/>
        </w:rPr>
        <w:t>附件2：</w:t>
      </w:r>
      <w:r>
        <w:rPr>
          <w:rFonts w:ascii="宋体" w:eastAsia="宋体" w:hAnsi="宋体" w:hint="eastAsia"/>
          <w:b/>
          <w:bCs/>
          <w:szCs w:val="20"/>
          <w:lang w:eastAsia="zh-CN"/>
        </w:rPr>
        <w:t>投标人所提供的产品，设计使用年限≥5年（提供设备铭牌实物图片或其他证明材料）</w:t>
      </w: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widowControl w:val="0"/>
        <w:jc w:val="left"/>
        <w:rPr>
          <w:rFonts w:ascii="宋体" w:eastAsia="宋体" w:hAnsi="宋体" w:hint="eastAsia"/>
          <w:b/>
          <w:bCs/>
          <w:szCs w:val="20"/>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（一）免费保修期内售后服务要求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bCs/>
                <w:kern w:val="2"/>
                <w:sz w:val="21"/>
                <w:szCs w:val="22"/>
                <w:lang w:eastAsia="zh-CN"/>
              </w:rPr>
            </w:pPr>
            <w:r>
              <w:rPr>
                <w:rFonts w:ascii="宋体" w:eastAsia="宋体" w:hAnsi="宋体" w:cs="宋体" w:hint="eastAsia"/>
                <w:b/>
                <w:sz w:val="21"/>
                <w:szCs w:val="21"/>
              </w:rPr>
              <w:t>（二）免费保修期外售后服务要求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856" w:type="dxa"/>
            <w:gridSpan w:val="6"/>
            <w:vAlign w:val="center"/>
          </w:tcPr>
          <w:p>
            <w:pPr>
              <w:widowControl w:val="0"/>
              <w:jc w:val="both"/>
              <w:rPr>
                <w:rFonts w:ascii="Calibri" w:eastAsia="宋体" w:hAnsi="Calibri"/>
                <w:kern w:val="2"/>
                <w:sz w:val="21"/>
                <w:szCs w:val="22"/>
                <w:lang w:eastAsia="zh-CN"/>
              </w:rPr>
            </w:pPr>
            <w:r>
              <w:rPr>
                <w:rFonts w:ascii="宋体" w:eastAsia="宋体" w:hAnsi="宋体" w:cs="宋体" w:hint="eastAsia"/>
                <w:b/>
                <w:sz w:val="21"/>
                <w:szCs w:val="21"/>
              </w:rPr>
              <w:t>（三）其他商务要求</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p>
        </w:tc>
        <w:tc>
          <w:tcPr>
            <w:tcW w:w="2404"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十一、技术保障措施（格式自拟）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十二、</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宋体" w:eastAsia="宋体" w:hAnsi="宋体" w:hint="eastAsia"/>
          <w:szCs w:val="20"/>
          <w:lang w:eastAsia="zh-CN"/>
        </w:rPr>
      </w:pPr>
      <w:r>
        <w:rPr>
          <w:rFonts w:ascii="宋体" w:eastAsia="宋体" w:hAnsi="宋体" w:cstheme="minorBidi" w:hint="eastAsia"/>
          <w:szCs w:val="20"/>
          <w:lang w:eastAsia="zh-CN"/>
        </w:rPr>
        <w:t>（一）政府采购违法行为风险知悉确认书</w:t>
      </w:r>
    </w:p>
    <w:p>
      <w:pPr>
        <w:jc w:val="center"/>
        <w:rPr>
          <w:rFonts w:ascii="宋体" w:eastAsia="宋体" w:hAnsi="宋体" w:hint="eastAsia"/>
          <w:szCs w:val="20"/>
          <w:lang w:eastAsia="zh-CN"/>
        </w:rPr>
      </w:pPr>
    </w:p>
    <w:p>
      <w:pPr>
        <w:spacing w:after="120" w:afterLines="50" w:line="360" w:lineRule="exact"/>
        <w:ind w:firstLine="420" w:firstLineChars="20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序号</w:t>
            </w:r>
          </w:p>
        </w:tc>
        <w:tc>
          <w:tcPr>
            <w:tcW w:w="78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lang w:eastAsia="zh-CN"/>
              </w:rPr>
            </w:pPr>
            <w:r>
              <w:rPr>
                <w:rFonts w:ascii="宋体" w:hAnsi="宋体" w:cs="宋体" w:hint="eastAsia"/>
                <w:b/>
                <w:bCs/>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1</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与其他投标供应商的法定代表人、主要经营负责人、投标授权代表人、项目负责人、主要技术人员为</w:t>
            </w:r>
            <w:r>
              <w:rPr>
                <w:rFonts w:ascii="宋体" w:hAnsi="宋体" w:cs="宋体" w:hint="eastAsia"/>
                <w:b/>
                <w:bCs/>
                <w:sz w:val="21"/>
                <w:szCs w:val="21"/>
                <w:lang w:eastAsia="zh-CN"/>
              </w:rPr>
              <w:t>同一人、属同一单位或者在同一单位缴纳社会保险</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2</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参与本项目政府采购活动时，与其他投标供应商存在单位负责人为</w:t>
            </w:r>
            <w:r>
              <w:rPr>
                <w:rFonts w:ascii="宋体" w:hAnsi="宋体" w:cs="宋体" w:hint="eastAsia"/>
                <w:b/>
                <w:bCs/>
                <w:sz w:val="21"/>
                <w:szCs w:val="21"/>
                <w:lang w:eastAsia="zh-CN"/>
              </w:rPr>
              <w:t>同一人或直接控股、管理关系</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3</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与其他投标供应商的投标文件或部分投标文件</w:t>
            </w:r>
            <w:r>
              <w:rPr>
                <w:rFonts w:ascii="宋体" w:hAnsi="宋体" w:cs="宋体" w:hint="eastAsia"/>
                <w:b/>
                <w:bCs/>
                <w:sz w:val="21"/>
                <w:szCs w:val="21"/>
                <w:lang w:eastAsia="zh-CN"/>
              </w:rPr>
              <w:t>相互混装或存在非正常一致</w:t>
            </w:r>
            <w:r>
              <w:rPr>
                <w:rFonts w:ascii="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4</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与其他投标供应商的投标文件由</w:t>
            </w:r>
            <w:r>
              <w:rPr>
                <w:rFonts w:ascii="宋体" w:hAnsi="宋体" w:cs="宋体" w:hint="eastAsia"/>
                <w:b/>
                <w:bCs/>
                <w:sz w:val="21"/>
                <w:szCs w:val="21"/>
                <w:lang w:eastAsia="zh-CN"/>
              </w:rPr>
              <w:t>同一单位或者同一人编制</w:t>
            </w:r>
            <w:r>
              <w:rPr>
                <w:rFonts w:ascii="宋体" w:hAnsi="宋体" w:cs="宋体" w:hint="eastAsia"/>
                <w:sz w:val="21"/>
                <w:szCs w:val="21"/>
                <w:lang w:eastAsia="zh-CN"/>
              </w:rPr>
              <w:t>，或者使用</w:t>
            </w:r>
            <w:r>
              <w:rPr>
                <w:rFonts w:ascii="宋体" w:hAnsi="宋体" w:cs="宋体" w:hint="eastAsia"/>
                <w:b/>
                <w:bCs/>
                <w:sz w:val="21"/>
                <w:szCs w:val="21"/>
                <w:lang w:eastAsia="zh-CN"/>
              </w:rPr>
              <w:t>同一设备编制</w:t>
            </w:r>
            <w:r>
              <w:rPr>
                <w:rFonts w:ascii="宋体" w:hAnsi="宋体" w:cs="宋体" w:hint="eastAsia"/>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5</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提供</w:t>
            </w:r>
            <w:r>
              <w:rPr>
                <w:rFonts w:ascii="宋体" w:hAnsi="宋体" w:cs="宋体" w:hint="eastAsia"/>
                <w:b/>
                <w:bCs/>
                <w:sz w:val="21"/>
                <w:szCs w:val="21"/>
                <w:lang w:eastAsia="zh-CN"/>
              </w:rPr>
              <w:t>未经出具机构核实</w:t>
            </w:r>
            <w:r>
              <w:rPr>
                <w:rFonts w:ascii="宋体" w:hAnsi="宋体" w:cs="宋体" w:hint="eastAsia"/>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Borders>
              <w:top w:val="single" w:sz="4" w:space="0" w:color="auto"/>
              <w:left w:val="single" w:sz="4" w:space="0" w:color="auto"/>
              <w:bottom w:val="single" w:sz="4" w:space="0" w:color="auto"/>
              <w:right w:val="single" w:sz="4" w:space="0" w:color="auto"/>
            </w:tcBorders>
          </w:tcPr>
          <w:p>
            <w:pPr>
              <w:spacing w:line="400" w:lineRule="exact"/>
              <w:jc w:val="center"/>
              <w:rPr>
                <w:rFonts w:ascii="宋体" w:hAnsi="宋体" w:cs="宋体" w:hint="eastAsia"/>
                <w:sz w:val="21"/>
                <w:szCs w:val="21"/>
              </w:rPr>
            </w:pPr>
            <w:r>
              <w:rPr>
                <w:rFonts w:ascii="宋体" w:hAnsi="宋体" w:cs="宋体" w:hint="eastAsia"/>
                <w:sz w:val="21"/>
                <w:szCs w:val="21"/>
              </w:rPr>
              <w:t>6</w:t>
            </w:r>
          </w:p>
        </w:tc>
        <w:tc>
          <w:tcPr>
            <w:tcW w:w="7811"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s="宋体" w:hint="eastAsia"/>
                <w:sz w:val="21"/>
                <w:szCs w:val="21"/>
                <w:lang w:eastAsia="zh-CN"/>
              </w:rPr>
            </w:pPr>
            <w:r>
              <w:rPr>
                <w:rFonts w:ascii="宋体" w:hAnsi="宋体" w:cs="宋体" w:hint="eastAsia"/>
                <w:sz w:val="21"/>
                <w:szCs w:val="21"/>
                <w:lang w:eastAsia="zh-CN"/>
              </w:rPr>
              <w:t>擅自将投标密钥或电子营业执照出借他人使用或未妥善保管。</w:t>
            </w:r>
          </w:p>
        </w:tc>
      </w:tr>
    </w:tbl>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一、本公司已充分知悉“隐瞒真实情况，提供虚假资料”的法定情形，相关情形包括但不限于</w:t>
      </w:r>
      <w:r>
        <w:rPr>
          <w:rFonts w:ascii="宋体" w:eastAsia="宋体" w:hAnsi="宋体" w:cs="仿宋_GB2312" w:hint="eastAsia"/>
          <w:kern w:val="2"/>
          <w:sz w:val="21"/>
          <w:szCs w:val="21"/>
          <w:lang w:eastAsia="zh-CN"/>
        </w:rPr>
        <w:t>：</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（一）通过转让或者租借等方式从其他单位获取资格或者资质证书投标的。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（二）由其他单位或者其他单位负责人在投标供应商编制的投标文件上加盖印章或者签字的。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（三）项目负责人或者主要技术人员不是本单位人员的。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（四）投标保证金不是从投标供应商基本账户转出的。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（五）其他隐瞒真实情况、提供虚假资料的行为。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b/>
          <w:bCs/>
          <w:kern w:val="2"/>
          <w:sz w:val="21"/>
          <w:szCs w:val="21"/>
          <w:lang w:eastAsia="zh-CN"/>
        </w:rPr>
        <w:t>二、本公司已充分知悉“与其他采购参加人串通投标”的法定情形，相关情形包括但不限于：</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（一）投标供应商之间相互约定给予未中标的供应商利益补偿。</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（三）不同投标供应商的投标文件由同一单位或者同一人编制，或者由同一人分阶段参与编制的。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（四）不同投标供应商的投标文件或部分投标文件相互混装。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（五）不同投标供应商的投标文件内容存在非正常一致。</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（六）由同一单位工作人员为两家以上（含两家）供应商进行同一项投标活动的。</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（七）不同投标人的投标报价呈规律性差异。</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（八）不同投标人的投标保证金从同一单位或者个人的账户转出。</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（九）主管部门依照法律、法规认定的其他情形。</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三、本公司已充分知悉下列情形所对应的法律风险，并在投标前已对相关风险事项进行排查。</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kern w:val="2"/>
          <w:sz w:val="21"/>
          <w:szCs w:val="21"/>
          <w:lang w:eastAsia="zh-CN"/>
        </w:rPr>
        <w:t>（一）对于</w:t>
      </w:r>
      <w:r>
        <w:rPr>
          <w:rFonts w:ascii="宋体" w:eastAsia="宋体" w:hAnsi="宋体" w:hint="eastAsia"/>
          <w:kern w:val="2"/>
          <w:sz w:val="21"/>
          <w:szCs w:val="21"/>
          <w:lang w:eastAsia="zh-CN"/>
        </w:rPr>
        <w:t>从</w:t>
      </w:r>
      <w:r>
        <w:rPr>
          <w:rFonts w:ascii="宋体" w:eastAsia="宋体" w:hAnsi="宋体" w:cs="仿宋_GB2312" w:hint="eastAsia"/>
          <w:kern w:val="2"/>
          <w:sz w:val="21"/>
          <w:szCs w:val="21"/>
          <w:lang w:eastAsia="zh-CN"/>
        </w:rPr>
        <w:t>其他主体</w:t>
      </w:r>
      <w:r>
        <w:rPr>
          <w:rFonts w:ascii="宋体" w:eastAsia="宋体" w:hAnsi="宋体" w:hint="eastAsia"/>
          <w:kern w:val="2"/>
          <w:sz w:val="21"/>
          <w:szCs w:val="21"/>
          <w:lang w:eastAsia="zh-CN"/>
        </w:rPr>
        <w:t>获取</w:t>
      </w:r>
      <w:r>
        <w:rPr>
          <w:rFonts w:ascii="宋体" w:eastAsia="宋体" w:hAnsi="宋体" w:cs="仿宋_GB2312" w:hint="eastAsia"/>
          <w:kern w:val="2"/>
          <w:sz w:val="21"/>
          <w:szCs w:val="21"/>
          <w:lang w:eastAsia="zh-CN"/>
        </w:rPr>
        <w:t>的投标资料，供应商应审慎核查，确保投标资料的真实性。</w:t>
      </w:r>
      <w:r>
        <w:rPr>
          <w:rFonts w:ascii="宋体" w:eastAsia="宋体" w:hAnsi="宋体" w:cs="仿宋_GB2312"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（四）供应商应严格规范项目授权代表、员工参与招标投标的行为，加强对投标文件的审核。项目授权代表、员工</w:t>
      </w:r>
      <w:r>
        <w:rPr>
          <w:rFonts w:ascii="宋体" w:eastAsia="宋体" w:hAnsi="宋体" w:hint="eastAsia"/>
          <w:kern w:val="2"/>
          <w:sz w:val="21"/>
          <w:szCs w:val="21"/>
          <w:lang w:eastAsia="zh-CN"/>
        </w:rPr>
        <w:t>编制、上传</w:t>
      </w:r>
      <w:r>
        <w:rPr>
          <w:rFonts w:ascii="宋体" w:eastAsia="宋体" w:hAnsi="宋体" w:cs="仿宋_GB2312" w:hint="eastAsia"/>
          <w:kern w:val="2"/>
          <w:sz w:val="21"/>
          <w:szCs w:val="21"/>
          <w:lang w:eastAsia="zh-CN"/>
        </w:rPr>
        <w:t>投标文件</w:t>
      </w:r>
      <w:r>
        <w:rPr>
          <w:rFonts w:ascii="宋体" w:eastAsia="宋体" w:hAnsi="宋体" w:hint="eastAsia"/>
          <w:kern w:val="2"/>
          <w:sz w:val="21"/>
          <w:szCs w:val="21"/>
          <w:lang w:eastAsia="zh-CN"/>
        </w:rPr>
        <w:t>等行为</w:t>
      </w:r>
      <w:r>
        <w:rPr>
          <w:rFonts w:ascii="宋体" w:eastAsia="宋体" w:hAnsi="宋体" w:cs="仿宋_GB2312" w:hint="eastAsia"/>
          <w:kern w:val="2"/>
          <w:sz w:val="21"/>
          <w:szCs w:val="21"/>
          <w:lang w:eastAsia="zh-CN"/>
        </w:rPr>
        <w:t>违反政府采购法律法规或招标文件要求的，投标供应商应当依法承担相应法律责任。</w:t>
      </w:r>
    </w:p>
    <w:p>
      <w:pPr>
        <w:widowControl w:val="0"/>
        <w:spacing w:line="579"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（六）单位负责人为同一人或者存在直接控股、管理关系的不同供应商，不得参加同一合同项下的政府采购活动。相关情形</w:t>
      </w:r>
      <w:r>
        <w:rPr>
          <w:rFonts w:ascii="宋体" w:eastAsia="宋体" w:hAnsi="宋体" w:hint="eastAsia"/>
          <w:kern w:val="2"/>
          <w:sz w:val="21"/>
          <w:szCs w:val="21"/>
          <w:lang w:eastAsia="zh-CN"/>
        </w:rPr>
        <w:t>如</w:t>
      </w:r>
      <w:r>
        <w:rPr>
          <w:rFonts w:ascii="宋体" w:eastAsia="宋体" w:hAnsi="宋体" w:cs="仿宋_GB2312" w:hint="eastAsia"/>
          <w:kern w:val="2"/>
          <w:sz w:val="21"/>
          <w:szCs w:val="21"/>
          <w:lang w:eastAsia="zh-CN"/>
        </w:rPr>
        <w:t>查实，依法作投标无效处理；涉嫌串通投标等违法行为的，主管部门将依法调查处理。</w:t>
      </w:r>
    </w:p>
    <w:p>
      <w:pPr>
        <w:widowControl w:val="0"/>
        <w:spacing w:line="579" w:lineRule="exact"/>
        <w:ind w:firstLine="420" w:firstLineChars="200"/>
        <w:jc w:val="both"/>
        <w:rPr>
          <w:rFonts w:ascii="宋体" w:eastAsia="宋体" w:hAnsi="宋体" w:cs="仿宋_GB2312" w:hint="eastAsia"/>
          <w:b/>
          <w:bCs/>
          <w:kern w:val="2"/>
          <w:sz w:val="21"/>
          <w:szCs w:val="21"/>
          <w:lang w:eastAsia="zh-CN"/>
        </w:rPr>
      </w:pPr>
      <w:r>
        <w:rPr>
          <w:rFonts w:ascii="宋体" w:eastAsia="宋体" w:hAnsi="宋体" w:cs="仿宋_GB2312" w:hint="eastAsia"/>
          <w:b/>
          <w:bCs/>
          <w:kern w:val="2"/>
          <w:sz w:val="21"/>
          <w:szCs w:val="21"/>
          <w:lang w:eastAsia="zh-CN"/>
        </w:rPr>
        <w:t>四、本公司已充分知悉政府采购违法、违规行为的法律后果。</w:t>
      </w:r>
      <w:r>
        <w:rPr>
          <w:rFonts w:ascii="宋体" w:eastAsia="宋体" w:hAnsi="宋体" w:cs="仿宋_GB2312"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40" w:lineRule="exact"/>
        <w:ind w:firstLine="48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856"/>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hint="eastAsia"/>
                <w:spacing w:val="-4"/>
                <w:szCs w:val="21"/>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hint="eastAsia"/>
                <w:spacing w:val="-4"/>
                <w:szCs w:val="21"/>
              </w:rPr>
            </w:pPr>
          </w:p>
        </w:tc>
      </w:tr>
    </w:tbl>
    <w:p>
      <w:pPr>
        <w:widowControl w:val="0"/>
        <w:spacing w:line="579" w:lineRule="exact"/>
        <w:jc w:val="both"/>
        <w:rPr>
          <w:rFonts w:ascii="宋体" w:eastAsia="宋体" w:hAnsi="宋体" w:cs="仿宋_GB2312" w:hint="eastAsia"/>
          <w:kern w:val="2"/>
          <w:sz w:val="21"/>
          <w:szCs w:val="21"/>
          <w:u w:val="single"/>
          <w:lang w:eastAsia="zh-CN"/>
        </w:rPr>
      </w:pPr>
    </w:p>
    <w:p>
      <w:pPr>
        <w:widowControl w:val="0"/>
        <w:spacing w:line="560" w:lineRule="exact"/>
        <w:jc w:val="both"/>
        <w:rPr>
          <w:rFonts w:ascii="宋体" w:eastAsia="宋体" w:hAnsi="宋体" w:cs="宋体" w:hint="eastAsia"/>
          <w:kern w:val="2"/>
          <w:sz w:val="21"/>
          <w:szCs w:val="21"/>
          <w:lang w:eastAsia="zh-CN"/>
        </w:rPr>
      </w:pPr>
    </w:p>
    <w:p>
      <w:pPr>
        <w:widowControl w:val="0"/>
        <w:spacing w:before="60" w:beforeLines="25" w:after="60" w:afterLines="2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宋体" w:eastAsia="宋体" w:hAnsi="宋体" w:cstheme="minorBidi"/>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33" w:firstLineChars="206"/>
        <w:rPr>
          <w:rFonts w:ascii="宋体" w:eastAsia="宋体" w:hAnsi="宋体" w:cs="仿宋_GB2312" w:hint="eastAsia"/>
          <w:kern w:val="2"/>
          <w:sz w:val="21"/>
          <w:szCs w:val="21"/>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20" w:firstLineChars="200"/>
        <w:rPr>
          <w:rFonts w:ascii="宋体" w:eastAsia="宋体" w:hAnsi="宋体" w:cs="仿宋_GB2312" w:hint="eastAsia"/>
          <w:kern w:val="2"/>
          <w:sz w:val="21"/>
          <w:szCs w:val="21"/>
          <w:lang w:eastAsia="zh-CN"/>
        </w:rPr>
      </w:pPr>
    </w:p>
    <w:p>
      <w:pPr>
        <w:jc w:val="center"/>
        <w:rPr>
          <w:rFonts w:ascii="宋体" w:eastAsia="宋体" w:hAnsi="宋体" w:hint="eastAsia"/>
          <w:sz w:val="21"/>
          <w:szCs w:val="21"/>
          <w:lang w:eastAsia="zh-CN"/>
        </w:rPr>
      </w:pPr>
      <w:r>
        <w:rPr>
          <w:rFonts w:ascii="宋体" w:eastAsia="宋体" w:hAnsi="宋体" w:cstheme="minorBidi" w:hint="eastAsia"/>
          <w:sz w:val="21"/>
          <w:szCs w:val="21"/>
          <w:lang w:eastAsia="zh-CN"/>
        </w:rPr>
        <w:t>（二）投标人认为需要加以说明的其他内容（格式自定）</w:t>
      </w:r>
    </w:p>
    <w:p>
      <w:pPr>
        <w:widowControl w:val="0"/>
        <w:spacing w:line="360" w:lineRule="auto"/>
        <w:jc w:val="both"/>
        <w:rPr>
          <w:rFonts w:ascii="宋体" w:eastAsia="宋体" w:hAnsi="宋体" w:cs="宋体" w:hint="eastAsia"/>
          <w:b/>
          <w:bCs/>
          <w:szCs w:val="20"/>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ind w:right="-900" w:firstLine="2218" w:rightChars="-375" w:firstLineChars="792"/>
        <w:rPr>
          <w:rFonts w:ascii="宋体" w:eastAsia="宋体" w:hAnsi="宋体" w:cs="宋体" w:hint="eastAsia"/>
          <w:b/>
          <w:sz w:val="28"/>
          <w:szCs w:val="28"/>
        </w:rPr>
      </w:pPr>
      <w:r>
        <w:rPr>
          <w:rFonts w:ascii="宋体" w:eastAsia="宋体" w:hAnsi="宋体" w:cs="宋体" w:hint="eastAsia"/>
          <w:b/>
          <w:sz w:val="28"/>
          <w:szCs w:val="28"/>
        </w:rPr>
        <w:t>医疗设备采购合同</w:t>
      </w:r>
    </w:p>
    <w:p>
      <w:pPr>
        <w:ind w:right="-900" w:firstLine="1663" w:rightChars="-375" w:firstLineChars="792"/>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                                          合同编号：</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甲方</w:t>
      </w:r>
      <w:r>
        <w:rPr>
          <w:rFonts w:ascii="宋体" w:eastAsia="宋体" w:hAnsi="宋体" w:cs="宋体" w:hint="eastAsia"/>
          <w:color w:val="000000"/>
          <w:sz w:val="21"/>
          <w:szCs w:val="21"/>
          <w:lang w:eastAsia="zh-CN"/>
        </w:rPr>
        <w:t>（采购单位）</w:t>
      </w:r>
      <w:r>
        <w:rPr>
          <w:rFonts w:ascii="宋体" w:eastAsia="宋体" w:hAnsi="宋体" w:cs="宋体" w:hint="eastAsia"/>
          <w:color w:val="000000"/>
          <w:sz w:val="21"/>
          <w:szCs w:val="21"/>
        </w:rPr>
        <w:t>：深圳市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 xml:space="preserve">中心医院                          </w:t>
      </w:r>
    </w:p>
    <w:p>
      <w:pPr>
        <w:spacing w:before="120" w:beforeLines="50" w:after="120" w:afterLines="50"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乙方（供货</w:t>
      </w:r>
      <w:r>
        <w:rPr>
          <w:rFonts w:ascii="宋体" w:eastAsia="宋体" w:hAnsi="宋体" w:cs="宋体" w:hint="eastAsia"/>
          <w:color w:val="000000"/>
          <w:sz w:val="21"/>
          <w:szCs w:val="21"/>
          <w:lang w:eastAsia="zh-CN"/>
        </w:rPr>
        <w:t>单位</w:t>
      </w:r>
      <w:r>
        <w:rPr>
          <w:rFonts w:ascii="宋体" w:eastAsia="宋体" w:hAnsi="宋体" w:cs="宋体" w:hint="eastAsia"/>
          <w:color w:val="000000"/>
          <w:sz w:val="21"/>
          <w:szCs w:val="21"/>
        </w:rPr>
        <w:t xml:space="preserve">）：         </w:t>
      </w:r>
    </w:p>
    <w:p>
      <w:pPr>
        <w:spacing w:before="120" w:beforeLines="50" w:after="120" w:afterLines="50" w:line="360" w:lineRule="auto"/>
        <w:ind w:firstLine="412" w:firstLineChars="196"/>
        <w:rPr>
          <w:rFonts w:ascii="宋体" w:eastAsia="宋体" w:hAnsi="宋体" w:cs="宋体" w:hint="eastAsia"/>
          <w:color w:val="000000"/>
          <w:sz w:val="21"/>
          <w:szCs w:val="21"/>
        </w:rPr>
      </w:pPr>
      <w:r>
        <w:rPr>
          <w:rFonts w:ascii="宋体" w:eastAsia="宋体" w:hAnsi="宋体" w:cs="宋体" w:hint="eastAsia"/>
          <w:color w:val="000000"/>
          <w:sz w:val="21"/>
          <w:szCs w:val="21"/>
        </w:rPr>
        <w:t>合同签订</w:t>
      </w:r>
      <w:r>
        <w:rPr>
          <w:rFonts w:ascii="宋体" w:eastAsia="宋体" w:hAnsi="宋体" w:cs="宋体" w:hint="eastAsia"/>
          <w:color w:val="000000"/>
          <w:sz w:val="21"/>
          <w:szCs w:val="21"/>
          <w:lang w:eastAsia="zh-CN"/>
        </w:rPr>
        <w:t>双</w:t>
      </w:r>
      <w:r>
        <w:rPr>
          <w:rFonts w:ascii="宋体" w:eastAsia="宋体" w:hAnsi="宋体" w:cs="宋体" w:hint="eastAsia"/>
          <w:color w:val="000000"/>
          <w:sz w:val="21"/>
          <w:szCs w:val="21"/>
        </w:rPr>
        <w:t>方根据   年  月  日深圳市</w:t>
      </w:r>
      <w:r>
        <w:rPr>
          <w:rFonts w:ascii="宋体" w:eastAsia="宋体" w:hAnsi="宋体" w:cs="宋体" w:hint="eastAsia"/>
          <w:color w:val="000000"/>
          <w:sz w:val="21"/>
          <w:szCs w:val="21"/>
          <w:lang w:eastAsia="zh-CN"/>
        </w:rPr>
        <w:t>龙华区</w:t>
      </w:r>
      <w:r>
        <w:rPr>
          <w:rFonts w:ascii="宋体" w:eastAsia="宋体" w:hAnsi="宋体" w:cs="宋体" w:hint="eastAsia"/>
          <w:color w:val="000000"/>
          <w:sz w:val="21"/>
          <w:szCs w:val="21"/>
        </w:rPr>
        <w:t>中心医院</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lang w:eastAsia="zh-CN"/>
        </w:rPr>
        <w:t>项目（项目编号：   ）</w:t>
      </w:r>
      <w:r>
        <w:rPr>
          <w:rFonts w:ascii="宋体" w:eastAsia="宋体" w:hAnsi="宋体" w:cs="宋体" w:hint="eastAsia"/>
          <w:color w:val="000000"/>
          <w:sz w:val="21"/>
          <w:szCs w:val="21"/>
        </w:rPr>
        <w:t>招投标的结果和“招标文件”的要求，并经双方协调一致，达成购销合同：</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一、</w:t>
      </w:r>
      <w:r>
        <w:rPr>
          <w:rFonts w:ascii="宋体" w:eastAsia="宋体" w:hAnsi="宋体" w:cs="宋体" w:hint="eastAsia"/>
          <w:color w:val="000000"/>
          <w:sz w:val="21"/>
          <w:szCs w:val="21"/>
          <w:lang w:eastAsia="zh-CN"/>
        </w:rPr>
        <w:t>货物标的</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设备名称：</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设备型号：</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设备产地及厂家：</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设备单价（甲方地点交货价）：</w:t>
      </w:r>
    </w:p>
    <w:p>
      <w:pPr>
        <w:spacing w:line="360" w:lineRule="auto"/>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设备数量： </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二、合同总价：</w:t>
      </w:r>
      <w:r>
        <w:rPr>
          <w:rFonts w:ascii="宋体" w:eastAsia="宋体" w:hAnsi="宋体" w:cs="宋体" w:hint="eastAsia"/>
          <w:color w:val="000000"/>
          <w:sz w:val="21"/>
          <w:szCs w:val="21"/>
          <w:lang w:eastAsia="zh-CN"/>
        </w:rPr>
        <w:t xml:space="preserve">        元（大写：       ）</w:t>
      </w:r>
    </w:p>
    <w:p>
      <w:pPr>
        <w:keepNext w:val="0"/>
        <w:keepLines w:val="0"/>
        <w:pageBreakBefore w:val="0"/>
        <w:widowControl w:val="0"/>
        <w:kinsoku/>
        <w:wordWrap/>
        <w:overflowPunct/>
        <w:topLinePunct w:val="0"/>
        <w:autoSpaceDE/>
        <w:autoSpaceDN/>
        <w:bidi w:val="0"/>
        <w:adjustRightInd/>
        <w:snapToGrid/>
        <w:spacing w:line="360" w:lineRule="auto"/>
        <w:ind w:left="480" w:firstLine="0" w:leftChars="200" w:firstLineChars="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（此价包含设备的包装费、运费、装卸费、保险费、安装调试费、培训费、商检及计量检测费、关税、增值税和进口代理费等到达目的地相关</w:t>
      </w:r>
      <w:r>
        <w:rPr>
          <w:rFonts w:ascii="宋体" w:eastAsia="宋体" w:hAnsi="宋体" w:cs="宋体" w:hint="eastAsia"/>
          <w:color w:val="000000"/>
          <w:sz w:val="21"/>
          <w:szCs w:val="21"/>
          <w:lang w:eastAsia="zh-CN"/>
        </w:rPr>
        <w:t>所有</w:t>
      </w:r>
      <w:r>
        <w:rPr>
          <w:rFonts w:ascii="宋体" w:eastAsia="宋体" w:hAnsi="宋体" w:cs="宋体" w:hint="eastAsia"/>
          <w:color w:val="000000"/>
          <w:sz w:val="21"/>
          <w:szCs w:val="21"/>
        </w:rPr>
        <w:t xml:space="preserve">费用）。 </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三、设备质量及包装要求：</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1、乙方</w:t>
      </w:r>
      <w:r>
        <w:rPr>
          <w:rFonts w:ascii="宋体" w:eastAsia="宋体" w:hAnsi="宋体" w:cs="宋体" w:hint="eastAsia"/>
          <w:color w:val="000000"/>
          <w:sz w:val="21"/>
          <w:szCs w:val="21"/>
        </w:rPr>
        <w:t>应提供货物的技术文件，包括但不限于设备配置清单、产品说明书、图纸、操作手册、维护手册（含维修密码及接口数据）、质量保证文件、服务指南等，所有外文资料须提供中文译本。文件应随货物一并交付至</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提供的货物必须为全新、经检验合格的产品。产品如需要计量检定的应提供相关计量检定部门出具的合法检定报告。其中，进口设备必须具有报关证明文件、原产地证明和商检合格证明文件。</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3、设备运输过程中产生的风险由乙方承担，要求使用国际通用的标准包装，适合于长途运输，外包装到货时应完好无损。</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四、交货时间、地点：</w:t>
      </w:r>
    </w:p>
    <w:p>
      <w:pPr>
        <w:spacing w:line="360" w:lineRule="auto"/>
        <w:ind w:left="420" w:hanging="420" w:hangingChars="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乙方在合同</w:t>
      </w:r>
      <w:r>
        <w:rPr>
          <w:rFonts w:ascii="宋体" w:eastAsia="宋体" w:hAnsi="宋体" w:cs="宋体" w:hint="eastAsia"/>
          <w:color w:val="000000"/>
          <w:sz w:val="21"/>
          <w:szCs w:val="21"/>
          <w:lang w:eastAsia="zh-CN"/>
        </w:rPr>
        <w:t>生效</w:t>
      </w:r>
      <w:r>
        <w:rPr>
          <w:rFonts w:ascii="宋体" w:eastAsia="宋体" w:hAnsi="宋体" w:cs="宋体" w:hint="eastAsia"/>
          <w:color w:val="000000"/>
          <w:sz w:val="21"/>
          <w:szCs w:val="21"/>
        </w:rPr>
        <w:t>后</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个工作日内，将所供货物按</w:t>
      </w:r>
      <w:r>
        <w:rPr>
          <w:rFonts w:ascii="宋体" w:eastAsia="宋体" w:hAnsi="宋体" w:cs="宋体" w:hint="eastAsia"/>
          <w:color w:val="000000"/>
          <w:sz w:val="21"/>
          <w:szCs w:val="21"/>
          <w:u w:val="single"/>
        </w:rPr>
        <w:t>甲方书面要求运至甲方指定地点</w:t>
      </w:r>
      <w:r>
        <w:rPr>
          <w:rFonts w:ascii="宋体" w:eastAsia="宋体" w:hAnsi="宋体" w:cs="宋体" w:hint="eastAsia"/>
          <w:color w:val="000000"/>
          <w:sz w:val="21"/>
          <w:szCs w:val="21"/>
          <w:u w:val="single"/>
          <w:lang w:eastAsia="zh-CN"/>
        </w:rPr>
        <w:t>，并由甲方负责验收</w:t>
      </w:r>
      <w:r>
        <w:rPr>
          <w:rFonts w:ascii="宋体" w:eastAsia="宋体" w:hAnsi="宋体" w:cs="宋体" w:hint="eastAsia"/>
          <w:color w:val="000000"/>
          <w:sz w:val="21"/>
          <w:szCs w:val="21"/>
        </w:rPr>
        <w:t>。</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五、验收</w:t>
      </w:r>
      <w:r>
        <w:rPr>
          <w:rFonts w:ascii="宋体" w:eastAsia="宋体" w:hAnsi="宋体" w:cs="宋体" w:hint="eastAsia"/>
          <w:color w:val="000000"/>
          <w:sz w:val="21"/>
          <w:szCs w:val="21"/>
          <w:lang w:eastAsia="zh-CN"/>
        </w:rPr>
        <w:t>、培训</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1、设备到达后，乙方向甲方提供全套的材料/设备配置清单及检验产品合格证、使用说明书及其它的技术资料。</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2、进口设备还需提供正常报关证明和商检合格证明。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rPr>
        <w:t>3、甲方有权检验或测试货物，以确认货物是否符合合同规格的要求，并且不承担额外的费用。如果发现所交货物与投标文件中所承诺的不符或存在质量、技术缺陷等，甲方可以拒绝接收该货物，乙方应在30天内采取补足、更换或退货等措施，以满足规格的要求，由此发生的一切损失和费用由乙方承担。</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4、乙方负责货物的现场安装和调试,提供货物安装、调试和维修所需的专用工具和辅助材料。乙方应在货物运至指定地点后一周内开始安装调试，并在15天内安装调试完毕。</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outlineLvl w:val="9"/>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5、由乙方代表和甲方组成验收小组对产品进行验收。验收标准按照国家规定标准执行。设备经检验正常运作后签署验收报告，产品保修期自验收合格之日起算。</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sz w:val="21"/>
          <w:szCs w:val="21"/>
          <w:lang w:eastAsia="zh-CN"/>
        </w:rPr>
      </w:pPr>
      <w:r>
        <w:rPr>
          <w:rFonts w:ascii="宋体" w:eastAsia="宋体" w:hAnsi="宋体" w:cs="宋体" w:hint="eastAsia"/>
          <w:color w:val="000000"/>
          <w:sz w:val="21"/>
          <w:szCs w:val="21"/>
          <w:lang w:eastAsia="zh-CN"/>
        </w:rPr>
        <w:t>6、乙方应派合格的专业技术人员免费对甲方指定人员进行培训及指导，直至其完全掌握设备使用及设备的基本故障处理技术。</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六、售后服务：</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1、设备验收合格之日起，</w:t>
      </w:r>
      <w:r>
        <w:rPr>
          <w:rFonts w:ascii="宋体" w:eastAsia="宋体" w:hAnsi="宋体" w:cs="宋体" w:hint="eastAsia"/>
          <w:color w:val="000000"/>
          <w:sz w:val="21"/>
          <w:szCs w:val="21"/>
          <w:lang w:eastAsia="zh-CN"/>
        </w:rPr>
        <w:t>免费</w:t>
      </w:r>
      <w:r>
        <w:rPr>
          <w:rFonts w:ascii="宋体" w:eastAsia="宋体" w:hAnsi="宋体" w:cs="宋体" w:hint="eastAsia"/>
          <w:color w:val="000000"/>
          <w:sz w:val="21"/>
          <w:szCs w:val="21"/>
        </w:rPr>
        <w:t>保修</w:t>
      </w:r>
      <w:r>
        <w:rPr>
          <w:rFonts w:ascii="宋体" w:eastAsia="宋体" w:hAnsi="宋体" w:cs="宋体" w:hint="eastAsia"/>
          <w:sz w:val="21"/>
          <w:szCs w:val="21"/>
          <w:u w:val="single"/>
        </w:rPr>
        <w:t xml:space="preserve"> </w:t>
      </w:r>
      <w:r>
        <w:rPr>
          <w:rFonts w:ascii="宋体" w:eastAsia="宋体" w:hAnsi="宋体" w:cs="宋体" w:hint="eastAsia"/>
          <w:sz w:val="21"/>
          <w:szCs w:val="21"/>
          <w:u w:val="single"/>
          <w:lang w:eastAsia="zh-CN"/>
        </w:rPr>
        <w:t xml:space="preserve"> </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年，终身维修。</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color w:val="000000"/>
          <w:sz w:val="21"/>
          <w:szCs w:val="21"/>
        </w:rPr>
        <w:t>乙方承诺</w:t>
      </w: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rPr>
        <w:t>年内免费提供甲方软件升级。</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3、乙方必须提供由设备生产原厂签署承诺的合法、有效的保修、维修证明。</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4、乙方保证提供保修、维修、免费技术培训服务的工程师及技术人员，必须是原厂工程师及技术人员。</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5、乙方维修的设备经甲方验收合格，且甲方收到乙方提供维修专用发票后，甲方支付维修费用。不得要求甲方购买所谓“保修服务”（即：不论设备有无故障先买保修服务），不得在设备中嵌设任何不利于甲方使用与维修设备的障碍。</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6、乙方接到报障通知（包括但不限于电话、传真、电子邮件、邮政寄送等通知方式，并以这些方式的记载时间为通知时间）后，乙方应派出有资质的工程师在</w:t>
      </w:r>
      <w:r>
        <w:rPr>
          <w:rFonts w:ascii="宋体" w:eastAsia="宋体" w:hAnsi="宋体" w:cs="宋体" w:hint="eastAsia"/>
          <w:sz w:val="21"/>
          <w:szCs w:val="21"/>
          <w:u w:val="single"/>
          <w:lang w:eastAsia="zh-CN"/>
        </w:rPr>
        <w:t>24</w:t>
      </w:r>
      <w:r>
        <w:rPr>
          <w:rFonts w:ascii="宋体" w:eastAsia="宋体" w:hAnsi="宋体" w:cs="宋体" w:hint="eastAsia"/>
          <w:color w:val="000000"/>
          <w:sz w:val="21"/>
          <w:szCs w:val="21"/>
        </w:rPr>
        <w:t>小时内到达现场处理故障。易耗品和零配件供应及时，特殊情况下可提供备用机。</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sz w:val="21"/>
          <w:szCs w:val="21"/>
        </w:rPr>
        <w:t>7、在</w:t>
      </w:r>
      <w:r>
        <w:rPr>
          <w:rFonts w:ascii="宋体" w:eastAsia="宋体" w:hAnsi="宋体" w:cs="宋体" w:hint="eastAsia"/>
          <w:sz w:val="21"/>
          <w:szCs w:val="21"/>
          <w:lang w:eastAsia="zh-CN"/>
        </w:rPr>
        <w:t>免费</w:t>
      </w:r>
      <w:r>
        <w:rPr>
          <w:rFonts w:ascii="宋体" w:eastAsia="宋体" w:hAnsi="宋体" w:cs="宋体" w:hint="eastAsia"/>
          <w:sz w:val="21"/>
          <w:szCs w:val="21"/>
        </w:rPr>
        <w:t>保修期内，非甲方</w:t>
      </w:r>
      <w:r>
        <w:rPr>
          <w:rFonts w:ascii="宋体" w:eastAsia="宋体" w:hAnsi="宋体" w:cs="宋体" w:hint="eastAsia"/>
          <w:sz w:val="21"/>
          <w:szCs w:val="21"/>
          <w:lang w:eastAsia="zh-CN"/>
        </w:rPr>
        <w:t>故意损害</w:t>
      </w:r>
      <w:r>
        <w:rPr>
          <w:rFonts w:ascii="宋体" w:eastAsia="宋体" w:hAnsi="宋体" w:cs="宋体" w:hint="eastAsia"/>
          <w:sz w:val="21"/>
          <w:szCs w:val="21"/>
        </w:rPr>
        <w:t>而出现的质量问题，由乙方负责。乙方负责包修、包换或者包退，并承担修理、调换或退货的实际费用。免费保修期满后，乙方维修只收零配件费用，不收取人工费及其他费用。乙方应以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rPr>
        <w:t>8、乙方承诺提供易耗品及零配件优惠价格（详见附页）。</w:t>
      </w:r>
    </w:p>
    <w:p>
      <w:pPr>
        <w:keepNext w:val="0"/>
        <w:keepLines w:val="0"/>
        <w:pageBreakBefore w:val="0"/>
        <w:widowControl w:val="0"/>
        <w:kinsoku/>
        <w:wordWrap/>
        <w:topLinePunct w:val="0"/>
        <w:bidi w:val="0"/>
        <w:spacing w:line="360" w:lineRule="auto"/>
        <w:ind w:left="0" w:firstLine="420" w:leftChars="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9、乙方在接到甲方关于消耗品/零配件需求的通知后，没有按照规定的时间进行供货，每拖延一日，按合同总金额的</w:t>
      </w:r>
      <w:r>
        <w:rPr>
          <w:rFonts w:ascii="宋体" w:eastAsia="宋体" w:hAnsi="宋体" w:cs="宋体" w:hint="eastAsia"/>
          <w:color w:val="000000"/>
          <w:sz w:val="21"/>
          <w:szCs w:val="21"/>
          <w:lang w:eastAsia="zh-CN"/>
        </w:rPr>
        <w:t>0.</w:t>
      </w:r>
      <w:r>
        <w:rPr>
          <w:rFonts w:ascii="宋体" w:eastAsia="宋体" w:hAnsi="宋体" w:cs="宋体" w:hint="eastAsia"/>
          <w:color w:val="000000"/>
          <w:sz w:val="21"/>
          <w:szCs w:val="21"/>
        </w:rPr>
        <w:t>5%支付给甲方违约金或按实际损失进行赔偿。拖延时间超过七日，视为严重违约，甲方有权单方解除合同并予以退货，由此造成的一切经济损失由乙方承担。</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10、在免费保修期内, </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应确保年开机率在95%以上, 若不能达到此开机率，将作以下处理：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a. 若年开机率在90-95%之间，则延长一年免费保修期；</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b. 若年开机率在85-90%之间，则延长二年免费保修期；</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c. 若年开机率低于85%，</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必须无条件更换新机，并重新计算免费保修期，以及赔偿</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的直接经济损失和间接经济损失。</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20" w:leftChars="0" w:firstLineChars="2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注：</w:t>
      </w: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rPr>
        <w:t>年开机率=（365-停机天数）/365）；</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840" w:leftChars="0" w:firstLineChars="400"/>
        <w:jc w:val="both"/>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以上a、b两项可累计延长。</w:t>
      </w:r>
    </w:p>
    <w:p>
      <w:pPr>
        <w:spacing w:line="360" w:lineRule="auto"/>
        <w:rPr>
          <w:rFonts w:ascii="宋体" w:eastAsia="宋体" w:hAnsi="宋体" w:cs="宋体" w:hint="eastAsia"/>
          <w:sz w:val="21"/>
          <w:szCs w:val="21"/>
        </w:rPr>
      </w:pPr>
      <w:r>
        <w:rPr>
          <w:rFonts w:ascii="宋体" w:eastAsia="宋体" w:hAnsi="宋体" w:cs="宋体" w:hint="eastAsia"/>
          <w:sz w:val="21"/>
          <w:szCs w:val="21"/>
        </w:rPr>
        <w:t>七、付款条件及方式：</w:t>
      </w:r>
    </w:p>
    <w:p>
      <w:pPr>
        <w:spacing w:before="120" w:beforeLines="50"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货到安装调试验收合格后，乙方提交验收单、国家规定的全额正式发票（国内销售的进口设备还应提供相关的进口环节资料复印件），</w:t>
      </w:r>
      <w:r>
        <w:rPr>
          <w:rFonts w:ascii="宋体" w:eastAsia="宋体" w:hAnsi="宋体" w:cs="宋体" w:hint="eastAsia"/>
          <w:sz w:val="21"/>
          <w:szCs w:val="21"/>
          <w:u w:val="single"/>
        </w:rPr>
        <w:t>甲方应于一个月内支付中标金额的95%货款；余款5%作为履约保证金存放于甲方帐户（该保证金不计利息），在设备保修期满后，由使用部门确认无质量问题时，一个月内一次性退回保证金。</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八、违约责任：    </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rPr>
        <w:t>如</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未按照投标文件中承诺的时间交货或提供服务，</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应承担延期交货和延期服务的违约责任，并赔偿</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因此造成的实际经济损失。实际经济损失超出</w:t>
      </w:r>
      <w:r>
        <w:rPr>
          <w:rFonts w:ascii="宋体" w:eastAsia="宋体" w:hAnsi="宋体" w:cs="宋体" w:hint="eastAsia"/>
          <w:color w:val="000000"/>
          <w:sz w:val="21"/>
          <w:szCs w:val="21"/>
          <w:lang w:eastAsia="zh-CN"/>
        </w:rPr>
        <w:t>质保金</w:t>
      </w:r>
      <w:r>
        <w:rPr>
          <w:rFonts w:ascii="宋体" w:eastAsia="宋体" w:hAnsi="宋体" w:cs="宋体" w:hint="eastAsia"/>
          <w:color w:val="000000"/>
          <w:sz w:val="21"/>
          <w:szCs w:val="21"/>
        </w:rPr>
        <w:t>金额，</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有权终止合同。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2、乙方</w:t>
      </w:r>
      <w:r>
        <w:rPr>
          <w:rFonts w:ascii="宋体" w:eastAsia="宋体" w:hAnsi="宋体" w:cs="宋体" w:hint="eastAsia"/>
          <w:color w:val="000000"/>
          <w:sz w:val="21"/>
          <w:szCs w:val="21"/>
        </w:rPr>
        <w:t>所交设备的品种、型号、规格、质量、功能、技术参数等方面不能实质性满足招标文件要约的，</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有权拒绝收货，</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3、乙方</w:t>
      </w:r>
      <w:r>
        <w:rPr>
          <w:rFonts w:ascii="宋体" w:eastAsia="宋体" w:hAnsi="宋体" w:cs="宋体" w:hint="eastAsia"/>
          <w:color w:val="000000"/>
          <w:sz w:val="21"/>
          <w:szCs w:val="21"/>
        </w:rPr>
        <w:t>不能交付设备的，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偿付项目采购金额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，并且甲方有权解除合同</w:t>
      </w:r>
      <w:r>
        <w:rPr>
          <w:rFonts w:ascii="宋体" w:eastAsia="宋体" w:hAnsi="宋体" w:cs="宋体" w:hint="eastAsia"/>
          <w:color w:val="000000"/>
          <w:sz w:val="21"/>
          <w:szCs w:val="21"/>
        </w:rPr>
        <w:t>；造成严重后果的，根据《深圳经济特区政府采购条例》第五十七条第（二）款规定，由主管部门对</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进行处罚。</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4、乙方</w:t>
      </w:r>
      <w:r>
        <w:rPr>
          <w:rFonts w:ascii="宋体" w:eastAsia="宋体" w:hAnsi="宋体" w:cs="宋体" w:hint="eastAsia"/>
          <w:color w:val="000000"/>
          <w:sz w:val="21"/>
          <w:szCs w:val="21"/>
        </w:rPr>
        <w:t>逾期未交设备的，</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向</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每日偿付设备款千分之</w:t>
      </w:r>
      <w:r>
        <w:rPr>
          <w:rFonts w:ascii="宋体" w:eastAsia="宋体" w:hAnsi="宋体" w:cs="宋体" w:hint="eastAsia"/>
          <w:color w:val="000000"/>
          <w:sz w:val="21"/>
          <w:szCs w:val="21"/>
          <w:lang w:eastAsia="zh-CN"/>
        </w:rPr>
        <w:t>十</w:t>
      </w:r>
      <w:r>
        <w:rPr>
          <w:rFonts w:ascii="宋体" w:eastAsia="宋体" w:hAnsi="宋体" w:cs="宋体" w:hint="eastAsia"/>
          <w:color w:val="000000"/>
          <w:sz w:val="21"/>
          <w:szCs w:val="21"/>
        </w:rPr>
        <w:t>的违约金。</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超过交货期限30日仍未交货，</w:t>
      </w:r>
      <w:r>
        <w:rPr>
          <w:rFonts w:ascii="宋体" w:eastAsia="宋体" w:hAnsi="宋体" w:cs="宋体" w:hint="eastAsia"/>
          <w:color w:val="000000"/>
          <w:sz w:val="21"/>
          <w:szCs w:val="21"/>
          <w:lang w:eastAsia="zh-CN"/>
        </w:rPr>
        <w:t>甲方</w:t>
      </w:r>
      <w:r>
        <w:rPr>
          <w:rFonts w:ascii="宋体" w:eastAsia="宋体" w:hAnsi="宋体" w:cs="宋体" w:hint="eastAsia"/>
          <w:color w:val="000000"/>
          <w:sz w:val="21"/>
          <w:szCs w:val="21"/>
        </w:rPr>
        <w:t>有权解除合同。</w:t>
      </w:r>
    </w:p>
    <w:p>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乙方如违反本合同第五条和第六条的约定，乙方向甲方偿付设备采购金额</w:t>
      </w:r>
      <w:r>
        <w:rPr>
          <w:rFonts w:ascii="宋体" w:eastAsia="宋体" w:hAnsi="宋体" w:cs="宋体" w:hint="eastAsia"/>
          <w:color w:val="000000"/>
          <w:sz w:val="21"/>
          <w:szCs w:val="21"/>
          <w:u w:val="single"/>
          <w:lang w:eastAsia="zh-CN"/>
        </w:rPr>
        <w:t>百</w:t>
      </w:r>
      <w:r>
        <w:rPr>
          <w:rFonts w:ascii="宋体" w:eastAsia="宋体" w:hAnsi="宋体" w:cs="宋体" w:hint="eastAsia"/>
          <w:color w:val="000000"/>
          <w:sz w:val="21"/>
          <w:szCs w:val="21"/>
          <w:u w:val="single"/>
        </w:rPr>
        <w:t>分之十</w:t>
      </w:r>
      <w:r>
        <w:rPr>
          <w:rFonts w:ascii="宋体" w:eastAsia="宋体" w:hAnsi="宋体" w:cs="宋体" w:hint="eastAsia"/>
          <w:color w:val="000000"/>
          <w:sz w:val="21"/>
          <w:szCs w:val="21"/>
        </w:rPr>
        <w:t>的违约金。</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违约金先从由</w:t>
      </w:r>
      <w:r>
        <w:rPr>
          <w:rFonts w:ascii="宋体" w:eastAsia="宋体" w:hAnsi="宋体" w:cs="宋体" w:hint="eastAsia"/>
          <w:color w:val="000000"/>
          <w:sz w:val="21"/>
          <w:szCs w:val="21"/>
          <w:lang w:eastAsia="zh-CN"/>
        </w:rPr>
        <w:t>乙方质保金</w:t>
      </w:r>
      <w:r>
        <w:rPr>
          <w:rFonts w:ascii="宋体" w:eastAsia="宋体" w:hAnsi="宋体" w:cs="宋体" w:hint="eastAsia"/>
          <w:color w:val="000000"/>
          <w:sz w:val="21"/>
          <w:szCs w:val="21"/>
        </w:rPr>
        <w:t>中扣除，若有不足部分则由</w:t>
      </w:r>
      <w:r>
        <w:rPr>
          <w:rFonts w:ascii="宋体" w:eastAsia="宋体" w:hAnsi="宋体" w:cs="宋体" w:hint="eastAsia"/>
          <w:color w:val="000000"/>
          <w:sz w:val="21"/>
          <w:szCs w:val="21"/>
          <w:lang w:eastAsia="zh-CN"/>
        </w:rPr>
        <w:t>乙方</w:t>
      </w:r>
      <w:r>
        <w:rPr>
          <w:rFonts w:ascii="宋体" w:eastAsia="宋体" w:hAnsi="宋体" w:cs="宋体" w:hint="eastAsia"/>
          <w:color w:val="000000"/>
          <w:sz w:val="21"/>
          <w:szCs w:val="21"/>
        </w:rPr>
        <w:t>补齐。</w:t>
      </w:r>
    </w:p>
    <w:p>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color w:val="000000"/>
          <w:sz w:val="21"/>
          <w:szCs w:val="21"/>
        </w:rPr>
        <w:t>如因乙方提供假冒伪劣产品或不合格产品造成甲方被行政机关行政处罚造成的损失，包括但不限于直接损失、间接损失、律师费、 公证费、鉴定费、差旅费及其他一切合理支出，均由乙方承担。</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九、</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因设备的质量问题发生争议，由甲方所在地相关职责部门进行质量鉴定，该鉴定结论是终局的，甲乙双方应当接受。</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w:t>
      </w:r>
      <w:r>
        <w:rPr>
          <w:rFonts w:ascii="宋体" w:eastAsia="宋体" w:hAnsi="宋体" w:cs="宋体" w:hint="eastAsia"/>
          <w:color w:val="000000"/>
          <w:sz w:val="21"/>
          <w:szCs w:val="21"/>
          <w:lang w:eastAsia="zh-CN"/>
        </w:rPr>
        <w:t xml:space="preserve"> </w:t>
      </w:r>
      <w:r>
        <w:rPr>
          <w:rFonts w:ascii="宋体" w:eastAsia="宋体" w:hAnsi="宋体" w:cs="宋体" w:hint="eastAsia"/>
          <w:color w:val="000000"/>
          <w:sz w:val="21"/>
          <w:szCs w:val="21"/>
        </w:rPr>
        <w:t>该项目的招标文件、投标文件和乙方在投标中的各种承诺，均作为本合同的附件，具有同等效力。</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十二、本合同一式</w:t>
      </w:r>
      <w:r>
        <w:rPr>
          <w:rFonts w:ascii="宋体" w:eastAsia="宋体" w:hAnsi="宋体" w:cs="宋体" w:hint="eastAsia"/>
          <w:color w:val="000000"/>
          <w:sz w:val="21"/>
          <w:szCs w:val="21"/>
          <w:lang w:eastAsia="zh-CN"/>
        </w:rPr>
        <w:t>五</w:t>
      </w:r>
      <w:r>
        <w:rPr>
          <w:rFonts w:ascii="宋体" w:eastAsia="宋体" w:hAnsi="宋体" w:cs="宋体" w:hint="eastAsia"/>
          <w:color w:val="000000"/>
          <w:sz w:val="21"/>
          <w:szCs w:val="21"/>
        </w:rPr>
        <w:t>份，甲方</w:t>
      </w:r>
      <w:r>
        <w:rPr>
          <w:rFonts w:ascii="宋体" w:eastAsia="宋体" w:hAnsi="宋体" w:cs="宋体" w:hint="eastAsia"/>
          <w:color w:val="000000"/>
          <w:sz w:val="21"/>
          <w:szCs w:val="21"/>
          <w:lang w:eastAsia="zh-CN"/>
        </w:rPr>
        <w:t>四</w:t>
      </w:r>
      <w:r>
        <w:rPr>
          <w:rFonts w:ascii="宋体" w:eastAsia="宋体" w:hAnsi="宋体" w:cs="宋体" w:hint="eastAsia"/>
          <w:color w:val="000000"/>
          <w:sz w:val="21"/>
          <w:szCs w:val="21"/>
        </w:rPr>
        <w:t>份、乙方一份。</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十三、本合同经甲、乙双方法定代表人或受委托人签字并加盖公章后生效。</w:t>
      </w:r>
    </w:p>
    <w:p>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ascii="宋体" w:eastAsia="宋体" w:hAnsi="宋体" w:cs="宋体" w:hint="eastAsia"/>
          <w:color w:val="000000"/>
          <w:sz w:val="21"/>
          <w:szCs w:val="21"/>
        </w:rPr>
      </w:pPr>
      <w:r>
        <w:rPr>
          <w:rFonts w:ascii="宋体" w:eastAsia="宋体" w:hAnsi="宋体" w:cs="宋体" w:hint="eastAsia"/>
          <w:color w:val="000000"/>
          <w:sz w:val="21"/>
          <w:szCs w:val="21"/>
        </w:rPr>
        <w:t>十四、凡因本合同的履行发生的任何纠纷及合同未尽事宜，由双方协商处理。若协商不成，应向甲方所在地法院提起诉讼。</w:t>
      </w:r>
    </w:p>
    <w:p>
      <w:pPr>
        <w:spacing w:line="36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（以下无正文）</w:t>
      </w:r>
    </w:p>
    <w:p>
      <w:pPr>
        <w:rPr>
          <w:rFonts w:ascii="宋体" w:eastAsia="宋体" w:hAnsi="宋体" w:cs="宋体" w:hint="eastAsia"/>
          <w:sz w:val="21"/>
          <w:szCs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甲方（公章）：</w:t>
            </w:r>
          </w:p>
        </w:tc>
        <w:tc>
          <w:tcPr>
            <w:tcW w:w="4261" w:type="dxa"/>
            <w:tcBorders>
              <w:top w:val="nil"/>
              <w:left w:val="nil"/>
              <w:bottom w:val="nil"/>
              <w:right w:val="nil"/>
            </w:tcBorders>
            <w:noWrap w:val="0"/>
            <w:vAlign w:val="top"/>
          </w:tcPr>
          <w:p>
            <w:pPr>
              <w:spacing w:line="360" w:lineRule="auto"/>
              <w:rPr>
                <w:rFonts w:ascii="宋体" w:hAnsi="宋体" w:cs="宋体" w:hint="eastAsia"/>
                <w:sz w:val="21"/>
                <w:szCs w:val="21"/>
              </w:rPr>
            </w:pPr>
            <w:r>
              <w:rPr>
                <w:rFonts w:ascii="宋体" w:hAnsi="宋体" w:cs="宋体" w:hint="eastAsia"/>
                <w:sz w:val="21"/>
                <w:szCs w:val="21"/>
              </w:rPr>
              <w:t>乙方（公章）：</w:t>
            </w:r>
          </w:p>
          <w:p>
            <w:pPr>
              <w:rPr>
                <w:rFonts w:ascii="宋体" w:hAnsi="宋体" w:cs="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 xml:space="preserve">法定代表人或受委托人 </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法定代表人或受委托人</w:t>
            </w:r>
          </w:p>
          <w:p>
            <w:pPr>
              <w:spacing w:line="360" w:lineRule="auto"/>
              <w:rPr>
                <w:rFonts w:ascii="宋体" w:hAnsi="宋体" w:cs="宋体" w:hint="eastAsia"/>
                <w:color w:val="000000"/>
                <w:sz w:val="21"/>
                <w:szCs w:val="21"/>
              </w:rPr>
            </w:pPr>
            <w:r>
              <w:rPr>
                <w:rFonts w:ascii="宋体" w:hAnsi="宋体" w:cs="宋体" w:hint="eastAsia"/>
                <w:color w:val="000000"/>
                <w:sz w:val="21"/>
                <w:szCs w:val="21"/>
              </w:rPr>
              <w:t>（签字）</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地址：</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地址：</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邮编：</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邮编：</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电话：</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电话：</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传真：</w:t>
            </w:r>
            <w:r>
              <w:rPr>
                <w:rFonts w:ascii="宋体" w:hAnsi="宋体" w:cs="宋体" w:hint="eastAsia"/>
                <w:color w:val="000000"/>
                <w:sz w:val="21"/>
                <w:szCs w:val="21"/>
                <w:lang w:eastAsia="zh-CN"/>
              </w:rPr>
              <w:t>--</w:t>
            </w:r>
            <w:r>
              <w:rPr>
                <w:rFonts w:ascii="宋体" w:hAnsi="宋体" w:cs="宋体" w:hint="eastAsia"/>
                <w:color w:val="000000"/>
                <w:sz w:val="21"/>
                <w:szCs w:val="21"/>
              </w:rPr>
              <w:t xml:space="preserve">  </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传真：</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开户银行：</w:t>
            </w:r>
          </w:p>
        </w:tc>
        <w:tc>
          <w:tcPr>
            <w:tcW w:w="4261" w:type="dxa"/>
            <w:tcBorders>
              <w:top w:val="nil"/>
              <w:left w:val="nil"/>
              <w:bottom w:val="nil"/>
              <w:right w:val="nil"/>
            </w:tcBorders>
            <w:noWrap w:val="0"/>
            <w:vAlign w:val="center"/>
          </w:tcPr>
          <w:p>
            <w:pPr>
              <w:rPr>
                <w:rFonts w:ascii="宋体" w:hAnsi="宋体" w:cs="宋体" w:hint="eastAsia"/>
                <w:color w:val="000000"/>
                <w:sz w:val="21"/>
                <w:szCs w:val="21"/>
                <w:lang w:eastAsia="zh-CN"/>
              </w:rPr>
            </w:pPr>
            <w:r>
              <w:rPr>
                <w:rFonts w:ascii="宋体" w:hAnsi="宋体" w:cs="宋体" w:hint="eastAsia"/>
                <w:color w:val="000000"/>
                <w:sz w:val="21"/>
                <w:szCs w:val="21"/>
              </w:rPr>
              <w:t>开户银行</w:t>
            </w:r>
            <w:r>
              <w:rPr>
                <w:rFonts w:ascii="宋体" w:hAnsi="宋体" w:cs="宋体" w:hint="eastAsia"/>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帐号：</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lang w:eastAsia="zh-CN"/>
              </w:rPr>
            </w:pPr>
            <w:r>
              <w:rPr>
                <w:rFonts w:ascii="宋体" w:hAnsi="宋体" w:cs="宋体" w:hint="eastAsia"/>
                <w:color w:val="000000"/>
                <w:sz w:val="21"/>
                <w:szCs w:val="21"/>
              </w:rPr>
              <w:t>帐号：</w:t>
            </w:r>
          </w:p>
        </w:tc>
      </w:tr>
      <w:tr>
        <w:tblPrEx>
          <w:tblW w:w="5000" w:type="pct"/>
          <w:tblInd w:w="0" w:type="dxa"/>
          <w:tblLayout w:type="fixed"/>
          <w:tblCellMar>
            <w:top w:w="0" w:type="dxa"/>
            <w:left w:w="108" w:type="dxa"/>
            <w:bottom w:w="0" w:type="dxa"/>
            <w:right w:w="108" w:type="dxa"/>
          </w:tblCellMar>
        </w:tblPrEx>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c>
          <w:tcPr>
            <w:tcW w:w="4261" w:type="dxa"/>
            <w:tcBorders>
              <w:top w:val="nil"/>
              <w:left w:val="nil"/>
              <w:bottom w:val="nil"/>
              <w:right w:val="nil"/>
            </w:tcBorders>
            <w:noWrap w:val="0"/>
            <w:vAlign w:val="top"/>
          </w:tcPr>
          <w:p>
            <w:pPr>
              <w:spacing w:line="360" w:lineRule="auto"/>
              <w:rPr>
                <w:rFonts w:ascii="宋体" w:hAnsi="宋体" w:cs="宋体" w:hint="eastAsia"/>
                <w:color w:val="000000"/>
                <w:sz w:val="21"/>
                <w:szCs w:val="21"/>
              </w:rPr>
            </w:pPr>
            <w:r>
              <w:rPr>
                <w:rFonts w:ascii="宋体" w:hAnsi="宋体" w:cs="宋体" w:hint="eastAsia"/>
                <w:color w:val="000000"/>
                <w:sz w:val="21"/>
                <w:szCs w:val="21"/>
              </w:rPr>
              <w:t>日期：</w:t>
            </w:r>
          </w:p>
        </w:tc>
      </w:tr>
    </w:tbl>
    <w:p>
      <w:pPr>
        <w:rPr>
          <w:rFonts w:ascii="宋体" w:eastAsia="宋体" w:hAnsi="宋体" w:cs="宋体" w:hint="eastAsia"/>
          <w:color w:val="000000"/>
          <w:sz w:val="21"/>
          <w:szCs w:val="21"/>
        </w:rPr>
      </w:pPr>
    </w:p>
    <w:p>
      <w:pPr>
        <w:rPr>
          <w:rFonts w:ascii="宋体" w:eastAsia="宋体" w:hAnsi="宋体" w:cs="宋体" w:hint="eastAsia"/>
          <w:color w:val="000000"/>
          <w:sz w:val="21"/>
          <w:szCs w:val="21"/>
        </w:rPr>
      </w:pPr>
    </w:p>
    <w:p>
      <w:pPr>
        <w:rPr>
          <w:rFonts w:ascii="宋体" w:eastAsia="宋体" w:hAnsi="宋体" w:cs="宋体" w:hint="eastAsia"/>
          <w:color w:val="000000"/>
          <w:sz w:val="21"/>
          <w:szCs w:val="21"/>
        </w:rPr>
      </w:pPr>
      <w:r>
        <w:rPr>
          <w:rFonts w:ascii="宋体" w:eastAsia="宋体" w:hAnsi="宋体" w:cs="宋体" w:hint="eastAsia"/>
          <w:color w:val="000000"/>
          <w:sz w:val="21"/>
          <w:szCs w:val="21"/>
        </w:rPr>
        <w:t>附件1：设备配置清单</w:t>
      </w:r>
    </w:p>
    <w:p>
      <w:pPr>
        <w:rPr>
          <w:rFonts w:ascii="宋体" w:eastAsia="宋体" w:hAnsi="宋体" w:cs="宋体" w:hint="eastAsia"/>
          <w:color w:val="000000"/>
          <w:sz w:val="21"/>
          <w:szCs w:val="21"/>
        </w:rPr>
      </w:pPr>
      <w:r>
        <w:rPr>
          <w:rFonts w:ascii="宋体" w:eastAsia="宋体" w:hAnsi="宋体" w:cs="宋体" w:hint="eastAsia"/>
          <w:color w:val="000000"/>
          <w:sz w:val="21"/>
          <w:szCs w:val="21"/>
        </w:rPr>
        <w:t>附件2：售后服务承诺</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color w:val="000000"/>
          <w:sz w:val="21"/>
          <w:szCs w:val="21"/>
        </w:rPr>
        <w:t>附件3：易耗品及零配件优惠价格表</w:t>
      </w:r>
    </w:p>
    <w:p>
      <w:pPr>
        <w:widowControl/>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注：本合同样本仅供参考，具体条款内容由采购单位和中标单位协商确定。</w:t>
      </w: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widowControl/>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25500"/>
      <w:bookmarkStart w:id="35" w:name="_Toc4237"/>
      <w:bookmarkStart w:id="36" w:name="_Toc16272"/>
      <w:r>
        <w:rPr>
          <w:rFonts w:ascii="Arial" w:eastAsia="宋体" w:hAnsi="Arial" w:hint="eastAsia"/>
          <w:b/>
          <w:kern w:val="2"/>
          <w:sz w:val="32"/>
          <w:lang w:eastAsia="zh-CN"/>
        </w:rPr>
        <w:t xml:space="preserve">  招标文件</w:t>
      </w:r>
      <w:bookmarkEnd w:id="33"/>
      <w:bookmarkEnd w:id="34"/>
      <w:bookmarkEnd w:id="35"/>
      <w:bookmarkEnd w:id="3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7279"/>
      <w:bookmarkStart w:id="39" w:name="_Toc31413"/>
      <w:bookmarkStart w:id="40" w:name="_Toc13741"/>
      <w:bookmarkStart w:id="41" w:name="_Toc18814"/>
      <w:r>
        <w:rPr>
          <w:rFonts w:ascii="Arial" w:eastAsia="宋体" w:hAnsi="Arial" w:hint="eastAsia"/>
          <w:b/>
          <w:kern w:val="2"/>
          <w:sz w:val="32"/>
          <w:lang w:eastAsia="zh-CN"/>
        </w:rPr>
        <w:t>第三章  投标文件的编制</w:t>
      </w:r>
      <w:bookmarkEnd w:id="38"/>
      <w:bookmarkEnd w:id="39"/>
      <w:bookmarkEnd w:id="40"/>
      <w:bookmarkEnd w:id="4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1427"/>
      <w:bookmarkStart w:id="52" w:name="_Toc28552"/>
      <w:bookmarkStart w:id="53" w:name="_Toc26761"/>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idowControl/>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1658"/>
      <w:bookmarkStart w:id="59" w:name="_Toc2041"/>
      <w:bookmarkStart w:id="60" w:name="_Toc13806"/>
      <w:bookmarkStart w:id="61" w:name="_Toc73517666"/>
      <w:bookmarkStart w:id="62" w:name="_Toc100052391"/>
      <w:bookmarkStart w:id="63" w:name="_Toc101074881"/>
      <w:bookmarkStart w:id="64" w:name="_Toc14713"/>
      <w:bookmarkStart w:id="65" w:name="_Toc73518144"/>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idowControl/>
        <w:wordWrap w:val="0"/>
        <w:autoSpaceDE w:val="0"/>
        <w:autoSpaceDN w:val="0"/>
        <w:spacing w:line="400" w:lineRule="exact"/>
        <w:ind w:right="808" w:firstLine="420" w:firstLineChars="200"/>
        <w:jc w:val="both"/>
        <w:rPr>
          <w:rFonts w:eastAsia="宋体"/>
          <w:kern w:val="2"/>
          <w:sz w:val="21"/>
          <w:lang w:eastAsia="zh-CN"/>
        </w:rPr>
      </w:pPr>
      <w:bookmarkStart w:id="67" w:name="_Toc73517668"/>
      <w:bookmarkStart w:id="68" w:name="_Toc73518146"/>
      <w:bookmarkStart w:id="69" w:name="_Toc101074882"/>
      <w:bookmarkStart w:id="70"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7869"/>
      <w:bookmarkStart w:id="73" w:name="_Toc7319"/>
      <w:bookmarkStart w:id="74" w:name="_Toc29197"/>
      <w:bookmarkStart w:id="75" w:name="_Toc20179"/>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idowControl/>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01074883"/>
      <w:bookmarkStart w:id="79" w:name="_Toc100052397"/>
      <w:bookmarkStart w:id="80" w:name="_Toc19125"/>
      <w:bookmarkStart w:id="81" w:name="_Toc1296"/>
      <w:bookmarkStart w:id="82" w:name="_Toc20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7671"/>
      <w:bookmarkStart w:id="87" w:name="_Toc73518149"/>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Toc100052400"/>
      <w:bookmarkStart w:id="90" w:name="_Toc73521581"/>
      <w:bookmarkStart w:id="91" w:name="_Toc73518151"/>
      <w:bookmarkStart w:id="92" w:name="_Toc73521669"/>
      <w:bookmarkStart w:id="93" w:name="_Toc73517673"/>
      <w:r>
        <w:rPr>
          <w:rFonts w:eastAsia="宋体" w:hint="eastAsia"/>
          <w:kern w:val="2"/>
          <w:sz w:val="21"/>
          <w:lang w:eastAsia="zh-CN"/>
        </w:rPr>
        <w:t>34．错误的修正</w:t>
      </w:r>
      <w:bookmarkEnd w:id="89"/>
      <w:bookmarkEnd w:id="90"/>
      <w:bookmarkEnd w:id="91"/>
      <w:bookmarkEnd w:id="92"/>
      <w:bookmarkEnd w:id="9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26094"/>
      <w:bookmarkStart w:id="97" w:name="_Toc1513"/>
      <w:bookmarkStart w:id="98" w:name="_Toc13341"/>
      <w:bookmarkStart w:id="99" w:name="_Toc30568"/>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0277"/>
      <w:bookmarkStart w:id="111" w:name="_Toc17412"/>
      <w:bookmarkStart w:id="112" w:name="_Toc24474"/>
      <w:bookmarkStart w:id="113" w:name="_Toc25733"/>
      <w:bookmarkStart w:id="114" w:name="_Toc101074884"/>
      <w:bookmarkStart w:id="115" w:name="_Toc100052407"/>
      <w:bookmarkStart w:id="116" w:name="_Toc73517678"/>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6814"/>
      <w:bookmarkStart w:id="119" w:name="_Toc13677"/>
      <w:bookmarkStart w:id="120" w:name="_Toc27904"/>
      <w:bookmarkStart w:id="121" w:name="_Toc9122"/>
      <w:bookmarkStart w:id="122" w:name="_Toc26432"/>
      <w:r>
        <w:rPr>
          <w:rFonts w:ascii="Arial" w:eastAsia="宋体" w:hAnsi="Arial" w:hint="eastAsia"/>
          <w:b/>
          <w:kern w:val="2"/>
          <w:sz w:val="32"/>
          <w:lang w:eastAsia="zh-CN"/>
        </w:rPr>
        <w:t>第十章  合同的授予与备案</w:t>
      </w:r>
      <w:bookmarkEnd w:id="118"/>
      <w:bookmarkEnd w:id="119"/>
      <w:bookmarkEnd w:id="120"/>
      <w:bookmarkEnd w:id="121"/>
      <w:bookmarkEnd w:id="122"/>
    </w:p>
    <w:p>
      <w:pPr>
        <w:widowControl/>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674"/>
      <w:bookmarkStart w:id="125" w:name="_Toc73517679"/>
      <w:bookmarkStart w:id="126" w:name="_Toc73518157"/>
      <w:bookmarkStart w:id="127" w:name="_Toc73521586"/>
      <w:bookmarkStart w:id="128" w:name="_Toc100052408"/>
      <w:bookmarkStart w:id="129" w:name="_Hlk72439088"/>
      <w:r>
        <w:rPr>
          <w:rFonts w:eastAsia="宋体" w:hint="eastAsia"/>
          <w:kern w:val="2"/>
          <w:sz w:val="21"/>
          <w:lang w:eastAsia="zh-CN"/>
        </w:rPr>
        <w:t>43．合同授予标准</w:t>
      </w:r>
      <w:bookmarkEnd w:id="124"/>
      <w:bookmarkEnd w:id="125"/>
      <w:bookmarkEnd w:id="126"/>
      <w:bookmarkEnd w:id="127"/>
      <w:bookmarkEnd w:id="128"/>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0" w:name="_Toc73518158"/>
      <w:bookmarkStart w:id="131" w:name="_Toc73521587"/>
      <w:bookmarkStart w:id="132" w:name="_Toc73521675"/>
      <w:bookmarkStart w:id="133" w:name="_Toc100052409"/>
      <w:bookmarkStart w:id="134" w:name="_Toc73517680"/>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5" w:name="_Toc73521589"/>
      <w:bookmarkStart w:id="136" w:name="_Toc100052410"/>
      <w:bookmarkStart w:id="137" w:name="_Toc73521677"/>
      <w:bookmarkStart w:id="138" w:name="_Toc73518160"/>
      <w:bookmarkStart w:id="139" w:name="_Toc73517682"/>
      <w:r>
        <w:rPr>
          <w:rFonts w:eastAsia="宋体" w:hint="eastAsia"/>
          <w:kern w:val="2"/>
          <w:sz w:val="21"/>
          <w:lang w:eastAsia="zh-CN"/>
        </w:rPr>
        <w:t>45．合同的签订</w:t>
      </w:r>
      <w:bookmarkEnd w:id="135"/>
      <w:bookmarkEnd w:id="136"/>
      <w:bookmarkEnd w:id="137"/>
      <w:bookmarkEnd w:id="138"/>
      <w:bookmarkEnd w:id="13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0" w:name="_Toc100052411"/>
      <w:bookmarkStart w:id="141" w:name="_Toc73521590"/>
      <w:bookmarkStart w:id="142" w:name="_Toc73517683"/>
      <w:bookmarkStart w:id="143" w:name="_Toc73521678"/>
      <w:bookmarkStart w:id="144" w:name="_Toc73518161"/>
      <w:r>
        <w:rPr>
          <w:rFonts w:eastAsia="宋体" w:hint="eastAsia"/>
          <w:kern w:val="2"/>
          <w:sz w:val="21"/>
          <w:lang w:eastAsia="zh-CN"/>
        </w:rPr>
        <w:t>46．履约担保</w:t>
      </w:r>
      <w:bookmarkEnd w:id="140"/>
      <w:bookmarkEnd w:id="141"/>
      <w:bookmarkEnd w:id="142"/>
      <w:bookmarkEnd w:id="143"/>
      <w:bookmarkEnd w:id="14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hint="eastAsia"/>
          <w:b/>
          <w:bCs/>
          <w:color w:val="333333"/>
          <w:sz w:val="28"/>
          <w:szCs w:val="28"/>
          <w:lang w:val="en" w:eastAsia="zh-CN"/>
        </w:rPr>
        <w:t>医疗设备一批（灌注吸引系统等）</w:t>
      </w:r>
      <w:r>
        <w:rPr>
          <w:rFonts w:ascii="仿宋" w:eastAsia="仿宋" w:hAnsi="仿宋" w:cs="仿宋"/>
          <w:b/>
          <w:bCs/>
          <w:color w:val="333333"/>
          <w:sz w:val="28"/>
          <w:szCs w:val="28"/>
          <w:lang w:val="en" w:eastAsia="e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技术保障措施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bookmarkStart w:id="148" w:name="_GoBack"/>
      <w:bookmarkEnd w:id="148"/>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医疗设备一批（灌注吸引系统等）-A</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LHAZXDL-2025-00344-001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医疗设备一批（灌注吸引系统等）-A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1.满足《中华人民共和国政府采购法》第二十二条第一款的条件；（由供应商在《政府采购投标及履约承诺函》中作出声明）；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2.具有独立法人资格或是具有独立承担民事责任能力的其它组织（提供营业执照或事业单位法人证书等证明资料复印件，原件备查）；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8.本项目不接受联合体投标，不接受进口产品参与投标，不允许分包、转包；</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投标人需针对本项目提供技术保障措施方案，方案内容需包括： （1）安装调试方案； （2）质量控制措施； （3）技术团体人员。 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 标人的具体响应情况按照以下评审标 准进一步评审： 评审为优（方案整体科学合理、针对性强、可操作性强、条理非常清晰的）的加 40 分； 评审为良（方案整体较比科学合理、有较强针对性、有较强可操作性、比较条理清晰的）的加 20 分； 评审为中（方案整体科学合理性一般、针对性一般、可操作性一般，条理清晰度一般的）的加 10 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评审委员会根据《技术条款偏离表》（以下简称“偏离表”）响应情况进行打分，全部满足的得100分，一般参数每负偏离一项扣2分，扣完为止。 证明文件： 偏离表应如实对应填写所投产品的具体参数。（未提供或未按要求提供或提供的不清晰导致专家无法判断的，不得分）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重点参数技术规格偏离情况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评审委员会根据《技术条款偏离表》（以下简称“偏离表”）响应情况进行打分，全部满足的得100分，重点技术参数▲项每负偏离一项扣10分，扣完为止。 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免费保修期内售后服务条款偏离情况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投标人应如实填写商务要求偏离表（免费保修期内售后服务条款偏离情况，★号条款除外），评审委员会根据响应情况进行打分，全部满足要求的得100分，实质性条款除外，每负偏离一项扣25分，扣完为止。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免费保修期外售后服务条款偏离情况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投标人应如实填写商务要求偏离表（免费保修期外售后服务条款偏离情况,★号条款除外），评审委员会根据响应情况进行打分，全部满足要求的得100分，实质性条款除外，每负偏离一项扣20分，扣完为止。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（二）评分依据 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F08C9CF"/>
    <w:multiLevelType w:val="singleLevel"/>
    <w:tmpl w:val="CF08C9CF"/>
    <w:lvl w:ilvl="0">
      <w:start w:val="5"/>
      <w:numFmt w:val="decimal"/>
      <w:suff w:val="nothing"/>
      <w:lvlText w:val="%1、"/>
      <w:lvlJc w:val="left"/>
    </w:lvl>
  </w:abstractNum>
  <w:abstractNum w:abstractNumId="3">
    <w:nsid w:val="0617CF24"/>
    <w:multiLevelType w:val="singleLevel"/>
    <w:tmpl w:val="0617CF24"/>
    <w:lvl w:ilvl="0">
      <w:start w:val="1"/>
      <w:numFmt w:val="lowerLetter"/>
      <w:lvlText w:val="%1)"/>
      <w:lvlJc w:val="left"/>
      <w:pPr>
        <w:tabs>
          <w:tab w:val="left" w:pos="312"/>
        </w:tabs>
      </w:pPr>
    </w:lvl>
  </w:abstractNum>
  <w:abstractNum w:abstractNumId="4">
    <w:nsid w:val="721CBBE0"/>
    <w:multiLevelType w:val="singleLevel"/>
    <w:tmpl w:val="721CBBE0"/>
    <w:lvl w:ilvl="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qFormat/>
    <w:tblPr>
      <w:tblInd w:w="0" w:type="dxa"/>
    </w:tblPr>
  </w:style>
  <w:style w:type="table" w:customStyle="1" w:styleId="typotable0">
    <w:name w:val="typo_table_0"/>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1">
    <w:name w:val="typo_table_1"/>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