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ind w:firstLine="320"/>
        <w:jc w:val="center"/>
        <w:rPr>
          <w:rFonts w:ascii="宋体" w:eastAsia="宋体" w:hAnsi="宋体"/>
          <w:b/>
          <w:bCs/>
          <w:color w:val="FF0000"/>
          <w:kern w:val="2"/>
          <w:sz w:val="32"/>
          <w:szCs w:val="32"/>
          <w:lang w:eastAsia="zh-CN"/>
        </w:rPr>
      </w:pPr>
      <w:r>
        <w:rPr>
          <w:rFonts w:ascii="宋体" w:eastAsia="宋体" w:hAnsi="宋体" w:cs="宋体" w:hint="eastAsia"/>
          <w:b/>
          <w:bCs/>
          <w:color w:val="FF0000"/>
          <w:kern w:val="2"/>
          <w:sz w:val="32"/>
          <w:szCs w:val="32"/>
          <w:lang w:eastAsia="zh-CN"/>
        </w:rPr>
        <w:t>特别警示条款</w:t>
      </w:r>
    </w:p>
    <w:p>
      <w:pPr>
        <w:rPr>
          <w:rFonts w:ascii="宋体" w:eastAsia="宋体" w:hAnsi="宋体"/>
          <w:lang w:eastAsia="zh-CN"/>
        </w:rPr>
      </w:pPr>
    </w:p>
    <w:p>
      <w:pPr>
        <w:spacing w:line="360" w:lineRule="auto"/>
        <w:rPr>
          <w:rFonts w:ascii="宋体" w:eastAsia="宋体" w:hAnsi="宋体"/>
          <w:b/>
          <w:bCs/>
          <w:color w:val="FF0000"/>
          <w:kern w:val="2"/>
          <w:lang w:eastAsia="zh-CN"/>
        </w:rPr>
      </w:pPr>
      <w:r>
        <w:rPr>
          <w:rFonts w:ascii="宋体" w:eastAsia="宋体" w:hAnsi="宋体" w:cs="宋体"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rFonts w:ascii="宋体" w:eastAsia="宋体" w:hAnsi="宋体"/>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5"/>
        <w:gridCol w:w="8231"/>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cs="宋体" w:hint="eastAsia"/>
                <w:color w:val="FF0000"/>
              </w:rPr>
              <w:t>序号</w:t>
            </w:r>
          </w:p>
        </w:tc>
        <w:tc>
          <w:tcPr>
            <w:tcW w:w="84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lang w:eastAsia="zh-CN"/>
              </w:rPr>
            </w:pPr>
            <w:r>
              <w:rPr>
                <w:rFonts w:ascii="宋体" w:hAnsi="宋体" w:cs="宋体"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rPr>
          <w:trHeight w:val="96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1</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与其他投标供应商的法定代表人、主要经营负责人、投标授权代表人、项目负责人、主要技术人员为</w:t>
            </w:r>
            <w:r>
              <w:rPr>
                <w:rFonts w:ascii="宋体" w:hAnsi="宋体" w:cs="宋体" w:hint="eastAsia"/>
                <w:b/>
                <w:bCs/>
                <w:color w:val="FF0000"/>
                <w:lang w:eastAsia="zh-CN"/>
              </w:rPr>
              <w:t>同一人、属同一单位或者在同一单位缴纳社会保险</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2"/>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2</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参与本项目政府采购活动时，与其他投标供应商存在单位负责人为</w:t>
            </w:r>
            <w:r>
              <w:rPr>
                <w:rFonts w:ascii="宋体" w:hAnsi="宋体" w:cs="宋体" w:hint="eastAsia"/>
                <w:b/>
                <w:bCs/>
                <w:color w:val="FF0000"/>
                <w:lang w:eastAsia="zh-CN"/>
              </w:rPr>
              <w:t>同一人或直接控股、管理关系</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644"/>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3</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与其他投标供应商的投标文件或部分投标文件</w:t>
            </w:r>
            <w:r>
              <w:rPr>
                <w:rFonts w:ascii="宋体" w:hAnsi="宋体" w:cs="宋体" w:hint="eastAsia"/>
                <w:b/>
                <w:bCs/>
                <w:color w:val="FF0000"/>
                <w:lang w:eastAsia="zh-CN"/>
              </w:rPr>
              <w:t>相互混装或存在非正常一致</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6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4</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与其他投标供应商的投标文件由</w:t>
            </w:r>
            <w:r>
              <w:rPr>
                <w:rFonts w:ascii="宋体" w:hAnsi="宋体" w:cs="宋体" w:hint="eastAsia"/>
                <w:b/>
                <w:bCs/>
                <w:color w:val="FF0000"/>
                <w:lang w:eastAsia="zh-CN"/>
              </w:rPr>
              <w:t>同一单位或者同一人编制</w:t>
            </w:r>
            <w:r>
              <w:rPr>
                <w:rFonts w:ascii="宋体" w:hAnsi="宋体" w:cs="宋体" w:hint="eastAsia"/>
                <w:color w:val="FF0000"/>
                <w:lang w:eastAsia="zh-CN"/>
              </w:rPr>
              <w:t>，或者使用</w:t>
            </w:r>
            <w:r>
              <w:rPr>
                <w:rFonts w:ascii="宋体" w:hAnsi="宋体" w:cs="宋体" w:hint="eastAsia"/>
                <w:b/>
                <w:bCs/>
                <w:color w:val="FF0000"/>
                <w:lang w:eastAsia="zh-CN"/>
              </w:rPr>
              <w:t>同一设备编制</w:t>
            </w:r>
            <w:r>
              <w:rPr>
                <w:rFonts w:ascii="宋体" w:hAnsi="宋体" w:cs="宋体" w:hint="eastAsia"/>
                <w:color w:val="FF0000"/>
                <w:lang w:eastAsia="zh-CN"/>
              </w:rPr>
              <w:t>（</w:t>
            </w:r>
            <w:r>
              <w:rPr>
                <w:rFonts w:ascii="宋体" w:hAnsi="宋体"/>
                <w:color w:val="FF0000"/>
                <w:lang w:eastAsia="zh-CN"/>
              </w:rPr>
              <w:t>“</w:t>
            </w:r>
            <w:r>
              <w:rPr>
                <w:rFonts w:ascii="宋体" w:hAnsi="宋体" w:cs="宋体" w:hint="eastAsia"/>
                <w:color w:val="FF0000"/>
                <w:lang w:eastAsia="zh-CN"/>
              </w:rPr>
              <w:t>文件制作机器码</w:t>
            </w:r>
            <w:r>
              <w:rPr>
                <w:rFonts w:ascii="宋体" w:hAnsi="宋体"/>
                <w:color w:val="FF0000"/>
                <w:lang w:eastAsia="zh-CN"/>
              </w:rPr>
              <w:t>”“</w:t>
            </w:r>
            <w:r>
              <w:rPr>
                <w:rFonts w:ascii="宋体" w:hAnsi="宋体" w:cs="宋体" w:hint="eastAsia"/>
                <w:color w:val="FF0000"/>
                <w:lang w:eastAsia="zh-CN"/>
              </w:rPr>
              <w:t>文件创建标识码</w:t>
            </w:r>
            <w:r>
              <w:rPr>
                <w:rFonts w:ascii="宋体" w:hAnsi="宋体"/>
                <w:color w:val="FF0000"/>
                <w:lang w:eastAsia="zh-CN"/>
              </w:rPr>
              <w:t>”</w:t>
            </w:r>
            <w:r>
              <w:rPr>
                <w:rFonts w:ascii="宋体" w:hAnsi="宋体" w:cs="宋体" w:hint="eastAsia"/>
                <w:color w:val="FF0000"/>
                <w:lang w:eastAsia="zh-CN"/>
              </w:rPr>
              <w:t>一致）。</w:t>
            </w:r>
          </w:p>
        </w:tc>
      </w:tr>
      <w:tr>
        <w:tblPrEx>
          <w:tblW w:w="5000" w:type="pct"/>
          <w:tblInd w:w="250" w:type="dxa"/>
          <w:tblLayout w:type="fixed"/>
          <w:tblCellMar>
            <w:top w:w="0" w:type="dxa"/>
            <w:left w:w="108" w:type="dxa"/>
            <w:bottom w:w="0" w:type="dxa"/>
            <w:right w:w="108" w:type="dxa"/>
          </w:tblCellMar>
        </w:tblPrEx>
        <w:trPr>
          <w:trHeight w:val="101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5</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提供</w:t>
            </w:r>
            <w:r>
              <w:rPr>
                <w:rFonts w:ascii="宋体" w:hAnsi="宋体" w:cs="宋体" w:hint="eastAsia"/>
                <w:b/>
                <w:bCs/>
                <w:color w:val="FF0000"/>
                <w:lang w:eastAsia="zh-CN"/>
              </w:rPr>
              <w:t>未经出具机构核实</w:t>
            </w:r>
            <w:r>
              <w:rPr>
                <w:rFonts w:ascii="宋体" w:hAnsi="宋体" w:cs="宋体"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605"/>
        </w:trPr>
        <w:tc>
          <w:tcPr>
            <w:tcW w:w="634"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rPr>
            </w:pPr>
            <w:r>
              <w:rPr>
                <w:rFonts w:ascii="宋体" w:hAnsi="宋体" w:hint="eastAsia"/>
                <w:color w:val="FF0000"/>
              </w:rPr>
              <w:t>6</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擅自将投标密钥或电子营业执照出借他人使用或未妥善保管。</w:t>
            </w:r>
          </w:p>
        </w:tc>
      </w:tr>
    </w:tbl>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widowControl/>
        <w:spacing w:before="0" w:beforeAutospacing="1" w:after="0" w:afterAutospacing="1"/>
        <w:jc w:val="center"/>
        <w:outlineLvl w:val="0"/>
        <w:rPr>
          <w:rFonts w:ascii="黑体" w:eastAsia="黑体" w:hAnsi="宋体" w:cs="黑体" w:hint="eastAsia"/>
          <w:sz w:val="40"/>
          <w:szCs w:val="40"/>
          <w:lang w:eastAsia="zh-CN"/>
        </w:rPr>
      </w:pPr>
    </w:p>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val="0"/>
        <w:tabs>
          <w:tab w:val="left" w:pos="2790"/>
        </w:tabs>
        <w:snapToGrid w:val="0"/>
        <w:jc w:val="center"/>
        <w:outlineLvl w:val="0"/>
        <w:rPr>
          <w:rFonts w:ascii="黑体" w:eastAsia="黑体" w:hAnsi="黑体" w:hint="eastAsia"/>
          <w:kern w:val="2"/>
          <w:sz w:val="40"/>
          <w:szCs w:val="40"/>
          <w:lang w:eastAsia="zh-CN"/>
        </w:rPr>
      </w:pPr>
    </w:p>
    <w:p>
      <w:pPr>
        <w:widowControl w:val="0"/>
        <w:tabs>
          <w:tab w:val="left" w:pos="2790"/>
        </w:tabs>
        <w:snapToGrid w:val="0"/>
        <w:jc w:val="both"/>
        <w:outlineLvl w:val="0"/>
        <w:rPr>
          <w:rFonts w:ascii="宋体" w:eastAsia="宋体" w:hAnsi="宋体" w:cs="宋体"/>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LHAZXDL-2025-00528</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医疗设备一批（离心机等）</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tabs>
          <w:tab w:val="left" w:pos="2790"/>
        </w:tabs>
        <w:snapToGrid w:val="0"/>
        <w:jc w:val="both"/>
        <w:outlineLvl w:val="9"/>
        <w:rPr>
          <w:rFonts w:ascii="宋体" w:eastAsia="宋体" w:hAnsi="宋体" w:cs="宋体" w:hint="eastAsia"/>
          <w:kern w:val="2"/>
          <w:sz w:val="32"/>
          <w:szCs w:val="32"/>
          <w:lang w:eastAsia="zh-CN"/>
        </w:rPr>
      </w:pPr>
    </w:p>
    <w:p>
      <w:pPr>
        <w:widowControl w:val="0"/>
        <w:spacing w:line="360" w:lineRule="auto"/>
        <w:jc w:val="both"/>
        <w:rPr>
          <w:rFonts w:ascii="Calibri" w:eastAsia="宋体" w:hAnsi="Calibri" w:hint="eastAsia"/>
          <w:b/>
          <w:bCs/>
          <w:kern w:val="2"/>
          <w:szCs w:val="22"/>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63"/>
        <w:gridCol w:w="588"/>
        <w:gridCol w:w="650"/>
        <w:gridCol w:w="2708"/>
        <w:gridCol w:w="650"/>
        <w:gridCol w:w="3833"/>
        <w:gridCol w:w="175"/>
        <w:gridCol w:w="63"/>
      </w:tblGrid>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8429" w:type="dxa"/>
            <w:gridSpan w:val="5"/>
            <w:tcBorders>
              <w:top w:val="nil"/>
              <w:left w:val="nil"/>
              <w:bottom w:val="nil"/>
              <w:right w:val="nil"/>
            </w:tcBorders>
            <w:vAlign w:val="center"/>
          </w:tcPr>
          <w:p>
            <w:pPr>
              <w:rPr>
                <w:rFonts w:ascii="宋体" w:eastAsia="宋体" w:hAnsi="宋体" w:cs="宋体" w:hint="eastAsia"/>
                <w:b/>
                <w:bCs/>
                <w:sz w:val="21"/>
                <w:szCs w:val="21"/>
              </w:rPr>
            </w:pPr>
            <w:r>
              <w:rPr>
                <w:rFonts w:ascii="宋体" w:eastAsia="宋体" w:hAnsi="宋体" w:cs="宋体" w:hint="eastAsia"/>
                <w:b/>
                <w:bCs/>
                <w:sz w:val="21"/>
                <w:szCs w:val="21"/>
              </w:rPr>
              <w:t>评标方法：综合评分法（新价格分算法）</w:t>
            </w:r>
          </w:p>
        </w:tc>
        <w:tc>
          <w:tcPr>
            <w:tcW w:w="238" w:type="dxa"/>
            <w:gridSpan w:val="2"/>
            <w:tcBorders>
              <w:top w:val="nil"/>
              <w:left w:val="nil"/>
              <w:bottom w:val="nil"/>
              <w:right w:val="nil"/>
            </w:tcBorders>
            <w:vAlign w:val="center"/>
          </w:tcPr>
          <w:p>
            <w:pPr>
              <w:jc w:val="right"/>
              <w:rPr>
                <w:rFonts w:ascii="宋体" w:eastAsia="宋体" w:hAnsi="宋体" w:cs="宋体" w:hint="eastAsia"/>
                <w:b/>
                <w:bCs/>
                <w:sz w:val="21"/>
                <w:szCs w:val="21"/>
              </w:rPr>
            </w:pP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8667" w:type="dxa"/>
            <w:gridSpan w:val="7"/>
            <w:tcBorders>
              <w:top w:val="nil"/>
              <w:left w:val="nil"/>
              <w:bottom w:val="nil"/>
              <w:right w:val="nil"/>
            </w:tcBorders>
            <w:vAlign w:val="center"/>
          </w:tcPr>
          <w:p>
            <w:pPr>
              <w:spacing w:line="324" w:lineRule="auto"/>
              <w:ind w:firstLine="420"/>
              <w:rPr>
                <w:rFonts w:ascii="宋体" w:eastAsia="宋体" w:hAnsi="宋体" w:cs="宋体" w:hint="eastAsia"/>
                <w:sz w:val="21"/>
                <w:szCs w:val="21"/>
              </w:rPr>
            </w:pPr>
            <w:r>
              <w:rPr>
                <w:rFonts w:ascii="宋体" w:eastAsia="宋体" w:hAnsi="宋体" w:cs="宋体" w:hint="eastAsia"/>
                <w:sz w:val="21"/>
                <w:szCs w:val="21"/>
              </w:rPr>
              <w:t xml:space="preserve">综合评分法，是指投标文件满足招标文件全部实质性要求，且按照评审因素的量化指标评审得分最高的投标人为中标候选人的评标方法。 </w:t>
            </w:r>
          </w:p>
          <w:p>
            <w:pPr>
              <w:ind w:firstLine="420"/>
              <w:rPr>
                <w:rFonts w:ascii="宋体" w:eastAsia="宋体" w:hAnsi="宋体" w:cs="宋体" w:hint="eastAsia"/>
                <w:sz w:val="21"/>
                <w:szCs w:val="21"/>
              </w:rPr>
            </w:pPr>
            <w:r>
              <w:rPr>
                <w:rFonts w:ascii="宋体" w:eastAsia="宋体" w:hAnsi="宋体" w:cs="宋体" w:hint="eastAsia"/>
                <w:sz w:val="21"/>
                <w:szCs w:val="21"/>
              </w:rPr>
              <w:t>价格分计算方法：</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采用低价优先法计算，即满足招标文件要求且投标价格最低的投标报价为评标基准价，其价格分为满分。其他投标人的价格分统一按照下列公式计算：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投标报价得分=(评标基准价／投标报价)×100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评标总得分＝F1×A1＋F2×A2＋……＋Fn×An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F1、F2……Fn分别为各项评审因素的得分；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A1、A2、……An 分别为各项评审因素所占的权重(A1＋A2＋……＋An＝1)。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评标过程中，不得去掉报价中的最高报价和最低报价。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此方法适用于货物类、服务类、工程类项目。 </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lang w:bidi="ar"/>
              </w:rPr>
              <w:t>序号</w:t>
            </w:r>
          </w:p>
        </w:tc>
        <w:tc>
          <w:tcPr>
            <w:tcW w:w="4008"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lang w:bidi="ar"/>
              </w:rPr>
              <w:t>评分项</w:t>
            </w:r>
          </w:p>
        </w:tc>
        <w:tc>
          <w:tcPr>
            <w:tcW w:w="4008"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lang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1</w:t>
            </w:r>
          </w:p>
        </w:tc>
        <w:tc>
          <w:tcPr>
            <w:tcW w:w="40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价格</w:t>
            </w:r>
          </w:p>
        </w:tc>
        <w:tc>
          <w:tcPr>
            <w:tcW w:w="4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color w:val="0000FF"/>
                <w:sz w:val="21"/>
                <w:szCs w:val="21"/>
              </w:rPr>
            </w:pPr>
          </w:p>
        </w:tc>
        <w:tc>
          <w:tcPr>
            <w:tcW w:w="8016" w:type="dxa"/>
            <w:gridSpan w:val="5"/>
            <w:tcBorders>
              <w:top w:val="single" w:sz="8" w:space="0" w:color="000000"/>
              <w:left w:val="single" w:sz="8" w:space="0" w:color="000000"/>
              <w:bottom w:val="single" w:sz="8" w:space="0" w:color="000000"/>
              <w:right w:val="single" w:sz="8" w:space="0" w:color="000000"/>
            </w:tcBorders>
            <w:shd w:val="clear" w:color="auto" w:fill="auto"/>
          </w:tcPr>
          <w:p>
            <w:pPr>
              <w:spacing w:line="360" w:lineRule="auto"/>
              <w:rPr>
                <w:rFonts w:ascii="宋体" w:eastAsia="宋体" w:hAnsi="宋体" w:cs="宋体" w:hint="eastAsia"/>
                <w:sz w:val="21"/>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2</w:t>
            </w:r>
          </w:p>
        </w:tc>
        <w:tc>
          <w:tcPr>
            <w:tcW w:w="40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技术部分</w:t>
            </w:r>
          </w:p>
        </w:tc>
        <w:tc>
          <w:tcPr>
            <w:tcW w:w="4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55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color w:val="0000FF"/>
                <w:sz w:val="21"/>
                <w:szCs w:val="21"/>
              </w:rPr>
            </w:pPr>
          </w:p>
        </w:tc>
        <w:tc>
          <w:tcPr>
            <w:tcW w:w="8016" w:type="dxa"/>
            <w:gridSpan w:val="5"/>
            <w:tcBorders>
              <w:top w:val="single" w:sz="8" w:space="0" w:color="000000"/>
              <w:left w:val="single" w:sz="8" w:space="0" w:color="000000"/>
              <w:bottom w:val="single" w:sz="8" w:space="0" w:color="000000"/>
              <w:right w:val="single" w:sz="8" w:space="0" w:color="000000"/>
            </w:tcBorders>
            <w:shd w:val="clear" w:color="auto" w:fill="auto"/>
          </w:tcPr>
          <w:p>
            <w:pPr>
              <w:spacing w:line="360" w:lineRule="auto"/>
              <w:rPr>
                <w:rFonts w:ascii="宋体" w:eastAsia="宋体" w:hAnsi="宋体" w:cs="宋体" w:hint="eastAsia"/>
                <w:sz w:val="21"/>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tcBorders>
              <w:left w:val="single" w:sz="8" w:space="0" w:color="000000"/>
              <w:right w:val="single" w:sz="8" w:space="0" w:color="000000"/>
            </w:tcBorders>
            <w:shd w:val="clear" w:color="auto" w:fill="E6EFFA"/>
            <w:vAlign w:val="center"/>
          </w:tcPr>
          <w:p>
            <w:pPr>
              <w:spacing w:line="360" w:lineRule="auto"/>
              <w:jc w:val="center"/>
              <w:rPr>
                <w:rFonts w:ascii="宋体" w:eastAsia="宋体" w:hAnsi="宋体" w:cs="宋体" w:hint="eastAsia"/>
                <w:b/>
                <w:bCs/>
                <w:color w:val="0000FF"/>
                <w:sz w:val="21"/>
                <w:szCs w:val="21"/>
              </w:rPr>
            </w:pPr>
          </w:p>
        </w:tc>
        <w:tc>
          <w:tcPr>
            <w:tcW w:w="650"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lang w:bidi="ar"/>
              </w:rPr>
              <w:t>序号</w:t>
            </w:r>
          </w:p>
        </w:tc>
        <w:tc>
          <w:tcPr>
            <w:tcW w:w="270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lang w:bidi="ar"/>
              </w:rPr>
              <w:t>评分因素</w:t>
            </w:r>
          </w:p>
        </w:tc>
        <w:tc>
          <w:tcPr>
            <w:tcW w:w="650"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lang w:bidi="ar"/>
              </w:rPr>
              <w:t>权重(%)</w:t>
            </w:r>
          </w:p>
        </w:tc>
        <w:tc>
          <w:tcPr>
            <w:tcW w:w="4008"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lang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color w:val="0000FF"/>
                <w:sz w:val="21"/>
                <w:szCs w:val="21"/>
              </w:rPr>
            </w:pP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spacing w:line="360" w:lineRule="auto"/>
              <w:jc w:val="center"/>
              <w:textAlignment w:val="top"/>
              <w:rPr>
                <w:rFonts w:ascii="宋体" w:eastAsia="宋体" w:hAnsi="宋体" w:cs="宋体" w:hint="eastAsia"/>
                <w:sz w:val="21"/>
                <w:szCs w:val="21"/>
              </w:rPr>
            </w:pPr>
            <w:r>
              <w:rPr>
                <w:rFonts w:ascii="宋体" w:eastAsia="宋体" w:hAnsi="宋体" w:cs="宋体" w:hint="eastAsia"/>
                <w:sz w:val="21"/>
                <w:szCs w:val="21"/>
                <w:lang w:bidi="ar"/>
              </w:rPr>
              <w:t>1</w:t>
            </w:r>
          </w:p>
        </w:tc>
        <w:tc>
          <w:tcPr>
            <w:tcW w:w="270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color w:val="000000"/>
                <w:sz w:val="21"/>
                <w:szCs w:val="21"/>
                <w:lang w:eastAsia="zh-CN" w:bidi="ar"/>
              </w:rPr>
              <w:t>技术保障措施</w:t>
            </w: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color w:val="000000"/>
                <w:sz w:val="21"/>
                <w:szCs w:val="21"/>
                <w:lang w:eastAsia="zh-CN" w:bidi="ar"/>
              </w:rPr>
              <w:t>4</w:t>
            </w:r>
          </w:p>
        </w:tc>
        <w:tc>
          <w:tcPr>
            <w:tcW w:w="4008"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widowControl w:val="0"/>
              <w:numPr>
                <w:ilvl w:val="0"/>
                <w:numId w:val="0"/>
              </w:numPr>
              <w:bidi w:val="0"/>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一、考察内容：</w:t>
            </w:r>
          </w:p>
          <w:p>
            <w:pPr>
              <w:widowControl w:val="0"/>
              <w:numPr>
                <w:ilvl w:val="0"/>
                <w:numId w:val="0"/>
              </w:numPr>
              <w:bidi w:val="0"/>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投标人需针对本项目提供技术保障措施方案，方案内容需包括：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（1）安装调试方案；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（2）质量控制措施；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（3）技术人员。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二、评审标准：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1、评审委员会根据招标文件的需求和投标文件的内容响应情况进行评分：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内容满足以上 3 项要求的，得 60 分；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内容满足以上任意 2 项要求的，得40分；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内容满足以上任意 1 项要求的，得10分；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内容不满足不得分。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2、在此基础上，评审委员会根据各投标人的具体响应情况按照以下评审标准进一步评审：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评审为优（方案整体科学合理、针对性强、可操作性强、条理非常清晰的的加 40 分；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评审为良（方案整体较比科学合理、有较强针对性、有较强可操作性、比较条理清晰的）的加 20 分； </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评审为中（方案整体科学合理性一般、针对性一般、可操作性一般，条理清晰度一般的）的加 10 分； </w:t>
            </w:r>
          </w:p>
          <w:p>
            <w:pPr>
              <w:widowControl w:val="0"/>
              <w:bidi w:val="0"/>
              <w:jc w:val="both"/>
              <w:rPr>
                <w:rFonts w:ascii="宋体" w:eastAsia="宋体" w:hAnsi="宋体" w:cs="宋体" w:hint="eastAsia"/>
                <w:sz w:val="21"/>
                <w:szCs w:val="21"/>
              </w:rPr>
            </w:pPr>
            <w:r>
              <w:rPr>
                <w:rFonts w:ascii="宋体" w:eastAsia="宋体" w:hAnsi="宋体" w:cs="宋体" w:hint="eastAsia"/>
                <w:kern w:val="2"/>
                <w:sz w:val="21"/>
                <w:szCs w:val="21"/>
                <w:lang w:eastAsia="zh-CN"/>
              </w:rPr>
              <w:t>评审为差（如不满足项目要求的）的不加分。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color w:val="0000FF"/>
                <w:sz w:val="21"/>
                <w:szCs w:val="21"/>
              </w:rPr>
            </w:pP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spacing w:line="360" w:lineRule="auto"/>
              <w:jc w:val="center"/>
              <w:textAlignment w:val="top"/>
              <w:rPr>
                <w:rFonts w:ascii="宋体" w:eastAsia="宋体" w:hAnsi="宋体" w:cs="宋体" w:hint="eastAsia"/>
                <w:sz w:val="21"/>
                <w:szCs w:val="21"/>
                <w:lang w:bidi="ar"/>
              </w:rPr>
            </w:pPr>
            <w:r>
              <w:rPr>
                <w:rFonts w:ascii="宋体" w:eastAsia="宋体" w:hAnsi="宋体" w:cs="宋体" w:hint="eastAsia"/>
                <w:sz w:val="21"/>
                <w:szCs w:val="21"/>
                <w:lang w:bidi="ar"/>
              </w:rPr>
              <w:t>2</w:t>
            </w:r>
          </w:p>
        </w:tc>
        <w:tc>
          <w:tcPr>
            <w:tcW w:w="270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color w:val="000000"/>
                <w:sz w:val="21"/>
                <w:szCs w:val="21"/>
                <w:lang w:eastAsia="zh-CN" w:bidi="ar"/>
              </w:rPr>
              <w:t>一般参数技术规格偏离情况</w:t>
            </w: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color w:val="000000"/>
                <w:sz w:val="21"/>
                <w:szCs w:val="21"/>
                <w:lang w:eastAsia="zh-CN" w:bidi="ar"/>
              </w:rPr>
              <w:t>10</w:t>
            </w:r>
          </w:p>
        </w:tc>
        <w:tc>
          <w:tcPr>
            <w:tcW w:w="4008"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一、考察内容：</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评审委员会根据《技术规格偏离表》（以下简称“偏离表”）响应情况进行打分，全部满足的得100分，一般参数每负偏离一项扣</w:t>
            </w:r>
            <w:r>
              <w:rPr>
                <w:rFonts w:ascii="宋体" w:eastAsia="宋体" w:hAnsi="宋体" w:cs="宋体" w:hint="eastAsia"/>
                <w:kern w:val="2"/>
                <w:sz w:val="21"/>
                <w:szCs w:val="21"/>
                <w:lang w:eastAsia="zh-CN"/>
              </w:rPr>
              <w:t>0.75</w:t>
            </w:r>
            <w:r>
              <w:rPr>
                <w:rFonts w:ascii="宋体" w:eastAsia="宋体" w:hAnsi="宋体" w:cs="宋体" w:hint="eastAsia"/>
                <w:kern w:val="2"/>
                <w:sz w:val="21"/>
                <w:szCs w:val="21"/>
                <w:lang w:eastAsia="zh-CN"/>
              </w:rPr>
              <w:t>分，扣完为止。</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二、证明文件：</w:t>
            </w:r>
          </w:p>
          <w:p>
            <w:pPr>
              <w:widowControl w:val="0"/>
              <w:bidi w:val="0"/>
              <w:jc w:val="both"/>
              <w:rPr>
                <w:rFonts w:ascii="宋体" w:eastAsia="宋体" w:hAnsi="宋体" w:cs="宋体" w:hint="eastAsia"/>
                <w:sz w:val="21"/>
                <w:szCs w:val="21"/>
              </w:rPr>
            </w:pPr>
            <w:r>
              <w:rPr>
                <w:rFonts w:ascii="宋体" w:eastAsia="宋体" w:hAnsi="宋体" w:cs="宋体" w:hint="eastAsia"/>
                <w:kern w:val="2"/>
                <w:sz w:val="21"/>
                <w:szCs w:val="21"/>
                <w:lang w:eastAsia="zh-CN"/>
              </w:rPr>
              <w:t>偏离表应如实对应填写所投产品的具体参数。（未提供或未按要求提供或提供的不清晰导致专家无法判断的，不得分）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color w:val="0000FF"/>
                <w:sz w:val="21"/>
                <w:szCs w:val="21"/>
              </w:rPr>
            </w:pP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spacing w:line="360" w:lineRule="auto"/>
              <w:jc w:val="center"/>
              <w:textAlignment w:val="top"/>
              <w:rPr>
                <w:rFonts w:ascii="宋体" w:eastAsia="宋体" w:hAnsi="宋体" w:cs="宋体" w:hint="eastAsia"/>
                <w:sz w:val="21"/>
                <w:szCs w:val="21"/>
                <w:lang w:bidi="ar"/>
              </w:rPr>
            </w:pPr>
            <w:r>
              <w:rPr>
                <w:rFonts w:ascii="宋体" w:eastAsia="宋体" w:hAnsi="宋体" w:cs="宋体" w:hint="eastAsia"/>
                <w:sz w:val="21"/>
                <w:szCs w:val="21"/>
                <w:lang w:bidi="ar"/>
              </w:rPr>
              <w:t>3</w:t>
            </w:r>
          </w:p>
        </w:tc>
        <w:tc>
          <w:tcPr>
            <w:tcW w:w="270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color w:val="000000"/>
                <w:sz w:val="21"/>
                <w:szCs w:val="21"/>
                <w:lang w:eastAsia="zh-CN" w:bidi="ar"/>
              </w:rPr>
              <w:t>重点参数技术规格偏离情况</w:t>
            </w: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color w:val="000000"/>
                <w:sz w:val="21"/>
                <w:szCs w:val="21"/>
                <w:lang w:eastAsia="zh-CN" w:bidi="ar"/>
              </w:rPr>
              <w:t>41</w:t>
            </w:r>
          </w:p>
        </w:tc>
        <w:tc>
          <w:tcPr>
            <w:tcW w:w="4008"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一、考察内容：</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评审委员会根据《技术规格偏离表》（以下简称“偏离表”）响应情况进行打分，全部满足的得100分，重点技术参数▲项每负偏离一项扣</w:t>
            </w:r>
            <w:r>
              <w:rPr>
                <w:rFonts w:ascii="宋体" w:eastAsia="宋体" w:hAnsi="宋体" w:cs="宋体" w:hint="eastAsia"/>
                <w:kern w:val="2"/>
                <w:sz w:val="21"/>
                <w:szCs w:val="21"/>
                <w:lang w:eastAsia="zh-CN"/>
              </w:rPr>
              <w:t>12.5</w:t>
            </w:r>
            <w:r>
              <w:rPr>
                <w:rFonts w:ascii="宋体" w:eastAsia="宋体" w:hAnsi="宋体" w:cs="宋体" w:hint="eastAsia"/>
                <w:kern w:val="2"/>
                <w:sz w:val="21"/>
                <w:szCs w:val="21"/>
                <w:lang w:eastAsia="zh-CN"/>
              </w:rPr>
              <w:t>分，扣完为止。</w:t>
            </w:r>
          </w:p>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二、证明文件：</w:t>
            </w:r>
          </w:p>
          <w:p>
            <w:pPr>
              <w:widowControl w:val="0"/>
              <w:bidi w:val="0"/>
              <w:jc w:val="both"/>
              <w:rPr>
                <w:rFonts w:ascii="宋体" w:eastAsia="宋体" w:hAnsi="宋体" w:cs="宋体" w:hint="eastAsia"/>
                <w:sz w:val="21"/>
                <w:szCs w:val="21"/>
              </w:rPr>
            </w:pPr>
            <w:r>
              <w:rPr>
                <w:rFonts w:ascii="宋体" w:eastAsia="宋体" w:hAnsi="宋体" w:cs="宋体" w:hint="eastAsia"/>
                <w:kern w:val="2"/>
                <w:sz w:val="21"/>
                <w:szCs w:val="21"/>
                <w:lang w:eastAsia="zh-CN"/>
              </w:rPr>
              <w:t>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3</w:t>
            </w:r>
          </w:p>
        </w:tc>
        <w:tc>
          <w:tcPr>
            <w:tcW w:w="40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商务部分</w:t>
            </w:r>
          </w:p>
        </w:tc>
        <w:tc>
          <w:tcPr>
            <w:tcW w:w="4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spacing w:line="360" w:lineRule="auto"/>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color w:val="0000FF"/>
                <w:sz w:val="21"/>
                <w:szCs w:val="21"/>
              </w:rPr>
            </w:pPr>
          </w:p>
        </w:tc>
        <w:tc>
          <w:tcPr>
            <w:tcW w:w="8016" w:type="dxa"/>
            <w:gridSpan w:val="5"/>
            <w:tcBorders>
              <w:top w:val="single" w:sz="8" w:space="0" w:color="000000"/>
              <w:left w:val="single" w:sz="8" w:space="0" w:color="000000"/>
              <w:bottom w:val="single" w:sz="8" w:space="0" w:color="000000"/>
              <w:right w:val="single" w:sz="8" w:space="0" w:color="000000"/>
            </w:tcBorders>
            <w:shd w:val="clear" w:color="auto" w:fill="auto"/>
          </w:tcPr>
          <w:p>
            <w:pPr>
              <w:spacing w:line="360" w:lineRule="auto"/>
              <w:rPr>
                <w:rFonts w:ascii="宋体" w:eastAsia="宋体" w:hAnsi="宋体" w:cs="宋体" w:hint="eastAsia"/>
                <w:sz w:val="21"/>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tcBorders>
              <w:left w:val="single" w:sz="8" w:space="0" w:color="000000"/>
              <w:right w:val="single" w:sz="8" w:space="0" w:color="000000"/>
            </w:tcBorders>
            <w:shd w:val="clear" w:color="auto" w:fill="E6EFFA"/>
            <w:vAlign w:val="center"/>
          </w:tcPr>
          <w:p>
            <w:pPr>
              <w:spacing w:line="360" w:lineRule="auto"/>
              <w:jc w:val="center"/>
              <w:rPr>
                <w:rFonts w:ascii="宋体" w:eastAsia="宋体" w:hAnsi="宋体" w:cs="宋体" w:hint="eastAsia"/>
                <w:b/>
                <w:bCs/>
                <w:color w:val="0000FF"/>
                <w:sz w:val="21"/>
                <w:szCs w:val="21"/>
              </w:rPr>
            </w:pPr>
          </w:p>
        </w:tc>
        <w:tc>
          <w:tcPr>
            <w:tcW w:w="650"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lang w:bidi="ar"/>
              </w:rPr>
              <w:t>序号</w:t>
            </w:r>
          </w:p>
        </w:tc>
        <w:tc>
          <w:tcPr>
            <w:tcW w:w="270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lang w:bidi="ar"/>
              </w:rPr>
              <w:t>评分因素</w:t>
            </w:r>
          </w:p>
        </w:tc>
        <w:tc>
          <w:tcPr>
            <w:tcW w:w="650"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lang w:bidi="ar"/>
              </w:rPr>
              <w:t>权重(%)</w:t>
            </w:r>
          </w:p>
        </w:tc>
        <w:tc>
          <w:tcPr>
            <w:tcW w:w="4008"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lang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color w:val="0000FF"/>
                <w:sz w:val="21"/>
                <w:szCs w:val="21"/>
              </w:rPr>
            </w:pP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w:t>
            </w:r>
          </w:p>
        </w:tc>
        <w:tc>
          <w:tcPr>
            <w:tcW w:w="270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kern w:val="2"/>
                <w:sz w:val="21"/>
                <w:szCs w:val="21"/>
                <w:lang w:eastAsia="zh-CN"/>
              </w:rPr>
              <w:t>免费保修期内售后服务条款偏离情况</w:t>
            </w: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kern w:val="2"/>
                <w:sz w:val="21"/>
                <w:szCs w:val="21"/>
                <w:lang w:eastAsia="zh-CN"/>
              </w:rPr>
              <w:t>5</w:t>
            </w:r>
          </w:p>
        </w:tc>
        <w:tc>
          <w:tcPr>
            <w:tcW w:w="4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一、考察内容：</w:t>
            </w:r>
          </w:p>
          <w:p>
            <w:pPr>
              <w:widowControl w:val="0"/>
              <w:bidi w:val="0"/>
              <w:jc w:val="both"/>
              <w:rPr>
                <w:rFonts w:ascii="宋体" w:eastAsia="宋体" w:hAnsi="宋体" w:cs="宋体" w:hint="eastAsia"/>
                <w:sz w:val="21"/>
                <w:szCs w:val="21"/>
              </w:rPr>
            </w:pPr>
            <w:r>
              <w:rPr>
                <w:rFonts w:ascii="宋体" w:eastAsia="宋体" w:hAnsi="宋体" w:cs="宋体" w:hint="eastAsia"/>
                <w:kern w:val="2"/>
                <w:sz w:val="21"/>
                <w:szCs w:val="21"/>
                <w:lang w:eastAsia="zh-CN"/>
              </w:rPr>
              <w:t>投标人应如实填写商务要求偏离表（免费保修期内售后服务条款偏离情况），评审委员会根据响应情况进行打分，全部满足要求的得100分，实质性条款除外，每负偏离一项扣25分，扣完为止。</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color w:val="0000FF"/>
                <w:sz w:val="21"/>
                <w:szCs w:val="21"/>
              </w:rPr>
            </w:pP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w:t>
            </w:r>
          </w:p>
        </w:tc>
        <w:tc>
          <w:tcPr>
            <w:tcW w:w="270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kern w:val="2"/>
                <w:sz w:val="21"/>
                <w:szCs w:val="21"/>
                <w:lang w:eastAsia="zh-CN"/>
              </w:rPr>
              <w:t>免费保修期外售后服务条款偏离情况</w:t>
            </w: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kern w:val="2"/>
                <w:sz w:val="21"/>
                <w:szCs w:val="21"/>
                <w:lang w:eastAsia="zh-CN"/>
              </w:rPr>
              <w:t>5</w:t>
            </w:r>
          </w:p>
        </w:tc>
        <w:tc>
          <w:tcPr>
            <w:tcW w:w="40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bidi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一、考察内容：</w:t>
            </w:r>
          </w:p>
          <w:p>
            <w:pPr>
              <w:widowControl w:val="0"/>
              <w:bidi w:val="0"/>
              <w:jc w:val="both"/>
              <w:rPr>
                <w:rFonts w:ascii="宋体" w:eastAsia="宋体" w:hAnsi="宋体" w:cs="宋体" w:hint="eastAsia"/>
                <w:sz w:val="21"/>
                <w:szCs w:val="21"/>
              </w:rPr>
            </w:pPr>
            <w:r>
              <w:rPr>
                <w:rFonts w:ascii="宋体" w:eastAsia="宋体" w:hAnsi="宋体" w:cs="宋体" w:hint="eastAsia"/>
                <w:kern w:val="2"/>
                <w:sz w:val="21"/>
                <w:szCs w:val="21"/>
                <w:lang w:eastAsia="zh-CN"/>
              </w:rPr>
              <w:t>投标人应如实填写商务要求偏离表（免费保修期外售后服务条款偏离情况），评审委员会根据响应情况进行打分，全部满足要求的得100分，实质性条款除外，每负偏离一项扣20分，扣完为止。</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51" w:type="dxa"/>
            <w:gridSpan w:val="2"/>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color w:val="0000FF"/>
                <w:sz w:val="21"/>
                <w:szCs w:val="21"/>
              </w:rPr>
            </w:pP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3</w:t>
            </w:r>
          </w:p>
        </w:tc>
        <w:tc>
          <w:tcPr>
            <w:tcW w:w="270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rPr>
            </w:pPr>
            <w:r>
              <w:rPr>
                <w:rFonts w:ascii="宋体" w:eastAsia="宋体" w:hAnsi="宋体" w:cs="宋体" w:hint="eastAsia"/>
                <w:kern w:val="2"/>
                <w:sz w:val="21"/>
                <w:szCs w:val="21"/>
                <w:lang w:eastAsia="zh-CN"/>
              </w:rPr>
              <w:t>诚信情况</w:t>
            </w:r>
          </w:p>
        </w:tc>
        <w:tc>
          <w:tcPr>
            <w:tcW w:w="6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bCs/>
                <w:sz w:val="21"/>
                <w:szCs w:val="21"/>
              </w:rPr>
            </w:pPr>
            <w:r>
              <w:rPr>
                <w:rFonts w:ascii="宋体" w:eastAsia="宋体" w:hAnsi="宋体" w:cs="宋体" w:hint="eastAsia"/>
                <w:kern w:val="2"/>
                <w:sz w:val="21"/>
                <w:szCs w:val="21"/>
                <w:lang w:eastAsia="zh-CN"/>
              </w:rPr>
              <w:t>5</w:t>
            </w:r>
          </w:p>
        </w:tc>
        <w:tc>
          <w:tcPr>
            <w:tcW w:w="4008"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pPr>
              <w:widowControl/>
              <w:wordWrap w:val="0"/>
              <w:jc w:val="left"/>
              <w:textAlignment w:val="top"/>
              <w:rPr>
                <w:rFonts w:ascii="宋体" w:eastAsia="宋体" w:hAnsi="宋体" w:cs="宋体" w:hint="eastAsia"/>
                <w:sz w:val="21"/>
                <w:szCs w:val="21"/>
              </w:rPr>
            </w:pPr>
            <w:r>
              <w:rPr>
                <w:rFonts w:ascii="宋体" w:eastAsia="宋体" w:hAnsi="宋体" w:cs="宋体" w:hint="eastAsia"/>
                <w:kern w:val="2"/>
                <w:sz w:val="21"/>
                <w:szCs w:val="21"/>
                <w:lang w:eastAsia="zh-CN"/>
              </w:rPr>
              <w:t>查询渠道：通过“信用中国”（www.creditchina.gov.cn）、“中国政府采购网”（www.ccgp.gov.cn）、“深圳市政府采购监管网”（http://zfcg.sz.gov.cn）以及财政主管部门认定的其他渠道查询供应商信用信息，信用信息以开标当日的查询结果为准。</w:t>
            </w:r>
          </w:p>
        </w:tc>
      </w:tr>
    </w:tbl>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1"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ind w:left="720" w:firstLine="412" w:leftChars="300"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1.满足《中华人民共和国政府采购法》第二十二条第一款的条件；（由供应商在《政府采购投标及履约承诺函》中作出声明）；</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2.具有独立法人资格或是具有独立承担民事责任能力的其它组织（提供营业执照或事业单位法人证书等证明资料复印件，原件备查）；</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6.参与本项目政府采购活动时不存在被有关部门禁止参与政府采购活动且在有效期内的情况（由供应商在《政府采购投标及履约承诺函》中作出声明）；</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7.参与本项目投标前三年内，在经营活动中没有重大违法记录（由供应商在《政府采购投标及履约承诺函》中作出声明）；</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8.本项目不接受联合体投标，不接受进口产品参与投标，不允许分包、转包。</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color w:val="FF0000"/>
          <w:sz w:val="21"/>
          <w:szCs w:val="21"/>
          <w:lang w:eastAsia="zh-CN"/>
        </w:rPr>
        <w:t>9.</w:t>
      </w:r>
      <w:r>
        <w:rPr>
          <w:rFonts w:ascii="宋体" w:eastAsia="宋体" w:hAnsi="宋体" w:cs="宋体" w:hint="eastAsia"/>
          <w:color w:val="FF0000"/>
          <w:sz w:val="21"/>
          <w:szCs w:val="21"/>
        </w:rPr>
        <w:t>本项目不属于专门面向中小微企业采购项目</w:t>
      </w:r>
      <w:r>
        <w:rPr>
          <w:rFonts w:ascii="宋体" w:eastAsia="宋体" w:hAnsi="宋体" w:cs="宋体" w:hint="eastAsia"/>
          <w:color w:val="FF0000"/>
          <w:sz w:val="21"/>
          <w:szCs w:val="21"/>
          <w:lang w:eastAsia="zh-CN"/>
        </w:rPr>
        <w:t>；</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w:t>
      </w:r>
      <w:r>
        <w:rPr>
          <w:rFonts w:ascii="宋体" w:eastAsia="宋体" w:hAnsi="宋体" w:cs="宋体" w:hint="eastAsia"/>
          <w:b/>
          <w:bCs/>
          <w:kern w:val="2"/>
          <w:sz w:val="21"/>
          <w:szCs w:val="21"/>
          <w:lang w:eastAsia="zh-CN"/>
        </w:rPr>
        <w:t>及相关人员近3个月内的任意一个月社保缴交凭证证明</w:t>
      </w:r>
      <w:r>
        <w:rPr>
          <w:rFonts w:ascii="宋体" w:eastAsia="宋体" w:hAnsi="宋体" w:cs="宋体" w:hint="eastAsia"/>
          <w:kern w:val="2"/>
          <w:sz w:val="21"/>
          <w:szCs w:val="21"/>
          <w:lang w:eastAsia="zh-CN"/>
        </w:rPr>
        <w:t>（由供应商填写《供应商基本情况表》相关信息）。</w:t>
      </w:r>
    </w:p>
    <w:p>
      <w:pPr>
        <w:widowControl w:val="0"/>
        <w:spacing w:after="60" w:afterLines="25"/>
        <w:jc w:val="center"/>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完整公告内容以网站公布信息为准，详见：深圳政府采购自行采购系统网（https://zxcg.szggzy.com/home/index.html）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第二章</w:t>
      </w:r>
      <w:bookmarkStart w:id="2" w:name="_Hlk71926094"/>
      <w:r>
        <w:rPr>
          <w:rFonts w:ascii="宋体" w:eastAsia="宋体" w:hAnsi="宋体" w:hint="eastAsia"/>
          <w:b/>
          <w:bCs/>
          <w:sz w:val="28"/>
          <w:szCs w:val="28"/>
          <w:lang w:eastAsia="zh-CN"/>
        </w:rPr>
        <w:t xml:space="preserve">  对通用条款的补充内容及其他关键信息</w:t>
      </w:r>
      <w:bookmarkEnd w:id="2"/>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3" w:name="_Toc60560625"/>
      <w:bookmarkStart w:id="4" w:name="_Toc73517639"/>
      <w:bookmarkStart w:id="5" w:name="_Toc73521547"/>
      <w:bookmarkStart w:id="6" w:name="_Toc60631620"/>
      <w:bookmarkStart w:id="7" w:name="_Toc100052364"/>
      <w:bookmarkStart w:id="8" w:name="_Toc73521635"/>
      <w:bookmarkStart w:id="9" w:name="_Toc101074876"/>
      <w:bookmarkStart w:id="10" w:name="_Toc73518117"/>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深圳市龙华区中心医院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1" w:name="_Hlk71664860"/>
            <w:r>
              <w:rPr>
                <w:rFonts w:ascii="宋体" w:eastAsia="宋体" w:hAnsi="宋体" w:cstheme="minorBidi" w:hint="eastAsia"/>
                <w:kern w:val="2"/>
                <w:sz w:val="21"/>
                <w:szCs w:val="21"/>
                <w:lang w:eastAsia="zh-CN"/>
              </w:rPr>
              <w:t>样品、现场演示、方案讲解</w:t>
            </w:r>
            <w:bookmarkEnd w:id="11"/>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需要</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w:t>
      </w:r>
      <w:r>
        <w:rPr>
          <w:rFonts w:ascii="宋体" w:eastAsia="宋体" w:hAnsi="宋体" w:cs="宋体" w:hint="eastAsia"/>
          <w:b/>
          <w:bCs/>
          <w:sz w:val="21"/>
          <w:szCs w:val="21"/>
          <w:lang w:eastAsia="zh-CN"/>
        </w:rPr>
        <w:t>中小微企业</w:t>
      </w:r>
      <w:r>
        <w:rPr>
          <w:rFonts w:ascii="宋体" w:eastAsia="宋体" w:hAnsi="宋体" w:cs="宋体" w:hint="eastAsia"/>
          <w:sz w:val="21"/>
          <w:szCs w:val="21"/>
          <w:lang w:eastAsia="zh-CN"/>
        </w:rPr>
        <w:t>采购的项目，不再执行价格扣除比例。</w:t>
      </w:r>
    </w:p>
    <w:p>
      <w:pPr>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（2）非专门面向中小微企业采购的项目，应执行价格扣除比例：</w:t>
      </w:r>
      <w:r>
        <w:rPr>
          <w:rFonts w:ascii="宋体" w:eastAsia="宋体" w:hAnsi="宋体" w:cs="宋体" w:hint="eastAsia"/>
          <w:sz w:val="21"/>
          <w:szCs w:val="21"/>
        </w:rPr>
        <w:t>投标人提供的货物（以招标文件用户需求书“货物清单明细”的“货物名称”一栏为准）全部均由优惠主体制造，则对其投标总价给予</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10</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w:t>
      </w:r>
      <w:r>
        <w:rPr>
          <w:rFonts w:ascii="宋体" w:eastAsia="宋体" w:hAnsi="宋体" w:cs="宋体" w:hint="eastAsia"/>
          <w:b/>
          <w:bCs/>
          <w:color w:val="FF0000"/>
          <w:sz w:val="21"/>
          <w:szCs w:val="21"/>
        </w:rPr>
        <w:t>%</w:t>
      </w:r>
      <w:r>
        <w:rPr>
          <w:rFonts w:ascii="宋体" w:eastAsia="宋体" w:hAnsi="宋体" w:cs="宋体" w:hint="eastAsia"/>
          <w:color w:val="000000"/>
          <w:sz w:val="21"/>
          <w:szCs w:val="21"/>
          <w:lang w:eastAsia="zh-CN"/>
        </w:rPr>
        <w:t>（10%~20%）</w:t>
      </w:r>
      <w:r>
        <w:rPr>
          <w:rFonts w:ascii="宋体" w:eastAsia="宋体" w:hAnsi="宋体" w:cs="宋体" w:hint="eastAsia"/>
          <w:sz w:val="21"/>
          <w:szCs w:val="21"/>
        </w:rPr>
        <w:t>的扣除，用扣除后的价格参与评审。满足多项优惠政策的</w:t>
      </w:r>
      <w:r>
        <w:rPr>
          <w:rFonts w:ascii="宋体" w:eastAsia="宋体" w:hAnsi="宋体" w:cs="宋体" w:hint="eastAsia"/>
          <w:sz w:val="21"/>
          <w:szCs w:val="21"/>
          <w:lang w:eastAsia="zh-CN"/>
        </w:rPr>
        <w:t>供应商</w:t>
      </w:r>
      <w:r>
        <w:rPr>
          <w:rFonts w:ascii="宋体" w:eastAsia="宋体" w:hAnsi="宋体" w:cs="宋体" w:hint="eastAsia"/>
          <w:sz w:val="21"/>
          <w:szCs w:val="21"/>
        </w:rPr>
        <w:t>，不重复享受多项价格扣除政策。</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w:t>
      </w:r>
      <w:bookmarkStart w:id="12" w:name="_Hlk71970739"/>
      <w:r>
        <w:rPr>
          <w:rFonts w:ascii="宋体" w:eastAsia="宋体" w:hAnsi="宋体" w:cs="宋体"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本项目采购标的（货物）对应的中小企业划分标准所属行业为</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工  </w:t>
      </w:r>
      <w:r>
        <w:rPr>
          <w:rFonts w:ascii="宋体" w:eastAsia="宋体" w:hAnsi="宋体" w:cs="宋体" w:hint="eastAsia"/>
          <w:b/>
          <w:bCs/>
          <w:color w:val="FF0000"/>
          <w:sz w:val="21"/>
          <w:szCs w:val="21"/>
          <w:u w:val="single"/>
        </w:rPr>
        <w:t xml:space="preserve"> </w:t>
      </w:r>
      <w:r>
        <w:rPr>
          <w:rFonts w:ascii="宋体" w:eastAsia="宋体" w:hAnsi="宋体" w:cs="宋体" w:hint="eastAsia"/>
          <w:b/>
          <w:bCs/>
          <w:sz w:val="21"/>
          <w:szCs w:val="21"/>
        </w:rPr>
        <w:t>业</w:t>
      </w:r>
      <w:r>
        <w:rPr>
          <w:rFonts w:ascii="宋体" w:eastAsia="宋体" w:hAnsi="宋体" w:cs="宋体" w:hint="eastAsia"/>
          <w:sz w:val="21"/>
          <w:szCs w:val="21"/>
        </w:rPr>
        <w:t>。</w:t>
      </w:r>
      <w:bookmarkEnd w:id="12"/>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ascii="宋体" w:eastAsia="宋体" w:hAnsi="宋体" w:cs="宋体" w:hint="eastAsia"/>
          <w:sz w:val="21"/>
          <w:szCs w:val="21"/>
          <w:lang w:eastAsia="zh-CN"/>
        </w:rPr>
        <w:t>四</w:t>
      </w:r>
      <w:r>
        <w:rPr>
          <w:rFonts w:ascii="宋体" w:eastAsia="宋体" w:hAnsi="宋体" w:cs="宋体" w:hint="eastAsia"/>
          <w:sz w:val="21"/>
          <w:szCs w:val="21"/>
        </w:rPr>
        <w:t>章“投标文件格式、附件”中“</w:t>
      </w:r>
      <w:r>
        <w:rPr>
          <w:rFonts w:ascii="宋体" w:eastAsia="宋体" w:hAnsi="宋体" w:cs="宋体" w:hint="eastAsia"/>
          <w:sz w:val="21"/>
          <w:szCs w:val="21"/>
          <w:lang w:eastAsia="zh-CN"/>
        </w:rPr>
        <w:t>三、</w:t>
      </w:r>
      <w:r>
        <w:rPr>
          <w:rFonts w:ascii="宋体" w:eastAsia="宋体" w:hAnsi="宋体" w:cs="宋体" w:hint="eastAsia"/>
          <w:sz w:val="21"/>
          <w:szCs w:val="21"/>
        </w:rPr>
        <w:t>投标人情况及资格证明文件”章节提供的格式）。</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）享受价格扣除获得政府采购合同的，小微企业不得将合同分包给大中型企业。</w:t>
      </w:r>
    </w:p>
    <w:p>
      <w:pPr>
        <w:widowControl w:val="0"/>
        <w:tabs>
          <w:tab w:val="left" w:pos="720"/>
        </w:tabs>
        <w:ind w:firstLine="480" w:firstLineChars="200"/>
        <w:jc w:val="both"/>
        <w:rPr>
          <w:rFonts w:ascii="黑体" w:eastAsia="黑体" w:hAnsi="宋体"/>
          <w:kern w:val="2"/>
          <w:szCs w:val="22"/>
          <w:highlight w:val="yellow"/>
          <w:lang w:eastAsia="zh-CN"/>
        </w:rPr>
      </w:pP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kern w:val="2"/>
          <w:szCs w:val="22"/>
          <w:lang w:eastAsia="zh-CN"/>
        </w:rPr>
      </w:pPr>
    </w:p>
    <w:p>
      <w:pPr>
        <w:widowControl w:val="0"/>
        <w:tabs>
          <w:tab w:val="left" w:pos="720"/>
        </w:tabs>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400" w:lineRule="exact"/>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根据原国家计委《招标代理服务收费管理暂行办法》（计价格[2002]1980号）和国家发改委办公厅《关于招标代理服务收费有关问题的通知》（发改办价格[2003]857号）文件相关规定，招标代理服务费以中标金额为基数、按差额定率累进法计算，并在此计算结果基础上下浮 20 %，作为中标服务费。具体计取费率标准如下表所示（由中标单位支付招标代理服务费）：</w:t>
      </w:r>
    </w:p>
    <w:tbl>
      <w:tblPr>
        <w:tblStyle w:val="TableNormal"/>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2858"/>
        <w:gridCol w:w="1999"/>
        <w:gridCol w:w="2000"/>
        <w:gridCol w:w="1999"/>
      </w:tblGrid>
      <w:tr>
        <w:tblPrEx>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794"/>
        </w:trPr>
        <w:tc>
          <w:tcPr>
            <w:tcW w:w="2836" w:type="dxa"/>
            <w:tcBorders>
              <w:tl2br w:val="single" w:sz="8" w:space="0" w:color="auto"/>
            </w:tcBorders>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服务类型中标金额(万元)</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货物招标</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服务招标</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工程招标</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100以下</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100-500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0.7％</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500-1000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0.45％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1000-5000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0.35％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5000-10000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10000-100000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1000000以上</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r>
    </w:tbl>
    <w:p>
      <w:pPr>
        <w:widowControl w:val="0"/>
        <w:ind w:firstLine="420" w:firstLineChars="200"/>
        <w:jc w:val="both"/>
        <w:rPr>
          <w:rFonts w:eastAsia="宋体" w:hint="eastAsia"/>
          <w:kern w:val="2"/>
          <w:sz w:val="21"/>
          <w:lang w:eastAsia="zh-CN"/>
        </w:rPr>
      </w:pPr>
      <w:r>
        <w:rPr>
          <w:rFonts w:eastAsia="宋体" w:hint="eastAsia"/>
          <w:kern w:val="2"/>
          <w:sz w:val="21"/>
          <w:lang w:eastAsia="zh-CN"/>
        </w:rPr>
        <w:t>注：</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（1）按本表费率计算的收费为招标代理服务的收费基准价格。</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（2）招标代理服务收费按差额定率累进法计算。</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例如：某服务招标代理业务中标金额为600万元，计算招标代理服务收费额如下：</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100万元×1.5%=1.5万元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（500-100）万元×0.8%=3.2万元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（600-500）万元×0.45%=0.45万元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合计收费=1.5+3.2+0.45=5.15万元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备注：最低收费不低于人民币6000元。代理服务费用超过6000元，则按国家计费规定收取代理服务费。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收款单位：深圳市千里招标代理有限公司</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开户银行：中国平安银行深圳创业路支行</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帐号：（人民币）15000094959311（用于支付标书费和中标服务费）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中标人须在中标公告公示期结束后，领取《中标通知书》前，向招标（采购）代理机构缴纳招标代理服务费。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招标代理服务费以转账、银行汇票形式交付。</w:t>
      </w: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一、项目基本信息</w:t>
      </w:r>
    </w:p>
    <w:tbl>
      <w:tblPr>
        <w:tblStyle w:val="TableNormal"/>
        <w:tblpPr w:leftFromText="180" w:rightFromText="180" w:vertAnchor="text" w:horzAnchor="margin" w:tblpX="1"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7"/>
        <w:gridCol w:w="2139"/>
        <w:gridCol w:w="3941"/>
        <w:gridCol w:w="204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410" w:type="pct"/>
            <w:noWrap w:val="0"/>
            <w:vAlign w:val="center"/>
          </w:tcPr>
          <w:p>
            <w:pPr>
              <w:widowControl w:val="0"/>
              <w:spacing w:line="276"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1207" w:type="pct"/>
            <w:noWrap w:val="0"/>
            <w:vAlign w:val="center"/>
          </w:tcPr>
          <w:p>
            <w:pPr>
              <w:widowControl w:val="0"/>
              <w:spacing w:line="276"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项目编号</w:t>
            </w:r>
          </w:p>
        </w:tc>
        <w:tc>
          <w:tcPr>
            <w:tcW w:w="2225" w:type="pct"/>
            <w:noWrap w:val="0"/>
            <w:vAlign w:val="center"/>
          </w:tcPr>
          <w:p>
            <w:pPr>
              <w:widowControl w:val="0"/>
              <w:spacing w:line="276"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采购项目名称</w:t>
            </w:r>
          </w:p>
        </w:tc>
        <w:tc>
          <w:tcPr>
            <w:tcW w:w="1157" w:type="pct"/>
            <w:noWrap w:val="0"/>
            <w:vAlign w:val="center"/>
          </w:tcPr>
          <w:p>
            <w:pPr>
              <w:widowControl w:val="0"/>
              <w:spacing w:line="276"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313"/>
        </w:trPr>
        <w:tc>
          <w:tcPr>
            <w:tcW w:w="410" w:type="pct"/>
            <w:noWrap w:val="0"/>
            <w:vAlign w:val="center"/>
          </w:tcPr>
          <w:p>
            <w:pPr>
              <w:widowControl w:val="0"/>
              <w:spacing w:line="276" w:lineRule="auto"/>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1207" w:type="pct"/>
            <w:noWrap w:val="0"/>
            <w:vAlign w:val="center"/>
          </w:tcPr>
          <w:p>
            <w:pPr>
              <w:widowControl w:val="0"/>
              <w:bidi w:val="0"/>
              <w:spacing w:line="360" w:lineRule="auto"/>
              <w:jc w:val="center"/>
              <w:rPr>
                <w:rFonts w:ascii="宋体" w:eastAsia="宋体" w:hAnsi="宋体" w:cs="宋体"/>
                <w:kern w:val="2"/>
                <w:sz w:val="21"/>
                <w:szCs w:val="21"/>
                <w:lang w:eastAsia="zh-CN"/>
              </w:rPr>
            </w:pPr>
            <w:r>
              <w:rPr>
                <w:rFonts w:ascii="宋体" w:eastAsia="宋体" w:hAnsi="宋体" w:cs="宋体"/>
                <w:kern w:val="2"/>
                <w:sz w:val="21"/>
                <w:szCs w:val="21"/>
                <w:lang w:eastAsia="zh-CN"/>
              </w:rPr>
              <w:t>LHAZXDL-2025-00528</w:t>
            </w:r>
          </w:p>
        </w:tc>
        <w:tc>
          <w:tcPr>
            <w:tcW w:w="2225" w:type="pct"/>
            <w:noWrap w:val="0"/>
            <w:vAlign w:val="center"/>
          </w:tcPr>
          <w:p>
            <w:pPr>
              <w:widowControl w:val="0"/>
              <w:bidi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医疗设备一批（离心机等）</w:t>
            </w:r>
          </w:p>
        </w:tc>
        <w:tc>
          <w:tcPr>
            <w:tcW w:w="1157" w:type="pct"/>
            <w:noWrap w:val="0"/>
            <w:vAlign w:val="center"/>
          </w:tcPr>
          <w:p>
            <w:pPr>
              <w:widowControl w:val="0"/>
              <w:bidi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269600.00</w:t>
            </w:r>
          </w:p>
        </w:tc>
      </w:tr>
    </w:tbl>
    <w:p>
      <w:pPr>
        <w:widowControl w:val="0"/>
        <w:jc w:val="both"/>
        <w:rPr>
          <w:rFonts w:ascii="宋体" w:eastAsia="宋体" w:hAnsi="宋体" w:cs="宋体" w:hint="eastAsia"/>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sz w:val="21"/>
          <w:szCs w:val="21"/>
          <w:lang w:eastAsia="zh-CN"/>
        </w:rPr>
      </w:pPr>
      <w:bookmarkStart w:id="13" w:name="_Hlk72258617"/>
      <w:r>
        <w:rPr>
          <w:rFonts w:ascii="宋体" w:eastAsia="宋体" w:hAnsi="宋体" w:cs="宋体" w:hint="eastAsia"/>
          <w:b/>
          <w:bCs/>
          <w:sz w:val="21"/>
          <w:szCs w:val="21"/>
          <w:lang w:eastAsia="zh-CN"/>
        </w:rPr>
        <w:t>二、</w:t>
      </w:r>
      <w:bookmarkStart w:id="14" w:name="_Hlk72073432"/>
      <w:r>
        <w:rPr>
          <w:rFonts w:ascii="宋体" w:eastAsia="宋体" w:hAnsi="宋体" w:cs="宋体" w:hint="eastAsia"/>
          <w:b/>
          <w:bCs/>
          <w:sz w:val="21"/>
          <w:szCs w:val="21"/>
          <w:lang w:eastAsia="zh-CN"/>
        </w:rPr>
        <w:t>货物需求明细</w:t>
      </w:r>
      <w:bookmarkEnd w:id="14"/>
    </w:p>
    <w:bookmarkEnd w:id="13"/>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（一）货物分项清单</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9"/>
        <w:gridCol w:w="1930"/>
        <w:gridCol w:w="760"/>
        <w:gridCol w:w="1686"/>
        <w:gridCol w:w="1430"/>
        <w:gridCol w:w="24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9"/>
          <w:jc w:val="center"/>
        </w:trPr>
        <w:tc>
          <w:tcPr>
            <w:tcW w:w="615" w:type="dxa"/>
            <w:noWrap w:val="0"/>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1857" w:type="dxa"/>
            <w:noWrap w:val="0"/>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货物名称</w:t>
            </w:r>
          </w:p>
        </w:tc>
        <w:tc>
          <w:tcPr>
            <w:tcW w:w="731" w:type="dxa"/>
            <w:noWrap w:val="0"/>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数量</w:t>
            </w:r>
          </w:p>
        </w:tc>
        <w:tc>
          <w:tcPr>
            <w:tcW w:w="1622" w:type="dxa"/>
            <w:noWrap w:val="0"/>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单位</w:t>
            </w:r>
          </w:p>
        </w:tc>
        <w:tc>
          <w:tcPr>
            <w:tcW w:w="1376" w:type="dxa"/>
            <w:noWrap w:val="0"/>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备注</w:t>
            </w:r>
          </w:p>
        </w:tc>
        <w:tc>
          <w:tcPr>
            <w:tcW w:w="2320" w:type="dxa"/>
            <w:noWrap w:val="0"/>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投标最高限价（元）</w:t>
            </w:r>
          </w:p>
        </w:tc>
      </w:tr>
      <w:tr>
        <w:tblPrEx>
          <w:tblW w:w="5000" w:type="pct"/>
          <w:jc w:val="center"/>
          <w:tblLayout w:type="fixed"/>
          <w:tblCellMar>
            <w:top w:w="0" w:type="dxa"/>
            <w:left w:w="108" w:type="dxa"/>
            <w:bottom w:w="0" w:type="dxa"/>
            <w:right w:w="108" w:type="dxa"/>
          </w:tblCellMar>
        </w:tblPrEx>
        <w:trPr>
          <w:trHeight w:val="627"/>
          <w:jc w:val="center"/>
        </w:trPr>
        <w:tc>
          <w:tcPr>
            <w:tcW w:w="615"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1</w:t>
            </w:r>
          </w:p>
        </w:tc>
        <w:tc>
          <w:tcPr>
            <w:tcW w:w="1857"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bidi="ar"/>
              </w:rPr>
            </w:pPr>
            <w:r>
              <w:rPr>
                <w:rFonts w:ascii="宋体" w:eastAsia="宋体" w:hAnsi="宋体" w:cs="宋体" w:hint="eastAsia"/>
                <w:color w:val="000000"/>
                <w:sz w:val="21"/>
                <w:szCs w:val="21"/>
                <w:lang w:eastAsia="zh-CN" w:bidi="ar"/>
              </w:rPr>
              <w:t>全科诊断系统</w:t>
            </w:r>
          </w:p>
        </w:tc>
        <w:tc>
          <w:tcPr>
            <w:tcW w:w="731"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4</w:t>
            </w:r>
          </w:p>
        </w:tc>
        <w:tc>
          <w:tcPr>
            <w:tcW w:w="162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1376"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拒绝进口</w:t>
            </w:r>
          </w:p>
        </w:tc>
        <w:tc>
          <w:tcPr>
            <w:tcW w:w="2320"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40280</w:t>
            </w:r>
          </w:p>
        </w:tc>
      </w:tr>
      <w:tr>
        <w:tblPrEx>
          <w:tblW w:w="5000" w:type="pct"/>
          <w:jc w:val="center"/>
          <w:tblLayout w:type="fixed"/>
          <w:tblCellMar>
            <w:top w:w="0" w:type="dxa"/>
            <w:left w:w="108" w:type="dxa"/>
            <w:bottom w:w="0"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bidi="ar"/>
              </w:rPr>
            </w:pPr>
            <w:r>
              <w:rPr>
                <w:rFonts w:ascii="宋体" w:eastAsia="宋体" w:hAnsi="宋体" w:cs="宋体" w:hint="eastAsia"/>
                <w:color w:val="000000"/>
                <w:sz w:val="21"/>
                <w:szCs w:val="21"/>
                <w:lang w:eastAsia="zh-CN" w:bidi="ar"/>
              </w:rPr>
              <w:t>2</w:t>
            </w:r>
          </w:p>
        </w:tc>
        <w:tc>
          <w:tcPr>
            <w:tcW w:w="1857"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bidi="ar"/>
              </w:rPr>
            </w:pPr>
            <w:r>
              <w:rPr>
                <w:rFonts w:ascii="宋体" w:eastAsia="宋体" w:hAnsi="宋体" w:cs="宋体" w:hint="eastAsia"/>
                <w:color w:val="000000"/>
                <w:sz w:val="21"/>
                <w:szCs w:val="21"/>
                <w:lang w:eastAsia="zh-CN" w:bidi="ar"/>
              </w:rPr>
              <w:t>全自动血压计</w:t>
            </w:r>
          </w:p>
        </w:tc>
        <w:tc>
          <w:tcPr>
            <w:tcW w:w="731"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3</w:t>
            </w:r>
          </w:p>
        </w:tc>
        <w:tc>
          <w:tcPr>
            <w:tcW w:w="162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1376"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拒绝进口</w:t>
            </w:r>
          </w:p>
        </w:tc>
        <w:tc>
          <w:tcPr>
            <w:tcW w:w="2320"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62700</w:t>
            </w:r>
          </w:p>
        </w:tc>
      </w:tr>
      <w:tr>
        <w:tblPrEx>
          <w:tblW w:w="5000" w:type="pct"/>
          <w:jc w:val="center"/>
          <w:tblLayout w:type="fixed"/>
          <w:tblCellMar>
            <w:top w:w="0" w:type="dxa"/>
            <w:left w:w="108" w:type="dxa"/>
            <w:bottom w:w="0"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w:t>
            </w:r>
          </w:p>
        </w:tc>
        <w:tc>
          <w:tcPr>
            <w:tcW w:w="1857"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自动体重身高计</w:t>
            </w:r>
          </w:p>
        </w:tc>
        <w:tc>
          <w:tcPr>
            <w:tcW w:w="731" w:type="dxa"/>
            <w:noWrap w:val="0"/>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162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1376"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拒绝进口</w:t>
            </w:r>
          </w:p>
        </w:tc>
        <w:tc>
          <w:tcPr>
            <w:tcW w:w="2320"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19000</w:t>
            </w:r>
          </w:p>
        </w:tc>
      </w:tr>
      <w:tr>
        <w:tblPrEx>
          <w:tblW w:w="5000" w:type="pct"/>
          <w:jc w:val="center"/>
          <w:tblLayout w:type="fixed"/>
          <w:tblCellMar>
            <w:top w:w="0" w:type="dxa"/>
            <w:left w:w="108" w:type="dxa"/>
            <w:bottom w:w="0"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w:t>
            </w:r>
          </w:p>
        </w:tc>
        <w:tc>
          <w:tcPr>
            <w:tcW w:w="1857"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治疗车</w:t>
            </w:r>
          </w:p>
        </w:tc>
        <w:tc>
          <w:tcPr>
            <w:tcW w:w="731" w:type="dxa"/>
            <w:noWrap w:val="0"/>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6</w:t>
            </w:r>
          </w:p>
        </w:tc>
        <w:tc>
          <w:tcPr>
            <w:tcW w:w="162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台</w:t>
            </w:r>
          </w:p>
        </w:tc>
        <w:tc>
          <w:tcPr>
            <w:tcW w:w="1376"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拒绝进口</w:t>
            </w:r>
          </w:p>
        </w:tc>
        <w:tc>
          <w:tcPr>
            <w:tcW w:w="2320"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6840</w:t>
            </w:r>
          </w:p>
        </w:tc>
      </w:tr>
      <w:tr>
        <w:tblPrEx>
          <w:tblW w:w="5000" w:type="pct"/>
          <w:jc w:val="center"/>
          <w:tblLayout w:type="fixed"/>
          <w:tblCellMar>
            <w:top w:w="0" w:type="dxa"/>
            <w:left w:w="108" w:type="dxa"/>
            <w:bottom w:w="0"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w:t>
            </w:r>
          </w:p>
        </w:tc>
        <w:tc>
          <w:tcPr>
            <w:tcW w:w="1857"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TDP灯</w:t>
            </w:r>
          </w:p>
        </w:tc>
        <w:tc>
          <w:tcPr>
            <w:tcW w:w="731" w:type="dxa"/>
            <w:noWrap w:val="0"/>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6</w:t>
            </w:r>
          </w:p>
        </w:tc>
        <w:tc>
          <w:tcPr>
            <w:tcW w:w="162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1376"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拒绝进口</w:t>
            </w:r>
          </w:p>
        </w:tc>
        <w:tc>
          <w:tcPr>
            <w:tcW w:w="2320"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2850</w:t>
            </w:r>
          </w:p>
        </w:tc>
      </w:tr>
      <w:tr>
        <w:tblPrEx>
          <w:tblW w:w="5000" w:type="pct"/>
          <w:jc w:val="center"/>
          <w:tblLayout w:type="fixed"/>
          <w:tblCellMar>
            <w:top w:w="0" w:type="dxa"/>
            <w:left w:w="108" w:type="dxa"/>
            <w:bottom w:w="0"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w:t>
            </w:r>
          </w:p>
        </w:tc>
        <w:tc>
          <w:tcPr>
            <w:tcW w:w="1857"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电脑中频治疗仪</w:t>
            </w:r>
          </w:p>
        </w:tc>
        <w:tc>
          <w:tcPr>
            <w:tcW w:w="731" w:type="dxa"/>
            <w:noWrap w:val="0"/>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p>
        </w:tc>
        <w:tc>
          <w:tcPr>
            <w:tcW w:w="162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1376"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拒绝进口</w:t>
            </w:r>
          </w:p>
        </w:tc>
        <w:tc>
          <w:tcPr>
            <w:tcW w:w="2320" w:type="dxa"/>
            <w:noWrap w:val="0"/>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8550</w:t>
            </w:r>
          </w:p>
        </w:tc>
      </w:tr>
      <w:tr>
        <w:tblPrEx>
          <w:tblW w:w="5000" w:type="pct"/>
          <w:jc w:val="center"/>
          <w:tblLayout w:type="fixed"/>
          <w:tblCellMar>
            <w:top w:w="0" w:type="dxa"/>
            <w:left w:w="108" w:type="dxa"/>
            <w:bottom w:w="0"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7</w:t>
            </w:r>
          </w:p>
        </w:tc>
        <w:tc>
          <w:tcPr>
            <w:tcW w:w="1857"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离心机</w:t>
            </w:r>
          </w:p>
        </w:tc>
        <w:tc>
          <w:tcPr>
            <w:tcW w:w="731" w:type="dxa"/>
            <w:noWrap w:val="0"/>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p>
        </w:tc>
        <w:tc>
          <w:tcPr>
            <w:tcW w:w="162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台</w:t>
            </w:r>
          </w:p>
        </w:tc>
        <w:tc>
          <w:tcPr>
            <w:tcW w:w="1376"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拒绝进口</w:t>
            </w:r>
          </w:p>
        </w:tc>
        <w:tc>
          <w:tcPr>
            <w:tcW w:w="2320"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54150</w:t>
            </w:r>
          </w:p>
        </w:tc>
      </w:tr>
      <w:tr>
        <w:tblPrEx>
          <w:tblW w:w="5000" w:type="pct"/>
          <w:jc w:val="center"/>
          <w:tblLayout w:type="fixed"/>
          <w:tblCellMar>
            <w:top w:w="0" w:type="dxa"/>
            <w:left w:w="108" w:type="dxa"/>
            <w:bottom w:w="0"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8</w:t>
            </w:r>
          </w:p>
        </w:tc>
        <w:tc>
          <w:tcPr>
            <w:tcW w:w="1857"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药品保存冰箱</w:t>
            </w:r>
          </w:p>
        </w:tc>
        <w:tc>
          <w:tcPr>
            <w:tcW w:w="731" w:type="dxa"/>
            <w:noWrap w:val="0"/>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162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台</w:t>
            </w:r>
          </w:p>
        </w:tc>
        <w:tc>
          <w:tcPr>
            <w:tcW w:w="1376"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拒绝进口</w:t>
            </w:r>
          </w:p>
        </w:tc>
        <w:tc>
          <w:tcPr>
            <w:tcW w:w="2320"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13300</w:t>
            </w:r>
          </w:p>
        </w:tc>
      </w:tr>
      <w:tr>
        <w:tblPrEx>
          <w:tblW w:w="5000" w:type="pct"/>
          <w:jc w:val="center"/>
          <w:tblLayout w:type="fixed"/>
          <w:tblCellMar>
            <w:top w:w="0" w:type="dxa"/>
            <w:left w:w="108" w:type="dxa"/>
            <w:bottom w:w="0"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9</w:t>
            </w:r>
          </w:p>
        </w:tc>
        <w:tc>
          <w:tcPr>
            <w:tcW w:w="1857"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经皮黄疸测试仪</w:t>
            </w:r>
          </w:p>
        </w:tc>
        <w:tc>
          <w:tcPr>
            <w:tcW w:w="731" w:type="dxa"/>
            <w:noWrap w:val="0"/>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p>
        </w:tc>
        <w:tc>
          <w:tcPr>
            <w:tcW w:w="162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1376"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拒绝进口</w:t>
            </w:r>
          </w:p>
        </w:tc>
        <w:tc>
          <w:tcPr>
            <w:tcW w:w="2320"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28500</w:t>
            </w:r>
          </w:p>
        </w:tc>
      </w:tr>
      <w:tr>
        <w:tblPrEx>
          <w:tblW w:w="5000" w:type="pct"/>
          <w:jc w:val="center"/>
          <w:tblLayout w:type="fixed"/>
          <w:tblCellMar>
            <w:top w:w="0" w:type="dxa"/>
            <w:left w:w="108" w:type="dxa"/>
            <w:bottom w:w="0"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10</w:t>
            </w:r>
          </w:p>
        </w:tc>
        <w:tc>
          <w:tcPr>
            <w:tcW w:w="1857"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一体读卡器(身份证-医保卡-健康卡)</w:t>
            </w:r>
          </w:p>
        </w:tc>
        <w:tc>
          <w:tcPr>
            <w:tcW w:w="731" w:type="dxa"/>
            <w:noWrap w:val="0"/>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6</w:t>
            </w:r>
          </w:p>
        </w:tc>
        <w:tc>
          <w:tcPr>
            <w:tcW w:w="162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1376"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拒绝进口</w:t>
            </w:r>
          </w:p>
        </w:tc>
        <w:tc>
          <w:tcPr>
            <w:tcW w:w="2320" w:type="dxa"/>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19950</w:t>
            </w:r>
          </w:p>
        </w:tc>
      </w:tr>
    </w:tbl>
    <w:p>
      <w:pPr>
        <w:widowControl w:val="0"/>
        <w:spacing w:after="120" w:line="360" w:lineRule="auto"/>
        <w:ind w:firstLine="420" w:firstLineChars="20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1、本项目的财政预算金额为人民币</w:t>
      </w:r>
      <w:r>
        <w:rPr>
          <w:rFonts w:ascii="宋体" w:eastAsia="宋体" w:hAnsi="宋体" w:cs="宋体" w:hint="eastAsia"/>
          <w:b/>
          <w:color w:val="000000"/>
          <w:kern w:val="2"/>
          <w:sz w:val="21"/>
          <w:szCs w:val="21"/>
          <w:lang w:eastAsia="zh-CN"/>
        </w:rPr>
        <w:t>269600.00</w:t>
      </w:r>
      <w:r>
        <w:rPr>
          <w:rFonts w:ascii="宋体" w:eastAsia="宋体" w:hAnsi="宋体" w:cs="宋体" w:hint="eastAsia"/>
          <w:b/>
          <w:color w:val="000000"/>
          <w:kern w:val="2"/>
          <w:sz w:val="21"/>
          <w:szCs w:val="21"/>
          <w:lang w:eastAsia="zh-CN"/>
        </w:rPr>
        <w:t>元；本次招标的投标最高限价为人民币</w:t>
      </w:r>
      <w:r>
        <w:rPr>
          <w:rFonts w:ascii="宋体" w:eastAsia="宋体" w:hAnsi="宋体" w:cs="宋体" w:hint="eastAsia"/>
          <w:b/>
          <w:color w:val="000000"/>
          <w:kern w:val="2"/>
          <w:sz w:val="21"/>
          <w:szCs w:val="21"/>
          <w:lang w:eastAsia="zh-CN"/>
        </w:rPr>
        <w:t>256120.00</w:t>
      </w:r>
      <w:r>
        <w:rPr>
          <w:rFonts w:ascii="宋体" w:eastAsia="宋体" w:hAnsi="宋体" w:cs="宋体" w:hint="eastAsia"/>
          <w:b/>
          <w:color w:val="000000"/>
          <w:kern w:val="2"/>
          <w:sz w:val="21"/>
          <w:szCs w:val="21"/>
          <w:lang w:eastAsia="zh-CN"/>
        </w:rPr>
        <w:t>元。投标总价不得超过最高限价，设置单价最高限价的，分项报价不得超过相应单价最高限价。</w:t>
      </w:r>
    </w:p>
    <w:p>
      <w:pPr>
        <w:widowControl w:val="0"/>
        <w:spacing w:after="120" w:line="360" w:lineRule="auto"/>
        <w:ind w:firstLine="420" w:firstLineChars="20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widowControl w:val="0"/>
        <w:spacing w:line="360" w:lineRule="auto"/>
        <w:ind w:firstLine="420" w:firstLineChars="200"/>
        <w:jc w:val="both"/>
        <w:rPr>
          <w:rFonts w:ascii="宋体" w:eastAsia="宋体" w:hAnsi="宋体" w:cs="宋体" w:hint="eastAsia"/>
          <w:b/>
          <w:color w:val="FF0000"/>
          <w:kern w:val="2"/>
          <w:sz w:val="21"/>
          <w:szCs w:val="21"/>
          <w:lang w:eastAsia="zh-CN"/>
        </w:rPr>
      </w:pPr>
      <w:r>
        <w:rPr>
          <w:rFonts w:ascii="宋体" w:eastAsia="宋体" w:hAnsi="宋体" w:cs="宋体" w:hint="eastAsia"/>
          <w:b/>
          <w:color w:val="000000"/>
          <w:kern w:val="2"/>
          <w:sz w:val="21"/>
          <w:szCs w:val="21"/>
          <w:lang w:eastAsia="zh-CN"/>
        </w:rPr>
        <w:t>3、核心产品：</w:t>
      </w:r>
      <w:r>
        <w:rPr>
          <w:rFonts w:ascii="宋体" w:eastAsia="宋体" w:hAnsi="宋体" w:cs="宋体" w:hint="eastAsia"/>
          <w:b/>
          <w:color w:val="000000"/>
          <w:kern w:val="2"/>
          <w:sz w:val="21"/>
          <w:szCs w:val="21"/>
          <w:lang w:eastAsia="zh-CN"/>
        </w:rPr>
        <w:t>离心机</w:t>
      </w:r>
    </w:p>
    <w:p>
      <w:pPr>
        <w:widowControl w:val="0"/>
        <w:spacing w:line="360" w:lineRule="auto"/>
        <w:ind w:firstLine="420" w:firstLineChars="200"/>
        <w:jc w:val="left"/>
        <w:rPr>
          <w:rFonts w:ascii="宋体" w:eastAsia="宋体" w:hAnsi="宋体" w:cs="宋体" w:hint="eastAsia"/>
          <w:bCs/>
          <w:color w:val="000000"/>
          <w:kern w:val="2"/>
          <w:sz w:val="21"/>
          <w:szCs w:val="21"/>
          <w:lang w:eastAsia="zh-CN"/>
        </w:rPr>
      </w:pPr>
      <w:bookmarkStart w:id="15" w:name="_Toc128884461"/>
      <w:r>
        <w:rPr>
          <w:rFonts w:ascii="宋体" w:eastAsia="宋体" w:hAnsi="宋体" w:cs="宋体" w:hint="eastAsia"/>
          <w:bCs/>
          <w:color w:val="000000"/>
          <w:kern w:val="2"/>
          <w:sz w:val="21"/>
          <w:szCs w:val="21"/>
          <w:lang w:eastAsia="zh-CN"/>
        </w:rPr>
        <w:t>当多家投标人提供的核心产品品牌相同的，按一家投标人计算。根据《政府采购货物和服务招标投标管理办法》（中华人民共和国财政部令第87号）第三十一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格。</w:t>
      </w:r>
    </w:p>
    <w:p>
      <w:pPr>
        <w:widowControl w:val="0"/>
        <w:spacing w:before="120" w:after="120"/>
        <w:jc w:val="left"/>
        <w:rPr>
          <w:rFonts w:ascii="宋体" w:eastAsia="宋体" w:hAnsi="宋体" w:cs="宋体" w:hint="eastAsia"/>
          <w:b/>
          <w:bCs/>
          <w:caps/>
          <w:kern w:val="2"/>
          <w:sz w:val="21"/>
          <w:szCs w:val="21"/>
          <w:lang w:eastAsia="zh-CN"/>
        </w:rPr>
      </w:pPr>
      <w:r>
        <w:rPr>
          <w:rFonts w:ascii="宋体" w:eastAsia="宋体" w:hAnsi="宋体" w:cs="宋体" w:hint="eastAsia"/>
          <w:b/>
          <w:bCs/>
          <w:caps/>
          <w:kern w:val="2"/>
          <w:sz w:val="21"/>
          <w:szCs w:val="21"/>
          <w:lang w:eastAsia="zh-CN"/>
        </w:rPr>
        <w:t>★（二）货物配置清单</w:t>
      </w:r>
    </w:p>
    <w:tbl>
      <w:tblPr>
        <w:tblStyle w:val="TableNormal"/>
        <w:tblW w:w="5000" w:type="pct"/>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76"/>
        <w:gridCol w:w="2364"/>
        <w:gridCol w:w="3709"/>
        <w:gridCol w:w="1707"/>
      </w:tblGrid>
      <w:tr>
        <w:tblPrEx>
          <w:tblW w:w="5000" w:type="pct"/>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70"/>
        </w:trPr>
        <w:tc>
          <w:tcPr>
            <w:tcW w:w="1076" w:type="dxa"/>
            <w:tcBorders>
              <w:top w:val="single" w:sz="4" w:space="0" w:color="000000"/>
              <w:left w:val="single" w:sz="4" w:space="0" w:color="000000"/>
              <w:bottom w:val="single" w:sz="4" w:space="0" w:color="auto"/>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序号</w:t>
            </w:r>
          </w:p>
        </w:tc>
        <w:tc>
          <w:tcPr>
            <w:tcW w:w="2364" w:type="dxa"/>
            <w:tcBorders>
              <w:top w:val="single" w:sz="4" w:space="0" w:color="000000"/>
              <w:left w:val="single" w:sz="4" w:space="0" w:color="000000"/>
              <w:bottom w:val="single" w:sz="4" w:space="0" w:color="auto"/>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kern w:val="2"/>
                <w:sz w:val="21"/>
                <w:szCs w:val="21"/>
                <w:lang w:eastAsia="zh-CN"/>
              </w:rPr>
              <w:t>货物名称</w:t>
            </w:r>
          </w:p>
        </w:tc>
        <w:tc>
          <w:tcPr>
            <w:tcW w:w="3709" w:type="dxa"/>
            <w:tcBorders>
              <w:top w:val="single" w:sz="4" w:space="0" w:color="000000"/>
              <w:left w:val="single" w:sz="4" w:space="0" w:color="000000"/>
              <w:bottom w:val="single" w:sz="4" w:space="0" w:color="auto"/>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配置清单</w:t>
            </w:r>
          </w:p>
        </w:tc>
        <w:tc>
          <w:tcPr>
            <w:tcW w:w="1707" w:type="dxa"/>
            <w:tcBorders>
              <w:top w:val="single" w:sz="4" w:space="0" w:color="000000"/>
              <w:left w:val="single" w:sz="4" w:space="0" w:color="000000"/>
              <w:bottom w:val="single" w:sz="4" w:space="0" w:color="auto"/>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备注</w:t>
            </w:r>
          </w:p>
        </w:tc>
      </w:tr>
      <w:tr>
        <w:tblPrEx>
          <w:tblW w:w="5000" w:type="pct"/>
          <w:tblInd w:w="93" w:type="dxa"/>
          <w:tblLayout w:type="fixed"/>
          <w:tblCellMar>
            <w:top w:w="0" w:type="dxa"/>
            <w:left w:w="108" w:type="dxa"/>
            <w:bottom w:w="0" w:type="dxa"/>
            <w:right w:w="108" w:type="dxa"/>
          </w:tblCellMar>
        </w:tblPrEx>
        <w:trPr>
          <w:trHeight w:val="520"/>
        </w:trPr>
        <w:tc>
          <w:tcPr>
            <w:tcW w:w="107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236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全科诊断系统</w:t>
            </w:r>
          </w:p>
        </w:tc>
        <w:tc>
          <w:tcPr>
            <w:tcW w:w="3709" w:type="dxa"/>
            <w:tcBorders>
              <w:top w:val="single" w:sz="4" w:space="0" w:color="auto"/>
              <w:left w:val="single" w:sz="4" w:space="0" w:color="auto"/>
              <w:bottom w:val="single" w:sz="4" w:space="0" w:color="auto"/>
              <w:right w:val="single" w:sz="4" w:space="0" w:color="auto"/>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1生命体征模块</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件</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2检眼镜模块</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件</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3手柄模块</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 xml:space="preserve">    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件</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4耳套盒模块</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件</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5储物篮</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个</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 xml:space="preserve">       </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6医用红外体温计1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个</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7直接检眼镜头</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个</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8医用放大镜头</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个</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9成人血压袖带</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套</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10成人指夹式血氧探头1套</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11遥控器</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个</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12电源线</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根</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 xml:space="preserve"> </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13使用说明书</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本</w:t>
            </w:r>
            <w:r>
              <w:rPr>
                <w:rFonts w:ascii="宋体" w:eastAsia="宋体" w:hAnsi="宋体" w:cs="宋体" w:hint="eastAsia"/>
                <w:color w:val="000000"/>
                <w:sz w:val="21"/>
                <w:szCs w:val="21"/>
                <w:lang w:eastAsia="zh-CN" w:bidi="ar"/>
              </w:rPr>
              <w:tab/>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14合格证</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份</w:t>
            </w:r>
            <w:r>
              <w:rPr>
                <w:rFonts w:ascii="宋体" w:eastAsia="宋体" w:hAnsi="宋体" w:cs="宋体" w:hint="eastAsia"/>
                <w:color w:val="000000"/>
                <w:sz w:val="21"/>
                <w:szCs w:val="21"/>
                <w:lang w:eastAsia="zh-CN" w:bidi="ar"/>
              </w:rPr>
              <w:tab/>
            </w:r>
          </w:p>
        </w:tc>
        <w:tc>
          <w:tcPr>
            <w:tcW w:w="1707" w:type="dxa"/>
            <w:tcBorders>
              <w:top w:val="single" w:sz="4" w:space="0" w:color="auto"/>
              <w:left w:val="single" w:sz="4" w:space="0" w:color="auto"/>
              <w:bottom w:val="single" w:sz="4" w:space="0" w:color="auto"/>
              <w:right w:val="single" w:sz="4" w:space="0" w:color="auto"/>
            </w:tcBorders>
            <w:noWrap/>
            <w:vAlign w:val="center"/>
          </w:tcPr>
          <w:p>
            <w:pPr>
              <w:rPr>
                <w:rFonts w:ascii="宋体" w:eastAsia="宋体" w:hAnsi="宋体" w:cs="宋体" w:hint="eastAsia"/>
                <w:color w:val="000000"/>
                <w:sz w:val="21"/>
                <w:szCs w:val="21"/>
              </w:rPr>
            </w:pPr>
          </w:p>
        </w:tc>
      </w:tr>
      <w:tr>
        <w:tblPrEx>
          <w:tblW w:w="5000" w:type="pct"/>
          <w:tblInd w:w="93" w:type="dxa"/>
          <w:tblLayout w:type="fixed"/>
          <w:tblCellMar>
            <w:top w:w="0" w:type="dxa"/>
            <w:left w:w="108" w:type="dxa"/>
            <w:bottom w:w="0" w:type="dxa"/>
            <w:right w:w="108" w:type="dxa"/>
          </w:tblCellMar>
        </w:tblPrEx>
        <w:trPr>
          <w:trHeight w:val="520"/>
        </w:trPr>
        <w:tc>
          <w:tcPr>
            <w:tcW w:w="107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236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全自动血压计</w:t>
            </w:r>
          </w:p>
        </w:tc>
        <w:tc>
          <w:tcPr>
            <w:tcW w:w="3709" w:type="dxa"/>
            <w:tcBorders>
              <w:top w:val="single" w:sz="4" w:space="0" w:color="auto"/>
              <w:left w:val="single" w:sz="4" w:space="0" w:color="auto"/>
              <w:bottom w:val="single" w:sz="4" w:space="0" w:color="auto"/>
              <w:right w:val="single" w:sz="4" w:space="0" w:color="auto"/>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主机1台</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搁手板1块</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电源适配器1个</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eastAsia="zh-CN" w:bidi="ar"/>
              </w:rPr>
              <w:t>电源线1根</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eastAsia="zh-CN" w:bidi="ar"/>
              </w:rPr>
              <w:t xml:space="preserve"> 使用说明书1本</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w:t>
            </w:r>
            <w:r>
              <w:rPr>
                <w:rFonts w:ascii="宋体" w:eastAsia="宋体" w:hAnsi="宋体" w:cs="宋体" w:hint="eastAsia"/>
                <w:color w:val="000000"/>
                <w:sz w:val="21"/>
                <w:szCs w:val="21"/>
                <w:lang w:eastAsia="zh-CN" w:bidi="ar"/>
              </w:rPr>
              <w:t>合格证1个</w:t>
            </w:r>
          </w:p>
        </w:tc>
        <w:tc>
          <w:tcPr>
            <w:tcW w:w="170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p>
        </w:tc>
      </w:tr>
      <w:tr>
        <w:tblPrEx>
          <w:tblW w:w="5000" w:type="pct"/>
          <w:tblInd w:w="93" w:type="dxa"/>
          <w:tblLayout w:type="fixed"/>
          <w:tblCellMar>
            <w:top w:w="0" w:type="dxa"/>
            <w:left w:w="108" w:type="dxa"/>
            <w:bottom w:w="0" w:type="dxa"/>
            <w:right w:w="108" w:type="dxa"/>
          </w:tblCellMar>
        </w:tblPrEx>
        <w:trPr>
          <w:trHeight w:val="520"/>
        </w:trPr>
        <w:tc>
          <w:tcPr>
            <w:tcW w:w="107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w:t>
            </w:r>
          </w:p>
        </w:tc>
        <w:tc>
          <w:tcPr>
            <w:tcW w:w="236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自动体重身高计</w:t>
            </w:r>
          </w:p>
        </w:tc>
        <w:tc>
          <w:tcPr>
            <w:tcW w:w="3709" w:type="dxa"/>
            <w:tcBorders>
              <w:top w:val="single" w:sz="4" w:space="0" w:color="auto"/>
              <w:left w:val="single" w:sz="4" w:space="0" w:color="auto"/>
              <w:bottom w:val="single" w:sz="4" w:space="0" w:color="auto"/>
              <w:right w:val="single" w:sz="4" w:space="0" w:color="auto"/>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1自动身高体重称1台</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2数据线</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 xml:space="preserve"> </w:t>
            </w:r>
            <w:r>
              <w:rPr>
                <w:rFonts w:ascii="宋体" w:eastAsia="宋体" w:hAnsi="宋体" w:cs="宋体" w:hint="eastAsia"/>
                <w:color w:val="000000"/>
                <w:sz w:val="21"/>
                <w:szCs w:val="21"/>
                <w:lang w:eastAsia="zh-CN" w:bidi="ar"/>
              </w:rPr>
              <w:t>根</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3交流电源线</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1根</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4说明书</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1本</w:t>
            </w:r>
          </w:p>
        </w:tc>
        <w:tc>
          <w:tcPr>
            <w:tcW w:w="170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p>
        </w:tc>
      </w:tr>
      <w:tr>
        <w:tblPrEx>
          <w:tblW w:w="5000" w:type="pct"/>
          <w:tblInd w:w="93" w:type="dxa"/>
          <w:tblLayout w:type="fixed"/>
          <w:tblCellMar>
            <w:top w:w="0" w:type="dxa"/>
            <w:left w:w="108" w:type="dxa"/>
            <w:bottom w:w="0" w:type="dxa"/>
            <w:right w:w="108" w:type="dxa"/>
          </w:tblCellMar>
        </w:tblPrEx>
        <w:trPr>
          <w:trHeight w:val="520"/>
        </w:trPr>
        <w:tc>
          <w:tcPr>
            <w:tcW w:w="107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w:t>
            </w:r>
          </w:p>
        </w:tc>
        <w:tc>
          <w:tcPr>
            <w:tcW w:w="236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治疗车</w:t>
            </w:r>
          </w:p>
        </w:tc>
        <w:tc>
          <w:tcPr>
            <w:tcW w:w="3709" w:type="dxa"/>
            <w:tcBorders>
              <w:top w:val="single" w:sz="4" w:space="0" w:color="auto"/>
              <w:left w:val="single" w:sz="4" w:space="0" w:color="auto"/>
              <w:bottom w:val="single" w:sz="4" w:space="0" w:color="auto"/>
              <w:right w:val="single" w:sz="4" w:space="0" w:color="auto"/>
            </w:tcBorders>
            <w:noWrap w:val="0"/>
            <w:vAlign w:val="top"/>
          </w:tcPr>
          <w:p>
            <w:pPr>
              <w:keepNext w:val="0"/>
              <w:keepLines w:val="0"/>
              <w:widowControl/>
              <w:numPr>
                <w:ilvl w:val="0"/>
                <w:numId w:val="0"/>
              </w:numPr>
              <w:suppressLineNumbers w:val="0"/>
              <w:ind w:left="0" w:firstLine="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1治疗车 1台</w:t>
            </w:r>
          </w:p>
          <w:p>
            <w:pPr>
              <w:keepNext w:val="0"/>
              <w:keepLines w:val="0"/>
              <w:widowControl/>
              <w:numPr>
                <w:ilvl w:val="0"/>
                <w:numId w:val="0"/>
              </w:numPr>
              <w:suppressLineNumbers w:val="0"/>
              <w:ind w:left="0" w:firstLine="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2抽屉    1个</w:t>
            </w:r>
          </w:p>
          <w:p>
            <w:pPr>
              <w:keepNext w:val="0"/>
              <w:keepLines w:val="0"/>
              <w:widowControl/>
              <w:numPr>
                <w:ilvl w:val="0"/>
                <w:numId w:val="0"/>
              </w:numPr>
              <w:suppressLineNumbers w:val="0"/>
              <w:ind w:left="0" w:firstLine="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3合格证  1份</w:t>
            </w:r>
          </w:p>
        </w:tc>
        <w:tc>
          <w:tcPr>
            <w:tcW w:w="170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p>
        </w:tc>
      </w:tr>
      <w:tr>
        <w:tblPrEx>
          <w:tblW w:w="5000" w:type="pct"/>
          <w:tblInd w:w="93" w:type="dxa"/>
          <w:tblLayout w:type="fixed"/>
          <w:tblCellMar>
            <w:top w:w="0" w:type="dxa"/>
            <w:left w:w="108" w:type="dxa"/>
            <w:bottom w:w="0" w:type="dxa"/>
            <w:right w:w="108" w:type="dxa"/>
          </w:tblCellMar>
        </w:tblPrEx>
        <w:trPr>
          <w:trHeight w:val="520"/>
        </w:trPr>
        <w:tc>
          <w:tcPr>
            <w:tcW w:w="107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w:t>
            </w:r>
          </w:p>
        </w:tc>
        <w:tc>
          <w:tcPr>
            <w:tcW w:w="236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TDP灯</w:t>
            </w:r>
          </w:p>
        </w:tc>
        <w:tc>
          <w:tcPr>
            <w:tcW w:w="3709" w:type="dxa"/>
            <w:tcBorders>
              <w:top w:val="single" w:sz="4" w:space="0" w:color="auto"/>
              <w:left w:val="single" w:sz="4" w:space="0" w:color="auto"/>
              <w:bottom w:val="single" w:sz="4" w:space="0" w:color="auto"/>
              <w:right w:val="single" w:sz="4" w:space="0" w:color="auto"/>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 xml:space="preserve"> TDP灯主机   1台</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说明书 1本</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 xml:space="preserve"> 合格证 1张</w:t>
            </w:r>
          </w:p>
        </w:tc>
        <w:tc>
          <w:tcPr>
            <w:tcW w:w="170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p>
        </w:tc>
      </w:tr>
      <w:tr>
        <w:tblPrEx>
          <w:tblW w:w="5000" w:type="pct"/>
          <w:tblInd w:w="93" w:type="dxa"/>
          <w:tblLayout w:type="fixed"/>
          <w:tblCellMar>
            <w:top w:w="0" w:type="dxa"/>
            <w:left w:w="108" w:type="dxa"/>
            <w:bottom w:w="0" w:type="dxa"/>
            <w:right w:w="108" w:type="dxa"/>
          </w:tblCellMar>
        </w:tblPrEx>
        <w:trPr>
          <w:trHeight w:val="520"/>
        </w:trPr>
        <w:tc>
          <w:tcPr>
            <w:tcW w:w="107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w:t>
            </w:r>
          </w:p>
        </w:tc>
        <w:tc>
          <w:tcPr>
            <w:tcW w:w="236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电脑中频治疗仪</w:t>
            </w:r>
          </w:p>
        </w:tc>
        <w:tc>
          <w:tcPr>
            <w:tcW w:w="3709" w:type="dxa"/>
            <w:tcBorders>
              <w:top w:val="single" w:sz="4" w:space="0" w:color="auto"/>
              <w:left w:val="single" w:sz="4" w:space="0" w:color="auto"/>
              <w:bottom w:val="single" w:sz="4" w:space="0" w:color="auto"/>
              <w:right w:val="single" w:sz="4" w:space="0" w:color="auto"/>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1主机</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1台</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2电源线</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1根</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3使用说明书</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1份</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4合格证</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 xml:space="preserve">       </w:t>
            </w:r>
            <w:r>
              <w:rPr>
                <w:rFonts w:ascii="宋体" w:eastAsia="宋体" w:hAnsi="宋体" w:cs="宋体" w:hint="eastAsia"/>
                <w:color w:val="000000"/>
                <w:sz w:val="21"/>
                <w:szCs w:val="21"/>
                <w:lang w:eastAsia="zh-CN" w:bidi="ar"/>
              </w:rPr>
              <w:t>1份</w:t>
            </w:r>
            <w:r>
              <w:rPr>
                <w:rFonts w:ascii="宋体" w:eastAsia="宋体" w:hAnsi="宋体" w:cs="宋体" w:hint="eastAsia"/>
                <w:color w:val="000000"/>
                <w:sz w:val="21"/>
                <w:szCs w:val="21"/>
                <w:lang w:eastAsia="zh-CN" w:bidi="ar"/>
              </w:rPr>
              <w:tab/>
            </w:r>
          </w:p>
        </w:tc>
        <w:tc>
          <w:tcPr>
            <w:tcW w:w="170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p>
        </w:tc>
      </w:tr>
      <w:tr>
        <w:tblPrEx>
          <w:tblW w:w="5000" w:type="pct"/>
          <w:tblInd w:w="93" w:type="dxa"/>
          <w:tblLayout w:type="fixed"/>
          <w:tblCellMar>
            <w:top w:w="0" w:type="dxa"/>
            <w:left w:w="108" w:type="dxa"/>
            <w:bottom w:w="0" w:type="dxa"/>
            <w:right w:w="108" w:type="dxa"/>
          </w:tblCellMar>
        </w:tblPrEx>
        <w:trPr>
          <w:trHeight w:val="520"/>
        </w:trPr>
        <w:tc>
          <w:tcPr>
            <w:tcW w:w="107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7</w:t>
            </w:r>
          </w:p>
        </w:tc>
        <w:tc>
          <w:tcPr>
            <w:tcW w:w="236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离心机</w:t>
            </w:r>
          </w:p>
        </w:tc>
        <w:tc>
          <w:tcPr>
            <w:tcW w:w="3709" w:type="dxa"/>
            <w:tcBorders>
              <w:top w:val="single" w:sz="4" w:space="0" w:color="auto"/>
              <w:left w:val="single" w:sz="4" w:space="0" w:color="auto"/>
              <w:bottom w:val="single" w:sz="4" w:space="0" w:color="auto"/>
              <w:right w:val="single" w:sz="4" w:space="0" w:color="auto"/>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 xml:space="preserve">1 </w:t>
            </w:r>
            <w:r>
              <w:rPr>
                <w:rFonts w:ascii="宋体" w:eastAsia="宋体" w:hAnsi="宋体" w:cs="宋体" w:hint="eastAsia"/>
                <w:color w:val="000000"/>
                <w:sz w:val="21"/>
                <w:szCs w:val="21"/>
                <w:lang w:eastAsia="zh-CN" w:bidi="ar"/>
              </w:rPr>
              <w:t>离心机</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1台</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 xml:space="preserve">2 </w:t>
            </w:r>
            <w:r>
              <w:rPr>
                <w:rFonts w:ascii="宋体" w:eastAsia="宋体" w:hAnsi="宋体" w:cs="宋体" w:hint="eastAsia"/>
                <w:color w:val="000000"/>
                <w:sz w:val="21"/>
                <w:szCs w:val="21"/>
                <w:lang w:eastAsia="zh-CN" w:bidi="ar"/>
              </w:rPr>
              <w:t>电源线</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1根</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 xml:space="preserve">3 </w:t>
            </w:r>
            <w:r>
              <w:rPr>
                <w:rFonts w:ascii="宋体" w:eastAsia="宋体" w:hAnsi="宋体" w:cs="宋体" w:hint="eastAsia"/>
                <w:color w:val="000000"/>
                <w:sz w:val="21"/>
                <w:szCs w:val="21"/>
                <w:lang w:eastAsia="zh-CN" w:bidi="ar"/>
              </w:rPr>
              <w:t>使用说明书</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1本</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 xml:space="preserve">4 </w:t>
            </w:r>
            <w:r>
              <w:rPr>
                <w:rFonts w:ascii="宋体" w:eastAsia="宋体" w:hAnsi="宋体" w:cs="宋体" w:hint="eastAsia"/>
                <w:color w:val="000000"/>
                <w:sz w:val="21"/>
                <w:szCs w:val="21"/>
                <w:lang w:eastAsia="zh-CN" w:bidi="ar"/>
              </w:rPr>
              <w:t>合格证</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1个</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 xml:space="preserve">5 </w:t>
            </w:r>
            <w:r>
              <w:rPr>
                <w:rFonts w:ascii="宋体" w:eastAsia="宋体" w:hAnsi="宋体" w:cs="宋体" w:hint="eastAsia"/>
                <w:color w:val="000000"/>
                <w:sz w:val="21"/>
                <w:szCs w:val="21"/>
                <w:lang w:eastAsia="zh-CN" w:bidi="ar"/>
              </w:rPr>
              <w:t>保修卡</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1个</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p>
        </w:tc>
        <w:tc>
          <w:tcPr>
            <w:tcW w:w="170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p>
        </w:tc>
      </w:tr>
      <w:tr>
        <w:tblPrEx>
          <w:tblW w:w="5000" w:type="pct"/>
          <w:tblInd w:w="93" w:type="dxa"/>
          <w:tblLayout w:type="fixed"/>
          <w:tblCellMar>
            <w:top w:w="0" w:type="dxa"/>
            <w:left w:w="108" w:type="dxa"/>
            <w:bottom w:w="0" w:type="dxa"/>
            <w:right w:w="108" w:type="dxa"/>
          </w:tblCellMar>
        </w:tblPrEx>
        <w:trPr>
          <w:trHeight w:val="520"/>
        </w:trPr>
        <w:tc>
          <w:tcPr>
            <w:tcW w:w="107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8</w:t>
            </w:r>
          </w:p>
        </w:tc>
        <w:tc>
          <w:tcPr>
            <w:tcW w:w="236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药品保存冰箱</w:t>
            </w:r>
          </w:p>
        </w:tc>
        <w:tc>
          <w:tcPr>
            <w:tcW w:w="3709" w:type="dxa"/>
            <w:tcBorders>
              <w:top w:val="single" w:sz="4" w:space="0" w:color="auto"/>
              <w:left w:val="single" w:sz="4" w:space="0" w:color="auto"/>
              <w:bottom w:val="single" w:sz="4" w:space="0" w:color="auto"/>
              <w:right w:val="single" w:sz="4" w:space="0" w:color="auto"/>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医用冷藏箱</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台</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eastAsia="zh-CN" w:bidi="ar"/>
              </w:rPr>
              <w:t>电源线</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条</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说明书</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份</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eastAsia="zh-CN" w:bidi="ar"/>
              </w:rPr>
              <w:t>合格证</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份</w:t>
            </w:r>
          </w:p>
        </w:tc>
        <w:tc>
          <w:tcPr>
            <w:tcW w:w="170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p>
        </w:tc>
      </w:tr>
      <w:tr>
        <w:tblPrEx>
          <w:tblW w:w="5000" w:type="pct"/>
          <w:tblInd w:w="93" w:type="dxa"/>
          <w:tblLayout w:type="fixed"/>
          <w:tblCellMar>
            <w:top w:w="0" w:type="dxa"/>
            <w:left w:w="108" w:type="dxa"/>
            <w:bottom w:w="0" w:type="dxa"/>
            <w:right w:w="108" w:type="dxa"/>
          </w:tblCellMar>
        </w:tblPrEx>
        <w:trPr>
          <w:trHeight w:val="520"/>
        </w:trPr>
        <w:tc>
          <w:tcPr>
            <w:tcW w:w="107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9</w:t>
            </w:r>
          </w:p>
        </w:tc>
        <w:tc>
          <w:tcPr>
            <w:tcW w:w="236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经皮黄疸测试仪</w:t>
            </w:r>
          </w:p>
        </w:tc>
        <w:tc>
          <w:tcPr>
            <w:tcW w:w="3709" w:type="dxa"/>
            <w:tcBorders>
              <w:top w:val="single" w:sz="4" w:space="0" w:color="auto"/>
              <w:left w:val="single" w:sz="4" w:space="0" w:color="auto"/>
              <w:bottom w:val="single" w:sz="4" w:space="0" w:color="auto"/>
              <w:right w:val="single" w:sz="4" w:space="0" w:color="auto"/>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1主机</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台</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2光纤探头</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件</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3充电器</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个</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4电池</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eastAsia="zh-CN" w:bidi="ar"/>
              </w:rPr>
              <w:tab/>
            </w:r>
            <w:r>
              <w:rPr>
                <w:rFonts w:ascii="宋体" w:eastAsia="宋体" w:hAnsi="宋体" w:cs="宋体" w:hint="eastAsia"/>
                <w:color w:val="000000"/>
                <w:sz w:val="21"/>
                <w:szCs w:val="21"/>
                <w:lang w:eastAsia="zh-CN" w:bidi="ar"/>
              </w:rPr>
              <w:t>节</w:t>
            </w:r>
          </w:p>
        </w:tc>
        <w:tc>
          <w:tcPr>
            <w:tcW w:w="170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p>
        </w:tc>
      </w:tr>
      <w:tr>
        <w:tblPrEx>
          <w:tblW w:w="5000" w:type="pct"/>
          <w:tblInd w:w="93" w:type="dxa"/>
          <w:tblLayout w:type="fixed"/>
          <w:tblCellMar>
            <w:top w:w="0" w:type="dxa"/>
            <w:left w:w="108" w:type="dxa"/>
            <w:bottom w:w="0" w:type="dxa"/>
            <w:right w:w="108" w:type="dxa"/>
          </w:tblCellMar>
        </w:tblPrEx>
        <w:trPr>
          <w:trHeight w:val="520"/>
        </w:trPr>
        <w:tc>
          <w:tcPr>
            <w:tcW w:w="107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10</w:t>
            </w:r>
          </w:p>
        </w:tc>
        <w:tc>
          <w:tcPr>
            <w:tcW w:w="236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一体读卡器(身份证-医保卡-健康卡)</w:t>
            </w:r>
          </w:p>
        </w:tc>
        <w:tc>
          <w:tcPr>
            <w:tcW w:w="3709" w:type="dxa"/>
            <w:tcBorders>
              <w:top w:val="single" w:sz="4" w:space="0" w:color="auto"/>
              <w:left w:val="single" w:sz="4" w:space="0" w:color="auto"/>
              <w:bottom w:val="single" w:sz="4" w:space="0" w:color="auto"/>
              <w:right w:val="single" w:sz="4" w:space="0" w:color="auto"/>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1多功能读卡器       1台</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2连接线            1条</w:t>
            </w:r>
          </w:p>
        </w:tc>
        <w:tc>
          <w:tcPr>
            <w:tcW w:w="170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p>
        </w:tc>
      </w:tr>
    </w:tbl>
    <w:p>
      <w:pPr>
        <w:widowControl w:val="0"/>
        <w:spacing w:line="360" w:lineRule="auto"/>
        <w:jc w:val="left"/>
        <w:rPr>
          <w:rFonts w:ascii="宋体" w:eastAsia="宋体" w:hAnsi="宋体" w:cs="宋体" w:hint="eastAsia"/>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7"/>
        <w:gridCol w:w="811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noWrap w:val="0"/>
            <w:vAlign w:val="center"/>
          </w:tcPr>
          <w:p>
            <w:pPr>
              <w:widowControl w:val="0"/>
              <w:adjustRightInd w:val="0"/>
              <w:snapToGrid w:val="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序号</w:t>
            </w:r>
          </w:p>
        </w:tc>
        <w:tc>
          <w:tcPr>
            <w:tcW w:w="7767" w:type="dxa"/>
            <w:noWrap w:val="0"/>
            <w:vAlign w:val="center"/>
          </w:tcPr>
          <w:p>
            <w:pPr>
              <w:widowControl w:val="0"/>
              <w:adjustRightInd w:val="0"/>
              <w:snapToGrid w:val="0"/>
              <w:jc w:val="center"/>
              <w:rPr>
                <w:rFonts w:ascii="宋体" w:eastAsia="宋体" w:hAnsi="宋体" w:cs="宋体" w:hint="eastAsia"/>
                <w:b/>
                <w:sz w:val="21"/>
                <w:szCs w:val="21"/>
                <w:lang w:eastAsia="zh-CN"/>
              </w:rPr>
            </w:pPr>
            <w:r>
              <w:rPr>
                <w:rFonts w:ascii="宋体" w:eastAsia="宋体" w:hAnsi="宋体" w:cs="宋体" w:hint="eastAsia"/>
                <w:b/>
                <w:color w:val="FF0000"/>
                <w:sz w:val="21"/>
                <w:szCs w:val="21"/>
                <w:lang w:eastAsia="zh-CN"/>
              </w:rPr>
              <w:t>★</w:t>
            </w:r>
            <w:r>
              <w:rPr>
                <w:rFonts w:ascii="宋体" w:eastAsia="宋体" w:hAnsi="宋体" w:cs="宋体" w:hint="eastAsia"/>
                <w:b/>
                <w:sz w:val="21"/>
                <w:szCs w:val="21"/>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61"/>
          <w:jc w:val="center"/>
        </w:trPr>
        <w:tc>
          <w:tcPr>
            <w:tcW w:w="705" w:type="dxa"/>
            <w:noWrap w:val="0"/>
            <w:vAlign w:val="center"/>
          </w:tcPr>
          <w:p>
            <w:pPr>
              <w:widowControl w:val="0"/>
              <w:adjustRightInd w:val="0"/>
              <w:snapToGrid w:val="0"/>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w:t>
            </w:r>
          </w:p>
        </w:tc>
        <w:tc>
          <w:tcPr>
            <w:tcW w:w="7767" w:type="dxa"/>
            <w:noWrap w:val="0"/>
            <w:vAlign w:val="center"/>
          </w:tcPr>
          <w:p>
            <w:pPr>
              <w:widowControl w:val="0"/>
              <w:adjustRightInd w:val="0"/>
              <w:snapToGrid w:val="0"/>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本项目招标文件中所有带★号条款内容</w:t>
            </w:r>
          </w:p>
        </w:tc>
      </w:tr>
      <w:bookmarkEnd w:id="15"/>
    </w:tbl>
    <w:p>
      <w:pPr>
        <w:widowControl w:val="0"/>
        <w:spacing w:line="276" w:lineRule="auto"/>
        <w:ind w:firstLine="420" w:firstLineChars="20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jc w:val="both"/>
        <w:rPr>
          <w:rFonts w:ascii="宋体" w:eastAsia="宋体" w:hAnsi="宋体" w:cs="宋体" w:hint="eastAsia"/>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四、技术要求</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3、所列的技术参数需求中如出现品牌信息仅供参考，不作为参数要求，目的只为投标人更清楚地了解采购需求，投标人可提供其他品牌设备投标。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如有方案或参数表述中有出现类似可实现、实现、可支持、支持等描述的，均表示方案或参数需要实现的功能或应满足的要求，即项目在验收时无须增加其他额外设备或系统，使用本项目中的设备或系统即能实现相应功能或满足相关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检验（检测）报告要求具有CMA、CNAS等标识的，若有材料证明相关检测事项不在实施该项检测的机构许可（认可）CMA、CNAS等资质范围或检测范围内的，该检验（检测）报告视为不满足招标文件要求，作负偏离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7、相关证明材料的产品名称与招标文件要求的名称不完全一致的，需提供为同种产品的说明；若名称不完全一致又未提供说明的，由评审委员会判定是否符合文件要求。</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0"/>
        <w:gridCol w:w="1615"/>
        <w:gridCol w:w="65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trPr>
        <w:tc>
          <w:tcPr>
            <w:tcW w:w="654" w:type="dxa"/>
            <w:noWrap w:val="0"/>
            <w:vAlign w:val="center"/>
          </w:tcPr>
          <w:p>
            <w:pPr>
              <w:bidi w:val="0"/>
              <w:spacing w:line="240" w:lineRule="auto"/>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序号</w:t>
            </w:r>
          </w:p>
        </w:tc>
        <w:tc>
          <w:tcPr>
            <w:tcW w:w="1554" w:type="dxa"/>
            <w:noWrap w:val="0"/>
            <w:vAlign w:val="center"/>
          </w:tcPr>
          <w:p>
            <w:pPr>
              <w:bidi w:val="0"/>
              <w:spacing w:line="240" w:lineRule="auto"/>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货物名称</w:t>
            </w:r>
          </w:p>
        </w:tc>
        <w:tc>
          <w:tcPr>
            <w:tcW w:w="6314" w:type="dxa"/>
            <w:noWrap w:val="0"/>
            <w:vAlign w:val="center"/>
          </w:tcPr>
          <w:p>
            <w:pPr>
              <w:bidi w:val="0"/>
              <w:spacing w:line="240" w:lineRule="auto"/>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招标技术要求</w:t>
            </w:r>
          </w:p>
        </w:tc>
      </w:tr>
      <w:tr>
        <w:tblPrEx>
          <w:tblW w:w="5000" w:type="pct"/>
          <w:tblInd w:w="0" w:type="dxa"/>
          <w:tblLayout w:type="fixed"/>
          <w:tblCellMar>
            <w:top w:w="0" w:type="dxa"/>
            <w:left w:w="108" w:type="dxa"/>
            <w:bottom w:w="0" w:type="dxa"/>
            <w:right w:w="108" w:type="dxa"/>
          </w:tblCellMar>
        </w:tblPrEx>
        <w:trPr>
          <w:trHeight w:val="45"/>
        </w:trPr>
        <w:tc>
          <w:tcPr>
            <w:tcW w:w="6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rPr>
            </w:pPr>
            <w:r>
              <w:rPr>
                <w:rFonts w:ascii="宋体" w:hAnsi="宋体" w:cs="宋体" w:hint="eastAsia"/>
                <w:color w:val="000000"/>
                <w:sz w:val="21"/>
                <w:szCs w:val="21"/>
                <w:lang w:eastAsia="zh-CN" w:bidi="ar"/>
              </w:rPr>
              <w:t>1</w:t>
            </w:r>
          </w:p>
        </w:tc>
        <w:tc>
          <w:tcPr>
            <w:tcW w:w="15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rPr>
            </w:pPr>
            <w:r>
              <w:rPr>
                <w:rFonts w:ascii="宋体" w:hAnsi="宋体" w:cs="宋体" w:hint="eastAsia"/>
                <w:color w:val="000000"/>
                <w:sz w:val="21"/>
                <w:szCs w:val="21"/>
                <w:lang w:eastAsia="zh-CN" w:bidi="ar"/>
              </w:rPr>
              <w:t>全科诊断系统</w:t>
            </w: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w:t>
            </w:r>
            <w:r>
              <w:rPr>
                <w:rFonts w:ascii="宋体" w:hAnsi="宋体" w:cs="宋体" w:hint="eastAsia"/>
                <w:sz w:val="21"/>
                <w:szCs w:val="21"/>
                <w:lang w:eastAsia="zh-CN" w:bidi="ar"/>
              </w:rPr>
              <w:t>▲</w:t>
            </w:r>
            <w:r>
              <w:rPr>
                <w:rFonts w:ascii="宋体" w:hAnsi="宋体" w:cs="宋体" w:hint="eastAsia"/>
                <w:sz w:val="21"/>
                <w:szCs w:val="21"/>
                <w:lang w:eastAsia="zh-CN" w:bidi="ar"/>
              </w:rPr>
              <w:t>检测项目及参数：≥6个项目，包括血压测量、体温测量、眼（部）底检查、耳膜及耳道检查、视力筛查，色盲筛查等；</w:t>
            </w:r>
            <w:r>
              <w:rPr>
                <w:rFonts w:ascii="宋体" w:hAnsi="宋体" w:cs="宋体" w:hint="eastAsia"/>
                <w:b/>
                <w:bCs/>
                <w:color w:val="FF0000"/>
                <w:sz w:val="21"/>
                <w:szCs w:val="21"/>
                <w:lang w:eastAsia="zh-CN" w:bidi="ar"/>
              </w:rPr>
              <w:t>（需提供产品的技术文件或彩页截图或厂家参数确认函或第三方机构出具的具有CMA标识的检验报告扫描件）</w:t>
            </w:r>
          </w:p>
        </w:tc>
      </w:tr>
      <w:tr>
        <w:tblPrEx>
          <w:tblW w:w="5000" w:type="pct"/>
          <w:tblInd w:w="0" w:type="dxa"/>
          <w:tblLayout w:type="fixed"/>
          <w:tblCellMar>
            <w:top w:w="0" w:type="dxa"/>
            <w:left w:w="108" w:type="dxa"/>
            <w:bottom w:w="0" w:type="dxa"/>
            <w:right w:w="108" w:type="dxa"/>
          </w:tblCellMar>
        </w:tblPrEx>
        <w:trPr>
          <w:trHeight w:val="4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w:t>
            </w:r>
            <w:r>
              <w:rPr>
                <w:rFonts w:ascii="宋体" w:hAnsi="宋体" w:cs="宋体" w:hint="eastAsia"/>
                <w:sz w:val="21"/>
                <w:szCs w:val="21"/>
                <w:lang w:eastAsia="zh-CN" w:bidi="ar"/>
              </w:rPr>
              <w:t>显示屏幕： TFT彩色液晶显示屏,能输入并显示、保存病人信息资料；</w:t>
            </w:r>
          </w:p>
        </w:tc>
      </w:tr>
      <w:tr>
        <w:tblPrEx>
          <w:tblW w:w="5000" w:type="pct"/>
          <w:tblInd w:w="0" w:type="dxa"/>
          <w:tblLayout w:type="fixed"/>
          <w:tblCellMar>
            <w:top w:w="0" w:type="dxa"/>
            <w:left w:w="108" w:type="dxa"/>
            <w:bottom w:w="0" w:type="dxa"/>
            <w:right w:w="108" w:type="dxa"/>
          </w:tblCellMar>
        </w:tblPrEx>
        <w:trPr>
          <w:trHeight w:val="4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w:t>
            </w:r>
            <w:r>
              <w:rPr>
                <w:rFonts w:ascii="宋体" w:hAnsi="宋体" w:cs="宋体" w:hint="eastAsia"/>
                <w:sz w:val="21"/>
                <w:szCs w:val="21"/>
                <w:lang w:eastAsia="zh-CN" w:bidi="ar"/>
              </w:rPr>
              <w:t>壁挂支撑结构：金属钣金件四点固定；</w:t>
            </w:r>
          </w:p>
        </w:tc>
      </w:tr>
      <w:tr>
        <w:tblPrEx>
          <w:tblW w:w="5000" w:type="pct"/>
          <w:tblInd w:w="0" w:type="dxa"/>
          <w:tblLayout w:type="fixed"/>
          <w:tblCellMar>
            <w:top w:w="0" w:type="dxa"/>
            <w:left w:w="108" w:type="dxa"/>
            <w:bottom w:w="0" w:type="dxa"/>
            <w:right w:w="108" w:type="dxa"/>
          </w:tblCellMar>
        </w:tblPrEx>
        <w:trPr>
          <w:trHeight w:val="4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w:t>
            </w:r>
            <w:r>
              <w:rPr>
                <w:rFonts w:ascii="宋体" w:hAnsi="宋体" w:cs="宋体" w:hint="eastAsia"/>
                <w:sz w:val="21"/>
                <w:szCs w:val="21"/>
                <w:lang w:eastAsia="zh-CN" w:bidi="ar"/>
              </w:rPr>
              <w:t>血压测量：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4.1</w:t>
            </w:r>
            <w:r>
              <w:rPr>
                <w:rFonts w:ascii="宋体" w:hAnsi="宋体" w:cs="宋体" w:hint="eastAsia"/>
                <w:sz w:val="21"/>
                <w:szCs w:val="21"/>
                <w:lang w:eastAsia="zh-CN" w:bidi="ar"/>
              </w:rPr>
              <w:t>振波法测量原理，环保无水银；</w:t>
            </w:r>
          </w:p>
        </w:tc>
      </w:tr>
      <w:tr>
        <w:tblPrEx>
          <w:tblW w:w="5000" w:type="pct"/>
          <w:tblInd w:w="0" w:type="dxa"/>
          <w:tblLayout w:type="fixed"/>
          <w:tblCellMar>
            <w:top w:w="0" w:type="dxa"/>
            <w:left w:w="108" w:type="dxa"/>
            <w:bottom w:w="0" w:type="dxa"/>
            <w:right w:w="108" w:type="dxa"/>
          </w:tblCellMar>
        </w:tblPrEx>
        <w:trPr>
          <w:trHeight w:val="4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4.2</w:t>
            </w:r>
            <w:r>
              <w:rPr>
                <w:rFonts w:ascii="宋体" w:hAnsi="宋体" w:cs="宋体" w:hint="eastAsia"/>
                <w:sz w:val="21"/>
                <w:szCs w:val="21"/>
                <w:lang w:eastAsia="zh-CN" w:bidi="ar"/>
              </w:rPr>
              <w:t>具备成人、儿童两种模式，一次测量至少提供舒张压、收缩压，平均压3个参数；</w:t>
            </w:r>
          </w:p>
        </w:tc>
      </w:tr>
      <w:tr>
        <w:tblPrEx>
          <w:tblW w:w="5000" w:type="pct"/>
          <w:tblInd w:w="0" w:type="dxa"/>
          <w:tblLayout w:type="fixed"/>
          <w:tblCellMar>
            <w:top w:w="0" w:type="dxa"/>
            <w:left w:w="108" w:type="dxa"/>
            <w:bottom w:w="0" w:type="dxa"/>
            <w:right w:w="108" w:type="dxa"/>
          </w:tblCellMar>
        </w:tblPrEx>
        <w:trPr>
          <w:trHeight w:val="4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4.3</w:t>
            </w:r>
            <w:r>
              <w:rPr>
                <w:rFonts w:ascii="宋体" w:hAnsi="宋体" w:cs="宋体" w:hint="eastAsia"/>
                <w:sz w:val="21"/>
                <w:szCs w:val="21"/>
                <w:lang w:eastAsia="zh-CN" w:bidi="ar"/>
              </w:rPr>
              <w:t>根据不同操作人员的工作习惯，具有数字和电子表盘两种显示方式供选择，并同屏显示；</w:t>
            </w:r>
          </w:p>
        </w:tc>
      </w:tr>
      <w:tr>
        <w:tblPrEx>
          <w:tblW w:w="5000" w:type="pct"/>
          <w:tblInd w:w="0" w:type="dxa"/>
          <w:tblLayout w:type="fixed"/>
          <w:tblCellMar>
            <w:top w:w="0" w:type="dxa"/>
            <w:left w:w="108" w:type="dxa"/>
            <w:bottom w:w="0" w:type="dxa"/>
            <w:right w:w="108" w:type="dxa"/>
          </w:tblCellMar>
        </w:tblPrEx>
        <w:trPr>
          <w:trHeight w:val="4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4.4</w:t>
            </w:r>
            <w:r>
              <w:rPr>
                <w:rFonts w:ascii="宋体" w:hAnsi="宋体" w:cs="宋体" w:hint="eastAsia"/>
                <w:sz w:val="21"/>
                <w:szCs w:val="21"/>
                <w:lang w:eastAsia="zh-CN" w:bidi="ar"/>
              </w:rPr>
              <w:t>具有自动充放气和手动充放气（听诊）两种测量模式，自动模式中可按照设定的时间间隔自动启动无创血压测量，时间间隔可选择。</w:t>
            </w:r>
          </w:p>
        </w:tc>
      </w:tr>
      <w:tr>
        <w:tblPrEx>
          <w:tblW w:w="5000" w:type="pct"/>
          <w:tblInd w:w="0" w:type="dxa"/>
          <w:tblLayout w:type="fixed"/>
          <w:tblCellMar>
            <w:top w:w="0" w:type="dxa"/>
            <w:left w:w="108" w:type="dxa"/>
            <w:bottom w:w="0" w:type="dxa"/>
            <w:right w:w="108" w:type="dxa"/>
          </w:tblCellMar>
        </w:tblPrEx>
        <w:trPr>
          <w:trHeight w:val="4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w:t>
            </w:r>
            <w:r>
              <w:rPr>
                <w:rFonts w:ascii="宋体" w:hAnsi="宋体" w:cs="宋体" w:hint="eastAsia"/>
                <w:sz w:val="21"/>
                <w:szCs w:val="21"/>
                <w:lang w:eastAsia="zh-CN" w:bidi="ar"/>
              </w:rPr>
              <w:t>体温测量：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5.1</w:t>
            </w:r>
            <w:r>
              <w:rPr>
                <w:rFonts w:ascii="宋体" w:hAnsi="宋体" w:cs="宋体" w:hint="eastAsia"/>
                <w:sz w:val="21"/>
                <w:szCs w:val="21"/>
                <w:lang w:eastAsia="zh-CN" w:bidi="ar"/>
              </w:rPr>
              <w:t>红外热辐射测量原理；</w:t>
            </w:r>
          </w:p>
        </w:tc>
      </w:tr>
      <w:tr>
        <w:tblPrEx>
          <w:tblW w:w="5000" w:type="pct"/>
          <w:tblInd w:w="0" w:type="dxa"/>
          <w:tblLayout w:type="fixed"/>
          <w:tblCellMar>
            <w:top w:w="0" w:type="dxa"/>
            <w:left w:w="108" w:type="dxa"/>
            <w:bottom w:w="0" w:type="dxa"/>
            <w:right w:w="108" w:type="dxa"/>
          </w:tblCellMar>
        </w:tblPrEx>
        <w:trPr>
          <w:trHeight w:val="4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5.2</w:t>
            </w:r>
            <w:r>
              <w:rPr>
                <w:rFonts w:ascii="宋体" w:hAnsi="宋体" w:cs="宋体" w:hint="eastAsia"/>
                <w:sz w:val="21"/>
                <w:szCs w:val="21"/>
                <w:lang w:eastAsia="zh-CN" w:bidi="ar"/>
              </w:rPr>
              <w:t>准确度≤±0.2℃；</w:t>
            </w:r>
          </w:p>
        </w:tc>
      </w:tr>
      <w:tr>
        <w:tblPrEx>
          <w:tblW w:w="5000" w:type="pct"/>
          <w:tblInd w:w="0" w:type="dxa"/>
          <w:tblLayout w:type="fixed"/>
          <w:tblCellMar>
            <w:top w:w="0" w:type="dxa"/>
            <w:left w:w="108" w:type="dxa"/>
            <w:bottom w:w="0" w:type="dxa"/>
            <w:right w:w="108" w:type="dxa"/>
          </w:tblCellMar>
        </w:tblPrEx>
        <w:trPr>
          <w:trHeight w:val="4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5.3</w:t>
            </w:r>
            <w:r>
              <w:rPr>
                <w:rFonts w:ascii="宋体" w:hAnsi="宋体" w:cs="宋体" w:hint="eastAsia"/>
                <w:sz w:val="21"/>
                <w:szCs w:val="21"/>
                <w:lang w:eastAsia="zh-CN" w:bidi="ar"/>
              </w:rPr>
              <w:t>具备温度超限报警功能；</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5.4</w:t>
            </w:r>
            <w:r>
              <w:rPr>
                <w:rFonts w:ascii="宋体" w:hAnsi="宋体" w:cs="宋体" w:hint="eastAsia"/>
                <w:sz w:val="21"/>
                <w:szCs w:val="21"/>
                <w:lang w:eastAsia="zh-CN" w:bidi="ar"/>
              </w:rPr>
              <w:t>配备一次性防污耳套，避免交叉污染。</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w:t>
            </w:r>
            <w:r>
              <w:rPr>
                <w:rFonts w:ascii="宋体" w:hAnsi="宋体" w:cs="宋体" w:hint="eastAsia"/>
                <w:sz w:val="21"/>
                <w:szCs w:val="21"/>
                <w:lang w:eastAsia="zh-CN" w:bidi="ar"/>
              </w:rPr>
              <w:t>眼底检查：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6.1</w:t>
            </w:r>
            <w:r>
              <w:rPr>
                <w:rFonts w:ascii="宋体" w:hAnsi="宋体" w:cs="宋体" w:hint="eastAsia"/>
                <w:sz w:val="21"/>
                <w:szCs w:val="21"/>
                <w:lang w:eastAsia="zh-CN" w:bidi="ar"/>
              </w:rPr>
              <w:t>≥28个屈光分度，采用无级调节，屈光度范围：-25～+40D；</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w:t>
            </w:r>
            <w:r>
              <w:rPr>
                <w:rFonts w:ascii="宋体" w:hAnsi="宋体" w:cs="宋体" w:hint="eastAsia"/>
                <w:sz w:val="21"/>
                <w:szCs w:val="21"/>
                <w:lang w:eastAsia="zh-CN" w:bidi="ar"/>
              </w:rPr>
              <w:t xml:space="preserve">6.2   </w:t>
            </w:r>
            <w:r>
              <w:rPr>
                <w:rFonts w:ascii="宋体" w:hAnsi="宋体" w:cs="宋体" w:hint="eastAsia"/>
                <w:sz w:val="21"/>
                <w:szCs w:val="21"/>
                <w:lang w:eastAsia="zh-CN" w:bidi="ar"/>
              </w:rPr>
              <w:t>≥6种光阑孔径，至少包括：大光阑、小光阑、微小光阑、裂隙片、固视光阑、钴蓝片；</w:t>
            </w:r>
            <w:r>
              <w:rPr>
                <w:rFonts w:ascii="宋体" w:hAnsi="宋体" w:cs="宋体" w:hint="eastAsia"/>
                <w:b/>
                <w:bCs/>
                <w:color w:val="FF0000"/>
                <w:sz w:val="21"/>
                <w:szCs w:val="21"/>
                <w:lang w:eastAsia="zh-CN" w:bidi="ar"/>
              </w:rPr>
              <w:t>（需提供产品的技术文件或彩页截图或厂家参数确认函或第三方机构出具的具有CMA标识的检验报告扫描件）</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6.3</w:t>
            </w:r>
            <w:r>
              <w:rPr>
                <w:rFonts w:ascii="宋体" w:hAnsi="宋体" w:cs="宋体" w:hint="eastAsia"/>
                <w:sz w:val="21"/>
                <w:szCs w:val="21"/>
                <w:lang w:eastAsia="zh-CN" w:bidi="ar"/>
              </w:rPr>
              <w:t>具有偏振滤光片和无赤滤光片；</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6.4</w:t>
            </w:r>
            <w:r>
              <w:rPr>
                <w:rFonts w:ascii="宋体" w:hAnsi="宋体" w:cs="宋体" w:hint="eastAsia"/>
                <w:sz w:val="21"/>
                <w:szCs w:val="21"/>
                <w:lang w:eastAsia="zh-CN" w:bidi="ar"/>
              </w:rPr>
              <w:t>光照度可调节；</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6.5</w:t>
            </w:r>
            <w:r>
              <w:rPr>
                <w:rFonts w:ascii="宋体" w:hAnsi="宋体" w:cs="宋体" w:hint="eastAsia"/>
                <w:sz w:val="21"/>
                <w:szCs w:val="21"/>
                <w:lang w:eastAsia="zh-CN" w:bidi="ar"/>
              </w:rPr>
              <w:t>输出照明光显色指数≥85%。</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w:t>
            </w:r>
            <w:r>
              <w:rPr>
                <w:rFonts w:ascii="宋体" w:hAnsi="宋体" w:cs="宋体" w:hint="eastAsia"/>
                <w:sz w:val="21"/>
                <w:szCs w:val="21"/>
                <w:lang w:eastAsia="zh-CN" w:bidi="ar"/>
              </w:rPr>
              <w:t>耳膜及耳道检查：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7.1具备</w:t>
            </w:r>
            <w:r>
              <w:rPr>
                <w:rFonts w:ascii="宋体" w:hAnsi="宋体" w:cs="宋体" w:hint="eastAsia"/>
                <w:sz w:val="21"/>
                <w:szCs w:val="21"/>
                <w:lang w:eastAsia="zh-CN" w:bidi="ar"/>
              </w:rPr>
              <w:t>光导纤维照明；</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7.2</w:t>
            </w:r>
            <w:r>
              <w:rPr>
                <w:rFonts w:ascii="宋体" w:hAnsi="宋体" w:cs="宋体" w:hint="eastAsia"/>
                <w:sz w:val="21"/>
                <w:szCs w:val="21"/>
                <w:lang w:eastAsia="zh-CN" w:bidi="ar"/>
              </w:rPr>
              <w:t>医用放大镜镜头端部的照明亮度 ≥ 500 lx；</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7.3</w:t>
            </w:r>
            <w:r>
              <w:rPr>
                <w:rFonts w:ascii="宋体" w:hAnsi="宋体" w:cs="宋体" w:hint="eastAsia"/>
                <w:sz w:val="21"/>
                <w:szCs w:val="21"/>
                <w:lang w:eastAsia="zh-CN" w:bidi="ar"/>
              </w:rPr>
              <w:t>放大镜倍数≥2X；</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7.4</w:t>
            </w:r>
            <w:r>
              <w:rPr>
                <w:rFonts w:ascii="宋体" w:hAnsi="宋体" w:cs="宋体" w:hint="eastAsia"/>
                <w:sz w:val="21"/>
                <w:szCs w:val="21"/>
                <w:lang w:eastAsia="zh-CN" w:bidi="ar"/>
              </w:rPr>
              <w:t>显示指数≥85%</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7.5</w:t>
            </w:r>
            <w:r>
              <w:rPr>
                <w:rFonts w:ascii="宋体" w:hAnsi="宋体" w:cs="宋体" w:hint="eastAsia"/>
                <w:sz w:val="21"/>
                <w:szCs w:val="21"/>
                <w:lang w:eastAsia="zh-CN" w:bidi="ar"/>
              </w:rPr>
              <w:t>带鼓气孔，可以在诊断时方便进行各类辅助操作；</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8、</w:t>
            </w:r>
            <w:r>
              <w:rPr>
                <w:rFonts w:ascii="宋体" w:hAnsi="宋体" w:cs="宋体" w:hint="eastAsia"/>
                <w:sz w:val="21"/>
                <w:szCs w:val="21"/>
                <w:lang w:eastAsia="zh-CN" w:bidi="ar"/>
              </w:rPr>
              <w:t>操作方式：支持红外遥控操作。</w:t>
            </w:r>
          </w:p>
        </w:tc>
      </w:tr>
      <w:tr>
        <w:tblPrEx>
          <w:tblW w:w="5000" w:type="pct"/>
          <w:tblInd w:w="0" w:type="dxa"/>
          <w:tblLayout w:type="fixed"/>
          <w:tblCellMar>
            <w:top w:w="0" w:type="dxa"/>
            <w:left w:w="108" w:type="dxa"/>
            <w:bottom w:w="0" w:type="dxa"/>
            <w:right w:w="108" w:type="dxa"/>
          </w:tblCellMar>
        </w:tblPrEx>
        <w:trPr>
          <w:trHeight w:val="4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9、</w:t>
            </w:r>
            <w:r>
              <w:rPr>
                <w:rFonts w:ascii="宋体" w:hAnsi="宋体" w:cs="宋体" w:hint="eastAsia"/>
                <w:sz w:val="21"/>
                <w:szCs w:val="21"/>
                <w:lang w:eastAsia="zh-CN" w:bidi="ar"/>
              </w:rPr>
              <w:t>通讯方式：以太网，蓝牙两种数据通讯方式。</w:t>
            </w:r>
          </w:p>
        </w:tc>
      </w:tr>
      <w:tr>
        <w:tblPrEx>
          <w:tblW w:w="5000" w:type="pct"/>
          <w:tblInd w:w="0" w:type="dxa"/>
          <w:tblLayout w:type="fixed"/>
          <w:tblCellMar>
            <w:top w:w="0" w:type="dxa"/>
            <w:left w:w="108" w:type="dxa"/>
            <w:bottom w:w="0" w:type="dxa"/>
            <w:right w:w="108" w:type="dxa"/>
          </w:tblCellMar>
        </w:tblPrEx>
        <w:trPr>
          <w:trHeight w:val="285"/>
        </w:trPr>
        <w:tc>
          <w:tcPr>
            <w:tcW w:w="6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rPr>
            </w:pPr>
            <w:r>
              <w:rPr>
                <w:rFonts w:ascii="宋体" w:hAnsi="宋体" w:cs="宋体" w:hint="eastAsia"/>
                <w:color w:val="000000"/>
                <w:sz w:val="21"/>
                <w:szCs w:val="21"/>
                <w:lang w:eastAsia="zh-CN" w:bidi="ar"/>
              </w:rPr>
              <w:t>2</w:t>
            </w:r>
          </w:p>
        </w:tc>
        <w:tc>
          <w:tcPr>
            <w:tcW w:w="15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rPr>
            </w:pPr>
            <w:r>
              <w:rPr>
                <w:rFonts w:ascii="宋体" w:hAnsi="宋体" w:cs="宋体" w:hint="eastAsia"/>
                <w:color w:val="000000"/>
                <w:sz w:val="21"/>
                <w:szCs w:val="21"/>
                <w:lang w:eastAsia="zh-CN" w:bidi="ar"/>
              </w:rPr>
              <w:t>全自动血压计</w:t>
            </w: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▲1.测量原理：示波法</w:t>
            </w:r>
            <w:r>
              <w:rPr>
                <w:rFonts w:ascii="宋体" w:hAnsi="宋体" w:cs="宋体" w:hint="eastAsia"/>
                <w:b/>
                <w:bCs/>
                <w:color w:val="FF0000"/>
                <w:sz w:val="21"/>
                <w:szCs w:val="21"/>
                <w:lang w:eastAsia="zh-CN" w:bidi="ar"/>
              </w:rPr>
              <w:t>（需提供产品的技术文件或彩页截图或厂家参数确认函或第三方机构出具的具有CMA标识的检验报告扫描件）</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2.显示屏：LCD显示屏</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3.测量位置：左右臂均可</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4.适应臂周范围：17～42cm</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5.测量范围：血压量程：0～299mmHg；脉博数：40～180次/分</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6.触碰感应功能：开机状态下，手臂伸入臂筒时，启动感应测量，语音及画面开始引导提示，全程自助完成测量，减少医护人员的宣教时间</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7.测量精度：压力：±3mmHg；脉搏：±2%或±2次/分</w:t>
            </w:r>
          </w:p>
        </w:tc>
      </w:tr>
      <w:tr>
        <w:tblPrEx>
          <w:tblW w:w="5000" w:type="pct"/>
          <w:tblInd w:w="0" w:type="dxa"/>
          <w:tblLayout w:type="fixed"/>
          <w:tblCellMar>
            <w:top w:w="0" w:type="dxa"/>
            <w:left w:w="108" w:type="dxa"/>
            <w:bottom w:w="0" w:type="dxa"/>
            <w:right w:w="108" w:type="dxa"/>
          </w:tblCellMar>
        </w:tblPrEx>
        <w:trPr>
          <w:trHeight w:val="114"/>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8.肘部位置传感器：电子肘部位置传感器，并有电子图标提示手臂放置位置是否正确</w:t>
            </w:r>
          </w:p>
        </w:tc>
      </w:tr>
      <w:tr>
        <w:tblPrEx>
          <w:tblW w:w="5000" w:type="pct"/>
          <w:tblInd w:w="0" w:type="dxa"/>
          <w:tblLayout w:type="fixed"/>
          <w:tblCellMar>
            <w:top w:w="0" w:type="dxa"/>
            <w:left w:w="108" w:type="dxa"/>
            <w:bottom w:w="0" w:type="dxa"/>
            <w:right w:w="108" w:type="dxa"/>
          </w:tblCellMar>
        </w:tblPrEx>
        <w:trPr>
          <w:trHeight w:val="114"/>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9.臂筒角度调节：自动上、下浮动式臂筒，可自动适应不同身材人士测量</w:t>
            </w:r>
          </w:p>
        </w:tc>
      </w:tr>
      <w:tr>
        <w:tblPrEx>
          <w:tblW w:w="5000" w:type="pct"/>
          <w:tblInd w:w="0" w:type="dxa"/>
          <w:tblLayout w:type="fixed"/>
          <w:tblCellMar>
            <w:top w:w="0" w:type="dxa"/>
            <w:left w:w="108" w:type="dxa"/>
            <w:bottom w:w="0" w:type="dxa"/>
            <w:right w:w="108" w:type="dxa"/>
          </w:tblCellMar>
        </w:tblPrEx>
        <w:trPr>
          <w:trHeight w:val="114"/>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▲10.平均值测量：设定1次便可以实现≥连续2次的单次测量值并获取平均值</w:t>
            </w:r>
            <w:r>
              <w:rPr>
                <w:rFonts w:ascii="宋体" w:hAnsi="宋体" w:cs="宋体" w:hint="eastAsia"/>
                <w:b/>
                <w:bCs/>
                <w:color w:val="FF0000"/>
                <w:sz w:val="21"/>
                <w:szCs w:val="21"/>
                <w:lang w:eastAsia="zh-CN" w:bidi="ar"/>
              </w:rPr>
              <w:t>（需提供产品的技术文件或彩页截图或厂家参数确认函或第三方机构出具的具有CMA标识的检验报告扫描件）</w:t>
            </w:r>
          </w:p>
        </w:tc>
      </w:tr>
      <w:tr>
        <w:tblPrEx>
          <w:tblW w:w="5000" w:type="pct"/>
          <w:tblInd w:w="0" w:type="dxa"/>
          <w:tblLayout w:type="fixed"/>
          <w:tblCellMar>
            <w:top w:w="0" w:type="dxa"/>
            <w:left w:w="108" w:type="dxa"/>
            <w:bottom w:w="0" w:type="dxa"/>
            <w:right w:w="108" w:type="dxa"/>
          </w:tblCellMar>
        </w:tblPrEx>
        <w:trPr>
          <w:trHeight w:val="114"/>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 xml:space="preserve">11.打印模式：不低于3种报告格式，并可打印出带二维码形式和显示干扰波形图的测量结果 </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12.打印装置：自带热敏式打印机、多种打印模式可选，具备自动裁纸功能</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13.ID功能：无须通信协议开发便可直接连接扫描枪或身份证读卡器等身份识别设备，各种终端和信息系统都可轻松读取测量者ID编号并管理测量值</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14.抗菌设计:机器外壳和袖套均采用抗菌设计</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▲15.臂筒交互功能：臂筒组件可自主拆卸更换，并具备自检自校功能</w:t>
            </w:r>
            <w:r>
              <w:rPr>
                <w:rFonts w:ascii="宋体" w:hAnsi="宋体" w:cs="宋体" w:hint="eastAsia"/>
                <w:b/>
                <w:bCs/>
                <w:color w:val="FF0000"/>
                <w:sz w:val="21"/>
                <w:szCs w:val="21"/>
                <w:lang w:eastAsia="zh-CN" w:bidi="ar"/>
              </w:rPr>
              <w:t>（需提供产品的技术文件或彩页截图或厂家参数确认函或第三方机构出具的具有CMA标识的检验报告扫描件）</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16.语音功能：测量全程语音提示，测量结束播报测量结果</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17.用户教育：显示提示信息、测量结果，</w:t>
            </w:r>
          </w:p>
        </w:tc>
      </w:tr>
      <w:tr>
        <w:tblPrEx>
          <w:tblW w:w="5000" w:type="pct"/>
          <w:tblInd w:w="0" w:type="dxa"/>
          <w:tblLayout w:type="fixed"/>
          <w:tblCellMar>
            <w:top w:w="0" w:type="dxa"/>
            <w:left w:w="108" w:type="dxa"/>
            <w:bottom w:w="0" w:type="dxa"/>
            <w:right w:w="108" w:type="dxa"/>
          </w:tblCellMar>
        </w:tblPrEx>
        <w:trPr>
          <w:trHeight w:val="285"/>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18.通信数据输出：USB数据传输</w:t>
            </w:r>
          </w:p>
        </w:tc>
      </w:tr>
      <w:tr>
        <w:tblPrEx>
          <w:tblW w:w="5000" w:type="pct"/>
          <w:tblInd w:w="0" w:type="dxa"/>
          <w:tblLayout w:type="fixed"/>
          <w:tblCellMar>
            <w:top w:w="0" w:type="dxa"/>
            <w:left w:w="108" w:type="dxa"/>
            <w:bottom w:w="0" w:type="dxa"/>
            <w:right w:w="108" w:type="dxa"/>
          </w:tblCellMar>
        </w:tblPrEx>
        <w:trPr>
          <w:trHeight w:val="51"/>
        </w:trPr>
        <w:tc>
          <w:tcPr>
            <w:tcW w:w="6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bidi="ar"/>
              </w:rPr>
            </w:pPr>
            <w:r>
              <w:rPr>
                <w:rFonts w:ascii="宋体" w:hAnsi="宋体" w:cs="宋体" w:hint="eastAsia"/>
                <w:color w:val="000000"/>
                <w:sz w:val="21"/>
                <w:szCs w:val="21"/>
                <w:lang w:eastAsia="zh-CN" w:bidi="ar"/>
              </w:rPr>
              <w:t>3</w:t>
            </w:r>
          </w:p>
        </w:tc>
        <w:tc>
          <w:tcPr>
            <w:tcW w:w="1554" w:type="dxa"/>
            <w:vMerge w:val="restart"/>
            <w:noWrap w:val="0"/>
            <w:vAlign w:val="center"/>
          </w:tcPr>
          <w:p>
            <w:pPr>
              <w:keepNext w:val="0"/>
              <w:keepLines w:val="0"/>
              <w:widowControl/>
              <w:suppressLineNumbers w:val="0"/>
              <w:jc w:val="center"/>
              <w:textAlignment w:val="center"/>
              <w:rPr>
                <w:rFonts w:ascii="宋体" w:hAnsi="宋体" w:cs="宋体" w:hint="eastAsia"/>
                <w:b/>
                <w:bCs/>
                <w:sz w:val="21"/>
                <w:szCs w:val="21"/>
                <w:lang w:eastAsia="zh-CN"/>
              </w:rPr>
            </w:pPr>
            <w:r>
              <w:rPr>
                <w:rFonts w:ascii="宋体" w:hAnsi="宋体" w:cs="宋体" w:hint="eastAsia"/>
                <w:color w:val="000000"/>
                <w:sz w:val="21"/>
                <w:szCs w:val="21"/>
                <w:lang w:eastAsia="zh-CN" w:bidi="ar"/>
              </w:rPr>
              <w:t>自动体重身高计</w:t>
            </w: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1、自动测量身高、体重、体型</w:t>
            </w:r>
          </w:p>
        </w:tc>
      </w:tr>
      <w:tr>
        <w:tblPrEx>
          <w:tblW w:w="5000" w:type="pct"/>
          <w:tblInd w:w="0" w:type="dxa"/>
          <w:tblLayout w:type="fixed"/>
          <w:tblCellMar>
            <w:top w:w="0" w:type="dxa"/>
            <w:left w:w="108" w:type="dxa"/>
            <w:bottom w:w="0" w:type="dxa"/>
            <w:right w:w="108" w:type="dxa"/>
          </w:tblCellMar>
        </w:tblPrEx>
        <w:trPr>
          <w:trHeight w:val="5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2、显示测试结果</w:t>
            </w:r>
          </w:p>
        </w:tc>
      </w:tr>
      <w:tr>
        <w:tblPrEx>
          <w:tblW w:w="5000" w:type="pct"/>
          <w:tblInd w:w="0" w:type="dxa"/>
          <w:tblLayout w:type="fixed"/>
          <w:tblCellMar>
            <w:top w:w="0" w:type="dxa"/>
            <w:left w:w="108" w:type="dxa"/>
            <w:bottom w:w="0" w:type="dxa"/>
            <w:right w:w="108" w:type="dxa"/>
          </w:tblCellMar>
        </w:tblPrEx>
        <w:trPr>
          <w:trHeight w:val="5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3、同步语音播报</w:t>
            </w:r>
          </w:p>
        </w:tc>
      </w:tr>
      <w:tr>
        <w:tblPrEx>
          <w:tblW w:w="5000" w:type="pct"/>
          <w:tblInd w:w="0" w:type="dxa"/>
          <w:tblLayout w:type="fixed"/>
          <w:tblCellMar>
            <w:top w:w="0" w:type="dxa"/>
            <w:left w:w="108" w:type="dxa"/>
            <w:bottom w:w="0" w:type="dxa"/>
            <w:right w:w="108" w:type="dxa"/>
          </w:tblCellMar>
        </w:tblPrEx>
        <w:trPr>
          <w:trHeight w:val="5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4、具备RS232串口输出</w:t>
            </w:r>
          </w:p>
        </w:tc>
      </w:tr>
      <w:tr>
        <w:tblPrEx>
          <w:tblW w:w="5000" w:type="pct"/>
          <w:tblInd w:w="0" w:type="dxa"/>
          <w:tblLayout w:type="fixed"/>
          <w:tblCellMar>
            <w:top w:w="0" w:type="dxa"/>
            <w:left w:w="108" w:type="dxa"/>
            <w:bottom w:w="0" w:type="dxa"/>
            <w:right w:w="108" w:type="dxa"/>
          </w:tblCellMar>
        </w:tblPrEx>
        <w:trPr>
          <w:trHeight w:val="5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w:t>
            </w:r>
            <w:r>
              <w:rPr>
                <w:rFonts w:ascii="宋体" w:hAnsi="宋体" w:cs="宋体" w:hint="eastAsia"/>
                <w:sz w:val="21"/>
                <w:szCs w:val="21"/>
                <w:lang w:eastAsia="zh-CN" w:bidi="ar"/>
              </w:rPr>
              <w:t>显示</w:t>
            </w:r>
            <w:r>
              <w:rPr>
                <w:rFonts w:ascii="宋体" w:hAnsi="宋体" w:cs="宋体" w:hint="eastAsia"/>
                <w:sz w:val="21"/>
                <w:szCs w:val="21"/>
                <w:lang w:eastAsia="zh-CN" w:bidi="ar"/>
              </w:rPr>
              <w:t>室内温度</w:t>
            </w:r>
          </w:p>
        </w:tc>
      </w:tr>
      <w:tr>
        <w:tblPrEx>
          <w:tblW w:w="5000" w:type="pct"/>
          <w:tblInd w:w="0" w:type="dxa"/>
          <w:tblLayout w:type="fixed"/>
          <w:tblCellMar>
            <w:top w:w="0" w:type="dxa"/>
            <w:left w:w="108" w:type="dxa"/>
            <w:bottom w:w="0" w:type="dxa"/>
            <w:right w:w="108" w:type="dxa"/>
          </w:tblCellMar>
        </w:tblPrEx>
        <w:trPr>
          <w:trHeight w:val="5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6、可以快速折叠并有隐藏式移动轮子</w:t>
            </w:r>
          </w:p>
        </w:tc>
      </w:tr>
      <w:tr>
        <w:tblPrEx>
          <w:tblW w:w="5000" w:type="pct"/>
          <w:tblInd w:w="0" w:type="dxa"/>
          <w:tblLayout w:type="fixed"/>
          <w:tblCellMar>
            <w:top w:w="0" w:type="dxa"/>
            <w:left w:w="108" w:type="dxa"/>
            <w:bottom w:w="0" w:type="dxa"/>
            <w:right w:w="108" w:type="dxa"/>
          </w:tblCellMar>
        </w:tblPrEx>
        <w:trPr>
          <w:trHeight w:val="5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7、测高范围：100-200cm， 分度值：0.5cm</w:t>
            </w:r>
          </w:p>
        </w:tc>
      </w:tr>
      <w:tr>
        <w:tblPrEx>
          <w:tblW w:w="5000" w:type="pct"/>
          <w:tblInd w:w="0" w:type="dxa"/>
          <w:tblLayout w:type="fixed"/>
          <w:tblCellMar>
            <w:top w:w="0" w:type="dxa"/>
            <w:left w:w="108" w:type="dxa"/>
            <w:bottom w:w="0" w:type="dxa"/>
            <w:right w:w="108" w:type="dxa"/>
          </w:tblCellMar>
        </w:tblPrEx>
        <w:trPr>
          <w:trHeight w:val="5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8、称重范围：8-200kg，分度值：0.1kg</w:t>
            </w:r>
          </w:p>
        </w:tc>
      </w:tr>
      <w:tr>
        <w:tblPrEx>
          <w:tblW w:w="5000" w:type="pct"/>
          <w:tblInd w:w="0" w:type="dxa"/>
          <w:tblLayout w:type="fixed"/>
          <w:tblCellMar>
            <w:top w:w="0" w:type="dxa"/>
            <w:left w:w="108" w:type="dxa"/>
            <w:bottom w:w="0" w:type="dxa"/>
            <w:right w:w="108" w:type="dxa"/>
          </w:tblCellMar>
        </w:tblPrEx>
        <w:trPr>
          <w:trHeight w:val="5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9、工作电压：AC 110-240V 50/60Hz</w:t>
            </w:r>
          </w:p>
        </w:tc>
      </w:tr>
      <w:tr>
        <w:tblPrEx>
          <w:tblW w:w="5000" w:type="pct"/>
          <w:tblInd w:w="0" w:type="dxa"/>
          <w:tblLayout w:type="fixed"/>
          <w:tblCellMar>
            <w:top w:w="0" w:type="dxa"/>
            <w:left w:w="108" w:type="dxa"/>
            <w:bottom w:w="0" w:type="dxa"/>
            <w:right w:w="108" w:type="dxa"/>
          </w:tblCellMar>
        </w:tblPrEx>
        <w:trPr>
          <w:trHeight w:val="5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10、机身高度：</w:t>
            </w:r>
            <w:r>
              <w:rPr>
                <w:rFonts w:ascii="宋体" w:hAnsi="宋体" w:cs="宋体" w:hint="eastAsia"/>
                <w:sz w:val="21"/>
                <w:szCs w:val="21"/>
                <w:lang w:eastAsia="zh-CN" w:bidi="ar"/>
              </w:rPr>
              <w:t>≥</w:t>
            </w:r>
            <w:r>
              <w:rPr>
                <w:rFonts w:ascii="宋体" w:hAnsi="宋体" w:cs="宋体" w:hint="eastAsia"/>
                <w:sz w:val="21"/>
                <w:szCs w:val="21"/>
                <w:lang w:eastAsia="zh-CN" w:bidi="ar"/>
              </w:rPr>
              <w:t xml:space="preserve">235cm，  机身折叠高度：  </w:t>
            </w:r>
            <w:r>
              <w:rPr>
                <w:rFonts w:ascii="宋体" w:hAnsi="宋体" w:cs="宋体" w:hint="eastAsia"/>
                <w:sz w:val="21"/>
                <w:szCs w:val="21"/>
                <w:lang w:eastAsia="zh-CN" w:bidi="ar"/>
              </w:rPr>
              <w:t>≤</w:t>
            </w:r>
            <w:r>
              <w:rPr>
                <w:rFonts w:ascii="宋体" w:hAnsi="宋体" w:cs="宋体" w:hint="eastAsia"/>
                <w:sz w:val="21"/>
                <w:szCs w:val="21"/>
                <w:lang w:eastAsia="zh-CN" w:bidi="ar"/>
              </w:rPr>
              <w:t xml:space="preserve"> 120cm</w:t>
            </w:r>
          </w:p>
        </w:tc>
      </w:tr>
      <w:tr>
        <w:tblPrEx>
          <w:tblW w:w="5000" w:type="pct"/>
          <w:tblInd w:w="0" w:type="dxa"/>
          <w:tblLayout w:type="fixed"/>
          <w:tblCellMar>
            <w:top w:w="0" w:type="dxa"/>
            <w:left w:w="108" w:type="dxa"/>
            <w:bottom w:w="0" w:type="dxa"/>
            <w:right w:w="108" w:type="dxa"/>
          </w:tblCellMar>
        </w:tblPrEx>
        <w:trPr>
          <w:trHeight w:val="5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11、可以自动计算BIM值</w:t>
            </w:r>
          </w:p>
        </w:tc>
      </w:tr>
      <w:tr>
        <w:tblPrEx>
          <w:tblW w:w="5000" w:type="pct"/>
          <w:tblInd w:w="0" w:type="dxa"/>
          <w:tblLayout w:type="fixed"/>
          <w:tblCellMar>
            <w:top w:w="0" w:type="dxa"/>
            <w:left w:w="108" w:type="dxa"/>
            <w:bottom w:w="0" w:type="dxa"/>
            <w:right w:w="108" w:type="dxa"/>
          </w:tblCellMar>
        </w:tblPrEx>
        <w:trPr>
          <w:trHeight w:val="207"/>
        </w:trPr>
        <w:tc>
          <w:tcPr>
            <w:tcW w:w="6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bidi="ar"/>
              </w:rPr>
            </w:pPr>
            <w:r>
              <w:rPr>
                <w:rFonts w:ascii="宋体" w:hAnsi="宋体" w:cs="宋体" w:hint="eastAsia"/>
                <w:color w:val="000000"/>
                <w:sz w:val="21"/>
                <w:szCs w:val="21"/>
                <w:lang w:eastAsia="zh-CN" w:bidi="ar"/>
              </w:rPr>
              <w:t>4</w:t>
            </w:r>
          </w:p>
        </w:tc>
        <w:tc>
          <w:tcPr>
            <w:tcW w:w="15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rPr>
            </w:pPr>
            <w:r>
              <w:rPr>
                <w:rFonts w:ascii="宋体" w:hAnsi="宋体" w:cs="宋体" w:hint="eastAsia"/>
                <w:color w:val="000000"/>
                <w:sz w:val="21"/>
                <w:szCs w:val="21"/>
                <w:lang w:eastAsia="zh-CN" w:bidi="ar"/>
              </w:rPr>
              <w:t>治疗车</w:t>
            </w: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1、规格:539*366*900mm±10%</w:t>
            </w:r>
          </w:p>
        </w:tc>
      </w:tr>
      <w:tr>
        <w:tblPrEx>
          <w:tblW w:w="5000" w:type="pct"/>
          <w:tblInd w:w="0" w:type="dxa"/>
          <w:tblLayout w:type="fixed"/>
          <w:tblCellMar>
            <w:top w:w="0" w:type="dxa"/>
            <w:left w:w="108" w:type="dxa"/>
            <w:bottom w:w="0" w:type="dxa"/>
            <w:right w:w="108" w:type="dxa"/>
          </w:tblCellMar>
        </w:tblPrEx>
        <w:trPr>
          <w:trHeight w:val="20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2、车身、台面主要由ABS工程塑料注塑结而成</w:t>
            </w:r>
          </w:p>
        </w:tc>
      </w:tr>
      <w:tr>
        <w:tblPrEx>
          <w:tblW w:w="5000" w:type="pct"/>
          <w:tblInd w:w="0" w:type="dxa"/>
          <w:tblLayout w:type="fixed"/>
          <w:tblCellMar>
            <w:top w:w="0" w:type="dxa"/>
            <w:left w:w="108" w:type="dxa"/>
            <w:bottom w:w="0" w:type="dxa"/>
            <w:right w:w="108" w:type="dxa"/>
          </w:tblCellMar>
        </w:tblPrEx>
        <w:trPr>
          <w:trHeight w:val="20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3、具备四柱承重力强，两层ABS台面组合而成，</w:t>
            </w:r>
          </w:p>
        </w:tc>
      </w:tr>
      <w:tr>
        <w:tblPrEx>
          <w:tblW w:w="5000" w:type="pct"/>
          <w:tblInd w:w="0" w:type="dxa"/>
          <w:tblLayout w:type="fixed"/>
          <w:tblCellMar>
            <w:top w:w="0" w:type="dxa"/>
            <w:left w:w="108" w:type="dxa"/>
            <w:bottom w:w="0" w:type="dxa"/>
            <w:right w:w="108" w:type="dxa"/>
          </w:tblCellMar>
        </w:tblPrEx>
        <w:trPr>
          <w:trHeight w:val="20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4、立柱为ABS材质</w:t>
            </w:r>
          </w:p>
        </w:tc>
      </w:tr>
      <w:tr>
        <w:tblPrEx>
          <w:tblW w:w="5000" w:type="pct"/>
          <w:tblInd w:w="0" w:type="dxa"/>
          <w:tblLayout w:type="fixed"/>
          <w:tblCellMar>
            <w:top w:w="0" w:type="dxa"/>
            <w:left w:w="108" w:type="dxa"/>
            <w:bottom w:w="0" w:type="dxa"/>
            <w:right w:w="108" w:type="dxa"/>
          </w:tblCellMar>
        </w:tblPrEx>
        <w:trPr>
          <w:trHeight w:val="20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5、具备ABS三面护栏带推手</w:t>
            </w:r>
          </w:p>
        </w:tc>
      </w:tr>
      <w:tr>
        <w:tblPrEx>
          <w:tblW w:w="5000" w:type="pct"/>
          <w:tblInd w:w="0" w:type="dxa"/>
          <w:tblLayout w:type="fixed"/>
          <w:tblCellMar>
            <w:top w:w="0" w:type="dxa"/>
            <w:left w:w="108" w:type="dxa"/>
            <w:bottom w:w="0" w:type="dxa"/>
            <w:right w:w="108" w:type="dxa"/>
          </w:tblCellMar>
        </w:tblPrEx>
        <w:trPr>
          <w:trHeight w:val="20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6、具备静音轮四只，(两只带刹车，两只不带刹车)</w:t>
            </w:r>
          </w:p>
        </w:tc>
      </w:tr>
      <w:tr>
        <w:tblPrEx>
          <w:tblW w:w="5000" w:type="pct"/>
          <w:tblInd w:w="0" w:type="dxa"/>
          <w:tblLayout w:type="fixed"/>
          <w:tblCellMar>
            <w:top w:w="0" w:type="dxa"/>
            <w:left w:w="108" w:type="dxa"/>
            <w:bottom w:w="0" w:type="dxa"/>
            <w:right w:w="108" w:type="dxa"/>
          </w:tblCellMar>
        </w:tblPrEx>
        <w:trPr>
          <w:trHeight w:val="91"/>
        </w:trPr>
        <w:tc>
          <w:tcPr>
            <w:tcW w:w="6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bidi="ar"/>
              </w:rPr>
            </w:pPr>
            <w:r>
              <w:rPr>
                <w:rFonts w:ascii="宋体" w:hAnsi="宋体" w:cs="宋体" w:hint="eastAsia"/>
                <w:color w:val="000000"/>
                <w:sz w:val="21"/>
                <w:szCs w:val="21"/>
                <w:lang w:eastAsia="zh-CN" w:bidi="ar"/>
              </w:rPr>
              <w:t>5</w:t>
            </w:r>
          </w:p>
        </w:tc>
        <w:tc>
          <w:tcPr>
            <w:tcW w:w="15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rPr>
            </w:pPr>
            <w:r>
              <w:rPr>
                <w:rFonts w:ascii="宋体" w:hAnsi="宋体" w:cs="宋体" w:hint="eastAsia"/>
                <w:color w:val="000000"/>
                <w:sz w:val="21"/>
                <w:szCs w:val="21"/>
                <w:lang w:eastAsia="zh-CN" w:bidi="ar"/>
              </w:rPr>
              <w:t>TDP灯</w:t>
            </w: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1.光谱波长：2~25μm(微米)</w:t>
            </w:r>
          </w:p>
        </w:tc>
      </w:tr>
      <w:tr>
        <w:tblPrEx>
          <w:tblW w:w="5000" w:type="pct"/>
          <w:tblInd w:w="0" w:type="dxa"/>
          <w:tblLayout w:type="fixed"/>
          <w:tblCellMar>
            <w:top w:w="0" w:type="dxa"/>
            <w:left w:w="108" w:type="dxa"/>
            <w:bottom w:w="0" w:type="dxa"/>
            <w:right w:w="108" w:type="dxa"/>
          </w:tblCellMar>
        </w:tblPrEx>
        <w:trPr>
          <w:trHeight w:val="9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uk-UA"/>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2.工作电压：220V±10%</w:t>
            </w:r>
          </w:p>
        </w:tc>
      </w:tr>
      <w:tr>
        <w:tblPrEx>
          <w:tblW w:w="5000" w:type="pct"/>
          <w:tblInd w:w="0" w:type="dxa"/>
          <w:tblLayout w:type="fixed"/>
          <w:tblCellMar>
            <w:top w:w="0" w:type="dxa"/>
            <w:left w:w="108" w:type="dxa"/>
            <w:bottom w:w="0" w:type="dxa"/>
            <w:right w:w="108" w:type="dxa"/>
          </w:tblCellMar>
        </w:tblPrEx>
        <w:trPr>
          <w:trHeight w:val="9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3.辐射板直径：166mm±10%</w:t>
            </w:r>
          </w:p>
        </w:tc>
      </w:tr>
      <w:tr>
        <w:tblPrEx>
          <w:tblW w:w="5000" w:type="pct"/>
          <w:tblInd w:w="0" w:type="dxa"/>
          <w:tblLayout w:type="fixed"/>
          <w:tblCellMar>
            <w:top w:w="0" w:type="dxa"/>
            <w:left w:w="108" w:type="dxa"/>
            <w:bottom w:w="0" w:type="dxa"/>
            <w:right w:w="108" w:type="dxa"/>
          </w:tblCellMar>
        </w:tblPrEx>
        <w:trPr>
          <w:trHeight w:val="91"/>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4.额定功率：300VA</w:t>
            </w:r>
          </w:p>
        </w:tc>
      </w:tr>
      <w:tr>
        <w:tblPrEx>
          <w:tblW w:w="5000" w:type="pct"/>
          <w:tblInd w:w="0" w:type="dxa"/>
          <w:tblLayout w:type="fixed"/>
          <w:tblCellMar>
            <w:top w:w="0" w:type="dxa"/>
            <w:left w:w="108" w:type="dxa"/>
            <w:bottom w:w="0" w:type="dxa"/>
            <w:right w:w="108" w:type="dxa"/>
          </w:tblCellMar>
        </w:tblPrEx>
        <w:trPr>
          <w:trHeight w:val="132"/>
        </w:trPr>
        <w:tc>
          <w:tcPr>
            <w:tcW w:w="6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bidi="ar"/>
              </w:rPr>
            </w:pPr>
            <w:r>
              <w:rPr>
                <w:rFonts w:ascii="宋体" w:hAnsi="宋体" w:cs="宋体" w:hint="eastAsia"/>
                <w:color w:val="000000"/>
                <w:sz w:val="21"/>
                <w:szCs w:val="21"/>
                <w:lang w:eastAsia="zh-CN" w:bidi="ar"/>
              </w:rPr>
              <w:t>6</w:t>
            </w:r>
          </w:p>
        </w:tc>
        <w:tc>
          <w:tcPr>
            <w:tcW w:w="15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rPr>
            </w:pPr>
            <w:r>
              <w:rPr>
                <w:rFonts w:ascii="宋体" w:hAnsi="宋体" w:cs="宋体" w:hint="eastAsia"/>
                <w:color w:val="000000"/>
                <w:sz w:val="21"/>
                <w:szCs w:val="21"/>
                <w:lang w:eastAsia="zh-CN" w:bidi="ar"/>
              </w:rPr>
              <w:t>电脑中频治疗仪</w:t>
            </w: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1、中频载波频率包括：2kHz、3kHz、4kHz、5kHz；</w:t>
            </w:r>
          </w:p>
        </w:tc>
      </w:tr>
      <w:tr>
        <w:tblPrEx>
          <w:tblW w:w="5000" w:type="pct"/>
          <w:tblInd w:w="0" w:type="dxa"/>
          <w:tblLayout w:type="fixed"/>
          <w:tblCellMar>
            <w:top w:w="0" w:type="dxa"/>
            <w:left w:w="108" w:type="dxa"/>
            <w:bottom w:w="0" w:type="dxa"/>
            <w:right w:w="108" w:type="dxa"/>
          </w:tblCellMar>
        </w:tblPrEx>
        <w:trPr>
          <w:trHeight w:val="13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2、调制频率范围：0Hz～150Hz；</w:t>
            </w:r>
          </w:p>
        </w:tc>
      </w:tr>
      <w:tr>
        <w:tblPrEx>
          <w:tblW w:w="5000" w:type="pct"/>
          <w:tblInd w:w="0" w:type="dxa"/>
          <w:tblLayout w:type="fixed"/>
          <w:tblCellMar>
            <w:top w:w="0" w:type="dxa"/>
            <w:left w:w="108" w:type="dxa"/>
            <w:bottom w:w="0" w:type="dxa"/>
            <w:right w:w="108" w:type="dxa"/>
          </w:tblCellMar>
        </w:tblPrEx>
        <w:trPr>
          <w:trHeight w:val="13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3、电流强度：治疗的处方，分为不同的模式，共</w:t>
            </w:r>
            <w:r>
              <w:rPr>
                <w:rFonts w:ascii="宋体" w:hAnsi="宋体" w:cs="宋体" w:hint="eastAsia"/>
                <w:sz w:val="21"/>
                <w:szCs w:val="21"/>
                <w:lang w:eastAsia="zh-CN" w:bidi="ar"/>
              </w:rPr>
              <w:t>≥</w:t>
            </w:r>
            <w:r>
              <w:rPr>
                <w:rFonts w:ascii="宋体" w:hAnsi="宋体" w:cs="宋体" w:hint="eastAsia"/>
                <w:sz w:val="21"/>
                <w:szCs w:val="21"/>
                <w:lang w:eastAsia="zh-CN" w:bidi="ar"/>
              </w:rPr>
              <w:t>29个处方，每种处方的电流强度均为0mA～100mA可调；</w:t>
            </w:r>
          </w:p>
        </w:tc>
      </w:tr>
      <w:tr>
        <w:tblPrEx>
          <w:tblW w:w="5000" w:type="pct"/>
          <w:tblInd w:w="0" w:type="dxa"/>
          <w:tblLayout w:type="fixed"/>
          <w:tblCellMar>
            <w:top w:w="0" w:type="dxa"/>
            <w:left w:w="108" w:type="dxa"/>
            <w:bottom w:w="0" w:type="dxa"/>
            <w:right w:w="108" w:type="dxa"/>
          </w:tblCellMar>
        </w:tblPrEx>
        <w:trPr>
          <w:trHeight w:val="13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4、调制方式包括：方波、梯形波、三角波、锯齿波、指数波、正弦波、脉冲波等幅波；</w:t>
            </w:r>
          </w:p>
        </w:tc>
      </w:tr>
      <w:tr>
        <w:tblPrEx>
          <w:tblW w:w="5000" w:type="pct"/>
          <w:tblInd w:w="0" w:type="dxa"/>
          <w:tblLayout w:type="fixed"/>
          <w:tblCellMar>
            <w:top w:w="0" w:type="dxa"/>
            <w:left w:w="108" w:type="dxa"/>
            <w:bottom w:w="0" w:type="dxa"/>
            <w:right w:w="108" w:type="dxa"/>
          </w:tblCellMar>
        </w:tblPrEx>
        <w:trPr>
          <w:trHeight w:val="13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5、输出通道：双通道，可同步或异步治疗两个病人；</w:t>
            </w:r>
          </w:p>
        </w:tc>
      </w:tr>
      <w:tr>
        <w:tblPrEx>
          <w:tblW w:w="5000" w:type="pct"/>
          <w:tblInd w:w="0" w:type="dxa"/>
          <w:tblLayout w:type="fixed"/>
          <w:tblCellMar>
            <w:top w:w="0" w:type="dxa"/>
            <w:left w:w="108" w:type="dxa"/>
            <w:bottom w:w="0" w:type="dxa"/>
            <w:right w:w="108" w:type="dxa"/>
          </w:tblCellMar>
        </w:tblPrEx>
        <w:trPr>
          <w:trHeight w:val="13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6、最大透热温度：电疗仪应用部分最大发热温度≤60℃；</w:t>
            </w:r>
          </w:p>
        </w:tc>
      </w:tr>
      <w:tr>
        <w:tblPrEx>
          <w:tblW w:w="5000" w:type="pct"/>
          <w:tblInd w:w="0" w:type="dxa"/>
          <w:tblLayout w:type="fixed"/>
          <w:tblCellMar>
            <w:top w:w="0" w:type="dxa"/>
            <w:left w:w="108" w:type="dxa"/>
            <w:bottom w:w="0" w:type="dxa"/>
            <w:right w:w="108" w:type="dxa"/>
          </w:tblCellMar>
        </w:tblPrEx>
        <w:trPr>
          <w:trHeight w:val="13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7、额定电压和频率：AC220V 50Hz±10%；</w:t>
            </w:r>
          </w:p>
        </w:tc>
      </w:tr>
      <w:tr>
        <w:tblPrEx>
          <w:tblW w:w="5000" w:type="pct"/>
          <w:tblInd w:w="0" w:type="dxa"/>
          <w:tblLayout w:type="fixed"/>
          <w:tblCellMar>
            <w:top w:w="0" w:type="dxa"/>
            <w:left w:w="108" w:type="dxa"/>
            <w:bottom w:w="0" w:type="dxa"/>
            <w:right w:w="108" w:type="dxa"/>
          </w:tblCellMar>
        </w:tblPrEx>
        <w:trPr>
          <w:trHeight w:val="13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8、连续工作时间：电疗仪连续工作时间应能≥4h；</w:t>
            </w:r>
          </w:p>
        </w:tc>
      </w:tr>
      <w:tr>
        <w:tblPrEx>
          <w:tblW w:w="5000" w:type="pct"/>
          <w:tblInd w:w="0" w:type="dxa"/>
          <w:tblLayout w:type="fixed"/>
          <w:tblCellMar>
            <w:top w:w="0" w:type="dxa"/>
            <w:left w:w="108" w:type="dxa"/>
            <w:bottom w:w="0" w:type="dxa"/>
            <w:right w:w="108" w:type="dxa"/>
          </w:tblCellMar>
        </w:tblPrEx>
        <w:trPr>
          <w:trHeight w:val="13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9、调幅度：电疗仪的调幅度可为0%，100%；</w:t>
            </w:r>
          </w:p>
        </w:tc>
      </w:tr>
      <w:tr>
        <w:tblPrEx>
          <w:tblW w:w="5000" w:type="pct"/>
          <w:tblInd w:w="0" w:type="dxa"/>
          <w:tblLayout w:type="fixed"/>
          <w:tblCellMar>
            <w:top w:w="0" w:type="dxa"/>
            <w:left w:w="108" w:type="dxa"/>
            <w:bottom w:w="0" w:type="dxa"/>
            <w:right w:w="108" w:type="dxa"/>
          </w:tblCellMar>
        </w:tblPrEx>
        <w:trPr>
          <w:trHeight w:val="13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10、电疗仪的额定输入功率：90VA；</w:t>
            </w:r>
          </w:p>
        </w:tc>
      </w:tr>
      <w:tr>
        <w:tblPrEx>
          <w:tblW w:w="5000" w:type="pct"/>
          <w:tblInd w:w="0" w:type="dxa"/>
          <w:tblLayout w:type="fixed"/>
          <w:tblCellMar>
            <w:top w:w="0" w:type="dxa"/>
            <w:left w:w="108" w:type="dxa"/>
            <w:bottom w:w="0" w:type="dxa"/>
            <w:right w:w="108" w:type="dxa"/>
          </w:tblCellMar>
        </w:tblPrEx>
        <w:trPr>
          <w:trHeight w:val="13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11、输出幅值：40V（峰值）。</w:t>
            </w:r>
          </w:p>
        </w:tc>
      </w:tr>
      <w:tr>
        <w:tblPrEx>
          <w:tblW w:w="5000" w:type="pct"/>
          <w:tblInd w:w="0" w:type="dxa"/>
          <w:tblLayout w:type="fixed"/>
          <w:tblCellMar>
            <w:top w:w="0" w:type="dxa"/>
            <w:left w:w="108" w:type="dxa"/>
            <w:bottom w:w="0" w:type="dxa"/>
            <w:right w:w="108" w:type="dxa"/>
          </w:tblCellMar>
        </w:tblPrEx>
        <w:trPr>
          <w:trHeight w:val="162"/>
        </w:trPr>
        <w:tc>
          <w:tcPr>
            <w:tcW w:w="6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bidi="ar"/>
              </w:rPr>
            </w:pPr>
            <w:r>
              <w:rPr>
                <w:rFonts w:ascii="宋体" w:hAnsi="宋体" w:cs="宋体" w:hint="eastAsia"/>
                <w:color w:val="000000"/>
                <w:sz w:val="21"/>
                <w:szCs w:val="21"/>
                <w:lang w:eastAsia="zh-CN" w:bidi="ar"/>
              </w:rPr>
              <w:t>7</w:t>
            </w:r>
          </w:p>
        </w:tc>
        <w:tc>
          <w:tcPr>
            <w:tcW w:w="1554" w:type="dxa"/>
            <w:vMerge w:val="restart"/>
            <w:noWrap w:val="0"/>
            <w:vAlign w:val="center"/>
          </w:tcPr>
          <w:p>
            <w:pPr>
              <w:keepNext w:val="0"/>
              <w:keepLines w:val="0"/>
              <w:widowControl/>
              <w:suppressLineNumbers w:val="0"/>
              <w:jc w:val="center"/>
              <w:textAlignment w:val="center"/>
              <w:rPr>
                <w:rFonts w:ascii="宋体" w:hAnsi="宋体" w:cs="宋体" w:hint="eastAsia"/>
                <w:b/>
                <w:bCs/>
                <w:color w:val="000000"/>
                <w:sz w:val="21"/>
                <w:szCs w:val="21"/>
                <w:lang w:eastAsia="zh-CN" w:bidi="ar"/>
              </w:rPr>
            </w:pPr>
            <w:r>
              <w:rPr>
                <w:rFonts w:ascii="宋体" w:hAnsi="宋体" w:cs="宋体" w:hint="eastAsia"/>
                <w:color w:val="000000"/>
                <w:sz w:val="21"/>
                <w:szCs w:val="21"/>
                <w:lang w:eastAsia="zh-CN" w:bidi="ar"/>
              </w:rPr>
              <w:t>离心机</w:t>
            </w: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w:t>
            </w:r>
            <w:r>
              <w:rPr>
                <w:rFonts w:ascii="宋体" w:hAnsi="宋体" w:cs="宋体" w:hint="eastAsia"/>
                <w:sz w:val="21"/>
                <w:szCs w:val="21"/>
                <w:lang w:eastAsia="zh-CN" w:bidi="ar"/>
              </w:rPr>
              <w:t>▲</w:t>
            </w:r>
            <w:r>
              <w:rPr>
                <w:rFonts w:ascii="宋体" w:hAnsi="宋体" w:cs="宋体" w:hint="eastAsia"/>
                <w:sz w:val="21"/>
                <w:szCs w:val="21"/>
                <w:lang w:eastAsia="zh-CN" w:bidi="ar"/>
              </w:rPr>
              <w:t xml:space="preserve">最高转速      </w:t>
            </w:r>
            <w:r>
              <w:rPr>
                <w:rFonts w:ascii="宋体" w:hAnsi="宋体" w:cs="宋体" w:hint="eastAsia"/>
                <w:sz w:val="21"/>
                <w:szCs w:val="21"/>
                <w:lang w:eastAsia="zh-CN" w:bidi="ar"/>
              </w:rPr>
              <w:tab/>
            </w:r>
            <w:r>
              <w:rPr>
                <w:rFonts w:ascii="宋体" w:hAnsi="宋体" w:cs="宋体" w:hint="eastAsia"/>
                <w:sz w:val="21"/>
                <w:szCs w:val="21"/>
                <w:lang w:eastAsia="zh-CN" w:bidi="ar"/>
              </w:rPr>
              <w:t>6000r/min</w:t>
            </w:r>
            <w:r>
              <w:rPr>
                <w:rFonts w:ascii="宋体" w:hAnsi="宋体" w:cs="宋体" w:hint="eastAsia"/>
                <w:b/>
                <w:bCs/>
                <w:color w:val="FF0000"/>
                <w:sz w:val="21"/>
                <w:szCs w:val="21"/>
                <w:lang w:eastAsia="zh-CN" w:bidi="ar"/>
              </w:rPr>
              <w:t>（需提供产品的技术文件或彩页截图或厂家参数确认函或第三方机构出具的具有CMA标识的检验报告扫描件）</w:t>
            </w:r>
            <w:r>
              <w:rPr>
                <w:rFonts w:ascii="宋体" w:hAnsi="宋体" w:cs="宋体" w:hint="eastAsia"/>
                <w:sz w:val="21"/>
                <w:szCs w:val="21"/>
                <w:lang w:eastAsia="zh-CN" w:bidi="ar"/>
              </w:rPr>
              <w:t xml:space="preserve">     </w:t>
            </w:r>
          </w:p>
        </w:tc>
      </w:tr>
      <w:tr>
        <w:tblPrEx>
          <w:tblW w:w="5000" w:type="pct"/>
          <w:tblInd w:w="0" w:type="dxa"/>
          <w:tblLayout w:type="fixed"/>
          <w:tblCellMar>
            <w:top w:w="0" w:type="dxa"/>
            <w:left w:w="108" w:type="dxa"/>
            <w:bottom w:w="0" w:type="dxa"/>
            <w:right w:w="108" w:type="dxa"/>
          </w:tblCellMar>
        </w:tblPrEx>
        <w:trPr>
          <w:trHeight w:val="16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 xml:space="preserve">2、最大相对离心力   </w:t>
            </w:r>
            <w:r>
              <w:rPr>
                <w:rFonts w:ascii="宋体" w:hAnsi="宋体" w:cs="宋体" w:hint="eastAsia"/>
                <w:sz w:val="21"/>
                <w:szCs w:val="21"/>
                <w:lang w:eastAsia="zh-CN" w:bidi="ar"/>
              </w:rPr>
              <w:tab/>
            </w:r>
            <w:r>
              <w:rPr>
                <w:rFonts w:ascii="宋体" w:hAnsi="宋体" w:cs="宋体" w:hint="eastAsia"/>
                <w:sz w:val="21"/>
                <w:szCs w:val="21"/>
                <w:lang w:eastAsia="zh-CN" w:bidi="ar"/>
              </w:rPr>
              <w:t xml:space="preserve">3970×g  </w:t>
            </w:r>
          </w:p>
        </w:tc>
      </w:tr>
      <w:tr>
        <w:tblPrEx>
          <w:tblW w:w="5000" w:type="pct"/>
          <w:tblInd w:w="0" w:type="dxa"/>
          <w:tblLayout w:type="fixed"/>
          <w:tblCellMar>
            <w:top w:w="0" w:type="dxa"/>
            <w:left w:w="108" w:type="dxa"/>
            <w:bottom w:w="0" w:type="dxa"/>
            <w:right w:w="108" w:type="dxa"/>
          </w:tblCellMar>
        </w:tblPrEx>
        <w:trPr>
          <w:trHeight w:val="16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w:t>
            </w:r>
            <w:r>
              <w:rPr>
                <w:rFonts w:ascii="宋体" w:hAnsi="宋体" w:cs="宋体" w:hint="eastAsia"/>
                <w:sz w:val="21"/>
                <w:szCs w:val="21"/>
                <w:lang w:eastAsia="zh-CN" w:bidi="ar"/>
              </w:rPr>
              <w:t>▲</w:t>
            </w:r>
            <w:r>
              <w:rPr>
                <w:rFonts w:ascii="宋体" w:hAnsi="宋体" w:cs="宋体" w:hint="eastAsia"/>
                <w:sz w:val="21"/>
                <w:szCs w:val="21"/>
                <w:lang w:eastAsia="zh-CN" w:bidi="ar"/>
              </w:rPr>
              <w:t xml:space="preserve">最大容量   </w:t>
            </w:r>
            <w:r>
              <w:rPr>
                <w:rFonts w:ascii="宋体" w:hAnsi="宋体" w:cs="宋体" w:hint="eastAsia"/>
                <w:sz w:val="21"/>
                <w:szCs w:val="21"/>
                <w:lang w:eastAsia="zh-CN" w:bidi="ar"/>
              </w:rPr>
              <w:tab/>
            </w:r>
            <w:r>
              <w:rPr>
                <w:rFonts w:ascii="宋体" w:hAnsi="宋体" w:cs="宋体" w:hint="eastAsia"/>
                <w:sz w:val="21"/>
                <w:szCs w:val="21"/>
                <w:lang w:eastAsia="zh-CN" w:bidi="ar"/>
              </w:rPr>
              <w:t xml:space="preserve"> 2000ml</w:t>
            </w:r>
            <w:r>
              <w:rPr>
                <w:rFonts w:ascii="宋体" w:hAnsi="宋体" w:cs="宋体" w:hint="eastAsia"/>
                <w:b/>
                <w:bCs/>
                <w:color w:val="FF0000"/>
                <w:sz w:val="21"/>
                <w:szCs w:val="21"/>
                <w:lang w:eastAsia="zh-CN" w:bidi="ar"/>
              </w:rPr>
              <w:t>（需提供产品的技术文件或彩页截图或厂家参数确认函或第三方机构出具的具有CMA标识的检验报告扫描件）</w:t>
            </w:r>
            <w:r>
              <w:rPr>
                <w:rFonts w:ascii="宋体" w:hAnsi="宋体" w:cs="宋体" w:hint="eastAsia"/>
                <w:sz w:val="21"/>
                <w:szCs w:val="21"/>
                <w:lang w:eastAsia="zh-CN" w:bidi="ar"/>
              </w:rPr>
              <w:t xml:space="preserve">   </w:t>
            </w:r>
          </w:p>
        </w:tc>
      </w:tr>
      <w:tr>
        <w:tblPrEx>
          <w:tblW w:w="5000" w:type="pct"/>
          <w:tblInd w:w="0" w:type="dxa"/>
          <w:tblLayout w:type="fixed"/>
          <w:tblCellMar>
            <w:top w:w="0" w:type="dxa"/>
            <w:left w:w="108" w:type="dxa"/>
            <w:bottom w:w="0" w:type="dxa"/>
            <w:right w:w="108" w:type="dxa"/>
          </w:tblCellMar>
        </w:tblPrEx>
        <w:trPr>
          <w:trHeight w:val="16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 xml:space="preserve">4、转速精度 </w:t>
            </w:r>
            <w:r>
              <w:rPr>
                <w:rFonts w:ascii="宋体" w:hAnsi="宋体" w:cs="宋体" w:hint="eastAsia"/>
                <w:sz w:val="21"/>
                <w:szCs w:val="21"/>
                <w:lang w:eastAsia="zh-CN" w:bidi="ar"/>
              </w:rPr>
              <w:tab/>
            </w:r>
            <w:r>
              <w:rPr>
                <w:rFonts w:ascii="宋体" w:hAnsi="宋体" w:cs="宋体" w:hint="eastAsia"/>
                <w:sz w:val="21"/>
                <w:szCs w:val="21"/>
                <w:lang w:eastAsia="zh-CN" w:bidi="ar"/>
              </w:rPr>
              <w:t>± 20 rpm</w:t>
            </w:r>
          </w:p>
        </w:tc>
      </w:tr>
      <w:tr>
        <w:tblPrEx>
          <w:tblW w:w="5000" w:type="pct"/>
          <w:tblInd w:w="0" w:type="dxa"/>
          <w:tblLayout w:type="fixed"/>
          <w:tblCellMar>
            <w:top w:w="0" w:type="dxa"/>
            <w:left w:w="108" w:type="dxa"/>
            <w:bottom w:w="0" w:type="dxa"/>
            <w:right w:w="108" w:type="dxa"/>
          </w:tblCellMar>
        </w:tblPrEx>
        <w:trPr>
          <w:trHeight w:val="16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 xml:space="preserve">5、定时范围   </w:t>
            </w:r>
            <w:r>
              <w:rPr>
                <w:rFonts w:ascii="宋体" w:hAnsi="宋体" w:cs="宋体" w:hint="eastAsia"/>
                <w:sz w:val="21"/>
                <w:szCs w:val="21"/>
                <w:lang w:eastAsia="zh-CN" w:bidi="ar"/>
              </w:rPr>
              <w:tab/>
            </w:r>
            <w:r>
              <w:rPr>
                <w:rFonts w:ascii="宋体" w:hAnsi="宋体" w:cs="宋体" w:hint="eastAsia"/>
                <w:sz w:val="21"/>
                <w:szCs w:val="21"/>
                <w:lang w:eastAsia="zh-CN" w:bidi="ar"/>
              </w:rPr>
              <w:t xml:space="preserve">1s～999min  </w:t>
            </w:r>
          </w:p>
        </w:tc>
      </w:tr>
      <w:tr>
        <w:tblPrEx>
          <w:tblW w:w="5000" w:type="pct"/>
          <w:tblInd w:w="0" w:type="dxa"/>
          <w:tblLayout w:type="fixed"/>
          <w:tblCellMar>
            <w:top w:w="0" w:type="dxa"/>
            <w:left w:w="108" w:type="dxa"/>
            <w:bottom w:w="0" w:type="dxa"/>
            <w:right w:w="108" w:type="dxa"/>
          </w:tblCellMar>
        </w:tblPrEx>
        <w:trPr>
          <w:trHeight w:val="16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 xml:space="preserve">6、电源 </w:t>
            </w:r>
            <w:r>
              <w:rPr>
                <w:rFonts w:ascii="宋体" w:hAnsi="宋体" w:cs="宋体" w:hint="eastAsia"/>
                <w:sz w:val="21"/>
                <w:szCs w:val="21"/>
                <w:lang w:eastAsia="zh-CN" w:bidi="ar"/>
              </w:rPr>
              <w:tab/>
            </w:r>
            <w:r>
              <w:rPr>
                <w:rFonts w:ascii="宋体" w:hAnsi="宋体" w:cs="宋体" w:hint="eastAsia"/>
                <w:sz w:val="21"/>
                <w:szCs w:val="21"/>
                <w:lang w:eastAsia="zh-CN" w:bidi="ar"/>
              </w:rPr>
              <w:t xml:space="preserve">  AC 220V 50Hz±10% </w:t>
            </w:r>
          </w:p>
        </w:tc>
      </w:tr>
      <w:tr>
        <w:tblPrEx>
          <w:tblW w:w="5000" w:type="pct"/>
          <w:tblInd w:w="0" w:type="dxa"/>
          <w:tblLayout w:type="fixed"/>
          <w:tblCellMar>
            <w:top w:w="0" w:type="dxa"/>
            <w:left w:w="108" w:type="dxa"/>
            <w:bottom w:w="0" w:type="dxa"/>
            <w:right w:w="108" w:type="dxa"/>
          </w:tblCellMar>
        </w:tblPrEx>
        <w:trPr>
          <w:trHeight w:val="16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7、整机功率</w:t>
            </w:r>
            <w:r>
              <w:rPr>
                <w:rFonts w:ascii="宋体" w:hAnsi="宋体" w:cs="宋体" w:hint="eastAsia"/>
                <w:sz w:val="21"/>
                <w:szCs w:val="21"/>
                <w:lang w:eastAsia="zh-CN" w:bidi="ar"/>
              </w:rPr>
              <w:tab/>
            </w:r>
            <w:r>
              <w:rPr>
                <w:rFonts w:ascii="宋体" w:hAnsi="宋体" w:cs="宋体" w:hint="eastAsia"/>
                <w:sz w:val="21"/>
                <w:szCs w:val="21"/>
                <w:lang w:eastAsia="zh-CN" w:bidi="ar"/>
              </w:rPr>
              <w:t>≥750W</w:t>
            </w:r>
          </w:p>
        </w:tc>
      </w:tr>
      <w:tr>
        <w:tblPrEx>
          <w:tblW w:w="5000" w:type="pct"/>
          <w:tblInd w:w="0" w:type="dxa"/>
          <w:tblLayout w:type="fixed"/>
          <w:tblCellMar>
            <w:top w:w="0" w:type="dxa"/>
            <w:left w:w="108" w:type="dxa"/>
            <w:bottom w:w="0" w:type="dxa"/>
            <w:right w:w="108" w:type="dxa"/>
          </w:tblCellMar>
        </w:tblPrEx>
        <w:trPr>
          <w:trHeight w:val="16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8、适配转子</w:t>
            </w:r>
            <w:r>
              <w:rPr>
                <w:rFonts w:ascii="宋体" w:hAnsi="宋体" w:cs="宋体" w:hint="eastAsia"/>
                <w:sz w:val="21"/>
                <w:szCs w:val="21"/>
                <w:lang w:eastAsia="zh-CN" w:bidi="ar"/>
              </w:rPr>
              <w:tab/>
            </w:r>
            <w:r>
              <w:rPr>
                <w:rFonts w:ascii="宋体" w:hAnsi="宋体" w:cs="宋体" w:hint="eastAsia"/>
                <w:sz w:val="21"/>
                <w:szCs w:val="21"/>
                <w:lang w:eastAsia="zh-CN" w:bidi="ar"/>
              </w:rPr>
              <w:t>水平转子96孔，适配5ml真空采血管</w:t>
            </w:r>
          </w:p>
        </w:tc>
      </w:tr>
      <w:tr>
        <w:tblPrEx>
          <w:tblW w:w="5000" w:type="pct"/>
          <w:tblInd w:w="0" w:type="dxa"/>
          <w:tblLayout w:type="fixed"/>
          <w:tblCellMar>
            <w:top w:w="0" w:type="dxa"/>
            <w:left w:w="108" w:type="dxa"/>
            <w:bottom w:w="0" w:type="dxa"/>
            <w:right w:w="108" w:type="dxa"/>
          </w:tblCellMar>
        </w:tblPrEx>
        <w:trPr>
          <w:trHeight w:val="97"/>
        </w:trPr>
        <w:tc>
          <w:tcPr>
            <w:tcW w:w="6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bidi="ar"/>
              </w:rPr>
            </w:pPr>
            <w:r>
              <w:rPr>
                <w:rFonts w:ascii="宋体" w:hAnsi="宋体" w:cs="宋体" w:hint="eastAsia"/>
                <w:color w:val="000000"/>
                <w:sz w:val="21"/>
                <w:szCs w:val="21"/>
                <w:lang w:eastAsia="zh-CN" w:bidi="ar"/>
              </w:rPr>
              <w:t>8</w:t>
            </w:r>
          </w:p>
        </w:tc>
        <w:tc>
          <w:tcPr>
            <w:tcW w:w="1554" w:type="dxa"/>
            <w:vMerge w:val="restart"/>
            <w:noWrap w:val="0"/>
            <w:vAlign w:val="center"/>
          </w:tcPr>
          <w:p>
            <w:pPr>
              <w:keepNext w:val="0"/>
              <w:keepLines w:val="0"/>
              <w:widowControl/>
              <w:suppressLineNumbers w:val="0"/>
              <w:jc w:val="center"/>
              <w:textAlignment w:val="center"/>
              <w:rPr>
                <w:rFonts w:ascii="宋体" w:hAnsi="宋体" w:cs="宋体" w:hint="eastAsia"/>
                <w:b/>
                <w:bCs/>
                <w:color w:val="000000"/>
                <w:sz w:val="21"/>
                <w:szCs w:val="21"/>
                <w:lang w:eastAsia="zh-CN" w:bidi="ar"/>
              </w:rPr>
            </w:pPr>
            <w:r>
              <w:rPr>
                <w:rFonts w:ascii="宋体" w:hAnsi="宋体" w:cs="宋体" w:hint="eastAsia"/>
                <w:color w:val="000000"/>
                <w:sz w:val="21"/>
                <w:szCs w:val="21"/>
                <w:lang w:eastAsia="zh-CN" w:bidi="ar"/>
              </w:rPr>
              <w:t>药品保存冰箱</w:t>
            </w: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1、搁架数量：</w:t>
            </w:r>
            <w:r>
              <w:rPr>
                <w:rFonts w:ascii="宋体" w:hAnsi="宋体" w:cs="宋体" w:hint="eastAsia"/>
                <w:sz w:val="21"/>
                <w:szCs w:val="21"/>
                <w:lang w:eastAsia="zh-CN" w:bidi="ar"/>
              </w:rPr>
              <w:tab/>
            </w:r>
            <w:r>
              <w:rPr>
                <w:rFonts w:ascii="宋体" w:hAnsi="宋体" w:cs="宋体" w:hint="eastAsia"/>
                <w:sz w:val="21"/>
                <w:szCs w:val="21"/>
                <w:lang w:eastAsia="zh-CN" w:bidi="ar"/>
              </w:rPr>
              <w:t>≥4层</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2、制冷方式：</w:t>
            </w:r>
            <w:r>
              <w:rPr>
                <w:rFonts w:ascii="宋体" w:hAnsi="宋体" w:cs="宋体" w:hint="eastAsia"/>
                <w:sz w:val="21"/>
                <w:szCs w:val="21"/>
                <w:lang w:eastAsia="zh-CN" w:bidi="ar"/>
              </w:rPr>
              <w:tab/>
            </w:r>
            <w:r>
              <w:rPr>
                <w:rFonts w:ascii="宋体" w:hAnsi="宋体" w:cs="宋体" w:hint="eastAsia"/>
                <w:sz w:val="21"/>
                <w:szCs w:val="21"/>
                <w:lang w:eastAsia="zh-CN" w:bidi="ar"/>
              </w:rPr>
              <w:t>风冷</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3、除霜方式：</w:t>
            </w:r>
            <w:r>
              <w:rPr>
                <w:rFonts w:ascii="宋体" w:hAnsi="宋体" w:cs="宋体" w:hint="eastAsia"/>
                <w:sz w:val="21"/>
                <w:szCs w:val="21"/>
                <w:lang w:eastAsia="zh-CN" w:bidi="ar"/>
              </w:rPr>
              <w:tab/>
            </w:r>
            <w:r>
              <w:rPr>
                <w:rFonts w:ascii="宋体" w:hAnsi="宋体" w:cs="宋体" w:hint="eastAsia"/>
                <w:sz w:val="21"/>
                <w:szCs w:val="21"/>
                <w:lang w:eastAsia="zh-CN" w:bidi="ar"/>
              </w:rPr>
              <w:t>自动</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4、制冷剂/g：</w:t>
            </w:r>
            <w:r>
              <w:rPr>
                <w:rFonts w:ascii="宋体" w:hAnsi="宋体" w:cs="宋体" w:hint="eastAsia"/>
                <w:sz w:val="21"/>
                <w:szCs w:val="21"/>
                <w:lang w:eastAsia="zh-CN" w:bidi="ar"/>
              </w:rPr>
              <w:tab/>
            </w:r>
            <w:r>
              <w:rPr>
                <w:rFonts w:ascii="宋体" w:hAnsi="宋体" w:cs="宋体" w:hint="eastAsia"/>
                <w:sz w:val="21"/>
                <w:szCs w:val="21"/>
                <w:lang w:eastAsia="zh-CN" w:bidi="ar"/>
              </w:rPr>
              <w:t>R600a/31g</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5、噪音级别：</w:t>
            </w:r>
            <w:r>
              <w:rPr>
                <w:rFonts w:ascii="宋体" w:hAnsi="宋体" w:cs="宋体" w:hint="eastAsia"/>
                <w:sz w:val="21"/>
                <w:szCs w:val="21"/>
                <w:lang w:eastAsia="zh-CN" w:bidi="ar"/>
              </w:rPr>
              <w:tab/>
            </w:r>
            <w:r>
              <w:rPr>
                <w:rFonts w:ascii="宋体" w:hAnsi="宋体" w:cs="宋体" w:hint="eastAsia"/>
                <w:sz w:val="21"/>
                <w:szCs w:val="21"/>
                <w:lang w:eastAsia="zh-CN" w:bidi="ar"/>
              </w:rPr>
              <w:t>≤55dB（A）</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6、温度范围：</w:t>
            </w:r>
            <w:r>
              <w:rPr>
                <w:rFonts w:ascii="宋体" w:hAnsi="宋体" w:cs="宋体" w:hint="eastAsia"/>
                <w:sz w:val="21"/>
                <w:szCs w:val="21"/>
                <w:lang w:eastAsia="zh-CN" w:bidi="ar"/>
              </w:rPr>
              <w:tab/>
            </w:r>
            <w:r>
              <w:rPr>
                <w:rFonts w:ascii="宋体" w:hAnsi="宋体" w:cs="宋体" w:hint="eastAsia"/>
                <w:sz w:val="21"/>
                <w:szCs w:val="21"/>
                <w:lang w:eastAsia="zh-CN" w:bidi="ar"/>
              </w:rPr>
              <w:t>2~8℃</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7、蒸发器类型：</w:t>
            </w:r>
            <w:r>
              <w:rPr>
                <w:rFonts w:ascii="宋体" w:hAnsi="宋体" w:cs="宋体" w:hint="eastAsia"/>
                <w:sz w:val="21"/>
                <w:szCs w:val="21"/>
                <w:lang w:eastAsia="zh-CN" w:bidi="ar"/>
              </w:rPr>
              <w:tab/>
            </w:r>
            <w:r>
              <w:rPr>
                <w:rFonts w:ascii="宋体" w:hAnsi="宋体" w:cs="宋体" w:hint="eastAsia"/>
                <w:sz w:val="21"/>
                <w:szCs w:val="21"/>
                <w:lang w:eastAsia="zh-CN" w:bidi="ar"/>
              </w:rPr>
              <w:t>翅片式</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8、冷凝器类型：</w:t>
            </w:r>
            <w:r>
              <w:rPr>
                <w:rFonts w:ascii="宋体" w:hAnsi="宋体" w:cs="宋体" w:hint="eastAsia"/>
                <w:sz w:val="21"/>
                <w:szCs w:val="21"/>
                <w:lang w:eastAsia="zh-CN" w:bidi="ar"/>
              </w:rPr>
              <w:tab/>
            </w:r>
            <w:r>
              <w:rPr>
                <w:rFonts w:ascii="宋体" w:hAnsi="宋体" w:cs="宋体" w:hint="eastAsia"/>
                <w:sz w:val="21"/>
                <w:szCs w:val="21"/>
                <w:lang w:eastAsia="zh-CN" w:bidi="ar"/>
              </w:rPr>
              <w:t>丝管式</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9、传感器类型：</w:t>
            </w:r>
            <w:r>
              <w:rPr>
                <w:rFonts w:ascii="宋体" w:hAnsi="宋体" w:cs="宋体" w:hint="eastAsia"/>
                <w:sz w:val="21"/>
                <w:szCs w:val="21"/>
                <w:lang w:eastAsia="zh-CN" w:bidi="ar"/>
              </w:rPr>
              <w:tab/>
            </w:r>
            <w:r>
              <w:rPr>
                <w:rFonts w:ascii="宋体" w:hAnsi="宋体" w:cs="宋体" w:hint="eastAsia"/>
                <w:sz w:val="21"/>
                <w:szCs w:val="21"/>
                <w:lang w:eastAsia="zh-CN" w:bidi="ar"/>
              </w:rPr>
              <w:t>NTC</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10、温控器</w:t>
            </w:r>
            <w:r>
              <w:rPr>
                <w:rFonts w:ascii="宋体" w:hAnsi="宋体" w:cs="宋体" w:hint="eastAsia"/>
                <w:sz w:val="21"/>
                <w:szCs w:val="21"/>
                <w:lang w:eastAsia="zh-CN" w:bidi="ar"/>
              </w:rPr>
              <w:tab/>
            </w:r>
            <w:r>
              <w:rPr>
                <w:rFonts w:ascii="宋体" w:hAnsi="宋体" w:cs="宋体" w:hint="eastAsia"/>
                <w:sz w:val="21"/>
                <w:szCs w:val="21"/>
                <w:lang w:eastAsia="zh-CN" w:bidi="ar"/>
              </w:rPr>
              <w:t>：电子温控</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11、显示方式：</w:t>
            </w:r>
            <w:r>
              <w:rPr>
                <w:rFonts w:ascii="宋体" w:hAnsi="宋体" w:cs="宋体" w:hint="eastAsia"/>
                <w:sz w:val="21"/>
                <w:szCs w:val="21"/>
                <w:lang w:eastAsia="zh-CN" w:bidi="ar"/>
              </w:rPr>
              <w:tab/>
            </w:r>
            <w:r>
              <w:rPr>
                <w:rFonts w:ascii="宋体" w:hAnsi="宋体" w:cs="宋体" w:hint="eastAsia"/>
                <w:sz w:val="21"/>
                <w:szCs w:val="21"/>
                <w:lang w:eastAsia="zh-CN" w:bidi="ar"/>
              </w:rPr>
              <w:t>数码管显示</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12、功率（VA)</w:t>
            </w:r>
            <w:r>
              <w:rPr>
                <w:rFonts w:ascii="宋体" w:hAnsi="宋体" w:cs="宋体" w:hint="eastAsia"/>
                <w:sz w:val="21"/>
                <w:szCs w:val="21"/>
                <w:lang w:eastAsia="zh-CN" w:bidi="ar"/>
              </w:rPr>
              <w:tab/>
            </w:r>
            <w:r>
              <w:rPr>
                <w:rFonts w:ascii="宋体" w:hAnsi="宋体" w:cs="宋体" w:hint="eastAsia"/>
                <w:sz w:val="21"/>
                <w:szCs w:val="21"/>
                <w:lang w:eastAsia="zh-CN" w:bidi="ar"/>
              </w:rPr>
              <w:t>：240±10%</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13、有效容积（L)</w:t>
            </w:r>
            <w:r>
              <w:rPr>
                <w:rFonts w:ascii="宋体" w:hAnsi="宋体" w:cs="宋体" w:hint="eastAsia"/>
                <w:sz w:val="21"/>
                <w:szCs w:val="21"/>
                <w:lang w:eastAsia="zh-CN" w:bidi="ar"/>
              </w:rPr>
              <w:tab/>
            </w:r>
            <w:r>
              <w:rPr>
                <w:rFonts w:ascii="宋体" w:hAnsi="宋体" w:cs="宋体" w:hint="eastAsia"/>
                <w:sz w:val="21"/>
                <w:szCs w:val="21"/>
                <w:lang w:eastAsia="zh-CN" w:bidi="ar"/>
              </w:rPr>
              <w:t>≥238</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14、至少具备：高低温报警、</w:t>
            </w:r>
            <w:r>
              <w:rPr>
                <w:rFonts w:ascii="宋体" w:hAnsi="宋体" w:cs="宋体" w:hint="eastAsia"/>
                <w:sz w:val="21"/>
                <w:szCs w:val="21"/>
                <w:lang w:eastAsia="zh-CN" w:bidi="ar"/>
              </w:rPr>
              <w:tab/>
            </w:r>
            <w:r>
              <w:rPr>
                <w:rFonts w:ascii="宋体" w:hAnsi="宋体" w:cs="宋体" w:hint="eastAsia"/>
                <w:sz w:val="21"/>
                <w:szCs w:val="21"/>
                <w:lang w:eastAsia="zh-CN" w:bidi="ar"/>
              </w:rPr>
              <w:t>断电报警、温控器故障报警、门开关报警功能；</w:t>
            </w:r>
          </w:p>
        </w:tc>
      </w:tr>
      <w:tr>
        <w:tblPrEx>
          <w:tblW w:w="5000" w:type="pct"/>
          <w:tblInd w:w="0" w:type="dxa"/>
          <w:tblLayout w:type="fixed"/>
          <w:tblCellMar>
            <w:top w:w="0" w:type="dxa"/>
            <w:left w:w="108" w:type="dxa"/>
            <w:bottom w:w="0" w:type="dxa"/>
            <w:right w:w="108" w:type="dxa"/>
          </w:tblCellMar>
        </w:tblPrEx>
        <w:trPr>
          <w:trHeight w:val="52"/>
        </w:trPr>
        <w:tc>
          <w:tcPr>
            <w:tcW w:w="6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bidi="ar"/>
              </w:rPr>
            </w:pPr>
            <w:r>
              <w:rPr>
                <w:rFonts w:ascii="宋体" w:hAnsi="宋体" w:cs="宋体" w:hint="eastAsia"/>
                <w:color w:val="000000"/>
                <w:sz w:val="21"/>
                <w:szCs w:val="21"/>
                <w:lang w:eastAsia="zh-CN" w:bidi="ar"/>
              </w:rPr>
              <w:t>9</w:t>
            </w:r>
          </w:p>
        </w:tc>
        <w:tc>
          <w:tcPr>
            <w:tcW w:w="1554" w:type="dxa"/>
            <w:vMerge w:val="restart"/>
            <w:noWrap w:val="0"/>
            <w:vAlign w:val="center"/>
          </w:tcPr>
          <w:p>
            <w:pPr>
              <w:keepNext w:val="0"/>
              <w:keepLines w:val="0"/>
              <w:widowControl/>
              <w:suppressLineNumbers w:val="0"/>
              <w:jc w:val="center"/>
              <w:textAlignment w:val="center"/>
              <w:rPr>
                <w:rFonts w:ascii="宋体" w:hAnsi="宋体" w:cs="宋体" w:hint="eastAsia"/>
                <w:b/>
                <w:bCs/>
                <w:color w:val="000000"/>
                <w:sz w:val="21"/>
                <w:szCs w:val="21"/>
                <w:lang w:eastAsia="zh-CN" w:bidi="ar"/>
              </w:rPr>
            </w:pPr>
            <w:r>
              <w:rPr>
                <w:rFonts w:ascii="宋体" w:hAnsi="宋体" w:cs="宋体" w:hint="eastAsia"/>
                <w:color w:val="000000"/>
                <w:sz w:val="21"/>
                <w:szCs w:val="21"/>
                <w:lang w:eastAsia="zh-CN" w:bidi="ar"/>
              </w:rPr>
              <w:t>经皮黄疸测试仪</w:t>
            </w: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w:t>
            </w:r>
            <w:r>
              <w:rPr>
                <w:rFonts w:ascii="宋体" w:hAnsi="宋体" w:cs="宋体" w:hint="eastAsia"/>
                <w:sz w:val="21"/>
                <w:szCs w:val="21"/>
                <w:lang w:eastAsia="zh-CN" w:bidi="ar"/>
              </w:rPr>
              <w:t>▲</w:t>
            </w:r>
            <w:r>
              <w:rPr>
                <w:rFonts w:ascii="宋体" w:hAnsi="宋体" w:cs="宋体" w:hint="eastAsia"/>
                <w:sz w:val="21"/>
                <w:szCs w:val="21"/>
                <w:lang w:eastAsia="zh-CN" w:bidi="ar"/>
              </w:rPr>
              <w:t>光源：采用氙闪光灯</w:t>
            </w:r>
            <w:r>
              <w:rPr>
                <w:rFonts w:ascii="宋体" w:hAnsi="宋体" w:cs="宋体" w:hint="eastAsia"/>
                <w:b/>
                <w:bCs/>
                <w:color w:val="FF0000"/>
                <w:sz w:val="21"/>
                <w:szCs w:val="21"/>
                <w:lang w:eastAsia="zh-CN" w:bidi="ar"/>
              </w:rPr>
              <w:t>（需提供产品的技术文件或彩页截图或厂家参数确认函或第三方机构出具的具有CMA标识的检验报告扫描件）</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widowControl/>
              <w:suppressLineNumbers w:val="0"/>
              <w:jc w:val="center"/>
              <w:textAlignment w:val="center"/>
              <w:rPr>
                <w:rFonts w:ascii="宋体" w:hAnsi="宋体" w:cs="宋体" w:hint="eastAsia"/>
                <w:color w:val="000000"/>
                <w:sz w:val="21"/>
                <w:szCs w:val="21"/>
                <w:lang w:eastAsia="zh-CN" w:bidi="ar"/>
              </w:rPr>
            </w:pPr>
          </w:p>
        </w:tc>
        <w:tc>
          <w:tcPr>
            <w:tcW w:w="1554" w:type="dxa"/>
            <w:vMerge/>
            <w:noWrap w:val="0"/>
            <w:vAlign w:val="center"/>
          </w:tcPr>
          <w:p>
            <w:pPr>
              <w:keepNext w:val="0"/>
              <w:keepLines w:val="0"/>
              <w:widowControl/>
              <w:suppressLineNumbers w:val="0"/>
              <w:jc w:val="center"/>
              <w:textAlignment w:val="center"/>
              <w:rPr>
                <w:rFonts w:ascii="宋体" w:hAnsi="宋体" w:cs="宋体" w:hint="eastAsia"/>
                <w:color w:val="000000"/>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2、开机首次按压功能键后，可连续测试</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3、具有紫外截止滤光片有效过滤掉紫外线</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4、检测方式：光反射式，且具备蓝色光波(≥450nm)、绿色光波(≥550nm)</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5、显示方法：LCD显示屏</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6、具备可3位数字显示，直接读取测试结果</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7、液晶显示屏带背光</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8、具备两种单位显示mg/dl、μmol/l，可根据需要切换单位，无需对照换算表格</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9、自动计算1-5次平均值，测量值和平均值同时显示</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10、可删除粗大误差数据；</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11、电池采用镍氢电池，充电后至少使用800次</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12、仪器5分钟无操作可自动关机。</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13、示值误差：00～15±1mg/dL、16～25±1.5mg/dL</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14、精密度：RSD＜2%</w:t>
            </w:r>
          </w:p>
        </w:tc>
      </w:tr>
      <w:tr>
        <w:tblPrEx>
          <w:tblW w:w="5000" w:type="pct"/>
          <w:tblInd w:w="0" w:type="dxa"/>
          <w:tblLayout w:type="fixed"/>
          <w:tblCellMar>
            <w:top w:w="0" w:type="dxa"/>
            <w:left w:w="108" w:type="dxa"/>
            <w:bottom w:w="0" w:type="dxa"/>
            <w:right w:w="108" w:type="dxa"/>
          </w:tblCellMar>
        </w:tblPrEx>
        <w:trPr>
          <w:trHeight w:val="52"/>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15校验盘：包括对白色屏显示00.0mg/dl或00.1mg/dl，对黄色屏显示20.0±0.5mg/dl</w:t>
            </w:r>
          </w:p>
        </w:tc>
      </w:tr>
      <w:tr>
        <w:tblPrEx>
          <w:tblW w:w="5000" w:type="pct"/>
          <w:tblInd w:w="0" w:type="dxa"/>
          <w:tblLayout w:type="fixed"/>
          <w:tblCellMar>
            <w:top w:w="0" w:type="dxa"/>
            <w:left w:w="108" w:type="dxa"/>
            <w:bottom w:w="0" w:type="dxa"/>
            <w:right w:w="108" w:type="dxa"/>
          </w:tblCellMar>
        </w:tblPrEx>
        <w:trPr>
          <w:trHeight w:val="114"/>
        </w:trPr>
        <w:tc>
          <w:tcPr>
            <w:tcW w:w="654" w:type="dxa"/>
            <w:vMerge w:val="restart"/>
            <w:noWrap w:val="0"/>
            <w:vAlign w:val="center"/>
          </w:tcPr>
          <w:p>
            <w:pPr>
              <w:keepNext w:val="0"/>
              <w:keepLines w:val="0"/>
              <w:widowControl/>
              <w:suppressLineNumbers w:val="0"/>
              <w:jc w:val="center"/>
              <w:textAlignment w:val="center"/>
              <w:rPr>
                <w:rFonts w:ascii="宋体" w:hAnsi="宋体" w:cs="宋体" w:hint="eastAsia"/>
                <w:b/>
                <w:bCs/>
                <w:kern w:val="2"/>
                <w:sz w:val="21"/>
                <w:szCs w:val="21"/>
                <w:lang w:eastAsia="zh-CN" w:bidi="ar"/>
              </w:rPr>
            </w:pPr>
            <w:r>
              <w:rPr>
                <w:rFonts w:ascii="宋体" w:hAnsi="宋体" w:cs="宋体" w:hint="eastAsia"/>
                <w:color w:val="000000"/>
                <w:sz w:val="21"/>
                <w:szCs w:val="21"/>
                <w:lang w:eastAsia="zh-CN" w:bidi="ar"/>
              </w:rPr>
              <w:t>10</w:t>
            </w:r>
          </w:p>
        </w:tc>
        <w:tc>
          <w:tcPr>
            <w:tcW w:w="1554" w:type="dxa"/>
            <w:vMerge w:val="restart"/>
            <w:noWrap w:val="0"/>
            <w:vAlign w:val="center"/>
          </w:tcPr>
          <w:p>
            <w:pPr>
              <w:keepNext w:val="0"/>
              <w:keepLines w:val="0"/>
              <w:widowControl/>
              <w:suppressLineNumbers w:val="0"/>
              <w:jc w:val="center"/>
              <w:textAlignment w:val="center"/>
              <w:rPr>
                <w:rFonts w:ascii="宋体" w:hAnsi="宋体" w:cs="宋体" w:hint="eastAsia"/>
                <w:b/>
                <w:bCs/>
                <w:color w:val="000000"/>
                <w:sz w:val="21"/>
                <w:szCs w:val="21"/>
                <w:lang w:eastAsia="zh-CN" w:bidi="ar"/>
              </w:rPr>
            </w:pPr>
            <w:r>
              <w:rPr>
                <w:rFonts w:ascii="宋体" w:hAnsi="宋体" w:cs="宋体" w:hint="eastAsia"/>
                <w:color w:val="000000"/>
                <w:sz w:val="21"/>
                <w:szCs w:val="21"/>
                <w:lang w:eastAsia="zh-CN" w:bidi="ar"/>
              </w:rPr>
              <w:t>一体读卡器(身份证-医保卡-健康卡)</w:t>
            </w: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1、电压：具备</w:t>
            </w:r>
            <w:r>
              <w:rPr>
                <w:rFonts w:ascii="宋体" w:hAnsi="宋体" w:cs="宋体" w:hint="eastAsia"/>
                <w:sz w:val="21"/>
                <w:szCs w:val="21"/>
                <w:lang w:eastAsia="zh-CN" w:bidi="ar"/>
              </w:rPr>
              <w:tab/>
            </w:r>
            <w:r>
              <w:rPr>
                <w:rFonts w:ascii="宋体" w:hAnsi="宋体" w:cs="宋体" w:hint="eastAsia"/>
                <w:sz w:val="21"/>
                <w:szCs w:val="21"/>
                <w:lang w:eastAsia="zh-CN" w:bidi="ar"/>
              </w:rPr>
              <w:t>DC 5V±5%或适配器供电，具有过压保护</w:t>
            </w:r>
          </w:p>
        </w:tc>
      </w:tr>
      <w:tr>
        <w:tblPrEx>
          <w:tblW w:w="5000" w:type="pct"/>
          <w:tblInd w:w="0" w:type="dxa"/>
          <w:tblLayout w:type="fixed"/>
          <w:tblCellMar>
            <w:top w:w="0" w:type="dxa"/>
            <w:left w:w="108" w:type="dxa"/>
            <w:bottom w:w="0" w:type="dxa"/>
            <w:right w:w="108" w:type="dxa"/>
          </w:tblCellMar>
        </w:tblPrEx>
        <w:trPr>
          <w:trHeight w:val="114"/>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2、取电方式：</w:t>
            </w:r>
            <w:r>
              <w:rPr>
                <w:rFonts w:ascii="宋体" w:hAnsi="宋体" w:cs="宋体" w:hint="eastAsia"/>
                <w:sz w:val="21"/>
                <w:szCs w:val="21"/>
                <w:lang w:eastAsia="zh-CN" w:bidi="ar"/>
              </w:rPr>
              <w:tab/>
            </w:r>
            <w:r>
              <w:rPr>
                <w:rFonts w:ascii="宋体" w:hAnsi="宋体" w:cs="宋体" w:hint="eastAsia"/>
                <w:sz w:val="21"/>
                <w:szCs w:val="21"/>
                <w:lang w:eastAsia="zh-CN" w:bidi="ar"/>
              </w:rPr>
              <w:t>USB取电或适配器供电</w:t>
            </w:r>
          </w:p>
        </w:tc>
      </w:tr>
      <w:tr>
        <w:tblPrEx>
          <w:tblW w:w="5000" w:type="pct"/>
          <w:tblInd w:w="0" w:type="dxa"/>
          <w:tblLayout w:type="fixed"/>
          <w:tblCellMar>
            <w:top w:w="0" w:type="dxa"/>
            <w:left w:w="108" w:type="dxa"/>
            <w:bottom w:w="0" w:type="dxa"/>
            <w:right w:w="108" w:type="dxa"/>
          </w:tblCellMar>
        </w:tblPrEx>
        <w:trPr>
          <w:trHeight w:val="114"/>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3、电流：不大于300mA</w:t>
            </w:r>
          </w:p>
        </w:tc>
      </w:tr>
      <w:tr>
        <w:tblPrEx>
          <w:tblW w:w="5000" w:type="pct"/>
          <w:tblInd w:w="0" w:type="dxa"/>
          <w:tblLayout w:type="fixed"/>
          <w:tblCellMar>
            <w:top w:w="0" w:type="dxa"/>
            <w:left w:w="108" w:type="dxa"/>
            <w:bottom w:w="0" w:type="dxa"/>
            <w:right w:w="108" w:type="dxa"/>
          </w:tblCellMar>
        </w:tblPrEx>
        <w:trPr>
          <w:trHeight w:val="114"/>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4、连接线：不小于1.5米的标准通讯线材</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5、存储支持：提供≥4MBIT的可读写空间用于用户存储数据</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rPr>
            </w:pPr>
          </w:p>
        </w:tc>
        <w:tc>
          <w:tcPr>
            <w:tcW w:w="6314" w:type="dxa"/>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通讯接口：</w:t>
            </w:r>
            <w:r>
              <w:rPr>
                <w:rFonts w:ascii="宋体" w:hAnsi="宋体" w:cs="宋体" w:hint="eastAsia"/>
                <w:sz w:val="21"/>
                <w:szCs w:val="21"/>
                <w:lang w:eastAsia="zh-CN" w:bidi="ar"/>
              </w:rPr>
              <w:tab/>
            </w:r>
            <w:r>
              <w:rPr>
                <w:rFonts w:ascii="宋体" w:hAnsi="宋体" w:cs="宋体" w:hint="eastAsia"/>
                <w:sz w:val="21"/>
                <w:szCs w:val="21"/>
                <w:lang w:eastAsia="zh-CN" w:bidi="ar"/>
              </w:rPr>
              <w:t>默认标准USB，可选RS232串口通讯</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通讯速率：</w:t>
            </w:r>
            <w:r>
              <w:rPr>
                <w:rFonts w:ascii="宋体" w:hAnsi="宋体" w:cs="宋体" w:hint="eastAsia"/>
                <w:sz w:val="21"/>
                <w:szCs w:val="21"/>
                <w:lang w:eastAsia="zh-CN" w:bidi="ar"/>
              </w:rPr>
              <w:tab/>
            </w:r>
            <w:r>
              <w:rPr>
                <w:rFonts w:ascii="宋体" w:hAnsi="宋体" w:cs="宋体" w:hint="eastAsia"/>
                <w:sz w:val="21"/>
                <w:szCs w:val="21"/>
                <w:lang w:eastAsia="zh-CN" w:bidi="ar"/>
              </w:rPr>
              <w:t>全速不小于12Mbps；</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8、RS232：默认115200bps，可选9600bps～115200bps</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9、支持卡片类型：</w:t>
            </w:r>
            <w:r>
              <w:rPr>
                <w:rFonts w:ascii="宋体" w:hAnsi="宋体" w:cs="宋体" w:hint="eastAsia"/>
                <w:sz w:val="21"/>
                <w:szCs w:val="21"/>
                <w:lang w:eastAsia="zh-CN" w:bidi="ar"/>
              </w:rPr>
              <w:tab/>
            </w:r>
            <w:r>
              <w:rPr>
                <w:rFonts w:ascii="宋体" w:hAnsi="宋体" w:cs="宋体" w:hint="eastAsia"/>
                <w:sz w:val="21"/>
                <w:szCs w:val="21"/>
                <w:lang w:eastAsia="zh-CN" w:bidi="ar"/>
              </w:rPr>
              <w:t>符合ISO14443A&amp;B CPU卡，S50、S70卡，可读取医保卡；</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10、支持阅读中华人民共和国第二代居民身份证读取；</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11、支持港澳台居民居住证读取；</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12、支持外国人永久居留证读取</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13、工作频率：13.56MHz±7kHz</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14、卡座触点：所有触点都带有短路保护，还有过流保护，</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15、卡读写速率：≥106 Kbps</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16、卡读写距离</w:t>
            </w:r>
            <w:r>
              <w:rPr>
                <w:rFonts w:ascii="宋体" w:hAnsi="宋体" w:cs="宋体" w:hint="eastAsia"/>
                <w:sz w:val="21"/>
                <w:szCs w:val="21"/>
                <w:lang w:eastAsia="zh-CN" w:bidi="ar"/>
              </w:rPr>
              <w:tab/>
            </w:r>
            <w:r>
              <w:rPr>
                <w:rFonts w:ascii="宋体" w:hAnsi="宋体" w:cs="宋体" w:hint="eastAsia"/>
                <w:sz w:val="21"/>
                <w:szCs w:val="21"/>
                <w:lang w:eastAsia="zh-CN" w:bidi="ar"/>
              </w:rPr>
              <w:t>0～30mm，</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17、支持卡片类型：支持医保卡读取</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18、卡读写速率：</w:t>
            </w:r>
            <w:r>
              <w:rPr>
                <w:rFonts w:ascii="宋体" w:hAnsi="宋体" w:cs="宋体" w:hint="eastAsia"/>
                <w:sz w:val="21"/>
                <w:szCs w:val="21"/>
                <w:lang w:eastAsia="zh-CN" w:bidi="ar"/>
              </w:rPr>
              <w:tab/>
            </w:r>
            <w:r>
              <w:rPr>
                <w:rFonts w:ascii="宋体" w:hAnsi="宋体" w:cs="宋体" w:hint="eastAsia"/>
                <w:sz w:val="21"/>
                <w:szCs w:val="21"/>
                <w:lang w:eastAsia="zh-CN" w:bidi="ar"/>
              </w:rPr>
              <w:t>9600～57600bps</w:t>
            </w:r>
          </w:p>
        </w:tc>
      </w:tr>
      <w:tr>
        <w:tblPrEx>
          <w:tblW w:w="5000" w:type="pct"/>
          <w:tblInd w:w="0" w:type="dxa"/>
          <w:tblLayout w:type="fixed"/>
          <w:tblCellMar>
            <w:top w:w="0" w:type="dxa"/>
            <w:left w:w="108" w:type="dxa"/>
            <w:bottom w:w="0" w:type="dxa"/>
            <w:right w:w="108" w:type="dxa"/>
          </w:tblCellMar>
        </w:tblPrEx>
        <w:trPr>
          <w:trHeight w:val="30"/>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19、卡座寿命：不小于30万次</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20、磁条卡：支持磁条卡一二三轨的功能SAM卡座</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21、支持卡类型：</w:t>
            </w:r>
            <w:r>
              <w:rPr>
                <w:rFonts w:ascii="宋体" w:hAnsi="宋体" w:cs="宋体" w:hint="eastAsia"/>
                <w:sz w:val="21"/>
                <w:szCs w:val="21"/>
                <w:lang w:eastAsia="zh-CN" w:bidi="ar"/>
              </w:rPr>
              <w:tab/>
            </w:r>
            <w:r>
              <w:rPr>
                <w:rFonts w:ascii="宋体" w:hAnsi="宋体" w:cs="宋体" w:hint="eastAsia"/>
                <w:sz w:val="21"/>
                <w:szCs w:val="21"/>
                <w:lang w:eastAsia="zh-CN" w:bidi="ar"/>
              </w:rPr>
              <w:t>PSAM卡</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22、扫描类型：支持二维码扫描，支持微信、支付宝等主流二维码编码规则更新</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23、产品序列号：支持读取产品的终端唯一识别码</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24、硬件版本号：支持读取硬件版本号</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leftChars="0" w:firstLineChars="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25、支持系统：支持各种版本windows操作系统如Windows2000/NT/XP/Vista/Windows7/WIN10/Linux/Anriod/统信/麒麟等；</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26、适应C/S架构和B/S架构的不同业务系统软件平台</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27、外部接口：能外接密码键盘，可转接串行打印机</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28、具备内部实时时钟</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29、按键：至少15个按键，其中0～9共10个数字键、取消键、确认键，预留两个以上功能按键</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30、显示屏：具备LCD液晶显示屏，至少可显示两行，每行至少显示7个汉字</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31、语音：至少支持4条语音提示，“请输入密码”，“请输入旧密码”，“请输入新密码”，“请再输入一次新密码”</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32、参数设置：可设置密码键盘超时时间等参数</w:t>
            </w:r>
          </w:p>
        </w:tc>
      </w:tr>
      <w:tr>
        <w:tblPrEx>
          <w:tblW w:w="5000" w:type="pct"/>
          <w:tblInd w:w="0" w:type="dxa"/>
          <w:tblLayout w:type="fixed"/>
          <w:tblCellMar>
            <w:top w:w="0" w:type="dxa"/>
            <w:left w:w="108" w:type="dxa"/>
            <w:bottom w:w="0" w:type="dxa"/>
            <w:right w:w="108" w:type="dxa"/>
          </w:tblCellMar>
        </w:tblPrEx>
        <w:trPr>
          <w:trHeight w:val="97"/>
        </w:trPr>
        <w:tc>
          <w:tcPr>
            <w:tcW w:w="6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1554" w:type="dxa"/>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hint="eastAsia"/>
                <w:sz w:val="21"/>
                <w:szCs w:val="21"/>
                <w:lang w:eastAsia="zh-CN" w:bidi="ar"/>
              </w:rPr>
            </w:pPr>
          </w:p>
        </w:tc>
        <w:tc>
          <w:tcPr>
            <w:tcW w:w="631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0"/>
              <w:jc w:val="left"/>
              <w:textAlignment w:val="auto"/>
              <w:rPr>
                <w:rFonts w:ascii="宋体" w:hAnsi="宋体" w:cs="宋体" w:hint="eastAsia"/>
                <w:sz w:val="21"/>
                <w:szCs w:val="21"/>
                <w:lang w:eastAsia="zh-CN" w:bidi="ar"/>
              </w:rPr>
            </w:pPr>
            <w:r>
              <w:rPr>
                <w:rFonts w:ascii="宋体" w:hAnsi="宋体" w:cs="宋体" w:hint="eastAsia"/>
                <w:sz w:val="21"/>
                <w:szCs w:val="21"/>
                <w:lang w:eastAsia="zh-CN" w:bidi="ar"/>
              </w:rPr>
              <w:t>33、提供通用接口函数库，可支持多种操作系统和语言开发平台、支持在线升级</w:t>
            </w:r>
          </w:p>
        </w:tc>
      </w:tr>
    </w:tbl>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五、商务要求</w:t>
      </w:r>
    </w:p>
    <w:p>
      <w:pPr>
        <w:widowControl w:val="0"/>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说明：带★号条款为不可偏离条款，不作为评分准则中的评分内容，如未响应或出现负偏离的，将作投标无效处理；带“▲”指标项为重要参数，负偏离时依相关评分准则内容作重点扣分处理。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9"/>
        <w:gridCol w:w="1453"/>
        <w:gridCol w:w="656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商务需求项</w:t>
            </w: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招标商务要求</w:t>
            </w:r>
          </w:p>
        </w:tc>
      </w:tr>
      <w:tr>
        <w:tblPrEx>
          <w:tblW w:w="5000" w:type="pct"/>
          <w:jc w:val="center"/>
          <w:tblLayout w:type="fixed"/>
          <w:tblCellMar>
            <w:top w:w="0" w:type="dxa"/>
            <w:left w:w="108" w:type="dxa"/>
            <w:bottom w:w="0" w:type="dxa"/>
            <w:right w:w="108" w:type="dxa"/>
          </w:tblCellMar>
        </w:tblPrEx>
        <w:trPr>
          <w:trHeight w:val="431"/>
          <w:jc w:val="center"/>
        </w:trPr>
        <w:tc>
          <w:tcPr>
            <w:tcW w:w="888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282"/>
          <w:jc w:val="center"/>
        </w:trPr>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1</w:t>
            </w:r>
          </w:p>
        </w:tc>
        <w:tc>
          <w:tcPr>
            <w:tcW w:w="1457"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维修及维护服务</w:t>
            </w:r>
          </w:p>
        </w:tc>
        <w:tc>
          <w:tcPr>
            <w:tcW w:w="658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color w:val="FF0000"/>
                <w:kern w:val="2"/>
                <w:sz w:val="21"/>
                <w:szCs w:val="21"/>
                <w:lang w:eastAsia="zh-CN"/>
              </w:rPr>
              <w:t>★1.1 整机免费维保</w:t>
            </w:r>
            <w:r>
              <w:rPr>
                <w:rFonts w:ascii="宋体" w:eastAsia="宋体" w:hAnsi="宋体" w:cs="宋体" w:hint="eastAsia"/>
                <w:b/>
                <w:color w:val="FF0000"/>
                <w:kern w:val="2"/>
                <w:sz w:val="21"/>
                <w:szCs w:val="21"/>
                <w:lang w:eastAsia="zh-CN"/>
              </w:rPr>
              <w:t>2</w:t>
            </w:r>
            <w:r>
              <w:rPr>
                <w:rFonts w:ascii="宋体" w:eastAsia="宋体" w:hAnsi="宋体" w:cs="宋体" w:hint="eastAsia"/>
                <w:b/>
                <w:color w:val="FF0000"/>
                <w:kern w:val="2"/>
                <w:sz w:val="21"/>
                <w:szCs w:val="21"/>
                <w:lang w:eastAsia="zh-CN"/>
              </w:rPr>
              <w:t>年。</w:t>
            </w:r>
          </w:p>
        </w:tc>
      </w:tr>
      <w:tr>
        <w:tblPrEx>
          <w:tblW w:w="5000" w:type="pct"/>
          <w:jc w:val="center"/>
          <w:tblLayout w:type="fixed"/>
          <w:tblCellMar>
            <w:top w:w="0" w:type="dxa"/>
            <w:left w:w="108" w:type="dxa"/>
            <w:bottom w:w="0" w:type="dxa"/>
            <w:right w:w="108" w:type="dxa"/>
          </w:tblCellMar>
        </w:tblPrEx>
        <w:trPr>
          <w:trHeight w:val="320"/>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658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1.2 各供应商应在响应文件中列明各主机、配件和易耗品的免费保修期限，终身维修。免费保修期内，年度定期预防性维护保养次数应不少于4 次并出具报告。 保修期内免费更换零配件、免工时费。 </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kern w:val="2"/>
                <w:sz w:val="21"/>
                <w:szCs w:val="21"/>
                <w:lang w:eastAsia="zh-CN"/>
              </w:rPr>
            </w:pP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1.3由设备制造商提供售后服务，2小时内响应， 24小时维修到位（不可抗力情况除外）。消耗品和 零配件供应及时，特殊情况下可提供备用机。 </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kern w:val="2"/>
                <w:sz w:val="21"/>
                <w:szCs w:val="21"/>
                <w:lang w:eastAsia="zh-CN"/>
              </w:rPr>
            </w:pP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1.4供应商负责货物的终身维修，保证10年以上供应维修配件， 终身免费提供软件升级服务。 </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kern w:val="2"/>
                <w:sz w:val="21"/>
                <w:szCs w:val="21"/>
                <w:lang w:eastAsia="zh-CN"/>
              </w:rPr>
            </w:pPr>
          </w:p>
        </w:tc>
        <w:tc>
          <w:tcPr>
            <w:tcW w:w="658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★1.5所提供的硬件设备需要具备常规标准数据传输接口，产生的数据需要与院内系统（包括但不限于HIS、LIS、PACS、护理系统、CDR平台等）进行对接的，产生的软件接口开发、调试等费用由中标方承担</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658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★1.6投标人应按其投标文件中的承诺，进行维修、维护及售后服务。</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质量保证</w:t>
            </w: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2.1 在免费保修期内，供应商应确保年完好率在 95%（含）以上，若不能达到此完好率，将作以下处理：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a. 若年完好率在 90（含）-95%（不含）之间，则延长一年免费保修期；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b. 若年完好率在 85（含）-90%（不含）之间，则延长二年免费保修期；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c. 若年完好率低于 85%（不含），供应商需无条件更换新机，并重新计算免费保修期，以及赔偿用户的直接经济损失和间接经济损失。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注：1、年完好率=（365-停机天数）/365）；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2、以上 a、b 两项可累计延长。</w:t>
            </w:r>
          </w:p>
        </w:tc>
      </w:tr>
      <w:tr>
        <w:tblPrEx>
          <w:tblW w:w="5000" w:type="pct"/>
          <w:jc w:val="center"/>
          <w:tblLayout w:type="fixed"/>
          <w:tblCellMar>
            <w:top w:w="0" w:type="dxa"/>
            <w:left w:w="108" w:type="dxa"/>
            <w:bottom w:w="0" w:type="dxa"/>
            <w:right w:w="108" w:type="dxa"/>
          </w:tblCellMar>
        </w:tblPrEx>
        <w:trPr>
          <w:trHeight w:val="454"/>
          <w:jc w:val="center"/>
        </w:trPr>
        <w:tc>
          <w:tcPr>
            <w:tcW w:w="88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（二）免费保修期外售后服务要求</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1</w:t>
            </w:r>
          </w:p>
        </w:tc>
        <w:tc>
          <w:tcPr>
            <w:tcW w:w="14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000000"/>
                <w:kern w:val="2"/>
                <w:sz w:val="21"/>
                <w:szCs w:val="21"/>
                <w:lang w:eastAsia="zh-CN"/>
              </w:rPr>
            </w:pPr>
            <w:r>
              <w:rPr>
                <w:rFonts w:ascii="宋体" w:eastAsia="宋体" w:hAnsi="宋体" w:cs="宋体" w:hint="eastAsia"/>
                <w:b/>
                <w:bCs/>
                <w:color w:val="000000"/>
                <w:kern w:val="2"/>
                <w:sz w:val="21"/>
                <w:szCs w:val="21"/>
                <w:lang w:eastAsia="zh-CN"/>
              </w:rPr>
              <w:t>维修零配件、消耗品和延续保修合同的报价</w:t>
            </w: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color w:val="000000"/>
                <w:kern w:val="2"/>
                <w:sz w:val="21"/>
                <w:szCs w:val="21"/>
                <w:lang w:eastAsia="zh-CN"/>
              </w:rPr>
            </w:pPr>
            <w:r>
              <w:rPr>
                <w:rFonts w:ascii="宋体" w:eastAsia="宋体" w:hAnsi="宋体" w:cs="宋体" w:hint="eastAsia"/>
                <w:color w:val="000000"/>
                <w:kern w:val="2"/>
                <w:sz w:val="21"/>
                <w:szCs w:val="21"/>
                <w:lang w:eastAsia="zh-CN"/>
              </w:rPr>
              <w:t>1.1由设备制造商提供售后服务，</w:t>
            </w:r>
            <w:r>
              <w:rPr>
                <w:rFonts w:ascii="宋体" w:eastAsia="宋体" w:hAnsi="宋体" w:cs="宋体" w:hint="eastAsia"/>
                <w:color w:val="000000"/>
                <w:kern w:val="2"/>
                <w:sz w:val="21"/>
                <w:szCs w:val="21"/>
                <w:u w:val="single"/>
                <w:lang w:eastAsia="zh-CN"/>
              </w:rPr>
              <w:t xml:space="preserve"> 2 </w:t>
            </w:r>
            <w:r>
              <w:rPr>
                <w:rFonts w:ascii="宋体" w:eastAsia="宋体" w:hAnsi="宋体" w:cs="宋体" w:hint="eastAsia"/>
                <w:color w:val="000000"/>
                <w:kern w:val="2"/>
                <w:sz w:val="21"/>
                <w:szCs w:val="21"/>
                <w:lang w:eastAsia="zh-CN"/>
              </w:rPr>
              <w:t>小时内响应，</w:t>
            </w:r>
            <w:r>
              <w:rPr>
                <w:rFonts w:ascii="宋体" w:eastAsia="宋体" w:hAnsi="宋体" w:cs="宋体" w:hint="eastAsia"/>
                <w:color w:val="000000"/>
                <w:kern w:val="2"/>
                <w:sz w:val="21"/>
                <w:szCs w:val="21"/>
                <w:u w:val="single"/>
                <w:lang w:eastAsia="zh-CN"/>
              </w:rPr>
              <w:t> 24 </w:t>
            </w:r>
            <w:r>
              <w:rPr>
                <w:rFonts w:ascii="宋体" w:eastAsia="宋体" w:hAnsi="宋体" w:cs="宋体" w:hint="eastAsia"/>
                <w:color w:val="000000"/>
                <w:kern w:val="2"/>
                <w:sz w:val="21"/>
                <w:szCs w:val="21"/>
                <w:lang w:eastAsia="zh-CN"/>
              </w:rPr>
              <w:t>小时维修到位（不可抗力情况除外）。消耗品和零配件供应及时，特殊情况下可提供备用机。</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bCs/>
                <w:color w:val="000000"/>
                <w:kern w:val="2"/>
                <w:sz w:val="21"/>
                <w:szCs w:val="21"/>
                <w:lang w:eastAsia="zh-CN"/>
              </w:rPr>
            </w:pP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 xml:space="preserve">1.2保修期满后，维修只收取零配件费用。供应商应以优惠价供应维修零配件、消耗品和延续保修合同。零配件、消耗品和延续保修合同的报价明细必需填写于《零配件、消耗品和延续保修合同报价明细清单》中。 </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bCs/>
                <w:color w:val="000000"/>
                <w:kern w:val="2"/>
                <w:sz w:val="21"/>
                <w:szCs w:val="21"/>
                <w:lang w:eastAsia="zh-CN"/>
              </w:rPr>
            </w:pP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1.3采购人可与供应商就优惠价进行谈判，但优惠价不得高于供应商在响应文件的《零配件、消耗品和延续保修合同报价明细清单》中承诺的维修零配件、消耗品和延续保修合同的报价。</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bCs/>
                <w:color w:val="000000"/>
                <w:kern w:val="2"/>
                <w:sz w:val="21"/>
                <w:szCs w:val="21"/>
                <w:lang w:eastAsia="zh-CN"/>
              </w:rPr>
            </w:pP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 xml:space="preserve">1.4设备制造商维修的货物经采购人验收合格，且设备制造商提供维修专用发票后，采购人支付维修费用。 </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bCs/>
                <w:color w:val="000000"/>
                <w:kern w:val="2"/>
                <w:sz w:val="21"/>
                <w:szCs w:val="21"/>
                <w:lang w:eastAsia="zh-CN"/>
              </w:rPr>
            </w:pP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1.5供应商及设备制造商不得以任何理由不按时进行维修，不得要求采购人购买所谓“保修服务”（即：不论设备有无故障先买保修服务），不得在设备中嵌设任何不利于采购人使用与维修设备的障碍。</w:t>
            </w:r>
          </w:p>
        </w:tc>
      </w:tr>
      <w:tr>
        <w:tblPrEx>
          <w:tblW w:w="5000" w:type="pct"/>
          <w:jc w:val="center"/>
          <w:tblLayout w:type="fixed"/>
          <w:tblCellMar>
            <w:top w:w="0" w:type="dxa"/>
            <w:left w:w="108" w:type="dxa"/>
            <w:bottom w:w="0" w:type="dxa"/>
            <w:right w:w="108" w:type="dxa"/>
          </w:tblCellMar>
        </w:tblPrEx>
        <w:trPr>
          <w:trHeight w:val="454"/>
          <w:jc w:val="center"/>
        </w:trPr>
        <w:tc>
          <w:tcPr>
            <w:tcW w:w="88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kern w:val="2"/>
                <w:sz w:val="21"/>
                <w:szCs w:val="21"/>
                <w:lang w:eastAsia="zh-CN"/>
              </w:rPr>
            </w:pPr>
            <w:r>
              <w:rPr>
                <w:rFonts w:ascii="宋体" w:eastAsia="宋体" w:hAnsi="宋体" w:cs="宋体" w:hint="eastAsia"/>
                <w:b/>
                <w:color w:val="FF0000"/>
                <w:sz w:val="21"/>
                <w:szCs w:val="21"/>
                <w:lang w:eastAsia="zh-CN" w:bidi="ar"/>
              </w:rPr>
              <w:t>（三）★其他商务要求</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bookmarkStart w:id="16" w:name="_Hlk72260973"/>
            <w:r>
              <w:rPr>
                <w:rFonts w:ascii="宋体" w:eastAsia="宋体" w:hAnsi="宋体" w:cs="宋体" w:hint="eastAsia"/>
                <w:b/>
                <w:color w:val="FF0000"/>
                <w:kern w:val="2"/>
                <w:sz w:val="21"/>
                <w:szCs w:val="21"/>
                <w:lang w:eastAsia="zh-CN"/>
              </w:rPr>
              <w:t>1</w:t>
            </w:r>
          </w:p>
        </w:tc>
        <w:tc>
          <w:tcPr>
            <w:tcW w:w="14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sz w:val="21"/>
                <w:szCs w:val="21"/>
                <w:lang w:eastAsia="zh-CN" w:bidi="ar"/>
              </w:rPr>
              <w:t>★</w:t>
            </w:r>
            <w:r>
              <w:rPr>
                <w:rFonts w:ascii="宋体" w:eastAsia="宋体" w:hAnsi="宋体" w:cs="宋体" w:hint="eastAsia"/>
                <w:b/>
                <w:color w:val="FF0000"/>
                <w:kern w:val="2"/>
                <w:sz w:val="21"/>
                <w:szCs w:val="21"/>
                <w:lang w:eastAsia="zh-CN"/>
              </w:rPr>
              <w:t>交货要求</w:t>
            </w: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1.1 交货期：</w:t>
            </w:r>
            <w:r>
              <w:rPr>
                <w:rFonts w:ascii="宋体" w:eastAsia="宋体" w:hAnsi="宋体" w:cs="宋体" w:hint="eastAsia"/>
                <w:b/>
                <w:bCs/>
                <w:kern w:val="2"/>
                <w:sz w:val="21"/>
                <w:szCs w:val="21"/>
                <w:lang w:eastAsia="zh-CN"/>
              </w:rPr>
              <w:t>6</w:t>
            </w:r>
            <w:r>
              <w:rPr>
                <w:rFonts w:ascii="宋体" w:eastAsia="宋体" w:hAnsi="宋体" w:cs="宋体" w:hint="eastAsia"/>
                <w:b/>
                <w:bCs/>
                <w:kern w:val="2"/>
                <w:sz w:val="21"/>
                <w:szCs w:val="21"/>
                <w:lang w:eastAsia="zh-CN"/>
              </w:rPr>
              <w:t xml:space="preserve">0 天（日历日）。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交货期说明：以合同签订之日为始，以验收报告中实际送货日期为止。 </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65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1.2供应商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658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 xml:space="preserve">1.3提供的货物必须为全新、经检验合格的产品。产品如需要计量检定的应提供相关计量检定部门出具的合法检定报告。 </w:t>
            </w:r>
          </w:p>
        </w:tc>
      </w:tr>
      <w:bookmarkEnd w:id="16"/>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2</w:t>
            </w:r>
          </w:p>
        </w:tc>
        <w:tc>
          <w:tcPr>
            <w:tcW w:w="14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sz w:val="21"/>
                <w:szCs w:val="21"/>
                <w:lang w:eastAsia="zh-CN" w:bidi="ar"/>
              </w:rPr>
              <w:t>★</w:t>
            </w:r>
            <w:r>
              <w:rPr>
                <w:rFonts w:ascii="宋体" w:eastAsia="宋体" w:hAnsi="宋体" w:cs="宋体" w:hint="eastAsia"/>
                <w:b/>
                <w:color w:val="FF0000"/>
                <w:kern w:val="2"/>
                <w:sz w:val="21"/>
                <w:szCs w:val="21"/>
                <w:lang w:eastAsia="zh-CN"/>
              </w:rPr>
              <w:t>运输、安装和验收</w:t>
            </w:r>
          </w:p>
        </w:tc>
        <w:tc>
          <w:tcPr>
            <w:tcW w:w="658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sz w:val="21"/>
                <w:szCs w:val="21"/>
                <w:lang w:eastAsia="zh-CN" w:bidi="ar"/>
              </w:rPr>
            </w:pPr>
            <w:r>
              <w:rPr>
                <w:rFonts w:ascii="宋体" w:eastAsia="宋体" w:hAnsi="宋体" w:cs="宋体" w:hint="eastAsia"/>
                <w:b/>
                <w:sz w:val="21"/>
                <w:szCs w:val="21"/>
                <w:lang w:eastAsia="zh-CN" w:bidi="ar"/>
              </w:rPr>
              <w:t>2.1 供应商负责将货物安全无损运抵采购人指定地点，并承担设备的包装、运输、保险、装卸、安装调试、培训、商检及计量检测、增值税等费用。</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p>
        </w:tc>
        <w:tc>
          <w:tcPr>
            <w:tcW w:w="658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sz w:val="21"/>
                <w:szCs w:val="21"/>
                <w:lang w:eastAsia="zh-CN" w:bidi="ar"/>
              </w:rPr>
            </w:pPr>
            <w:r>
              <w:rPr>
                <w:rFonts w:ascii="宋体" w:eastAsia="宋体" w:hAnsi="宋体" w:cs="宋体" w:hint="eastAsia"/>
                <w:b/>
                <w:sz w:val="21"/>
                <w:szCs w:val="21"/>
                <w:lang w:eastAsia="zh-CN" w:bidi="ar"/>
              </w:rPr>
              <w:t>2.2采购人有权检验或测试货物，以确认货物是否符合合同规格的要求，并且不承担额外的费用。如果发现所交货物与响应文件中所承诺的不符或存在质量、技术缺陷等,采购人可以拒绝接收该货物，供应商应在 30 天内采取补足、更换或退货等措施,以满足规格的要求，由此发生的一切损失和费用由供应商承担。</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p>
        </w:tc>
        <w:tc>
          <w:tcPr>
            <w:tcW w:w="658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sz w:val="21"/>
                <w:szCs w:val="21"/>
                <w:lang w:eastAsia="zh-CN" w:bidi="ar"/>
              </w:rPr>
            </w:pPr>
            <w:r>
              <w:rPr>
                <w:rFonts w:ascii="宋体" w:eastAsia="宋体" w:hAnsi="宋体" w:cs="宋体" w:hint="eastAsia"/>
                <w:b/>
                <w:sz w:val="21"/>
                <w:szCs w:val="21"/>
                <w:lang w:eastAsia="zh-CN" w:bidi="ar"/>
              </w:rPr>
              <w:t>2.3供应商负责货物的现场安装和调试，提供货物安装、调试和维修所需的专用工具和辅助材料。供应商应在货物运至指定地点后一周内开始安装调试，并在 15 天内安装调试完毕。</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p>
        </w:tc>
        <w:tc>
          <w:tcPr>
            <w:tcW w:w="658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sz w:val="21"/>
                <w:szCs w:val="21"/>
                <w:lang w:eastAsia="zh-CN" w:bidi="ar"/>
              </w:rPr>
            </w:pPr>
            <w:r>
              <w:rPr>
                <w:rFonts w:ascii="宋体" w:eastAsia="宋体" w:hAnsi="宋体" w:cs="宋体" w:hint="eastAsia"/>
                <w:b/>
                <w:sz w:val="21"/>
                <w:szCs w:val="21"/>
                <w:lang w:eastAsia="zh-CN" w:bidi="ar"/>
              </w:rPr>
              <w:t>2.4由供应商代表和采购人组成验收小组对产品进行验收。验收标准按照国家规定标准执行。经检验设备正常运作后签署验收报告,产品保修期自验收合格之日起算。</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p>
        </w:tc>
        <w:tc>
          <w:tcPr>
            <w:tcW w:w="658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sz w:val="21"/>
                <w:szCs w:val="21"/>
                <w:lang w:eastAsia="zh-CN" w:bidi="ar"/>
              </w:rPr>
            </w:pPr>
            <w:r>
              <w:rPr>
                <w:rFonts w:ascii="宋体" w:eastAsia="宋体" w:hAnsi="宋体" w:cs="宋体" w:hint="eastAsia"/>
                <w:b/>
                <w:sz w:val="21"/>
                <w:szCs w:val="21"/>
                <w:lang w:eastAsia="zh-CN" w:bidi="ar"/>
              </w:rPr>
              <w:t>2.5投标人所提供的产品，设备要求生产日期在365天（日历日）以内</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p>
        </w:tc>
        <w:tc>
          <w:tcPr>
            <w:tcW w:w="658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sz w:val="21"/>
                <w:szCs w:val="21"/>
                <w:lang w:eastAsia="zh-CN" w:bidi="ar"/>
              </w:rPr>
            </w:pPr>
            <w:r>
              <w:rPr>
                <w:rFonts w:ascii="宋体" w:eastAsia="宋体" w:hAnsi="宋体" w:cs="宋体" w:hint="eastAsia"/>
                <w:b/>
                <w:sz w:val="21"/>
                <w:szCs w:val="21"/>
                <w:lang w:eastAsia="zh-CN" w:bidi="ar"/>
              </w:rPr>
              <w:t>2.6验收期：设备到货后30个日历日内完成正式验收（以验收报告实际送货日期为始，终验签署人日期为止）。</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3</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sz w:val="21"/>
                <w:szCs w:val="21"/>
                <w:lang w:eastAsia="zh-CN" w:bidi="ar"/>
              </w:rPr>
              <w:t>★</w:t>
            </w:r>
            <w:r>
              <w:rPr>
                <w:rFonts w:ascii="宋体" w:eastAsia="宋体" w:hAnsi="宋体" w:cs="宋体" w:hint="eastAsia"/>
                <w:b/>
                <w:color w:val="FF0000"/>
                <w:kern w:val="2"/>
                <w:sz w:val="21"/>
                <w:szCs w:val="21"/>
                <w:lang w:eastAsia="zh-CN"/>
              </w:rPr>
              <w:t>培训</w:t>
            </w:r>
          </w:p>
        </w:tc>
        <w:tc>
          <w:tcPr>
            <w:tcW w:w="6583"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3.1</w:t>
            </w:r>
            <w:r>
              <w:rPr>
                <w:rFonts w:ascii="宋体" w:eastAsia="宋体" w:hAnsi="宋体" w:cs="宋体" w:hint="eastAsia"/>
                <w:b/>
                <w:sz w:val="21"/>
                <w:szCs w:val="21"/>
                <w:lang w:eastAsia="zh-CN" w:bidi="ar"/>
              </w:rPr>
              <w:t>中标人应派专业技术人员免费对采购单位指定人员进行定期培训及指导，直至其完全掌握设备使用。</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4</w:t>
            </w:r>
          </w:p>
        </w:tc>
        <w:tc>
          <w:tcPr>
            <w:tcW w:w="14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sz w:val="21"/>
                <w:szCs w:val="21"/>
                <w:lang w:eastAsia="zh-CN" w:bidi="ar"/>
              </w:rPr>
              <w:t>★</w:t>
            </w:r>
            <w:r>
              <w:rPr>
                <w:rFonts w:ascii="宋体" w:eastAsia="宋体" w:hAnsi="宋体" w:cs="宋体" w:hint="eastAsia"/>
                <w:b/>
                <w:color w:val="FF0000"/>
                <w:kern w:val="2"/>
                <w:sz w:val="21"/>
                <w:szCs w:val="21"/>
                <w:lang w:eastAsia="zh-CN"/>
              </w:rPr>
              <w:t>知识产权</w:t>
            </w:r>
          </w:p>
        </w:tc>
        <w:tc>
          <w:tcPr>
            <w:tcW w:w="658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4.1</w:t>
            </w:r>
            <w:r>
              <w:rPr>
                <w:rFonts w:ascii="宋体" w:eastAsia="宋体" w:hAnsi="宋体" w:cs="宋体" w:hint="eastAsia"/>
                <w:b/>
                <w:sz w:val="21"/>
                <w:szCs w:val="21"/>
                <w:lang w:eastAsia="zh-CN" w:bidi="ar"/>
              </w:rPr>
              <w:t xml:space="preserve">投标人应保证采购人在使用该货物或其任何一部分时，免受第三方提出的侵犯其专利权、商标权、著作权或其它知识产权的起诉。投标人保证所提供软件的合法性，所发生的任何知识产权纠纷与采购人无关。 </w:t>
            </w:r>
          </w:p>
        </w:tc>
      </w:tr>
      <w:tr>
        <w:tblPrEx>
          <w:tblW w:w="5000" w:type="pct"/>
          <w:jc w:val="center"/>
          <w:tblLayout w:type="fixed"/>
          <w:tblCellMar>
            <w:top w:w="0" w:type="dxa"/>
            <w:left w:w="108" w:type="dxa"/>
            <w:bottom w:w="0" w:type="dxa"/>
            <w:right w:w="108" w:type="dxa"/>
          </w:tblCellMar>
        </w:tblPrEx>
        <w:trPr>
          <w:trHeight w:val="493"/>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kern w:val="2"/>
                <w:sz w:val="21"/>
                <w:szCs w:val="21"/>
                <w:lang w:eastAsia="zh-CN"/>
              </w:rPr>
            </w:pPr>
          </w:p>
        </w:tc>
        <w:tc>
          <w:tcPr>
            <w:tcW w:w="6583"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4.2</w:t>
            </w:r>
            <w:r>
              <w:rPr>
                <w:rFonts w:ascii="宋体" w:eastAsia="宋体" w:hAnsi="宋体" w:cs="宋体" w:hint="eastAsia"/>
                <w:b/>
                <w:sz w:val="21"/>
                <w:szCs w:val="21"/>
                <w:lang w:eastAsia="zh-CN" w:bidi="ar"/>
              </w:rPr>
              <w:t xml:space="preserve">采购人购买产品后，有权对该产品与其他设备进行配套、整合或适当改进，而免受侵犯专利权的起诉。 </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5</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sz w:val="21"/>
                <w:szCs w:val="21"/>
                <w:lang w:eastAsia="zh-CN" w:bidi="ar"/>
              </w:rPr>
              <w:t>★</w:t>
            </w:r>
            <w:r>
              <w:rPr>
                <w:rFonts w:ascii="宋体" w:eastAsia="宋体" w:hAnsi="宋体" w:cs="宋体" w:hint="eastAsia"/>
                <w:b/>
                <w:color w:val="FF0000"/>
                <w:kern w:val="2"/>
                <w:sz w:val="21"/>
                <w:szCs w:val="21"/>
                <w:lang w:eastAsia="zh-CN"/>
              </w:rPr>
              <w:t>付款方式</w:t>
            </w:r>
          </w:p>
        </w:tc>
        <w:tc>
          <w:tcPr>
            <w:tcW w:w="6583"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 xml:space="preserve">5.1中标人在合同生效后10个工作日内将合同总价款5%的履约保证金以非现金的形式提交给采购人作为履约保证，在免费保修期满且采购人给出履约评价合格或满意后一个月内归还保函给中标人；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5.2货到安装调试验收合格后，成交供应商提交验收单、国家规定的全额正式发票，采购单位收到发票后</w:t>
            </w:r>
            <w:r>
              <w:rPr>
                <w:rFonts w:ascii="宋体" w:eastAsia="宋体" w:hAnsi="宋体" w:cs="宋体" w:hint="eastAsia"/>
                <w:b/>
                <w:kern w:val="2"/>
                <w:sz w:val="21"/>
                <w:szCs w:val="21"/>
                <w:lang w:eastAsia="zh-CN"/>
              </w:rPr>
              <w:t>10个工作</w:t>
            </w:r>
            <w:r>
              <w:rPr>
                <w:rFonts w:ascii="宋体" w:eastAsia="宋体" w:hAnsi="宋体" w:cs="宋体" w:hint="eastAsia"/>
                <w:b/>
                <w:kern w:val="2"/>
                <w:sz w:val="21"/>
                <w:szCs w:val="21"/>
                <w:lang w:eastAsia="zh-CN"/>
              </w:rPr>
              <w:t>日内支付成交金额的100%货款；</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6</w:t>
            </w:r>
          </w:p>
        </w:tc>
        <w:tc>
          <w:tcPr>
            <w:tcW w:w="14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sz w:val="21"/>
                <w:szCs w:val="21"/>
                <w:lang w:eastAsia="zh-CN" w:bidi="ar"/>
              </w:rPr>
              <w:t>★</w:t>
            </w:r>
            <w:r>
              <w:rPr>
                <w:rFonts w:ascii="宋体" w:eastAsia="宋体" w:hAnsi="宋体" w:cs="宋体" w:hint="eastAsia"/>
                <w:b/>
                <w:color w:val="FF0000"/>
                <w:kern w:val="2"/>
                <w:sz w:val="21"/>
                <w:szCs w:val="21"/>
                <w:lang w:eastAsia="zh-CN"/>
              </w:rPr>
              <w:t>违约责任</w:t>
            </w:r>
          </w:p>
        </w:tc>
        <w:tc>
          <w:tcPr>
            <w:tcW w:w="6583"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 xml:space="preserve">6.1如中标人未按照响应文件中承诺的时间交货或提供服务，中标人应承担延期交货和延期服务的违约责任，并赔偿采购人因此造成的实际经济损失。实际经济损失超出履约保证金额，采购人有权依法终止合同。 </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000000"/>
                <w:kern w:val="2"/>
                <w:sz w:val="21"/>
                <w:szCs w:val="21"/>
                <w:lang w:eastAsia="zh-CN"/>
              </w:rPr>
            </w:pPr>
          </w:p>
        </w:tc>
        <w:tc>
          <w:tcPr>
            <w:tcW w:w="658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6.2中标人所交设备的品种、型号、规格、质量、 功能、技术参数等方面不能实质性满足采购文件要约的，采购人有权拒绝收货，中标人向采购人偿付项目采购金额百分之十的违约金；造成严重后果的，根据《深圳经济特区政府采购条例》第五十七条第（二）款规定，由主管部门对中标人进行处罚。</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kern w:val="2"/>
                <w:sz w:val="21"/>
                <w:szCs w:val="21"/>
                <w:lang w:eastAsia="zh-CN"/>
              </w:rPr>
            </w:pPr>
          </w:p>
        </w:tc>
        <w:tc>
          <w:tcPr>
            <w:tcW w:w="1457" w:type="dxa"/>
            <w:vMerg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000000"/>
                <w:kern w:val="2"/>
                <w:sz w:val="21"/>
                <w:szCs w:val="21"/>
                <w:lang w:eastAsia="zh-CN"/>
              </w:rPr>
            </w:pPr>
          </w:p>
        </w:tc>
        <w:tc>
          <w:tcPr>
            <w:tcW w:w="658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6.3中标人不能交付设备的，中标人向采购人偿付项目采购金额百分之十的违约金；造成严重后果的，根据《深圳经济特区政府采购条例》第五十七条第（二）款规定，由主管部门对中标人进行处罚。</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7</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sz w:val="21"/>
                <w:szCs w:val="21"/>
                <w:lang w:eastAsia="zh-CN" w:bidi="ar"/>
              </w:rPr>
              <w:t>★</w:t>
            </w:r>
            <w:r>
              <w:rPr>
                <w:rFonts w:ascii="宋体" w:eastAsia="宋体" w:hAnsi="宋体" w:cs="宋体" w:hint="eastAsia"/>
                <w:b/>
                <w:color w:val="FF0000"/>
                <w:kern w:val="2"/>
                <w:sz w:val="21"/>
                <w:szCs w:val="21"/>
                <w:lang w:eastAsia="zh-CN"/>
              </w:rPr>
              <w:t>其他</w:t>
            </w:r>
          </w:p>
        </w:tc>
        <w:tc>
          <w:tcPr>
            <w:tcW w:w="658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 xml:space="preserve">7.1 </w:t>
            </w:r>
            <w:r>
              <w:rPr>
                <w:rFonts w:ascii="宋体" w:eastAsia="宋体" w:hAnsi="宋体" w:cs="宋体" w:hint="eastAsia"/>
                <w:b/>
                <w:sz w:val="21"/>
                <w:szCs w:val="21"/>
                <w:lang w:eastAsia="zh-CN" w:bidi="ar"/>
              </w:rPr>
              <w:t>中标人应按其投标文件中的承诺，进行其他售后服务工作。</w:t>
            </w:r>
          </w:p>
        </w:tc>
      </w:tr>
    </w:tbl>
    <w:p>
      <w:pPr>
        <w:widowControl w:val="0"/>
        <w:jc w:val="both"/>
        <w:rPr>
          <w:rFonts w:ascii="宋体" w:eastAsia="宋体" w:hAnsi="宋体" w:cs="宋体" w:hint="eastAsia"/>
          <w:b/>
          <w:kern w:val="2"/>
          <w:sz w:val="21"/>
          <w:szCs w:val="21"/>
          <w:lang w:eastAsia="zh-CN"/>
        </w:rPr>
      </w:pPr>
    </w:p>
    <w:p>
      <w:pPr>
        <w:widowControl w:val="0"/>
        <w:spacing w:line="360" w:lineRule="auto"/>
        <w:jc w:val="both"/>
        <w:rPr>
          <w:rFonts w:ascii="宋体" w:eastAsia="宋体" w:hAnsi="宋体" w:cs="宋体" w:hint="eastAsia"/>
          <w:b/>
          <w:bCs/>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六、其他重要条款</w:t>
      </w:r>
    </w:p>
    <w:p>
      <w:pPr>
        <w:widowControl w:val="0"/>
        <w:wordWrap w:val="0"/>
        <w:spacing w:line="276" w:lineRule="auto"/>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wordWrap w:val="0"/>
        <w:spacing w:line="276" w:lineRule="auto"/>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2.投标人应充分了解项目的位置、情况、道路及任何其它足以影响投标报价的情况，任何因忽视或误解项目情况而导致的索赔或服务期限延长申请将不获批准。</w:t>
      </w:r>
    </w:p>
    <w:p>
      <w:pPr>
        <w:widowControl w:val="0"/>
        <w:wordWrap w:val="0"/>
        <w:spacing w:line="276" w:lineRule="auto"/>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wordWrap w:val="0"/>
        <w:spacing w:line="276" w:lineRule="auto"/>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val="0"/>
        <w:wordWrap w:val="0"/>
        <w:spacing w:line="276" w:lineRule="auto"/>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5.除政府采购合同继续履行将损害国家利益和社会公共利益外，双方当事人不得擅自变更、中止或者终止合同。</w:t>
      </w:r>
    </w:p>
    <w:p>
      <w:pPr>
        <w:widowControl w:val="0"/>
        <w:wordWrap w:val="0"/>
        <w:spacing w:line="276" w:lineRule="auto"/>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keepNext/>
        <w:keepLines/>
        <w:widowControl w:val="0"/>
        <w:adjustRightInd w:val="0"/>
        <w:spacing w:line="320" w:lineRule="atLeast"/>
        <w:jc w:val="both"/>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both"/>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center"/>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7" w:name="_Hlk72257167"/>
    </w:p>
    <w:bookmarkEnd w:id="17"/>
    <w:p>
      <w:pPr>
        <w:widowControl/>
        <w:spacing w:line="320" w:lineRule="atLeast"/>
        <w:jc w:val="lef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（1）投标函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eastAsia="宋体" w:hint="eastAsia"/>
          <w:lang w:eastAsia="zh-CN"/>
        </w:rPr>
      </w:pPr>
      <w:r>
        <w:rPr>
          <w:rFonts w:hint="eastAsia"/>
        </w:rPr>
        <w:t>（2）</w:t>
      </w:r>
      <w:r>
        <w:rPr>
          <w:rFonts w:eastAsia="宋体" w:hint="eastAsia"/>
          <w:lang w:eastAsia="zh-CN"/>
        </w:rPr>
        <w:t>政府采购投标及履约承诺函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（11）技术保障措施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eastAsia="黑体" w:hAnsi="宋体" w:hint="eastAsia"/>
          <w:bCs/>
          <w:kern w:val="44"/>
          <w:lang w:eastAsia="zh-CN"/>
        </w:rPr>
      </w:pPr>
      <w:r>
        <w:rPr>
          <w:rFonts w:hint="eastAsia"/>
        </w:rPr>
        <w:t>（1</w:t>
      </w:r>
      <w:r>
        <w:rPr>
          <w:rFonts w:eastAsia="宋体" w:hint="eastAsia"/>
          <w:lang w:eastAsia="zh-CN"/>
        </w:rPr>
        <w:t>2</w:t>
      </w:r>
      <w:r>
        <w:rPr>
          <w:rFonts w:hint="eastAsia"/>
        </w:rPr>
        <w:t>）投标人认为需要加以说明的其他内容</w:t>
      </w:r>
    </w:p>
    <w:p>
      <w:pPr>
        <w:widowControl w:val="0"/>
        <w:spacing w:line="320" w:lineRule="atLeast"/>
        <w:jc w:val="both"/>
        <w:rPr>
          <w:rFonts w:ascii="宋体" w:eastAsia="宋体" w:hAnsi="宋体"/>
          <w:b/>
          <w:kern w:val="2"/>
          <w:lang w:eastAsia="zh-CN"/>
        </w:rPr>
      </w:pPr>
      <w:bookmarkStart w:id="18" w:name="_Hlk72257771"/>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9" w:name="_Hlk72263559"/>
      <w:r>
        <w:rPr>
          <w:rFonts w:ascii="宋体" w:eastAsia="宋体" w:hAnsi="宋体" w:cstheme="minorBidi" w:hint="eastAsia"/>
          <w:b/>
          <w:kern w:val="2"/>
          <w:lang w:eastAsia="zh-CN"/>
        </w:rPr>
        <w:t>2.关于填写“开标一览表”的说明：“开标一览表”中除“投标总价”外，其他信息不作评审依据。</w:t>
      </w:r>
      <w:bookmarkEnd w:id="18"/>
      <w:bookmarkEnd w:id="19"/>
      <w:r>
        <w:rPr>
          <w:rFonts w:ascii="宋体" w:eastAsia="黑体" w:hAnsi="宋体"/>
          <w:bCs/>
          <w:kern w:val="44"/>
          <w:sz w:val="32"/>
          <w:szCs w:val="32"/>
          <w:lang w:eastAsia="zh-CN"/>
        </w:rPr>
        <w:br w:type="page"/>
      </w: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kern w:val="2"/>
          <w:sz w:val="21"/>
          <w:szCs w:val="21"/>
          <w:lang w:eastAsia="zh-CN"/>
        </w:rPr>
      </w:pPr>
      <w:bookmarkStart w:id="20"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kern w:val="2"/>
          <w:sz w:val="21"/>
          <w:szCs w:val="21"/>
          <w:lang w:eastAsia="zh-CN"/>
        </w:rPr>
      </w:pPr>
      <w:bookmarkStart w:id="21" w:name="_Hlk73818812"/>
      <w:r>
        <w:rPr>
          <w:rFonts w:ascii="Calibri" w:eastAsia="宋体" w:hAnsi="Calibri" w:cstheme="minorBidi" w:hint="eastAsia"/>
          <w:kern w:val="2"/>
          <w:sz w:val="21"/>
          <w:szCs w:val="21"/>
          <w:lang w:eastAsia="zh-CN"/>
        </w:rPr>
        <w:t>1、根据已收到贵单位的项目编号为LHAZXDL-2025-00528的医疗设备一批（离心机等）项目的招标文件，遵照《深圳经济特区政府采购条例》和《深圳网上政府采购管理暂行办法》等有关规定，我单位经研究上述招标文件的专用条款及通用条款后，</w:t>
      </w:r>
      <w:bookmarkStart w:id="22" w:name="_Hlk72263588"/>
      <w:r>
        <w:rPr>
          <w:rFonts w:ascii="Calibri" w:eastAsia="宋体" w:hAnsi="Calibri" w:cstheme="minorBidi" w:hint="eastAsia"/>
          <w:kern w:val="2"/>
          <w:sz w:val="21"/>
          <w:szCs w:val="21"/>
          <w:lang w:eastAsia="zh-CN"/>
        </w:rPr>
        <w:t>愿意按照招标文件要求承包上述项目并修补其任何缺陷。</w:t>
      </w:r>
      <w:bookmarkEnd w:id="22"/>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3"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3"/>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21"/>
    </w:p>
    <w:p>
      <w:pPr>
        <w:widowControl w:val="0"/>
        <w:spacing w:line="360" w:lineRule="auto"/>
        <w:ind w:left="480" w:left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20"/>
    <w:p>
      <w:pPr>
        <w:keepNext/>
        <w:keepLines/>
        <w:spacing w:before="260" w:after="260" w:line="240" w:lineRule="auto"/>
        <w:jc w:val="center"/>
        <w:outlineLvl w:val="2"/>
        <w:rPr>
          <w:rFonts w:ascii="黑体" w:eastAsia="黑体" w:hAnsi="宋体"/>
          <w:bCs/>
          <w:szCs w:val="32"/>
        </w:rPr>
      </w:pPr>
      <w:r>
        <w:rPr>
          <w:rFonts w:ascii="黑体" w:eastAsia="黑体" w:hAnsi="宋体" w:hint="eastAsia"/>
          <w:bCs/>
          <w:szCs w:val="32"/>
        </w:rPr>
        <w:t>二、政府采购投标及履约承诺函</w:t>
      </w:r>
    </w:p>
    <w:p>
      <w:pPr>
        <w:spacing w:line="360" w:lineRule="auto"/>
        <w:rPr>
          <w:rFonts w:ascii="宋体" w:eastAsia="宋体" w:hAnsi="宋体" w:cs="宋体" w:hint="eastAsia"/>
          <w:sz w:val="21"/>
          <w:szCs w:val="21"/>
          <w:lang w:eastAsia="zh-CN"/>
        </w:rPr>
      </w:pPr>
      <w:bookmarkStart w:id="24" w:name="_Hlk72257530"/>
      <w:r>
        <w:rPr>
          <w:rFonts w:ascii="宋体" w:eastAsia="宋体" w:hAnsi="宋体" w:cs="宋体" w:hint="eastAsia"/>
          <w:sz w:val="21"/>
          <w:szCs w:val="21"/>
        </w:rPr>
        <w:t>致：</w:t>
      </w:r>
      <w:r>
        <w:rPr>
          <w:rFonts w:ascii="宋体" w:eastAsia="宋体" w:hAnsi="宋体" w:cs="宋体" w:hint="eastAsia"/>
          <w:sz w:val="21"/>
          <w:szCs w:val="21"/>
          <w:u w:val="single"/>
          <w:lang w:eastAsia="zh-CN"/>
        </w:rPr>
        <w:t>深圳市千里招标代理有限公司</w:t>
      </w:r>
    </w:p>
    <w:p>
      <w:pPr>
        <w:spacing w:line="360" w:lineRule="auto"/>
        <w:ind w:right="-815" w:firstLine="420" w:firstLineChars="200"/>
        <w:rPr>
          <w:rFonts w:ascii="宋体" w:eastAsia="宋体" w:hAnsi="宋体" w:cs="宋体" w:hint="eastAsia"/>
          <w:sz w:val="21"/>
          <w:szCs w:val="21"/>
        </w:rPr>
      </w:pPr>
      <w:r>
        <w:rPr>
          <w:rFonts w:ascii="宋体" w:eastAsia="宋体" w:hAnsi="宋体" w:cs="宋体" w:hint="eastAsia"/>
          <w:sz w:val="21"/>
          <w:szCs w:val="21"/>
        </w:rPr>
        <w:t>我单位承诺：</w:t>
      </w:r>
    </w:p>
    <w:p>
      <w:pPr>
        <w:spacing w:line="360" w:lineRule="auto"/>
        <w:ind w:firstLine="420" w:firstLineChars="200"/>
        <w:rPr>
          <w:rFonts w:ascii="宋体" w:eastAsia="宋体" w:hAnsi="宋体" w:cs="宋体" w:hint="eastAsia"/>
          <w:b/>
          <w:sz w:val="21"/>
          <w:szCs w:val="21"/>
        </w:rPr>
      </w:pPr>
      <w:r>
        <w:rPr>
          <w:rFonts w:ascii="宋体" w:eastAsia="宋体" w:hAnsi="宋体" w:cs="宋体" w:hint="eastAsia"/>
          <w:bCs/>
          <w:sz w:val="21"/>
          <w:szCs w:val="21"/>
        </w:rPr>
        <w:t>1.我单位参与本项目所投标（响应）的货物、工程或服务，不存在侵犯知识产权的情况。</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2.我单位参与本项目政府采购活动时不存在被有关部门禁止参与政府采购活动且在有效期内的情况。符合招标文件关于联合体及进口产品的相关资格要求。</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3.我单位具备《中华人民共和国政府采购法》第二十二条第一款的条件。</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4.我单位未被列入失信被执行人、重大税收违法案件当事人名单、政府采购严重违法失信行为记录名单。</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5.我单位不存在《深圳市财政局政府采购供应商信用信息管理办法》（深财规〔2023〕3号）列明的严重违法失信行为。</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6</w:t>
      </w:r>
      <w:r>
        <w:rPr>
          <w:rFonts w:ascii="宋体" w:eastAsia="宋体" w:hAnsi="宋体" w:cs="宋体" w:hint="eastAsia"/>
          <w:sz w:val="21"/>
          <w:szCs w:val="21"/>
        </w:rPr>
        <w:t>.</w:t>
      </w:r>
      <w:bookmarkStart w:id="25" w:name="_Hlk72587269"/>
      <w:bookmarkStart w:id="26" w:name="_Hlk72587299"/>
      <w:r>
        <w:rPr>
          <w:rFonts w:ascii="宋体" w:eastAsia="宋体" w:hAnsi="宋体" w:cs="宋体" w:hint="eastAsia"/>
          <w:sz w:val="21"/>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5"/>
      <w:r>
        <w:rPr>
          <w:rFonts w:ascii="宋体" w:eastAsia="宋体" w:hAnsi="宋体" w:cs="宋体" w:hint="eastAsia"/>
          <w:sz w:val="21"/>
          <w:szCs w:val="21"/>
        </w:rPr>
        <w:t>。</w:t>
      </w:r>
    </w:p>
    <w:bookmarkEnd w:id="26"/>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9</w:t>
      </w:r>
      <w:r>
        <w:rPr>
          <w:rFonts w:ascii="宋体" w:eastAsia="宋体" w:hAnsi="宋体" w:cs="宋体" w:hint="eastAsia"/>
          <w:sz w:val="21"/>
          <w:szCs w:val="21"/>
        </w:rPr>
        <w:t>.我单位承诺参与本项目非联合体投标，非进口产品参与投标，中标后项目不转包，未经采购人同意不进行分包。</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10</w:t>
      </w:r>
      <w:r>
        <w:rPr>
          <w:rFonts w:ascii="宋体" w:eastAsia="宋体" w:hAnsi="宋体" w:cs="宋体" w:hint="eastAsia"/>
          <w:sz w:val="21"/>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1</w:t>
      </w:r>
      <w:r>
        <w:rPr>
          <w:rFonts w:ascii="宋体" w:eastAsia="宋体" w:hAnsi="宋体" w:cs="宋体" w:hint="eastAsia"/>
          <w:sz w:val="21"/>
          <w:szCs w:val="21"/>
        </w:rPr>
        <w:t>.我单位保证，若所投货物涉及《财政部生态环境部关于印发节能产品政府采购品目清单的通知》（财库〔2019〕19号）列明的政府采购强制产品，则所投该产品符合节能产品的认证要求。</w:t>
      </w:r>
      <w:r>
        <w:rPr>
          <w:rFonts w:ascii="宋体" w:eastAsia="宋体" w:hAnsi="宋体" w:cs="宋体" w:hint="eastAsia"/>
          <w:sz w:val="21"/>
          <w:szCs w:val="21"/>
          <w:lang w:eastAsia="zh-CN"/>
        </w:rPr>
        <w:t>若所投产品包括数据中心相关设备的，应满足</w:t>
      </w:r>
      <w:r>
        <w:rPr>
          <w:rFonts w:ascii="宋体" w:eastAsia="宋体" w:hAnsi="宋体" w:cs="宋体" w:hint="eastAsia"/>
          <w:sz w:val="21"/>
          <w:szCs w:val="21"/>
        </w:rPr>
        <w:t>《财政部 生态环境部 工业和信息化部关于印发&lt;绿色数据中心政府采购需求标准（试行）&gt;的通知》</w:t>
      </w:r>
      <w:r>
        <w:rPr>
          <w:rFonts w:ascii="宋体" w:eastAsia="宋体" w:hAnsi="宋体" w:cs="宋体" w:hint="eastAsia"/>
          <w:sz w:val="21"/>
          <w:szCs w:val="21"/>
          <w:lang w:eastAsia="zh-CN"/>
        </w:rPr>
        <w:t>（</w:t>
      </w:r>
      <w:r>
        <w:rPr>
          <w:rFonts w:ascii="宋体" w:eastAsia="宋体" w:hAnsi="宋体" w:cs="宋体" w:hint="eastAsia"/>
          <w:sz w:val="21"/>
          <w:szCs w:val="21"/>
        </w:rPr>
        <w:t>财库〔2023〕7号）</w:t>
      </w:r>
      <w:r>
        <w:rPr>
          <w:rFonts w:ascii="宋体" w:eastAsia="宋体" w:hAnsi="宋体" w:cs="宋体" w:hint="eastAsia"/>
          <w:sz w:val="21"/>
          <w:szCs w:val="21"/>
          <w:lang w:eastAsia="zh-CN"/>
        </w:rPr>
        <w:t>要求。若所投产品涉及国家强制性标准的，所投产品应符合国家强制性标准相关要求。</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rPr>
        <w:t>1</w:t>
      </w:r>
      <w:r>
        <w:rPr>
          <w:rFonts w:ascii="宋体" w:eastAsia="宋体" w:hAnsi="宋体" w:cs="宋体" w:hint="eastAsia"/>
          <w:bCs/>
          <w:sz w:val="21"/>
          <w:szCs w:val="21"/>
          <w:lang w:eastAsia="zh-CN"/>
        </w:rPr>
        <w:t>2</w:t>
      </w:r>
      <w:r>
        <w:rPr>
          <w:rFonts w:ascii="宋体" w:eastAsia="宋体" w:hAnsi="宋体" w:cs="宋体" w:hint="eastAsia"/>
          <w:bCs/>
          <w:sz w:val="21"/>
          <w:szCs w:val="21"/>
        </w:rPr>
        <w:t>.我单位已知悉并同意中标（成交）结果信息公示（公开）的内容。</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Cs/>
          <w:sz w:val="21"/>
          <w:szCs w:val="21"/>
        </w:rPr>
        <w:t>1</w:t>
      </w:r>
      <w:r>
        <w:rPr>
          <w:rFonts w:ascii="宋体" w:eastAsia="宋体" w:hAnsi="宋体" w:cs="宋体" w:hint="eastAsia"/>
          <w:bCs/>
          <w:sz w:val="21"/>
          <w:szCs w:val="21"/>
          <w:lang w:eastAsia="zh-CN"/>
        </w:rPr>
        <w:t>3</w:t>
      </w:r>
      <w:r>
        <w:rPr>
          <w:rFonts w:ascii="宋体" w:eastAsia="宋体" w:hAnsi="宋体" w:cs="宋体" w:hint="eastAsia"/>
          <w:bCs/>
          <w:sz w:val="21"/>
          <w:szCs w:val="21"/>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cs="宋体" w:hint="eastAsia"/>
          <w:bCs/>
          <w:sz w:val="21"/>
          <w:szCs w:val="21"/>
          <w:lang w:eastAsia="zh-CN"/>
        </w:rPr>
        <w:t>若</w:t>
      </w:r>
      <w:r>
        <w:rPr>
          <w:rFonts w:ascii="宋体" w:eastAsia="宋体" w:hAnsi="宋体" w:cs="宋体" w:hint="eastAsia"/>
          <w:bCs/>
          <w:sz w:val="21"/>
          <w:szCs w:val="21"/>
        </w:rPr>
        <w:t>存在“不同供应商的董事、股东或其他高级管理人员为同一人的”情形的，</w:t>
      </w:r>
      <w:r>
        <w:rPr>
          <w:rFonts w:ascii="宋体" w:eastAsia="宋体" w:hAnsi="宋体" w:cs="宋体" w:hint="eastAsia"/>
          <w:bCs/>
          <w:sz w:val="21"/>
          <w:szCs w:val="21"/>
          <w:lang w:eastAsia="zh-CN"/>
        </w:rPr>
        <w:t>我单位保证</w:t>
      </w:r>
      <w:r>
        <w:rPr>
          <w:rFonts w:ascii="宋体" w:eastAsia="宋体" w:hAnsi="宋体" w:cs="宋体" w:hint="eastAsia"/>
          <w:bCs/>
          <w:sz w:val="21"/>
          <w:szCs w:val="21"/>
        </w:rPr>
        <w:t>不存在串通投标、恶意串通或者视为串通投标的情形</w:t>
      </w:r>
      <w:r>
        <w:rPr>
          <w:rFonts w:ascii="宋体" w:eastAsia="宋体" w:hAnsi="宋体" w:cs="宋体" w:hint="eastAsia"/>
          <w:bCs/>
          <w:sz w:val="21"/>
          <w:szCs w:val="21"/>
          <w:lang w:eastAsia="zh-CN"/>
        </w:rPr>
        <w:t>。</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
          <w:sz w:val="21"/>
          <w:szCs w:val="21"/>
          <w:lang w:eastAsia="zh-CN"/>
        </w:rPr>
        <w:t>14.我单位清楚，如存在违反投标承诺行为情节严重的，将根据《深圳市财政局关于印发&lt;深圳市财政局政府采购供应商信用信息管理办法&gt;的通知》，依法被列入失信信息。</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以上承诺，如有违反，愿依照国家相关法律法规处理，并承担由此给采购人带来的损失。</w:t>
      </w:r>
    </w:p>
    <w:bookmarkEnd w:id="24"/>
    <w:p>
      <w:pPr>
        <w:widowControl w:val="0"/>
        <w:spacing w:before="60" w:beforeLines="25" w:after="60" w:afterLines="25"/>
        <w:jc w:val="right"/>
        <w:rPr>
          <w:rFonts w:ascii="Calibri" w:eastAsia="宋体" w:hAnsi="Calibri" w:hint="eastAsia"/>
          <w:kern w:val="2"/>
          <w:sz w:val="21"/>
          <w:szCs w:val="21"/>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b/>
          <w:bCs/>
          <w:color w:val="FF0000"/>
          <w:kern w:val="2"/>
          <w:sz w:val="21"/>
          <w:szCs w:val="21"/>
          <w:lang w:eastAsia="zh-CN"/>
        </w:rPr>
      </w:pPr>
    </w:p>
    <w:p>
      <w:pPr>
        <w:spacing w:line="360" w:lineRule="auto"/>
        <w:ind w:firstLine="420" w:firstLineChars="200"/>
        <w:rPr>
          <w:rFonts w:ascii="宋体" w:eastAsia="宋体" w:hAnsi="宋体" w:cs="宋体" w:hint="eastAsia"/>
          <w:bCs/>
          <w:sz w:val="21"/>
          <w:szCs w:val="21"/>
          <w:lang w:eastAsia="zh-CN"/>
        </w:rPr>
      </w:pPr>
    </w:p>
    <w:p>
      <w:pPr>
        <w:spacing w:line="360" w:lineRule="auto"/>
        <w:ind w:firstLine="420" w:firstLineChars="200"/>
        <w:rPr>
          <w:rFonts w:ascii="宋体" w:eastAsia="宋体" w:hAnsi="宋体" w:cs="宋体" w:hint="eastAsia"/>
          <w:bCs/>
          <w:sz w:val="21"/>
          <w:szCs w:val="21"/>
          <w:lang w:eastAsia="zh-CN"/>
        </w:rPr>
      </w:pPr>
      <w:r>
        <w:rPr>
          <w:rFonts w:ascii="宋体" w:eastAsia="宋体" w:hAnsi="宋体" w:cs="宋体" w:hint="eastAsia"/>
          <w:bCs/>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27"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政府采购投标及履约承诺函》且已在“二、政府采购投标及履约承诺函</w:t>
      </w:r>
      <w:bookmarkStart w:id="28" w:name="_GoBack"/>
      <w:bookmarkEnd w:id="28"/>
      <w:r>
        <w:rPr>
          <w:rFonts w:ascii="Calibri" w:eastAsia="宋体" w:hAnsi="Calibri" w:cstheme="minorBidi" w:hint="eastAsia"/>
          <w:b/>
          <w:bCs/>
          <w:color w:val="FF0000"/>
          <w:kern w:val="2"/>
          <w:sz w:val="21"/>
          <w:szCs w:val="22"/>
          <w:lang w:eastAsia="zh-CN"/>
        </w:rPr>
        <w:t>”章节中提供了，此处可不重复提供。）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9" w:name="_Hlk72257908"/>
      <w:r>
        <w:rPr>
          <w:rFonts w:ascii="黑体" w:eastAsia="黑体" w:hAnsi="宋体" w:cstheme="minorBidi" w:hint="eastAsia"/>
          <w:bCs/>
          <w:szCs w:val="32"/>
          <w:lang w:eastAsia="zh-CN"/>
        </w:rPr>
        <w:t>（二）中小企业声明函、残疾人福利性单位声明函及监狱企业声明函</w:t>
      </w:r>
    </w:p>
    <w:bookmarkEnd w:id="27"/>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2"/>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30"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30"/>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rPr>
          <w:rFonts w:hint="eastAsia"/>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31" w:name="_Hlk73562331"/>
      <w:bookmarkStart w:id="32"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9"/>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rPr>
          <w:rFonts w:ascii="宋体" w:eastAsia="宋体" w:hAnsi="宋体" w:hint="eastAsia"/>
          <w:kern w:val="2"/>
          <w:sz w:val="21"/>
          <w:szCs w:val="21"/>
          <w:lang w:eastAsia="zh-CN"/>
        </w:rPr>
      </w:pPr>
    </w:p>
    <w:p>
      <w:pPr>
        <w:spacing w:line="360" w:lineRule="auto"/>
        <w:rPr>
          <w:rFonts w:hint="eastAsia"/>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ind w:firstLine="480" w:firstLineChars="200"/>
        <w:jc w:val="center"/>
        <w:outlineLvl w:val="3"/>
        <w:rPr>
          <w:rFonts w:ascii="宋体" w:eastAsia="宋体" w:hAnsi="宋体" w:hint="eastAsia"/>
          <w:b/>
          <w:szCs w:val="32"/>
          <w:lang w:eastAsia="zh-CN"/>
        </w:rPr>
      </w:pPr>
      <w:r>
        <w:rPr>
          <w:rFonts w:ascii="宋体" w:eastAsia="宋体" w:hAnsi="宋体" w:cstheme="minorBidi" w:hint="eastAsia"/>
          <w:b/>
          <w:szCs w:val="32"/>
          <w:lang w:eastAsia="zh-CN"/>
        </w:rPr>
        <w:t>（三）供应商基本情况表</w:t>
      </w:r>
    </w:p>
    <w:p>
      <w:pPr>
        <w:widowControl w:val="0"/>
        <w:spacing w:line="360" w:lineRule="auto"/>
        <w:ind w:firstLine="420" w:firstLineChars="200"/>
        <w:jc w:val="both"/>
        <w:rPr>
          <w:rFonts w:ascii="宋体" w:eastAsia="宋体" w:hAnsi="宋体"/>
          <w:b/>
          <w:bCs/>
          <w:color w:val="000000"/>
          <w:kern w:val="2"/>
          <w:sz w:val="21"/>
          <w:szCs w:val="21"/>
          <w:lang w:eastAsia="zh-CN"/>
        </w:rPr>
      </w:pPr>
      <w:r>
        <w:rPr>
          <w:rFonts w:ascii="宋体" w:eastAsia="宋体" w:hAnsi="宋体" w:hint="eastAsia"/>
          <w:b/>
          <w:bCs/>
          <w:color w:val="000000"/>
          <w:kern w:val="2"/>
          <w:sz w:val="21"/>
          <w:szCs w:val="21"/>
          <w:lang w:eastAsia="zh-CN"/>
        </w:rPr>
        <w:t xml:space="preserve">填表单位： </w:t>
      </w:r>
      <w:r>
        <w:rPr>
          <w:rFonts w:ascii="宋体" w:eastAsia="宋体" w:hAnsi="宋体" w:hint="eastAsia"/>
          <w:b/>
          <w:bCs/>
          <w:color w:val="000000"/>
          <w:kern w:val="2"/>
          <w:sz w:val="21"/>
          <w:szCs w:val="21"/>
          <w:lang w:eastAsia="zh-CN"/>
        </w:rPr>
        <w:tab/>
      </w:r>
      <w:r>
        <w:rPr>
          <w:rFonts w:ascii="宋体" w:eastAsia="宋体" w:hAnsi="宋体" w:hint="eastAsia"/>
          <w:b/>
          <w:bCs/>
          <w:color w:val="000000"/>
          <w:kern w:val="2"/>
          <w:sz w:val="21"/>
          <w:szCs w:val="21"/>
          <w:lang w:eastAsia="zh-CN"/>
        </w:rPr>
        <w:tab/>
      </w:r>
      <w:r>
        <w:rPr>
          <w:rFonts w:ascii="宋体" w:eastAsia="宋体" w:hAnsi="宋体" w:hint="eastAsia"/>
          <w:b/>
          <w:bCs/>
          <w:color w:val="000000"/>
          <w:kern w:val="2"/>
          <w:sz w:val="21"/>
          <w:szCs w:val="21"/>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采购人</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项目名称</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供应商统一社会信用代码</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b/>
                <w:bCs/>
                <w:color w:val="000000"/>
                <w:sz w:val="21"/>
                <w:szCs w:val="21"/>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职务</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姓名</w:t>
            </w: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劳动合同</w:t>
            </w:r>
          </w:p>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缴纳社会保险单位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项目投标授权代表人</w:t>
            </w:r>
          </w:p>
        </w:tc>
        <w:tc>
          <w:tcPr>
            <w:tcW w:w="947"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3</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项目负责人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4</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主要技术人员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5</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投标文件编制人员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b/>
                <w:bCs/>
                <w:color w:val="000000"/>
                <w:sz w:val="21"/>
                <w:szCs w:val="21"/>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b/>
                <w:bCs/>
                <w:color w:val="000000"/>
                <w:sz w:val="21"/>
                <w:szCs w:val="21"/>
                <w:lang w:eastAsia="zh-CN"/>
              </w:rPr>
            </w:pPr>
            <w:r>
              <w:rPr>
                <w:rFonts w:ascii="宋体" w:hAnsi="宋体" w:hint="eastAsia"/>
                <w:b/>
                <w:bCs/>
                <w:color w:val="000000"/>
                <w:sz w:val="21"/>
                <w:szCs w:val="21"/>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控股股东</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管理关系</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FF0000"/>
                <w:sz w:val="21"/>
                <w:szCs w:val="21"/>
                <w:lang w:eastAsia="zh-CN"/>
              </w:rPr>
            </w:pPr>
            <w:r>
              <w:rPr>
                <w:rFonts w:ascii="宋体" w:hAnsi="宋体" w:hint="eastAsia"/>
                <w:b/>
                <w:bCs/>
                <w:color w:val="000000"/>
                <w:sz w:val="21"/>
                <w:szCs w:val="21"/>
                <w:lang w:eastAsia="zh-CN"/>
              </w:rPr>
              <w:t>说明：同一关联关系类型有多个主体的，应分行填写。</w:t>
            </w:r>
          </w:p>
        </w:tc>
      </w:tr>
    </w:tbl>
    <w:p>
      <w:pPr>
        <w:widowControl w:val="0"/>
        <w:spacing w:line="360" w:lineRule="auto"/>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 xml:space="preserve"> 注：需附上相关人员社保 （近3个月内的任意一个月社保缴交凭证证明）</w:t>
      </w:r>
    </w:p>
    <w:p>
      <w:pPr>
        <w:widowControl w:val="0"/>
        <w:spacing w:line="360" w:lineRule="auto"/>
        <w:ind w:firstLine="420" w:firstLineChars="200"/>
        <w:jc w:val="both"/>
        <w:rPr>
          <w:rFonts w:ascii="宋体" w:eastAsia="宋体" w:hAnsi="宋体" w:hint="eastAsia"/>
          <w:kern w:val="2"/>
          <w:sz w:val="21"/>
          <w:szCs w:val="21"/>
          <w:lang w:eastAsia="zh-CN"/>
        </w:rPr>
      </w:pPr>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1"/>
        <w:gridCol w:w="1601"/>
        <w:gridCol w:w="700"/>
        <w:gridCol w:w="700"/>
        <w:gridCol w:w="700"/>
        <w:gridCol w:w="705"/>
        <w:gridCol w:w="491"/>
        <w:gridCol w:w="719"/>
        <w:gridCol w:w="1052"/>
        <w:gridCol w:w="141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55"/>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904"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货物名称</w:t>
            </w:r>
          </w:p>
        </w:tc>
        <w:tc>
          <w:tcPr>
            <w:tcW w:w="39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品牌</w:t>
            </w:r>
          </w:p>
        </w:tc>
        <w:tc>
          <w:tcPr>
            <w:tcW w:w="39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规格/型号</w:t>
            </w:r>
          </w:p>
        </w:tc>
        <w:tc>
          <w:tcPr>
            <w:tcW w:w="39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制造商名称</w:t>
            </w:r>
          </w:p>
        </w:tc>
        <w:tc>
          <w:tcPr>
            <w:tcW w:w="398"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原产地</w:t>
            </w:r>
          </w:p>
        </w:tc>
        <w:tc>
          <w:tcPr>
            <w:tcW w:w="27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数量</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w:t>
            </w:r>
          </w:p>
        </w:tc>
        <w:tc>
          <w:tcPr>
            <w:tcW w:w="594"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单项最高限价（元）</w:t>
            </w:r>
          </w:p>
        </w:tc>
        <w:tc>
          <w:tcPr>
            <w:tcW w:w="799"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单项投标报价(元)</w:t>
            </w:r>
          </w:p>
        </w:tc>
      </w:tr>
      <w:tr>
        <w:tblPrEx>
          <w:tblW w:w="5000" w:type="pct"/>
          <w:jc w:val="center"/>
          <w:tblLayout w:type="fixed"/>
          <w:tblCellMar>
            <w:top w:w="0" w:type="dxa"/>
            <w:left w:w="108" w:type="dxa"/>
            <w:bottom w:w="0" w:type="dxa"/>
            <w:right w:w="108" w:type="dxa"/>
          </w:tblCellMar>
        </w:tblPrEx>
        <w:trPr>
          <w:trHeight w:val="814"/>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90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全科诊断系统</w:t>
            </w: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8" w:type="pct"/>
            <w:vAlign w:val="center"/>
          </w:tcPr>
          <w:p>
            <w:pPr>
              <w:widowControl w:val="0"/>
              <w:jc w:val="center"/>
              <w:rPr>
                <w:rFonts w:ascii="宋体" w:eastAsia="宋体" w:hAnsi="宋体" w:cs="宋体" w:hint="eastAsia"/>
                <w:kern w:val="2"/>
                <w:sz w:val="21"/>
                <w:szCs w:val="21"/>
                <w:lang w:eastAsia="zh-CN"/>
              </w:rPr>
            </w:pPr>
          </w:p>
        </w:tc>
        <w:tc>
          <w:tcPr>
            <w:tcW w:w="276"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4</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59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40280</w:t>
            </w:r>
          </w:p>
        </w:tc>
        <w:tc>
          <w:tcPr>
            <w:tcW w:w="799" w:type="pct"/>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14"/>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90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全自动血压计</w:t>
            </w: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8" w:type="pct"/>
            <w:vAlign w:val="center"/>
          </w:tcPr>
          <w:p>
            <w:pPr>
              <w:widowControl w:val="0"/>
              <w:jc w:val="center"/>
              <w:rPr>
                <w:rFonts w:ascii="宋体" w:eastAsia="宋体" w:hAnsi="宋体" w:cs="宋体" w:hint="eastAsia"/>
                <w:kern w:val="2"/>
                <w:sz w:val="21"/>
                <w:szCs w:val="21"/>
                <w:lang w:eastAsia="zh-CN"/>
              </w:rPr>
            </w:pPr>
          </w:p>
        </w:tc>
        <w:tc>
          <w:tcPr>
            <w:tcW w:w="276"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3</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59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62700</w:t>
            </w:r>
          </w:p>
        </w:tc>
        <w:tc>
          <w:tcPr>
            <w:tcW w:w="799" w:type="pct"/>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14"/>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90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自动体重身高计</w:t>
            </w: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8" w:type="pct"/>
            <w:vAlign w:val="center"/>
          </w:tcPr>
          <w:p>
            <w:pPr>
              <w:widowControl w:val="0"/>
              <w:jc w:val="center"/>
              <w:rPr>
                <w:rFonts w:ascii="宋体" w:eastAsia="宋体" w:hAnsi="宋体" w:cs="宋体" w:hint="eastAsia"/>
                <w:kern w:val="2"/>
                <w:sz w:val="21"/>
                <w:szCs w:val="21"/>
                <w:lang w:eastAsia="zh-CN"/>
              </w:rPr>
            </w:pPr>
          </w:p>
        </w:tc>
        <w:tc>
          <w:tcPr>
            <w:tcW w:w="276"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2</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59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19000</w:t>
            </w:r>
          </w:p>
        </w:tc>
        <w:tc>
          <w:tcPr>
            <w:tcW w:w="799" w:type="pct"/>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14"/>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90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治疗车</w:t>
            </w: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8" w:type="pct"/>
            <w:vAlign w:val="center"/>
          </w:tcPr>
          <w:p>
            <w:pPr>
              <w:widowControl w:val="0"/>
              <w:jc w:val="center"/>
              <w:rPr>
                <w:rFonts w:ascii="宋体" w:eastAsia="宋体" w:hAnsi="宋体" w:cs="宋体" w:hint="eastAsia"/>
                <w:kern w:val="2"/>
                <w:sz w:val="21"/>
                <w:szCs w:val="21"/>
                <w:lang w:eastAsia="zh-CN"/>
              </w:rPr>
            </w:pPr>
          </w:p>
        </w:tc>
        <w:tc>
          <w:tcPr>
            <w:tcW w:w="276"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6</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台</w:t>
            </w:r>
          </w:p>
        </w:tc>
        <w:tc>
          <w:tcPr>
            <w:tcW w:w="59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6840</w:t>
            </w:r>
          </w:p>
        </w:tc>
        <w:tc>
          <w:tcPr>
            <w:tcW w:w="799" w:type="pct"/>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14"/>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90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TDP灯</w:t>
            </w: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8" w:type="pct"/>
            <w:vAlign w:val="center"/>
          </w:tcPr>
          <w:p>
            <w:pPr>
              <w:widowControl w:val="0"/>
              <w:jc w:val="center"/>
              <w:rPr>
                <w:rFonts w:ascii="宋体" w:eastAsia="宋体" w:hAnsi="宋体" w:cs="宋体" w:hint="eastAsia"/>
                <w:kern w:val="2"/>
                <w:sz w:val="21"/>
                <w:szCs w:val="21"/>
                <w:lang w:eastAsia="zh-CN"/>
              </w:rPr>
            </w:pPr>
          </w:p>
        </w:tc>
        <w:tc>
          <w:tcPr>
            <w:tcW w:w="276"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6</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59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2850</w:t>
            </w:r>
          </w:p>
        </w:tc>
        <w:tc>
          <w:tcPr>
            <w:tcW w:w="799" w:type="pct"/>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14"/>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90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电脑中频治疗仪</w:t>
            </w: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8" w:type="pct"/>
            <w:vAlign w:val="center"/>
          </w:tcPr>
          <w:p>
            <w:pPr>
              <w:widowControl w:val="0"/>
              <w:jc w:val="center"/>
              <w:rPr>
                <w:rFonts w:ascii="宋体" w:eastAsia="宋体" w:hAnsi="宋体" w:cs="宋体" w:hint="eastAsia"/>
                <w:kern w:val="2"/>
                <w:sz w:val="21"/>
                <w:szCs w:val="21"/>
                <w:lang w:eastAsia="zh-CN"/>
              </w:rPr>
            </w:pPr>
          </w:p>
        </w:tc>
        <w:tc>
          <w:tcPr>
            <w:tcW w:w="276"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3</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59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8550</w:t>
            </w:r>
          </w:p>
        </w:tc>
        <w:tc>
          <w:tcPr>
            <w:tcW w:w="799" w:type="pct"/>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14"/>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90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离心机</w:t>
            </w: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8" w:type="pct"/>
            <w:vAlign w:val="center"/>
          </w:tcPr>
          <w:p>
            <w:pPr>
              <w:widowControl w:val="0"/>
              <w:jc w:val="center"/>
              <w:rPr>
                <w:rFonts w:ascii="宋体" w:eastAsia="宋体" w:hAnsi="宋体" w:cs="宋体" w:hint="eastAsia"/>
                <w:kern w:val="2"/>
                <w:sz w:val="21"/>
                <w:szCs w:val="21"/>
                <w:lang w:eastAsia="zh-CN"/>
              </w:rPr>
            </w:pPr>
          </w:p>
        </w:tc>
        <w:tc>
          <w:tcPr>
            <w:tcW w:w="276"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3</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台</w:t>
            </w:r>
          </w:p>
        </w:tc>
        <w:tc>
          <w:tcPr>
            <w:tcW w:w="59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54150</w:t>
            </w:r>
          </w:p>
        </w:tc>
        <w:tc>
          <w:tcPr>
            <w:tcW w:w="799" w:type="pct"/>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14"/>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90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药品保存冰箱</w:t>
            </w: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8" w:type="pct"/>
            <w:vAlign w:val="center"/>
          </w:tcPr>
          <w:p>
            <w:pPr>
              <w:widowControl w:val="0"/>
              <w:jc w:val="center"/>
              <w:rPr>
                <w:rFonts w:ascii="宋体" w:eastAsia="宋体" w:hAnsi="宋体" w:cs="宋体" w:hint="eastAsia"/>
                <w:kern w:val="2"/>
                <w:sz w:val="21"/>
                <w:szCs w:val="21"/>
                <w:lang w:eastAsia="zh-CN"/>
              </w:rPr>
            </w:pPr>
          </w:p>
        </w:tc>
        <w:tc>
          <w:tcPr>
            <w:tcW w:w="276"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2</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台</w:t>
            </w:r>
          </w:p>
        </w:tc>
        <w:tc>
          <w:tcPr>
            <w:tcW w:w="59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13300</w:t>
            </w:r>
          </w:p>
        </w:tc>
        <w:tc>
          <w:tcPr>
            <w:tcW w:w="799" w:type="pct"/>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14"/>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90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经皮黄疸测试仪</w:t>
            </w: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8" w:type="pct"/>
            <w:vAlign w:val="center"/>
          </w:tcPr>
          <w:p>
            <w:pPr>
              <w:widowControl w:val="0"/>
              <w:jc w:val="center"/>
              <w:rPr>
                <w:rFonts w:ascii="宋体" w:eastAsia="宋体" w:hAnsi="宋体" w:cs="宋体" w:hint="eastAsia"/>
                <w:kern w:val="2"/>
                <w:sz w:val="21"/>
                <w:szCs w:val="21"/>
                <w:lang w:eastAsia="zh-CN"/>
              </w:rPr>
            </w:pPr>
          </w:p>
        </w:tc>
        <w:tc>
          <w:tcPr>
            <w:tcW w:w="276"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3</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59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28500</w:t>
            </w:r>
          </w:p>
        </w:tc>
        <w:tc>
          <w:tcPr>
            <w:tcW w:w="799" w:type="pct"/>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14"/>
          <w:jc w:val="center"/>
        </w:trPr>
        <w:tc>
          <w:tcPr>
            <w:tcW w:w="435"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90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一体读卡器(身份证-医保卡-健康卡)</w:t>
            </w: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5" w:type="pct"/>
            <w:vAlign w:val="center"/>
          </w:tcPr>
          <w:p>
            <w:pPr>
              <w:widowControl w:val="0"/>
              <w:jc w:val="center"/>
              <w:rPr>
                <w:rFonts w:ascii="宋体" w:eastAsia="宋体" w:hAnsi="宋体" w:cs="宋体" w:hint="eastAsia"/>
                <w:kern w:val="2"/>
                <w:sz w:val="21"/>
                <w:szCs w:val="21"/>
                <w:lang w:eastAsia="zh-CN"/>
              </w:rPr>
            </w:pPr>
          </w:p>
        </w:tc>
        <w:tc>
          <w:tcPr>
            <w:tcW w:w="398" w:type="pct"/>
            <w:vAlign w:val="center"/>
          </w:tcPr>
          <w:p>
            <w:pPr>
              <w:widowControl w:val="0"/>
              <w:jc w:val="center"/>
              <w:rPr>
                <w:rFonts w:ascii="宋体" w:eastAsia="宋体" w:hAnsi="宋体" w:cs="宋体" w:hint="eastAsia"/>
                <w:kern w:val="2"/>
                <w:sz w:val="21"/>
                <w:szCs w:val="21"/>
                <w:lang w:eastAsia="zh-CN"/>
              </w:rPr>
            </w:pPr>
          </w:p>
        </w:tc>
        <w:tc>
          <w:tcPr>
            <w:tcW w:w="276"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6</w:t>
            </w:r>
          </w:p>
        </w:tc>
        <w:tc>
          <w:tcPr>
            <w:tcW w:w="40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套</w:t>
            </w:r>
          </w:p>
        </w:tc>
        <w:tc>
          <w:tcPr>
            <w:tcW w:w="594" w:type="pct"/>
            <w:vAlign w:val="center"/>
          </w:tcPr>
          <w:p>
            <w:pPr>
              <w:keepNext w:val="0"/>
              <w:keepLines w:val="0"/>
              <w:widowControl/>
              <w:suppressLineNumbers w:val="0"/>
              <w:jc w:val="center"/>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19950</w:t>
            </w:r>
          </w:p>
        </w:tc>
        <w:tc>
          <w:tcPr>
            <w:tcW w:w="799" w:type="pct"/>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14"/>
          <w:jc w:val="center"/>
        </w:trPr>
        <w:tc>
          <w:tcPr>
            <w:tcW w:w="3199" w:type="pct"/>
            <w:gridSpan w:val="7"/>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kern w:val="2"/>
                <w:sz w:val="21"/>
                <w:szCs w:val="21"/>
                <w:lang w:eastAsia="zh-CN"/>
              </w:rPr>
              <w:t>投标总价（以上各项之和；币种：人民币；单位：元）</w:t>
            </w:r>
          </w:p>
        </w:tc>
        <w:tc>
          <w:tcPr>
            <w:tcW w:w="1800" w:type="pct"/>
            <w:gridSpan w:val="3"/>
            <w:vAlign w:val="center"/>
          </w:tcPr>
          <w:p>
            <w:pPr>
              <w:widowControl w:val="0"/>
              <w:jc w:val="center"/>
              <w:rPr>
                <w:rFonts w:ascii="宋体" w:eastAsia="宋体" w:hAnsi="宋体" w:cs="宋体" w:hint="eastAsia"/>
                <w:kern w:val="2"/>
                <w:sz w:val="21"/>
                <w:szCs w:val="21"/>
                <w:lang w:eastAsia="zh-CN"/>
              </w:rPr>
            </w:pPr>
          </w:p>
        </w:tc>
      </w:tr>
    </w:tbl>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1.本表可根据实际需要增加相关内容，但原有的格式内容不得删减；</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4.“原产地”是指该货物的实际生产加工地，而非品牌所在地。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6.以上分项报价表的投标总价应当与开标一览表的投标总价一致。</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line="240" w:lineRule="auto"/>
        <w:ind w:left="480" w:firstLine="420" w:leftChars="200" w:firstLineChars="20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（二）核心产品品牌</w:t>
      </w: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备注：单一产品采购项目，核心产品即为该单一产品。</w:t>
      </w:r>
    </w:p>
    <w:p>
      <w:pPr>
        <w:widowControl/>
        <w:wordWrap w:val="0"/>
        <w:autoSpaceDE w:val="0"/>
        <w:autoSpaceDN w:val="0"/>
        <w:spacing w:line="400" w:lineRule="exact"/>
        <w:ind w:right="808" w:firstLine="420" w:firstLineChars="200"/>
        <w:jc w:val="both"/>
        <w:rPr>
          <w:rFonts w:eastAsia="宋体" w:hint="eastAsia"/>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（三）零配件、消耗品和延续保修合同报价明细清单（非项目需求要求的必备配件，此部分不包括在总报价内）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（四）供应商认为需要涉及的其他内容报价清单</w:t>
      </w: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keepNext/>
        <w:keepLines/>
        <w:widowControl/>
        <w:spacing w:before="260" w:after="260"/>
        <w:jc w:val="center"/>
        <w:outlineLvl w:val="2"/>
        <w:rPr>
          <w:rFonts w:ascii="黑体" w:eastAsia="黑体" w:hAnsi="宋体"/>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3"/>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ascii="Calibri" w:eastAsia="宋体" w:hAnsi="Calibri"/>
          <w:kern w:val="2"/>
          <w:sz w:val="21"/>
          <w:szCs w:val="22"/>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widowControl/>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六、</w:t>
      </w:r>
      <w:bookmarkStart w:id="33" w:name="_Hlk72092499"/>
      <w:r>
        <w:rPr>
          <w:rFonts w:ascii="黑体" w:eastAsia="黑体" w:hAnsi="宋体" w:cstheme="minorBidi" w:hint="eastAsia"/>
          <w:b/>
          <w:kern w:val="2"/>
          <w:sz w:val="30"/>
          <w:szCs w:val="30"/>
          <w:lang w:eastAsia="zh-CN"/>
        </w:rPr>
        <w:t>法定代表人（负责人）证明书</w:t>
      </w:r>
      <w:bookmarkEnd w:id="33"/>
    </w:p>
    <w:p>
      <w:pPr>
        <w:widowControl w:val="0"/>
        <w:jc w:val="both"/>
        <w:rPr>
          <w:rFonts w:ascii="Calibri" w:eastAsia="宋体" w:hAnsi="Calibri"/>
          <w:kern w:val="2"/>
          <w:szCs w:val="22"/>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职务，为法定代表人（负责人），身份证件号为：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4"/>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99"/>
        </w:trPr>
        <w:tc>
          <w:tcPr>
            <w:tcW w:w="4259"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c>
          <w:tcPr>
            <w:tcW w:w="4260"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r>
    </w:tbl>
    <w:p>
      <w:pPr>
        <w:widowControl w:val="0"/>
        <w:jc w:val="both"/>
        <w:rPr>
          <w:rFonts w:ascii="宋体" w:eastAsia="宋体" w:hAnsi="宋体"/>
          <w:kern w:val="2"/>
          <w:szCs w:val="22"/>
          <w:lang w:eastAsia="zh-CN"/>
        </w:rPr>
      </w:pPr>
    </w:p>
    <w:p>
      <w:pPr>
        <w:widowControl w:val="0"/>
        <w:spacing w:line="360" w:lineRule="auto"/>
        <w:jc w:val="both"/>
        <w:rPr>
          <w:rFonts w:ascii="宋体" w:eastAsia="宋体" w:hAnsi="宋体"/>
          <w:kern w:val="2"/>
          <w:sz w:val="21"/>
          <w:szCs w:val="21"/>
          <w:lang w:eastAsia="zh-CN"/>
        </w:rPr>
      </w:pPr>
      <w:r>
        <w:rPr>
          <w:rFonts w:ascii="宋体" w:eastAsia="宋体" w:hAnsi="宋体" w:cs="宋体"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0" w:firstLine="0" w:leftChars="0" w:firstLineChars="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七、投标文件签署授权委托书</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spacing w:line="360" w:lineRule="auto"/>
        <w:jc w:val="both"/>
        <w:rPr>
          <w:rFonts w:ascii="宋体" w:eastAsia="宋体" w:hAnsi="宋体" w:cs="宋体" w:hint="eastAsia"/>
          <w:kern w:val="2"/>
          <w:sz w:val="21"/>
          <w:szCs w:val="21"/>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，手机：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，电子邮箱：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2、投标时提供项目投标授权代表人近三个月（含开标当月）中的任意一个月的社会保险证明。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注：</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（1）投标人应如实提供上述人员的社会保险证明，如上述人员的社会保险未由投标人缴纳，亦须提供相应单位为其缴纳的社会保险证明。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（2）投标人为新成立企业且成立时间不足一个月可提供加盖投标人公章的情况说明或者证明材料亦视为符合。</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（3）若为退休人员，提供退休证明。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（4）如依法不需要缴纳社会保险的，应提供相应文件证明。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（5）若因为社保部门或税务部门原因无法提供的，需提供劳动合同及社保部门或税务部门官方通知证明（或官网公告截图）。</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（6）如本项目未安排项目投标授权代表人的，无需提供投标授权代表人的社保。</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trPr>
        <w:tc>
          <w:tcPr>
            <w:tcW w:w="4249"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c>
          <w:tcPr>
            <w:tcW w:w="4250"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r>
    </w:tbl>
    <w:p>
      <w:pPr>
        <w:widowControl w:val="0"/>
        <w:tabs>
          <w:tab w:val="left" w:pos="651"/>
        </w:tabs>
        <w:snapToGrid w:val="0"/>
        <w:rPr>
          <w:rFonts w:ascii="宋体" w:eastAsia="宋体" w:hAnsi="宋体" w:hint="eastAsia"/>
          <w:lang w:eastAsia="zh-CN"/>
        </w:rPr>
      </w:pPr>
    </w:p>
    <w:p>
      <w:pPr>
        <w:widowControl w:val="0"/>
        <w:spacing w:after="120" w:line="240" w:lineRule="auto"/>
        <w:ind w:left="480" w:firstLine="420" w:leftChars="200" w:firstLineChars="200"/>
        <w:jc w:val="both"/>
        <w:rPr>
          <w:rFonts w:ascii="黑体" w:eastAsia="黑体" w:hAnsi="Calibri"/>
          <w:lang w:eastAsia="zh-CN"/>
        </w:rPr>
      </w:pPr>
      <w:r>
        <w:rPr>
          <w:rFonts w:ascii="宋体" w:eastAsia="宋体" w:hAnsi="宋体" w:cs="宋体"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八、</w:t>
      </w:r>
      <w:bookmarkStart w:id="34" w:name="_Hlk72092634"/>
      <w:r>
        <w:rPr>
          <w:rFonts w:ascii="黑体" w:eastAsia="黑体" w:hAnsi="Calibri" w:cstheme="minorBidi" w:hint="eastAsia"/>
          <w:b/>
          <w:kern w:val="2"/>
          <w:sz w:val="30"/>
          <w:szCs w:val="22"/>
          <w:lang w:eastAsia="zh-CN"/>
        </w:rPr>
        <w:t>实质性条款响应情况表</w:t>
      </w:r>
      <w:bookmarkEnd w:id="34"/>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p>
    <w:p>
      <w:pPr>
        <w:widowControl w:val="0"/>
        <w:snapToGrid w:val="0"/>
        <w:spacing w:line="360" w:lineRule="auto"/>
        <w:jc w:val="both"/>
        <w:rPr>
          <w:rFonts w:ascii="宋体" w:eastAsia="宋体" w:hAnsi="宋体"/>
          <w:b/>
          <w:kern w:val="2"/>
          <w:sz w:val="21"/>
          <w:szCs w:val="21"/>
          <w:lang w:eastAsia="zh-CN"/>
        </w:rPr>
      </w:pPr>
      <w:r>
        <w:rPr>
          <w:rFonts w:ascii="宋体" w:eastAsia="宋体" w:hAnsi="宋体" w:hint="eastAsia"/>
          <w:b/>
          <w:kern w:val="2"/>
          <w:sz w:val="21"/>
          <w:szCs w:val="21"/>
          <w:lang w:eastAsia="zh-CN"/>
        </w:rPr>
        <w:t>填写说明：</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2、“投标文件响应”一栏应当详细填写投标人自身响应情况，而不能不合理照搬照抄招标文件实质性条款具体内容。</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b/>
          <w:bCs/>
          <w:szCs w:val="20"/>
          <w:lang w:eastAsia="zh-CN"/>
        </w:rPr>
      </w:pPr>
      <w:r>
        <w:rPr>
          <w:rFonts w:ascii="宋体" w:eastAsia="宋体" w:hAnsi="宋体" w:hint="eastAsia"/>
          <w:b/>
          <w:bCs/>
          <w:szCs w:val="20"/>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77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序号</w:t>
            </w:r>
          </w:p>
        </w:tc>
        <w:tc>
          <w:tcPr>
            <w:tcW w:w="126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货物名称</w:t>
            </w:r>
          </w:p>
        </w:tc>
        <w:tc>
          <w:tcPr>
            <w:tcW w:w="3028"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招标技术要求</w:t>
            </w:r>
          </w:p>
        </w:tc>
        <w:tc>
          <w:tcPr>
            <w:tcW w:w="2881"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投标技术响应</w:t>
            </w:r>
          </w:p>
        </w:tc>
        <w:tc>
          <w:tcPr>
            <w:tcW w:w="1210"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偏离情况</w:t>
            </w:r>
          </w:p>
        </w:tc>
        <w:tc>
          <w:tcPr>
            <w:tcW w:w="874"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456"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484"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招标商务要求</w:t>
            </w:r>
          </w:p>
        </w:tc>
        <w:tc>
          <w:tcPr>
            <w:tcW w:w="2404"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17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698"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kern w:val="2"/>
                <w:sz w:val="21"/>
                <w:szCs w:val="22"/>
                <w:lang w:eastAsia="zh-CN"/>
              </w:rPr>
            </w:pPr>
            <w:r>
              <w:rPr>
                <w:rFonts w:ascii="宋体" w:eastAsia="宋体" w:hAnsi="宋体" w:cs="宋体" w:hint="eastAsia"/>
                <w:b/>
                <w:sz w:val="21"/>
                <w:szCs w:val="21"/>
              </w:rPr>
              <w:t>（一）免费保修期内售后服务要求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484"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bCs/>
                <w:kern w:val="2"/>
                <w:sz w:val="21"/>
                <w:szCs w:val="22"/>
                <w:lang w:eastAsia="zh-CN"/>
              </w:rPr>
            </w:pPr>
            <w:r>
              <w:rPr>
                <w:rFonts w:ascii="宋体" w:eastAsia="宋体" w:hAnsi="宋体" w:cs="宋体" w:hint="eastAsia"/>
                <w:b/>
                <w:sz w:val="21"/>
                <w:szCs w:val="21"/>
              </w:rPr>
              <w:t>（二）免费保修期外售后服务要求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kern w:val="2"/>
                <w:sz w:val="21"/>
                <w:szCs w:val="22"/>
                <w:lang w:eastAsia="zh-CN"/>
              </w:rPr>
            </w:pPr>
            <w:r>
              <w:rPr>
                <w:rFonts w:ascii="宋体" w:eastAsia="宋体" w:hAnsi="宋体" w:cs="宋体" w:hint="eastAsia"/>
                <w:b/>
                <w:sz w:val="21"/>
                <w:szCs w:val="21"/>
              </w:rPr>
              <w:t>（三）其他商务要求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1、商务要求偏离表的序号、目录、招标商务要求等栏目对应“用户需求书”中的“商务条款要求”章节相关内容。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2、“投标商务响应”一栏必须一一对照“招标商务要求”，详细填写自身响应情况，而不能不合理照搬照抄招标文件的商务要求，以体现具体响应情况。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“投标商务响应”对比“招标商务要求”存在响应不全（包括未响应整项招标商务要求或者未响应一项招标商务要求的部分内容），均视为“负偏离”。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4、带★号条款为不可偏离条款，如未响应或出现负偏离的，将作投标无效处理。</w:t>
      </w: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十一、技术保障措施（格式自拟）</w:t>
      </w: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十二、</w:t>
      </w:r>
      <w:bookmarkStart w:id="35" w:name="_Hlk72062872"/>
      <w:r>
        <w:rPr>
          <w:rFonts w:ascii="黑体" w:eastAsia="黑体" w:hAnsi="宋体" w:cstheme="minorBidi" w:hint="eastAsia"/>
          <w:b/>
          <w:bCs/>
          <w:kern w:val="2"/>
          <w:sz w:val="30"/>
          <w:szCs w:val="30"/>
          <w:lang w:eastAsia="zh-CN"/>
        </w:rPr>
        <w:t>投标人认为需要加以说明的其他内容</w:t>
      </w:r>
      <w:bookmarkEnd w:id="35"/>
    </w:p>
    <w:p>
      <w:pPr>
        <w:jc w:val="center"/>
        <w:rPr>
          <w:rFonts w:ascii="宋体" w:eastAsia="宋体" w:hAnsi="宋体" w:hint="eastAsia"/>
          <w:szCs w:val="20"/>
          <w:lang w:eastAsia="zh-CN"/>
        </w:rPr>
      </w:pPr>
      <w:r>
        <w:rPr>
          <w:rFonts w:ascii="宋体" w:eastAsia="宋体" w:hAnsi="宋体" w:cstheme="minorBidi" w:hint="eastAsia"/>
          <w:szCs w:val="20"/>
          <w:lang w:eastAsia="zh-CN"/>
        </w:rPr>
        <w:t>（一）政府采购违法行为风险知悉确认书</w:t>
      </w:r>
    </w:p>
    <w:p>
      <w:pPr>
        <w:jc w:val="center"/>
        <w:rPr>
          <w:rFonts w:ascii="宋体" w:eastAsia="宋体" w:hAnsi="宋体" w:hint="eastAsia"/>
          <w:szCs w:val="20"/>
          <w:lang w:eastAsia="zh-CN"/>
        </w:rPr>
      </w:pPr>
    </w:p>
    <w:p>
      <w:pPr>
        <w:spacing w:after="120" w:afterLines="50" w:line="360" w:lineRule="exact"/>
        <w:ind w:firstLine="420" w:firstLineChars="20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序号</w:t>
            </w:r>
          </w:p>
        </w:tc>
        <w:tc>
          <w:tcPr>
            <w:tcW w:w="78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lang w:eastAsia="zh-CN"/>
              </w:rPr>
            </w:pPr>
            <w:r>
              <w:rPr>
                <w:rFonts w:ascii="宋体" w:hAnsi="宋体" w:cs="宋体" w:hint="eastAsia"/>
                <w:b/>
                <w:bCs/>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1</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与其他投标供应商的法定代表人、主要经营负责人、投标授权代表人、项目负责人、主要技术人员为</w:t>
            </w:r>
            <w:r>
              <w:rPr>
                <w:rFonts w:ascii="宋体" w:hAnsi="宋体" w:cs="宋体" w:hint="eastAsia"/>
                <w:b/>
                <w:bCs/>
                <w:sz w:val="21"/>
                <w:szCs w:val="21"/>
                <w:lang w:eastAsia="zh-CN"/>
              </w:rPr>
              <w:t>同一人、属同一单位或者在同一单位缴纳社会保险</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2</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参与本项目政府采购活动时，与其他投标供应商存在单位负责人为</w:t>
            </w:r>
            <w:r>
              <w:rPr>
                <w:rFonts w:ascii="宋体" w:hAnsi="宋体" w:cs="宋体" w:hint="eastAsia"/>
                <w:b/>
                <w:bCs/>
                <w:sz w:val="21"/>
                <w:szCs w:val="21"/>
                <w:lang w:eastAsia="zh-CN"/>
              </w:rPr>
              <w:t>同一人或直接控股、管理关系</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3</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与其他投标供应商的投标文件或部分投标文件</w:t>
            </w:r>
            <w:r>
              <w:rPr>
                <w:rFonts w:ascii="宋体" w:hAnsi="宋体" w:cs="宋体" w:hint="eastAsia"/>
                <w:b/>
                <w:bCs/>
                <w:sz w:val="21"/>
                <w:szCs w:val="21"/>
                <w:lang w:eastAsia="zh-CN"/>
              </w:rPr>
              <w:t>相互混装或存在非正常一致</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4</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与其他投标供应商的投标文件由</w:t>
            </w:r>
            <w:r>
              <w:rPr>
                <w:rFonts w:ascii="宋体" w:hAnsi="宋体" w:cs="宋体" w:hint="eastAsia"/>
                <w:b/>
                <w:bCs/>
                <w:sz w:val="21"/>
                <w:szCs w:val="21"/>
                <w:lang w:eastAsia="zh-CN"/>
              </w:rPr>
              <w:t>同一单位或者同一人编制</w:t>
            </w:r>
            <w:r>
              <w:rPr>
                <w:rFonts w:ascii="宋体" w:hAnsi="宋体" w:cs="宋体" w:hint="eastAsia"/>
                <w:sz w:val="21"/>
                <w:szCs w:val="21"/>
                <w:lang w:eastAsia="zh-CN"/>
              </w:rPr>
              <w:t>，或者使用</w:t>
            </w:r>
            <w:r>
              <w:rPr>
                <w:rFonts w:ascii="宋体" w:hAnsi="宋体" w:cs="宋体" w:hint="eastAsia"/>
                <w:b/>
                <w:bCs/>
                <w:sz w:val="21"/>
                <w:szCs w:val="21"/>
                <w:lang w:eastAsia="zh-CN"/>
              </w:rPr>
              <w:t>同一设备编制</w:t>
            </w:r>
            <w:r>
              <w:rPr>
                <w:rFonts w:ascii="宋体" w:hAnsi="宋体" w:cs="宋体" w:hint="eastAsia"/>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5</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提供</w:t>
            </w:r>
            <w:r>
              <w:rPr>
                <w:rFonts w:ascii="宋体" w:hAnsi="宋体" w:cs="宋体" w:hint="eastAsia"/>
                <w:b/>
                <w:bCs/>
                <w:sz w:val="21"/>
                <w:szCs w:val="21"/>
                <w:lang w:eastAsia="zh-CN"/>
              </w:rPr>
              <w:t>未经出具机构核实</w:t>
            </w:r>
            <w:r>
              <w:rPr>
                <w:rFonts w:ascii="宋体" w:hAnsi="宋体" w:cs="宋体" w:hint="eastAsia"/>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6</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擅自将投标密钥或电子营业执照出借他人使用或未妥善保管。</w:t>
            </w:r>
          </w:p>
        </w:tc>
      </w:tr>
    </w:tbl>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b/>
          <w:bCs/>
          <w:kern w:val="2"/>
          <w:sz w:val="21"/>
          <w:szCs w:val="21"/>
          <w:lang w:eastAsia="zh-CN"/>
        </w:rPr>
        <w:t>一、本公司已充分知悉“隐瞒真实情况，提供虚假资料”的法定情形，相关情形包括但不限于</w:t>
      </w:r>
      <w:r>
        <w:rPr>
          <w:rFonts w:ascii="宋体" w:eastAsia="宋体" w:hAnsi="宋体" w:cs="仿宋_GB2312" w:hint="eastAsia"/>
          <w:kern w:val="2"/>
          <w:sz w:val="21"/>
          <w:szCs w:val="21"/>
          <w:lang w:eastAsia="zh-CN"/>
        </w:rPr>
        <w:t>：</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（一）通过转让或者租借等方式从其他单位获取资格或者资质证书投标的。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（二）由其他单位或者其他单位负责人在投标供应商编制的投标文件上加盖印章或者签字的。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（三）项目负责人或者主要技术人员不是本单位人员的。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（四）投标保证金不是从投标供应商基本账户转出的。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（五）其他隐瞒真实情况、提供虚假资料的行为。</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b/>
          <w:bCs/>
          <w:kern w:val="2"/>
          <w:sz w:val="21"/>
          <w:szCs w:val="21"/>
          <w:lang w:eastAsia="zh-CN"/>
        </w:rPr>
        <w:t>二、本公司已充分知悉“与其他采购参加人串通投标”的法定情形，相关情形包括但不限于：</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（一）投标供应商之间相互约定给予未中标的供应商利益补偿。</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（三）不同投标供应商的投标文件由同一单位或者同一人编制，或者由同一人分阶段参与编制的。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（四）不同投标供应商的投标文件或部分投标文件相互混装。</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（五）不同投标供应商的投标文件内容存在非正常一致。</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（六）由同一单位工作人员为两家以上（含两家）供应商进行同一项投标活动的。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（七）不同投标人的投标报价呈规律性差异。</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（八）不同投标人的投标保证金从同一单位或者个人的账户转出。</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（九）主管部门依照法律、法规认定的其他情形。</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b/>
          <w:bCs/>
          <w:kern w:val="2"/>
          <w:sz w:val="21"/>
          <w:szCs w:val="21"/>
          <w:lang w:eastAsia="zh-CN"/>
        </w:rPr>
        <w:t>三、本公司已充分知悉下列情形所对应的法律风险，并在投标前已对相关风险事项进行排查。</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kern w:val="2"/>
          <w:sz w:val="21"/>
          <w:szCs w:val="21"/>
          <w:lang w:eastAsia="zh-CN"/>
        </w:rPr>
        <w:t>（一）对于</w:t>
      </w:r>
      <w:r>
        <w:rPr>
          <w:rFonts w:ascii="宋体" w:eastAsia="宋体" w:hAnsi="宋体" w:hint="eastAsia"/>
          <w:kern w:val="2"/>
          <w:sz w:val="21"/>
          <w:szCs w:val="21"/>
          <w:lang w:eastAsia="zh-CN"/>
        </w:rPr>
        <w:t>从</w:t>
      </w:r>
      <w:r>
        <w:rPr>
          <w:rFonts w:ascii="宋体" w:eastAsia="宋体" w:hAnsi="宋体" w:cs="仿宋_GB2312" w:hint="eastAsia"/>
          <w:kern w:val="2"/>
          <w:sz w:val="21"/>
          <w:szCs w:val="21"/>
          <w:lang w:eastAsia="zh-CN"/>
        </w:rPr>
        <w:t>其他主体</w:t>
      </w:r>
      <w:r>
        <w:rPr>
          <w:rFonts w:ascii="宋体" w:eastAsia="宋体" w:hAnsi="宋体" w:hint="eastAsia"/>
          <w:kern w:val="2"/>
          <w:sz w:val="21"/>
          <w:szCs w:val="21"/>
          <w:lang w:eastAsia="zh-CN"/>
        </w:rPr>
        <w:t>获取</w:t>
      </w:r>
      <w:r>
        <w:rPr>
          <w:rFonts w:ascii="宋体" w:eastAsia="宋体" w:hAnsi="宋体" w:cs="仿宋_GB2312" w:hint="eastAsia"/>
          <w:kern w:val="2"/>
          <w:sz w:val="21"/>
          <w:szCs w:val="21"/>
          <w:lang w:eastAsia="zh-CN"/>
        </w:rPr>
        <w:t>的投标资料，供应商应审慎核查，确保投标资料的真实性。</w:t>
      </w:r>
      <w:r>
        <w:rPr>
          <w:rFonts w:ascii="宋体" w:eastAsia="宋体" w:hAnsi="宋体" w:cs="仿宋_GB2312" w:hint="eastAsia"/>
          <w:b/>
          <w:bCs/>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（四）供应商应严格规范项目授权代表、员工参与招标投标的行为，加强对投标文件的审核。项目授权代表、员工</w:t>
      </w:r>
      <w:r>
        <w:rPr>
          <w:rFonts w:ascii="宋体" w:eastAsia="宋体" w:hAnsi="宋体" w:hint="eastAsia"/>
          <w:kern w:val="2"/>
          <w:sz w:val="21"/>
          <w:szCs w:val="21"/>
          <w:lang w:eastAsia="zh-CN"/>
        </w:rPr>
        <w:t>编制、上传</w:t>
      </w:r>
      <w:r>
        <w:rPr>
          <w:rFonts w:ascii="宋体" w:eastAsia="宋体" w:hAnsi="宋体" w:cs="仿宋_GB2312" w:hint="eastAsia"/>
          <w:kern w:val="2"/>
          <w:sz w:val="21"/>
          <w:szCs w:val="21"/>
          <w:lang w:eastAsia="zh-CN"/>
        </w:rPr>
        <w:t>投标文件</w:t>
      </w:r>
      <w:r>
        <w:rPr>
          <w:rFonts w:ascii="宋体" w:eastAsia="宋体" w:hAnsi="宋体" w:hint="eastAsia"/>
          <w:kern w:val="2"/>
          <w:sz w:val="21"/>
          <w:szCs w:val="21"/>
          <w:lang w:eastAsia="zh-CN"/>
        </w:rPr>
        <w:t>等行为</w:t>
      </w:r>
      <w:r>
        <w:rPr>
          <w:rFonts w:ascii="宋体" w:eastAsia="宋体" w:hAnsi="宋体" w:cs="仿宋_GB2312" w:hint="eastAsia"/>
          <w:kern w:val="2"/>
          <w:sz w:val="21"/>
          <w:szCs w:val="21"/>
          <w:lang w:eastAsia="zh-CN"/>
        </w:rPr>
        <w:t>违反政府采购法律法规或招标文件要求的，投标供应商应当依法承担相应法律责任。</w:t>
      </w:r>
    </w:p>
    <w:p>
      <w:pPr>
        <w:widowControl w:val="0"/>
        <w:spacing w:line="579" w:lineRule="exact"/>
        <w:ind w:firstLine="420" w:firstLineChars="200"/>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（六）单位负责人为同一人或者存在直接控股、管理关系的不同供应商，不得参加同一合同项下的政府采购活动。相关情形</w:t>
      </w:r>
      <w:r>
        <w:rPr>
          <w:rFonts w:ascii="宋体" w:eastAsia="宋体" w:hAnsi="宋体" w:hint="eastAsia"/>
          <w:kern w:val="2"/>
          <w:sz w:val="21"/>
          <w:szCs w:val="21"/>
          <w:lang w:eastAsia="zh-CN"/>
        </w:rPr>
        <w:t>如</w:t>
      </w:r>
      <w:r>
        <w:rPr>
          <w:rFonts w:ascii="宋体" w:eastAsia="宋体" w:hAnsi="宋体" w:cs="仿宋_GB2312" w:hint="eastAsia"/>
          <w:kern w:val="2"/>
          <w:sz w:val="21"/>
          <w:szCs w:val="21"/>
          <w:lang w:eastAsia="zh-CN"/>
        </w:rPr>
        <w:t>查实，依法作投标无效处理；涉嫌串通投标等违法行为的，主管部门将依法调查处理。</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b/>
          <w:bCs/>
          <w:kern w:val="2"/>
          <w:sz w:val="21"/>
          <w:szCs w:val="21"/>
          <w:lang w:eastAsia="zh-CN"/>
        </w:rPr>
        <w:t>四、本公司已充分知悉政府采购违法、违规行为的法律后果。</w:t>
      </w:r>
      <w:r>
        <w:rPr>
          <w:rFonts w:ascii="宋体" w:eastAsia="宋体" w:hAnsi="宋体" w:cs="仿宋_GB2312" w:hint="eastAsia"/>
          <w:kern w:val="2"/>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40" w:lineRule="exact"/>
        <w:ind w:firstLine="48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856"/>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eastAsia="宋体" w:hAnsi="宋体" w:hint="eastAsia"/>
                <w:spacing w:val="-4"/>
                <w:szCs w:val="21"/>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hint="eastAsia"/>
                <w:spacing w:val="-4"/>
                <w:szCs w:val="21"/>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hint="eastAsia"/>
                <w:spacing w:val="-4"/>
                <w:szCs w:val="21"/>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eastAsia="宋体" w:hAnsi="宋体" w:hint="eastAsia"/>
                <w:spacing w:val="-4"/>
                <w:szCs w:val="21"/>
              </w:rPr>
            </w:pPr>
          </w:p>
        </w:tc>
      </w:tr>
    </w:tbl>
    <w:p>
      <w:pPr>
        <w:widowControl w:val="0"/>
        <w:spacing w:line="579" w:lineRule="exact"/>
        <w:jc w:val="both"/>
        <w:rPr>
          <w:rFonts w:ascii="宋体" w:eastAsia="宋体" w:hAnsi="宋体" w:cs="仿宋_GB2312" w:hint="eastAsia"/>
          <w:kern w:val="2"/>
          <w:sz w:val="21"/>
          <w:szCs w:val="21"/>
          <w:u w:val="single"/>
          <w:lang w:eastAsia="zh-CN"/>
        </w:rPr>
      </w:pPr>
    </w:p>
    <w:p>
      <w:pPr>
        <w:widowControl w:val="0"/>
        <w:spacing w:line="560" w:lineRule="exact"/>
        <w:jc w:val="both"/>
        <w:rPr>
          <w:rFonts w:ascii="宋体" w:eastAsia="宋体" w:hAnsi="宋体" w:cs="宋体" w:hint="eastAsia"/>
          <w:kern w:val="2"/>
          <w:sz w:val="21"/>
          <w:szCs w:val="21"/>
          <w:lang w:eastAsia="zh-CN"/>
        </w:rPr>
      </w:pPr>
    </w:p>
    <w:p>
      <w:pPr>
        <w:widowControl w:val="0"/>
        <w:spacing w:before="60" w:beforeLines="25" w:after="60" w:afterLines="2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宋体" w:eastAsia="宋体" w:hAnsi="宋体" w:cstheme="minorBidi"/>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33" w:firstLineChars="206"/>
        <w:rPr>
          <w:rFonts w:ascii="宋体" w:eastAsia="宋体" w:hAnsi="宋体" w:cs="仿宋_GB2312" w:hint="eastAsia"/>
          <w:kern w:val="2"/>
          <w:sz w:val="21"/>
          <w:szCs w:val="21"/>
          <w:lang w:eastAsia="zh-CN"/>
        </w:rPr>
      </w:pPr>
    </w:p>
    <w:p>
      <w:pPr>
        <w:autoSpaceDE w:val="0"/>
        <w:autoSpaceDN w:val="0"/>
        <w:spacing w:line="400" w:lineRule="exact"/>
        <w:ind w:firstLine="420" w:firstLineChars="200"/>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20" w:firstLineChars="200"/>
        <w:rPr>
          <w:rFonts w:ascii="宋体" w:eastAsia="宋体" w:hAnsi="宋体" w:cs="仿宋_GB2312" w:hint="eastAsia"/>
          <w:kern w:val="2"/>
          <w:sz w:val="21"/>
          <w:szCs w:val="21"/>
          <w:lang w:eastAsia="zh-CN"/>
        </w:rPr>
      </w:pPr>
    </w:p>
    <w:p>
      <w:pPr>
        <w:jc w:val="center"/>
        <w:rPr>
          <w:rFonts w:ascii="宋体" w:eastAsia="宋体" w:hAnsi="宋体" w:hint="eastAsia"/>
          <w:sz w:val="21"/>
          <w:szCs w:val="21"/>
          <w:lang w:eastAsia="zh-CN"/>
        </w:rPr>
      </w:pPr>
      <w:r>
        <w:rPr>
          <w:rFonts w:ascii="宋体" w:eastAsia="宋体" w:hAnsi="宋体" w:cstheme="minorBidi" w:hint="eastAsia"/>
          <w:sz w:val="21"/>
          <w:szCs w:val="21"/>
          <w:lang w:eastAsia="zh-CN"/>
        </w:rPr>
        <w:t>（二）投标人认为需要加以说明的其他内容（格式自定）</w:t>
      </w:r>
    </w:p>
    <w:p>
      <w:pPr>
        <w:widowControl w:val="0"/>
        <w:spacing w:line="360" w:lineRule="auto"/>
        <w:jc w:val="both"/>
        <w:rPr>
          <w:rFonts w:ascii="宋体" w:eastAsia="宋体" w:hAnsi="宋体" w:cs="宋体" w:hint="eastAsia"/>
          <w:b/>
          <w:bCs/>
          <w:szCs w:val="20"/>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cs="宋体" w:hint="eastAsia"/>
          <w:kern w:val="2"/>
          <w:sz w:val="21"/>
          <w:szCs w:val="21"/>
          <w:lang w:eastAsia="zh-CN"/>
        </w:rPr>
      </w:pPr>
      <w:bookmarkStart w:id="36" w:name="_Hlk72574405"/>
      <w:bookmarkStart w:id="37" w:name="_Hlk72260917"/>
      <w:r>
        <w:rPr>
          <w:rFonts w:ascii="宋体" w:eastAsia="宋体" w:hAnsi="宋体" w:cs="宋体" w:hint="eastAsia"/>
          <w:b/>
          <w:kern w:val="2"/>
          <w:sz w:val="21"/>
          <w:szCs w:val="21"/>
          <w:lang w:eastAsia="zh-CN"/>
        </w:rPr>
        <w:t>（仅供参考，具体以项目需求及采购结果为准）</w:t>
      </w:r>
      <w:bookmarkEnd w:id="36"/>
    </w:p>
    <w:bookmarkEnd w:id="37"/>
    <w:p>
      <w:pPr>
        <w:ind w:right="-900" w:firstLine="3570" w:rightChars="-375" w:firstLineChars="1700"/>
        <w:rPr>
          <w:rFonts w:ascii="宋体" w:eastAsia="宋体" w:hAnsi="宋体" w:cs="宋体" w:hint="eastAsia"/>
          <w:b/>
          <w:sz w:val="21"/>
          <w:szCs w:val="21"/>
        </w:rPr>
      </w:pPr>
      <w:r>
        <w:rPr>
          <w:rFonts w:ascii="宋体" w:eastAsia="宋体" w:hAnsi="宋体" w:cs="宋体" w:hint="eastAsia"/>
          <w:b/>
          <w:sz w:val="21"/>
          <w:szCs w:val="21"/>
        </w:rPr>
        <w:t>医疗设备采购合同</w:t>
      </w:r>
    </w:p>
    <w:p>
      <w:pPr>
        <w:ind w:right="-900" w:firstLine="1663" w:rightChars="-375" w:firstLineChars="792"/>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                                          合同编号：</w:t>
      </w:r>
    </w:p>
    <w:p>
      <w:pPr>
        <w:spacing w:before="120" w:beforeLines="50" w:after="120" w:afterLines="50"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甲方</w:t>
      </w:r>
      <w:r>
        <w:rPr>
          <w:rFonts w:ascii="宋体" w:eastAsia="宋体" w:hAnsi="宋体" w:cs="宋体" w:hint="eastAsia"/>
          <w:color w:val="000000"/>
          <w:sz w:val="21"/>
          <w:szCs w:val="21"/>
          <w:lang w:eastAsia="zh-CN"/>
        </w:rPr>
        <w:t>（采购单位）</w:t>
      </w:r>
      <w:r>
        <w:rPr>
          <w:rFonts w:ascii="宋体" w:eastAsia="宋体" w:hAnsi="宋体" w:cs="宋体" w:hint="eastAsia"/>
          <w:color w:val="000000"/>
          <w:sz w:val="21"/>
          <w:szCs w:val="21"/>
        </w:rPr>
        <w:t>：深圳市</w:t>
      </w:r>
      <w:r>
        <w:rPr>
          <w:rFonts w:ascii="宋体" w:eastAsia="宋体" w:hAnsi="宋体" w:cs="宋体" w:hint="eastAsia"/>
          <w:color w:val="000000"/>
          <w:sz w:val="21"/>
          <w:szCs w:val="21"/>
          <w:lang w:eastAsia="zh-CN"/>
        </w:rPr>
        <w:t>龙华区</w:t>
      </w:r>
      <w:r>
        <w:rPr>
          <w:rFonts w:ascii="宋体" w:eastAsia="宋体" w:hAnsi="宋体" w:cs="宋体" w:hint="eastAsia"/>
          <w:color w:val="000000"/>
          <w:sz w:val="21"/>
          <w:szCs w:val="21"/>
        </w:rPr>
        <w:t xml:space="preserve">中心医院                          </w:t>
      </w:r>
    </w:p>
    <w:p>
      <w:pPr>
        <w:spacing w:before="120" w:beforeLines="50" w:after="120" w:afterLines="50"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乙方（供货</w:t>
      </w:r>
      <w:r>
        <w:rPr>
          <w:rFonts w:ascii="宋体" w:eastAsia="宋体" w:hAnsi="宋体" w:cs="宋体" w:hint="eastAsia"/>
          <w:color w:val="000000"/>
          <w:sz w:val="21"/>
          <w:szCs w:val="21"/>
          <w:lang w:eastAsia="zh-CN"/>
        </w:rPr>
        <w:t>单位</w:t>
      </w:r>
      <w:r>
        <w:rPr>
          <w:rFonts w:ascii="宋体" w:eastAsia="宋体" w:hAnsi="宋体" w:cs="宋体" w:hint="eastAsia"/>
          <w:color w:val="000000"/>
          <w:sz w:val="21"/>
          <w:szCs w:val="21"/>
        </w:rPr>
        <w:t>）：</w:t>
      </w:r>
    </w:p>
    <w:p>
      <w:pP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是否为</w:t>
      </w:r>
      <w:r>
        <w:rPr>
          <w:rFonts w:ascii="宋体" w:eastAsia="宋体" w:hAnsi="宋体" w:cs="宋体" w:hint="eastAsia"/>
          <w:color w:val="000000"/>
          <w:sz w:val="21"/>
          <w:szCs w:val="21"/>
          <w:lang w:eastAsia="zh-CN"/>
        </w:rPr>
        <w:t>中</w:t>
      </w:r>
      <w:r>
        <w:rPr>
          <w:rFonts w:ascii="宋体" w:eastAsia="宋体" w:hAnsi="宋体" w:cs="宋体" w:hint="eastAsia"/>
          <w:color w:val="000000"/>
          <w:sz w:val="21"/>
          <w:szCs w:val="21"/>
        </w:rPr>
        <w:t>小企业：</w:t>
      </w:r>
      <w:r>
        <w:rPr>
          <w:rFonts w:ascii="Wingdings" w:eastAsia="宋体" w:hAnsi="Wingdings" w:cs="宋体"/>
          <w:color w:val="000000"/>
          <w:sz w:val="21"/>
          <w:szCs w:val="21"/>
        </w:rPr>
        <w:sym w:font="Wingdings" w:char="F0A8"/>
      </w:r>
      <w:r>
        <w:rPr>
          <w:rFonts w:ascii="宋体" w:eastAsia="宋体" w:hAnsi="宋体" w:cs="宋体" w:hint="eastAsia"/>
          <w:color w:val="000000"/>
          <w:sz w:val="21"/>
          <w:szCs w:val="21"/>
        </w:rPr>
        <w:t>是</w:t>
      </w:r>
      <w:r>
        <w:rPr>
          <w:rFonts w:ascii="宋体" w:eastAsia="宋体" w:hAnsi="宋体" w:cs="宋体" w:hint="eastAsia"/>
          <w:color w:val="000000"/>
          <w:sz w:val="21"/>
          <w:szCs w:val="21"/>
          <w:lang w:eastAsia="zh-CN"/>
        </w:rPr>
        <w:t xml:space="preserve">    </w:t>
      </w:r>
      <w:r>
        <w:rPr>
          <w:rFonts w:ascii="Wingdings" w:eastAsia="宋体" w:hAnsi="Wingdings" w:cs="宋体"/>
          <w:color w:val="000000"/>
          <w:sz w:val="21"/>
          <w:szCs w:val="21"/>
        </w:rPr>
        <w:sym w:font="Wingdings" w:char="F0A8"/>
      </w:r>
      <w:r>
        <w:rPr>
          <w:rFonts w:ascii="宋体" w:eastAsia="宋体" w:hAnsi="宋体" w:cs="宋体" w:hint="eastAsia"/>
          <w:color w:val="000000"/>
          <w:sz w:val="21"/>
          <w:szCs w:val="21"/>
        </w:rPr>
        <w:t xml:space="preserve">否  </w:t>
      </w:r>
      <w:r>
        <w:rPr>
          <w:rFonts w:ascii="宋体" w:eastAsia="宋体" w:hAnsi="宋体" w:cs="宋体" w:hint="eastAsia"/>
          <w:color w:val="000000"/>
          <w:sz w:val="21"/>
          <w:szCs w:val="21"/>
        </w:rPr>
        <w:t xml:space="preserve">     </w:t>
      </w:r>
    </w:p>
    <w:p>
      <w:pPr>
        <w:spacing w:before="120" w:beforeLines="50" w:after="120" w:afterLines="50" w:line="360" w:lineRule="auto"/>
        <w:ind w:firstLine="412" w:firstLineChars="196"/>
        <w:rPr>
          <w:rFonts w:ascii="宋体" w:eastAsia="宋体" w:hAnsi="宋体" w:cs="宋体" w:hint="eastAsia"/>
          <w:color w:val="000000"/>
          <w:sz w:val="21"/>
          <w:szCs w:val="21"/>
        </w:rPr>
      </w:pPr>
      <w:r>
        <w:rPr>
          <w:rFonts w:ascii="宋体" w:eastAsia="宋体" w:hAnsi="宋体" w:cs="宋体" w:hint="eastAsia"/>
          <w:color w:val="000000"/>
          <w:sz w:val="21"/>
          <w:szCs w:val="21"/>
        </w:rPr>
        <w:t>合同签订</w:t>
      </w:r>
      <w:r>
        <w:rPr>
          <w:rFonts w:ascii="宋体" w:eastAsia="宋体" w:hAnsi="宋体" w:cs="宋体" w:hint="eastAsia"/>
          <w:color w:val="000000"/>
          <w:sz w:val="21"/>
          <w:szCs w:val="21"/>
          <w:lang w:eastAsia="zh-CN"/>
        </w:rPr>
        <w:t>双</w:t>
      </w:r>
      <w:r>
        <w:rPr>
          <w:rFonts w:ascii="宋体" w:eastAsia="宋体" w:hAnsi="宋体" w:cs="宋体" w:hint="eastAsia"/>
          <w:color w:val="000000"/>
          <w:sz w:val="21"/>
          <w:szCs w:val="21"/>
        </w:rPr>
        <w:t>方根据   年  月  日深圳市</w:t>
      </w:r>
      <w:r>
        <w:rPr>
          <w:rFonts w:ascii="宋体" w:eastAsia="宋体" w:hAnsi="宋体" w:cs="宋体" w:hint="eastAsia"/>
          <w:color w:val="000000"/>
          <w:sz w:val="21"/>
          <w:szCs w:val="21"/>
          <w:lang w:eastAsia="zh-CN"/>
        </w:rPr>
        <w:t>龙华区</w:t>
      </w:r>
      <w:r>
        <w:rPr>
          <w:rFonts w:ascii="宋体" w:eastAsia="宋体" w:hAnsi="宋体" w:cs="宋体" w:hint="eastAsia"/>
          <w:color w:val="000000"/>
          <w:sz w:val="21"/>
          <w:szCs w:val="21"/>
        </w:rPr>
        <w:t>中心医院</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lang w:eastAsia="zh-CN"/>
        </w:rPr>
        <w:t>项目（项目编号：</w:t>
      </w:r>
      <w:r>
        <w:rPr>
          <w:rFonts w:ascii="宋体" w:eastAsia="宋体" w:hAnsi="宋体" w:cs="宋体" w:hint="eastAsia"/>
          <w:color w:val="000000"/>
          <w:sz w:val="21"/>
          <w:szCs w:val="21"/>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招投标的结果和“招标文件”的要求，</w:t>
      </w:r>
      <w:r>
        <w:rPr>
          <w:rFonts w:ascii="宋体" w:eastAsia="宋体" w:hAnsi="宋体" w:cs="宋体" w:hint="eastAsia"/>
          <w:sz w:val="21"/>
          <w:szCs w:val="21"/>
          <w:lang w:eastAsia="zh-CN"/>
        </w:rPr>
        <w:t>按照《中华人民共和国民法典》和《深圳经济特区政府采购条例》等法律法规的规定，</w:t>
      </w:r>
      <w:r>
        <w:rPr>
          <w:rFonts w:ascii="宋体" w:eastAsia="宋体" w:hAnsi="宋体" w:cs="宋体" w:hint="eastAsia"/>
          <w:color w:val="000000"/>
          <w:sz w:val="21"/>
          <w:szCs w:val="21"/>
        </w:rPr>
        <w:t>经双方协调一致，达成</w:t>
      </w:r>
      <w:r>
        <w:rPr>
          <w:rFonts w:ascii="宋体" w:eastAsia="宋体" w:hAnsi="宋体" w:cs="宋体" w:hint="eastAsia"/>
          <w:color w:val="000000"/>
          <w:sz w:val="21"/>
          <w:szCs w:val="21"/>
          <w:lang w:eastAsia="zh-CN"/>
        </w:rPr>
        <w:t>以下</w:t>
      </w:r>
      <w:r>
        <w:rPr>
          <w:rFonts w:ascii="宋体" w:eastAsia="宋体" w:hAnsi="宋体" w:cs="宋体" w:hint="eastAsia"/>
          <w:color w:val="000000"/>
          <w:sz w:val="21"/>
          <w:szCs w:val="21"/>
        </w:rPr>
        <w:t>购销合同：</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一、</w:t>
      </w:r>
      <w:r>
        <w:rPr>
          <w:rFonts w:ascii="宋体" w:eastAsia="宋体" w:hAnsi="宋体" w:cs="宋体" w:hint="eastAsia"/>
          <w:color w:val="000000"/>
          <w:sz w:val="21"/>
          <w:szCs w:val="21"/>
          <w:lang w:eastAsia="zh-CN"/>
        </w:rPr>
        <w:t>货物标的</w:t>
      </w:r>
    </w:p>
    <w:tbl>
      <w:tblPr>
        <w:tblStyle w:val="TableNormal"/>
        <w:tblW w:w="5000" w:type="pct"/>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1618"/>
        <w:gridCol w:w="1097"/>
        <w:gridCol w:w="1080"/>
        <w:gridCol w:w="753"/>
        <w:gridCol w:w="674"/>
        <w:gridCol w:w="659"/>
        <w:gridCol w:w="1096"/>
        <w:gridCol w:w="1204"/>
      </w:tblGrid>
      <w:tr>
        <w:tblPrEx>
          <w:tblW w:w="5000" w:type="pct"/>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8"/>
          <w:tblHeader/>
        </w:trPr>
        <w:tc>
          <w:tcPr>
            <w:tcW w:w="732"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r>
              <w:rPr>
                <w:rFonts w:ascii="宋体" w:eastAsia="宋体" w:hAnsi="宋体" w:cs="宋体" w:hint="eastAsia"/>
                <w:sz w:val="21"/>
                <w:szCs w:val="21"/>
              </w:rPr>
              <w:t>序号</w:t>
            </w:r>
          </w:p>
        </w:tc>
        <w:tc>
          <w:tcPr>
            <w:tcW w:w="1793"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lang w:eastAsia="zh-CN"/>
              </w:rPr>
            </w:pPr>
            <w:r>
              <w:rPr>
                <w:rFonts w:ascii="宋体" w:eastAsia="宋体" w:hAnsi="宋体" w:cs="宋体" w:hint="eastAsia"/>
                <w:sz w:val="21"/>
                <w:szCs w:val="21"/>
              </w:rPr>
              <w:t>设备名称</w:t>
            </w:r>
          </w:p>
        </w:tc>
        <w:tc>
          <w:tcPr>
            <w:tcW w:w="1210"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r>
              <w:rPr>
                <w:rFonts w:ascii="宋体" w:eastAsia="宋体" w:hAnsi="宋体" w:cs="宋体" w:hint="eastAsia"/>
                <w:sz w:val="21"/>
                <w:szCs w:val="21"/>
              </w:rPr>
              <w:t>规格型号</w:t>
            </w:r>
          </w:p>
        </w:tc>
        <w:tc>
          <w:tcPr>
            <w:tcW w:w="119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lang w:eastAsia="zh-CN"/>
              </w:rPr>
            </w:pPr>
            <w:r>
              <w:rPr>
                <w:rFonts w:ascii="宋体" w:eastAsia="宋体" w:hAnsi="宋体" w:cs="宋体" w:hint="eastAsia"/>
                <w:sz w:val="21"/>
                <w:szCs w:val="21"/>
              </w:rPr>
              <w:t>生产厂家</w:t>
            </w:r>
          </w:p>
        </w:tc>
        <w:tc>
          <w:tcPr>
            <w:tcW w:w="82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r>
              <w:rPr>
                <w:rFonts w:ascii="宋体" w:eastAsia="宋体" w:hAnsi="宋体" w:cs="宋体" w:hint="eastAsia"/>
                <w:sz w:val="21"/>
                <w:szCs w:val="21"/>
                <w:lang w:eastAsia="zh-CN"/>
              </w:rPr>
              <w:t>产地</w:t>
            </w:r>
          </w:p>
        </w:tc>
        <w:tc>
          <w:tcPr>
            <w:tcW w:w="732"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单位</w:t>
            </w:r>
          </w:p>
        </w:tc>
        <w:tc>
          <w:tcPr>
            <w:tcW w:w="715"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数量</w:t>
            </w:r>
          </w:p>
        </w:tc>
        <w:tc>
          <w:tcPr>
            <w:tcW w:w="1209"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r>
              <w:rPr>
                <w:rFonts w:ascii="宋体" w:eastAsia="宋体" w:hAnsi="宋体" w:cs="宋体" w:hint="eastAsia"/>
                <w:sz w:val="21"/>
                <w:szCs w:val="21"/>
              </w:rPr>
              <w:t>单价(元)</w:t>
            </w:r>
          </w:p>
        </w:tc>
        <w:tc>
          <w:tcPr>
            <w:tcW w:w="133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r>
              <w:rPr>
                <w:rFonts w:ascii="宋体" w:eastAsia="宋体" w:hAnsi="宋体" w:cs="宋体" w:hint="eastAsia"/>
                <w:sz w:val="21"/>
                <w:szCs w:val="21"/>
                <w:lang w:eastAsia="zh-CN"/>
              </w:rPr>
              <w:t>总价</w:t>
            </w:r>
            <w:r>
              <w:rPr>
                <w:rFonts w:ascii="宋体" w:eastAsia="宋体" w:hAnsi="宋体" w:cs="宋体" w:hint="eastAsia"/>
                <w:sz w:val="21"/>
                <w:szCs w:val="21"/>
              </w:rPr>
              <w:t>(元)</w:t>
            </w:r>
          </w:p>
        </w:tc>
      </w:tr>
      <w:tr>
        <w:tblPrEx>
          <w:tblW w:w="5000" w:type="pct"/>
          <w:tblInd w:w="-329" w:type="dxa"/>
          <w:tblLayout w:type="fixed"/>
          <w:tblCellMar>
            <w:top w:w="0" w:type="dxa"/>
            <w:left w:w="108" w:type="dxa"/>
            <w:bottom w:w="0" w:type="dxa"/>
            <w:right w:w="108" w:type="dxa"/>
          </w:tblCellMar>
        </w:tblPrEx>
        <w:trPr>
          <w:trHeight w:val="309"/>
          <w:tblHeader/>
        </w:trPr>
        <w:tc>
          <w:tcPr>
            <w:tcW w:w="732"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r>
              <w:rPr>
                <w:rFonts w:ascii="宋体" w:eastAsia="宋体" w:hAnsi="宋体" w:cs="宋体" w:hint="eastAsia"/>
                <w:sz w:val="21"/>
                <w:szCs w:val="21"/>
              </w:rPr>
              <w:t>1</w:t>
            </w:r>
          </w:p>
        </w:tc>
        <w:tc>
          <w:tcPr>
            <w:tcW w:w="1793"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210"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19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82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732"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715"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209"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33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r>
      <w:tr>
        <w:tblPrEx>
          <w:tblW w:w="5000" w:type="pct"/>
          <w:tblInd w:w="-329" w:type="dxa"/>
          <w:tblLayout w:type="fixed"/>
          <w:tblCellMar>
            <w:top w:w="0" w:type="dxa"/>
            <w:left w:w="108" w:type="dxa"/>
            <w:bottom w:w="0" w:type="dxa"/>
            <w:right w:w="108" w:type="dxa"/>
          </w:tblCellMar>
        </w:tblPrEx>
        <w:trPr>
          <w:trHeight w:val="309"/>
          <w:tblHeader/>
        </w:trPr>
        <w:tc>
          <w:tcPr>
            <w:tcW w:w="732"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793"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210"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19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82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732"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715"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209"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33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r>
      <w:tr>
        <w:tblPrEx>
          <w:tblW w:w="5000" w:type="pct"/>
          <w:tblInd w:w="-329" w:type="dxa"/>
          <w:tblLayout w:type="fixed"/>
          <w:tblCellMar>
            <w:top w:w="0" w:type="dxa"/>
            <w:left w:w="108" w:type="dxa"/>
            <w:bottom w:w="0" w:type="dxa"/>
            <w:right w:w="108" w:type="dxa"/>
          </w:tblCellMar>
        </w:tblPrEx>
        <w:trPr>
          <w:trHeight w:val="309"/>
          <w:tblHeader/>
        </w:trPr>
        <w:tc>
          <w:tcPr>
            <w:tcW w:w="732"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1793"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210"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19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82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732"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715"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209"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c>
          <w:tcPr>
            <w:tcW w:w="1331" w:type="dxa"/>
            <w:tcBorders>
              <w:top w:val="single" w:sz="4" w:space="0" w:color="auto"/>
              <w:left w:val="single" w:sz="4" w:space="0" w:color="auto"/>
              <w:bottom w:val="single" w:sz="4" w:space="0" w:color="auto"/>
              <w:right w:val="single" w:sz="4" w:space="0" w:color="auto"/>
            </w:tcBorders>
            <w:noWrap w:val="0"/>
            <w:vAlign w:val="center"/>
          </w:tcPr>
          <w:p>
            <w:pPr>
              <w:spacing w:line="0" w:lineRule="atLeast"/>
              <w:jc w:val="center"/>
              <w:rPr>
                <w:rFonts w:ascii="宋体" w:eastAsia="宋体" w:hAnsi="宋体" w:cs="宋体" w:hint="eastAsia"/>
                <w:sz w:val="21"/>
                <w:szCs w:val="21"/>
              </w:rPr>
            </w:pPr>
          </w:p>
        </w:tc>
      </w:tr>
      <w:tr>
        <w:tblPrEx>
          <w:tblW w:w="5000" w:type="pct"/>
          <w:tblInd w:w="-329" w:type="dxa"/>
          <w:tblLayout w:type="fixed"/>
          <w:tblCellMar>
            <w:top w:w="0" w:type="dxa"/>
            <w:left w:w="108" w:type="dxa"/>
            <w:bottom w:w="0" w:type="dxa"/>
            <w:right w:w="108" w:type="dxa"/>
          </w:tblCellMar>
        </w:tblPrEx>
        <w:trPr>
          <w:trHeight w:val="469"/>
          <w:tblHeader/>
        </w:trPr>
        <w:tc>
          <w:tcPr>
            <w:tcW w:w="2530" w:type="dxa"/>
            <w:gridSpan w:val="2"/>
            <w:tcBorders>
              <w:top w:val="single" w:sz="4" w:space="0" w:color="auto"/>
              <w:left w:val="single" w:sz="4" w:space="0" w:color="auto"/>
              <w:bottom w:val="single" w:sz="4" w:space="0" w:color="auto"/>
              <w:right w:val="single" w:sz="4" w:space="0" w:color="auto"/>
            </w:tcBorders>
            <w:noWrap w:val="0"/>
            <w:vAlign w:val="top"/>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rPr>
              <w:t>合计</w:t>
            </w:r>
            <w:r>
              <w:rPr>
                <w:rFonts w:ascii="宋体" w:eastAsia="宋体" w:hAnsi="宋体" w:cs="宋体" w:hint="eastAsia"/>
                <w:sz w:val="21"/>
                <w:szCs w:val="21"/>
                <w:lang w:eastAsia="zh-CN"/>
              </w:rPr>
              <w:t>金额（含税）</w:t>
            </w:r>
          </w:p>
        </w:tc>
        <w:tc>
          <w:tcPr>
            <w:tcW w:w="7204" w:type="dxa"/>
            <w:gridSpan w:val="7"/>
            <w:tcBorders>
              <w:top w:val="single" w:sz="4" w:space="0" w:color="auto"/>
              <w:left w:val="single" w:sz="4" w:space="0" w:color="auto"/>
              <w:bottom w:val="single" w:sz="4" w:space="0" w:color="auto"/>
              <w:right w:val="single" w:sz="4" w:space="0" w:color="auto"/>
            </w:tcBorders>
            <w:noWrap w:val="0"/>
            <w:vAlign w:val="top"/>
          </w:tcPr>
          <w:p>
            <w:pPr>
              <w:spacing w:line="360" w:lineRule="auto"/>
              <w:rPr>
                <w:rFonts w:ascii="宋体" w:eastAsia="宋体" w:hAnsi="宋体" w:cs="宋体" w:hint="eastAsia"/>
                <w:sz w:val="21"/>
                <w:szCs w:val="21"/>
              </w:rPr>
            </w:pPr>
            <w:r>
              <w:rPr>
                <w:rFonts w:ascii="宋体" w:eastAsia="宋体" w:hAnsi="宋体" w:cs="宋体" w:hint="eastAsia"/>
                <w:sz w:val="21"/>
                <w:szCs w:val="21"/>
              </w:rPr>
              <w:t>¥   元（大写：</w:t>
            </w:r>
            <w:r>
              <w:rPr>
                <w:rFonts w:ascii="宋体" w:eastAsia="宋体" w:hAnsi="宋体" w:cs="宋体" w:hint="eastAsia"/>
                <w:sz w:val="21"/>
                <w:szCs w:val="21"/>
                <w:lang w:eastAsia="zh-CN"/>
              </w:rPr>
              <w:t xml:space="preserve"> </w:t>
            </w:r>
            <w:r>
              <w:rPr>
                <w:rFonts w:ascii="宋体" w:eastAsia="宋体" w:hAnsi="宋体" w:cs="宋体" w:hint="eastAsia"/>
                <w:sz w:val="21"/>
                <w:szCs w:val="21"/>
              </w:rPr>
              <w:t>）</w:t>
            </w:r>
          </w:p>
        </w:tc>
      </w:tr>
    </w:tbl>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 xml:space="preserve"> </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rPr>
        <w:t>二、合同总价：</w:t>
      </w:r>
      <w:r>
        <w:rPr>
          <w:rFonts w:ascii="宋体" w:eastAsia="宋体" w:hAnsi="宋体" w:cs="宋体" w:hint="eastAsia"/>
          <w:sz w:val="21"/>
          <w:szCs w:val="21"/>
          <w:lang w:eastAsia="zh-CN"/>
        </w:rPr>
        <w:t xml:space="preserve">        元（大写：       ）</w:t>
      </w:r>
    </w:p>
    <w:p>
      <w:pPr>
        <w:keepNext w:val="0"/>
        <w:keepLines w:val="0"/>
        <w:pageBreakBefore w:val="0"/>
        <w:widowControl w:val="0"/>
        <w:kinsoku/>
        <w:wordWrap/>
        <w:overflowPunct/>
        <w:topLinePunct w:val="0"/>
        <w:autoSpaceDE/>
        <w:autoSpaceDN/>
        <w:bidi w:val="0"/>
        <w:adjustRightInd/>
        <w:snapToGrid/>
        <w:spacing w:line="360" w:lineRule="auto"/>
        <w:ind w:left="480" w:firstLine="0" w:leftChars="200" w:firstLineChars="0"/>
        <w:textAlignment w:val="auto"/>
        <w:rPr>
          <w:rFonts w:ascii="宋体" w:eastAsia="宋体" w:hAnsi="宋体" w:cs="宋体" w:hint="eastAsia"/>
          <w:sz w:val="21"/>
          <w:szCs w:val="21"/>
        </w:rPr>
      </w:pPr>
      <w:r>
        <w:rPr>
          <w:rFonts w:ascii="宋体" w:eastAsia="宋体" w:hAnsi="宋体" w:cs="宋体" w:hint="eastAsia"/>
          <w:sz w:val="21"/>
          <w:szCs w:val="21"/>
        </w:rPr>
        <w:t>（此价包含设备的包装费、运费、装卸费、</w:t>
      </w:r>
      <w:r>
        <w:rPr>
          <w:rFonts w:ascii="宋体" w:eastAsia="宋体" w:hAnsi="宋体" w:cs="宋体" w:hint="eastAsia"/>
          <w:sz w:val="21"/>
          <w:szCs w:val="21"/>
          <w:lang w:eastAsia="zh-CN"/>
        </w:rPr>
        <w:t>仓储费、</w:t>
      </w:r>
      <w:r>
        <w:rPr>
          <w:rFonts w:ascii="宋体" w:eastAsia="宋体" w:hAnsi="宋体" w:cs="宋体" w:hint="eastAsia"/>
          <w:sz w:val="21"/>
          <w:szCs w:val="21"/>
        </w:rPr>
        <w:t>保险费、安装调试费、培训费、商检及计量检测费、关税、增值税和进口代理费等到达目的地相关</w:t>
      </w:r>
      <w:r>
        <w:rPr>
          <w:rFonts w:ascii="宋体" w:eastAsia="宋体" w:hAnsi="宋体" w:cs="宋体" w:hint="eastAsia"/>
          <w:sz w:val="21"/>
          <w:szCs w:val="21"/>
          <w:lang w:eastAsia="zh-CN"/>
        </w:rPr>
        <w:t>所有</w:t>
      </w:r>
      <w:r>
        <w:rPr>
          <w:rFonts w:ascii="宋体" w:eastAsia="宋体" w:hAnsi="宋体" w:cs="宋体" w:hint="eastAsia"/>
          <w:sz w:val="21"/>
          <w:szCs w:val="21"/>
        </w:rPr>
        <w:t xml:space="preserve">费用）。 </w:t>
      </w:r>
    </w:p>
    <w:p>
      <w:pPr>
        <w:spacing w:line="360" w:lineRule="auto"/>
        <w:rPr>
          <w:rFonts w:ascii="宋体" w:eastAsia="宋体" w:hAnsi="宋体" w:cs="宋体" w:hint="eastAsia"/>
          <w:sz w:val="21"/>
          <w:szCs w:val="21"/>
        </w:rPr>
      </w:pPr>
      <w:r>
        <w:rPr>
          <w:rFonts w:ascii="宋体" w:eastAsia="宋体" w:hAnsi="宋体" w:cs="宋体" w:hint="eastAsia"/>
          <w:sz w:val="21"/>
          <w:szCs w:val="21"/>
          <w:lang w:eastAsia="zh-CN"/>
        </w:rPr>
        <w:t>三</w:t>
      </w:r>
      <w:r>
        <w:rPr>
          <w:rFonts w:ascii="宋体" w:eastAsia="宋体" w:hAnsi="宋体" w:cs="宋体" w:hint="eastAsia"/>
          <w:sz w:val="21"/>
          <w:szCs w:val="21"/>
        </w:rPr>
        <w:t>、</w:t>
      </w:r>
      <w:r>
        <w:rPr>
          <w:rFonts w:ascii="宋体" w:eastAsia="宋体" w:hAnsi="宋体" w:cs="宋体" w:hint="eastAsia"/>
          <w:sz w:val="21"/>
          <w:szCs w:val="21"/>
          <w:lang w:eastAsia="zh-CN"/>
        </w:rPr>
        <w:t>交货、验收时间和</w:t>
      </w:r>
      <w:r>
        <w:rPr>
          <w:rFonts w:ascii="宋体" w:eastAsia="宋体" w:hAnsi="宋体" w:cs="宋体" w:hint="eastAsia"/>
          <w:sz w:val="21"/>
          <w:szCs w:val="21"/>
        </w:rPr>
        <w:t>地点：</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lang w:eastAsia="zh-CN"/>
        </w:rPr>
      </w:pPr>
      <w:r>
        <w:rPr>
          <w:rFonts w:ascii="宋体" w:eastAsia="宋体" w:hAnsi="宋体" w:cs="宋体" w:hint="eastAsia"/>
          <w:sz w:val="21"/>
          <w:szCs w:val="21"/>
          <w:lang w:eastAsia="zh-CN"/>
        </w:rPr>
        <w:t>1、交货时间及地点：乙方在合同生效起</w:t>
      </w:r>
      <w:r>
        <w:rPr>
          <w:rFonts w:ascii="宋体" w:eastAsia="宋体" w:hAnsi="宋体" w:cs="宋体" w:hint="eastAsia"/>
          <w:sz w:val="21"/>
          <w:szCs w:val="21"/>
          <w:u w:val="single"/>
          <w:lang w:eastAsia="zh-CN"/>
        </w:rPr>
        <w:t xml:space="preserve">    个</w:t>
      </w:r>
      <w:r>
        <w:rPr>
          <w:rFonts w:ascii="宋体" w:eastAsia="宋体" w:hAnsi="宋体" w:cs="宋体" w:hint="eastAsia"/>
          <w:color w:val="000000"/>
          <w:sz w:val="21"/>
          <w:szCs w:val="21"/>
          <w:u w:val="single"/>
          <w:lang w:eastAsia="zh-CN"/>
        </w:rPr>
        <w:t>日历日</w:t>
      </w:r>
      <w:r>
        <w:rPr>
          <w:rFonts w:ascii="宋体" w:eastAsia="宋体" w:hAnsi="宋体" w:cs="宋体" w:hint="eastAsia"/>
          <w:color w:val="000000"/>
          <w:sz w:val="21"/>
          <w:szCs w:val="21"/>
          <w:lang w:eastAsia="zh-CN"/>
        </w:rPr>
        <w:t>内，将所供货物按甲方要求运至甲方指定地点完成交货。</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sz w:val="21"/>
          <w:szCs w:val="21"/>
        </w:rPr>
      </w:pPr>
      <w:r>
        <w:rPr>
          <w:rFonts w:ascii="宋体" w:eastAsia="宋体" w:hAnsi="宋体" w:cs="宋体" w:hint="eastAsia"/>
          <w:color w:val="000000"/>
          <w:sz w:val="21"/>
          <w:szCs w:val="21"/>
          <w:lang w:eastAsia="zh-CN"/>
        </w:rPr>
        <w:t>2、验收期：设备到货安装调试正常使用后</w:t>
      </w:r>
      <w:r>
        <w:rPr>
          <w:rFonts w:ascii="宋体" w:eastAsia="宋体" w:hAnsi="宋体" w:cs="宋体" w:hint="eastAsia"/>
          <w:color w:val="000000"/>
          <w:sz w:val="21"/>
          <w:szCs w:val="21"/>
          <w:u w:val="single"/>
          <w:lang w:eastAsia="zh-CN"/>
        </w:rPr>
        <w:t xml:space="preserve"> 30 个日历日</w:t>
      </w:r>
      <w:r>
        <w:rPr>
          <w:rFonts w:ascii="宋体" w:eastAsia="宋体" w:hAnsi="宋体" w:cs="宋体" w:hint="eastAsia"/>
          <w:color w:val="000000"/>
          <w:sz w:val="21"/>
          <w:szCs w:val="21"/>
          <w:lang w:eastAsia="zh-CN"/>
        </w:rPr>
        <w:t>内完成正式验收（以验收报告实际送货日期为始，终验签署人日期为止）。</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四</w:t>
      </w:r>
      <w:r>
        <w:rPr>
          <w:rFonts w:ascii="宋体" w:eastAsia="宋体" w:hAnsi="宋体" w:cs="宋体" w:hint="eastAsia"/>
          <w:color w:val="000000"/>
          <w:sz w:val="21"/>
          <w:szCs w:val="21"/>
        </w:rPr>
        <w:t>、设备质量及包装要求：</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应提供货物的技术文件，包括但不限于设备配置清单、产品说明书、图纸、操作手册、维护手册（含维修密码及接口数据）、质量保证文件、服务指南等，所有外文资料须提供中文译本。文件应随货物一并交付至</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指定地点。</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2、</w:t>
      </w:r>
      <w:r>
        <w:rPr>
          <w:rFonts w:ascii="宋体" w:eastAsia="宋体" w:hAnsi="宋体" w:cs="宋体" w:hint="eastAsia"/>
          <w:color w:val="000000"/>
          <w:sz w:val="21"/>
          <w:szCs w:val="21"/>
        </w:rPr>
        <w:t>提供的货物必须为全新、经检验合格的产品。产品如需要计量检定的应提供相关计量检定部门出具的合法检定报告。其中，进口设备必须具有报关证明文件、原产地证明和商检合格证明文件。</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3、设备运输过程中产生的风险由乙方承担，要求使用国际通用的标准包装，适合于长途运输，外包装到货时应完好无损。</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五、验收</w:t>
      </w:r>
      <w:r>
        <w:rPr>
          <w:rFonts w:ascii="宋体" w:eastAsia="宋体" w:hAnsi="宋体" w:cs="宋体" w:hint="eastAsia"/>
          <w:color w:val="000000"/>
          <w:sz w:val="21"/>
          <w:szCs w:val="21"/>
          <w:lang w:eastAsia="zh-CN"/>
        </w:rPr>
        <w:t>、培训</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1、设备到达后，乙方向甲方提供全套的材料/设备配置清单及检验产品合格证、使用说明书及其它的技术资料。</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2、进口设备还需提供正常报关证明和商检合格证明。</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outlineLvl w:val="9"/>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rPr>
        <w:t>3、甲方有权检验或测试货物，以确认货物是否符合合同规格的要求，并且不承担额外的费用。如果发现所交货物与投标文件中所承诺的不符或存在质量、技术缺陷等，甲方可以拒绝接收该货物，乙方应在</w:t>
      </w:r>
      <w:r>
        <w:rPr>
          <w:rFonts w:ascii="宋体" w:eastAsia="宋体" w:hAnsi="宋体" w:cs="宋体" w:hint="eastAsia"/>
          <w:color w:val="000000"/>
          <w:kern w:val="2"/>
          <w:sz w:val="21"/>
          <w:szCs w:val="21"/>
          <w:u w:val="single"/>
          <w:lang w:eastAsia="zh-CN"/>
        </w:rPr>
        <w:t>30天</w:t>
      </w:r>
      <w:r>
        <w:rPr>
          <w:rFonts w:ascii="宋体" w:eastAsia="宋体" w:hAnsi="宋体" w:cs="宋体" w:hint="eastAsia"/>
          <w:color w:val="000000"/>
          <w:kern w:val="2"/>
          <w:sz w:val="21"/>
          <w:szCs w:val="21"/>
          <w:lang w:eastAsia="zh-CN"/>
        </w:rPr>
        <w:t>内采取补足、更换或退货等措施，以满足规格的要求，由此发生的一切损失和费用由乙方承担。</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outlineLvl w:val="9"/>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4、乙方负责货物的现场安装和调试,提供货物安装、调试和维修所需的专用工具和辅助材料。乙方应在货物运至指定地点后一周内开始安装调试，并在</w:t>
      </w:r>
      <w:r>
        <w:rPr>
          <w:rFonts w:ascii="宋体" w:eastAsia="宋体" w:hAnsi="宋体" w:cs="宋体" w:hint="eastAsia"/>
          <w:color w:val="000000"/>
          <w:kern w:val="2"/>
          <w:sz w:val="21"/>
          <w:szCs w:val="21"/>
          <w:u w:val="single"/>
          <w:lang w:eastAsia="zh-CN"/>
        </w:rPr>
        <w:t>15天</w:t>
      </w:r>
      <w:r>
        <w:rPr>
          <w:rFonts w:ascii="宋体" w:eastAsia="宋体" w:hAnsi="宋体" w:cs="宋体" w:hint="eastAsia"/>
          <w:color w:val="000000"/>
          <w:kern w:val="2"/>
          <w:sz w:val="21"/>
          <w:szCs w:val="21"/>
          <w:lang w:eastAsia="zh-CN"/>
        </w:rPr>
        <w:t>内安装调试完毕。</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outlineLvl w:val="9"/>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5、由乙方代表和甲方组成验收小组对产品进行验收。验收标准按照国家规定标准执行。设备经检验正常运作后签署验收报告，产品保修期自验收合格之日起算。</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sz w:val="21"/>
          <w:szCs w:val="21"/>
          <w:lang w:eastAsia="zh-CN"/>
        </w:rPr>
      </w:pPr>
      <w:r>
        <w:rPr>
          <w:rFonts w:ascii="宋体" w:eastAsia="宋体" w:hAnsi="宋体" w:cs="宋体" w:hint="eastAsia"/>
          <w:color w:val="000000"/>
          <w:sz w:val="21"/>
          <w:szCs w:val="21"/>
          <w:lang w:eastAsia="zh-CN"/>
        </w:rPr>
        <w:t>6、乙方应派合格的专业技术人员免费对甲方指定人员进行培训及指导，直至其完全掌握设备使用及设备的基本故障处理技术。</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六、售后服务：</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1、设备验收合格之日起，</w:t>
      </w:r>
      <w:r>
        <w:rPr>
          <w:rFonts w:ascii="宋体" w:eastAsia="宋体" w:hAnsi="宋体" w:cs="宋体" w:hint="eastAsia"/>
          <w:color w:val="000000"/>
          <w:sz w:val="21"/>
          <w:szCs w:val="21"/>
          <w:lang w:eastAsia="zh-CN"/>
        </w:rPr>
        <w:t>免费</w:t>
      </w:r>
      <w:r>
        <w:rPr>
          <w:rFonts w:ascii="宋体" w:eastAsia="宋体" w:hAnsi="宋体" w:cs="宋体" w:hint="eastAsia"/>
          <w:color w:val="000000"/>
          <w:sz w:val="21"/>
          <w:szCs w:val="21"/>
        </w:rPr>
        <w:t>保修</w:t>
      </w:r>
      <w:r>
        <w:rPr>
          <w:rFonts w:ascii="宋体" w:eastAsia="宋体" w:hAnsi="宋体" w:cs="宋体" w:hint="eastAsia"/>
          <w:sz w:val="21"/>
          <w:szCs w:val="21"/>
          <w:u w:val="single"/>
        </w:rPr>
        <w:t xml:space="preserve"> </w:t>
      </w:r>
      <w:r>
        <w:rPr>
          <w:rFonts w:ascii="宋体" w:eastAsia="宋体" w:hAnsi="宋体" w:cs="宋体" w:hint="eastAsia"/>
          <w:sz w:val="21"/>
          <w:szCs w:val="21"/>
          <w:u w:val="single"/>
          <w:lang w:eastAsia="zh-CN"/>
        </w:rPr>
        <w:t xml:space="preserve"> </w:t>
      </w:r>
      <w:r>
        <w:rPr>
          <w:rFonts w:ascii="宋体" w:eastAsia="宋体" w:hAnsi="宋体" w:cs="宋体" w:hint="eastAsia"/>
          <w:color w:val="000000"/>
          <w:sz w:val="21"/>
          <w:szCs w:val="21"/>
          <w:u w:val="single"/>
        </w:rPr>
        <w:t xml:space="preserve"> 年</w:t>
      </w:r>
      <w:r>
        <w:rPr>
          <w:rFonts w:ascii="宋体" w:eastAsia="宋体" w:hAnsi="宋体" w:cs="宋体" w:hint="eastAsia"/>
          <w:color w:val="000000"/>
          <w:sz w:val="21"/>
          <w:szCs w:val="21"/>
        </w:rPr>
        <w:t>，终身维修。保修期内，年度定期</w:t>
      </w:r>
      <w:r>
        <w:rPr>
          <w:rFonts w:ascii="宋体" w:eastAsia="宋体" w:hAnsi="宋体" w:cs="宋体" w:hint="eastAsia"/>
          <w:color w:val="000000"/>
          <w:sz w:val="21"/>
          <w:szCs w:val="21"/>
          <w:lang w:eastAsia="zh-CN"/>
        </w:rPr>
        <w:t>进行</w:t>
      </w:r>
      <w:r>
        <w:rPr>
          <w:rFonts w:ascii="宋体" w:eastAsia="宋体" w:hAnsi="宋体" w:cs="宋体" w:hint="eastAsia"/>
          <w:color w:val="000000"/>
          <w:sz w:val="21"/>
          <w:szCs w:val="21"/>
        </w:rPr>
        <w:t>预防性维护保养并出具报告。保修期内免费更换零配件、免工时费。</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rPr>
        <w:t>2、</w:t>
      </w:r>
      <w:r>
        <w:rPr>
          <w:rFonts w:ascii="宋体" w:eastAsia="宋体" w:hAnsi="宋体" w:cs="宋体" w:hint="eastAsia"/>
          <w:sz w:val="21"/>
          <w:szCs w:val="21"/>
          <w:lang w:eastAsia="zh-CN"/>
        </w:rPr>
        <w:t>所提供的</w:t>
      </w:r>
      <w:r>
        <w:rPr>
          <w:rFonts w:ascii="宋体" w:eastAsia="宋体" w:hAnsi="宋体" w:cs="宋体" w:hint="eastAsia"/>
          <w:sz w:val="21"/>
          <w:szCs w:val="21"/>
        </w:rPr>
        <w:t>硬件设备</w:t>
      </w:r>
      <w:r>
        <w:rPr>
          <w:rFonts w:ascii="宋体" w:eastAsia="宋体" w:hAnsi="宋体" w:cs="宋体" w:hint="eastAsia"/>
          <w:sz w:val="21"/>
          <w:szCs w:val="21"/>
          <w:lang w:eastAsia="zh-CN"/>
        </w:rPr>
        <w:t>若</w:t>
      </w:r>
      <w:r>
        <w:rPr>
          <w:rFonts w:ascii="宋体" w:eastAsia="宋体" w:hAnsi="宋体" w:cs="宋体" w:hint="eastAsia"/>
          <w:sz w:val="21"/>
          <w:szCs w:val="21"/>
        </w:rPr>
        <w:t>需要具备常规标准数据传输接口，产生的数据需要与院内系统（包括但不限于HIS、LIS、PACS、护理系统、CDR平台等）进行对接的，产生的软件接口开发、调试等费用由</w:t>
      </w:r>
      <w:r>
        <w:rPr>
          <w:rFonts w:ascii="宋体" w:eastAsia="宋体" w:hAnsi="宋体" w:cs="宋体" w:hint="eastAsia"/>
          <w:sz w:val="21"/>
          <w:szCs w:val="21"/>
          <w:lang w:eastAsia="zh-CN"/>
        </w:rPr>
        <w:t>乙方</w:t>
      </w:r>
      <w:r>
        <w:rPr>
          <w:rFonts w:ascii="宋体" w:eastAsia="宋体" w:hAnsi="宋体" w:cs="宋体" w:hint="eastAsia"/>
          <w:sz w:val="21"/>
          <w:szCs w:val="21"/>
        </w:rPr>
        <w:t>承担</w:t>
      </w:r>
      <w:r>
        <w:rPr>
          <w:rFonts w:ascii="宋体" w:eastAsia="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sz w:val="21"/>
          <w:szCs w:val="21"/>
        </w:rPr>
      </w:pPr>
      <w:r>
        <w:rPr>
          <w:rFonts w:ascii="宋体" w:eastAsia="宋体" w:hAnsi="宋体" w:cs="宋体" w:hint="eastAsia"/>
          <w:color w:val="000000"/>
          <w:sz w:val="21"/>
          <w:szCs w:val="21"/>
          <w:lang w:eastAsia="zh-CN"/>
        </w:rPr>
        <w:t>3、</w:t>
      </w:r>
      <w:r>
        <w:rPr>
          <w:rFonts w:ascii="宋体" w:eastAsia="宋体" w:hAnsi="宋体" w:cs="宋体" w:hint="eastAsia"/>
          <w:color w:val="000000"/>
          <w:sz w:val="21"/>
          <w:szCs w:val="21"/>
        </w:rPr>
        <w:t>乙方承诺</w:t>
      </w:r>
      <w:r>
        <w:rPr>
          <w:rFonts w:ascii="宋体" w:eastAsia="宋体" w:hAnsi="宋体" w:cs="宋体" w:hint="eastAsia"/>
          <w:color w:val="000000"/>
          <w:sz w:val="21"/>
          <w:szCs w:val="21"/>
          <w:lang w:eastAsia="zh-CN"/>
        </w:rPr>
        <w:t>保证</w:t>
      </w:r>
      <w:r>
        <w:rPr>
          <w:rFonts w:ascii="宋体" w:eastAsia="宋体" w:hAnsi="宋体" w:cs="宋体" w:hint="eastAsia"/>
          <w:color w:val="000000"/>
          <w:sz w:val="21"/>
          <w:szCs w:val="21"/>
          <w:u w:val="single"/>
          <w:lang w:eastAsia="zh-CN"/>
        </w:rPr>
        <w:t>10年</w:t>
      </w:r>
      <w:r>
        <w:rPr>
          <w:rFonts w:ascii="宋体" w:eastAsia="宋体" w:hAnsi="宋体" w:cs="宋体" w:hint="eastAsia"/>
          <w:color w:val="000000"/>
          <w:sz w:val="21"/>
          <w:szCs w:val="21"/>
          <w:lang w:eastAsia="zh-CN"/>
        </w:rPr>
        <w:t>以上供应维修配件，终身免费</w:t>
      </w:r>
      <w:r>
        <w:rPr>
          <w:rFonts w:ascii="宋体" w:eastAsia="宋体" w:hAnsi="宋体" w:cs="宋体" w:hint="eastAsia"/>
          <w:color w:val="000000"/>
          <w:sz w:val="21"/>
          <w:szCs w:val="21"/>
        </w:rPr>
        <w:t>提供甲方软件升级。</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4</w:t>
      </w:r>
      <w:r>
        <w:rPr>
          <w:rFonts w:ascii="宋体" w:eastAsia="宋体" w:hAnsi="宋体" w:cs="宋体" w:hint="eastAsia"/>
          <w:color w:val="000000"/>
          <w:sz w:val="21"/>
          <w:szCs w:val="21"/>
        </w:rPr>
        <w:t>、乙方必须提供由设备生产原厂签署承诺的合法、有效的保修、维修证明。</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5</w:t>
      </w:r>
      <w:r>
        <w:rPr>
          <w:rFonts w:ascii="宋体" w:eastAsia="宋体" w:hAnsi="宋体" w:cs="宋体" w:hint="eastAsia"/>
          <w:color w:val="000000"/>
          <w:sz w:val="21"/>
          <w:szCs w:val="21"/>
        </w:rPr>
        <w:t>、乙方保证提供保修、维修、免费技术培训服务的工程师及技术人员，必须是原厂工程师及技术人员。</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6</w:t>
      </w:r>
      <w:r>
        <w:rPr>
          <w:rFonts w:ascii="宋体" w:eastAsia="宋体" w:hAnsi="宋体" w:cs="宋体" w:hint="eastAsia"/>
          <w:sz w:val="21"/>
          <w:szCs w:val="21"/>
        </w:rPr>
        <w:t>、</w:t>
      </w:r>
      <w:r>
        <w:rPr>
          <w:rFonts w:ascii="宋体" w:eastAsia="宋体" w:hAnsi="宋体" w:cs="宋体" w:hint="eastAsia"/>
          <w:sz w:val="21"/>
          <w:szCs w:val="21"/>
          <w:lang w:eastAsia="zh-CN"/>
        </w:rPr>
        <w:t>乙方不得以任何理由不按时进行维修，</w:t>
      </w:r>
      <w:r>
        <w:rPr>
          <w:rFonts w:ascii="宋体" w:eastAsia="宋体" w:hAnsi="宋体" w:cs="宋体" w:hint="eastAsia"/>
          <w:sz w:val="21"/>
          <w:szCs w:val="21"/>
        </w:rPr>
        <w:t>不得要求甲</w:t>
      </w:r>
      <w:r>
        <w:rPr>
          <w:rFonts w:ascii="宋体" w:eastAsia="宋体" w:hAnsi="宋体" w:cs="宋体" w:hint="eastAsia"/>
          <w:color w:val="000000"/>
          <w:sz w:val="21"/>
          <w:szCs w:val="21"/>
        </w:rPr>
        <w:t>方购买所谓“保修服务”（即：不论设备有无故障先买保修服务），不得在设备中嵌设任何不利于甲方使用与维修设备的障碍。乙方维修的设备经甲方验收合格，且甲方收到乙方提供维修专用发票后，甲方支付维修费用。</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7</w:t>
      </w:r>
      <w:r>
        <w:rPr>
          <w:rFonts w:ascii="宋体" w:eastAsia="宋体" w:hAnsi="宋体" w:cs="宋体" w:hint="eastAsia"/>
          <w:color w:val="000000"/>
          <w:sz w:val="21"/>
          <w:szCs w:val="21"/>
        </w:rPr>
        <w:t>、乙方接到报障通知（包括但不限于电话、传真、电子邮件、邮政寄送等通知方式，并以这些方式的记载时间为通知时间）后，乙方应</w:t>
      </w:r>
      <w:r>
        <w:rPr>
          <w:rFonts w:ascii="宋体" w:eastAsia="宋体" w:hAnsi="宋体" w:cs="宋体" w:hint="eastAsia"/>
          <w:color w:val="000000"/>
          <w:sz w:val="21"/>
          <w:szCs w:val="21"/>
          <w:u w:val="single"/>
          <w:lang w:eastAsia="zh-CN"/>
        </w:rPr>
        <w:t xml:space="preserve"> 2</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小时内响应，</w:t>
      </w:r>
      <w:r>
        <w:rPr>
          <w:rFonts w:ascii="宋体" w:eastAsia="宋体" w:hAnsi="宋体" w:cs="宋体" w:hint="eastAsia"/>
          <w:color w:val="000000"/>
          <w:sz w:val="21"/>
          <w:szCs w:val="21"/>
          <w:lang w:eastAsia="zh-CN"/>
        </w:rPr>
        <w:t>并</w:t>
      </w:r>
      <w:r>
        <w:rPr>
          <w:rFonts w:ascii="宋体" w:eastAsia="宋体" w:hAnsi="宋体" w:cs="宋体" w:hint="eastAsia"/>
          <w:color w:val="000000"/>
          <w:sz w:val="21"/>
          <w:szCs w:val="21"/>
        </w:rPr>
        <w:t>派出有资质的工程师在</w:t>
      </w:r>
      <w:r>
        <w:rPr>
          <w:rFonts w:ascii="宋体" w:eastAsia="宋体" w:hAnsi="宋体" w:cs="宋体" w:hint="eastAsia"/>
          <w:sz w:val="21"/>
          <w:szCs w:val="21"/>
          <w:u w:val="single"/>
          <w:lang w:eastAsia="zh-CN"/>
        </w:rPr>
        <w:t xml:space="preserve"> 24 </w:t>
      </w:r>
      <w:r>
        <w:rPr>
          <w:rFonts w:ascii="宋体" w:eastAsia="宋体" w:hAnsi="宋体" w:cs="宋体" w:hint="eastAsia"/>
          <w:color w:val="000000"/>
          <w:sz w:val="21"/>
          <w:szCs w:val="21"/>
        </w:rPr>
        <w:t>小时内到达现场处理故障（不可抗力情况除外）。易耗品和零配件供应及时，特殊情况下可提供备用机。</w:t>
      </w:r>
    </w:p>
    <w:p>
      <w:pPr>
        <w:keepNext w:val="0"/>
        <w:keepLines w:val="0"/>
        <w:pageBreakBefore w:val="0"/>
        <w:widowControl w:val="0"/>
        <w:kinsoku/>
        <w:wordWrap/>
        <w:topLinePunct w:val="0"/>
        <w:bidi w:val="0"/>
        <w:spacing w:line="360" w:lineRule="auto"/>
        <w:ind w:left="0" w:firstLine="420" w:leftChars="0" w:firstLineChars="200"/>
        <w:textAlignment w:val="auto"/>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、在</w:t>
      </w:r>
      <w:r>
        <w:rPr>
          <w:rFonts w:ascii="宋体" w:eastAsia="宋体" w:hAnsi="宋体" w:cs="宋体" w:hint="eastAsia"/>
          <w:sz w:val="21"/>
          <w:szCs w:val="21"/>
          <w:lang w:eastAsia="zh-CN"/>
        </w:rPr>
        <w:t>免费</w:t>
      </w:r>
      <w:r>
        <w:rPr>
          <w:rFonts w:ascii="宋体" w:eastAsia="宋体" w:hAnsi="宋体" w:cs="宋体" w:hint="eastAsia"/>
          <w:sz w:val="21"/>
          <w:szCs w:val="21"/>
        </w:rPr>
        <w:t>保修期内，非甲方</w:t>
      </w:r>
      <w:r>
        <w:rPr>
          <w:rFonts w:ascii="宋体" w:eastAsia="宋体" w:hAnsi="宋体" w:cs="宋体" w:hint="eastAsia"/>
          <w:sz w:val="21"/>
          <w:szCs w:val="21"/>
          <w:lang w:eastAsia="zh-CN"/>
        </w:rPr>
        <w:t>故意损害</w:t>
      </w:r>
      <w:r>
        <w:rPr>
          <w:rFonts w:ascii="宋体" w:eastAsia="宋体" w:hAnsi="宋体" w:cs="宋体" w:hint="eastAsia"/>
          <w:sz w:val="21"/>
          <w:szCs w:val="21"/>
        </w:rPr>
        <w:t>而出现的质量问题，由乙方负责。乙方负责包修、包换或者包退，并承担修理、调换或退货的实际费用。免费保修期满后，乙方维修只收零配件费用，不收取人工费及其他费用。乙方应以</w:t>
      </w:r>
      <w:r>
        <w:rPr>
          <w:rFonts w:ascii="宋体" w:eastAsia="宋体" w:hAnsi="宋体" w:cs="宋体" w:hint="eastAsia"/>
          <w:sz w:val="21"/>
          <w:szCs w:val="21"/>
          <w:lang w:eastAsia="zh-CN"/>
        </w:rPr>
        <w:t>低成本的</w:t>
      </w:r>
      <w:r>
        <w:rPr>
          <w:rFonts w:ascii="宋体" w:eastAsia="宋体" w:hAnsi="宋体" w:cs="宋体" w:hint="eastAsia"/>
          <w:sz w:val="21"/>
          <w:szCs w:val="21"/>
        </w:rPr>
        <w:t>优惠价供应维修易耗品及零配件。价格最高的前5项易耗品及零配件报价明细必须填写于《易耗品及零配件优惠价格表》中。甲方可与乙方就优惠价进行谈判，但优惠价不得高于乙方在投标文件的《易耗品及零配件优惠价格表》中承诺的维修易耗品及零配件的报价。</w:t>
      </w:r>
    </w:p>
    <w:p>
      <w:pPr>
        <w:keepNext w:val="0"/>
        <w:keepLines w:val="0"/>
        <w:pageBreakBefore w:val="0"/>
        <w:widowControl w:val="0"/>
        <w:kinsoku/>
        <w:wordWrap/>
        <w:topLinePunct w:val="0"/>
        <w:bidi w:val="0"/>
        <w:spacing w:line="360" w:lineRule="auto"/>
        <w:ind w:left="0" w:firstLine="420" w:leftChars="0" w:firstLineChars="200"/>
        <w:textAlignment w:val="auto"/>
        <w:rPr>
          <w:rFonts w:ascii="宋体" w:eastAsia="宋体" w:hAnsi="宋体" w:cs="宋体" w:hint="eastAsia"/>
          <w:sz w:val="21"/>
          <w:szCs w:val="21"/>
        </w:rPr>
      </w:pPr>
      <w:r>
        <w:rPr>
          <w:rFonts w:ascii="宋体" w:eastAsia="宋体" w:hAnsi="宋体" w:cs="宋体" w:hint="eastAsia"/>
          <w:color w:val="000000"/>
          <w:sz w:val="21"/>
          <w:szCs w:val="21"/>
          <w:lang w:eastAsia="zh-CN"/>
        </w:rPr>
        <w:t>9</w:t>
      </w:r>
      <w:r>
        <w:rPr>
          <w:rFonts w:ascii="宋体" w:eastAsia="宋体" w:hAnsi="宋体" w:cs="宋体" w:hint="eastAsia"/>
          <w:color w:val="000000"/>
          <w:sz w:val="21"/>
          <w:szCs w:val="21"/>
        </w:rPr>
        <w:t>、乙方承诺提供</w:t>
      </w:r>
      <w:r>
        <w:rPr>
          <w:rFonts w:ascii="宋体" w:eastAsia="宋体" w:hAnsi="宋体" w:cs="宋体" w:hint="eastAsia"/>
          <w:sz w:val="21"/>
          <w:szCs w:val="21"/>
        </w:rPr>
        <w:t>常见故障维修零配件</w:t>
      </w:r>
      <w:r>
        <w:rPr>
          <w:rFonts w:ascii="宋体" w:eastAsia="宋体" w:hAnsi="宋体" w:cs="宋体" w:hint="eastAsia"/>
          <w:sz w:val="21"/>
          <w:szCs w:val="21"/>
          <w:lang w:eastAsia="zh-CN"/>
        </w:rPr>
        <w:t>优惠</w:t>
      </w:r>
      <w:r>
        <w:rPr>
          <w:rFonts w:ascii="宋体" w:eastAsia="宋体" w:hAnsi="宋体" w:cs="宋体" w:hint="eastAsia"/>
          <w:color w:val="000000"/>
          <w:sz w:val="21"/>
          <w:szCs w:val="21"/>
        </w:rPr>
        <w:t>价格</w:t>
      </w:r>
      <w:r>
        <w:rPr>
          <w:rFonts w:ascii="宋体" w:eastAsia="宋体" w:hAnsi="宋体" w:cs="宋体" w:hint="eastAsia"/>
          <w:color w:val="000000"/>
          <w:sz w:val="21"/>
          <w:szCs w:val="21"/>
          <w:lang w:eastAsia="zh-CN"/>
        </w:rPr>
        <w:t>(见附页）</w:t>
      </w:r>
      <w:r>
        <w:rPr>
          <w:rFonts w:ascii="宋体" w:eastAsia="宋体" w:hAnsi="宋体" w:cs="宋体" w:hint="eastAsia"/>
          <w:color w:val="000000"/>
          <w:sz w:val="21"/>
          <w:szCs w:val="21"/>
        </w:rPr>
        <w:t>。</w:t>
      </w:r>
    </w:p>
    <w:p>
      <w:pPr>
        <w:keepNext w:val="0"/>
        <w:keepLines w:val="0"/>
        <w:pageBreakBefore w:val="0"/>
        <w:widowControl w:val="0"/>
        <w:kinsoku/>
        <w:wordWrap/>
        <w:topLinePunct w:val="0"/>
        <w:bidi w:val="0"/>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10</w:t>
      </w:r>
      <w:r>
        <w:rPr>
          <w:rFonts w:ascii="宋体" w:eastAsia="宋体" w:hAnsi="宋体" w:cs="宋体" w:hint="eastAsia"/>
          <w:color w:val="000000"/>
          <w:sz w:val="21"/>
          <w:szCs w:val="21"/>
        </w:rPr>
        <w:t>、乙方在接到甲方关于消耗品/零配件需求的通知后，没有按照规定的时间进行供货，每拖延一日，按合同总金额的</w:t>
      </w:r>
      <w:r>
        <w:rPr>
          <w:rFonts w:ascii="宋体" w:eastAsia="宋体" w:hAnsi="宋体" w:cs="宋体" w:hint="eastAsia"/>
          <w:color w:val="000000"/>
          <w:sz w:val="21"/>
          <w:szCs w:val="21"/>
          <w:lang w:eastAsia="zh-CN"/>
        </w:rPr>
        <w:t>0.</w:t>
      </w:r>
      <w:r>
        <w:rPr>
          <w:rFonts w:ascii="宋体" w:eastAsia="宋体" w:hAnsi="宋体" w:cs="宋体" w:hint="eastAsia"/>
          <w:color w:val="000000"/>
          <w:sz w:val="21"/>
          <w:szCs w:val="21"/>
        </w:rPr>
        <w:t>5%支付给甲方违约金或按实际损失进行赔偿。拖延时间超过七日，视为严重违约，甲方有权单方解除合同并予以退货，由此造成的一切经济损失由乙方承担。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11、在免费保修期内，供应商应确保年完好率在95%（含）以上，若不能达到此完好率，将作以下处理：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a. 若年完好率在90（含）-95%（不含）之间，则延长一年免费保修期；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b. 若年完好率在85（含）-90%（不含）之间，则延长二年免费保修期；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c. 若年完好率低于85%（不含），供应商需无条件更换新机，并重新计算免费保修期，以及赔偿用户的直接经济损失和间接经济损失。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注：（1）年完好率=（365-故障天数）/365）； </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宋体" w:eastAsia="宋体" w:hAnsi="宋体" w:cs="宋体" w:hint="eastAsia"/>
          <w:sz w:val="21"/>
          <w:szCs w:val="21"/>
        </w:rPr>
      </w:pPr>
      <w:r>
        <w:rPr>
          <w:rFonts w:ascii="宋体" w:eastAsia="宋体" w:hAnsi="宋体" w:cs="宋体" w:hint="eastAsia"/>
          <w:bCs/>
          <w:sz w:val="21"/>
          <w:szCs w:val="21"/>
          <w:lang w:eastAsia="zh-CN"/>
        </w:rPr>
        <w:t>（2）以上 a、b 两项可累计延长。</w:t>
      </w:r>
    </w:p>
    <w:p>
      <w:pPr>
        <w:spacing w:line="360" w:lineRule="auto"/>
        <w:rPr>
          <w:rFonts w:ascii="宋体" w:eastAsia="宋体" w:hAnsi="宋体" w:cs="宋体" w:hint="eastAsia"/>
          <w:sz w:val="21"/>
          <w:szCs w:val="21"/>
        </w:rPr>
      </w:pPr>
      <w:r>
        <w:rPr>
          <w:rFonts w:ascii="宋体" w:eastAsia="宋体" w:hAnsi="宋体" w:cs="宋体" w:hint="eastAsia"/>
          <w:sz w:val="21"/>
          <w:szCs w:val="21"/>
        </w:rPr>
        <w:t>七、付款条件及方式：</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1、乙方在合同生效后</w:t>
      </w:r>
      <w:r>
        <w:rPr>
          <w:rFonts w:ascii="宋体" w:eastAsia="宋体" w:hAnsi="宋体" w:cs="宋体" w:hint="eastAsia"/>
          <w:sz w:val="21"/>
          <w:szCs w:val="21"/>
          <w:u w:val="single"/>
          <w:lang w:eastAsia="zh-CN"/>
        </w:rPr>
        <w:t>10个工作日</w:t>
      </w:r>
      <w:r>
        <w:rPr>
          <w:rFonts w:ascii="宋体" w:eastAsia="宋体" w:hAnsi="宋体" w:cs="宋体" w:hint="eastAsia"/>
          <w:sz w:val="21"/>
          <w:szCs w:val="21"/>
          <w:lang w:eastAsia="zh-CN"/>
        </w:rPr>
        <w:t>内将合同总价款5%的履约保证金以非现金的形式提交给甲方作为履约保证，在免费保修期满且甲方给出履约评价合格或满意后</w:t>
      </w:r>
      <w:r>
        <w:rPr>
          <w:rFonts w:ascii="宋体" w:eastAsia="宋体" w:hAnsi="宋体" w:cs="宋体" w:hint="eastAsia"/>
          <w:sz w:val="21"/>
          <w:szCs w:val="21"/>
          <w:lang w:eastAsia="zh-CN"/>
        </w:rPr>
        <w:t>一个月</w:t>
      </w:r>
      <w:r>
        <w:rPr>
          <w:rFonts w:ascii="宋体" w:eastAsia="宋体" w:hAnsi="宋体" w:cs="宋体" w:hint="eastAsia"/>
          <w:sz w:val="21"/>
          <w:szCs w:val="21"/>
          <w:lang w:eastAsia="zh-CN"/>
        </w:rPr>
        <w:t xml:space="preserve">内归还保函给乙方； </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2、货到安装调试验收合格后，乙方提交验收单、国家规定的全额正式发票（国内销售的进口设备还应提供相关的进口环节资料复印件），甲方应于设备正式验收后（以验收报告最后一个签署人的日期起算）</w:t>
      </w:r>
      <w:r>
        <w:rPr>
          <w:rFonts w:ascii="宋体" w:eastAsia="宋体" w:hAnsi="宋体" w:cs="宋体" w:hint="eastAsia"/>
          <w:sz w:val="21"/>
          <w:szCs w:val="21"/>
          <w:u w:val="single"/>
          <w:lang w:eastAsia="zh-CN"/>
        </w:rPr>
        <w:t>30个日历日</w:t>
      </w:r>
      <w:r>
        <w:rPr>
          <w:rFonts w:ascii="宋体" w:eastAsia="宋体" w:hAnsi="宋体" w:cs="宋体" w:hint="eastAsia"/>
          <w:sz w:val="21"/>
          <w:szCs w:val="21"/>
          <w:lang w:eastAsia="zh-CN"/>
        </w:rPr>
        <w:t>内支付成交金额的100%货款。</w:t>
      </w:r>
      <w:r>
        <w:rPr>
          <w:rFonts w:ascii="宋体" w:eastAsia="宋体" w:hAnsi="宋体" w:cs="宋体" w:hint="eastAsia"/>
          <w:sz w:val="21"/>
          <w:szCs w:val="21"/>
          <w:lang w:eastAsia="zh-CN"/>
        </w:rPr>
        <w:t>确有特殊情况的，可经双方协商适当延长，但最长不超过</w:t>
      </w:r>
      <w:r>
        <w:rPr>
          <w:rFonts w:ascii="宋体" w:eastAsia="宋体" w:hAnsi="宋体" w:cs="宋体" w:hint="eastAsia"/>
          <w:sz w:val="21"/>
          <w:szCs w:val="21"/>
          <w:lang w:eastAsia="zh-CN"/>
        </w:rPr>
        <w:t>60个日历日。</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hint="eastAsia"/>
          <w:color w:val="000000"/>
          <w:sz w:val="21"/>
          <w:szCs w:val="21"/>
          <w:lang w:eastAsia="zh-CN"/>
        </w:rPr>
        <w:t>、</w:t>
      </w:r>
      <w:r>
        <w:rPr>
          <w:rFonts w:ascii="宋体" w:eastAsia="宋体" w:hAnsi="宋体" w:cs="宋体" w:hint="eastAsia"/>
          <w:sz w:val="21"/>
          <w:szCs w:val="21"/>
          <w:lang w:eastAsia="zh-CN"/>
        </w:rPr>
        <w:t>因财政资金拨款未到位而导致甲方未在约定期限内支付合同费用的，乙方不得要求甲方承担逾期付款的违约责任。每次付款前，乙方需先提供相应额度的正规发票给甲方，以便办理支付手续。</w:t>
      </w:r>
    </w:p>
    <w:p>
      <w:pPr>
        <w:spacing w:line="360" w:lineRule="auto"/>
        <w:rPr>
          <w:rFonts w:ascii="宋体" w:eastAsia="宋体" w:hAnsi="宋体" w:cs="宋体" w:hint="eastAsia"/>
          <w:color w:val="000000"/>
          <w:sz w:val="21"/>
          <w:szCs w:val="21"/>
        </w:rPr>
      </w:pPr>
      <w:r>
        <w:rPr>
          <w:rFonts w:ascii="宋体" w:eastAsia="宋体" w:hAnsi="宋体" w:cs="宋体" w:hint="eastAsia"/>
          <w:sz w:val="21"/>
          <w:szCs w:val="21"/>
        </w:rPr>
        <w:t xml:space="preserve">八、违约责任：  </w:t>
      </w:r>
      <w:r>
        <w:rPr>
          <w:rFonts w:ascii="宋体" w:eastAsia="宋体" w:hAnsi="宋体" w:cs="宋体" w:hint="eastAsia"/>
          <w:color w:val="000000"/>
          <w:sz w:val="21"/>
          <w:szCs w:val="21"/>
        </w:rPr>
        <w:t xml:space="preserve">  </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rPr>
        <w:t>如</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未按照投标文件中承诺的时间交货或提供服务，</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应承担延期交货和延期服务的违约责任，并赔偿</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因此造成的实际经济损失。实际经济损失超出</w:t>
      </w:r>
      <w:r>
        <w:rPr>
          <w:rFonts w:ascii="宋体" w:eastAsia="宋体" w:hAnsi="宋体" w:cs="宋体" w:hint="eastAsia"/>
          <w:color w:val="000000"/>
          <w:sz w:val="21"/>
          <w:szCs w:val="21"/>
          <w:lang w:eastAsia="zh-CN"/>
        </w:rPr>
        <w:t>质保金</w:t>
      </w:r>
      <w:r>
        <w:rPr>
          <w:rFonts w:ascii="宋体" w:eastAsia="宋体" w:hAnsi="宋体" w:cs="宋体" w:hint="eastAsia"/>
          <w:color w:val="000000"/>
          <w:sz w:val="21"/>
          <w:szCs w:val="21"/>
        </w:rPr>
        <w:t>金额，</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有权终止合同。</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2、</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所交设备的品种、型号、规格、质量、功能、技术参数等方面不能实质性满足招标文件要约的，</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有权拒绝收货，</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向</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偿付项目采购金额</w:t>
      </w:r>
      <w:r>
        <w:rPr>
          <w:rFonts w:ascii="宋体" w:eastAsia="宋体" w:hAnsi="宋体" w:cs="宋体" w:hint="eastAsia"/>
          <w:color w:val="000000"/>
          <w:sz w:val="21"/>
          <w:szCs w:val="21"/>
          <w:u w:val="single"/>
          <w:lang w:eastAsia="zh-CN"/>
        </w:rPr>
        <w:t>百</w:t>
      </w:r>
      <w:r>
        <w:rPr>
          <w:rFonts w:ascii="宋体" w:eastAsia="宋体" w:hAnsi="宋体" w:cs="宋体" w:hint="eastAsia"/>
          <w:color w:val="000000"/>
          <w:sz w:val="21"/>
          <w:szCs w:val="21"/>
          <w:u w:val="single"/>
        </w:rPr>
        <w:t>分之十</w:t>
      </w:r>
      <w:r>
        <w:rPr>
          <w:rFonts w:ascii="宋体" w:eastAsia="宋体" w:hAnsi="宋体" w:cs="宋体" w:hint="eastAsia"/>
          <w:color w:val="000000"/>
          <w:sz w:val="21"/>
          <w:szCs w:val="21"/>
        </w:rPr>
        <w:t>的违约金；造成严重后果的，根据《深圳经济特区政府采购条例》第五十七条第（二）款规定，由主管部门对</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进行处罚。</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3、</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不能交付设备的，</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向</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偿付项目采购金额</w:t>
      </w:r>
      <w:r>
        <w:rPr>
          <w:rFonts w:ascii="宋体" w:eastAsia="宋体" w:hAnsi="宋体" w:cs="宋体" w:hint="eastAsia"/>
          <w:color w:val="000000"/>
          <w:sz w:val="21"/>
          <w:szCs w:val="21"/>
          <w:u w:val="single"/>
          <w:lang w:eastAsia="zh-CN"/>
        </w:rPr>
        <w:t>百</w:t>
      </w:r>
      <w:r>
        <w:rPr>
          <w:rFonts w:ascii="宋体" w:eastAsia="宋体" w:hAnsi="宋体" w:cs="宋体" w:hint="eastAsia"/>
          <w:color w:val="000000"/>
          <w:sz w:val="21"/>
          <w:szCs w:val="21"/>
          <w:u w:val="single"/>
        </w:rPr>
        <w:t>分之十</w:t>
      </w:r>
      <w:r>
        <w:rPr>
          <w:rFonts w:ascii="宋体" w:eastAsia="宋体" w:hAnsi="宋体" w:cs="宋体" w:hint="eastAsia"/>
          <w:color w:val="000000"/>
          <w:sz w:val="21"/>
          <w:szCs w:val="21"/>
        </w:rPr>
        <w:t>的违约金</w:t>
      </w:r>
      <w:r>
        <w:rPr>
          <w:rFonts w:ascii="宋体" w:eastAsia="宋体" w:hAnsi="宋体" w:cs="宋体" w:hint="eastAsia"/>
          <w:color w:val="000000"/>
          <w:sz w:val="21"/>
          <w:szCs w:val="21"/>
          <w:lang w:eastAsia="zh-CN"/>
        </w:rPr>
        <w:t>，并且甲方有权解除合同</w:t>
      </w:r>
      <w:r>
        <w:rPr>
          <w:rFonts w:ascii="宋体" w:eastAsia="宋体" w:hAnsi="宋体" w:cs="宋体" w:hint="eastAsia"/>
          <w:color w:val="000000"/>
          <w:sz w:val="21"/>
          <w:szCs w:val="21"/>
        </w:rPr>
        <w:t>；造成严重后果的，根据《深圳经济特区政府采购条例》第五十七条第（二）款规定，由主管部门对</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进行处罚。</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4、</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逾期未交设备的，</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向</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每日偿付设备款</w:t>
      </w:r>
      <w:r>
        <w:rPr>
          <w:rFonts w:ascii="宋体" w:eastAsia="宋体" w:hAnsi="宋体" w:cs="宋体" w:hint="eastAsia"/>
          <w:color w:val="000000"/>
          <w:sz w:val="21"/>
          <w:szCs w:val="21"/>
          <w:u w:val="single"/>
          <w:lang w:eastAsia="zh-CN"/>
        </w:rPr>
        <w:t>万</w:t>
      </w:r>
      <w:r>
        <w:rPr>
          <w:rFonts w:ascii="宋体" w:eastAsia="宋体" w:hAnsi="宋体" w:cs="宋体" w:hint="eastAsia"/>
          <w:color w:val="000000"/>
          <w:sz w:val="21"/>
          <w:szCs w:val="21"/>
          <w:u w:val="single"/>
        </w:rPr>
        <w:t>分之</w:t>
      </w:r>
      <w:r>
        <w:rPr>
          <w:rFonts w:ascii="宋体" w:eastAsia="宋体" w:hAnsi="宋体" w:cs="宋体" w:hint="eastAsia"/>
          <w:color w:val="000000"/>
          <w:sz w:val="21"/>
          <w:szCs w:val="21"/>
          <w:u w:val="single"/>
          <w:lang w:eastAsia="zh-CN"/>
        </w:rPr>
        <w:t>五</w:t>
      </w:r>
      <w:r>
        <w:rPr>
          <w:rFonts w:ascii="宋体" w:eastAsia="宋体" w:hAnsi="宋体" w:cs="宋体" w:hint="eastAsia"/>
          <w:color w:val="000000"/>
          <w:sz w:val="21"/>
          <w:szCs w:val="21"/>
        </w:rPr>
        <w:t>的违约金。</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超过交货期限</w:t>
      </w:r>
      <w:r>
        <w:rPr>
          <w:rFonts w:ascii="宋体" w:eastAsia="宋体" w:hAnsi="宋体" w:cs="宋体" w:hint="eastAsia"/>
          <w:color w:val="000000"/>
          <w:sz w:val="21"/>
          <w:szCs w:val="21"/>
          <w:u w:val="single"/>
        </w:rPr>
        <w:t>30日</w:t>
      </w:r>
      <w:r>
        <w:rPr>
          <w:rFonts w:ascii="宋体" w:eastAsia="宋体" w:hAnsi="宋体" w:cs="宋体" w:hint="eastAsia"/>
          <w:color w:val="000000"/>
          <w:sz w:val="21"/>
          <w:szCs w:val="21"/>
        </w:rPr>
        <w:t>仍未交货，</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有权解除合同</w:t>
      </w:r>
      <w:r>
        <w:rPr>
          <w:rFonts w:ascii="宋体" w:eastAsia="宋体" w:hAnsi="宋体" w:cs="宋体" w:hint="eastAsia"/>
          <w:color w:val="000000"/>
          <w:sz w:val="21"/>
          <w:szCs w:val="21"/>
          <w:lang w:eastAsia="zh-CN"/>
        </w:rPr>
        <w:t>，乙方应按“八、违约责任第</w:t>
      </w:r>
      <w:r>
        <w:rPr>
          <w:rFonts w:ascii="宋体" w:eastAsia="宋体" w:hAnsi="宋体" w:cs="宋体" w:hint="eastAsia"/>
          <w:color w:val="000000"/>
          <w:sz w:val="21"/>
          <w:szCs w:val="21"/>
          <w:lang w:eastAsia="zh-CN"/>
        </w:rPr>
        <w:t>3条”承担相应的违约责任</w:t>
      </w:r>
      <w:r>
        <w:rPr>
          <w:rFonts w:ascii="宋体" w:eastAsia="宋体" w:hAnsi="宋体" w:cs="宋体" w:hint="eastAsia"/>
          <w:color w:val="000000"/>
          <w:sz w:val="21"/>
          <w:szCs w:val="21"/>
        </w:rPr>
        <w:t>。</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乙方如违反本合同第五条和第六条的约定，乙方向甲方偿付设备采购金额</w:t>
      </w:r>
      <w:r>
        <w:rPr>
          <w:rFonts w:ascii="宋体" w:eastAsia="宋体" w:hAnsi="宋体" w:cs="宋体" w:hint="eastAsia"/>
          <w:color w:val="000000"/>
          <w:sz w:val="21"/>
          <w:szCs w:val="21"/>
          <w:u w:val="single"/>
          <w:lang w:eastAsia="zh-CN"/>
        </w:rPr>
        <w:t>百</w:t>
      </w:r>
      <w:r>
        <w:rPr>
          <w:rFonts w:ascii="宋体" w:eastAsia="宋体" w:hAnsi="宋体" w:cs="宋体" w:hint="eastAsia"/>
          <w:color w:val="000000"/>
          <w:sz w:val="21"/>
          <w:szCs w:val="21"/>
          <w:u w:val="single"/>
        </w:rPr>
        <w:t>分之十</w:t>
      </w:r>
      <w:r>
        <w:rPr>
          <w:rFonts w:ascii="宋体" w:eastAsia="宋体" w:hAnsi="宋体" w:cs="宋体" w:hint="eastAsia"/>
          <w:color w:val="000000"/>
          <w:sz w:val="21"/>
          <w:szCs w:val="21"/>
        </w:rPr>
        <w:t>的违约金。</w:t>
      </w:r>
    </w:p>
    <w:p>
      <w:pPr>
        <w:keepNext w:val="0"/>
        <w:keepLines w:val="0"/>
        <w:pageBreakBefore w:val="0"/>
        <w:widowControl w:val="0"/>
        <w:numPr>
          <w:ilvl w:val="0"/>
          <w:numId w:val="5"/>
        </w:numPr>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违约金先从由</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lang w:eastAsia="zh-CN"/>
        </w:rPr>
        <w:t>履约保证金</w:t>
      </w:r>
      <w:r>
        <w:rPr>
          <w:rFonts w:ascii="宋体" w:eastAsia="宋体" w:hAnsi="宋体" w:cs="宋体" w:hint="eastAsia"/>
          <w:color w:val="000000"/>
          <w:sz w:val="21"/>
          <w:szCs w:val="21"/>
        </w:rPr>
        <w:t>中扣除，若有不足部分则由</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补齐</w:t>
      </w:r>
      <w:r>
        <w:rPr>
          <w:rFonts w:ascii="宋体" w:eastAsia="宋体" w:hAnsi="宋体" w:cs="宋体" w:hint="eastAsia"/>
          <w:color w:val="000000"/>
          <w:sz w:val="21"/>
          <w:szCs w:val="21"/>
          <w:lang w:eastAsia="zh-CN"/>
        </w:rPr>
        <w:t>。</w:t>
      </w:r>
    </w:p>
    <w:p>
      <w:pPr>
        <w:keepNext w:val="0"/>
        <w:keepLines w:val="0"/>
        <w:pageBreakBefore w:val="0"/>
        <w:widowControl w:val="0"/>
        <w:numPr>
          <w:ilvl w:val="0"/>
          <w:numId w:val="5"/>
        </w:numPr>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如因乙方提供假冒伪劣产品或不合格产品造成甲方被行政机关行政处罚造成的损失，包括但不限于直接损失、间接损失、律师费、公证费、鉴定费、差旅费及其他一切合理支出，均由乙方承担。</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九、</w:t>
      </w:r>
      <w:r>
        <w:rPr>
          <w:rFonts w:ascii="宋体" w:eastAsia="宋体" w:hAnsi="宋体" w:cs="宋体" w:hint="eastAsia"/>
          <w:color w:val="000000"/>
          <w:sz w:val="21"/>
          <w:szCs w:val="21"/>
          <w:lang w:eastAsia="zh-CN"/>
        </w:rPr>
        <w:t xml:space="preserve"> </w:t>
      </w:r>
      <w:r>
        <w:rPr>
          <w:rFonts w:ascii="宋体" w:eastAsia="宋体" w:hAnsi="宋体" w:cs="宋体" w:hint="eastAsia"/>
          <w:color w:val="000000"/>
          <w:sz w:val="21"/>
          <w:szCs w:val="21"/>
        </w:rPr>
        <w:t>因设备的质量问题发生争议，由甲方所在地相关职责部门进行质量鉴定，该鉴定结论是终局的，甲乙双方应当接受。</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w:t>
      </w:r>
      <w:r>
        <w:rPr>
          <w:rFonts w:ascii="宋体" w:eastAsia="宋体" w:hAnsi="宋体" w:cs="宋体" w:hint="eastAsia"/>
          <w:color w:val="000000"/>
          <w:sz w:val="21"/>
          <w:szCs w:val="21"/>
          <w:lang w:eastAsia="zh-CN"/>
        </w:rPr>
        <w:t xml:space="preserve"> </w:t>
      </w:r>
      <w:r>
        <w:rPr>
          <w:rFonts w:ascii="宋体" w:eastAsia="宋体" w:hAnsi="宋体" w:cs="宋体" w:hint="eastAsia"/>
          <w:color w:val="000000"/>
          <w:sz w:val="21"/>
          <w:szCs w:val="21"/>
        </w:rPr>
        <w:t>该项目的招标文件、投标文件</w:t>
      </w:r>
      <w:r>
        <w:rPr>
          <w:rFonts w:ascii="宋体" w:eastAsia="宋体" w:hAnsi="宋体" w:cs="宋体" w:hint="eastAsia"/>
          <w:color w:val="000000"/>
          <w:sz w:val="21"/>
          <w:szCs w:val="21"/>
          <w:lang w:eastAsia="zh-CN"/>
        </w:rPr>
        <w:t>、中标通知书</w:t>
      </w:r>
      <w:r>
        <w:rPr>
          <w:rFonts w:ascii="宋体" w:eastAsia="宋体" w:hAnsi="宋体" w:cs="宋体" w:hint="eastAsia"/>
          <w:color w:val="000000"/>
          <w:sz w:val="21"/>
          <w:szCs w:val="21"/>
        </w:rPr>
        <w:t>和乙方在投标中的各种承诺，均作为本合同的附件，具有同等效力。</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一、乙方保证所交付使用软件的合法性，保证甲方使用该设备或设备的任何一部分及配件时，无侵犯第三方的著作权、商标权、专利权和商业秘密等知识产权，如因乙方因素侵犯第三方知识产权而发生纠纷及经济责任，由乙方全部承担，甲方由此受到的损失（包括诉讼费、律师费、鉴定费及其他与纠纷相关的费用）由乙方予以赔偿。甲方购买设备后，有权对设备进行配套、整合或适当改进，而免受侵犯知识产权的起诉。</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十二、本合同一式</w:t>
      </w:r>
      <w:r>
        <w:rPr>
          <w:rFonts w:ascii="宋体" w:eastAsia="宋体" w:hAnsi="宋体" w:cs="宋体" w:hint="eastAsia"/>
          <w:color w:val="000000"/>
          <w:sz w:val="21"/>
          <w:szCs w:val="21"/>
          <w:lang w:eastAsia="zh-CN"/>
        </w:rPr>
        <w:t>四</w:t>
      </w:r>
      <w:r>
        <w:rPr>
          <w:rFonts w:ascii="宋体" w:eastAsia="宋体" w:hAnsi="宋体" w:cs="宋体" w:hint="eastAsia"/>
          <w:color w:val="000000"/>
          <w:sz w:val="21"/>
          <w:szCs w:val="21"/>
        </w:rPr>
        <w:t>份，甲方</w:t>
      </w:r>
      <w:r>
        <w:rPr>
          <w:rFonts w:ascii="宋体" w:eastAsia="宋体" w:hAnsi="宋体" w:cs="宋体" w:hint="eastAsia"/>
          <w:color w:val="000000"/>
          <w:sz w:val="21"/>
          <w:szCs w:val="21"/>
          <w:u w:val="single"/>
          <w:lang w:eastAsia="zh-CN"/>
        </w:rPr>
        <w:t>叁</w:t>
      </w:r>
      <w:r>
        <w:rPr>
          <w:rFonts w:ascii="宋体" w:eastAsia="宋体" w:hAnsi="宋体" w:cs="宋体" w:hint="eastAsia"/>
          <w:color w:val="000000"/>
          <w:sz w:val="21"/>
          <w:szCs w:val="21"/>
        </w:rPr>
        <w:t>份、乙方</w:t>
      </w:r>
      <w:r>
        <w:rPr>
          <w:rFonts w:ascii="宋体" w:eastAsia="宋体" w:hAnsi="宋体" w:cs="宋体" w:hint="eastAsia"/>
          <w:color w:val="000000"/>
          <w:sz w:val="21"/>
          <w:szCs w:val="21"/>
          <w:u w:val="single"/>
          <w:lang w:eastAsia="zh-CN"/>
        </w:rPr>
        <w:t>壹</w:t>
      </w:r>
      <w:r>
        <w:rPr>
          <w:rFonts w:ascii="宋体" w:eastAsia="宋体" w:hAnsi="宋体" w:cs="宋体" w:hint="eastAsia"/>
          <w:color w:val="000000"/>
          <w:sz w:val="21"/>
          <w:szCs w:val="21"/>
        </w:rPr>
        <w:t>份。</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十三、本合同经甲、乙双方法定代表人或受委托人签字并加盖公章后生效。</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十四、凡因本合同的履行发生的任何纠纷及合同未尽事宜，由双方协商处理。若协商不成，应向甲方所在地法院提起诉讼。</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十五、合同附件，合同附件是合同的不可分割的组成部分，与合同具有同等法律效力：</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设备配置清单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2</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售后服务承诺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3</w:t>
      </w:r>
      <w:r>
        <w:rPr>
          <w:rFonts w:ascii="宋体" w:eastAsia="宋体" w:hAnsi="宋体" w:cs="宋体" w:hint="eastAsia"/>
          <w:color w:val="000000"/>
          <w:sz w:val="21"/>
          <w:szCs w:val="21"/>
          <w:lang w:eastAsia="zh-CN"/>
        </w:rPr>
        <w:t>.</w:t>
      </w:r>
      <w:r>
        <w:rPr>
          <w:rFonts w:ascii="宋体" w:eastAsia="宋体" w:hAnsi="宋体" w:cs="宋体" w:hint="eastAsia"/>
          <w:sz w:val="21"/>
          <w:szCs w:val="21"/>
        </w:rPr>
        <w:t>常见故障维修零配件价格表</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（以下无正文）</w:t>
      </w:r>
    </w:p>
    <w:p>
      <w:pPr>
        <w:rPr>
          <w:rFonts w:ascii="宋体" w:eastAsia="宋体" w:hAnsi="宋体" w:cs="宋体" w:hint="eastAsia"/>
          <w:sz w:val="21"/>
          <w:szCs w:val="21"/>
          <w:lang w:eastAsia="zh-CN"/>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29"/>
        <w:gridCol w:w="452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甲方（公章）：</w:t>
            </w:r>
            <w:r>
              <w:rPr>
                <w:rFonts w:ascii="宋体" w:hAnsi="宋体" w:cs="宋体" w:hint="eastAsia"/>
                <w:color w:val="000000"/>
                <w:sz w:val="21"/>
                <w:szCs w:val="21"/>
                <w:lang w:eastAsia="zh-CN"/>
              </w:rPr>
              <w:t>深圳市龙华区中心医院</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乙方（公章）：</w:t>
            </w:r>
          </w:p>
          <w:p>
            <w:pPr>
              <w:rPr>
                <w:rFonts w:ascii="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 xml:space="preserve">法定代表人或受委托人 </w:t>
            </w:r>
          </w:p>
          <w:p>
            <w:pPr>
              <w:spacing w:line="360" w:lineRule="auto"/>
              <w:rPr>
                <w:rFonts w:ascii="宋体" w:hAnsi="宋体" w:cs="宋体" w:hint="eastAsia"/>
                <w:color w:val="000000"/>
                <w:sz w:val="21"/>
                <w:szCs w:val="21"/>
              </w:rPr>
            </w:pPr>
            <w:r>
              <w:rPr>
                <w:rFonts w:ascii="宋体" w:hAnsi="宋体" w:cs="宋体" w:hint="eastAsia"/>
                <w:color w:val="000000"/>
                <w:sz w:val="21"/>
                <w:szCs w:val="21"/>
              </w:rPr>
              <w:t>（签字）</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法定代表人或受委托人</w:t>
            </w:r>
          </w:p>
          <w:p>
            <w:pPr>
              <w:spacing w:line="360" w:lineRule="auto"/>
              <w:rPr>
                <w:rFonts w:ascii="宋体" w:hAnsi="宋体" w:cs="宋体" w:hint="eastAsia"/>
                <w:color w:val="000000"/>
                <w:sz w:val="21"/>
                <w:szCs w:val="21"/>
              </w:rPr>
            </w:pPr>
            <w:r>
              <w:rPr>
                <w:rFonts w:ascii="宋体" w:hAnsi="宋体" w:cs="宋体" w:hint="eastAsia"/>
                <w:color w:val="000000"/>
                <w:sz w:val="21"/>
                <w:szCs w:val="21"/>
              </w:rPr>
              <w:t>（签字）</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地址：深圳市龙华区福城街道观澜大道187号</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地址：</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邮编：518110</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邮编：</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电话：</w:t>
            </w:r>
            <w:r>
              <w:rPr>
                <w:rFonts w:ascii="宋体" w:hAnsi="宋体" w:cs="宋体" w:hint="eastAsia"/>
                <w:color w:val="000000"/>
                <w:sz w:val="21"/>
                <w:szCs w:val="21"/>
                <w:lang w:eastAsia="zh-CN"/>
              </w:rPr>
              <w:t>0755-23772842</w:t>
            </w:r>
            <w:r>
              <w:rPr>
                <w:rFonts w:ascii="宋体" w:hAnsi="宋体" w:cs="宋体" w:hint="eastAsia"/>
                <w:color w:val="000000"/>
                <w:sz w:val="21"/>
                <w:szCs w:val="21"/>
              </w:rPr>
              <w:t xml:space="preserve"> </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电话：</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开户银行：工商银行新澜支行</w:t>
            </w:r>
          </w:p>
        </w:tc>
        <w:tc>
          <w:tcPr>
            <w:tcW w:w="4356" w:type="dxa"/>
            <w:tcBorders>
              <w:top w:val="nil"/>
              <w:left w:val="nil"/>
              <w:bottom w:val="nil"/>
              <w:right w:val="nil"/>
            </w:tcBorders>
            <w:noWrap w:val="0"/>
            <w:vAlign w:val="center"/>
          </w:tcPr>
          <w:p>
            <w:pPr>
              <w:rPr>
                <w:rFonts w:ascii="宋体" w:hAnsi="宋体" w:cs="宋体" w:hint="eastAsia"/>
                <w:color w:val="000000"/>
                <w:sz w:val="21"/>
                <w:szCs w:val="21"/>
                <w:lang w:eastAsia="zh-CN"/>
              </w:rPr>
            </w:pPr>
            <w:r>
              <w:rPr>
                <w:rFonts w:ascii="宋体" w:hAnsi="宋体" w:cs="宋体" w:hint="eastAsia"/>
                <w:color w:val="000000"/>
                <w:sz w:val="21"/>
                <w:szCs w:val="21"/>
              </w:rPr>
              <w:t>开户银行</w:t>
            </w:r>
            <w:r>
              <w:rPr>
                <w:rFonts w:ascii="宋体" w:hAnsi="宋体" w:cs="宋体" w:hint="eastAsia"/>
                <w:color w:val="000000"/>
                <w:sz w:val="21"/>
                <w:szCs w:val="21"/>
                <w:lang w:eastAsia="zh-CN"/>
              </w:rPr>
              <w:t>：</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 xml:space="preserve">帐号：4000026809024904484 </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lang w:eastAsia="zh-CN"/>
              </w:rPr>
              <w:t>银行</w:t>
            </w:r>
            <w:r>
              <w:rPr>
                <w:rFonts w:ascii="宋体" w:hAnsi="宋体" w:cs="宋体" w:hint="eastAsia"/>
                <w:color w:val="000000"/>
                <w:sz w:val="21"/>
                <w:szCs w:val="21"/>
              </w:rPr>
              <w:t>帐号：</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sz w:val="21"/>
                <w:szCs w:val="21"/>
              </w:rPr>
            </w:pPr>
          </w:p>
        </w:tc>
        <w:tc>
          <w:tcPr>
            <w:tcW w:w="4356" w:type="dxa"/>
            <w:tcBorders>
              <w:top w:val="nil"/>
              <w:left w:val="nil"/>
              <w:bottom w:val="nil"/>
              <w:right w:val="nil"/>
            </w:tcBorders>
            <w:noWrap w:val="0"/>
            <w:vAlign w:val="top"/>
          </w:tcPr>
          <w:p>
            <w:pPr>
              <w:spacing w:line="360" w:lineRule="auto"/>
              <w:rPr>
                <w:rFonts w:ascii="宋体" w:hAnsi="宋体" w:cs="宋体" w:hint="eastAsia"/>
                <w:sz w:val="21"/>
                <w:szCs w:val="21"/>
                <w:lang w:eastAsia="zh-CN"/>
              </w:rPr>
            </w:pPr>
            <w:r>
              <w:rPr>
                <w:rFonts w:ascii="宋体" w:hAnsi="宋体" w:cs="宋体" w:hint="eastAsia"/>
                <w:sz w:val="21"/>
                <w:szCs w:val="21"/>
                <w:lang w:eastAsia="zh-CN"/>
              </w:rPr>
              <w:t>开户号行号：</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sz w:val="21"/>
                <w:szCs w:val="21"/>
                <w:lang w:eastAsia="zh-CN"/>
              </w:rPr>
            </w:pPr>
            <w:r>
              <w:rPr>
                <w:rFonts w:ascii="宋体" w:hAnsi="宋体" w:cs="宋体" w:hint="eastAsia"/>
                <w:sz w:val="21"/>
                <w:szCs w:val="21"/>
                <w:lang w:eastAsia="zh-CN"/>
              </w:rPr>
              <w:t>统一社会信用代码：</w:t>
            </w:r>
          </w:p>
          <w:p>
            <w:pPr>
              <w:spacing w:line="360" w:lineRule="auto"/>
              <w:rPr>
                <w:rFonts w:ascii="宋体" w:hAnsi="宋体" w:cs="宋体" w:hint="eastAsia"/>
                <w:sz w:val="21"/>
                <w:szCs w:val="21"/>
                <w:lang w:eastAsia="zh-CN"/>
              </w:rPr>
            </w:pPr>
            <w:r>
              <w:rPr>
                <w:rFonts w:ascii="宋体" w:hAnsi="宋体" w:cs="宋体" w:hint="eastAsia"/>
                <w:sz w:val="21"/>
                <w:szCs w:val="21"/>
                <w:lang w:eastAsia="zh-CN"/>
              </w:rPr>
              <w:t>12440300455769713X</w:t>
            </w:r>
          </w:p>
        </w:tc>
        <w:tc>
          <w:tcPr>
            <w:tcW w:w="4356" w:type="dxa"/>
            <w:tcBorders>
              <w:top w:val="nil"/>
              <w:left w:val="nil"/>
              <w:bottom w:val="nil"/>
              <w:right w:val="nil"/>
            </w:tcBorders>
            <w:noWrap w:val="0"/>
            <w:vAlign w:val="top"/>
          </w:tcPr>
          <w:p>
            <w:pPr>
              <w:spacing w:line="360" w:lineRule="auto"/>
              <w:rPr>
                <w:rFonts w:ascii="宋体" w:hAnsi="宋体" w:cs="宋体" w:hint="eastAsia"/>
                <w:sz w:val="21"/>
                <w:szCs w:val="21"/>
                <w:lang w:eastAsia="zh-CN"/>
              </w:rPr>
            </w:pPr>
            <w:r>
              <w:rPr>
                <w:rFonts w:ascii="宋体" w:hAnsi="宋体" w:cs="宋体" w:hint="eastAsia"/>
                <w:sz w:val="21"/>
                <w:szCs w:val="21"/>
                <w:lang w:eastAsia="zh-CN"/>
              </w:rPr>
              <w:t>统一社会信用代码：</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日期：</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日期：</w:t>
            </w:r>
          </w:p>
        </w:tc>
      </w:tr>
    </w:tbl>
    <w:p>
      <w:pPr>
        <w:rPr>
          <w:rFonts w:ascii="宋体" w:eastAsia="宋体" w:hAnsi="宋体" w:cs="宋体" w:hint="eastAsia"/>
          <w:color w:val="000000"/>
          <w:sz w:val="21"/>
          <w:szCs w:val="21"/>
        </w:rPr>
      </w:pPr>
    </w:p>
    <w:p>
      <w:pPr>
        <w:widowControl/>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注：本合同样本仅供参考，具体条款内容由采购单位和中标单位协商确定。</w:t>
      </w: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8" w:name="_Toc1312"/>
      <w:r>
        <w:rPr>
          <w:rFonts w:ascii="Arial" w:eastAsia="宋体" w:hAnsi="Arial" w:hint="eastAsia"/>
          <w:b/>
          <w:kern w:val="2"/>
          <w:sz w:val="32"/>
          <w:lang w:eastAsia="zh-CN"/>
        </w:rPr>
        <w:t>第一章  总则</w:t>
      </w:r>
      <w:bookmarkEnd w:id="38"/>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5．投标人参加政府采购的条件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6．政策导向</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7.本项目若涉及采购货物，则合格的货物及相应服务应满足以下要求：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8．投标费用</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9．踏勘现场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10．标前会议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9" w:name="_Toc696"/>
      <w:r>
        <w:rPr>
          <w:rFonts w:ascii="Arial" w:eastAsia="宋体" w:hAnsi="Arial" w:hint="eastAsia"/>
          <w:b/>
          <w:kern w:val="2"/>
          <w:sz w:val="32"/>
          <w:lang w:eastAsia="zh-CN"/>
        </w:rPr>
        <w:t>第二章</w:t>
      </w:r>
      <w:bookmarkStart w:id="40" w:name="_Toc25500"/>
      <w:bookmarkStart w:id="41" w:name="_Toc16272"/>
      <w:bookmarkStart w:id="42" w:name="_Toc4237"/>
      <w:r>
        <w:rPr>
          <w:rFonts w:ascii="Arial" w:eastAsia="宋体" w:hAnsi="Arial" w:hint="eastAsia"/>
          <w:b/>
          <w:kern w:val="2"/>
          <w:sz w:val="32"/>
          <w:lang w:eastAsia="zh-CN"/>
        </w:rPr>
        <w:t xml:space="preserve">  招标文件</w:t>
      </w:r>
      <w:bookmarkEnd w:id="39"/>
      <w:bookmarkEnd w:id="40"/>
      <w:bookmarkEnd w:id="41"/>
      <w:bookmarkEnd w:id="4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43"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43"/>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4" w:name="_Toc17279"/>
      <w:bookmarkStart w:id="45" w:name="_Toc31413"/>
      <w:bookmarkStart w:id="46" w:name="_Toc13741"/>
      <w:bookmarkStart w:id="47" w:name="_Toc18814"/>
      <w:r>
        <w:rPr>
          <w:rFonts w:ascii="Arial" w:eastAsia="宋体" w:hAnsi="Arial" w:hint="eastAsia"/>
          <w:b/>
          <w:kern w:val="2"/>
          <w:sz w:val="32"/>
          <w:lang w:eastAsia="zh-CN"/>
        </w:rPr>
        <w:t>第三章  投标文件的编制</w:t>
      </w:r>
      <w:bookmarkEnd w:id="44"/>
      <w:bookmarkEnd w:id="45"/>
      <w:bookmarkEnd w:id="46"/>
      <w:bookmarkEnd w:id="4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8"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9"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50"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5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51"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52"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51"/>
    <w:p>
      <w:pPr>
        <w:widowControl/>
        <w:wordWrap w:val="0"/>
        <w:autoSpaceDE w:val="0"/>
        <w:autoSpaceDN w:val="0"/>
        <w:spacing w:line="400" w:lineRule="exact"/>
        <w:ind w:right="808" w:firstLine="420" w:firstLineChars="200"/>
        <w:jc w:val="both"/>
        <w:rPr>
          <w:rFonts w:eastAsia="宋体"/>
          <w:kern w:val="2"/>
          <w:sz w:val="21"/>
          <w:lang w:eastAsia="zh-CN"/>
        </w:rPr>
      </w:pPr>
      <w:bookmarkStart w:id="53"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53"/>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21．</w:t>
      </w:r>
      <w:bookmarkStart w:id="54" w:name="_Hlk72402325"/>
      <w:r>
        <w:rPr>
          <w:rFonts w:eastAsia="宋体" w:hint="eastAsia"/>
          <w:kern w:val="2"/>
          <w:sz w:val="21"/>
          <w:lang w:eastAsia="zh-CN"/>
        </w:rPr>
        <w:t>关于投标保证金</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55"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55"/>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6" w:name="_Toc18062"/>
      <w:bookmarkStart w:id="57" w:name="_Toc26761"/>
      <w:bookmarkStart w:id="58" w:name="_Toc28552"/>
      <w:bookmarkStart w:id="59" w:name="_Toc21427"/>
      <w:r>
        <w:rPr>
          <w:rFonts w:ascii="Arial" w:eastAsia="宋体" w:hAnsi="Arial" w:hint="eastAsia"/>
          <w:b/>
          <w:kern w:val="2"/>
          <w:sz w:val="32"/>
          <w:lang w:eastAsia="zh-CN"/>
        </w:rPr>
        <w:t>第四章</w:t>
      </w:r>
      <w:bookmarkStart w:id="60" w:name="_Toc30105"/>
      <w:r>
        <w:rPr>
          <w:rFonts w:ascii="Arial" w:eastAsia="宋体" w:hAnsi="Arial" w:hint="eastAsia"/>
          <w:b/>
          <w:kern w:val="2"/>
          <w:sz w:val="32"/>
          <w:lang w:eastAsia="zh-CN"/>
        </w:rPr>
        <w:t xml:space="preserve">  投标文件的</w:t>
      </w:r>
      <w:bookmarkEnd w:id="56"/>
      <w:r>
        <w:rPr>
          <w:rFonts w:ascii="Arial" w:eastAsia="宋体" w:hAnsi="Arial" w:hint="eastAsia"/>
          <w:b/>
          <w:kern w:val="2"/>
          <w:sz w:val="32"/>
          <w:lang w:eastAsia="zh-CN"/>
        </w:rPr>
        <w:t>递交</w:t>
      </w:r>
      <w:bookmarkEnd w:id="57"/>
      <w:bookmarkEnd w:id="58"/>
      <w:bookmarkEnd w:id="59"/>
      <w:bookmarkEnd w:id="60"/>
    </w:p>
    <w:p>
      <w:pPr>
        <w:widowControl/>
        <w:wordWrap w:val="0"/>
        <w:autoSpaceDE w:val="0"/>
        <w:autoSpaceDN w:val="0"/>
        <w:spacing w:line="400" w:lineRule="exact"/>
        <w:ind w:right="808" w:firstLine="420" w:firstLineChars="200"/>
        <w:jc w:val="both"/>
        <w:rPr>
          <w:rFonts w:eastAsia="宋体"/>
          <w:kern w:val="2"/>
          <w:sz w:val="21"/>
          <w:lang w:eastAsia="zh-CN"/>
        </w:rPr>
      </w:pPr>
      <w:bookmarkStart w:id="61"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6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62"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62"/>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63" w:name="第五章1"/>
      <w:bookmarkEnd w:id="63"/>
      <w:bookmarkStart w:id="64" w:name="_Toc14713"/>
      <w:bookmarkStart w:id="65" w:name="_Toc13806"/>
      <w:bookmarkStart w:id="66" w:name="_Toc101074881"/>
      <w:bookmarkStart w:id="67" w:name="_Toc73518144"/>
      <w:bookmarkStart w:id="68" w:name="_Toc100052391"/>
      <w:bookmarkStart w:id="69" w:name="_Toc2041"/>
      <w:bookmarkStart w:id="70" w:name="_Toc1658"/>
      <w:bookmarkStart w:id="71" w:name="_Toc73517666"/>
      <w:r>
        <w:rPr>
          <w:rFonts w:ascii="Arial" w:eastAsia="宋体" w:hAnsi="Arial" w:hint="eastAsia"/>
          <w:b/>
          <w:kern w:val="2"/>
          <w:sz w:val="32"/>
          <w:lang w:eastAsia="zh-CN"/>
        </w:rPr>
        <w:t>第五章</w:t>
      </w:r>
      <w:bookmarkStart w:id="72" w:name="_Toc4434"/>
      <w:r>
        <w:rPr>
          <w:rFonts w:ascii="Arial" w:eastAsia="宋体" w:hAnsi="Arial" w:hint="eastAsia"/>
          <w:b/>
          <w:kern w:val="2"/>
          <w:sz w:val="32"/>
          <w:lang w:eastAsia="zh-CN"/>
        </w:rPr>
        <w:t xml:space="preserve">  开标</w:t>
      </w:r>
      <w:bookmarkEnd w:id="64"/>
      <w:bookmarkEnd w:id="65"/>
      <w:bookmarkEnd w:id="66"/>
      <w:bookmarkEnd w:id="67"/>
      <w:bookmarkEnd w:id="68"/>
      <w:bookmarkEnd w:id="69"/>
      <w:bookmarkEnd w:id="70"/>
      <w:bookmarkEnd w:id="71"/>
      <w:bookmarkEnd w:id="72"/>
    </w:p>
    <w:p>
      <w:pPr>
        <w:widowControl/>
        <w:wordWrap w:val="0"/>
        <w:autoSpaceDE w:val="0"/>
        <w:autoSpaceDN w:val="0"/>
        <w:spacing w:line="400" w:lineRule="exact"/>
        <w:ind w:right="808" w:firstLine="420" w:firstLineChars="200"/>
        <w:jc w:val="both"/>
        <w:rPr>
          <w:rFonts w:eastAsia="宋体"/>
          <w:kern w:val="2"/>
          <w:sz w:val="21"/>
          <w:lang w:eastAsia="zh-CN"/>
        </w:rPr>
      </w:pPr>
      <w:bookmarkStart w:id="73" w:name="_Toc73517668"/>
      <w:bookmarkStart w:id="74" w:name="_Toc73518146"/>
      <w:bookmarkStart w:id="75" w:name="_Toc101074882"/>
      <w:bookmarkStart w:id="76"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73"/>
    <w:bookmarkEnd w:id="74"/>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7" w:name="第六章1"/>
      <w:bookmarkEnd w:id="77"/>
      <w:bookmarkStart w:id="78" w:name="_Toc20179"/>
      <w:bookmarkStart w:id="79" w:name="_Toc27869"/>
      <w:bookmarkStart w:id="80" w:name="_Toc29197"/>
      <w:bookmarkStart w:id="81" w:name="_Toc7319"/>
      <w:r>
        <w:rPr>
          <w:rFonts w:ascii="Arial" w:eastAsia="宋体" w:hAnsi="Arial" w:hint="eastAsia"/>
          <w:b/>
          <w:kern w:val="2"/>
          <w:sz w:val="32"/>
          <w:lang w:eastAsia="zh-CN"/>
        </w:rPr>
        <w:t>第六章</w:t>
      </w:r>
      <w:bookmarkStart w:id="82" w:name="_Toc29225"/>
      <w:r>
        <w:rPr>
          <w:rFonts w:ascii="Arial" w:eastAsia="宋体" w:hAnsi="Arial" w:hint="eastAsia"/>
          <w:b/>
          <w:kern w:val="2"/>
          <w:sz w:val="32"/>
          <w:lang w:eastAsia="zh-CN"/>
        </w:rPr>
        <w:t xml:space="preserve">  评审要求</w:t>
      </w:r>
      <w:bookmarkEnd w:id="75"/>
      <w:bookmarkEnd w:id="76"/>
      <w:bookmarkEnd w:id="78"/>
      <w:bookmarkEnd w:id="79"/>
      <w:bookmarkEnd w:id="80"/>
      <w:bookmarkEnd w:id="81"/>
      <w:bookmarkEnd w:id="82"/>
    </w:p>
    <w:p>
      <w:pPr>
        <w:widowControl/>
        <w:wordWrap w:val="0"/>
        <w:autoSpaceDE w:val="0"/>
        <w:autoSpaceDN w:val="0"/>
        <w:spacing w:line="400" w:lineRule="exact"/>
        <w:ind w:right="808" w:firstLine="420" w:firstLineChars="200"/>
        <w:jc w:val="both"/>
        <w:rPr>
          <w:rFonts w:eastAsia="宋体"/>
          <w:kern w:val="2"/>
          <w:sz w:val="21"/>
          <w:lang w:eastAsia="zh-CN"/>
        </w:rPr>
      </w:pPr>
      <w:bookmarkStart w:id="83" w:name="第七章1"/>
      <w:bookmarkEnd w:id="83"/>
      <w:bookmarkStart w:id="84" w:name="_Toc1296"/>
      <w:bookmarkStart w:id="85" w:name="_Toc101074883"/>
      <w:bookmarkStart w:id="86" w:name="_Toc19125"/>
      <w:bookmarkStart w:id="87" w:name="_Toc100052397"/>
      <w:bookmarkStart w:id="88" w:name="_Toc20125"/>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9"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9"/>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0" w:name="_Toc18761"/>
      <w:r>
        <w:rPr>
          <w:rFonts w:ascii="Arial" w:eastAsia="宋体" w:hAnsi="Arial" w:hint="eastAsia"/>
          <w:b/>
          <w:kern w:val="2"/>
          <w:sz w:val="32"/>
          <w:lang w:eastAsia="zh-CN"/>
        </w:rPr>
        <w:t>第七章</w:t>
      </w:r>
      <w:bookmarkStart w:id="91" w:name="_Toc26636"/>
      <w:r>
        <w:rPr>
          <w:rFonts w:ascii="Arial" w:eastAsia="宋体" w:hAnsi="Arial" w:hint="eastAsia"/>
          <w:b/>
          <w:kern w:val="2"/>
          <w:sz w:val="32"/>
          <w:lang w:eastAsia="zh-CN"/>
        </w:rPr>
        <w:t xml:space="preserve">  评审程序</w:t>
      </w:r>
      <w:bookmarkStart w:id="92" w:name="_Toc73517671"/>
      <w:bookmarkStart w:id="93" w:name="_Toc73518149"/>
      <w:r>
        <w:rPr>
          <w:rFonts w:ascii="Arial" w:eastAsia="宋体" w:hAnsi="Arial" w:hint="eastAsia"/>
          <w:b/>
          <w:kern w:val="2"/>
          <w:sz w:val="32"/>
          <w:lang w:eastAsia="zh-CN"/>
        </w:rPr>
        <w:t>及评审方法</w:t>
      </w:r>
      <w:bookmarkEnd w:id="84"/>
      <w:bookmarkEnd w:id="85"/>
      <w:bookmarkEnd w:id="86"/>
      <w:bookmarkEnd w:id="87"/>
      <w:bookmarkEnd w:id="88"/>
      <w:bookmarkEnd w:id="90"/>
      <w:bookmarkEnd w:id="91"/>
    </w:p>
    <w:bookmarkEnd w:id="92"/>
    <w:bookmarkEnd w:id="9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4"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94"/>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5" w:name="_Toc73517673"/>
      <w:bookmarkStart w:id="96" w:name="_Toc100052400"/>
      <w:bookmarkStart w:id="97" w:name="_Toc73518151"/>
      <w:bookmarkStart w:id="98" w:name="_Toc73521581"/>
      <w:bookmarkStart w:id="99" w:name="_Toc73521669"/>
      <w:r>
        <w:rPr>
          <w:rFonts w:eastAsia="宋体" w:hint="eastAsia"/>
          <w:kern w:val="2"/>
          <w:sz w:val="21"/>
          <w:lang w:eastAsia="zh-CN"/>
        </w:rPr>
        <w:t>34．错误的修正</w:t>
      </w:r>
      <w:bookmarkEnd w:id="95"/>
      <w:bookmarkEnd w:id="96"/>
      <w:bookmarkEnd w:id="97"/>
      <w:bookmarkEnd w:id="98"/>
      <w:bookmarkEnd w:id="9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0"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10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1" w:name="第八章1"/>
      <w:bookmarkEnd w:id="101"/>
      <w:bookmarkStart w:id="102" w:name="_Toc1513"/>
      <w:bookmarkStart w:id="103" w:name="_Toc13341"/>
      <w:bookmarkStart w:id="104" w:name="_Toc30568"/>
      <w:bookmarkStart w:id="105" w:name="_Toc26094"/>
      <w:r>
        <w:rPr>
          <w:rFonts w:ascii="Arial" w:eastAsia="宋体" w:hAnsi="Arial" w:hint="eastAsia"/>
          <w:b/>
          <w:kern w:val="2"/>
          <w:sz w:val="32"/>
          <w:lang w:eastAsia="zh-CN"/>
        </w:rPr>
        <w:t>第八章</w:t>
      </w:r>
      <w:bookmarkStart w:id="106" w:name="_Toc24537"/>
      <w:r>
        <w:rPr>
          <w:rFonts w:ascii="Arial" w:eastAsia="宋体" w:hAnsi="Arial" w:hint="eastAsia"/>
          <w:b/>
          <w:kern w:val="2"/>
          <w:sz w:val="32"/>
          <w:lang w:eastAsia="zh-CN"/>
        </w:rPr>
        <w:t xml:space="preserve">  定标及公示</w:t>
      </w:r>
      <w:bookmarkEnd w:id="102"/>
      <w:bookmarkEnd w:id="103"/>
      <w:bookmarkEnd w:id="104"/>
      <w:bookmarkEnd w:id="105"/>
      <w:bookmarkEnd w:id="10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7"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8"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9"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8"/>
      <w:bookmarkEnd w:id="109"/>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10"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10"/>
      <w:bookmarkStart w:id="111"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1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12"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1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13" w:name="_Hlk71407340"/>
      <w:r>
        <w:rPr>
          <w:rFonts w:eastAsia="宋体" w:hint="eastAsia"/>
          <w:kern w:val="2"/>
          <w:sz w:val="21"/>
          <w:lang w:eastAsia="zh-CN"/>
        </w:rPr>
        <w:t>41.3因质疑投诉或其它原因导致项目结果变更或采购终止的，采购代理机构有权吊销中标通知书。</w:t>
      </w:r>
    </w:p>
    <w:bookmarkEnd w:id="113"/>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4" w:name="第九章1"/>
      <w:bookmarkEnd w:id="114"/>
      <w:bookmarkStart w:id="115" w:name="_Toc17412"/>
      <w:bookmarkStart w:id="116" w:name="_Toc20277"/>
      <w:bookmarkStart w:id="117" w:name="_Toc25733"/>
      <w:bookmarkStart w:id="118" w:name="_Toc24474"/>
      <w:bookmarkStart w:id="119" w:name="_Toc11736"/>
      <w:bookmarkStart w:id="120" w:name="_Toc73517678"/>
      <w:bookmarkStart w:id="121" w:name="_Toc101074884"/>
      <w:bookmarkStart w:id="122" w:name="_Toc100052407"/>
      <w:r>
        <w:rPr>
          <w:rFonts w:ascii="Arial" w:eastAsia="宋体" w:hAnsi="Arial" w:hint="eastAsia"/>
          <w:b/>
          <w:kern w:val="2"/>
          <w:sz w:val="32"/>
          <w:lang w:eastAsia="zh-CN"/>
        </w:rPr>
        <w:t>第九章  公开采购失败的后续处理</w:t>
      </w:r>
      <w:bookmarkEnd w:id="115"/>
      <w:bookmarkEnd w:id="116"/>
      <w:bookmarkEnd w:id="117"/>
      <w:bookmarkEnd w:id="118"/>
      <w:bookmarkEnd w:id="11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20"/>
    <w:bookmarkEnd w:id="121"/>
    <w:bookmarkEnd w:id="122"/>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23" w:name="第十章1"/>
      <w:bookmarkEnd w:id="123"/>
      <w:bookmarkStart w:id="124" w:name="_Toc27904"/>
      <w:bookmarkStart w:id="125" w:name="_Toc9122"/>
      <w:bookmarkStart w:id="126" w:name="_Toc26432"/>
      <w:bookmarkStart w:id="127" w:name="_Toc26814"/>
      <w:bookmarkStart w:id="128" w:name="_Toc13677"/>
      <w:r>
        <w:rPr>
          <w:rFonts w:ascii="Arial" w:eastAsia="宋体" w:hAnsi="Arial" w:hint="eastAsia"/>
          <w:b/>
          <w:kern w:val="2"/>
          <w:sz w:val="32"/>
          <w:lang w:eastAsia="zh-CN"/>
        </w:rPr>
        <w:t>第十章  合同的授予与备案</w:t>
      </w:r>
      <w:bookmarkEnd w:id="124"/>
      <w:bookmarkEnd w:id="125"/>
      <w:bookmarkEnd w:id="126"/>
      <w:bookmarkEnd w:id="127"/>
      <w:bookmarkEnd w:id="128"/>
    </w:p>
    <w:p>
      <w:pPr>
        <w:widowControl/>
        <w:wordWrap w:val="0"/>
        <w:autoSpaceDE w:val="0"/>
        <w:autoSpaceDN w:val="0"/>
        <w:spacing w:line="400" w:lineRule="exact"/>
        <w:ind w:right="808" w:firstLine="420" w:firstLineChars="200"/>
        <w:jc w:val="both"/>
        <w:rPr>
          <w:rFonts w:eastAsia="宋体"/>
          <w:kern w:val="2"/>
          <w:sz w:val="21"/>
          <w:lang w:eastAsia="zh-CN"/>
        </w:rPr>
      </w:pPr>
      <w:bookmarkStart w:id="129" w:name="_33._合同授予标准"/>
      <w:bookmarkEnd w:id="129"/>
      <w:bookmarkStart w:id="130" w:name="_Toc73521674"/>
      <w:bookmarkStart w:id="131" w:name="_Toc100052408"/>
      <w:bookmarkStart w:id="132" w:name="_Toc73517679"/>
      <w:bookmarkStart w:id="133" w:name="_Toc73518157"/>
      <w:bookmarkStart w:id="134" w:name="_Toc73521586"/>
      <w:bookmarkStart w:id="135" w:name="_Hlk72439088"/>
      <w:r>
        <w:rPr>
          <w:rFonts w:eastAsia="宋体" w:hint="eastAsia"/>
          <w:kern w:val="2"/>
          <w:sz w:val="21"/>
          <w:lang w:eastAsia="zh-CN"/>
        </w:rPr>
        <w:t>43．合同授予标准</w:t>
      </w:r>
      <w:bookmarkEnd w:id="130"/>
      <w:bookmarkEnd w:id="131"/>
      <w:bookmarkEnd w:id="132"/>
      <w:bookmarkEnd w:id="133"/>
      <w:bookmarkEnd w:id="13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6" w:name="_Toc100052409"/>
      <w:bookmarkStart w:id="137" w:name="_Toc73521675"/>
      <w:bookmarkStart w:id="138" w:name="_Toc73517680"/>
      <w:bookmarkStart w:id="139" w:name="_Toc73521587"/>
      <w:bookmarkStart w:id="140" w:name="_Toc73518158"/>
      <w:r>
        <w:rPr>
          <w:rFonts w:eastAsia="宋体" w:hint="eastAsia"/>
          <w:kern w:val="2"/>
          <w:sz w:val="21"/>
          <w:lang w:eastAsia="zh-CN"/>
        </w:rPr>
        <w:t>44．</w:t>
      </w:r>
      <w:bookmarkEnd w:id="136"/>
      <w:bookmarkEnd w:id="137"/>
      <w:bookmarkEnd w:id="138"/>
      <w:bookmarkEnd w:id="139"/>
      <w:bookmarkEnd w:id="140"/>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41" w:name="_Toc73521677"/>
      <w:bookmarkStart w:id="142" w:name="_Toc73521589"/>
      <w:bookmarkStart w:id="143" w:name="_Toc73517682"/>
      <w:bookmarkStart w:id="144" w:name="_Toc73518160"/>
      <w:bookmarkStart w:id="145" w:name="_Toc100052410"/>
      <w:r>
        <w:rPr>
          <w:rFonts w:eastAsia="宋体" w:hint="eastAsia"/>
          <w:kern w:val="2"/>
          <w:sz w:val="21"/>
          <w:lang w:eastAsia="zh-CN"/>
        </w:rPr>
        <w:t>45．合同的签订</w:t>
      </w:r>
      <w:bookmarkEnd w:id="141"/>
      <w:bookmarkEnd w:id="142"/>
      <w:bookmarkEnd w:id="143"/>
      <w:bookmarkEnd w:id="144"/>
      <w:bookmarkEnd w:id="14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46" w:name="_Toc73521590"/>
      <w:bookmarkStart w:id="147" w:name="_Toc73518161"/>
      <w:bookmarkStart w:id="148" w:name="_Toc73517683"/>
      <w:bookmarkStart w:id="149" w:name="_Toc73521678"/>
      <w:bookmarkStart w:id="150" w:name="_Toc100052411"/>
      <w:r>
        <w:rPr>
          <w:rFonts w:eastAsia="宋体" w:hint="eastAsia"/>
          <w:kern w:val="2"/>
          <w:sz w:val="21"/>
          <w:lang w:eastAsia="zh-CN"/>
        </w:rPr>
        <w:t>46．履约担保</w:t>
      </w:r>
      <w:bookmarkEnd w:id="146"/>
      <w:bookmarkEnd w:id="147"/>
      <w:bookmarkEnd w:id="148"/>
      <w:bookmarkEnd w:id="149"/>
      <w:bookmarkEnd w:id="15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51" w:name="_Hlk72440769"/>
      <w:r>
        <w:rPr>
          <w:rFonts w:eastAsia="宋体" w:hint="eastAsia"/>
          <w:kern w:val="2"/>
          <w:sz w:val="21"/>
          <w:lang w:eastAsia="zh-CN"/>
        </w:rPr>
        <w:t>采购代理机构或采购人不予退还其交纳的谈判保证金，情节严重的，并由主管部门</w:t>
      </w:r>
      <w:bookmarkEnd w:id="151"/>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35"/>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52" w:name="_Toc19433"/>
      <w:r>
        <w:rPr>
          <w:rFonts w:ascii="Arial" w:eastAsia="宋体" w:hAnsi="Arial" w:hint="eastAsia"/>
          <w:b/>
          <w:kern w:val="2"/>
          <w:sz w:val="32"/>
          <w:lang w:eastAsia="zh-CN"/>
        </w:rPr>
        <w:t>第十一章  质疑处理</w:t>
      </w:r>
      <w:bookmarkEnd w:id="15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53" w:name="_Hlk75374941"/>
      <w:r>
        <w:rPr>
          <w:rFonts w:eastAsia="宋体" w:hint="eastAsia"/>
          <w:kern w:val="2"/>
          <w:sz w:val="21"/>
          <w:lang w:eastAsia="zh-CN"/>
        </w:rPr>
        <w:t>以联合体形式参与的，质疑应当由组成联合体的所有成员共同提出</w:t>
      </w:r>
      <w:bookmarkEnd w:id="153"/>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仿宋" w:eastAsia="仿宋" w:hAnsi="仿宋" w:cs="仿宋"/>
          <w:b/>
          <w:bCs/>
          <w:color w:val="333333"/>
          <w:sz w:val="28"/>
          <w:szCs w:val="28"/>
          <w:lang w:val="en" w:eastAsia="en"/>
        </w:rPr>
      </w:pPr>
      <w:r>
        <w:rPr>
          <w:rFonts w:ascii="仿宋" w:eastAsia="仿宋" w:hAnsi="仿宋" w:cs="仿宋" w:hint="eastAsia"/>
          <w:b/>
          <w:bCs/>
          <w:color w:val="333333"/>
          <w:sz w:val="28"/>
          <w:szCs w:val="28"/>
          <w:lang w:val="en" w:eastAsia="en"/>
        </w:rPr>
        <w:t>医疗设备一批（离心机等）</w:t>
      </w:r>
      <w:r>
        <w:rPr>
          <w:rFonts w:ascii="仿宋" w:eastAsia="仿宋" w:hAnsi="仿宋" w:cs="仿宋"/>
          <w:b/>
          <w:bCs/>
          <w:color w:val="333333"/>
          <w:sz w:val="28"/>
          <w:szCs w:val="28"/>
          <w:lang w:val="en" w:eastAsia="en"/>
        </w:rPr>
        <w:t>-A</w:t>
      </w:r>
    </w:p>
    <w:tbl>
      <w:tblPr>
        <w:tblStyle w:val="typotable"/>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文件夹/文件名称</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分项报价清单</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股东构成审查表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技术要求偏离表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商务要求偏离表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技术保障措施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仿宋" w:eastAsia="仿宋" w:hAnsi="仿宋" w:cs="仿宋"/>
          <w:b/>
          <w:bCs/>
          <w:color w:val="333333"/>
          <w:lang w:val="en" w:eastAsia="en"/>
        </w:rPr>
        <w:sectPr>
          <w:pgMar w:top="1440" w:right="1800" w:bottom="1440" w:left="1800" w:header="708" w:footer="708" w:gutter="0"/>
          <w:cols w:num="1"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医疗设备一批（离心机等）-A</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LHAZXDL-2025-00528-001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医疗设备一批（离心机等）-A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1.满足《中华人民共和国政府采购法》第二十二条第一款的条件；（由供应商在《政府采购投标及履约承诺函》中作出声明）；：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1.满足《中华人民共和国政府采购法》第二十二条第一款的条件；（由供应商在《政府采购投标及履约承诺函》中作出声明）；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2.具有独立法人资格或是具有独立承担民事责任能力的其它组织（提供营业执照或事业单位法人证书等证明资料复印件，原件备查）；：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2.具有独立法人资格或是具有独立承担民事责任能力的其它组织（提供营业执照或事业单位法人证书等证明资料复印件，原件备查）；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r>
              <w:rPr>
                <w:rFonts w:ascii="FangSong" w:eastAsia="FangSong" w:hAnsi="FangSong" w:cs="FangSong"/>
                <w:color w:val="666666"/>
                <w:lang w:val="en" w:eastAsia="en"/>
              </w:rPr>
              <w:br/>
            </w:r>
            <w:r>
              <w:rPr>
                <w:rFonts w:ascii="FangSong" w:eastAsia="FangSong" w:hAnsi="FangSong" w:cs="FangSong"/>
                <w:color w:val="666666"/>
                <w:lang w:val="en" w:eastAsia="e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r>
              <w:rPr>
                <w:rFonts w:ascii="FangSong" w:eastAsia="FangSong" w:hAnsi="FangSong" w:cs="FangSong"/>
                <w:color w:val="666666"/>
                <w:lang w:val="en" w:eastAsia="en"/>
              </w:rPr>
              <w:br/>
            </w:r>
            <w:r>
              <w:rPr>
                <w:rFonts w:ascii="FangSong" w:eastAsia="FangSong" w:hAnsi="FangSong" w:cs="FangSong"/>
                <w:color w:val="666666"/>
                <w:lang w:val="en" w:eastAsia="en"/>
              </w:rPr>
              <w:t>6.参与本项目政府采购活动时不存在被有关部门禁止参与政府采购活动且在有效期内的情况（由供应商在《政府采购投标及履约承诺函》中作出声明）；：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8.本项目不接受联合体投标，不接受进口产品参与投标，不允许分包、转包。：</w:t>
            </w:r>
            <w:r>
              <w:rPr>
                <w:rFonts w:ascii="FangSong" w:eastAsia="FangSong" w:hAnsi="FangSong" w:cs="FangSong"/>
                <w:color w:val="666666"/>
                <w:lang w:val="en" w:eastAsia="en"/>
              </w:rPr>
              <w:br/>
            </w:r>
            <w:r>
              <w:rPr>
                <w:rFonts w:ascii="FangSong" w:eastAsia="FangSong" w:hAnsi="FangSong" w:cs="FangSong"/>
                <w:color w:val="666666"/>
                <w:lang w:val="en" w:eastAsia="en"/>
              </w:rPr>
              <w:t>8.本项目不接受联合体投标，不接受进口产品参与投标，不允许分包、转包。</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一、考察内容： 投标人需针对本项目提供技术保障措施方案，方案内容需包括： （1）安装调试方案； （2）质量控制措施； （3）技术人员。 二、评审标准： 1、评审委员会根据招标文件的需求和投标文件的内容响应情况进行评分： 内容满足以上 3 项要求的，得 60 分； 内容满足以上任意 2 项要求的，得40分； 内容满足以上任意 1 项要求的，得10分； 内容不满足不得分。 2、在此基础上，评审委员会根据各投标人的具体响应情况按照以下评审标准进一步评审： 评审为优（方案整体科学合理、针对性强、可操作性强、条理非常清晰的的加 40 分； 评审为良（方案整体较比科学合理、有较强针对性、有较强可操作性、比较条理清晰的）的加 20 分； 评审为中（方案整体科学合理性一般、针对性一般、可操作性一般，条理清晰度一般的）的加 10 分； 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一般参数技术规格偏离情况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一、考察内容： 评审委员会根据《技术规格偏离表》（以下简称“偏离表”）响应情况进行打分，全部满足的得100分，一般参数每负偏离一项扣0.75分，扣完为止。 二、证明文件： 偏离表应如实对应填写所投产品的具体参数。（未提供或未按要求提供或提供的不清晰导致专家无法判断的，不得分）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重点参数技术规格偏离情况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一、考察内容： 评审委员会根据《技术规格偏离表》（以下简称“偏离表”）响应情况进行打分，全部满足的得100分，重点技术参数▲项每负偏离一项扣12.5分，扣完为止。 二、证明文件： 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一、考察内容： 投标人应如实填写商务要求偏离表（免费保修期内售后服务条款偏离情况），评审委员会根据响应情况进行打分，全部满足要求的得100分，实质性条款除外，每负偏离一项扣25分，扣完为止。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免费保修期外售后服务条款偏离情况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一、考察内容： 投标人应如实填写商务要求偏离表（免费保修期外售后服务条款偏离情况），评审委员会根据响应情况进行打分，全部满足要求的得100分，实质性条款除外，每负偏离一项扣20分，扣完为止。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 查询渠道：通过“信用中国”（www.creditchina.gov.cn）、“中国政府采购网”（www.ccgp.gov.cn）、“深圳市政府采购监管网”（httpzfcg.sz.gov.cn）以及财政主管部门认定的其他渠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21205A"/>
    <w:multiLevelType w:val="singleLevel"/>
    <w:tmpl w:val="A721205A"/>
    <w:lvl w:ilvl="0">
      <w:start w:val="5"/>
      <w:numFmt w:val="decimal"/>
      <w:suff w:val="nothing"/>
      <w:lvlText w:val="%1、"/>
      <w:lvlJc w:val="left"/>
    </w:lvl>
  </w:abstractNum>
  <w:abstractNum w:abstractNumId="1">
    <w:nsid w:val="AE9BC66B"/>
    <w:multiLevelType w:val="singleLevel"/>
    <w:tmpl w:val="AE9BC66B"/>
    <w:lvl w:ilvl="0">
      <w:start w:val="6"/>
      <w:numFmt w:val="decimal"/>
      <w:suff w:val="nothing"/>
      <w:lvlText w:val="%1、"/>
      <w:lvlJc w:val="left"/>
    </w:lvl>
  </w:abstractNum>
  <w:abstractNum w:abstractNumId="2">
    <w:nsid w:val="B609221C"/>
    <w:multiLevelType w:val="singleLevel"/>
    <w:tmpl w:val="B609221C"/>
    <w:lvl w:ilvl="0">
      <w:start w:val="1"/>
      <w:numFmt w:val="decimal"/>
      <w:suff w:val="nothing"/>
      <w:lvlText w:val="%1、"/>
      <w:lvlJc w:val="left"/>
    </w:lvl>
  </w:abstractNum>
  <w:abstractNum w:abstractNumId="3">
    <w:nsid w:val="B9358C2E"/>
    <w:multiLevelType w:val="singleLevel"/>
    <w:tmpl w:val="B9358C2E"/>
    <w:lvl w:ilvl="0">
      <w:start w:val="2"/>
      <w:numFmt w:val="decimal"/>
      <w:suff w:val="nothing"/>
      <w:lvlText w:val="%1、"/>
      <w:lvlJc w:val="left"/>
    </w:lvl>
  </w:abstractNum>
  <w:abstractNum w:abstractNumId="4">
    <w:nsid w:val="721CBBE0"/>
    <w:multiLevelType w:val="singleLevel"/>
    <w:tmpl w:val="721CBBE0"/>
    <w:lvl w:ilvl="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产品相关信息"/>
    <w:basedOn w:val="Normal"/>
    <w:qFormat/>
    <w:rPr>
      <w:rFonts w:ascii="宋体" w:eastAsia="宋体" w:hAnsi="宋体" w:cs="宋体"/>
      <w:lang w:eastAsia="uk-UA"/>
    </w:rPr>
  </w:style>
  <w:style w:type="table" w:customStyle="1" w:styleId="1">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Normal"/>
    <w:qFormat/>
  </w:style>
  <w:style w:type="paragraph" w:styleId="IndexHeading">
    <w:name w:val="index heading"/>
    <w:basedOn w:val="Normal"/>
    <w:next w:val="Index1"/>
    <w:semiHidden/>
    <w:qFormat/>
    <w:rPr>
      <w:szCs w:val="20"/>
    </w:rPr>
  </w:style>
  <w:style w:type="paragraph" w:styleId="Index1">
    <w:name w:val="index 1"/>
    <w:basedOn w:val="Normal"/>
    <w:next w:val="Normal"/>
    <w:semiHidden/>
    <w:qFormat/>
  </w:style>
  <w:style w:type="table" w:customStyle="1" w:styleId="typotable">
    <w:name w:val="typo_table"/>
    <w:basedOn w:val="TableNormal"/>
    <w:qFormat/>
    <w:rPr>
      <w:rFonts w:eastAsia="宋体"/>
    </w:rPr>
    <w:tblPr>
      <w:tblInd w:w="0" w:type="dxa"/>
    </w:tblPr>
  </w:style>
  <w:style w:type="table" w:customStyle="1" w:styleId="typotable0">
    <w:name w:val="typo_table_0"/>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1">
    <w:name w:val="typo_table_1"/>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